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05C38" w14:textId="77777777" w:rsidR="00E103F9" w:rsidRPr="00443A23" w:rsidRDefault="00E103F9" w:rsidP="0002686E">
      <w:pPr>
        <w:adjustRightInd w:val="0"/>
        <w:snapToGrid w:val="0"/>
        <w:spacing w:after="0" w:line="360" w:lineRule="auto"/>
        <w:jc w:val="both"/>
        <w:rPr>
          <w:rFonts w:ascii="Book Antiqua" w:eastAsia="Times New Roman" w:hAnsi="Book Antiqua" w:cs="宋体"/>
          <w:b/>
          <w:i/>
          <w:sz w:val="24"/>
          <w:szCs w:val="24"/>
        </w:rPr>
      </w:pPr>
      <w:bookmarkStart w:id="0" w:name="OLE_LINK545"/>
      <w:bookmarkStart w:id="1" w:name="OLE_LINK546"/>
      <w:bookmarkStart w:id="2" w:name="OLE_LINK592"/>
      <w:r w:rsidRPr="00443A23">
        <w:rPr>
          <w:rFonts w:ascii="Book Antiqua" w:eastAsia="Times New Roman" w:hAnsi="Book Antiqua" w:cs="宋体"/>
          <w:b/>
          <w:sz w:val="24"/>
          <w:szCs w:val="24"/>
        </w:rPr>
        <w:t xml:space="preserve">Name of journal: </w:t>
      </w:r>
      <w:r w:rsidRPr="00443A23">
        <w:rPr>
          <w:rFonts w:ascii="Book Antiqua" w:eastAsia="Times New Roman" w:hAnsi="Book Antiqua" w:cs="宋体"/>
          <w:b/>
          <w:i/>
          <w:sz w:val="24"/>
          <w:szCs w:val="24"/>
        </w:rPr>
        <w:t>World Journal of Gastrointestinal Pharmacology and Therapeutics</w:t>
      </w:r>
    </w:p>
    <w:p w14:paraId="123EAA69" w14:textId="77777777" w:rsidR="00E103F9" w:rsidRPr="00443A23" w:rsidRDefault="00E103F9" w:rsidP="0002686E">
      <w:pPr>
        <w:adjustRightInd w:val="0"/>
        <w:snapToGrid w:val="0"/>
        <w:spacing w:after="0" w:line="360" w:lineRule="auto"/>
        <w:jc w:val="both"/>
        <w:rPr>
          <w:rFonts w:ascii="Book Antiqua" w:hAnsi="Book Antiqua" w:cs="Arial"/>
          <w:sz w:val="24"/>
          <w:szCs w:val="24"/>
          <w:lang w:val="en" w:eastAsia="zh-CN"/>
        </w:rPr>
      </w:pPr>
      <w:r w:rsidRPr="00443A23">
        <w:rPr>
          <w:rFonts w:ascii="Book Antiqua" w:hAnsi="Book Antiqua" w:cs="Arial"/>
          <w:b/>
          <w:sz w:val="24"/>
          <w:szCs w:val="24"/>
          <w:lang w:val="en"/>
        </w:rPr>
        <w:t xml:space="preserve">ESPS Manuscript NO: </w:t>
      </w:r>
      <w:r w:rsidR="00BE62E5" w:rsidRPr="00443A23">
        <w:rPr>
          <w:rFonts w:ascii="Book Antiqua" w:hAnsi="Book Antiqua" w:cs="Arial"/>
          <w:b/>
          <w:sz w:val="24"/>
          <w:szCs w:val="24"/>
          <w:lang w:val="en" w:eastAsia="zh-CN"/>
        </w:rPr>
        <w:t>26374</w:t>
      </w:r>
    </w:p>
    <w:p w14:paraId="091C3E5D" w14:textId="7C5033B1" w:rsidR="00E103F9" w:rsidRPr="00443A23" w:rsidRDefault="00E103F9" w:rsidP="0002686E">
      <w:pPr>
        <w:spacing w:after="0" w:line="360" w:lineRule="auto"/>
        <w:jc w:val="both"/>
        <w:rPr>
          <w:rFonts w:ascii="Book Antiqua" w:hAnsi="Book Antiqua"/>
          <w:b/>
          <w:sz w:val="24"/>
          <w:szCs w:val="24"/>
          <w:lang w:eastAsia="zh-CN"/>
        </w:rPr>
      </w:pPr>
      <w:r w:rsidRPr="00443A23">
        <w:rPr>
          <w:rFonts w:ascii="Book Antiqua" w:hAnsi="Book Antiqua"/>
          <w:b/>
          <w:sz w:val="24"/>
          <w:szCs w:val="24"/>
        </w:rPr>
        <w:t xml:space="preserve">Manuscript Type: </w:t>
      </w:r>
      <w:proofErr w:type="spellStart"/>
      <w:r w:rsidR="0002686E">
        <w:rPr>
          <w:rFonts w:ascii="Book Antiqua" w:hAnsi="Book Antiqua" w:hint="eastAsia"/>
          <w:b/>
          <w:sz w:val="24"/>
          <w:szCs w:val="24"/>
          <w:lang w:eastAsia="zh-CN"/>
        </w:rPr>
        <w:t>Minir</w:t>
      </w:r>
      <w:r w:rsidR="00BE62E5" w:rsidRPr="00443A23">
        <w:rPr>
          <w:rFonts w:ascii="Book Antiqua" w:hAnsi="Book Antiqua"/>
          <w:b/>
          <w:sz w:val="24"/>
          <w:szCs w:val="24"/>
          <w:lang w:eastAsia="zh-CN"/>
        </w:rPr>
        <w:t>eview</w:t>
      </w:r>
      <w:r w:rsidR="0002686E">
        <w:rPr>
          <w:rFonts w:ascii="Book Antiqua" w:hAnsi="Book Antiqua" w:hint="eastAsia"/>
          <w:b/>
          <w:sz w:val="24"/>
          <w:szCs w:val="24"/>
          <w:lang w:eastAsia="zh-CN"/>
        </w:rPr>
        <w:t>s</w:t>
      </w:r>
      <w:proofErr w:type="spellEnd"/>
    </w:p>
    <w:p w14:paraId="7F1BB903" w14:textId="77777777" w:rsidR="006D00F7" w:rsidRPr="00443A23" w:rsidRDefault="006D00F7" w:rsidP="0002686E">
      <w:pPr>
        <w:spacing w:after="0" w:line="360" w:lineRule="auto"/>
        <w:jc w:val="both"/>
        <w:rPr>
          <w:rFonts w:ascii="Book Antiqua" w:hAnsi="Book Antiqua"/>
          <w:b/>
          <w:sz w:val="24"/>
          <w:szCs w:val="24"/>
          <w:lang w:eastAsia="zh-CN"/>
        </w:rPr>
      </w:pPr>
    </w:p>
    <w:bookmarkEnd w:id="0"/>
    <w:bookmarkEnd w:id="1"/>
    <w:bookmarkEnd w:id="2"/>
    <w:p w14:paraId="1B911C73" w14:textId="577679A4" w:rsidR="004A4E6F" w:rsidRPr="00B601FC" w:rsidRDefault="004A4E6F" w:rsidP="0002686E">
      <w:pPr>
        <w:spacing w:after="0" w:line="360" w:lineRule="auto"/>
        <w:jc w:val="both"/>
        <w:rPr>
          <w:rFonts w:ascii="Book Antiqua" w:hAnsi="Book Antiqua"/>
          <w:b/>
          <w:sz w:val="24"/>
          <w:szCs w:val="24"/>
        </w:rPr>
      </w:pPr>
      <w:r w:rsidRPr="00B601FC">
        <w:rPr>
          <w:rFonts w:ascii="Book Antiqua" w:hAnsi="Book Antiqua"/>
          <w:b/>
          <w:sz w:val="24"/>
          <w:szCs w:val="24"/>
        </w:rPr>
        <w:t>Widespread</w:t>
      </w:r>
      <w:r w:rsidR="005E3903" w:rsidRPr="00B601FC">
        <w:rPr>
          <w:rFonts w:ascii="Book Antiqua" w:hAnsi="Book Antiqua"/>
          <w:b/>
          <w:sz w:val="24"/>
          <w:szCs w:val="24"/>
        </w:rPr>
        <w:t xml:space="preserve"> use of gastric acid inhibitors in in</w:t>
      </w:r>
      <w:r w:rsidRPr="00B601FC">
        <w:rPr>
          <w:rFonts w:ascii="Book Antiqua" w:hAnsi="Book Antiqua"/>
          <w:b/>
          <w:sz w:val="24"/>
          <w:szCs w:val="24"/>
        </w:rPr>
        <w:t xml:space="preserve">fants: Are </w:t>
      </w:r>
      <w:r w:rsidR="005E3903" w:rsidRPr="00B601FC">
        <w:rPr>
          <w:rFonts w:ascii="Book Antiqua" w:hAnsi="Book Antiqua"/>
          <w:b/>
          <w:sz w:val="24"/>
          <w:szCs w:val="24"/>
        </w:rPr>
        <w:t>they nee</w:t>
      </w:r>
      <w:r w:rsidRPr="00B601FC">
        <w:rPr>
          <w:rFonts w:ascii="Book Antiqua" w:hAnsi="Book Antiqua"/>
          <w:b/>
          <w:sz w:val="24"/>
          <w:szCs w:val="24"/>
        </w:rPr>
        <w:t xml:space="preserve">ded? Are </w:t>
      </w:r>
      <w:r w:rsidR="005E3903" w:rsidRPr="00B601FC">
        <w:rPr>
          <w:rFonts w:ascii="Book Antiqua" w:hAnsi="Book Antiqua"/>
          <w:b/>
          <w:sz w:val="24"/>
          <w:szCs w:val="24"/>
        </w:rPr>
        <w:t>they saf</w:t>
      </w:r>
      <w:r w:rsidRPr="00B601FC">
        <w:rPr>
          <w:rFonts w:ascii="Book Antiqua" w:hAnsi="Book Antiqua"/>
          <w:b/>
          <w:sz w:val="24"/>
          <w:szCs w:val="24"/>
        </w:rPr>
        <w:t>e?</w:t>
      </w:r>
    </w:p>
    <w:p w14:paraId="28FD3721" w14:textId="77777777" w:rsidR="004A4E6F" w:rsidRPr="00443A23" w:rsidRDefault="004A4E6F" w:rsidP="0002686E">
      <w:pPr>
        <w:spacing w:after="0" w:line="360" w:lineRule="auto"/>
        <w:jc w:val="both"/>
        <w:rPr>
          <w:rFonts w:ascii="Book Antiqua" w:hAnsi="Book Antiqua"/>
          <w:sz w:val="24"/>
          <w:szCs w:val="24"/>
        </w:rPr>
      </w:pPr>
    </w:p>
    <w:p w14:paraId="3A7ECF3D" w14:textId="17E8688C" w:rsidR="004A4E6F" w:rsidRPr="00443A23" w:rsidRDefault="006D00F7" w:rsidP="0002686E">
      <w:pPr>
        <w:spacing w:after="0" w:line="360" w:lineRule="auto"/>
        <w:jc w:val="both"/>
        <w:rPr>
          <w:rFonts w:ascii="Book Antiqua" w:hAnsi="Book Antiqua"/>
          <w:sz w:val="24"/>
          <w:szCs w:val="24"/>
        </w:rPr>
      </w:pPr>
      <w:r w:rsidRPr="00443A23">
        <w:rPr>
          <w:rFonts w:ascii="Book Antiqua" w:hAnsi="Book Antiqua"/>
          <w:sz w:val="24"/>
          <w:szCs w:val="24"/>
        </w:rPr>
        <w:t xml:space="preserve">Mark </w:t>
      </w:r>
      <w:r w:rsidRPr="00443A23">
        <w:rPr>
          <w:rFonts w:ascii="Book Antiqua" w:hAnsi="Book Antiqua"/>
          <w:sz w:val="24"/>
          <w:szCs w:val="24"/>
          <w:lang w:eastAsia="zh-CN"/>
        </w:rPr>
        <w:t xml:space="preserve">S </w:t>
      </w:r>
      <w:r w:rsidRPr="00443A23">
        <w:rPr>
          <w:rFonts w:ascii="Book Antiqua" w:hAnsi="Book Antiqua"/>
          <w:i/>
          <w:sz w:val="24"/>
          <w:szCs w:val="24"/>
          <w:lang w:eastAsia="zh-CN"/>
        </w:rPr>
        <w:t>et al.</w:t>
      </w:r>
      <w:r w:rsidRPr="00443A23">
        <w:rPr>
          <w:rFonts w:ascii="Book Antiqua" w:hAnsi="Book Antiqua"/>
          <w:sz w:val="24"/>
          <w:szCs w:val="24"/>
          <w:lang w:eastAsia="zh-CN"/>
        </w:rPr>
        <w:t xml:space="preserve"> </w:t>
      </w:r>
      <w:r w:rsidR="004A4E6F" w:rsidRPr="00443A23">
        <w:rPr>
          <w:rFonts w:ascii="Book Antiqua" w:hAnsi="Book Antiqua"/>
          <w:sz w:val="24"/>
          <w:szCs w:val="24"/>
        </w:rPr>
        <w:t xml:space="preserve">Acid Suppression in Infants: Safety </w:t>
      </w:r>
      <w:r w:rsidRPr="00443A23">
        <w:rPr>
          <w:rFonts w:ascii="Book Antiqua" w:hAnsi="Book Antiqua"/>
          <w:sz w:val="24"/>
          <w:szCs w:val="24"/>
          <w:lang w:eastAsia="zh-CN"/>
        </w:rPr>
        <w:t>and</w:t>
      </w:r>
      <w:r w:rsidR="004A4E6F" w:rsidRPr="00443A23">
        <w:rPr>
          <w:rFonts w:ascii="Book Antiqua" w:hAnsi="Book Antiqua"/>
          <w:sz w:val="24"/>
          <w:szCs w:val="24"/>
        </w:rPr>
        <w:t xml:space="preserve"> Efficacy</w:t>
      </w:r>
    </w:p>
    <w:p w14:paraId="2DE1174D" w14:textId="77777777" w:rsidR="004A4E6F" w:rsidRPr="00EC403F" w:rsidRDefault="004A4E6F" w:rsidP="0002686E">
      <w:pPr>
        <w:spacing w:after="0" w:line="360" w:lineRule="auto"/>
        <w:jc w:val="both"/>
        <w:rPr>
          <w:rFonts w:ascii="Book Antiqua" w:hAnsi="Book Antiqua"/>
          <w:b/>
          <w:sz w:val="24"/>
          <w:szCs w:val="24"/>
        </w:rPr>
      </w:pPr>
    </w:p>
    <w:p w14:paraId="70D997C3" w14:textId="03E33AFC" w:rsidR="003032A8" w:rsidRPr="00EC403F" w:rsidRDefault="003032A8" w:rsidP="0002686E">
      <w:pPr>
        <w:spacing w:after="0" w:line="360" w:lineRule="auto"/>
        <w:jc w:val="both"/>
        <w:rPr>
          <w:rFonts w:ascii="Book Antiqua" w:hAnsi="Book Antiqua"/>
          <w:b/>
          <w:sz w:val="24"/>
          <w:szCs w:val="24"/>
          <w:lang w:eastAsia="zh-CN"/>
        </w:rPr>
      </w:pPr>
      <w:r w:rsidRPr="00EC403F">
        <w:rPr>
          <w:rFonts w:ascii="Book Antiqua" w:hAnsi="Book Antiqua"/>
          <w:b/>
          <w:sz w:val="24"/>
          <w:szCs w:val="24"/>
        </w:rPr>
        <w:t xml:space="preserve">Mark </w:t>
      </w:r>
      <w:r w:rsidR="00212B36" w:rsidRPr="00EC403F">
        <w:rPr>
          <w:rFonts w:ascii="Book Antiqua" w:hAnsi="Book Antiqua"/>
          <w:b/>
          <w:sz w:val="24"/>
          <w:szCs w:val="24"/>
        </w:rPr>
        <w:t>Safe</w:t>
      </w:r>
      <w:r w:rsidR="006D00F7" w:rsidRPr="00EC403F">
        <w:rPr>
          <w:rFonts w:ascii="Book Antiqua" w:hAnsi="Book Antiqua"/>
          <w:b/>
          <w:sz w:val="24"/>
          <w:szCs w:val="24"/>
          <w:lang w:eastAsia="zh-CN"/>
        </w:rPr>
        <w:t>,</w:t>
      </w:r>
      <w:r w:rsidR="00B37CC9" w:rsidRPr="00EC403F">
        <w:rPr>
          <w:rFonts w:ascii="Book Antiqua" w:hAnsi="Book Antiqua"/>
          <w:b/>
          <w:sz w:val="24"/>
          <w:szCs w:val="24"/>
        </w:rPr>
        <w:t xml:space="preserve"> </w:t>
      </w:r>
      <w:r w:rsidRPr="00EC403F">
        <w:rPr>
          <w:rFonts w:ascii="Book Antiqua" w:hAnsi="Book Antiqua"/>
          <w:b/>
          <w:sz w:val="24"/>
          <w:szCs w:val="24"/>
        </w:rPr>
        <w:t>Wei H</w:t>
      </w:r>
      <w:r w:rsidR="006D00F7" w:rsidRPr="00EC403F">
        <w:rPr>
          <w:rFonts w:ascii="Book Antiqua" w:hAnsi="Book Antiqua"/>
          <w:b/>
          <w:sz w:val="24"/>
          <w:szCs w:val="24"/>
          <w:lang w:eastAsia="zh-CN"/>
        </w:rPr>
        <w:t>,</w:t>
      </w:r>
      <w:r w:rsidR="00212B36" w:rsidRPr="00EC403F">
        <w:rPr>
          <w:rFonts w:ascii="Book Antiqua" w:hAnsi="Book Antiqua"/>
          <w:b/>
          <w:sz w:val="24"/>
          <w:szCs w:val="24"/>
        </w:rPr>
        <w:t xml:space="preserve"> </w:t>
      </w:r>
      <w:r w:rsidRPr="00EC403F">
        <w:rPr>
          <w:rFonts w:ascii="Book Antiqua" w:hAnsi="Book Antiqua"/>
          <w:b/>
          <w:sz w:val="24"/>
          <w:szCs w:val="24"/>
        </w:rPr>
        <w:t>Steven T</w:t>
      </w:r>
      <w:r w:rsidR="006D00F7" w:rsidRPr="00EC403F">
        <w:rPr>
          <w:rFonts w:ascii="Book Antiqua" w:hAnsi="Book Antiqua"/>
          <w:b/>
          <w:sz w:val="24"/>
          <w:szCs w:val="24"/>
          <w:lang w:eastAsia="zh-CN"/>
        </w:rPr>
        <w:t>,</w:t>
      </w:r>
      <w:r w:rsidRPr="00EC403F">
        <w:rPr>
          <w:rFonts w:ascii="Book Antiqua" w:hAnsi="Book Antiqua"/>
          <w:b/>
          <w:sz w:val="24"/>
          <w:szCs w:val="24"/>
        </w:rPr>
        <w:t xml:space="preserve"> Lee</w:t>
      </w:r>
      <w:r w:rsidR="00212B36" w:rsidRPr="00EC403F">
        <w:rPr>
          <w:rFonts w:ascii="Book Antiqua" w:hAnsi="Book Antiqua"/>
          <w:b/>
          <w:sz w:val="24"/>
          <w:szCs w:val="24"/>
        </w:rPr>
        <w:t xml:space="preserve"> Sutton</w:t>
      </w:r>
      <w:r w:rsidR="006D00F7" w:rsidRPr="00EC403F">
        <w:rPr>
          <w:rFonts w:ascii="Book Antiqua" w:hAnsi="Book Antiqua"/>
          <w:b/>
          <w:sz w:val="24"/>
          <w:szCs w:val="24"/>
          <w:lang w:eastAsia="zh-CN"/>
        </w:rPr>
        <w:t>,</w:t>
      </w:r>
      <w:r w:rsidR="00212B36" w:rsidRPr="00EC403F">
        <w:rPr>
          <w:rFonts w:ascii="Book Antiqua" w:hAnsi="Book Antiqua"/>
          <w:b/>
          <w:sz w:val="24"/>
          <w:szCs w:val="24"/>
        </w:rPr>
        <w:t xml:space="preserve"> </w:t>
      </w:r>
      <w:r w:rsidRPr="00EC403F">
        <w:rPr>
          <w:rFonts w:ascii="Book Antiqua" w:hAnsi="Book Antiqua"/>
          <w:b/>
          <w:sz w:val="24"/>
          <w:szCs w:val="24"/>
        </w:rPr>
        <w:t xml:space="preserve">Kei </w:t>
      </w:r>
      <w:proofErr w:type="spellStart"/>
      <w:r w:rsidR="00212B36" w:rsidRPr="00EC403F">
        <w:rPr>
          <w:rFonts w:ascii="Book Antiqua" w:hAnsi="Book Antiqua"/>
          <w:b/>
          <w:sz w:val="24"/>
          <w:szCs w:val="24"/>
        </w:rPr>
        <w:t>Lui</w:t>
      </w:r>
      <w:proofErr w:type="spellEnd"/>
      <w:r w:rsidR="006D00F7" w:rsidRPr="00EC403F">
        <w:rPr>
          <w:rFonts w:ascii="Book Antiqua" w:hAnsi="Book Antiqua"/>
          <w:b/>
          <w:sz w:val="24"/>
          <w:szCs w:val="24"/>
          <w:lang w:eastAsia="zh-CN"/>
        </w:rPr>
        <w:t>,</w:t>
      </w:r>
      <w:r w:rsidRPr="00EC403F">
        <w:rPr>
          <w:rFonts w:ascii="Book Antiqua" w:hAnsi="Book Antiqua"/>
          <w:b/>
          <w:sz w:val="24"/>
          <w:szCs w:val="24"/>
        </w:rPr>
        <w:t xml:space="preserve"> </w:t>
      </w:r>
      <w:proofErr w:type="spellStart"/>
      <w:r w:rsidRPr="00EC403F">
        <w:rPr>
          <w:rFonts w:ascii="Book Antiqua" w:hAnsi="Book Antiqua"/>
          <w:b/>
          <w:sz w:val="24"/>
          <w:szCs w:val="24"/>
        </w:rPr>
        <w:t>Usha</w:t>
      </w:r>
      <w:proofErr w:type="spellEnd"/>
      <w:r w:rsidR="00212B36" w:rsidRPr="00EC403F">
        <w:rPr>
          <w:rFonts w:ascii="Book Antiqua" w:hAnsi="Book Antiqua"/>
          <w:b/>
          <w:sz w:val="24"/>
          <w:szCs w:val="24"/>
        </w:rPr>
        <w:t xml:space="preserve"> Krishnan</w:t>
      </w:r>
      <w:r w:rsidR="005608B2" w:rsidRPr="00EC403F">
        <w:rPr>
          <w:rFonts w:ascii="Book Antiqua" w:hAnsi="Book Antiqua"/>
          <w:b/>
          <w:sz w:val="24"/>
          <w:szCs w:val="24"/>
        </w:rPr>
        <w:t xml:space="preserve"> </w:t>
      </w:r>
    </w:p>
    <w:p w14:paraId="719AFC8A" w14:textId="77777777" w:rsidR="006D00F7" w:rsidRPr="00443A23" w:rsidRDefault="006D00F7" w:rsidP="0002686E">
      <w:pPr>
        <w:spacing w:after="0" w:line="360" w:lineRule="auto"/>
        <w:jc w:val="both"/>
        <w:rPr>
          <w:rFonts w:ascii="Book Antiqua" w:hAnsi="Book Antiqua"/>
          <w:sz w:val="24"/>
          <w:szCs w:val="24"/>
          <w:vertAlign w:val="superscript"/>
          <w:lang w:eastAsia="zh-CN"/>
        </w:rPr>
      </w:pPr>
    </w:p>
    <w:p w14:paraId="219BBB0E" w14:textId="65A692EC" w:rsidR="005608B2" w:rsidRPr="00443A23" w:rsidRDefault="003032A8"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 xml:space="preserve">Mark </w:t>
      </w:r>
      <w:r w:rsidR="006D00F7" w:rsidRPr="00443A23">
        <w:rPr>
          <w:rFonts w:ascii="Book Antiqua" w:hAnsi="Book Antiqua"/>
          <w:b/>
          <w:sz w:val="24"/>
          <w:szCs w:val="24"/>
        </w:rPr>
        <w:t>Safe</w:t>
      </w:r>
      <w:r w:rsidR="006D00F7" w:rsidRPr="00443A23">
        <w:rPr>
          <w:rFonts w:ascii="Book Antiqua" w:hAnsi="Book Antiqua"/>
          <w:b/>
          <w:sz w:val="24"/>
          <w:szCs w:val="24"/>
          <w:lang w:eastAsia="zh-CN"/>
        </w:rPr>
        <w:t>,</w:t>
      </w:r>
      <w:r w:rsidRPr="00443A23">
        <w:rPr>
          <w:rFonts w:ascii="Book Antiqua" w:hAnsi="Book Antiqua"/>
          <w:b/>
          <w:sz w:val="24"/>
          <w:szCs w:val="24"/>
        </w:rPr>
        <w:t xml:space="preserve"> Lee</w:t>
      </w:r>
      <w:r w:rsidR="006D00F7" w:rsidRPr="00443A23">
        <w:rPr>
          <w:rFonts w:ascii="Book Antiqua" w:hAnsi="Book Antiqua"/>
          <w:b/>
          <w:sz w:val="24"/>
          <w:szCs w:val="24"/>
          <w:lang w:eastAsia="zh-CN"/>
        </w:rPr>
        <w:t xml:space="preserve"> </w:t>
      </w:r>
      <w:r w:rsidR="006D00F7" w:rsidRPr="00443A23">
        <w:rPr>
          <w:rFonts w:ascii="Book Antiqua" w:hAnsi="Book Antiqua"/>
          <w:b/>
          <w:sz w:val="24"/>
          <w:szCs w:val="24"/>
        </w:rPr>
        <w:t>Sutton</w:t>
      </w:r>
      <w:r w:rsidR="006D00F7" w:rsidRPr="00443A23">
        <w:rPr>
          <w:rFonts w:ascii="Book Antiqua" w:hAnsi="Book Antiqua"/>
          <w:b/>
          <w:sz w:val="24"/>
          <w:szCs w:val="24"/>
          <w:lang w:eastAsia="zh-CN"/>
        </w:rPr>
        <w:t xml:space="preserve">, </w:t>
      </w:r>
      <w:proofErr w:type="spellStart"/>
      <w:r w:rsidRPr="00443A23">
        <w:rPr>
          <w:rFonts w:ascii="Book Antiqua" w:hAnsi="Book Antiqua"/>
          <w:b/>
          <w:sz w:val="24"/>
          <w:szCs w:val="24"/>
        </w:rPr>
        <w:t>Usha</w:t>
      </w:r>
      <w:proofErr w:type="spellEnd"/>
      <w:r w:rsidRPr="00443A23">
        <w:rPr>
          <w:rFonts w:ascii="Book Antiqua" w:hAnsi="Book Antiqua"/>
          <w:b/>
          <w:sz w:val="24"/>
          <w:szCs w:val="24"/>
        </w:rPr>
        <w:t xml:space="preserve"> </w:t>
      </w:r>
      <w:r w:rsidR="006D00F7" w:rsidRPr="00443A23">
        <w:rPr>
          <w:rFonts w:ascii="Book Antiqua" w:hAnsi="Book Antiqua"/>
          <w:b/>
          <w:sz w:val="24"/>
          <w:szCs w:val="24"/>
        </w:rPr>
        <w:t>Krishnan</w:t>
      </w:r>
      <w:r w:rsidR="006D00F7" w:rsidRPr="00443A23">
        <w:rPr>
          <w:rFonts w:ascii="Book Antiqua" w:hAnsi="Book Antiqua"/>
          <w:b/>
          <w:sz w:val="24"/>
          <w:szCs w:val="24"/>
          <w:vertAlign w:val="subscript"/>
          <w:lang w:eastAsia="zh-CN"/>
        </w:rPr>
        <w:t>,</w:t>
      </w:r>
      <w:r w:rsidR="006D00F7" w:rsidRPr="00443A23">
        <w:rPr>
          <w:rFonts w:ascii="Book Antiqua" w:hAnsi="Book Antiqua"/>
          <w:sz w:val="24"/>
          <w:szCs w:val="24"/>
          <w:vertAlign w:val="subscript"/>
          <w:lang w:eastAsia="zh-CN"/>
        </w:rPr>
        <w:t xml:space="preserve"> </w:t>
      </w:r>
      <w:r w:rsidR="006D00F7" w:rsidRPr="00443A23">
        <w:rPr>
          <w:rFonts w:ascii="Book Antiqua" w:hAnsi="Book Antiqua"/>
          <w:sz w:val="24"/>
          <w:szCs w:val="24"/>
        </w:rPr>
        <w:t xml:space="preserve">Department </w:t>
      </w:r>
      <w:r w:rsidR="005608B2" w:rsidRPr="00443A23">
        <w:rPr>
          <w:rFonts w:ascii="Book Antiqua" w:hAnsi="Book Antiqua"/>
          <w:sz w:val="24"/>
          <w:szCs w:val="24"/>
        </w:rPr>
        <w:t>of Paediatric Gastroenterology, Sydney Children’s Hospital, Randwick NSW 2031, Australia</w:t>
      </w:r>
    </w:p>
    <w:p w14:paraId="032225B8" w14:textId="77777777" w:rsidR="006D00F7" w:rsidRPr="00443A23" w:rsidRDefault="006D00F7" w:rsidP="0002686E">
      <w:pPr>
        <w:spacing w:after="0" w:line="360" w:lineRule="auto"/>
        <w:jc w:val="both"/>
        <w:rPr>
          <w:rFonts w:ascii="Book Antiqua" w:hAnsi="Book Antiqua"/>
          <w:sz w:val="24"/>
          <w:szCs w:val="24"/>
          <w:lang w:eastAsia="zh-CN"/>
        </w:rPr>
      </w:pPr>
    </w:p>
    <w:p w14:paraId="6E63C034" w14:textId="193B7E5E" w:rsidR="005608B2" w:rsidRPr="00443A23" w:rsidRDefault="003032A8"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 xml:space="preserve">Wei H </w:t>
      </w:r>
      <w:r w:rsidR="006D00F7" w:rsidRPr="00443A23">
        <w:rPr>
          <w:rFonts w:ascii="Book Antiqua" w:hAnsi="Book Antiqua"/>
          <w:b/>
          <w:sz w:val="24"/>
          <w:szCs w:val="24"/>
        </w:rPr>
        <w:t>Chan</w:t>
      </w:r>
      <w:r w:rsidR="006D00F7" w:rsidRPr="00443A23">
        <w:rPr>
          <w:rFonts w:ascii="Book Antiqua" w:hAnsi="Book Antiqua"/>
          <w:b/>
          <w:sz w:val="24"/>
          <w:szCs w:val="24"/>
          <w:lang w:eastAsia="zh-CN"/>
        </w:rPr>
        <w:t>,</w:t>
      </w:r>
      <w:r w:rsidR="006D00F7" w:rsidRPr="00443A23">
        <w:rPr>
          <w:rFonts w:ascii="Book Antiqua" w:hAnsi="Book Antiqua"/>
          <w:b/>
          <w:sz w:val="24"/>
          <w:szCs w:val="24"/>
        </w:rPr>
        <w:t xml:space="preserve"> </w:t>
      </w:r>
      <w:r w:rsidRPr="00443A23">
        <w:rPr>
          <w:rFonts w:ascii="Book Antiqua" w:hAnsi="Book Antiqua"/>
          <w:b/>
          <w:sz w:val="24"/>
          <w:szCs w:val="24"/>
        </w:rPr>
        <w:t xml:space="preserve">Steven T </w:t>
      </w:r>
      <w:r w:rsidR="006D00F7" w:rsidRPr="00443A23">
        <w:rPr>
          <w:rFonts w:ascii="Book Antiqua" w:hAnsi="Book Antiqua"/>
          <w:b/>
          <w:sz w:val="24"/>
          <w:szCs w:val="24"/>
        </w:rPr>
        <w:t>Leach</w:t>
      </w:r>
      <w:r w:rsidR="006D00F7" w:rsidRPr="00443A23">
        <w:rPr>
          <w:rFonts w:ascii="Book Antiqua" w:hAnsi="Book Antiqua"/>
          <w:b/>
          <w:sz w:val="24"/>
          <w:szCs w:val="24"/>
          <w:lang w:eastAsia="zh-CN"/>
        </w:rPr>
        <w:t>,</w:t>
      </w:r>
      <w:r w:rsidR="006D00F7" w:rsidRPr="00443A23">
        <w:rPr>
          <w:rFonts w:ascii="Book Antiqua" w:hAnsi="Book Antiqua"/>
          <w:b/>
          <w:sz w:val="24"/>
          <w:szCs w:val="24"/>
        </w:rPr>
        <w:t xml:space="preserve"> </w:t>
      </w:r>
      <w:r w:rsidRPr="00443A23">
        <w:rPr>
          <w:rFonts w:ascii="Book Antiqua" w:hAnsi="Book Antiqua"/>
          <w:b/>
          <w:sz w:val="24"/>
          <w:szCs w:val="24"/>
        </w:rPr>
        <w:t xml:space="preserve">Kei </w:t>
      </w:r>
      <w:proofErr w:type="spellStart"/>
      <w:r w:rsidR="006D00F7" w:rsidRPr="00443A23">
        <w:rPr>
          <w:rFonts w:ascii="Book Antiqua" w:hAnsi="Book Antiqua"/>
          <w:b/>
          <w:sz w:val="24"/>
          <w:szCs w:val="24"/>
        </w:rPr>
        <w:t>Lui</w:t>
      </w:r>
      <w:proofErr w:type="spellEnd"/>
      <w:r w:rsidR="006D00F7" w:rsidRPr="00443A23">
        <w:rPr>
          <w:rFonts w:ascii="Book Antiqua" w:hAnsi="Book Antiqua"/>
          <w:b/>
          <w:sz w:val="24"/>
          <w:szCs w:val="24"/>
          <w:lang w:eastAsia="zh-CN"/>
        </w:rPr>
        <w:t>,</w:t>
      </w:r>
      <w:r w:rsidR="006D00F7" w:rsidRPr="00443A23">
        <w:rPr>
          <w:rFonts w:ascii="Book Antiqua" w:hAnsi="Book Antiqua"/>
          <w:b/>
          <w:sz w:val="24"/>
          <w:szCs w:val="24"/>
        </w:rPr>
        <w:t xml:space="preserve"> </w:t>
      </w:r>
      <w:proofErr w:type="spellStart"/>
      <w:r w:rsidRPr="00443A23">
        <w:rPr>
          <w:rFonts w:ascii="Book Antiqua" w:hAnsi="Book Antiqua"/>
          <w:b/>
          <w:sz w:val="24"/>
          <w:szCs w:val="24"/>
        </w:rPr>
        <w:t>Usha</w:t>
      </w:r>
      <w:proofErr w:type="spellEnd"/>
      <w:r w:rsidRPr="00443A23">
        <w:rPr>
          <w:rFonts w:ascii="Book Antiqua" w:hAnsi="Book Antiqua"/>
          <w:b/>
          <w:sz w:val="24"/>
          <w:szCs w:val="24"/>
        </w:rPr>
        <w:t xml:space="preserve"> </w:t>
      </w:r>
      <w:r w:rsidR="006D00F7" w:rsidRPr="00443A23">
        <w:rPr>
          <w:rFonts w:ascii="Book Antiqua" w:hAnsi="Book Antiqua"/>
          <w:b/>
          <w:sz w:val="24"/>
          <w:szCs w:val="24"/>
        </w:rPr>
        <w:t>Krishnan</w:t>
      </w:r>
      <w:r w:rsidR="006D00F7" w:rsidRPr="00443A23">
        <w:rPr>
          <w:rFonts w:ascii="Book Antiqua" w:hAnsi="Book Antiqua"/>
          <w:b/>
          <w:sz w:val="24"/>
          <w:szCs w:val="24"/>
          <w:lang w:eastAsia="zh-CN"/>
        </w:rPr>
        <w:t>,</w:t>
      </w:r>
      <w:r w:rsidR="006D00F7" w:rsidRPr="00443A23">
        <w:rPr>
          <w:rFonts w:ascii="Book Antiqua" w:hAnsi="Book Antiqua"/>
          <w:sz w:val="24"/>
          <w:szCs w:val="24"/>
          <w:lang w:eastAsia="zh-CN"/>
        </w:rPr>
        <w:t xml:space="preserve"> </w:t>
      </w:r>
      <w:r w:rsidR="005608B2" w:rsidRPr="00443A23">
        <w:rPr>
          <w:rFonts w:ascii="Book Antiqua" w:hAnsi="Book Antiqua"/>
          <w:sz w:val="24"/>
          <w:szCs w:val="24"/>
        </w:rPr>
        <w:t xml:space="preserve">School of Women’s and Children’s health, </w:t>
      </w:r>
      <w:r w:rsidR="006D00F7" w:rsidRPr="00443A23">
        <w:rPr>
          <w:rFonts w:ascii="Book Antiqua" w:hAnsi="Book Antiqua"/>
          <w:sz w:val="24"/>
          <w:szCs w:val="24"/>
        </w:rPr>
        <w:t>University of New South Wales</w:t>
      </w:r>
      <w:r w:rsidR="005608B2" w:rsidRPr="00443A23">
        <w:rPr>
          <w:rFonts w:ascii="Book Antiqua" w:hAnsi="Book Antiqua"/>
          <w:sz w:val="24"/>
          <w:szCs w:val="24"/>
        </w:rPr>
        <w:t>, Sydney</w:t>
      </w:r>
      <w:r w:rsidR="00331EDC" w:rsidRPr="00331EDC">
        <w:t xml:space="preserve"> </w:t>
      </w:r>
      <w:r w:rsidR="00331EDC" w:rsidRPr="00331EDC">
        <w:rPr>
          <w:rFonts w:ascii="Book Antiqua" w:hAnsi="Book Antiqua"/>
          <w:sz w:val="24"/>
          <w:szCs w:val="24"/>
        </w:rPr>
        <w:t>NSW 2052</w:t>
      </w:r>
      <w:r w:rsidR="005608B2" w:rsidRPr="00443A23">
        <w:rPr>
          <w:rFonts w:ascii="Book Antiqua" w:hAnsi="Book Antiqua"/>
          <w:sz w:val="24"/>
          <w:szCs w:val="24"/>
        </w:rPr>
        <w:t>, Australia</w:t>
      </w:r>
    </w:p>
    <w:p w14:paraId="79D71E79" w14:textId="77777777" w:rsidR="006D00F7" w:rsidRPr="00331EDC" w:rsidRDefault="006D00F7" w:rsidP="0002686E">
      <w:pPr>
        <w:spacing w:after="0" w:line="360" w:lineRule="auto"/>
        <w:jc w:val="both"/>
        <w:rPr>
          <w:rFonts w:ascii="Book Antiqua" w:hAnsi="Book Antiqua"/>
          <w:sz w:val="24"/>
          <w:szCs w:val="24"/>
          <w:lang w:eastAsia="zh-CN"/>
        </w:rPr>
      </w:pPr>
    </w:p>
    <w:p w14:paraId="03D18CF8" w14:textId="3BF3C0E8" w:rsidR="005608B2" w:rsidRPr="00443A23" w:rsidRDefault="003032A8" w:rsidP="0002686E">
      <w:pPr>
        <w:spacing w:after="0" w:line="360" w:lineRule="auto"/>
        <w:jc w:val="both"/>
        <w:rPr>
          <w:rFonts w:ascii="Book Antiqua" w:hAnsi="Book Antiqua"/>
          <w:sz w:val="24"/>
          <w:szCs w:val="24"/>
        </w:rPr>
      </w:pPr>
      <w:r w:rsidRPr="00443A23">
        <w:rPr>
          <w:rFonts w:ascii="Book Antiqua" w:hAnsi="Book Antiqua"/>
          <w:b/>
          <w:sz w:val="24"/>
          <w:szCs w:val="24"/>
        </w:rPr>
        <w:t xml:space="preserve">Lee </w:t>
      </w:r>
      <w:r w:rsidR="006D00F7" w:rsidRPr="00443A23">
        <w:rPr>
          <w:rFonts w:ascii="Book Antiqua" w:hAnsi="Book Antiqua"/>
          <w:b/>
          <w:sz w:val="24"/>
          <w:szCs w:val="24"/>
        </w:rPr>
        <w:t>Sutton</w:t>
      </w:r>
      <w:r w:rsidR="006D00F7" w:rsidRPr="00443A23">
        <w:rPr>
          <w:rFonts w:ascii="Book Antiqua" w:hAnsi="Book Antiqua"/>
          <w:b/>
          <w:sz w:val="24"/>
          <w:szCs w:val="24"/>
          <w:lang w:eastAsia="zh-CN"/>
        </w:rPr>
        <w:t xml:space="preserve">, </w:t>
      </w:r>
      <w:r w:rsidR="005608B2" w:rsidRPr="00443A23">
        <w:rPr>
          <w:rFonts w:ascii="Book Antiqua" w:hAnsi="Book Antiqua"/>
          <w:sz w:val="24"/>
          <w:szCs w:val="24"/>
        </w:rPr>
        <w:t>Department of Newborn Care, Royal Hospital for Women, Randwick NSW 2031, Australia</w:t>
      </w:r>
    </w:p>
    <w:p w14:paraId="1919C629" w14:textId="77777777" w:rsidR="00E539AC" w:rsidRPr="00443A23" w:rsidRDefault="00E539AC" w:rsidP="0002686E">
      <w:pPr>
        <w:spacing w:after="0" w:line="360" w:lineRule="auto"/>
        <w:jc w:val="both"/>
        <w:rPr>
          <w:rFonts w:ascii="Book Antiqua" w:hAnsi="Book Antiqua"/>
          <w:sz w:val="24"/>
          <w:szCs w:val="24"/>
        </w:rPr>
      </w:pPr>
    </w:p>
    <w:p w14:paraId="0CD3D1FD" w14:textId="6A1F3EB4" w:rsidR="00E539AC" w:rsidRPr="00443A23" w:rsidRDefault="006D00F7" w:rsidP="0002686E">
      <w:pPr>
        <w:spacing w:after="0" w:line="360" w:lineRule="auto"/>
        <w:jc w:val="both"/>
        <w:rPr>
          <w:rFonts w:ascii="Book Antiqua" w:hAnsi="Book Antiqua"/>
          <w:b/>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bookmarkStart w:id="12" w:name="OLE_LINK581"/>
      <w:r w:rsidRPr="00443A23">
        <w:rPr>
          <w:rFonts w:ascii="Book Antiqua" w:eastAsia="MS Mincho" w:hAnsi="Book Antiqua"/>
          <w:b/>
          <w:sz w:val="24"/>
          <w:szCs w:val="24"/>
          <w:lang w:eastAsia="ja-JP"/>
        </w:rPr>
        <w:t>Author contributions:</w:t>
      </w:r>
      <w:bookmarkEnd w:id="3"/>
      <w:bookmarkEnd w:id="4"/>
      <w:bookmarkEnd w:id="5"/>
      <w:bookmarkEnd w:id="6"/>
      <w:bookmarkEnd w:id="7"/>
      <w:bookmarkEnd w:id="8"/>
      <w:bookmarkEnd w:id="9"/>
      <w:bookmarkEnd w:id="10"/>
      <w:bookmarkEnd w:id="11"/>
      <w:bookmarkEnd w:id="12"/>
      <w:r w:rsidRPr="00443A23">
        <w:rPr>
          <w:rFonts w:ascii="Book Antiqua" w:hAnsi="Book Antiqua"/>
          <w:b/>
          <w:sz w:val="24"/>
          <w:szCs w:val="24"/>
          <w:lang w:eastAsia="zh-CN"/>
        </w:rPr>
        <w:t xml:space="preserve"> </w:t>
      </w:r>
      <w:r w:rsidR="00E539AC" w:rsidRPr="00443A23">
        <w:rPr>
          <w:rFonts w:ascii="Book Antiqua" w:hAnsi="Book Antiqua"/>
          <w:sz w:val="24"/>
          <w:szCs w:val="24"/>
        </w:rPr>
        <w:t xml:space="preserve">All authors contributed to the conception of the work, </w:t>
      </w:r>
      <w:r w:rsidR="00B33CC3" w:rsidRPr="00443A23">
        <w:rPr>
          <w:rFonts w:ascii="Book Antiqua" w:hAnsi="Book Antiqua"/>
          <w:sz w:val="24"/>
          <w:szCs w:val="24"/>
        </w:rPr>
        <w:t>interpretation</w:t>
      </w:r>
      <w:r w:rsidR="00E539AC" w:rsidRPr="00443A23">
        <w:rPr>
          <w:rFonts w:ascii="Book Antiqua" w:hAnsi="Book Antiqua"/>
          <w:sz w:val="24"/>
          <w:szCs w:val="24"/>
        </w:rPr>
        <w:t xml:space="preserve"> of data, and drafting and/or revision of final manuscript</w:t>
      </w:r>
    </w:p>
    <w:p w14:paraId="352B8824" w14:textId="77777777" w:rsidR="00E539AC" w:rsidRPr="00443A23" w:rsidRDefault="00E539AC" w:rsidP="0002686E">
      <w:pPr>
        <w:spacing w:after="0" w:line="360" w:lineRule="auto"/>
        <w:jc w:val="both"/>
        <w:rPr>
          <w:rFonts w:ascii="Book Antiqua" w:hAnsi="Book Antiqua"/>
          <w:sz w:val="24"/>
          <w:szCs w:val="24"/>
        </w:rPr>
      </w:pPr>
    </w:p>
    <w:p w14:paraId="62128D84" w14:textId="69B2BA48" w:rsidR="00E103F9" w:rsidRPr="00443A23" w:rsidRDefault="00E103F9" w:rsidP="0002686E">
      <w:pPr>
        <w:autoSpaceDE w:val="0"/>
        <w:autoSpaceDN w:val="0"/>
        <w:adjustRightInd w:val="0"/>
        <w:spacing w:after="0" w:line="360" w:lineRule="auto"/>
        <w:jc w:val="both"/>
        <w:rPr>
          <w:rFonts w:ascii="Book Antiqua" w:hAnsi="Book Antiqua"/>
          <w:sz w:val="24"/>
          <w:szCs w:val="24"/>
          <w:lang w:eastAsia="zh-CN"/>
        </w:rPr>
      </w:pPr>
      <w:bookmarkStart w:id="13" w:name="OLE_LINK526"/>
      <w:bookmarkStart w:id="14" w:name="OLE_LINK527"/>
      <w:r w:rsidRPr="00443A23">
        <w:rPr>
          <w:rFonts w:ascii="Book Antiqua" w:hAnsi="Book Antiqua" w:cs="TimesNewRomanPS-BoldItalicMT"/>
          <w:b/>
          <w:bCs/>
          <w:iCs/>
          <w:sz w:val="24"/>
          <w:szCs w:val="24"/>
        </w:rPr>
        <w:t>Conflict-of-interest</w:t>
      </w:r>
      <w:r w:rsidRPr="00443A23">
        <w:rPr>
          <w:rFonts w:ascii="Book Antiqua" w:hAnsi="Book Antiqua"/>
          <w:b/>
          <w:bCs/>
          <w:iCs/>
          <w:sz w:val="24"/>
          <w:szCs w:val="24"/>
        </w:rPr>
        <w:t xml:space="preserve"> statement</w:t>
      </w:r>
      <w:r w:rsidRPr="00443A23">
        <w:rPr>
          <w:rFonts w:ascii="Book Antiqua" w:hAnsi="Book Antiqua" w:cs="TimesNewRomanPS-BoldItalicMT"/>
          <w:b/>
          <w:bCs/>
          <w:iCs/>
          <w:sz w:val="24"/>
          <w:szCs w:val="24"/>
        </w:rPr>
        <w:t>:</w:t>
      </w:r>
      <w:r w:rsidR="006D00F7" w:rsidRPr="00443A23">
        <w:rPr>
          <w:rFonts w:ascii="Book Antiqua" w:hAnsi="Book Antiqua" w:cs="TimesNewRomanPS-BoldItalicMT"/>
          <w:b/>
          <w:bCs/>
          <w:iCs/>
          <w:sz w:val="24"/>
          <w:szCs w:val="24"/>
          <w:lang w:eastAsia="zh-CN"/>
        </w:rPr>
        <w:t xml:space="preserve"> </w:t>
      </w:r>
      <w:r w:rsidR="006D00F7" w:rsidRPr="00443A23">
        <w:rPr>
          <w:rFonts w:ascii="Book Antiqua" w:hAnsi="Book Antiqua"/>
          <w:sz w:val="24"/>
          <w:szCs w:val="24"/>
        </w:rPr>
        <w:t>No potential conflicts of interest relevant to this article were reported.</w:t>
      </w:r>
    </w:p>
    <w:p w14:paraId="08A144D6" w14:textId="77777777" w:rsidR="006D00F7" w:rsidRPr="00443A23" w:rsidRDefault="006D00F7" w:rsidP="0002686E">
      <w:pPr>
        <w:autoSpaceDE w:val="0"/>
        <w:autoSpaceDN w:val="0"/>
        <w:adjustRightInd w:val="0"/>
        <w:spacing w:after="0" w:line="360" w:lineRule="auto"/>
        <w:jc w:val="both"/>
        <w:rPr>
          <w:rFonts w:ascii="Book Antiqua" w:hAnsi="Book Antiqua" w:cs="TimesNewRomanPS-BoldItalicMT"/>
          <w:b/>
          <w:bCs/>
          <w:iCs/>
          <w:sz w:val="24"/>
          <w:szCs w:val="24"/>
          <w:lang w:eastAsia="zh-CN"/>
        </w:rPr>
      </w:pPr>
    </w:p>
    <w:p w14:paraId="34CBE174" w14:textId="77777777" w:rsidR="00E103F9" w:rsidRPr="00443A23" w:rsidRDefault="00E103F9" w:rsidP="0002686E">
      <w:pPr>
        <w:spacing w:after="0" w:line="360" w:lineRule="auto"/>
        <w:jc w:val="both"/>
        <w:rPr>
          <w:rFonts w:ascii="Book Antiqua" w:hAnsi="Book Antiqua"/>
          <w:b/>
          <w:sz w:val="24"/>
          <w:szCs w:val="24"/>
        </w:rPr>
      </w:pPr>
      <w:bookmarkStart w:id="15" w:name="OLE_LINK155"/>
      <w:bookmarkStart w:id="16" w:name="OLE_LINK183"/>
      <w:bookmarkStart w:id="17" w:name="OLE_LINK441"/>
      <w:bookmarkEnd w:id="13"/>
      <w:bookmarkEnd w:id="14"/>
      <w:r w:rsidRPr="00443A23">
        <w:rPr>
          <w:rFonts w:ascii="Book Antiqua" w:hAnsi="Book Antiqua"/>
          <w:b/>
          <w:sz w:val="24"/>
          <w:szCs w:val="24"/>
        </w:rPr>
        <w:t xml:space="preserve">Open-Access: </w:t>
      </w:r>
      <w:r w:rsidRPr="00443A23">
        <w:rPr>
          <w:rFonts w:ascii="Book Antiqua" w:hAnsi="Book Antiqua"/>
          <w:sz w:val="24"/>
          <w:szCs w:val="24"/>
        </w:rPr>
        <w:t xml:space="preserve">This article is an open-access </w:t>
      </w:r>
      <w:proofErr w:type="gramStart"/>
      <w:r w:rsidRPr="00443A23">
        <w:rPr>
          <w:rFonts w:ascii="Book Antiqua" w:hAnsi="Book Antiqua"/>
          <w:sz w:val="24"/>
          <w:szCs w:val="24"/>
        </w:rPr>
        <w:t>article which</w:t>
      </w:r>
      <w:proofErr w:type="gramEnd"/>
      <w:r w:rsidRPr="00443A23">
        <w:rPr>
          <w:rFonts w:ascii="Book Antiqua" w:hAnsi="Book Antiqua"/>
          <w:sz w:val="24"/>
          <w:szCs w:val="24"/>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443A23">
        <w:rPr>
          <w:rFonts w:ascii="Book Antiqua" w:hAnsi="Book Antiqua"/>
          <w:sz w:val="24"/>
          <w:szCs w:val="24"/>
        </w:rPr>
        <w:lastRenderedPageBreak/>
        <w:t>the original work is properly cited and the use is non-commercial. See: http://creativecommons.org/licenses/by-nc/4.0/</w:t>
      </w:r>
    </w:p>
    <w:bookmarkEnd w:id="15"/>
    <w:bookmarkEnd w:id="16"/>
    <w:bookmarkEnd w:id="17"/>
    <w:p w14:paraId="469FAF34" w14:textId="77777777" w:rsidR="00E103F9" w:rsidRPr="00443A23" w:rsidRDefault="00E103F9" w:rsidP="0002686E">
      <w:pPr>
        <w:spacing w:after="0" w:line="360" w:lineRule="auto"/>
        <w:jc w:val="both"/>
        <w:rPr>
          <w:rFonts w:ascii="Book Antiqua" w:hAnsi="Book Antiqua" w:cs="Arial Unicode MS"/>
          <w:sz w:val="24"/>
          <w:szCs w:val="24"/>
          <w:lang w:eastAsia="zh-CN"/>
        </w:rPr>
      </w:pPr>
    </w:p>
    <w:p w14:paraId="77114B0F" w14:textId="77777777" w:rsidR="00E103F9" w:rsidRPr="00443A23" w:rsidRDefault="00E103F9" w:rsidP="0002686E">
      <w:pPr>
        <w:spacing w:after="0" w:line="360" w:lineRule="auto"/>
        <w:jc w:val="both"/>
        <w:rPr>
          <w:rFonts w:ascii="Book Antiqua" w:hAnsi="Book Antiqua" w:cs="Arial Unicode MS"/>
          <w:sz w:val="24"/>
          <w:szCs w:val="24"/>
          <w:lang w:eastAsia="zh-CN"/>
        </w:rPr>
      </w:pPr>
      <w:r w:rsidRPr="00443A23">
        <w:rPr>
          <w:rFonts w:ascii="Book Antiqua" w:hAnsi="Book Antiqua" w:cs="Arial Unicode MS"/>
          <w:b/>
          <w:sz w:val="24"/>
          <w:szCs w:val="24"/>
        </w:rPr>
        <w:t>Manuscript source:</w:t>
      </w:r>
      <w:r w:rsidRPr="00443A23">
        <w:rPr>
          <w:rFonts w:ascii="Book Antiqua" w:hAnsi="Book Antiqua" w:cs="Arial Unicode MS"/>
          <w:sz w:val="24"/>
          <w:szCs w:val="24"/>
        </w:rPr>
        <w:t xml:space="preserve"> Invited manuscript</w:t>
      </w:r>
    </w:p>
    <w:p w14:paraId="50718FF1" w14:textId="77777777" w:rsidR="006D00F7" w:rsidRPr="00443A23" w:rsidRDefault="006D00F7" w:rsidP="0002686E">
      <w:pPr>
        <w:spacing w:after="0" w:line="360" w:lineRule="auto"/>
        <w:jc w:val="both"/>
        <w:rPr>
          <w:rFonts w:ascii="Book Antiqua" w:hAnsi="Book Antiqua" w:cs="Arial Unicode MS"/>
          <w:sz w:val="24"/>
          <w:szCs w:val="24"/>
          <w:lang w:eastAsia="zh-CN"/>
        </w:rPr>
      </w:pPr>
    </w:p>
    <w:p w14:paraId="69DA337D" w14:textId="15AC2C46" w:rsidR="004F5D39" w:rsidRPr="00443A23" w:rsidRDefault="00E103F9"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Correspondence to:</w:t>
      </w:r>
      <w:r w:rsidR="002B4F21" w:rsidRPr="00443A23">
        <w:rPr>
          <w:rFonts w:ascii="Book Antiqua" w:hAnsi="Book Antiqua"/>
          <w:b/>
          <w:sz w:val="24"/>
          <w:szCs w:val="24"/>
        </w:rPr>
        <w:t xml:space="preserve"> </w:t>
      </w:r>
      <w:proofErr w:type="spellStart"/>
      <w:r w:rsidR="002B4F21" w:rsidRPr="00443A23">
        <w:rPr>
          <w:rFonts w:ascii="Book Antiqua" w:hAnsi="Book Antiqua"/>
          <w:b/>
          <w:sz w:val="24"/>
          <w:szCs w:val="24"/>
        </w:rPr>
        <w:t>Dr</w:t>
      </w:r>
      <w:r w:rsidR="006D00F7" w:rsidRPr="00443A23">
        <w:rPr>
          <w:rFonts w:ascii="Book Antiqua" w:hAnsi="Book Antiqua"/>
          <w:b/>
          <w:sz w:val="24"/>
          <w:szCs w:val="24"/>
          <w:lang w:eastAsia="zh-CN"/>
        </w:rPr>
        <w:t>.</w:t>
      </w:r>
      <w:proofErr w:type="spellEnd"/>
      <w:r w:rsidR="002B4F21" w:rsidRPr="00443A23">
        <w:rPr>
          <w:rFonts w:ascii="Book Antiqua" w:hAnsi="Book Antiqua"/>
          <w:b/>
          <w:sz w:val="24"/>
          <w:szCs w:val="24"/>
        </w:rPr>
        <w:t xml:space="preserve"> </w:t>
      </w:r>
      <w:proofErr w:type="spellStart"/>
      <w:r w:rsidR="002B4F21" w:rsidRPr="00443A23">
        <w:rPr>
          <w:rFonts w:ascii="Book Antiqua" w:hAnsi="Book Antiqua"/>
          <w:b/>
          <w:sz w:val="24"/>
          <w:szCs w:val="24"/>
        </w:rPr>
        <w:t>Us</w:t>
      </w:r>
      <w:r w:rsidR="004F5D39" w:rsidRPr="00443A23">
        <w:rPr>
          <w:rFonts w:ascii="Book Antiqua" w:hAnsi="Book Antiqua"/>
          <w:b/>
          <w:sz w:val="24"/>
          <w:szCs w:val="24"/>
        </w:rPr>
        <w:t>ha</w:t>
      </w:r>
      <w:proofErr w:type="spellEnd"/>
      <w:r w:rsidR="004F5D39" w:rsidRPr="00443A23">
        <w:rPr>
          <w:rFonts w:ascii="Book Antiqua" w:hAnsi="Book Antiqua"/>
          <w:b/>
          <w:sz w:val="24"/>
          <w:szCs w:val="24"/>
        </w:rPr>
        <w:t xml:space="preserve"> Krishnan,</w:t>
      </w:r>
      <w:r w:rsidR="006D00F7" w:rsidRPr="00443A23">
        <w:rPr>
          <w:rFonts w:ascii="Book Antiqua" w:hAnsi="Book Antiqua"/>
          <w:sz w:val="24"/>
          <w:szCs w:val="24"/>
        </w:rPr>
        <w:t xml:space="preserve"> Department of Paediatric Gastroenterology, Sydney Children’s Hospital,</w:t>
      </w:r>
      <w:r w:rsidR="004F5D39" w:rsidRPr="00443A23">
        <w:rPr>
          <w:rFonts w:ascii="Book Antiqua" w:hAnsi="Book Antiqua"/>
          <w:sz w:val="24"/>
          <w:szCs w:val="24"/>
        </w:rPr>
        <w:t xml:space="preserve"> High Street, Randwick NSW 2031, Australia</w:t>
      </w:r>
      <w:r w:rsidR="003032A8" w:rsidRPr="00443A23">
        <w:rPr>
          <w:rFonts w:ascii="Book Antiqua" w:hAnsi="Book Antiqua"/>
          <w:sz w:val="24"/>
          <w:szCs w:val="24"/>
          <w:lang w:eastAsia="zh-CN"/>
        </w:rPr>
        <w:t xml:space="preserve">. </w:t>
      </w:r>
      <w:proofErr w:type="gramStart"/>
      <w:r w:rsidR="003032A8" w:rsidRPr="00443A23">
        <w:rPr>
          <w:rFonts w:ascii="Book Antiqua" w:hAnsi="Book Antiqua"/>
          <w:sz w:val="24"/>
          <w:szCs w:val="24"/>
          <w:lang w:eastAsia="zh-CN"/>
        </w:rPr>
        <w:t>usha.krishnan@sesiahs.health.nsw.gov.au</w:t>
      </w:r>
      <w:proofErr w:type="gramEnd"/>
    </w:p>
    <w:p w14:paraId="583F2D9D" w14:textId="30205BD0" w:rsidR="006D00F7" w:rsidRPr="00443A23" w:rsidRDefault="00E103F9" w:rsidP="0002686E">
      <w:pPr>
        <w:spacing w:after="0" w:line="360" w:lineRule="auto"/>
        <w:jc w:val="both"/>
        <w:rPr>
          <w:rFonts w:ascii="Book Antiqua" w:hAnsi="Book Antiqua"/>
          <w:b/>
          <w:sz w:val="24"/>
          <w:szCs w:val="24"/>
          <w:lang w:eastAsia="zh-CN"/>
        </w:rPr>
      </w:pPr>
      <w:r w:rsidRPr="00443A23">
        <w:rPr>
          <w:rFonts w:ascii="Book Antiqua" w:hAnsi="Book Antiqua"/>
          <w:b/>
          <w:sz w:val="24"/>
          <w:szCs w:val="24"/>
        </w:rPr>
        <w:t xml:space="preserve">Telephone: </w:t>
      </w:r>
      <w:r w:rsidR="004F5D39" w:rsidRPr="00443A23">
        <w:rPr>
          <w:rFonts w:ascii="Book Antiqua" w:hAnsi="Book Antiqua"/>
          <w:sz w:val="24"/>
          <w:szCs w:val="24"/>
        </w:rPr>
        <w:t>+61</w:t>
      </w:r>
      <w:r w:rsidR="003032A8" w:rsidRPr="00443A23">
        <w:rPr>
          <w:rFonts w:ascii="Book Antiqua" w:hAnsi="Book Antiqua"/>
          <w:sz w:val="24"/>
          <w:szCs w:val="24"/>
          <w:lang w:eastAsia="zh-CN"/>
        </w:rPr>
        <w:t>-</w:t>
      </w:r>
      <w:r w:rsidR="004F5D39" w:rsidRPr="00443A23">
        <w:rPr>
          <w:rFonts w:ascii="Book Antiqua" w:hAnsi="Book Antiqua"/>
          <w:sz w:val="24"/>
          <w:szCs w:val="24"/>
        </w:rPr>
        <w:t>2</w:t>
      </w:r>
      <w:r w:rsidR="003032A8" w:rsidRPr="00443A23">
        <w:rPr>
          <w:rFonts w:ascii="Book Antiqua" w:hAnsi="Book Antiqua"/>
          <w:sz w:val="24"/>
          <w:szCs w:val="24"/>
          <w:lang w:eastAsia="zh-CN"/>
        </w:rPr>
        <w:t>-</w:t>
      </w:r>
      <w:r w:rsidR="003032A8" w:rsidRPr="00443A23">
        <w:rPr>
          <w:rFonts w:ascii="Book Antiqua" w:hAnsi="Book Antiqua"/>
          <w:sz w:val="24"/>
          <w:szCs w:val="24"/>
        </w:rPr>
        <w:t>9382</w:t>
      </w:r>
      <w:r w:rsidR="004F5D39" w:rsidRPr="00443A23">
        <w:rPr>
          <w:rFonts w:ascii="Book Antiqua" w:hAnsi="Book Antiqua"/>
          <w:sz w:val="24"/>
          <w:szCs w:val="24"/>
        </w:rPr>
        <w:t>1752</w:t>
      </w:r>
      <w:r w:rsidRPr="00443A23">
        <w:rPr>
          <w:rFonts w:ascii="Book Antiqua" w:hAnsi="Book Antiqua"/>
          <w:b/>
          <w:sz w:val="24"/>
          <w:szCs w:val="24"/>
        </w:rPr>
        <w:t xml:space="preserve">         </w:t>
      </w:r>
    </w:p>
    <w:p w14:paraId="66FA157D" w14:textId="6C57C87E" w:rsidR="00E103F9" w:rsidRPr="00443A23" w:rsidRDefault="00E103F9"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 xml:space="preserve">Fax: </w:t>
      </w:r>
      <w:bookmarkStart w:id="18" w:name="OLE_LINK260"/>
      <w:bookmarkStart w:id="19" w:name="OLE_LINK262"/>
      <w:r w:rsidR="004F5D39" w:rsidRPr="00443A23">
        <w:rPr>
          <w:rFonts w:ascii="Book Antiqua" w:hAnsi="Book Antiqua"/>
          <w:sz w:val="24"/>
          <w:szCs w:val="24"/>
        </w:rPr>
        <w:t>+61</w:t>
      </w:r>
      <w:r w:rsidR="003032A8" w:rsidRPr="00443A23">
        <w:rPr>
          <w:rFonts w:ascii="Book Antiqua" w:hAnsi="Book Antiqua"/>
          <w:sz w:val="24"/>
          <w:szCs w:val="24"/>
          <w:lang w:eastAsia="zh-CN"/>
        </w:rPr>
        <w:t>-</w:t>
      </w:r>
      <w:r w:rsidR="004F5D39" w:rsidRPr="00443A23">
        <w:rPr>
          <w:rFonts w:ascii="Book Antiqua" w:hAnsi="Book Antiqua"/>
          <w:sz w:val="24"/>
          <w:szCs w:val="24"/>
        </w:rPr>
        <w:t>2</w:t>
      </w:r>
      <w:r w:rsidR="003032A8" w:rsidRPr="00443A23">
        <w:rPr>
          <w:rFonts w:ascii="Book Antiqua" w:hAnsi="Book Antiqua"/>
          <w:sz w:val="24"/>
          <w:szCs w:val="24"/>
          <w:lang w:eastAsia="zh-CN"/>
        </w:rPr>
        <w:t>-</w:t>
      </w:r>
      <w:r w:rsidR="003032A8" w:rsidRPr="00443A23">
        <w:rPr>
          <w:rFonts w:ascii="Book Antiqua" w:hAnsi="Book Antiqua"/>
          <w:sz w:val="24"/>
          <w:szCs w:val="24"/>
        </w:rPr>
        <w:t>9382</w:t>
      </w:r>
      <w:r w:rsidR="004F5D39" w:rsidRPr="00443A23">
        <w:rPr>
          <w:rFonts w:ascii="Book Antiqua" w:hAnsi="Book Antiqua"/>
          <w:sz w:val="24"/>
          <w:szCs w:val="24"/>
        </w:rPr>
        <w:t>1753</w:t>
      </w:r>
    </w:p>
    <w:bookmarkEnd w:id="18"/>
    <w:bookmarkEnd w:id="19"/>
    <w:p w14:paraId="23173EA5" w14:textId="77777777" w:rsidR="00E103F9" w:rsidRPr="00443A23" w:rsidRDefault="00E103F9" w:rsidP="0002686E">
      <w:pPr>
        <w:spacing w:after="0" w:line="360" w:lineRule="auto"/>
        <w:jc w:val="both"/>
        <w:rPr>
          <w:rFonts w:ascii="Book Antiqua" w:hAnsi="Book Antiqua"/>
          <w:b/>
          <w:sz w:val="24"/>
          <w:szCs w:val="24"/>
        </w:rPr>
      </w:pPr>
    </w:p>
    <w:p w14:paraId="4DCAF870" w14:textId="7EB381CE" w:rsidR="00E103F9" w:rsidRPr="00443A23" w:rsidRDefault="00E103F9" w:rsidP="0002686E">
      <w:pPr>
        <w:spacing w:after="0" w:line="360" w:lineRule="auto"/>
        <w:jc w:val="both"/>
        <w:rPr>
          <w:rFonts w:ascii="Book Antiqua" w:hAnsi="Book Antiqua"/>
          <w:b/>
          <w:sz w:val="24"/>
          <w:szCs w:val="24"/>
          <w:lang w:eastAsia="zh-CN"/>
        </w:rPr>
      </w:pPr>
      <w:bookmarkStart w:id="20" w:name="OLE_LINK476"/>
      <w:bookmarkStart w:id="21" w:name="OLE_LINK477"/>
      <w:bookmarkStart w:id="22" w:name="OLE_LINK117"/>
      <w:bookmarkStart w:id="23" w:name="OLE_LINK528"/>
      <w:bookmarkStart w:id="24" w:name="OLE_LINK557"/>
      <w:r w:rsidRPr="00443A23">
        <w:rPr>
          <w:rFonts w:ascii="Book Antiqua" w:hAnsi="Book Antiqua"/>
          <w:b/>
          <w:sz w:val="24"/>
          <w:szCs w:val="24"/>
        </w:rPr>
        <w:t>Received:</w:t>
      </w:r>
      <w:r w:rsidR="003032A8" w:rsidRPr="00443A23">
        <w:rPr>
          <w:rFonts w:ascii="Book Antiqua" w:hAnsi="Book Antiqua"/>
          <w:b/>
          <w:sz w:val="24"/>
          <w:szCs w:val="24"/>
          <w:lang w:eastAsia="zh-CN"/>
        </w:rPr>
        <w:t xml:space="preserve"> </w:t>
      </w:r>
      <w:r w:rsidR="003032A8" w:rsidRPr="00443A23">
        <w:rPr>
          <w:rFonts w:ascii="Book Antiqua" w:hAnsi="Book Antiqua"/>
          <w:sz w:val="24"/>
          <w:szCs w:val="24"/>
          <w:lang w:eastAsia="zh-CN"/>
        </w:rPr>
        <w:t>April 6, 2016</w:t>
      </w:r>
    </w:p>
    <w:p w14:paraId="7EA9B8E0" w14:textId="74941CD9" w:rsidR="00E103F9" w:rsidRPr="00443A23" w:rsidRDefault="00E103F9" w:rsidP="0002686E">
      <w:pPr>
        <w:spacing w:after="0" w:line="360" w:lineRule="auto"/>
        <w:jc w:val="both"/>
        <w:rPr>
          <w:rFonts w:ascii="Book Antiqua" w:hAnsi="Book Antiqua"/>
          <w:b/>
          <w:sz w:val="24"/>
          <w:szCs w:val="24"/>
          <w:lang w:eastAsia="zh-CN"/>
        </w:rPr>
      </w:pPr>
      <w:r w:rsidRPr="00443A23">
        <w:rPr>
          <w:rFonts w:ascii="Book Antiqua" w:hAnsi="Book Antiqua"/>
          <w:b/>
          <w:sz w:val="24"/>
          <w:szCs w:val="24"/>
        </w:rPr>
        <w:t>Peer-review started:</w:t>
      </w:r>
      <w:r w:rsidR="003032A8" w:rsidRPr="00443A23">
        <w:rPr>
          <w:rFonts w:ascii="Book Antiqua" w:hAnsi="Book Antiqua"/>
          <w:b/>
          <w:sz w:val="24"/>
          <w:szCs w:val="24"/>
          <w:lang w:eastAsia="zh-CN"/>
        </w:rPr>
        <w:t xml:space="preserve"> </w:t>
      </w:r>
      <w:r w:rsidR="003032A8" w:rsidRPr="00443A23">
        <w:rPr>
          <w:rFonts w:ascii="Book Antiqua" w:hAnsi="Book Antiqua"/>
          <w:sz w:val="24"/>
          <w:szCs w:val="24"/>
          <w:lang w:eastAsia="zh-CN"/>
        </w:rPr>
        <w:t>April 7, 2016</w:t>
      </w:r>
    </w:p>
    <w:p w14:paraId="5026618F" w14:textId="7123A831" w:rsidR="00E103F9" w:rsidRPr="00443A23" w:rsidRDefault="00E103F9"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First decision:</w:t>
      </w:r>
      <w:r w:rsidR="003032A8" w:rsidRPr="00443A23">
        <w:rPr>
          <w:rFonts w:ascii="Book Antiqua" w:hAnsi="Book Antiqua"/>
          <w:sz w:val="24"/>
          <w:szCs w:val="24"/>
          <w:lang w:eastAsia="zh-CN"/>
        </w:rPr>
        <w:t xml:space="preserve"> June 6, 2016</w:t>
      </w:r>
    </w:p>
    <w:p w14:paraId="6B799246" w14:textId="7FF84746" w:rsidR="00E103F9" w:rsidRPr="00443A23" w:rsidRDefault="00E103F9" w:rsidP="0002686E">
      <w:pPr>
        <w:spacing w:after="0" w:line="360" w:lineRule="auto"/>
        <w:jc w:val="both"/>
        <w:rPr>
          <w:rFonts w:ascii="Book Antiqua" w:hAnsi="Book Antiqua"/>
          <w:sz w:val="24"/>
          <w:szCs w:val="24"/>
          <w:lang w:eastAsia="zh-CN"/>
        </w:rPr>
      </w:pPr>
      <w:r w:rsidRPr="00443A23">
        <w:rPr>
          <w:rFonts w:ascii="Book Antiqua" w:hAnsi="Book Antiqua"/>
          <w:b/>
          <w:sz w:val="24"/>
          <w:szCs w:val="24"/>
        </w:rPr>
        <w:t>Revised:</w:t>
      </w:r>
      <w:r w:rsidR="003032A8" w:rsidRPr="00443A23">
        <w:rPr>
          <w:rFonts w:ascii="Book Antiqua" w:hAnsi="Book Antiqua"/>
          <w:b/>
          <w:sz w:val="24"/>
          <w:szCs w:val="24"/>
          <w:lang w:eastAsia="zh-CN"/>
        </w:rPr>
        <w:t xml:space="preserve"> </w:t>
      </w:r>
      <w:r w:rsidR="003032A8" w:rsidRPr="00443A23">
        <w:rPr>
          <w:rFonts w:ascii="Book Antiqua" w:hAnsi="Book Antiqua"/>
          <w:sz w:val="24"/>
          <w:szCs w:val="24"/>
          <w:lang w:eastAsia="zh-CN"/>
        </w:rPr>
        <w:t>July 16, 2016</w:t>
      </w:r>
    </w:p>
    <w:p w14:paraId="31ED73C7" w14:textId="6F1E3F4E" w:rsidR="00E103F9" w:rsidRPr="002D44B1" w:rsidRDefault="00E103F9" w:rsidP="002D44B1">
      <w:pPr>
        <w:rPr>
          <w:rFonts w:ascii="Book Antiqua" w:hAnsi="Book Antiqua"/>
          <w:iCs/>
          <w:sz w:val="24"/>
        </w:rPr>
      </w:pPr>
      <w:r w:rsidRPr="00443A23">
        <w:rPr>
          <w:rFonts w:ascii="Book Antiqua" w:hAnsi="Book Antiqua"/>
          <w:b/>
          <w:sz w:val="24"/>
          <w:szCs w:val="24"/>
        </w:rPr>
        <w:t xml:space="preserve">Accepted: </w:t>
      </w:r>
      <w:r w:rsidR="002D44B1">
        <w:rPr>
          <w:rStyle w:val="Emphasis"/>
        </w:rPr>
        <w:t>August 6</w:t>
      </w:r>
      <w:r w:rsidR="002D44B1" w:rsidRPr="00235CD4">
        <w:rPr>
          <w:rStyle w:val="Emphasis"/>
        </w:rPr>
        <w:t>,</w:t>
      </w:r>
      <w:r w:rsidR="002D44B1">
        <w:rPr>
          <w:rStyle w:val="Emphasis"/>
        </w:rPr>
        <w:t xml:space="preserve"> 2016</w:t>
      </w:r>
    </w:p>
    <w:p w14:paraId="7D7F65F1" w14:textId="77777777" w:rsidR="00E103F9" w:rsidRPr="00443A23" w:rsidRDefault="00E103F9" w:rsidP="0002686E">
      <w:pPr>
        <w:spacing w:after="0" w:line="360" w:lineRule="auto"/>
        <w:jc w:val="both"/>
        <w:rPr>
          <w:rFonts w:ascii="Book Antiqua" w:hAnsi="Book Antiqua"/>
          <w:b/>
          <w:sz w:val="24"/>
          <w:szCs w:val="24"/>
        </w:rPr>
      </w:pPr>
      <w:r w:rsidRPr="00443A23">
        <w:rPr>
          <w:rFonts w:ascii="Book Antiqua" w:hAnsi="Book Antiqua"/>
          <w:b/>
          <w:sz w:val="24"/>
          <w:szCs w:val="24"/>
        </w:rPr>
        <w:t>Article in press:</w:t>
      </w:r>
    </w:p>
    <w:p w14:paraId="1B76C7CA" w14:textId="77777777" w:rsidR="00E103F9" w:rsidRPr="00443A23" w:rsidRDefault="00E103F9" w:rsidP="0002686E">
      <w:pPr>
        <w:spacing w:after="0" w:line="360" w:lineRule="auto"/>
        <w:jc w:val="both"/>
        <w:rPr>
          <w:rFonts w:ascii="Book Antiqua" w:hAnsi="Book Antiqua"/>
          <w:b/>
          <w:sz w:val="24"/>
          <w:szCs w:val="24"/>
        </w:rPr>
      </w:pPr>
      <w:r w:rsidRPr="00443A23">
        <w:rPr>
          <w:rFonts w:ascii="Book Antiqua" w:hAnsi="Book Antiqua"/>
          <w:b/>
          <w:sz w:val="24"/>
          <w:szCs w:val="24"/>
        </w:rPr>
        <w:t>Published online:</w:t>
      </w:r>
    </w:p>
    <w:bookmarkEnd w:id="20"/>
    <w:bookmarkEnd w:id="21"/>
    <w:bookmarkEnd w:id="22"/>
    <w:bookmarkEnd w:id="23"/>
    <w:bookmarkEnd w:id="24"/>
    <w:p w14:paraId="1431A752" w14:textId="77777777" w:rsidR="00E103F9" w:rsidRPr="00443A23" w:rsidRDefault="00E103F9" w:rsidP="0002686E">
      <w:pPr>
        <w:spacing w:after="0"/>
        <w:jc w:val="both"/>
        <w:rPr>
          <w:rFonts w:ascii="Book Antiqua" w:hAnsi="Book Antiqua"/>
          <w:b/>
          <w:sz w:val="24"/>
          <w:szCs w:val="24"/>
        </w:rPr>
      </w:pPr>
      <w:r w:rsidRPr="00443A23">
        <w:rPr>
          <w:rFonts w:ascii="Book Antiqua" w:hAnsi="Book Antiqua"/>
          <w:b/>
          <w:sz w:val="24"/>
          <w:szCs w:val="24"/>
        </w:rPr>
        <w:br w:type="page"/>
      </w:r>
    </w:p>
    <w:p w14:paraId="4FECBE4B" w14:textId="2DB60AB0" w:rsidR="00E61FA1" w:rsidRPr="00443A23" w:rsidRDefault="00E61FA1" w:rsidP="0002686E">
      <w:pPr>
        <w:widowControl w:val="0"/>
        <w:adjustRightInd w:val="0"/>
        <w:spacing w:after="0" w:line="360" w:lineRule="auto"/>
        <w:jc w:val="both"/>
        <w:rPr>
          <w:rFonts w:ascii="Book Antiqua" w:hAnsi="Book Antiqua"/>
          <w:b/>
          <w:sz w:val="24"/>
          <w:szCs w:val="24"/>
        </w:rPr>
      </w:pPr>
      <w:r w:rsidRPr="00443A23">
        <w:rPr>
          <w:rFonts w:ascii="Book Antiqua" w:hAnsi="Book Antiqua"/>
          <w:b/>
          <w:sz w:val="24"/>
          <w:szCs w:val="24"/>
        </w:rPr>
        <w:lastRenderedPageBreak/>
        <w:t>A</w:t>
      </w:r>
      <w:r w:rsidR="003032A8" w:rsidRPr="00443A23">
        <w:rPr>
          <w:rFonts w:ascii="Book Antiqua" w:hAnsi="Book Antiqua"/>
          <w:b/>
          <w:sz w:val="24"/>
          <w:szCs w:val="24"/>
        </w:rPr>
        <w:t>bstract</w:t>
      </w:r>
    </w:p>
    <w:p w14:paraId="484D245A" w14:textId="27DE1E13" w:rsidR="00E61FA1" w:rsidRPr="00443A23" w:rsidRDefault="00E61FA1" w:rsidP="0002686E">
      <w:pPr>
        <w:widowControl w:val="0"/>
        <w:adjustRightInd w:val="0"/>
        <w:spacing w:after="0" w:line="360" w:lineRule="auto"/>
        <w:jc w:val="both"/>
        <w:rPr>
          <w:rFonts w:ascii="Book Antiqua" w:hAnsi="Book Antiqua"/>
          <w:sz w:val="24"/>
          <w:szCs w:val="24"/>
        </w:rPr>
      </w:pPr>
      <w:proofErr w:type="spellStart"/>
      <w:r w:rsidRPr="00443A23">
        <w:rPr>
          <w:rFonts w:ascii="Book Antiqua" w:hAnsi="Book Antiqua"/>
          <w:sz w:val="24"/>
          <w:szCs w:val="24"/>
        </w:rPr>
        <w:t>Gastroesophageal</w:t>
      </w:r>
      <w:proofErr w:type="spellEnd"/>
      <w:r w:rsidRPr="00443A23">
        <w:rPr>
          <w:rFonts w:ascii="Book Antiqua" w:hAnsi="Book Antiqua"/>
          <w:sz w:val="24"/>
          <w:szCs w:val="24"/>
        </w:rPr>
        <w:t xml:space="preserve"> reflux is a common phenomenon in infants, but the differentiation between </w:t>
      </w:r>
      <w:proofErr w:type="spellStart"/>
      <w:r w:rsidRPr="00443A23">
        <w:rPr>
          <w:rFonts w:ascii="Book Antiqua" w:hAnsi="Book Antiqua"/>
          <w:sz w:val="24"/>
          <w:szCs w:val="24"/>
        </w:rPr>
        <w:t>gastroesophageal</w:t>
      </w:r>
      <w:proofErr w:type="spellEnd"/>
      <w:r w:rsidRPr="00443A23">
        <w:rPr>
          <w:rFonts w:ascii="Book Antiqua" w:hAnsi="Book Antiqua"/>
          <w:sz w:val="24"/>
          <w:szCs w:val="24"/>
        </w:rPr>
        <w:t xml:space="preserve"> reflux and </w:t>
      </w:r>
      <w:proofErr w:type="spellStart"/>
      <w:r w:rsidRPr="00443A23">
        <w:rPr>
          <w:rFonts w:ascii="Book Antiqua" w:hAnsi="Book Antiqua"/>
          <w:sz w:val="24"/>
          <w:szCs w:val="24"/>
        </w:rPr>
        <w:t>gastroesophageal</w:t>
      </w:r>
      <w:proofErr w:type="spellEnd"/>
      <w:r w:rsidRPr="00443A23">
        <w:rPr>
          <w:rFonts w:ascii="Book Antiqua" w:hAnsi="Book Antiqua"/>
          <w:sz w:val="24"/>
          <w:szCs w:val="24"/>
        </w:rPr>
        <w:t xml:space="preserve"> reflux disease can be difficult.  Symptoms are non-specific and there is increasing evidence that the majority of symptoms may not be acid-related.  Despite this, gastric acid inhibitors such as </w:t>
      </w:r>
      <w:r w:rsidR="003032A8" w:rsidRPr="00443A23">
        <w:rPr>
          <w:rFonts w:ascii="Book Antiqua" w:hAnsi="Book Antiqua"/>
          <w:sz w:val="24"/>
          <w:szCs w:val="24"/>
        </w:rPr>
        <w:t>proton pump inhibitors</w:t>
      </w:r>
      <w:r w:rsidR="003032A8" w:rsidRPr="00443A23">
        <w:rPr>
          <w:rFonts w:ascii="Book Antiqua" w:hAnsi="Book Antiqua"/>
          <w:sz w:val="24"/>
          <w:szCs w:val="24"/>
          <w:lang w:eastAsia="zh-CN"/>
        </w:rPr>
        <w:t xml:space="preserve"> </w:t>
      </w:r>
      <w:r w:rsidRPr="00443A23">
        <w:rPr>
          <w:rFonts w:ascii="Book Antiqua" w:hAnsi="Book Antiqua"/>
          <w:sz w:val="24"/>
          <w:szCs w:val="24"/>
        </w:rPr>
        <w:t xml:space="preserve">are widely and increasingly used, often without objective evidence or investigations to guide treatment.  Several studies have shown that these medications are ineffective at treating symptoms associated with reflux in the absence of </w:t>
      </w:r>
      <w:proofErr w:type="spellStart"/>
      <w:r w:rsidRPr="00443A23">
        <w:rPr>
          <w:rFonts w:ascii="Book Antiqua" w:hAnsi="Book Antiqua"/>
          <w:sz w:val="24"/>
          <w:szCs w:val="24"/>
        </w:rPr>
        <w:t>endos</w:t>
      </w:r>
      <w:r w:rsidR="00331EDC">
        <w:rPr>
          <w:rFonts w:ascii="Book Antiqua" w:hAnsi="Book Antiqua"/>
          <w:sz w:val="24"/>
          <w:szCs w:val="24"/>
        </w:rPr>
        <w:t>copically</w:t>
      </w:r>
      <w:proofErr w:type="spellEnd"/>
      <w:r w:rsidR="00331EDC">
        <w:rPr>
          <w:rFonts w:ascii="Book Antiqua" w:hAnsi="Book Antiqua"/>
          <w:sz w:val="24"/>
          <w:szCs w:val="24"/>
        </w:rPr>
        <w:t xml:space="preserve"> proven </w:t>
      </w:r>
      <w:proofErr w:type="spellStart"/>
      <w:r w:rsidR="00331EDC">
        <w:rPr>
          <w:rFonts w:ascii="Book Antiqua" w:hAnsi="Book Antiqua"/>
          <w:sz w:val="24"/>
          <w:szCs w:val="24"/>
        </w:rPr>
        <w:t>oesophagitis</w:t>
      </w:r>
      <w:proofErr w:type="spellEnd"/>
      <w:r w:rsidR="00331EDC">
        <w:rPr>
          <w:rFonts w:ascii="Book Antiqua" w:hAnsi="Book Antiqua"/>
          <w:sz w:val="24"/>
          <w:szCs w:val="24"/>
        </w:rPr>
        <w:t xml:space="preserve">. </w:t>
      </w:r>
      <w:r w:rsidRPr="00443A23">
        <w:rPr>
          <w:rFonts w:ascii="Book Antiqua" w:hAnsi="Book Antiqua"/>
          <w:sz w:val="24"/>
          <w:szCs w:val="24"/>
        </w:rPr>
        <w:t>They have also questioned previously assumed links between reflux and other symptoms and complications in preterm and term infants.</w:t>
      </w:r>
      <w:r w:rsidR="00E103F9" w:rsidRPr="00443A23">
        <w:rPr>
          <w:rFonts w:ascii="Book Antiqua" w:hAnsi="Book Antiqua"/>
          <w:sz w:val="24"/>
          <w:szCs w:val="24"/>
          <w:lang w:eastAsia="zh-CN"/>
        </w:rPr>
        <w:t xml:space="preserve"> </w:t>
      </w:r>
      <w:r w:rsidRPr="00443A23">
        <w:rPr>
          <w:rFonts w:ascii="Book Antiqua" w:hAnsi="Book Antiqua"/>
          <w:sz w:val="24"/>
          <w:szCs w:val="24"/>
        </w:rPr>
        <w:t xml:space="preserve">With a lack of evidence for efficacy, attention is now being turned to the potential risks of gastric acid suppression.  Previously assumed safety of these medications is being challenged with evidence of potential side effects including GI </w:t>
      </w:r>
      <w:r w:rsidR="00331EDC">
        <w:rPr>
          <w:rFonts w:ascii="Book Antiqua" w:hAnsi="Book Antiqua" w:hint="eastAsia"/>
          <w:sz w:val="24"/>
          <w:szCs w:val="24"/>
          <w:lang w:eastAsia="zh-CN"/>
        </w:rPr>
        <w:t>and</w:t>
      </w:r>
      <w:r w:rsidRPr="00443A23">
        <w:rPr>
          <w:rFonts w:ascii="Book Antiqua" w:hAnsi="Book Antiqua"/>
          <w:sz w:val="24"/>
          <w:szCs w:val="24"/>
        </w:rPr>
        <w:t xml:space="preserve"> respiratory infections, bacterial overgrowth, adverse bone health, food allergy and drug interactions.</w:t>
      </w:r>
    </w:p>
    <w:p w14:paraId="52787A1E" w14:textId="77777777" w:rsidR="00E61FA1" w:rsidRPr="00443A23" w:rsidRDefault="00E61FA1" w:rsidP="0002686E">
      <w:pPr>
        <w:spacing w:after="0" w:line="360" w:lineRule="auto"/>
        <w:jc w:val="both"/>
        <w:rPr>
          <w:rFonts w:ascii="Book Antiqua" w:hAnsi="Book Antiqua"/>
          <w:sz w:val="24"/>
          <w:szCs w:val="24"/>
        </w:rPr>
      </w:pPr>
    </w:p>
    <w:p w14:paraId="3F7460B3" w14:textId="39512D9D" w:rsidR="00E103F9" w:rsidRPr="00443A23" w:rsidRDefault="00E103F9" w:rsidP="0002686E">
      <w:pPr>
        <w:spacing w:after="0" w:line="360" w:lineRule="auto"/>
        <w:jc w:val="both"/>
        <w:rPr>
          <w:rFonts w:ascii="Book Antiqua" w:hAnsi="Book Antiqua" w:cs="Arial Unicode MS"/>
          <w:sz w:val="24"/>
          <w:szCs w:val="24"/>
          <w:lang w:eastAsia="zh-CN"/>
        </w:rPr>
      </w:pPr>
      <w:bookmarkStart w:id="25" w:name="OLE_LINK363"/>
      <w:bookmarkStart w:id="26" w:name="OLE_LINK364"/>
      <w:r w:rsidRPr="00443A23">
        <w:rPr>
          <w:rFonts w:ascii="Book Antiqua" w:eastAsia="Times New Roman" w:hAnsi="Book Antiqua" w:cs="Arial Unicode MS"/>
          <w:b/>
          <w:sz w:val="24"/>
          <w:szCs w:val="24"/>
        </w:rPr>
        <w:t>Key</w:t>
      </w:r>
      <w:r w:rsidR="003032A8" w:rsidRPr="00443A23">
        <w:rPr>
          <w:rFonts w:ascii="Book Antiqua" w:hAnsi="Book Antiqua" w:cs="Arial Unicode MS"/>
          <w:b/>
          <w:sz w:val="24"/>
          <w:szCs w:val="24"/>
          <w:lang w:eastAsia="zh-CN"/>
        </w:rPr>
        <w:t xml:space="preserve"> </w:t>
      </w:r>
      <w:r w:rsidRPr="00443A23">
        <w:rPr>
          <w:rFonts w:ascii="Book Antiqua" w:eastAsia="Times New Roman" w:hAnsi="Book Antiqua" w:cs="Arial Unicode MS"/>
          <w:b/>
          <w:sz w:val="24"/>
          <w:szCs w:val="24"/>
        </w:rPr>
        <w:t>words</w:t>
      </w:r>
      <w:r w:rsidR="003032A8" w:rsidRPr="00443A23">
        <w:rPr>
          <w:rFonts w:ascii="Book Antiqua" w:hAnsi="Book Antiqua" w:cs="Arial Unicode MS"/>
          <w:b/>
          <w:sz w:val="24"/>
          <w:szCs w:val="24"/>
          <w:lang w:eastAsia="zh-CN"/>
        </w:rPr>
        <w:t xml:space="preserve">: </w:t>
      </w:r>
      <w:proofErr w:type="spellStart"/>
      <w:r w:rsidR="003A1DE6" w:rsidRPr="00443A23">
        <w:rPr>
          <w:rFonts w:ascii="Book Antiqua" w:hAnsi="Book Antiqua" w:cs="Arial Unicode MS"/>
          <w:sz w:val="24"/>
          <w:szCs w:val="24"/>
        </w:rPr>
        <w:t>Gastroesophageal</w:t>
      </w:r>
      <w:proofErr w:type="spellEnd"/>
      <w:r w:rsidR="003A1DE6" w:rsidRPr="00443A23">
        <w:rPr>
          <w:rFonts w:ascii="Book Antiqua" w:hAnsi="Book Antiqua" w:cs="Arial Unicode MS"/>
          <w:sz w:val="24"/>
          <w:szCs w:val="24"/>
        </w:rPr>
        <w:t xml:space="preserve"> </w:t>
      </w:r>
      <w:r w:rsidR="003032A8" w:rsidRPr="00443A23">
        <w:rPr>
          <w:rFonts w:ascii="Book Antiqua" w:hAnsi="Book Antiqua" w:cs="Arial Unicode MS"/>
          <w:sz w:val="24"/>
          <w:szCs w:val="24"/>
        </w:rPr>
        <w:t>reflux</w:t>
      </w:r>
      <w:r w:rsidR="003032A8" w:rsidRPr="00443A23">
        <w:rPr>
          <w:rFonts w:ascii="Book Antiqua" w:hAnsi="Book Antiqua" w:cs="Arial Unicode MS"/>
          <w:sz w:val="24"/>
          <w:szCs w:val="24"/>
          <w:lang w:eastAsia="zh-CN"/>
        </w:rPr>
        <w:t>;</w:t>
      </w:r>
      <w:r w:rsidR="003A1DE6" w:rsidRPr="00443A23">
        <w:rPr>
          <w:rFonts w:ascii="Book Antiqua" w:hAnsi="Book Antiqua" w:cs="Arial Unicode MS"/>
          <w:sz w:val="24"/>
          <w:szCs w:val="24"/>
        </w:rPr>
        <w:t xml:space="preserve"> Infants</w:t>
      </w:r>
      <w:r w:rsidR="003032A8" w:rsidRPr="00443A23">
        <w:rPr>
          <w:rFonts w:ascii="Book Antiqua" w:hAnsi="Book Antiqua" w:cs="Arial Unicode MS"/>
          <w:sz w:val="24"/>
          <w:szCs w:val="24"/>
          <w:lang w:eastAsia="zh-CN"/>
        </w:rPr>
        <w:t>;</w:t>
      </w:r>
      <w:r w:rsidR="003A1DE6" w:rsidRPr="00443A23">
        <w:rPr>
          <w:rFonts w:ascii="Book Antiqua" w:hAnsi="Book Antiqua" w:cs="Arial Unicode MS"/>
          <w:sz w:val="24"/>
          <w:szCs w:val="24"/>
        </w:rPr>
        <w:t xml:space="preserve"> Proton </w:t>
      </w:r>
      <w:r w:rsidR="003032A8" w:rsidRPr="00443A23">
        <w:rPr>
          <w:rFonts w:ascii="Book Antiqua" w:hAnsi="Book Antiqua" w:cs="Arial Unicode MS"/>
          <w:sz w:val="24"/>
          <w:szCs w:val="24"/>
        </w:rPr>
        <w:t>pump inhib</w:t>
      </w:r>
      <w:r w:rsidR="003A1DE6" w:rsidRPr="00443A23">
        <w:rPr>
          <w:rFonts w:ascii="Book Antiqua" w:hAnsi="Book Antiqua" w:cs="Arial Unicode MS"/>
          <w:sz w:val="24"/>
          <w:szCs w:val="24"/>
        </w:rPr>
        <w:t>itors</w:t>
      </w:r>
      <w:r w:rsidR="003032A8" w:rsidRPr="00443A23">
        <w:rPr>
          <w:rFonts w:ascii="Book Antiqua" w:hAnsi="Book Antiqua" w:cs="Arial Unicode MS"/>
          <w:sz w:val="24"/>
          <w:szCs w:val="24"/>
          <w:lang w:eastAsia="zh-CN"/>
        </w:rPr>
        <w:t>;</w:t>
      </w:r>
      <w:r w:rsidR="003A1DE6" w:rsidRPr="00443A23">
        <w:rPr>
          <w:rFonts w:ascii="Book Antiqua" w:hAnsi="Book Antiqua" w:cs="Arial Unicode MS"/>
          <w:sz w:val="24"/>
          <w:szCs w:val="24"/>
        </w:rPr>
        <w:t xml:space="preserve"> Ranitidine</w:t>
      </w:r>
      <w:r w:rsidR="003032A8" w:rsidRPr="00443A23">
        <w:rPr>
          <w:rFonts w:ascii="Book Antiqua" w:hAnsi="Book Antiqua" w:cs="Arial Unicode MS"/>
          <w:sz w:val="24"/>
          <w:szCs w:val="24"/>
          <w:lang w:eastAsia="zh-CN"/>
        </w:rPr>
        <w:t>;</w:t>
      </w:r>
      <w:r w:rsidR="003A1DE6" w:rsidRPr="00443A23">
        <w:rPr>
          <w:rFonts w:ascii="Book Antiqua" w:hAnsi="Book Antiqua" w:cs="Arial Unicode MS"/>
          <w:sz w:val="24"/>
          <w:szCs w:val="24"/>
        </w:rPr>
        <w:t xml:space="preserve"> Safety</w:t>
      </w:r>
      <w:r w:rsidR="003032A8" w:rsidRPr="00443A23">
        <w:rPr>
          <w:rFonts w:ascii="Book Antiqua" w:hAnsi="Book Antiqua" w:cs="Arial Unicode MS"/>
          <w:sz w:val="24"/>
          <w:szCs w:val="24"/>
          <w:lang w:eastAsia="zh-CN"/>
        </w:rPr>
        <w:t>;</w:t>
      </w:r>
      <w:r w:rsidR="003A1DE6" w:rsidRPr="00443A23">
        <w:rPr>
          <w:rFonts w:ascii="Book Antiqua" w:hAnsi="Book Antiqua" w:cs="Arial Unicode MS"/>
          <w:sz w:val="24"/>
          <w:szCs w:val="24"/>
        </w:rPr>
        <w:t xml:space="preserve"> Adverse </w:t>
      </w:r>
      <w:r w:rsidR="003032A8" w:rsidRPr="00443A23">
        <w:rPr>
          <w:rFonts w:ascii="Book Antiqua" w:hAnsi="Book Antiqua" w:cs="Arial Unicode MS"/>
          <w:sz w:val="24"/>
          <w:szCs w:val="24"/>
        </w:rPr>
        <w:t>events</w:t>
      </w:r>
    </w:p>
    <w:p w14:paraId="7A4FA5A4" w14:textId="77777777" w:rsidR="003032A8" w:rsidRPr="00443A23" w:rsidRDefault="003032A8" w:rsidP="0002686E">
      <w:pPr>
        <w:spacing w:after="0" w:line="360" w:lineRule="auto"/>
        <w:jc w:val="both"/>
        <w:rPr>
          <w:rFonts w:ascii="Book Antiqua" w:hAnsi="Book Antiqua" w:cs="Arial Unicode MS"/>
          <w:b/>
          <w:sz w:val="24"/>
          <w:szCs w:val="24"/>
          <w:lang w:eastAsia="zh-CN"/>
        </w:rPr>
      </w:pPr>
    </w:p>
    <w:p w14:paraId="6EAE8286" w14:textId="77777777" w:rsidR="00E103F9" w:rsidRPr="00443A23" w:rsidRDefault="00E103F9" w:rsidP="0002686E">
      <w:pPr>
        <w:spacing w:after="0" w:line="360" w:lineRule="auto"/>
        <w:jc w:val="both"/>
        <w:rPr>
          <w:rFonts w:ascii="Book Antiqua" w:hAnsi="Book Antiqua" w:cs="Arial"/>
          <w:sz w:val="24"/>
          <w:szCs w:val="24"/>
        </w:rPr>
      </w:pPr>
      <w:bookmarkStart w:id="27" w:name="OLE_LINK55"/>
      <w:bookmarkStart w:id="28" w:name="OLE_LINK56"/>
      <w:bookmarkStart w:id="29" w:name="OLE_LINK105"/>
      <w:bookmarkStart w:id="30" w:name="OLE_LINK116"/>
      <w:bookmarkStart w:id="31" w:name="OLE_LINK89"/>
      <w:bookmarkStart w:id="32" w:name="OLE_LINK489"/>
      <w:bookmarkStart w:id="33" w:name="OLE_LINK490"/>
      <w:bookmarkStart w:id="34" w:name="OLE_LINK101"/>
      <w:bookmarkStart w:id="35" w:name="OLE_LINK107"/>
      <w:bookmarkStart w:id="36" w:name="OLE_LINK412"/>
      <w:bookmarkStart w:id="37" w:name="OLE_LINK413"/>
      <w:bookmarkStart w:id="38" w:name="OLE_LINK434"/>
      <w:bookmarkStart w:id="39" w:name="OLE_LINK442"/>
      <w:bookmarkStart w:id="40" w:name="OLE_LINK504"/>
      <w:bookmarkEnd w:id="25"/>
      <w:bookmarkEnd w:id="26"/>
      <w:proofErr w:type="gramStart"/>
      <w:r w:rsidRPr="00443A23">
        <w:rPr>
          <w:rFonts w:ascii="Book Antiqua" w:hAnsi="Book Antiqua"/>
          <w:b/>
          <w:sz w:val="24"/>
          <w:szCs w:val="24"/>
        </w:rPr>
        <w:t>©</w:t>
      </w:r>
      <w:bookmarkEnd w:id="27"/>
      <w:bookmarkEnd w:id="28"/>
      <w:r w:rsidRPr="00443A23">
        <w:rPr>
          <w:rFonts w:ascii="Book Antiqua" w:hAnsi="Book Antiqua"/>
          <w:b/>
          <w:sz w:val="24"/>
          <w:szCs w:val="24"/>
        </w:rPr>
        <w:t xml:space="preserve"> </w:t>
      </w:r>
      <w:r w:rsidRPr="00443A23">
        <w:rPr>
          <w:rFonts w:ascii="Book Antiqua" w:hAnsi="Book Antiqua" w:cs="Arial"/>
          <w:b/>
          <w:sz w:val="24"/>
          <w:szCs w:val="24"/>
        </w:rPr>
        <w:t>The Author(s) 2016.</w:t>
      </w:r>
      <w:proofErr w:type="gramEnd"/>
      <w:r w:rsidRPr="00443A23">
        <w:rPr>
          <w:rFonts w:ascii="Book Antiqua" w:hAnsi="Book Antiqua" w:cs="Arial"/>
          <w:b/>
          <w:sz w:val="24"/>
          <w:szCs w:val="24"/>
        </w:rPr>
        <w:t xml:space="preserve"> </w:t>
      </w:r>
      <w:r w:rsidRPr="00443A23">
        <w:rPr>
          <w:rFonts w:ascii="Book Antiqua" w:hAnsi="Book Antiqua" w:cs="Arial"/>
          <w:sz w:val="24"/>
          <w:szCs w:val="24"/>
        </w:rPr>
        <w:t xml:space="preserve">Published by </w:t>
      </w:r>
      <w:proofErr w:type="spellStart"/>
      <w:r w:rsidRPr="00443A23">
        <w:rPr>
          <w:rFonts w:ascii="Book Antiqua" w:hAnsi="Book Antiqua" w:cs="Arial"/>
          <w:sz w:val="24"/>
          <w:szCs w:val="24"/>
        </w:rPr>
        <w:t>Baishideng</w:t>
      </w:r>
      <w:proofErr w:type="spellEnd"/>
      <w:r w:rsidRPr="00443A23">
        <w:rPr>
          <w:rFonts w:ascii="Book Antiqua" w:hAnsi="Book Antiqua" w:cs="Arial"/>
          <w:sz w:val="24"/>
          <w:szCs w:val="24"/>
        </w:rPr>
        <w:t xml:space="preserve"> Publishing Group Inc. All rights reserved.</w:t>
      </w:r>
    </w:p>
    <w:bookmarkEnd w:id="29"/>
    <w:bookmarkEnd w:id="30"/>
    <w:bookmarkEnd w:id="31"/>
    <w:p w14:paraId="37D2442B" w14:textId="77777777" w:rsidR="00E103F9" w:rsidRPr="00443A23" w:rsidRDefault="00E103F9" w:rsidP="0002686E">
      <w:pPr>
        <w:spacing w:after="0" w:line="360" w:lineRule="auto"/>
        <w:jc w:val="both"/>
        <w:rPr>
          <w:rFonts w:ascii="Book Antiqua" w:hAnsi="Book Antiqua" w:cs="Arial"/>
          <w:sz w:val="24"/>
          <w:szCs w:val="24"/>
        </w:rPr>
      </w:pPr>
    </w:p>
    <w:bookmarkEnd w:id="32"/>
    <w:bookmarkEnd w:id="33"/>
    <w:p w14:paraId="197A2FF5" w14:textId="7ABFC349" w:rsidR="00E103F9" w:rsidRPr="00443A23" w:rsidRDefault="00E103F9" w:rsidP="0002686E">
      <w:pPr>
        <w:spacing w:after="0" w:line="360" w:lineRule="auto"/>
        <w:jc w:val="both"/>
        <w:rPr>
          <w:rFonts w:ascii="Book Antiqua" w:hAnsi="Book Antiqua" w:cs="Arial Unicode MS"/>
          <w:b/>
          <w:sz w:val="24"/>
          <w:szCs w:val="24"/>
        </w:rPr>
      </w:pPr>
      <w:r w:rsidRPr="00443A23">
        <w:rPr>
          <w:rFonts w:ascii="Book Antiqua" w:eastAsia="Times New Roman" w:hAnsi="Book Antiqua" w:cs="Arial Unicode MS"/>
          <w:b/>
          <w:sz w:val="24"/>
          <w:szCs w:val="24"/>
        </w:rPr>
        <w:t>Core tip:</w:t>
      </w:r>
      <w:bookmarkEnd w:id="34"/>
      <w:bookmarkEnd w:id="35"/>
      <w:bookmarkEnd w:id="36"/>
      <w:bookmarkEnd w:id="37"/>
      <w:bookmarkEnd w:id="38"/>
      <w:bookmarkEnd w:id="39"/>
      <w:bookmarkEnd w:id="40"/>
      <w:r w:rsidR="003032A8" w:rsidRPr="00443A23">
        <w:rPr>
          <w:rFonts w:ascii="Book Antiqua" w:hAnsi="Book Antiqua" w:cs="Arial Unicode MS"/>
          <w:b/>
          <w:sz w:val="24"/>
          <w:szCs w:val="24"/>
          <w:lang w:eastAsia="zh-CN"/>
        </w:rPr>
        <w:t xml:space="preserve"> </w:t>
      </w:r>
      <w:proofErr w:type="spellStart"/>
      <w:r w:rsidR="002A53E6" w:rsidRPr="00443A23">
        <w:rPr>
          <w:rFonts w:ascii="Book Antiqua" w:hAnsi="Book Antiqua" w:cs="Tahoma"/>
          <w:sz w:val="24"/>
          <w:szCs w:val="24"/>
        </w:rPr>
        <w:t>Gastroesophageal</w:t>
      </w:r>
      <w:proofErr w:type="spellEnd"/>
      <w:r w:rsidR="002A53E6" w:rsidRPr="00443A23">
        <w:rPr>
          <w:rFonts w:ascii="Book Antiqua" w:hAnsi="Book Antiqua" w:cs="Tahoma"/>
          <w:sz w:val="24"/>
          <w:szCs w:val="24"/>
        </w:rPr>
        <w:t xml:space="preserve"> reflux is a common phenomenon in infants, but the differentiation between </w:t>
      </w:r>
      <w:proofErr w:type="spellStart"/>
      <w:r w:rsidR="002A53E6" w:rsidRPr="00443A23">
        <w:rPr>
          <w:rFonts w:ascii="Book Antiqua" w:hAnsi="Book Antiqua" w:cs="Tahoma"/>
          <w:sz w:val="24"/>
          <w:szCs w:val="24"/>
        </w:rPr>
        <w:t>gastroesophageal</w:t>
      </w:r>
      <w:proofErr w:type="spellEnd"/>
      <w:r w:rsidR="002A53E6" w:rsidRPr="00443A23">
        <w:rPr>
          <w:rFonts w:ascii="Book Antiqua" w:hAnsi="Book Antiqua" w:cs="Tahoma"/>
          <w:sz w:val="24"/>
          <w:szCs w:val="24"/>
        </w:rPr>
        <w:t xml:space="preserve"> reflux and </w:t>
      </w:r>
      <w:proofErr w:type="spellStart"/>
      <w:r w:rsidR="002A53E6" w:rsidRPr="00443A23">
        <w:rPr>
          <w:rFonts w:ascii="Book Antiqua" w:hAnsi="Book Antiqua" w:cs="Tahoma"/>
          <w:sz w:val="24"/>
          <w:szCs w:val="24"/>
        </w:rPr>
        <w:t>gastroesophageal</w:t>
      </w:r>
      <w:proofErr w:type="spellEnd"/>
      <w:r w:rsidR="002A53E6" w:rsidRPr="00443A23">
        <w:rPr>
          <w:rFonts w:ascii="Book Antiqua" w:hAnsi="Book Antiqua" w:cs="Tahoma"/>
          <w:sz w:val="24"/>
          <w:szCs w:val="24"/>
        </w:rPr>
        <w:t xml:space="preserve"> reflux disease can be difficult. Symptoms are non-specific and there is increasing evidence that the majority of symptoms may not be acid-related. Despite this, gastric acid inhibitors such as </w:t>
      </w:r>
      <w:r w:rsidR="003032A8" w:rsidRPr="00443A23">
        <w:rPr>
          <w:rFonts w:ascii="Book Antiqua" w:hAnsi="Book Antiqua"/>
          <w:sz w:val="24"/>
          <w:szCs w:val="24"/>
        </w:rPr>
        <w:t>proton pump inhibitors</w:t>
      </w:r>
      <w:r w:rsidR="003032A8" w:rsidRPr="00443A23">
        <w:rPr>
          <w:rFonts w:ascii="Book Antiqua" w:hAnsi="Book Antiqua"/>
          <w:sz w:val="24"/>
          <w:szCs w:val="24"/>
          <w:lang w:eastAsia="zh-CN"/>
        </w:rPr>
        <w:t xml:space="preserve"> </w:t>
      </w:r>
      <w:r w:rsidR="002A53E6" w:rsidRPr="00443A23">
        <w:rPr>
          <w:rFonts w:ascii="Book Antiqua" w:hAnsi="Book Antiqua" w:cs="Tahoma"/>
          <w:sz w:val="24"/>
          <w:szCs w:val="24"/>
        </w:rPr>
        <w:t xml:space="preserve">are widely and increasingly used, often without objective evidence or investigations to guide treatment. Several studies have shown that these medications are ineffective at treating symptoms associated with reflux in the absence of </w:t>
      </w:r>
      <w:proofErr w:type="spellStart"/>
      <w:r w:rsidR="002A53E6" w:rsidRPr="00443A23">
        <w:rPr>
          <w:rFonts w:ascii="Book Antiqua" w:hAnsi="Book Antiqua" w:cs="Tahoma"/>
          <w:sz w:val="24"/>
          <w:szCs w:val="24"/>
        </w:rPr>
        <w:t>endoscopically</w:t>
      </w:r>
      <w:proofErr w:type="spellEnd"/>
      <w:r w:rsidR="002A53E6" w:rsidRPr="00443A23">
        <w:rPr>
          <w:rFonts w:ascii="Book Antiqua" w:hAnsi="Book Antiqua" w:cs="Tahoma"/>
          <w:sz w:val="24"/>
          <w:szCs w:val="24"/>
        </w:rPr>
        <w:t xml:space="preserve"> proven </w:t>
      </w:r>
      <w:proofErr w:type="spellStart"/>
      <w:r w:rsidR="002A53E6" w:rsidRPr="00443A23">
        <w:rPr>
          <w:rFonts w:ascii="Book Antiqua" w:hAnsi="Book Antiqua" w:cs="Tahoma"/>
          <w:sz w:val="24"/>
          <w:szCs w:val="24"/>
        </w:rPr>
        <w:t>oesophagitis</w:t>
      </w:r>
      <w:proofErr w:type="spellEnd"/>
      <w:r w:rsidR="002A53E6" w:rsidRPr="00443A23">
        <w:rPr>
          <w:rFonts w:ascii="Book Antiqua" w:hAnsi="Book Antiqua" w:cs="Tahoma"/>
          <w:sz w:val="24"/>
          <w:szCs w:val="24"/>
        </w:rPr>
        <w:t xml:space="preserve">. They have also questioned previously assumed links between reflux and other symptoms and complications in preterm and term infants. With a lack of evidence for efficacy, attention is now being </w:t>
      </w:r>
      <w:r w:rsidR="002A53E6" w:rsidRPr="00443A23">
        <w:rPr>
          <w:rFonts w:ascii="Book Antiqua" w:hAnsi="Book Antiqua" w:cs="Tahoma"/>
          <w:sz w:val="24"/>
          <w:szCs w:val="24"/>
        </w:rPr>
        <w:lastRenderedPageBreak/>
        <w:t xml:space="preserve">turned to the potential risks of gastric acid suppression. Previously assumed safety of these medications is being challenged with evidence of potential side effects including GI </w:t>
      </w:r>
      <w:r w:rsidR="003032A8" w:rsidRPr="00443A23">
        <w:rPr>
          <w:rFonts w:ascii="Book Antiqua" w:hAnsi="Book Antiqua" w:cs="Tahoma"/>
          <w:sz w:val="24"/>
          <w:szCs w:val="24"/>
          <w:lang w:eastAsia="zh-CN"/>
        </w:rPr>
        <w:t>and</w:t>
      </w:r>
      <w:r w:rsidR="002A53E6" w:rsidRPr="00443A23">
        <w:rPr>
          <w:rFonts w:ascii="Book Antiqua" w:hAnsi="Book Antiqua" w:cs="Tahoma"/>
          <w:sz w:val="24"/>
          <w:szCs w:val="24"/>
        </w:rPr>
        <w:t xml:space="preserve"> respiratory infections, bacterial overgrowth, adverse bone health, food allergy and drug interactions.</w:t>
      </w:r>
    </w:p>
    <w:p w14:paraId="1A2B5571" w14:textId="77777777" w:rsidR="00E61FA1" w:rsidRPr="00443A23" w:rsidRDefault="00E61FA1" w:rsidP="0002686E">
      <w:pPr>
        <w:spacing w:after="0" w:line="360" w:lineRule="auto"/>
        <w:jc w:val="both"/>
        <w:rPr>
          <w:rFonts w:ascii="Book Antiqua" w:hAnsi="Book Antiqua"/>
          <w:sz w:val="24"/>
          <w:szCs w:val="24"/>
        </w:rPr>
      </w:pPr>
    </w:p>
    <w:p w14:paraId="3F5A7A30" w14:textId="1F4AF2F4" w:rsidR="003032A8" w:rsidRPr="00443A23" w:rsidRDefault="003032A8" w:rsidP="0002686E">
      <w:pPr>
        <w:spacing w:after="0" w:line="360" w:lineRule="auto"/>
        <w:jc w:val="both"/>
        <w:rPr>
          <w:rFonts w:ascii="Book Antiqua" w:hAnsi="Book Antiqua"/>
          <w:sz w:val="24"/>
          <w:szCs w:val="24"/>
          <w:lang w:eastAsia="zh-CN"/>
        </w:rPr>
      </w:pPr>
      <w:r w:rsidRPr="00443A23">
        <w:rPr>
          <w:rFonts w:ascii="Book Antiqua" w:hAnsi="Book Antiqua"/>
          <w:sz w:val="24"/>
          <w:szCs w:val="24"/>
        </w:rPr>
        <w:t>Safe</w:t>
      </w:r>
      <w:r w:rsidRPr="00443A23">
        <w:rPr>
          <w:rFonts w:ascii="Book Antiqua" w:hAnsi="Book Antiqua"/>
          <w:sz w:val="24"/>
          <w:szCs w:val="24"/>
          <w:lang w:eastAsia="zh-CN"/>
        </w:rPr>
        <w:t xml:space="preserve"> M, </w:t>
      </w:r>
      <w:r w:rsidRPr="00443A23">
        <w:rPr>
          <w:rFonts w:ascii="Book Antiqua" w:hAnsi="Book Antiqua"/>
          <w:sz w:val="24"/>
          <w:szCs w:val="24"/>
        </w:rPr>
        <w:t>Chan WH</w:t>
      </w:r>
      <w:r w:rsidRPr="00443A23">
        <w:rPr>
          <w:rFonts w:ascii="Book Antiqua" w:hAnsi="Book Antiqua"/>
          <w:sz w:val="24"/>
          <w:szCs w:val="24"/>
          <w:lang w:eastAsia="zh-CN"/>
        </w:rPr>
        <w:t>,</w:t>
      </w:r>
      <w:r w:rsidRPr="00443A23">
        <w:rPr>
          <w:rFonts w:ascii="Book Antiqua" w:hAnsi="Book Antiqua"/>
          <w:sz w:val="24"/>
          <w:szCs w:val="24"/>
        </w:rPr>
        <w:t xml:space="preserve"> Leach</w:t>
      </w:r>
      <w:r w:rsidRPr="00443A23">
        <w:rPr>
          <w:rFonts w:ascii="Book Antiqua" w:hAnsi="Book Antiqua"/>
          <w:sz w:val="24"/>
          <w:szCs w:val="24"/>
          <w:lang w:eastAsia="zh-CN"/>
        </w:rPr>
        <w:t xml:space="preserve"> ST, </w:t>
      </w:r>
      <w:proofErr w:type="spellStart"/>
      <w:r w:rsidRPr="00443A23">
        <w:rPr>
          <w:rFonts w:ascii="Book Antiqua" w:hAnsi="Book Antiqua"/>
          <w:sz w:val="24"/>
          <w:szCs w:val="24"/>
        </w:rPr>
        <w:t>Lui</w:t>
      </w:r>
      <w:proofErr w:type="spellEnd"/>
      <w:r w:rsidRPr="00443A23">
        <w:rPr>
          <w:rFonts w:ascii="Book Antiqua" w:hAnsi="Book Antiqua"/>
          <w:sz w:val="24"/>
          <w:szCs w:val="24"/>
          <w:lang w:eastAsia="zh-CN"/>
        </w:rPr>
        <w:t xml:space="preserve"> K, </w:t>
      </w:r>
      <w:r w:rsidRPr="00443A23">
        <w:rPr>
          <w:rFonts w:ascii="Book Antiqua" w:hAnsi="Book Antiqua"/>
          <w:sz w:val="24"/>
          <w:szCs w:val="24"/>
        </w:rPr>
        <w:t>Krishnan</w:t>
      </w:r>
      <w:r w:rsidRPr="00443A23">
        <w:rPr>
          <w:rFonts w:ascii="Book Antiqua" w:hAnsi="Book Antiqua"/>
          <w:sz w:val="24"/>
          <w:szCs w:val="24"/>
          <w:lang w:eastAsia="zh-CN"/>
        </w:rPr>
        <w:t xml:space="preserve"> U. Widespread Use of Gastric Acid Inhibitors in Infants: Are They Needed? Are They Safe? </w:t>
      </w:r>
      <w:r w:rsidRPr="00443A23">
        <w:rPr>
          <w:rFonts w:ascii="Book Antiqua" w:hAnsi="Book Antiqua"/>
          <w:i/>
          <w:sz w:val="24"/>
          <w:szCs w:val="24"/>
          <w:lang w:eastAsia="zh-CN"/>
        </w:rPr>
        <w:t xml:space="preserve">World J </w:t>
      </w:r>
      <w:proofErr w:type="spellStart"/>
      <w:r w:rsidRPr="00443A23">
        <w:rPr>
          <w:rFonts w:ascii="Book Antiqua" w:hAnsi="Book Antiqua"/>
          <w:i/>
          <w:sz w:val="24"/>
          <w:szCs w:val="24"/>
          <w:lang w:eastAsia="zh-CN"/>
        </w:rPr>
        <w:t>Gastrointest</w:t>
      </w:r>
      <w:proofErr w:type="spellEnd"/>
      <w:r w:rsidRPr="00443A23">
        <w:rPr>
          <w:rFonts w:ascii="Book Antiqua" w:hAnsi="Book Antiqua"/>
          <w:i/>
          <w:sz w:val="24"/>
          <w:szCs w:val="24"/>
          <w:lang w:eastAsia="zh-CN"/>
        </w:rPr>
        <w:t xml:space="preserve"> </w:t>
      </w:r>
      <w:proofErr w:type="spellStart"/>
      <w:r w:rsidRPr="00443A23">
        <w:rPr>
          <w:rFonts w:ascii="Book Antiqua" w:hAnsi="Book Antiqua"/>
          <w:i/>
          <w:sz w:val="24"/>
          <w:szCs w:val="24"/>
          <w:lang w:eastAsia="zh-CN"/>
        </w:rPr>
        <w:t>Pharmaco</w:t>
      </w:r>
      <w:proofErr w:type="spellEnd"/>
      <w:r w:rsidRPr="00443A23">
        <w:rPr>
          <w:rFonts w:ascii="Book Antiqua" w:hAnsi="Book Antiqua"/>
          <w:i/>
          <w:sz w:val="24"/>
          <w:szCs w:val="24"/>
          <w:lang w:eastAsia="zh-CN"/>
        </w:rPr>
        <w:t xml:space="preserve"> </w:t>
      </w:r>
      <w:proofErr w:type="spellStart"/>
      <w:r w:rsidRPr="00443A23">
        <w:rPr>
          <w:rFonts w:ascii="Book Antiqua" w:hAnsi="Book Antiqua"/>
          <w:i/>
          <w:sz w:val="24"/>
          <w:szCs w:val="24"/>
          <w:lang w:eastAsia="zh-CN"/>
        </w:rPr>
        <w:t>Ther</w:t>
      </w:r>
      <w:proofErr w:type="spellEnd"/>
      <w:r w:rsidRPr="00443A23">
        <w:rPr>
          <w:rFonts w:ascii="Book Antiqua" w:hAnsi="Book Antiqua"/>
          <w:sz w:val="24"/>
          <w:szCs w:val="24"/>
          <w:lang w:eastAsia="zh-CN"/>
        </w:rPr>
        <w:t xml:space="preserve"> 2016; </w:t>
      </w:r>
      <w:proofErr w:type="gramStart"/>
      <w:r w:rsidRPr="00443A23">
        <w:rPr>
          <w:rFonts w:ascii="Book Antiqua" w:hAnsi="Book Antiqua"/>
          <w:sz w:val="24"/>
          <w:szCs w:val="24"/>
          <w:lang w:eastAsia="zh-CN"/>
        </w:rPr>
        <w:t>In</w:t>
      </w:r>
      <w:proofErr w:type="gramEnd"/>
      <w:r w:rsidRPr="00443A23">
        <w:rPr>
          <w:rFonts w:ascii="Book Antiqua" w:hAnsi="Book Antiqua"/>
          <w:sz w:val="24"/>
          <w:szCs w:val="24"/>
          <w:lang w:eastAsia="zh-CN"/>
        </w:rPr>
        <w:t xml:space="preserve"> press</w:t>
      </w:r>
    </w:p>
    <w:p w14:paraId="0B79949D" w14:textId="77777777" w:rsidR="00E103F9" w:rsidRPr="00443A23" w:rsidRDefault="00E103F9" w:rsidP="0002686E">
      <w:pPr>
        <w:spacing w:after="0"/>
        <w:jc w:val="both"/>
        <w:rPr>
          <w:rFonts w:ascii="Book Antiqua" w:hAnsi="Book Antiqua"/>
          <w:b/>
          <w:sz w:val="24"/>
          <w:szCs w:val="24"/>
        </w:rPr>
      </w:pPr>
      <w:r w:rsidRPr="00443A23">
        <w:rPr>
          <w:rFonts w:ascii="Book Antiqua" w:hAnsi="Book Antiqua"/>
          <w:b/>
          <w:sz w:val="24"/>
          <w:szCs w:val="24"/>
        </w:rPr>
        <w:br w:type="page"/>
      </w:r>
    </w:p>
    <w:p w14:paraId="5247063A" w14:textId="77777777" w:rsidR="004A4E6F" w:rsidRPr="00443A23" w:rsidRDefault="00992229" w:rsidP="0002686E">
      <w:pPr>
        <w:spacing w:after="0" w:line="360" w:lineRule="auto"/>
        <w:jc w:val="both"/>
        <w:rPr>
          <w:rFonts w:ascii="Book Antiqua" w:hAnsi="Book Antiqua"/>
          <w:b/>
          <w:sz w:val="24"/>
          <w:szCs w:val="24"/>
        </w:rPr>
      </w:pPr>
      <w:r w:rsidRPr="00443A23">
        <w:rPr>
          <w:rFonts w:ascii="Book Antiqua" w:hAnsi="Book Antiqua"/>
          <w:b/>
          <w:sz w:val="24"/>
          <w:szCs w:val="24"/>
        </w:rPr>
        <w:lastRenderedPageBreak/>
        <w:t>INTRODUCTION</w:t>
      </w:r>
    </w:p>
    <w:p w14:paraId="09C6CBF2" w14:textId="3F2B64C6" w:rsidR="00992229" w:rsidRPr="00443A23" w:rsidRDefault="00992229" w:rsidP="0002686E">
      <w:pPr>
        <w:spacing w:after="0" w:line="360" w:lineRule="auto"/>
        <w:jc w:val="both"/>
        <w:rPr>
          <w:rFonts w:ascii="Book Antiqua" w:hAnsi="Book Antiqua"/>
          <w:sz w:val="24"/>
          <w:szCs w:val="24"/>
        </w:rPr>
      </w:pPr>
      <w:r w:rsidRPr="00443A23">
        <w:rPr>
          <w:rFonts w:ascii="Book Antiqua" w:hAnsi="Book Antiqua"/>
          <w:sz w:val="24"/>
          <w:szCs w:val="24"/>
        </w:rPr>
        <w:t xml:space="preserve">Gastro-oesophageal reflux (GOR) is the physiologic process involving the passage of gastric contents into the oesophagus which is often accompanied by postprandial regurgitation or </w:t>
      </w:r>
      <w:proofErr w:type="gramStart"/>
      <w:r w:rsidR="001E39BE" w:rsidRPr="00443A23">
        <w:rPr>
          <w:rFonts w:ascii="Book Antiqua" w:hAnsi="Book Antiqua"/>
          <w:sz w:val="24"/>
          <w:szCs w:val="24"/>
        </w:rPr>
        <w:t>vomiting</w:t>
      </w:r>
      <w:r w:rsidR="001E39BE" w:rsidRPr="00443A23">
        <w:rPr>
          <w:rFonts w:ascii="Book Antiqua" w:hAnsi="Book Antiqua"/>
          <w:sz w:val="24"/>
          <w:szCs w:val="24"/>
          <w:vertAlign w:val="superscript"/>
        </w:rPr>
        <w:t>[</w:t>
      </w:r>
      <w:proofErr w:type="gramEnd"/>
      <w:r w:rsidR="001E39BE" w:rsidRPr="00443A23">
        <w:rPr>
          <w:rFonts w:ascii="Book Antiqua" w:hAnsi="Book Antiqua"/>
          <w:sz w:val="24"/>
          <w:szCs w:val="24"/>
          <w:vertAlign w:val="superscript"/>
        </w:rPr>
        <w:t>1]</w:t>
      </w:r>
      <w:r w:rsidRPr="00443A23">
        <w:rPr>
          <w:rFonts w:ascii="Book Antiqua" w:hAnsi="Book Antiqua"/>
          <w:sz w:val="24"/>
          <w:szCs w:val="24"/>
        </w:rPr>
        <w:t xml:space="preserve">.  The term gastro-oesophageal reflux disease (GORD) applies to persistent reflux that causes troublesome symptoms and/or complications, and is therefore, considered </w:t>
      </w:r>
      <w:proofErr w:type="gramStart"/>
      <w:r w:rsidRPr="00443A23">
        <w:rPr>
          <w:rFonts w:ascii="Book Antiqua" w:hAnsi="Book Antiqua"/>
          <w:sz w:val="24"/>
          <w:szCs w:val="24"/>
        </w:rPr>
        <w:t>pathologic</w:t>
      </w:r>
      <w:r w:rsidR="001E39BE" w:rsidRPr="00443A23">
        <w:rPr>
          <w:rFonts w:ascii="Book Antiqua" w:hAnsi="Book Antiqua"/>
          <w:sz w:val="24"/>
          <w:szCs w:val="24"/>
          <w:vertAlign w:val="superscript"/>
        </w:rPr>
        <w:t>[</w:t>
      </w:r>
      <w:proofErr w:type="gramEnd"/>
      <w:r w:rsidR="001E39BE" w:rsidRPr="00443A23">
        <w:rPr>
          <w:rFonts w:ascii="Book Antiqua" w:hAnsi="Book Antiqua"/>
          <w:sz w:val="24"/>
          <w:szCs w:val="24"/>
          <w:vertAlign w:val="superscript"/>
        </w:rPr>
        <w:t>1]</w:t>
      </w:r>
      <w:r w:rsidRPr="00443A23">
        <w:rPr>
          <w:rFonts w:ascii="Book Antiqua" w:hAnsi="Book Antiqua"/>
          <w:sz w:val="24"/>
          <w:szCs w:val="24"/>
        </w:rPr>
        <w:t xml:space="preserve">. This distinction remains a challenge in infant care.  </w:t>
      </w:r>
    </w:p>
    <w:p w14:paraId="2A8AB378" w14:textId="7F64577A" w:rsidR="00992229" w:rsidRPr="00443A23" w:rsidRDefault="00992229"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Infants are physiologically predisposed to GOR because of their shorter intra-abdominal oesophagus, frequent liquid feeds that distend t</w:t>
      </w:r>
      <w:r w:rsidR="00924037" w:rsidRPr="00443A23">
        <w:rPr>
          <w:rFonts w:ascii="Book Antiqua" w:hAnsi="Book Antiqua"/>
          <w:sz w:val="24"/>
          <w:szCs w:val="24"/>
        </w:rPr>
        <w:t xml:space="preserve">he stomach, and supine </w:t>
      </w:r>
      <w:proofErr w:type="gramStart"/>
      <w:r w:rsidR="00924037" w:rsidRPr="00443A23">
        <w:rPr>
          <w:rFonts w:ascii="Book Antiqua" w:hAnsi="Book Antiqua"/>
          <w:sz w:val="24"/>
          <w:szCs w:val="24"/>
        </w:rPr>
        <w:t>position</w:t>
      </w:r>
      <w:r w:rsidR="001E39BE" w:rsidRPr="00443A23">
        <w:rPr>
          <w:rFonts w:ascii="Book Antiqua" w:hAnsi="Book Antiqua"/>
          <w:sz w:val="24"/>
          <w:szCs w:val="24"/>
          <w:vertAlign w:val="superscript"/>
        </w:rPr>
        <w:t>[</w:t>
      </w:r>
      <w:proofErr w:type="gramEnd"/>
      <w:r w:rsidR="001E39BE" w:rsidRPr="00443A23">
        <w:rPr>
          <w:rFonts w:ascii="Book Antiqua" w:hAnsi="Book Antiqua"/>
          <w:sz w:val="24"/>
          <w:szCs w:val="24"/>
          <w:vertAlign w:val="superscript"/>
        </w:rPr>
        <w:t>2]</w:t>
      </w:r>
      <w:r w:rsidRPr="00443A23">
        <w:rPr>
          <w:rFonts w:ascii="Book Antiqua" w:hAnsi="Book Antiqua"/>
          <w:sz w:val="24"/>
          <w:szCs w:val="24"/>
        </w:rPr>
        <w:t>.  Infants with GOR have been found to have frequent transient lower oesophageal sphincter relaxations, which are thought to be the pathophysiological basis of the condition. Fifty-</w:t>
      </w:r>
      <w:proofErr w:type="spellStart"/>
      <w:r w:rsidRPr="00443A23">
        <w:rPr>
          <w:rFonts w:ascii="Book Antiqua" w:hAnsi="Book Antiqua"/>
          <w:sz w:val="24"/>
          <w:szCs w:val="24"/>
        </w:rPr>
        <w:t>percent</w:t>
      </w:r>
      <w:proofErr w:type="spellEnd"/>
      <w:r w:rsidRPr="00443A23">
        <w:rPr>
          <w:rFonts w:ascii="Book Antiqua" w:hAnsi="Book Antiqua"/>
          <w:sz w:val="24"/>
          <w:szCs w:val="24"/>
        </w:rPr>
        <w:t xml:space="preserve"> of infants reportedly experience daily regurgitation in the first 3 </w:t>
      </w:r>
      <w:proofErr w:type="spellStart"/>
      <w:r w:rsidR="00331EDC">
        <w:rPr>
          <w:rFonts w:ascii="Book Antiqua" w:hAnsi="Book Antiqua" w:hint="eastAsia"/>
          <w:sz w:val="24"/>
          <w:szCs w:val="24"/>
          <w:lang w:eastAsia="zh-CN"/>
        </w:rPr>
        <w:t>mo</w:t>
      </w:r>
      <w:proofErr w:type="spellEnd"/>
      <w:r w:rsidRPr="00443A23">
        <w:rPr>
          <w:rFonts w:ascii="Book Antiqua" w:hAnsi="Book Antiqua"/>
          <w:sz w:val="24"/>
          <w:szCs w:val="24"/>
        </w:rPr>
        <w:t xml:space="preserve"> of life, which resolve by 12-14 </w:t>
      </w:r>
      <w:proofErr w:type="spellStart"/>
      <w:r w:rsidR="00331EDC">
        <w:rPr>
          <w:rFonts w:ascii="Book Antiqua" w:hAnsi="Book Antiqua" w:hint="eastAsia"/>
          <w:sz w:val="24"/>
          <w:szCs w:val="24"/>
          <w:lang w:eastAsia="zh-CN"/>
        </w:rPr>
        <w:t>mo</w:t>
      </w:r>
      <w:proofErr w:type="spellEnd"/>
      <w:r w:rsidRPr="00443A23">
        <w:rPr>
          <w:rFonts w:ascii="Book Antiqua" w:hAnsi="Book Antiqua"/>
          <w:sz w:val="24"/>
          <w:szCs w:val="24"/>
        </w:rPr>
        <w:t xml:space="preserve"> in most healthy </w:t>
      </w:r>
      <w:proofErr w:type="gramStart"/>
      <w:r w:rsidRPr="00443A23">
        <w:rPr>
          <w:rFonts w:ascii="Book Antiqua" w:hAnsi="Book Antiqua"/>
          <w:sz w:val="24"/>
          <w:szCs w:val="24"/>
        </w:rPr>
        <w:t>infants</w:t>
      </w:r>
      <w:r w:rsidR="00924037" w:rsidRPr="00443A23">
        <w:rPr>
          <w:rFonts w:ascii="Book Antiqua" w:hAnsi="Book Antiqua"/>
          <w:sz w:val="24"/>
          <w:szCs w:val="24"/>
          <w:vertAlign w:val="superscript"/>
        </w:rPr>
        <w:t>[</w:t>
      </w:r>
      <w:proofErr w:type="gramEnd"/>
      <w:r w:rsidR="00FB5A28" w:rsidRPr="00443A23">
        <w:rPr>
          <w:rFonts w:ascii="Book Antiqua" w:hAnsi="Book Antiqua"/>
          <w:sz w:val="24"/>
          <w:szCs w:val="24"/>
          <w:vertAlign w:val="superscript"/>
        </w:rPr>
        <w:t>3]</w:t>
      </w:r>
      <w:r w:rsidRPr="00443A23">
        <w:rPr>
          <w:rFonts w:ascii="Book Antiqua" w:hAnsi="Book Antiqua"/>
          <w:sz w:val="24"/>
          <w:szCs w:val="24"/>
        </w:rPr>
        <w:t xml:space="preserve">. The pathogenic mechanism leading infant GOR to develop into GORD is unclear, although decreased neural protective reflexes and delayed gastric emptying are thought to play a </w:t>
      </w:r>
      <w:proofErr w:type="gramStart"/>
      <w:r w:rsidRPr="00443A23">
        <w:rPr>
          <w:rFonts w:ascii="Book Antiqua" w:hAnsi="Book Antiqua"/>
          <w:sz w:val="24"/>
          <w:szCs w:val="24"/>
        </w:rPr>
        <w:t>role</w:t>
      </w:r>
      <w:r w:rsidR="00924037" w:rsidRPr="00443A23">
        <w:rPr>
          <w:rFonts w:ascii="Book Antiqua" w:hAnsi="Book Antiqua"/>
          <w:sz w:val="24"/>
          <w:szCs w:val="24"/>
          <w:vertAlign w:val="superscript"/>
        </w:rPr>
        <w:t>[</w:t>
      </w:r>
      <w:proofErr w:type="gramEnd"/>
      <w:r w:rsidR="00032D20" w:rsidRPr="00443A23">
        <w:rPr>
          <w:rFonts w:ascii="Book Antiqua" w:hAnsi="Book Antiqua"/>
          <w:sz w:val="24"/>
          <w:szCs w:val="24"/>
          <w:vertAlign w:val="superscript"/>
        </w:rPr>
        <w:t>1]</w:t>
      </w:r>
      <w:r w:rsidRPr="00443A23">
        <w:rPr>
          <w:rFonts w:ascii="Book Antiqua" w:hAnsi="Book Antiqua"/>
          <w:sz w:val="24"/>
          <w:szCs w:val="24"/>
        </w:rPr>
        <w:t xml:space="preserve">. </w:t>
      </w:r>
    </w:p>
    <w:p w14:paraId="2613D10C" w14:textId="1D62AEF9" w:rsidR="00992229" w:rsidRPr="00443A23" w:rsidRDefault="00992229"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 xml:space="preserve">Since infant GORD has been linked to significant clinical morbidity in some patients, including worsening lung disease, aspiration and </w:t>
      </w:r>
      <w:proofErr w:type="spellStart"/>
      <w:r w:rsidRPr="00443A23">
        <w:rPr>
          <w:rFonts w:ascii="Book Antiqua" w:hAnsi="Book Antiqua"/>
          <w:sz w:val="24"/>
          <w:szCs w:val="24"/>
        </w:rPr>
        <w:t>oesophagitis</w:t>
      </w:r>
      <w:proofErr w:type="spellEnd"/>
      <w:r w:rsidRPr="00443A23">
        <w:rPr>
          <w:rFonts w:ascii="Book Antiqua" w:hAnsi="Book Antiqua"/>
          <w:sz w:val="24"/>
          <w:szCs w:val="24"/>
        </w:rPr>
        <w:t xml:space="preserve">, medical intervention is frequently </w:t>
      </w:r>
      <w:proofErr w:type="gramStart"/>
      <w:r w:rsidRPr="00443A23">
        <w:rPr>
          <w:rFonts w:ascii="Book Antiqua" w:hAnsi="Book Antiqua"/>
          <w:sz w:val="24"/>
          <w:szCs w:val="24"/>
        </w:rPr>
        <w:t>sought</w:t>
      </w:r>
      <w:r w:rsidR="00924037" w:rsidRPr="00443A23">
        <w:rPr>
          <w:rFonts w:ascii="Book Antiqua" w:hAnsi="Book Antiqua"/>
          <w:sz w:val="24"/>
          <w:szCs w:val="24"/>
          <w:vertAlign w:val="superscript"/>
        </w:rPr>
        <w:t>[</w:t>
      </w:r>
      <w:proofErr w:type="gramEnd"/>
      <w:r w:rsidR="00032D20" w:rsidRPr="00443A23">
        <w:rPr>
          <w:rFonts w:ascii="Book Antiqua" w:hAnsi="Book Antiqua"/>
          <w:sz w:val="24"/>
          <w:szCs w:val="24"/>
          <w:vertAlign w:val="superscript"/>
        </w:rPr>
        <w:t>4]</w:t>
      </w:r>
      <w:r w:rsidR="00032D20" w:rsidRPr="00443A23">
        <w:rPr>
          <w:rFonts w:ascii="Book Antiqua" w:hAnsi="Book Antiqua"/>
          <w:sz w:val="24"/>
          <w:szCs w:val="24"/>
        </w:rPr>
        <w:t>. Common and non-specific</w:t>
      </w:r>
      <w:r w:rsidRPr="00443A23">
        <w:rPr>
          <w:rFonts w:ascii="Book Antiqua" w:hAnsi="Book Antiqua"/>
          <w:sz w:val="24"/>
          <w:szCs w:val="24"/>
        </w:rPr>
        <w:t xml:space="preserve"> symptoms attributed</w:t>
      </w:r>
      <w:r w:rsidR="00032D20" w:rsidRPr="00443A23">
        <w:rPr>
          <w:rFonts w:ascii="Book Antiqua" w:hAnsi="Book Antiqua"/>
          <w:sz w:val="24"/>
          <w:szCs w:val="24"/>
        </w:rPr>
        <w:t xml:space="preserve"> to GOR</w:t>
      </w:r>
      <w:r w:rsidRPr="00443A23">
        <w:rPr>
          <w:rFonts w:ascii="Book Antiqua" w:hAnsi="Book Antiqua"/>
          <w:sz w:val="24"/>
          <w:szCs w:val="24"/>
        </w:rPr>
        <w:t xml:space="preserve"> are often considered troublesome enough to justify treatment</w:t>
      </w:r>
      <w:r w:rsidR="00032D20" w:rsidRPr="00443A23">
        <w:rPr>
          <w:rFonts w:ascii="Book Antiqua" w:hAnsi="Book Antiqua"/>
          <w:sz w:val="24"/>
          <w:szCs w:val="24"/>
        </w:rPr>
        <w:t>,</w:t>
      </w:r>
      <w:r w:rsidRPr="00443A23">
        <w:rPr>
          <w:rFonts w:ascii="Book Antiqua" w:hAnsi="Book Antiqua"/>
          <w:sz w:val="24"/>
          <w:szCs w:val="24"/>
        </w:rPr>
        <w:t xml:space="preserve"> especially in the neonatal intensive care </w:t>
      </w:r>
      <w:proofErr w:type="gramStart"/>
      <w:r w:rsidRPr="00443A23">
        <w:rPr>
          <w:rFonts w:ascii="Book Antiqua" w:hAnsi="Book Antiqua"/>
          <w:sz w:val="24"/>
          <w:szCs w:val="24"/>
        </w:rPr>
        <w:t>setting</w:t>
      </w:r>
      <w:r w:rsidR="00924037" w:rsidRPr="00443A23">
        <w:rPr>
          <w:rFonts w:ascii="Book Antiqua" w:hAnsi="Book Antiqua"/>
          <w:sz w:val="24"/>
          <w:szCs w:val="24"/>
          <w:vertAlign w:val="superscript"/>
        </w:rPr>
        <w:t>[</w:t>
      </w:r>
      <w:proofErr w:type="gramEnd"/>
      <w:r w:rsidR="00032D20" w:rsidRPr="00443A23">
        <w:rPr>
          <w:rFonts w:ascii="Book Antiqua" w:hAnsi="Book Antiqua"/>
          <w:sz w:val="24"/>
          <w:szCs w:val="24"/>
          <w:vertAlign w:val="superscript"/>
        </w:rPr>
        <w:t>5]</w:t>
      </w:r>
      <w:r w:rsidRPr="00443A23">
        <w:rPr>
          <w:rFonts w:ascii="Book Antiqua" w:hAnsi="Book Antiqua"/>
          <w:sz w:val="24"/>
          <w:szCs w:val="24"/>
        </w:rPr>
        <w:t>. This has led to the widespread usage of gastric acid inhibitors (GAI), in the form of proton</w:t>
      </w:r>
      <w:r w:rsidR="00B35639" w:rsidRPr="00443A23">
        <w:rPr>
          <w:rFonts w:ascii="Book Antiqua" w:hAnsi="Book Antiqua"/>
          <w:sz w:val="24"/>
          <w:szCs w:val="24"/>
        </w:rPr>
        <w:t xml:space="preserve"> pump inhibitors (PPIs) and/or </w:t>
      </w:r>
      <w:r w:rsidRPr="00443A23">
        <w:rPr>
          <w:rFonts w:ascii="Book Antiqua" w:hAnsi="Book Antiqua"/>
          <w:sz w:val="24"/>
          <w:szCs w:val="24"/>
        </w:rPr>
        <w:t>histamine-2 receptor antagonists (H2RAs) in infants, despite uncertainty as to their efficacy and risks. This report will review recent evidence on the suitability of PPIs as an effective therapy for GORD in symptomatic infants and their potential for short- and long-term side effects.</w:t>
      </w:r>
    </w:p>
    <w:p w14:paraId="614773A7" w14:textId="77777777" w:rsidR="00992229" w:rsidRPr="00443A23" w:rsidRDefault="00992229" w:rsidP="0002686E">
      <w:pPr>
        <w:spacing w:after="0" w:line="360" w:lineRule="auto"/>
        <w:jc w:val="both"/>
        <w:rPr>
          <w:rFonts w:ascii="Book Antiqua" w:hAnsi="Book Antiqua"/>
          <w:sz w:val="24"/>
          <w:szCs w:val="24"/>
        </w:rPr>
      </w:pPr>
    </w:p>
    <w:p w14:paraId="0D2CB3A6" w14:textId="15CE04CC" w:rsidR="00992229" w:rsidRPr="00443A23" w:rsidRDefault="00924037" w:rsidP="0002686E">
      <w:pPr>
        <w:spacing w:after="0" w:line="360" w:lineRule="auto"/>
        <w:jc w:val="both"/>
        <w:rPr>
          <w:rFonts w:ascii="Book Antiqua" w:hAnsi="Book Antiqua"/>
          <w:b/>
          <w:sz w:val="24"/>
          <w:szCs w:val="24"/>
        </w:rPr>
      </w:pPr>
      <w:r w:rsidRPr="00443A23">
        <w:rPr>
          <w:rFonts w:ascii="Book Antiqua" w:hAnsi="Book Antiqua"/>
          <w:b/>
          <w:sz w:val="24"/>
          <w:szCs w:val="24"/>
        </w:rPr>
        <w:t>GASTRIC ACID INHIBITOR USE IN INFANTS</w:t>
      </w:r>
    </w:p>
    <w:p w14:paraId="06F4A2F4" w14:textId="1C18E6C9" w:rsidR="00992229" w:rsidRPr="00443A23" w:rsidRDefault="00992229" w:rsidP="0002686E">
      <w:pPr>
        <w:spacing w:after="0" w:line="360" w:lineRule="auto"/>
        <w:jc w:val="both"/>
        <w:rPr>
          <w:rFonts w:ascii="Book Antiqua" w:hAnsi="Book Antiqua"/>
          <w:sz w:val="24"/>
          <w:szCs w:val="24"/>
        </w:rPr>
      </w:pPr>
      <w:r w:rsidRPr="00443A23">
        <w:rPr>
          <w:rFonts w:ascii="Book Antiqua" w:hAnsi="Book Antiqua"/>
          <w:sz w:val="24"/>
          <w:szCs w:val="24"/>
        </w:rPr>
        <w:t xml:space="preserve">GAI use for infants with symptoms attributed to GORD has risen dramatically despite only very limited approval for their use in this age </w:t>
      </w:r>
      <w:proofErr w:type="gramStart"/>
      <w:r w:rsidRPr="00443A23">
        <w:rPr>
          <w:rFonts w:ascii="Book Antiqua" w:hAnsi="Book Antiqua"/>
          <w:sz w:val="24"/>
          <w:szCs w:val="24"/>
        </w:rPr>
        <w:t>group</w:t>
      </w:r>
      <w:r w:rsidR="00924037" w:rsidRPr="00443A23">
        <w:rPr>
          <w:rFonts w:ascii="Book Antiqua" w:hAnsi="Book Antiqua"/>
          <w:sz w:val="24"/>
          <w:szCs w:val="24"/>
          <w:vertAlign w:val="superscript"/>
        </w:rPr>
        <w:t>[</w:t>
      </w:r>
      <w:proofErr w:type="gramEnd"/>
      <w:r w:rsidR="00924037" w:rsidRPr="00443A23">
        <w:rPr>
          <w:rFonts w:ascii="Book Antiqua" w:hAnsi="Book Antiqua"/>
          <w:sz w:val="24"/>
          <w:szCs w:val="24"/>
          <w:vertAlign w:val="superscript"/>
        </w:rPr>
        <w:t>6,</w:t>
      </w:r>
      <w:r w:rsidR="00D07EF5" w:rsidRPr="00443A23">
        <w:rPr>
          <w:rFonts w:ascii="Book Antiqua" w:hAnsi="Book Antiqua"/>
          <w:sz w:val="24"/>
          <w:szCs w:val="24"/>
          <w:vertAlign w:val="superscript"/>
        </w:rPr>
        <w:t>7]</w:t>
      </w:r>
      <w:r w:rsidRPr="00443A23">
        <w:rPr>
          <w:rFonts w:ascii="Book Antiqua" w:hAnsi="Book Antiqua"/>
          <w:sz w:val="24"/>
          <w:szCs w:val="24"/>
        </w:rPr>
        <w:t>. From 2000 to 2003, there was a 4-fold increase in off-label PPI prescriptions in this age-group, despite less than 10% of patients being investigated fo</w:t>
      </w:r>
      <w:r w:rsidR="00BA3253" w:rsidRPr="00443A23">
        <w:rPr>
          <w:rFonts w:ascii="Book Antiqua" w:hAnsi="Book Antiqua"/>
          <w:sz w:val="24"/>
          <w:szCs w:val="24"/>
        </w:rPr>
        <w:t xml:space="preserve">r GORD by diagnostic </w:t>
      </w:r>
      <w:proofErr w:type="gramStart"/>
      <w:r w:rsidR="00BA3253" w:rsidRPr="00443A23">
        <w:rPr>
          <w:rFonts w:ascii="Book Antiqua" w:hAnsi="Book Antiqua"/>
          <w:sz w:val="24"/>
          <w:szCs w:val="24"/>
        </w:rPr>
        <w:lastRenderedPageBreak/>
        <w:t>procedure</w:t>
      </w:r>
      <w:r w:rsidR="00924037" w:rsidRPr="00443A23">
        <w:rPr>
          <w:rFonts w:ascii="Book Antiqua" w:hAnsi="Book Antiqua"/>
          <w:sz w:val="24"/>
          <w:szCs w:val="24"/>
          <w:vertAlign w:val="superscript"/>
        </w:rPr>
        <w:t>[</w:t>
      </w:r>
      <w:proofErr w:type="gramEnd"/>
      <w:r w:rsidR="00BA3253" w:rsidRPr="00443A23">
        <w:rPr>
          <w:rFonts w:ascii="Book Antiqua" w:hAnsi="Book Antiqua"/>
          <w:sz w:val="24"/>
          <w:szCs w:val="24"/>
          <w:vertAlign w:val="superscript"/>
        </w:rPr>
        <w:t>8]</w:t>
      </w:r>
      <w:r w:rsidRPr="00443A23">
        <w:rPr>
          <w:rFonts w:ascii="Book Antiqua" w:hAnsi="Book Antiqua"/>
          <w:sz w:val="24"/>
          <w:szCs w:val="24"/>
        </w:rPr>
        <w:t xml:space="preserve">. There has also been a concerning rise in the frequency of GAI use in preterm infants, despite the lack of published evidence regarding pharmacological management of GOR or the safety and efficacy of GAI in preterm infants. According to a survey of neonatologists across 77 secondary and tertiary NICUs, GORD is perceived to affect more than one-fifth of infants born before 34 weeks, and this perception may be leading to increased </w:t>
      </w:r>
      <w:proofErr w:type="gramStart"/>
      <w:r w:rsidRPr="00443A23">
        <w:rPr>
          <w:rFonts w:ascii="Book Antiqua" w:hAnsi="Book Antiqua"/>
          <w:sz w:val="24"/>
          <w:szCs w:val="24"/>
        </w:rPr>
        <w:t>prescribing</w:t>
      </w:r>
      <w:r w:rsidR="00924037" w:rsidRPr="00443A23">
        <w:rPr>
          <w:rFonts w:ascii="Book Antiqua" w:hAnsi="Book Antiqua"/>
          <w:sz w:val="24"/>
          <w:szCs w:val="24"/>
          <w:vertAlign w:val="superscript"/>
        </w:rPr>
        <w:t>[</w:t>
      </w:r>
      <w:proofErr w:type="gramEnd"/>
      <w:r w:rsidR="00927C8D" w:rsidRPr="00443A23">
        <w:rPr>
          <w:rFonts w:ascii="Book Antiqua" w:hAnsi="Book Antiqua"/>
          <w:sz w:val="24"/>
          <w:szCs w:val="24"/>
          <w:vertAlign w:val="superscript"/>
        </w:rPr>
        <w:t>9]</w:t>
      </w:r>
      <w:r w:rsidRPr="00443A23">
        <w:rPr>
          <w:rFonts w:ascii="Book Antiqua" w:hAnsi="Book Antiqua"/>
          <w:sz w:val="24"/>
          <w:szCs w:val="24"/>
        </w:rPr>
        <w:t xml:space="preserve">.  </w:t>
      </w:r>
    </w:p>
    <w:p w14:paraId="395AD1FD" w14:textId="7045E0D1" w:rsidR="00992229" w:rsidRPr="00443A23" w:rsidRDefault="00992229"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Symptoms described in infants with GORD include frequent regurgitation and vomiting, chronic cough, irritability, feeding resistance, failure to thrive, apnoea, bronchospasm and back-</w:t>
      </w:r>
      <w:proofErr w:type="gramStart"/>
      <w:r w:rsidRPr="00443A23">
        <w:rPr>
          <w:rFonts w:ascii="Book Antiqua" w:hAnsi="Book Antiqua"/>
          <w:sz w:val="24"/>
          <w:szCs w:val="24"/>
        </w:rPr>
        <w:t>arching</w:t>
      </w:r>
      <w:r w:rsidR="00924037" w:rsidRPr="00443A23">
        <w:rPr>
          <w:rFonts w:ascii="Book Antiqua" w:hAnsi="Book Antiqua"/>
          <w:sz w:val="24"/>
          <w:szCs w:val="24"/>
          <w:vertAlign w:val="superscript"/>
        </w:rPr>
        <w:t>[</w:t>
      </w:r>
      <w:proofErr w:type="gramEnd"/>
      <w:r w:rsidR="006A6065" w:rsidRPr="00443A23">
        <w:rPr>
          <w:rFonts w:ascii="Book Antiqua" w:hAnsi="Book Antiqua"/>
          <w:sz w:val="24"/>
          <w:szCs w:val="24"/>
          <w:vertAlign w:val="superscript"/>
        </w:rPr>
        <w:t>2</w:t>
      </w:r>
      <w:r w:rsidR="00927C8D" w:rsidRPr="00443A23">
        <w:rPr>
          <w:rFonts w:ascii="Book Antiqua" w:hAnsi="Book Antiqua"/>
          <w:sz w:val="24"/>
          <w:szCs w:val="24"/>
          <w:vertAlign w:val="superscript"/>
        </w:rPr>
        <w:t>]</w:t>
      </w:r>
      <w:r w:rsidRPr="00443A23">
        <w:rPr>
          <w:rFonts w:ascii="Book Antiqua" w:hAnsi="Book Antiqua"/>
          <w:sz w:val="24"/>
          <w:szCs w:val="24"/>
        </w:rPr>
        <w:t xml:space="preserve">. However, GORD diagnosis based on these symptoms is unreliable and non-specific. Regurgitation, irritability and vomiting thought to be secondary to GORD, are indistinguishable from the symptoms of food allergy, colic and other </w:t>
      </w:r>
      <w:proofErr w:type="gramStart"/>
      <w:r w:rsidRPr="00443A23">
        <w:rPr>
          <w:rFonts w:ascii="Book Antiqua" w:hAnsi="Book Antiqua"/>
          <w:sz w:val="24"/>
          <w:szCs w:val="24"/>
        </w:rPr>
        <w:t>disorders</w:t>
      </w:r>
      <w:r w:rsidR="00924037" w:rsidRPr="00443A23">
        <w:rPr>
          <w:rFonts w:ascii="Book Antiqua" w:hAnsi="Book Antiqua"/>
          <w:sz w:val="24"/>
          <w:szCs w:val="24"/>
          <w:vertAlign w:val="superscript"/>
        </w:rPr>
        <w:t>[</w:t>
      </w:r>
      <w:proofErr w:type="gramEnd"/>
      <w:r w:rsidR="006A6065" w:rsidRPr="00443A23">
        <w:rPr>
          <w:rFonts w:ascii="Book Antiqua" w:hAnsi="Book Antiqua"/>
          <w:sz w:val="24"/>
          <w:szCs w:val="24"/>
          <w:vertAlign w:val="superscript"/>
        </w:rPr>
        <w:t>1]</w:t>
      </w:r>
      <w:r w:rsidRPr="00443A23">
        <w:rPr>
          <w:rFonts w:ascii="Book Antiqua" w:hAnsi="Book Antiqua"/>
          <w:sz w:val="24"/>
          <w:szCs w:val="24"/>
        </w:rPr>
        <w:t xml:space="preserve">. Poor association between symptoms and pathologic acid exposure in oesophageal pH monitoring and histological scores, make </w:t>
      </w:r>
      <w:r w:rsidR="006A6065" w:rsidRPr="00443A23">
        <w:rPr>
          <w:rFonts w:ascii="Book Antiqua" w:hAnsi="Book Antiqua"/>
          <w:sz w:val="24"/>
          <w:szCs w:val="24"/>
        </w:rPr>
        <w:t>symptoms</w:t>
      </w:r>
      <w:r w:rsidRPr="00443A23">
        <w:rPr>
          <w:rFonts w:ascii="Book Antiqua" w:hAnsi="Book Antiqua"/>
          <w:sz w:val="24"/>
          <w:szCs w:val="24"/>
        </w:rPr>
        <w:t xml:space="preserve"> unreliable in the diagnosis of GORD in </w:t>
      </w:r>
      <w:proofErr w:type="gramStart"/>
      <w:r w:rsidRPr="00443A23">
        <w:rPr>
          <w:rFonts w:ascii="Book Antiqua" w:hAnsi="Book Antiqua"/>
          <w:sz w:val="24"/>
          <w:szCs w:val="24"/>
        </w:rPr>
        <w:t>infants</w:t>
      </w:r>
      <w:r w:rsidR="00924037" w:rsidRPr="00443A23">
        <w:rPr>
          <w:rFonts w:ascii="Book Antiqua" w:hAnsi="Book Antiqua"/>
          <w:sz w:val="24"/>
          <w:szCs w:val="24"/>
          <w:vertAlign w:val="superscript"/>
        </w:rPr>
        <w:t>[</w:t>
      </w:r>
      <w:proofErr w:type="gramEnd"/>
      <w:r w:rsidR="006A6065" w:rsidRPr="00443A23">
        <w:rPr>
          <w:rFonts w:ascii="Book Antiqua" w:hAnsi="Book Antiqua"/>
          <w:sz w:val="24"/>
          <w:szCs w:val="24"/>
          <w:vertAlign w:val="superscript"/>
        </w:rPr>
        <w:t>10]</w:t>
      </w:r>
      <w:r w:rsidRPr="00443A23">
        <w:rPr>
          <w:rFonts w:ascii="Book Antiqua" w:hAnsi="Book Antiqua"/>
          <w:sz w:val="24"/>
          <w:szCs w:val="24"/>
        </w:rPr>
        <w:t xml:space="preserve">. GAI therapy in infants is largely extrapolated from studies of adults and older children, in whom symptoms are more reliably associated with acid exposure. In infants, significant recent data point to the possibility that the majority of symptoms are associated either with non-acid reflux or with no reflux at </w:t>
      </w:r>
      <w:proofErr w:type="gramStart"/>
      <w:r w:rsidRPr="00443A23">
        <w:rPr>
          <w:rFonts w:ascii="Book Antiqua" w:hAnsi="Book Antiqua"/>
          <w:sz w:val="24"/>
          <w:szCs w:val="24"/>
        </w:rPr>
        <w:t>all</w:t>
      </w:r>
      <w:r w:rsidR="00924037" w:rsidRPr="00443A23">
        <w:rPr>
          <w:rFonts w:ascii="Book Antiqua" w:hAnsi="Book Antiqua"/>
          <w:sz w:val="24"/>
          <w:szCs w:val="24"/>
          <w:vertAlign w:val="superscript"/>
        </w:rPr>
        <w:t>[</w:t>
      </w:r>
      <w:proofErr w:type="gramEnd"/>
      <w:r w:rsidR="00B35684" w:rsidRPr="00443A23">
        <w:rPr>
          <w:rFonts w:ascii="Book Antiqua" w:hAnsi="Book Antiqua"/>
          <w:sz w:val="24"/>
          <w:szCs w:val="24"/>
          <w:vertAlign w:val="superscript"/>
        </w:rPr>
        <w:t>11]</w:t>
      </w:r>
      <w:r w:rsidRPr="00443A23">
        <w:rPr>
          <w:rFonts w:ascii="Book Antiqua" w:hAnsi="Book Antiqua"/>
          <w:sz w:val="24"/>
          <w:szCs w:val="24"/>
        </w:rPr>
        <w:t xml:space="preserve">.  </w:t>
      </w:r>
      <w:r w:rsidR="00A069C2" w:rsidRPr="00443A23">
        <w:rPr>
          <w:rFonts w:ascii="Book Antiqua" w:hAnsi="Book Antiqua"/>
          <w:sz w:val="24"/>
          <w:szCs w:val="24"/>
        </w:rPr>
        <w:t xml:space="preserve">In adults, there have been moves to even more potent acid suppression with the novel potassium competitive acid blockers such as </w:t>
      </w:r>
      <w:proofErr w:type="spellStart"/>
      <w:r w:rsidR="00A069C2" w:rsidRPr="00443A23">
        <w:rPr>
          <w:rFonts w:ascii="Book Antiqua" w:hAnsi="Book Antiqua"/>
          <w:sz w:val="24"/>
          <w:szCs w:val="24"/>
        </w:rPr>
        <w:t>vonoprazan</w:t>
      </w:r>
      <w:proofErr w:type="spellEnd"/>
      <w:r w:rsidR="00A069C2" w:rsidRPr="00443A23">
        <w:rPr>
          <w:rFonts w:ascii="Book Antiqua" w:hAnsi="Book Antiqua"/>
          <w:sz w:val="24"/>
          <w:szCs w:val="24"/>
        </w:rPr>
        <w:t>.  There is no safety data in children for this therapy, and considering that acid suppression has not been shown to affect symptoms in the majority of cases, there is likely to be very limited role for this drug.</w:t>
      </w:r>
    </w:p>
    <w:p w14:paraId="07CE96F2" w14:textId="64A158C4" w:rsidR="00992229" w:rsidRPr="00443A23" w:rsidRDefault="00992229"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Studies have also failed to find any association between GOR and cardioresp</w:t>
      </w:r>
      <w:r w:rsidR="00B35684" w:rsidRPr="00443A23">
        <w:rPr>
          <w:rFonts w:ascii="Book Antiqua" w:hAnsi="Book Antiqua"/>
          <w:sz w:val="24"/>
          <w:szCs w:val="24"/>
        </w:rPr>
        <w:t>iratory events including apnoea</w:t>
      </w:r>
      <w:r w:rsidRPr="00443A23">
        <w:rPr>
          <w:rFonts w:ascii="Book Antiqua" w:hAnsi="Book Antiqua"/>
          <w:sz w:val="24"/>
          <w:szCs w:val="24"/>
        </w:rPr>
        <w:t xml:space="preserve">, </w:t>
      </w:r>
      <w:proofErr w:type="spellStart"/>
      <w:r w:rsidRPr="00443A23">
        <w:rPr>
          <w:rFonts w:ascii="Book Antiqua" w:hAnsi="Book Antiqua"/>
          <w:sz w:val="24"/>
          <w:szCs w:val="24"/>
        </w:rPr>
        <w:t>bradycardia</w:t>
      </w:r>
      <w:proofErr w:type="spellEnd"/>
      <w:r w:rsidRPr="00443A23">
        <w:rPr>
          <w:rFonts w:ascii="Book Antiqua" w:hAnsi="Book Antiqua"/>
          <w:sz w:val="24"/>
          <w:szCs w:val="24"/>
        </w:rPr>
        <w:t xml:space="preserve">, and oxygen desaturation in preterm </w:t>
      </w:r>
      <w:proofErr w:type="gramStart"/>
      <w:r w:rsidRPr="00443A23">
        <w:rPr>
          <w:rFonts w:ascii="Book Antiqua" w:hAnsi="Book Antiqua"/>
          <w:sz w:val="24"/>
          <w:szCs w:val="24"/>
        </w:rPr>
        <w:t>infants</w:t>
      </w:r>
      <w:r w:rsidR="00924037" w:rsidRPr="00443A23">
        <w:rPr>
          <w:rFonts w:ascii="Book Antiqua" w:hAnsi="Book Antiqua"/>
          <w:sz w:val="24"/>
          <w:szCs w:val="24"/>
          <w:vertAlign w:val="superscript"/>
        </w:rPr>
        <w:t>[</w:t>
      </w:r>
      <w:proofErr w:type="gramEnd"/>
      <w:r w:rsidR="00924037" w:rsidRPr="00443A23">
        <w:rPr>
          <w:rFonts w:ascii="Book Antiqua" w:hAnsi="Book Antiqua"/>
          <w:sz w:val="24"/>
          <w:szCs w:val="24"/>
          <w:vertAlign w:val="superscript"/>
        </w:rPr>
        <w:t>12,</w:t>
      </w:r>
      <w:r w:rsidR="0040507D" w:rsidRPr="00443A23">
        <w:rPr>
          <w:rFonts w:ascii="Book Antiqua" w:hAnsi="Book Antiqua"/>
          <w:sz w:val="24"/>
          <w:szCs w:val="24"/>
          <w:vertAlign w:val="superscript"/>
        </w:rPr>
        <w:t>13]</w:t>
      </w:r>
      <w:r w:rsidRPr="00443A23">
        <w:rPr>
          <w:rFonts w:ascii="Book Antiqua" w:hAnsi="Book Antiqua"/>
          <w:sz w:val="24"/>
          <w:szCs w:val="24"/>
        </w:rPr>
        <w:t xml:space="preserve">. Even so, two thirds of neonatologists have reported using GOR medications to treat </w:t>
      </w:r>
      <w:proofErr w:type="spellStart"/>
      <w:proofErr w:type="gramStart"/>
      <w:r w:rsidRPr="00443A23">
        <w:rPr>
          <w:rFonts w:ascii="Book Antiqua" w:hAnsi="Book Antiqua"/>
          <w:sz w:val="24"/>
          <w:szCs w:val="24"/>
        </w:rPr>
        <w:t>apnoeas</w:t>
      </w:r>
      <w:proofErr w:type="spellEnd"/>
      <w:r w:rsidR="00924037" w:rsidRPr="00443A23">
        <w:rPr>
          <w:rFonts w:ascii="Book Antiqua" w:hAnsi="Book Antiqua"/>
          <w:sz w:val="24"/>
          <w:szCs w:val="24"/>
          <w:vertAlign w:val="superscript"/>
        </w:rPr>
        <w:t>[</w:t>
      </w:r>
      <w:proofErr w:type="gramEnd"/>
      <w:r w:rsidR="00E162F6" w:rsidRPr="00443A23">
        <w:rPr>
          <w:rFonts w:ascii="Book Antiqua" w:hAnsi="Book Antiqua"/>
          <w:sz w:val="24"/>
          <w:szCs w:val="24"/>
          <w:vertAlign w:val="superscript"/>
        </w:rPr>
        <w:t>14]</w:t>
      </w:r>
      <w:r w:rsidRPr="00443A23">
        <w:rPr>
          <w:rFonts w:ascii="Book Antiqua" w:hAnsi="Book Antiqua"/>
          <w:sz w:val="24"/>
          <w:szCs w:val="24"/>
        </w:rPr>
        <w:t xml:space="preserve">. Overall, it has been widely recommended that GAI treatment in infants should be reserved for cases with evidence of pathological exposure to acid reflux episodes and/or </w:t>
      </w:r>
      <w:proofErr w:type="spellStart"/>
      <w:proofErr w:type="gramStart"/>
      <w:r w:rsidRPr="00443A23">
        <w:rPr>
          <w:rFonts w:ascii="Book Antiqua" w:hAnsi="Book Antiqua"/>
          <w:sz w:val="24"/>
          <w:szCs w:val="24"/>
        </w:rPr>
        <w:t>oesophagitis</w:t>
      </w:r>
      <w:proofErr w:type="spellEnd"/>
      <w:r w:rsidR="00924037" w:rsidRPr="00443A23">
        <w:rPr>
          <w:rFonts w:ascii="Book Antiqua" w:hAnsi="Book Antiqua"/>
          <w:sz w:val="24"/>
          <w:szCs w:val="24"/>
          <w:vertAlign w:val="superscript"/>
        </w:rPr>
        <w:t>[</w:t>
      </w:r>
      <w:proofErr w:type="gramEnd"/>
      <w:r w:rsidR="003E4073" w:rsidRPr="00443A23">
        <w:rPr>
          <w:rFonts w:ascii="Book Antiqua" w:hAnsi="Book Antiqua"/>
          <w:sz w:val="24"/>
          <w:szCs w:val="24"/>
          <w:vertAlign w:val="superscript"/>
        </w:rPr>
        <w:t>1]</w:t>
      </w:r>
      <w:r w:rsidR="00924037" w:rsidRPr="00443A23">
        <w:rPr>
          <w:rFonts w:ascii="Book Antiqua" w:hAnsi="Book Antiqua"/>
          <w:sz w:val="24"/>
          <w:szCs w:val="24"/>
        </w:rPr>
        <w: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Despite these recommendations, studies have found very poor adherence to guidelines and significant overtreatment with </w:t>
      </w:r>
      <w:proofErr w:type="gramStart"/>
      <w:r w:rsidRPr="00443A23">
        <w:rPr>
          <w:rFonts w:ascii="Book Antiqua" w:hAnsi="Book Antiqua"/>
          <w:sz w:val="24"/>
          <w:szCs w:val="24"/>
        </w:rPr>
        <w:t>PPIs</w:t>
      </w:r>
      <w:r w:rsidR="00924037" w:rsidRPr="00443A23">
        <w:rPr>
          <w:rFonts w:ascii="Book Antiqua" w:hAnsi="Book Antiqua"/>
          <w:sz w:val="24"/>
          <w:szCs w:val="24"/>
          <w:vertAlign w:val="superscript"/>
        </w:rPr>
        <w:t>[</w:t>
      </w:r>
      <w:proofErr w:type="gramEnd"/>
      <w:r w:rsidR="003E4073" w:rsidRPr="00443A23">
        <w:rPr>
          <w:rFonts w:ascii="Book Antiqua" w:hAnsi="Book Antiqua"/>
          <w:sz w:val="24"/>
          <w:szCs w:val="24"/>
          <w:vertAlign w:val="superscript"/>
        </w:rPr>
        <w:t>15]</w:t>
      </w:r>
      <w:r w:rsidRPr="00443A23">
        <w:rPr>
          <w:rFonts w:ascii="Book Antiqua" w:hAnsi="Book Antiqua"/>
          <w:sz w:val="24"/>
          <w:szCs w:val="24"/>
        </w:rPr>
        <w:t xml:space="preserve">. There is a concerning increase in the use of pharmacological intervention using acid suppression therapy using PPIs and H2RAs in preterm infants, with a presumed diagnosis of GORD based on symptoms alone </w:t>
      </w:r>
      <w:r w:rsidRPr="00443A23">
        <w:rPr>
          <w:rFonts w:ascii="Book Antiqua" w:hAnsi="Book Antiqua"/>
          <w:sz w:val="24"/>
          <w:szCs w:val="24"/>
        </w:rPr>
        <w:lastRenderedPageBreak/>
        <w:t xml:space="preserve">in the absence of any objective measures for the diagnosis of GORD including pH and impedance monitoring or gastroscopy and </w:t>
      </w:r>
      <w:proofErr w:type="gramStart"/>
      <w:r w:rsidRPr="00443A23">
        <w:rPr>
          <w:rFonts w:ascii="Book Antiqua" w:hAnsi="Book Antiqua"/>
          <w:sz w:val="24"/>
          <w:szCs w:val="24"/>
        </w:rPr>
        <w:t>biopsy</w:t>
      </w:r>
      <w:r w:rsidR="00924037" w:rsidRPr="00443A23">
        <w:rPr>
          <w:rFonts w:ascii="Book Antiqua" w:hAnsi="Book Antiqua"/>
          <w:sz w:val="24"/>
          <w:szCs w:val="24"/>
          <w:vertAlign w:val="superscript"/>
        </w:rPr>
        <w:t>[</w:t>
      </w:r>
      <w:proofErr w:type="gramEnd"/>
      <w:r w:rsidR="006A2741" w:rsidRPr="00443A23">
        <w:rPr>
          <w:rFonts w:ascii="Book Antiqua" w:hAnsi="Book Antiqua"/>
          <w:sz w:val="24"/>
          <w:szCs w:val="24"/>
          <w:vertAlign w:val="superscript"/>
        </w:rPr>
        <w:t>5]</w:t>
      </w:r>
      <w:r w:rsidRPr="00443A23">
        <w:rPr>
          <w:rFonts w:ascii="Book Antiqua" w:hAnsi="Book Antiqua"/>
          <w:sz w:val="24"/>
          <w:szCs w:val="24"/>
        </w:rPr>
        <w:t>.</w:t>
      </w:r>
      <w:r w:rsidR="00924037" w:rsidRPr="00443A23">
        <w:rPr>
          <w:rFonts w:ascii="Book Antiqua" w:hAnsi="Book Antiqua"/>
          <w:sz w:val="24"/>
          <w:szCs w:val="24"/>
        </w:rPr>
        <w:t xml:space="preserve"> </w:t>
      </w:r>
      <w:r w:rsidR="006C0D70" w:rsidRPr="00443A23">
        <w:rPr>
          <w:rFonts w:ascii="Book Antiqua" w:hAnsi="Book Antiqua"/>
          <w:sz w:val="24"/>
          <w:szCs w:val="24"/>
        </w:rPr>
        <w:t>Whilst there is no contemporary data outlining the relative frequency of H2RA and PPI use, the authors have observed a definite trend towards PPI as the predominant medication prescribed or acid suppression.</w:t>
      </w:r>
    </w:p>
    <w:p w14:paraId="4FD4D6C2" w14:textId="0721018E" w:rsidR="00992229" w:rsidRPr="00443A23" w:rsidRDefault="00992229"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 xml:space="preserve">Although, GAIs have previously been considered to be well tolerated by infants, emerging evidence suggests potential harmful associations between the use of GAIs and the development of infection and atopic disease in murine, adult and limited paediatric </w:t>
      </w:r>
      <w:proofErr w:type="gramStart"/>
      <w:r w:rsidRPr="00443A23">
        <w:rPr>
          <w:rFonts w:ascii="Book Antiqua" w:hAnsi="Book Antiqua"/>
          <w:sz w:val="24"/>
          <w:szCs w:val="24"/>
        </w:rPr>
        <w:t>studies</w:t>
      </w:r>
      <w:r w:rsidR="00924037" w:rsidRPr="00443A23">
        <w:rPr>
          <w:rFonts w:ascii="Book Antiqua" w:hAnsi="Book Antiqua"/>
          <w:sz w:val="24"/>
          <w:szCs w:val="24"/>
          <w:vertAlign w:val="superscript"/>
        </w:rPr>
        <w:t>[</w:t>
      </w:r>
      <w:proofErr w:type="gramEnd"/>
      <w:r w:rsidR="00924037" w:rsidRPr="00443A23">
        <w:rPr>
          <w:rFonts w:ascii="Book Antiqua" w:hAnsi="Book Antiqua"/>
          <w:sz w:val="24"/>
          <w:szCs w:val="24"/>
          <w:vertAlign w:val="superscript"/>
        </w:rPr>
        <w:t>16,</w:t>
      </w:r>
      <w:r w:rsidR="00E06010" w:rsidRPr="00443A23">
        <w:rPr>
          <w:rFonts w:ascii="Book Antiqua" w:hAnsi="Book Antiqua"/>
          <w:sz w:val="24"/>
          <w:szCs w:val="24"/>
          <w:vertAlign w:val="superscript"/>
        </w:rPr>
        <w:t>17]</w:t>
      </w:r>
      <w:r w:rsidRPr="00443A23">
        <w:rPr>
          <w:rFonts w:ascii="Book Antiqua" w:hAnsi="Book Antiqua"/>
          <w:sz w:val="24"/>
          <w:szCs w:val="24"/>
        </w:rPr>
        <w:t xml:space="preserve">. GAIs serve to protect the mucosa from excessive acid </w:t>
      </w:r>
      <w:proofErr w:type="gramStart"/>
      <w:r w:rsidRPr="00443A23">
        <w:rPr>
          <w:rFonts w:ascii="Book Antiqua" w:hAnsi="Book Antiqua"/>
          <w:sz w:val="24"/>
          <w:szCs w:val="24"/>
        </w:rPr>
        <w:t>production,</w:t>
      </w:r>
      <w:proofErr w:type="gramEnd"/>
      <w:r w:rsidRPr="00443A23">
        <w:rPr>
          <w:rFonts w:ascii="Book Antiqua" w:hAnsi="Book Antiqua"/>
          <w:sz w:val="24"/>
          <w:szCs w:val="24"/>
        </w:rPr>
        <w:t xml:space="preserve"> however giving such aggressive acid suppression at such a young age without evidence of </w:t>
      </w:r>
      <w:proofErr w:type="spellStart"/>
      <w:r w:rsidRPr="00443A23">
        <w:rPr>
          <w:rFonts w:ascii="Book Antiqua" w:hAnsi="Book Antiqua"/>
          <w:sz w:val="24"/>
          <w:szCs w:val="24"/>
        </w:rPr>
        <w:t>oesophagitis</w:t>
      </w:r>
      <w:proofErr w:type="spellEnd"/>
      <w:r w:rsidRPr="00443A23">
        <w:rPr>
          <w:rFonts w:ascii="Book Antiqua" w:hAnsi="Book Antiqua"/>
          <w:sz w:val="24"/>
          <w:szCs w:val="24"/>
        </w:rPr>
        <w:t xml:space="preserve"> remains controversial. Acid suppression is thought to interfere with natural defences against gastric bacterial </w:t>
      </w:r>
      <w:proofErr w:type="gramStart"/>
      <w:r w:rsidRPr="00443A23">
        <w:rPr>
          <w:rFonts w:ascii="Book Antiqua" w:hAnsi="Book Antiqua"/>
          <w:sz w:val="24"/>
          <w:szCs w:val="24"/>
        </w:rPr>
        <w:t>colonization</w:t>
      </w:r>
      <w:r w:rsidR="00924037" w:rsidRPr="00443A23">
        <w:rPr>
          <w:rFonts w:ascii="Book Antiqua" w:hAnsi="Book Antiqua"/>
          <w:sz w:val="24"/>
          <w:szCs w:val="24"/>
          <w:vertAlign w:val="superscript"/>
        </w:rPr>
        <w:t>[</w:t>
      </w:r>
      <w:proofErr w:type="gramEnd"/>
      <w:r w:rsidR="009E2078" w:rsidRPr="00443A23">
        <w:rPr>
          <w:rFonts w:ascii="Book Antiqua" w:hAnsi="Book Antiqua"/>
          <w:sz w:val="24"/>
          <w:szCs w:val="24"/>
          <w:vertAlign w:val="superscript"/>
        </w:rPr>
        <w:t>18]</w:t>
      </w:r>
      <w:r w:rsidRPr="00443A23">
        <w:rPr>
          <w:rFonts w:ascii="Book Antiqua" w:hAnsi="Book Antiqua"/>
          <w:sz w:val="24"/>
          <w:szCs w:val="24"/>
        </w:rPr>
        <w:t>, and also protein digestion to trigger allergic sensitization of dietary peptides</w:t>
      </w:r>
      <w:r w:rsidR="00924037" w:rsidRPr="00443A23">
        <w:rPr>
          <w:rFonts w:ascii="Book Antiqua" w:hAnsi="Book Antiqua"/>
          <w:sz w:val="24"/>
          <w:szCs w:val="24"/>
          <w:vertAlign w:val="superscript"/>
        </w:rPr>
        <w:t>[</w:t>
      </w:r>
      <w:r w:rsidR="00B35639" w:rsidRPr="00443A23">
        <w:rPr>
          <w:rFonts w:ascii="Book Antiqua" w:hAnsi="Book Antiqua"/>
          <w:sz w:val="24"/>
          <w:szCs w:val="24"/>
          <w:vertAlign w:val="superscript"/>
        </w:rPr>
        <w:t>19]</w:t>
      </w:r>
      <w:r w:rsidRPr="00443A23">
        <w:rPr>
          <w:rFonts w:ascii="Book Antiqua" w:hAnsi="Book Antiqua"/>
          <w:sz w:val="24"/>
          <w:szCs w:val="24"/>
        </w:rPr>
        <w:t>. There is also mounting evidence that children are being exposed to unnecessarily high doses of PPI with doses of 1mg/kg/day up to as high as 4mg/kg/day used in clinical practice.  Recent randomised trials have shown that although there is a dose-dependant reduction in acid production, for the treatment of erosive esophagitis there is no significant difference in healing between 5mg/day and 10mg/day for children &lt;</w:t>
      </w:r>
      <w:r w:rsidR="00924037" w:rsidRPr="00443A23">
        <w:rPr>
          <w:rFonts w:ascii="Book Antiqua" w:hAnsi="Book Antiqua"/>
          <w:sz w:val="24"/>
          <w:szCs w:val="24"/>
          <w:lang w:eastAsia="zh-CN"/>
        </w:rPr>
        <w:t xml:space="preserve"> </w:t>
      </w:r>
      <w:r w:rsidRPr="00443A23">
        <w:rPr>
          <w:rFonts w:ascii="Book Antiqua" w:hAnsi="Book Antiqua"/>
          <w:sz w:val="24"/>
          <w:szCs w:val="24"/>
        </w:rPr>
        <w:t>20</w:t>
      </w:r>
      <w:r w:rsidR="00924037" w:rsidRPr="00443A23">
        <w:rPr>
          <w:rFonts w:ascii="Book Antiqua" w:hAnsi="Book Antiqua"/>
          <w:sz w:val="24"/>
          <w:szCs w:val="24"/>
          <w:lang w:eastAsia="zh-CN"/>
        </w:rPr>
        <w:t xml:space="preserve"> </w:t>
      </w:r>
      <w:proofErr w:type="gramStart"/>
      <w:r w:rsidRPr="00443A23">
        <w:rPr>
          <w:rFonts w:ascii="Book Antiqua" w:hAnsi="Book Antiqua"/>
          <w:sz w:val="24"/>
          <w:szCs w:val="24"/>
        </w:rPr>
        <w:t>kg</w:t>
      </w:r>
      <w:r w:rsidR="00924037" w:rsidRPr="00443A23">
        <w:rPr>
          <w:rFonts w:ascii="Book Antiqua" w:hAnsi="Book Antiqua"/>
          <w:sz w:val="24"/>
          <w:szCs w:val="24"/>
          <w:vertAlign w:val="superscript"/>
        </w:rPr>
        <w:t>[</w:t>
      </w:r>
      <w:proofErr w:type="gramEnd"/>
      <w:r w:rsidR="00B278AE" w:rsidRPr="00443A23">
        <w:rPr>
          <w:rFonts w:ascii="Book Antiqua" w:hAnsi="Book Antiqua"/>
          <w:sz w:val="24"/>
          <w:szCs w:val="24"/>
          <w:vertAlign w:val="superscript"/>
        </w:rPr>
        <w:t>20, 21]</w:t>
      </w:r>
      <w:r w:rsidRPr="00443A23">
        <w:rPr>
          <w:rFonts w:ascii="Book Antiqua" w:hAnsi="Book Antiqua"/>
          <w:sz w:val="24"/>
          <w:szCs w:val="24"/>
        </w:rPr>
        <w:t>.</w:t>
      </w:r>
    </w:p>
    <w:p w14:paraId="333FBAF3" w14:textId="77777777" w:rsidR="00992229" w:rsidRPr="00443A23" w:rsidRDefault="00992229" w:rsidP="0002686E">
      <w:pPr>
        <w:spacing w:after="0" w:line="360" w:lineRule="auto"/>
        <w:jc w:val="both"/>
        <w:rPr>
          <w:rFonts w:ascii="Book Antiqua" w:hAnsi="Book Antiqua"/>
          <w:sz w:val="24"/>
          <w:szCs w:val="24"/>
        </w:rPr>
      </w:pPr>
    </w:p>
    <w:p w14:paraId="2EF3DA63" w14:textId="6216CD79" w:rsidR="00992229" w:rsidRPr="00443A23" w:rsidRDefault="00924037" w:rsidP="0002686E">
      <w:pPr>
        <w:spacing w:after="0" w:line="360" w:lineRule="auto"/>
        <w:jc w:val="both"/>
        <w:rPr>
          <w:rFonts w:ascii="Book Antiqua" w:hAnsi="Book Antiqua"/>
          <w:b/>
          <w:sz w:val="24"/>
          <w:szCs w:val="24"/>
        </w:rPr>
      </w:pPr>
      <w:r w:rsidRPr="00443A23">
        <w:rPr>
          <w:rFonts w:ascii="Book Antiqua" w:hAnsi="Book Antiqua"/>
          <w:b/>
          <w:sz w:val="24"/>
          <w:szCs w:val="24"/>
        </w:rPr>
        <w:t xml:space="preserve">ACTION </w:t>
      </w:r>
      <w:r w:rsidRPr="00443A23">
        <w:rPr>
          <w:rFonts w:ascii="Book Antiqua" w:hAnsi="Book Antiqua"/>
          <w:b/>
          <w:sz w:val="24"/>
          <w:szCs w:val="24"/>
          <w:lang w:eastAsia="zh-CN"/>
        </w:rPr>
        <w:t xml:space="preserve">AND </w:t>
      </w:r>
      <w:r w:rsidRPr="00443A23">
        <w:rPr>
          <w:rFonts w:ascii="Book Antiqua" w:hAnsi="Book Antiqua"/>
          <w:b/>
          <w:sz w:val="24"/>
          <w:szCs w:val="24"/>
        </w:rPr>
        <w:t>EFFICACY OF PPI</w:t>
      </w:r>
    </w:p>
    <w:p w14:paraId="5C0DE733" w14:textId="0A47D5AA" w:rsidR="00992229" w:rsidRPr="00443A23" w:rsidRDefault="00992229" w:rsidP="0002686E">
      <w:pPr>
        <w:spacing w:after="0" w:line="360" w:lineRule="auto"/>
        <w:jc w:val="both"/>
        <w:rPr>
          <w:rFonts w:ascii="Book Antiqua" w:hAnsi="Book Antiqua"/>
          <w:sz w:val="24"/>
          <w:szCs w:val="24"/>
        </w:rPr>
      </w:pPr>
      <w:r w:rsidRPr="00443A23">
        <w:rPr>
          <w:rFonts w:ascii="Book Antiqua" w:hAnsi="Book Antiqua"/>
          <w:sz w:val="24"/>
          <w:szCs w:val="24"/>
        </w:rPr>
        <w:t xml:space="preserve">PPIs bind irreversibly to the H+-K+-ATPase complex (“proton pump”) of gastric parietal cells to prevent the reuptake of extracellular potassium in exchange with intracellular hydrogen, thus inhibiting acid </w:t>
      </w:r>
      <w:proofErr w:type="gramStart"/>
      <w:r w:rsidRPr="00443A23">
        <w:rPr>
          <w:rFonts w:ascii="Book Antiqua" w:hAnsi="Book Antiqua"/>
          <w:sz w:val="24"/>
          <w:szCs w:val="24"/>
        </w:rPr>
        <w:t>secretion</w:t>
      </w:r>
      <w:r w:rsidR="00924037" w:rsidRPr="00443A23">
        <w:rPr>
          <w:rFonts w:ascii="Book Antiqua" w:hAnsi="Book Antiqua"/>
          <w:sz w:val="24"/>
          <w:szCs w:val="24"/>
          <w:vertAlign w:val="superscript"/>
        </w:rPr>
        <w:t>[</w:t>
      </w:r>
      <w:proofErr w:type="gramEnd"/>
      <w:r w:rsidR="00DA41DC" w:rsidRPr="00443A23">
        <w:rPr>
          <w:rFonts w:ascii="Book Antiqua" w:hAnsi="Book Antiqua"/>
          <w:sz w:val="24"/>
          <w:szCs w:val="24"/>
          <w:vertAlign w:val="superscript"/>
        </w:rPr>
        <w:t>22]</w:t>
      </w:r>
      <w:r w:rsidRPr="00443A23">
        <w:rPr>
          <w:rFonts w:ascii="Book Antiqua" w:hAnsi="Book Antiqua"/>
          <w:sz w:val="24"/>
          <w:szCs w:val="24"/>
        </w:rPr>
        <w:t xml:space="preserve">. Their use in infants has been extrapolated from numerous adult studies, for whom PPIs are superior in healing erosive </w:t>
      </w:r>
      <w:proofErr w:type="spellStart"/>
      <w:r w:rsidRPr="00443A23">
        <w:rPr>
          <w:rFonts w:ascii="Book Antiqua" w:hAnsi="Book Antiqua"/>
          <w:sz w:val="24"/>
          <w:szCs w:val="24"/>
        </w:rPr>
        <w:t>oesophagitis</w:t>
      </w:r>
      <w:proofErr w:type="spellEnd"/>
      <w:r w:rsidRPr="00443A23">
        <w:rPr>
          <w:rFonts w:ascii="Book Antiqua" w:hAnsi="Book Antiqua"/>
          <w:sz w:val="24"/>
          <w:szCs w:val="24"/>
        </w:rPr>
        <w:t xml:space="preserve"> and providing symptom relief compared with H2RAs, which are more effective than </w:t>
      </w:r>
      <w:proofErr w:type="gramStart"/>
      <w:r w:rsidRPr="00443A23">
        <w:rPr>
          <w:rFonts w:ascii="Book Antiqua" w:hAnsi="Book Antiqua"/>
          <w:sz w:val="24"/>
          <w:szCs w:val="24"/>
        </w:rPr>
        <w:t>placebo</w:t>
      </w:r>
      <w:r w:rsidR="00924037" w:rsidRPr="00443A23">
        <w:rPr>
          <w:rFonts w:ascii="Book Antiqua" w:hAnsi="Book Antiqua"/>
          <w:sz w:val="24"/>
          <w:szCs w:val="24"/>
          <w:vertAlign w:val="superscript"/>
        </w:rPr>
        <w:t>[</w:t>
      </w:r>
      <w:proofErr w:type="gramEnd"/>
      <w:r w:rsidR="00B479DD" w:rsidRPr="00443A23">
        <w:rPr>
          <w:rFonts w:ascii="Book Antiqua" w:hAnsi="Book Antiqua"/>
          <w:sz w:val="24"/>
          <w:szCs w:val="24"/>
          <w:vertAlign w:val="superscript"/>
        </w:rPr>
        <w:t>1]</w:t>
      </w:r>
      <w:r w:rsidRPr="00443A23">
        <w:rPr>
          <w:rFonts w:ascii="Book Antiqua" w:hAnsi="Book Antiqua"/>
          <w:sz w:val="24"/>
          <w:szCs w:val="24"/>
        </w:rPr>
        <w:t xml:space="preserve">. PPIs have been found to maintain </w:t>
      </w:r>
      <w:proofErr w:type="spellStart"/>
      <w:r w:rsidRPr="00443A23">
        <w:rPr>
          <w:rFonts w:ascii="Book Antiqua" w:hAnsi="Book Antiqua"/>
          <w:sz w:val="24"/>
          <w:szCs w:val="24"/>
        </w:rPr>
        <w:t>intragastric</w:t>
      </w:r>
      <w:proofErr w:type="spellEnd"/>
      <w:r w:rsidRPr="00443A23">
        <w:rPr>
          <w:rFonts w:ascii="Book Antiqua" w:hAnsi="Book Antiqua"/>
          <w:sz w:val="24"/>
          <w:szCs w:val="24"/>
        </w:rPr>
        <w:t xml:space="preserve"> pH &gt; 4 for prolonged periods and to inhibit meal-induced acid secretion. </w:t>
      </w:r>
    </w:p>
    <w:p w14:paraId="1C6B6433" w14:textId="45CB6793" w:rsidR="00992229" w:rsidRPr="00443A23" w:rsidRDefault="00992229" w:rsidP="0002686E">
      <w:pPr>
        <w:spacing w:after="0" w:line="360" w:lineRule="auto"/>
        <w:ind w:firstLineChars="150" w:firstLine="360"/>
        <w:jc w:val="both"/>
        <w:rPr>
          <w:rFonts w:ascii="Book Antiqua" w:hAnsi="Book Antiqua"/>
          <w:sz w:val="24"/>
          <w:szCs w:val="24"/>
          <w:lang w:eastAsia="zh-CN"/>
        </w:rPr>
      </w:pPr>
      <w:r w:rsidRPr="00443A23">
        <w:rPr>
          <w:rFonts w:ascii="Book Antiqua" w:hAnsi="Book Antiqua"/>
          <w:sz w:val="24"/>
          <w:szCs w:val="24"/>
        </w:rPr>
        <w:t>However, PPIs have consistently failed to show efficacy in reducing infant GORD symptoms compa</w:t>
      </w:r>
      <w:r w:rsidR="00924037" w:rsidRPr="00443A23">
        <w:rPr>
          <w:rFonts w:ascii="Book Antiqua" w:hAnsi="Book Antiqua"/>
          <w:sz w:val="24"/>
          <w:szCs w:val="24"/>
        </w:rPr>
        <w:t xml:space="preserve">red with placebo. Chen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DA41DC" w:rsidRPr="00443A23">
        <w:rPr>
          <w:rFonts w:ascii="Book Antiqua" w:hAnsi="Book Antiqua"/>
          <w:sz w:val="24"/>
          <w:szCs w:val="24"/>
          <w:vertAlign w:val="superscript"/>
        </w:rPr>
        <w:t>23]</w:t>
      </w:r>
      <w:r w:rsidRPr="00443A23">
        <w:rPr>
          <w:rFonts w:ascii="Book Antiqua" w:hAnsi="Book Antiqua"/>
          <w:sz w:val="24"/>
          <w:szCs w:val="24"/>
        </w:rPr>
        <w:t xml:space="preserve"> reviewed four randomised control trials (RCTs) of PPIs in treating symptomatic GORD infants &lt;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12 </w:t>
      </w:r>
      <w:proofErr w:type="spellStart"/>
      <w:r w:rsidR="00924037" w:rsidRPr="00443A23">
        <w:rPr>
          <w:rFonts w:ascii="Book Antiqua" w:hAnsi="Book Antiqua"/>
          <w:sz w:val="24"/>
          <w:szCs w:val="24"/>
          <w:lang w:eastAsia="zh-CN"/>
        </w:rPr>
        <w:t>mo</w:t>
      </w:r>
      <w:proofErr w:type="spellEnd"/>
      <w:r w:rsidRPr="00443A23">
        <w:rPr>
          <w:rFonts w:ascii="Book Antiqua" w:hAnsi="Book Antiqua"/>
          <w:sz w:val="24"/>
          <w:szCs w:val="24"/>
        </w:rPr>
        <w:t xml:space="preserve">, conducted by pharmaceutical companies under formal requests by the Food and Drug </w:t>
      </w:r>
      <w:r w:rsidRPr="00443A23">
        <w:rPr>
          <w:rFonts w:ascii="Book Antiqua" w:hAnsi="Book Antiqua"/>
          <w:sz w:val="24"/>
          <w:szCs w:val="24"/>
        </w:rPr>
        <w:lastRenderedPageBreak/>
        <w:t xml:space="preserve">Administration. The results of independent studies such as Moore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155C1B" w:rsidRPr="00443A23">
        <w:rPr>
          <w:rFonts w:ascii="Book Antiqua" w:hAnsi="Book Antiqua"/>
          <w:sz w:val="24"/>
          <w:szCs w:val="24"/>
          <w:vertAlign w:val="superscript"/>
        </w:rPr>
        <w:t>24]</w:t>
      </w:r>
      <w:r w:rsidRPr="00443A23">
        <w:rPr>
          <w:rFonts w:ascii="Book Antiqua" w:hAnsi="Book Antiqua"/>
          <w:sz w:val="24"/>
          <w:szCs w:val="24"/>
        </w:rPr>
        <w:t xml:space="preserve"> have corroborated with their results, which are summarised in Table 1</w:t>
      </w:r>
      <w:r w:rsidR="00924037" w:rsidRPr="00443A23">
        <w:rPr>
          <w:rFonts w:ascii="Book Antiqua" w:hAnsi="Book Antiqua"/>
          <w:sz w:val="24"/>
          <w:szCs w:val="24"/>
          <w:vertAlign w:val="superscript"/>
        </w:rPr>
        <w:t>[</w:t>
      </w:r>
      <w:r w:rsidR="00843218" w:rsidRPr="00443A23">
        <w:rPr>
          <w:rFonts w:ascii="Book Antiqua" w:hAnsi="Book Antiqua"/>
          <w:sz w:val="24"/>
          <w:szCs w:val="24"/>
          <w:vertAlign w:val="superscript"/>
        </w:rPr>
        <w:t>23-28]</w:t>
      </w:r>
      <w:r w:rsidRPr="00443A23">
        <w:rPr>
          <w:rFonts w:ascii="Book Antiqua" w:hAnsi="Book Antiqua"/>
          <w:sz w:val="24"/>
          <w:szCs w:val="24"/>
        </w:rPr>
        <w:t xml:space="preserve">. Notably, Moore et al. enrolled infants with </w:t>
      </w:r>
      <w:proofErr w:type="spellStart"/>
      <w:r w:rsidRPr="00443A23">
        <w:rPr>
          <w:rFonts w:ascii="Book Antiqua" w:hAnsi="Book Antiqua"/>
          <w:sz w:val="24"/>
          <w:szCs w:val="24"/>
        </w:rPr>
        <w:t>endoscopically</w:t>
      </w:r>
      <w:proofErr w:type="spellEnd"/>
      <w:r w:rsidRPr="00443A23">
        <w:rPr>
          <w:rFonts w:ascii="Book Antiqua" w:hAnsi="Book Antiqua"/>
          <w:sz w:val="24"/>
          <w:szCs w:val="24"/>
        </w:rPr>
        <w:t xml:space="preserve"> confirmed GORD and found omeprazole significantly reduced the reflux index (percentage of total duration pH&lt;4) in these infants compared with placebo, but irritability improved regardless o</w:t>
      </w:r>
      <w:r w:rsidR="00155C1B" w:rsidRPr="00443A23">
        <w:rPr>
          <w:rFonts w:ascii="Book Antiqua" w:hAnsi="Book Antiqua"/>
          <w:sz w:val="24"/>
          <w:szCs w:val="24"/>
        </w:rPr>
        <w:t xml:space="preserve">f </w:t>
      </w:r>
      <w:proofErr w:type="gramStart"/>
      <w:r w:rsidR="00155C1B" w:rsidRPr="00443A23">
        <w:rPr>
          <w:rFonts w:ascii="Book Antiqua" w:hAnsi="Book Antiqua"/>
          <w:sz w:val="24"/>
          <w:szCs w:val="24"/>
        </w:rPr>
        <w:t>treatment</w:t>
      </w:r>
      <w:r w:rsidR="00924037" w:rsidRPr="00443A23">
        <w:rPr>
          <w:rFonts w:ascii="Book Antiqua" w:hAnsi="Book Antiqua"/>
          <w:sz w:val="24"/>
          <w:szCs w:val="24"/>
          <w:vertAlign w:val="superscript"/>
        </w:rPr>
        <w:t>[</w:t>
      </w:r>
      <w:proofErr w:type="gramEnd"/>
      <w:r w:rsidR="00155C1B" w:rsidRPr="00443A23">
        <w:rPr>
          <w:rFonts w:ascii="Book Antiqua" w:hAnsi="Book Antiqua"/>
          <w:sz w:val="24"/>
          <w:szCs w:val="24"/>
          <w:vertAlign w:val="superscript"/>
        </w:rPr>
        <w:t>24]</w:t>
      </w:r>
      <w:r w:rsidRPr="00443A23">
        <w:rPr>
          <w:rFonts w:ascii="Book Antiqua" w:hAnsi="Book Antiqua"/>
          <w:sz w:val="24"/>
          <w:szCs w:val="24"/>
        </w:rPr>
        <w:t xml:space="preserve">. In the most recent randomised controlled trial of PPI (Esomeprazole) for the treatment of symptomatic GORD, without </w:t>
      </w:r>
      <w:r w:rsidR="002D44B1" w:rsidRPr="00443A23">
        <w:rPr>
          <w:rFonts w:ascii="Book Antiqua" w:hAnsi="Book Antiqua"/>
          <w:sz w:val="24"/>
          <w:szCs w:val="24"/>
        </w:rPr>
        <w:t>endoscopy</w:t>
      </w:r>
      <w:r w:rsidRPr="00443A23">
        <w:rPr>
          <w:rFonts w:ascii="Book Antiqua" w:hAnsi="Book Antiqua"/>
          <w:sz w:val="24"/>
          <w:szCs w:val="24"/>
        </w:rPr>
        <w:t xml:space="preserve">, all children were initially treated with PPI and then randomised to continuation of PPI or </w:t>
      </w:r>
      <w:proofErr w:type="gramStart"/>
      <w:r w:rsidRPr="00443A23">
        <w:rPr>
          <w:rFonts w:ascii="Book Antiqua" w:hAnsi="Book Antiqua"/>
          <w:sz w:val="24"/>
          <w:szCs w:val="24"/>
        </w:rPr>
        <w:t>placebo</w:t>
      </w:r>
      <w:r w:rsidR="00924037" w:rsidRPr="00443A23">
        <w:rPr>
          <w:rFonts w:ascii="Book Antiqua" w:hAnsi="Book Antiqua"/>
          <w:sz w:val="24"/>
          <w:szCs w:val="24"/>
          <w:vertAlign w:val="superscript"/>
        </w:rPr>
        <w:t>[</w:t>
      </w:r>
      <w:proofErr w:type="gramEnd"/>
      <w:r w:rsidR="002E0E5D" w:rsidRPr="00443A23">
        <w:rPr>
          <w:rFonts w:ascii="Book Antiqua" w:hAnsi="Book Antiqua"/>
          <w:sz w:val="24"/>
          <w:szCs w:val="24"/>
          <w:vertAlign w:val="superscript"/>
        </w:rPr>
        <w:t>25]</w:t>
      </w:r>
      <w:r w:rsidRPr="00443A23">
        <w:rPr>
          <w:rFonts w:ascii="Book Antiqua" w:hAnsi="Book Antiqua"/>
          <w:sz w:val="24"/>
          <w:szCs w:val="24"/>
        </w:rPr>
        <w:t xml:space="preserve">.  It found no statistically significant difference in apparent treatment failure between the PPI or placebo group.  </w:t>
      </w:r>
    </w:p>
    <w:p w14:paraId="24AD4E0A" w14:textId="77777777" w:rsidR="00924037" w:rsidRPr="00443A23" w:rsidRDefault="00924037" w:rsidP="0002686E">
      <w:pPr>
        <w:spacing w:after="0" w:line="360" w:lineRule="auto"/>
        <w:ind w:firstLineChars="150" w:firstLine="360"/>
        <w:jc w:val="both"/>
        <w:rPr>
          <w:rFonts w:ascii="Book Antiqua" w:hAnsi="Book Antiqua"/>
          <w:sz w:val="24"/>
          <w:szCs w:val="24"/>
          <w:lang w:eastAsia="zh-CN"/>
        </w:rPr>
      </w:pPr>
    </w:p>
    <w:p w14:paraId="5EEFB5BE" w14:textId="00AC6CB6" w:rsidR="00992229" w:rsidRPr="00443A23" w:rsidRDefault="00924037" w:rsidP="0002686E">
      <w:pPr>
        <w:spacing w:after="0" w:line="360" w:lineRule="auto"/>
        <w:jc w:val="both"/>
        <w:rPr>
          <w:rFonts w:ascii="Book Antiqua" w:hAnsi="Book Antiqua"/>
          <w:b/>
          <w:sz w:val="24"/>
          <w:szCs w:val="24"/>
        </w:rPr>
      </w:pPr>
      <w:r w:rsidRPr="00443A23">
        <w:rPr>
          <w:rFonts w:ascii="Book Antiqua" w:hAnsi="Book Antiqua"/>
          <w:b/>
          <w:sz w:val="24"/>
          <w:szCs w:val="24"/>
        </w:rPr>
        <w:t>SAFETY OF GASTRIC ACID INHIBITORS</w:t>
      </w:r>
    </w:p>
    <w:p w14:paraId="2D1C2339" w14:textId="26210C55"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With any pharmacological agent, there is potential for side effects.  Headache, diarrhoea, constipation and nausea are idiosyncratic effects of PPIs that occur in 14% of </w:t>
      </w:r>
      <w:proofErr w:type="gramStart"/>
      <w:r w:rsidRPr="00443A23">
        <w:rPr>
          <w:rFonts w:ascii="Book Antiqua" w:hAnsi="Book Antiqua"/>
          <w:sz w:val="24"/>
          <w:szCs w:val="24"/>
        </w:rPr>
        <w:t>children</w:t>
      </w:r>
      <w:r w:rsidR="00924037" w:rsidRPr="00443A23">
        <w:rPr>
          <w:rFonts w:ascii="Book Antiqua" w:hAnsi="Book Antiqua"/>
          <w:sz w:val="24"/>
          <w:szCs w:val="24"/>
          <w:vertAlign w:val="superscript"/>
        </w:rPr>
        <w:t>[</w:t>
      </w:r>
      <w:proofErr w:type="gramEnd"/>
      <w:r w:rsidR="00843218" w:rsidRPr="00443A23">
        <w:rPr>
          <w:rFonts w:ascii="Book Antiqua" w:hAnsi="Book Antiqua"/>
          <w:sz w:val="24"/>
          <w:szCs w:val="24"/>
          <w:vertAlign w:val="superscript"/>
        </w:rPr>
        <w:t>1]</w:t>
      </w:r>
      <w:r w:rsidRPr="00443A23">
        <w:rPr>
          <w:rFonts w:ascii="Book Antiqua" w:hAnsi="Book Antiqua"/>
          <w:sz w:val="24"/>
          <w:szCs w:val="24"/>
        </w:rPr>
        <w:t xml:space="preserve">. Acute interstitial nephritis, a rare, idiosyncratic hypersensitivity reaction to medications including PPIs, has also been reported in observational adult </w:t>
      </w:r>
      <w:proofErr w:type="gramStart"/>
      <w:r w:rsidRPr="00443A23">
        <w:rPr>
          <w:rFonts w:ascii="Book Antiqua" w:hAnsi="Book Antiqua"/>
          <w:sz w:val="24"/>
          <w:szCs w:val="24"/>
        </w:rPr>
        <w:t>studies</w:t>
      </w:r>
      <w:r w:rsidR="00924037" w:rsidRPr="00443A23">
        <w:rPr>
          <w:rFonts w:ascii="Book Antiqua" w:hAnsi="Book Antiqua"/>
          <w:sz w:val="24"/>
          <w:szCs w:val="24"/>
          <w:vertAlign w:val="superscript"/>
        </w:rPr>
        <w:t>[</w:t>
      </w:r>
      <w:proofErr w:type="gramEnd"/>
      <w:r w:rsidR="00843218" w:rsidRPr="00443A23">
        <w:rPr>
          <w:rFonts w:ascii="Book Antiqua" w:hAnsi="Book Antiqua"/>
          <w:sz w:val="24"/>
          <w:szCs w:val="24"/>
          <w:vertAlign w:val="superscript"/>
        </w:rPr>
        <w:t>29]</w:t>
      </w:r>
      <w:r w:rsidRPr="00443A23">
        <w:rPr>
          <w:rFonts w:ascii="Book Antiqua" w:hAnsi="Book Antiqua"/>
          <w:sz w:val="24"/>
          <w:szCs w:val="24"/>
        </w:rPr>
        <w:t xml:space="preserve">. </w:t>
      </w:r>
      <w:r w:rsidR="00DE59E6" w:rsidRPr="00443A23">
        <w:rPr>
          <w:rFonts w:ascii="Book Antiqua" w:hAnsi="Book Antiqua"/>
          <w:sz w:val="24"/>
          <w:szCs w:val="24"/>
        </w:rPr>
        <w:t xml:space="preserve">Increased risk of infection, for example, Clostridium </w:t>
      </w:r>
      <w:proofErr w:type="spellStart"/>
      <w:r w:rsidR="00DE59E6" w:rsidRPr="00443A23">
        <w:rPr>
          <w:rFonts w:ascii="Book Antiqua" w:hAnsi="Book Antiqua"/>
          <w:sz w:val="24"/>
          <w:szCs w:val="24"/>
        </w:rPr>
        <w:t>Difficile</w:t>
      </w:r>
      <w:proofErr w:type="spellEnd"/>
      <w:r w:rsidR="00DE59E6" w:rsidRPr="00443A23">
        <w:rPr>
          <w:rFonts w:ascii="Book Antiqua" w:hAnsi="Book Antiqua"/>
          <w:sz w:val="24"/>
          <w:szCs w:val="24"/>
        </w:rPr>
        <w:t xml:space="preserve">, is increasingly being </w:t>
      </w:r>
      <w:proofErr w:type="gramStart"/>
      <w:r w:rsidR="00DE59E6" w:rsidRPr="00443A23">
        <w:rPr>
          <w:rFonts w:ascii="Book Antiqua" w:hAnsi="Book Antiqua"/>
          <w:sz w:val="24"/>
          <w:szCs w:val="24"/>
        </w:rPr>
        <w:t>recognised</w:t>
      </w:r>
      <w:r w:rsidR="00924037" w:rsidRPr="00443A23">
        <w:rPr>
          <w:rFonts w:ascii="Book Antiqua" w:hAnsi="Book Antiqua"/>
          <w:sz w:val="24"/>
          <w:szCs w:val="24"/>
          <w:vertAlign w:val="superscript"/>
        </w:rPr>
        <w:t>[</w:t>
      </w:r>
      <w:proofErr w:type="gramEnd"/>
      <w:r w:rsidR="00DE59E6" w:rsidRPr="00443A23">
        <w:rPr>
          <w:rFonts w:ascii="Book Antiqua" w:hAnsi="Book Antiqua"/>
          <w:sz w:val="24"/>
          <w:szCs w:val="24"/>
          <w:vertAlign w:val="superscript"/>
        </w:rPr>
        <w:t>30]</w:t>
      </w:r>
      <w:r w:rsidR="00DE59E6" w:rsidRPr="00443A23">
        <w:rPr>
          <w:rFonts w:ascii="Book Antiqua" w:hAnsi="Book Antiqua"/>
          <w:sz w:val="24"/>
          <w:szCs w:val="24"/>
        </w:rPr>
        <w:t xml:space="preserve">.  </w:t>
      </w:r>
      <w:r w:rsidRPr="00443A23">
        <w:rPr>
          <w:rFonts w:ascii="Book Antiqua" w:hAnsi="Book Antiqua"/>
          <w:sz w:val="24"/>
          <w:szCs w:val="24"/>
        </w:rPr>
        <w:t xml:space="preserve">Side effects related to the direct inhibition of gastric acid and reflex </w:t>
      </w:r>
      <w:proofErr w:type="spellStart"/>
      <w:r w:rsidRPr="00443A23">
        <w:rPr>
          <w:rFonts w:ascii="Book Antiqua" w:hAnsi="Book Antiqua"/>
          <w:sz w:val="24"/>
          <w:szCs w:val="24"/>
        </w:rPr>
        <w:t>hypergastrinaemia</w:t>
      </w:r>
      <w:proofErr w:type="spellEnd"/>
      <w:r w:rsidRPr="00443A23">
        <w:rPr>
          <w:rFonts w:ascii="Book Antiqua" w:hAnsi="Book Antiqua"/>
          <w:sz w:val="24"/>
          <w:szCs w:val="24"/>
        </w:rPr>
        <w:t>, immunosuppression and drug metabolism have also been suggested (Table 2).</w:t>
      </w:r>
    </w:p>
    <w:p w14:paraId="2B801C72" w14:textId="77777777" w:rsidR="00992229" w:rsidRPr="00443A23" w:rsidRDefault="00992229" w:rsidP="0002686E">
      <w:pPr>
        <w:spacing w:after="0" w:line="360" w:lineRule="auto"/>
        <w:jc w:val="both"/>
        <w:rPr>
          <w:rFonts w:ascii="Book Antiqua" w:hAnsi="Book Antiqua"/>
          <w:sz w:val="24"/>
          <w:szCs w:val="24"/>
        </w:rPr>
      </w:pPr>
    </w:p>
    <w:p w14:paraId="6CD019FA" w14:textId="77777777"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Bacterial overgrowth</w:t>
      </w:r>
    </w:p>
    <w:p w14:paraId="0681807D" w14:textId="3AE0507E" w:rsidR="002F7702" w:rsidRPr="00443A23" w:rsidRDefault="002F7702" w:rsidP="0002686E">
      <w:pPr>
        <w:spacing w:after="0" w:line="360" w:lineRule="auto"/>
        <w:jc w:val="both"/>
        <w:rPr>
          <w:rFonts w:ascii="Book Antiqua" w:hAnsi="Book Antiqua"/>
          <w:sz w:val="24"/>
          <w:szCs w:val="24"/>
          <w:vertAlign w:val="superscript"/>
        </w:rPr>
      </w:pPr>
      <w:r w:rsidRPr="00443A23">
        <w:rPr>
          <w:rFonts w:ascii="Book Antiqua" w:hAnsi="Book Antiqua"/>
          <w:sz w:val="24"/>
          <w:szCs w:val="24"/>
        </w:rPr>
        <w:t>The human stomach has a median pH of 1.4, and a pH</w:t>
      </w:r>
      <w:r w:rsidR="0002686E">
        <w:rPr>
          <w:rFonts w:ascii="Book Antiqua" w:hAnsi="Book Antiqua" w:hint="eastAsia"/>
          <w:sz w:val="24"/>
          <w:szCs w:val="24"/>
          <w:lang w:eastAsia="zh-CN"/>
        </w:rPr>
        <w:t xml:space="preserve"> </w:t>
      </w:r>
      <w:r w:rsidRPr="00443A23">
        <w:rPr>
          <w:rFonts w:ascii="Book Antiqua" w:hAnsi="Book Antiqua"/>
          <w:sz w:val="24"/>
          <w:szCs w:val="24"/>
        </w:rPr>
        <w:t>&lt;</w:t>
      </w:r>
      <w:r w:rsidR="0002686E">
        <w:rPr>
          <w:rFonts w:ascii="Book Antiqua" w:hAnsi="Book Antiqua" w:hint="eastAsia"/>
          <w:sz w:val="24"/>
          <w:szCs w:val="24"/>
          <w:lang w:eastAsia="zh-CN"/>
        </w:rPr>
        <w:t xml:space="preserve"> </w:t>
      </w:r>
      <w:r w:rsidRPr="00443A23">
        <w:rPr>
          <w:rFonts w:ascii="Book Antiqua" w:hAnsi="Book Antiqua"/>
          <w:sz w:val="24"/>
          <w:szCs w:val="24"/>
        </w:rPr>
        <w:t xml:space="preserve">4 has a powerful bactericidal effect on ingested acid-sensitive </w:t>
      </w:r>
      <w:proofErr w:type="gramStart"/>
      <w:r w:rsidRPr="00443A23">
        <w:rPr>
          <w:rFonts w:ascii="Book Antiqua" w:hAnsi="Book Antiqua"/>
          <w:sz w:val="24"/>
          <w:szCs w:val="24"/>
        </w:rPr>
        <w:t>bacteria</w:t>
      </w:r>
      <w:r w:rsidR="00924037" w:rsidRPr="00443A23">
        <w:rPr>
          <w:rFonts w:ascii="Book Antiqua" w:hAnsi="Book Antiqua"/>
          <w:sz w:val="24"/>
          <w:szCs w:val="24"/>
          <w:vertAlign w:val="superscript"/>
        </w:rPr>
        <w:t>[</w:t>
      </w:r>
      <w:proofErr w:type="gramEnd"/>
      <w:r w:rsidR="00DE59E6" w:rsidRPr="00443A23">
        <w:rPr>
          <w:rFonts w:ascii="Book Antiqua" w:hAnsi="Book Antiqua"/>
          <w:sz w:val="24"/>
          <w:szCs w:val="24"/>
          <w:vertAlign w:val="superscript"/>
        </w:rPr>
        <w:t>18</w:t>
      </w:r>
      <w:r w:rsidR="00B25FA0" w:rsidRPr="00443A23">
        <w:rPr>
          <w:rFonts w:ascii="Book Antiqua" w:hAnsi="Book Antiqua"/>
          <w:sz w:val="24"/>
          <w:szCs w:val="24"/>
          <w:vertAlign w:val="superscript"/>
        </w:rPr>
        <w:t>]</w:t>
      </w:r>
      <w:r w:rsidRPr="00443A23">
        <w:rPr>
          <w:rFonts w:ascii="Book Antiqua" w:hAnsi="Book Antiqua"/>
          <w:sz w:val="24"/>
          <w:szCs w:val="24"/>
        </w:rPr>
        <w:t>. PPIs often cause a gastric environment with pH</w:t>
      </w:r>
      <w:r w:rsidR="00924037" w:rsidRPr="00443A23">
        <w:rPr>
          <w:rFonts w:ascii="Book Antiqua" w:hAnsi="Book Antiqua"/>
          <w:sz w:val="24"/>
          <w:szCs w:val="24"/>
          <w:lang w:eastAsia="zh-CN"/>
        </w:rPr>
        <w:t xml:space="preserve"> </w:t>
      </w:r>
      <w:r w:rsidRPr="00443A23">
        <w:rPr>
          <w:rFonts w:ascii="Book Antiqua" w:hAnsi="Book Antiqua"/>
          <w:sz w:val="24"/>
          <w:szCs w:val="24"/>
        </w:rPr>
        <w:t>&gt;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4, inducing a state of </w:t>
      </w:r>
      <w:proofErr w:type="spellStart"/>
      <w:r w:rsidRPr="00443A23">
        <w:rPr>
          <w:rFonts w:ascii="Book Antiqua" w:hAnsi="Book Antiqua"/>
          <w:sz w:val="24"/>
          <w:szCs w:val="24"/>
        </w:rPr>
        <w:t>hypochlorhydria</w:t>
      </w:r>
      <w:proofErr w:type="spellEnd"/>
      <w:r w:rsidRPr="00443A23">
        <w:rPr>
          <w:rFonts w:ascii="Book Antiqua" w:hAnsi="Book Antiqua"/>
          <w:sz w:val="24"/>
          <w:szCs w:val="24"/>
        </w:rPr>
        <w:t xml:space="preserve"> which allows the overgrowth of bacteria in the </w:t>
      </w:r>
      <w:proofErr w:type="gramStart"/>
      <w:r w:rsidRPr="00443A23">
        <w:rPr>
          <w:rFonts w:ascii="Book Antiqua" w:hAnsi="Book Antiqua"/>
          <w:sz w:val="24"/>
          <w:szCs w:val="24"/>
        </w:rPr>
        <w:t>stomach</w:t>
      </w:r>
      <w:r w:rsidR="00924037" w:rsidRPr="00443A23">
        <w:rPr>
          <w:rFonts w:ascii="Book Antiqua" w:hAnsi="Book Antiqua"/>
          <w:sz w:val="24"/>
          <w:szCs w:val="24"/>
          <w:vertAlign w:val="superscript"/>
        </w:rPr>
        <w:t>[</w:t>
      </w:r>
      <w:proofErr w:type="gramEnd"/>
      <w:r w:rsidR="00DE59E6" w:rsidRPr="00443A23">
        <w:rPr>
          <w:rFonts w:ascii="Book Antiqua" w:hAnsi="Book Antiqua"/>
          <w:sz w:val="24"/>
          <w:szCs w:val="24"/>
          <w:vertAlign w:val="superscript"/>
        </w:rPr>
        <w:t>18</w:t>
      </w:r>
      <w:r w:rsidR="00B25FA0" w:rsidRPr="00443A23">
        <w:rPr>
          <w:rFonts w:ascii="Book Antiqua" w:hAnsi="Book Antiqua"/>
          <w:sz w:val="24"/>
          <w:szCs w:val="24"/>
          <w:vertAlign w:val="superscript"/>
        </w:rPr>
        <w:t>]</w:t>
      </w:r>
      <w:r w:rsidR="00924037" w:rsidRPr="00443A23">
        <w:rPr>
          <w:rFonts w:ascii="Book Antiqua" w:hAnsi="Book Antiqua"/>
          <w:sz w:val="24"/>
          <w:szCs w:val="24"/>
        </w:rPr>
        <w:t xml:space="preserve">. Recently, </w:t>
      </w:r>
      <w:proofErr w:type="spellStart"/>
      <w:r w:rsidR="00924037" w:rsidRPr="00443A23">
        <w:rPr>
          <w:rFonts w:ascii="Book Antiqua" w:hAnsi="Book Antiqua"/>
          <w:sz w:val="24"/>
          <w:szCs w:val="24"/>
        </w:rPr>
        <w:t>Kanno</w:t>
      </w:r>
      <w:proofErr w:type="spellEnd"/>
      <w:r w:rsidR="00924037" w:rsidRPr="00443A23">
        <w:rPr>
          <w:rFonts w:ascii="Book Antiqua" w:hAnsi="Book Antiqua"/>
          <w:sz w:val="24"/>
          <w:szCs w:val="24"/>
        </w:rPr>
        <w:t xml:space="preserv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B25FA0" w:rsidRPr="00443A23">
        <w:rPr>
          <w:rFonts w:ascii="Book Antiqua" w:hAnsi="Book Antiqua"/>
          <w:sz w:val="24"/>
          <w:szCs w:val="24"/>
          <w:vertAlign w:val="superscript"/>
        </w:rPr>
        <w:t>31]</w:t>
      </w:r>
      <w:r w:rsidRPr="00443A23">
        <w:rPr>
          <w:rFonts w:ascii="Book Antiqua" w:hAnsi="Book Antiqua"/>
          <w:sz w:val="24"/>
          <w:szCs w:val="24"/>
        </w:rPr>
        <w:t xml:space="preserve"> observed the effect of gastric acid inhibition in altering lower-intestinal </w:t>
      </w:r>
      <w:proofErr w:type="spellStart"/>
      <w:r w:rsidRPr="00443A23">
        <w:rPr>
          <w:rFonts w:ascii="Book Antiqua" w:hAnsi="Book Antiqua"/>
          <w:sz w:val="24"/>
          <w:szCs w:val="24"/>
        </w:rPr>
        <w:t>microflora</w:t>
      </w:r>
      <w:proofErr w:type="spellEnd"/>
      <w:r w:rsidRPr="00443A23">
        <w:rPr>
          <w:rFonts w:ascii="Book Antiqua" w:hAnsi="Book Antiqua"/>
          <w:sz w:val="24"/>
          <w:szCs w:val="24"/>
        </w:rPr>
        <w:t xml:space="preserve"> in PPI treated rats and asymptomatic humans with </w:t>
      </w:r>
      <w:proofErr w:type="spellStart"/>
      <w:r w:rsidRPr="00443A23">
        <w:rPr>
          <w:rFonts w:ascii="Book Antiqua" w:hAnsi="Book Antiqua"/>
          <w:sz w:val="24"/>
          <w:szCs w:val="24"/>
        </w:rPr>
        <w:t>achlorhydria</w:t>
      </w:r>
      <w:proofErr w:type="spellEnd"/>
      <w:r w:rsidRPr="00443A23">
        <w:rPr>
          <w:rFonts w:ascii="Book Antiqua" w:hAnsi="Book Antiqua"/>
          <w:sz w:val="24"/>
          <w:szCs w:val="24"/>
        </w:rPr>
        <w:t xml:space="preserve">. The authors showed a significant dose-dependent increase in Lactobacillus and </w:t>
      </w:r>
      <w:proofErr w:type="spellStart"/>
      <w:r w:rsidRPr="00443A23">
        <w:rPr>
          <w:rFonts w:ascii="Book Antiqua" w:hAnsi="Book Antiqua"/>
          <w:sz w:val="24"/>
          <w:szCs w:val="24"/>
        </w:rPr>
        <w:t>Veillonella</w:t>
      </w:r>
      <w:proofErr w:type="spellEnd"/>
      <w:r w:rsidRPr="00443A23">
        <w:rPr>
          <w:rFonts w:ascii="Book Antiqua" w:hAnsi="Book Antiqua"/>
          <w:sz w:val="24"/>
          <w:szCs w:val="24"/>
        </w:rPr>
        <w:t xml:space="preserve"> populations (bacteria of </w:t>
      </w:r>
      <w:proofErr w:type="spellStart"/>
      <w:r w:rsidRPr="00443A23">
        <w:rPr>
          <w:rFonts w:ascii="Book Antiqua" w:hAnsi="Book Antiqua"/>
          <w:sz w:val="24"/>
          <w:szCs w:val="24"/>
        </w:rPr>
        <w:t>oropharyngeal</w:t>
      </w:r>
      <w:proofErr w:type="spellEnd"/>
      <w:r w:rsidRPr="00443A23">
        <w:rPr>
          <w:rFonts w:ascii="Book Antiqua" w:hAnsi="Book Antiqua"/>
          <w:sz w:val="24"/>
          <w:szCs w:val="24"/>
        </w:rPr>
        <w:t xml:space="preserve"> origin) in both rats and humans and in rats, potent gastric acid inhibition also led to a marked and significant increase of intestinal bacteria, including the </w:t>
      </w:r>
      <w:proofErr w:type="spellStart"/>
      <w:r w:rsidRPr="00443A23">
        <w:rPr>
          <w:rFonts w:ascii="Book Antiqua" w:hAnsi="Book Antiqua"/>
          <w:sz w:val="24"/>
          <w:szCs w:val="24"/>
        </w:rPr>
        <w:t>Bacteroides</w:t>
      </w:r>
      <w:proofErr w:type="spellEnd"/>
      <w:r w:rsidRPr="00443A23">
        <w:rPr>
          <w:rFonts w:ascii="Book Antiqua" w:hAnsi="Book Antiqua"/>
          <w:sz w:val="24"/>
          <w:szCs w:val="24"/>
        </w:rPr>
        <w:t xml:space="preserve"> </w:t>
      </w:r>
      <w:proofErr w:type="spellStart"/>
      <w:r w:rsidRPr="00443A23">
        <w:rPr>
          <w:rFonts w:ascii="Book Antiqua" w:hAnsi="Book Antiqua"/>
          <w:sz w:val="24"/>
          <w:szCs w:val="24"/>
        </w:rPr>
        <w:t>fragilis</w:t>
      </w:r>
      <w:proofErr w:type="spellEnd"/>
      <w:r w:rsidRPr="00443A23">
        <w:rPr>
          <w:rFonts w:ascii="Book Antiqua" w:hAnsi="Book Antiqua"/>
          <w:sz w:val="24"/>
          <w:szCs w:val="24"/>
        </w:rPr>
        <w:t xml:space="preserve"> </w:t>
      </w:r>
      <w:proofErr w:type="gramStart"/>
      <w:r w:rsidRPr="00443A23">
        <w:rPr>
          <w:rFonts w:ascii="Book Antiqua" w:hAnsi="Book Antiqua"/>
          <w:sz w:val="24"/>
          <w:szCs w:val="24"/>
        </w:rPr>
        <w:t>group</w:t>
      </w:r>
      <w:r w:rsidR="00924037" w:rsidRPr="00443A23">
        <w:rPr>
          <w:rFonts w:ascii="Book Antiqua" w:hAnsi="Book Antiqua"/>
          <w:sz w:val="24"/>
          <w:szCs w:val="24"/>
          <w:vertAlign w:val="superscript"/>
        </w:rPr>
        <w:t>[</w:t>
      </w:r>
      <w:proofErr w:type="gramEnd"/>
      <w:r w:rsidR="00B25FA0" w:rsidRPr="00443A23">
        <w:rPr>
          <w:rFonts w:ascii="Book Antiqua" w:hAnsi="Book Antiqua"/>
          <w:sz w:val="24"/>
          <w:szCs w:val="24"/>
          <w:vertAlign w:val="superscript"/>
        </w:rPr>
        <w:t>31]</w:t>
      </w:r>
      <w:r w:rsidRPr="00443A23">
        <w:rPr>
          <w:rFonts w:ascii="Book Antiqua" w:hAnsi="Book Antiqua"/>
          <w:sz w:val="24"/>
          <w:szCs w:val="24"/>
        </w:rPr>
        <w:t xml:space="preserve">.  Modern genomic techniques have </w:t>
      </w:r>
      <w:r w:rsidRPr="00443A23">
        <w:rPr>
          <w:rFonts w:ascii="Book Antiqua" w:hAnsi="Book Antiqua"/>
          <w:sz w:val="24"/>
          <w:szCs w:val="24"/>
        </w:rPr>
        <w:lastRenderedPageBreak/>
        <w:t xml:space="preserve">confirmed these PPI-related changes through 16S </w:t>
      </w:r>
      <w:proofErr w:type="gramStart"/>
      <w:r w:rsidRPr="00443A23">
        <w:rPr>
          <w:rFonts w:ascii="Book Antiqua" w:hAnsi="Book Antiqua"/>
          <w:sz w:val="24"/>
          <w:szCs w:val="24"/>
        </w:rPr>
        <w:t>sequencing</w:t>
      </w:r>
      <w:r w:rsidR="00924037" w:rsidRPr="00443A23">
        <w:rPr>
          <w:rFonts w:ascii="Book Antiqua" w:hAnsi="Book Antiqua"/>
          <w:sz w:val="24"/>
          <w:szCs w:val="24"/>
          <w:vertAlign w:val="superscript"/>
        </w:rPr>
        <w:t>[</w:t>
      </w:r>
      <w:proofErr w:type="gramEnd"/>
      <w:r w:rsidR="00226BE6" w:rsidRPr="00443A23">
        <w:rPr>
          <w:rFonts w:ascii="Book Antiqua" w:hAnsi="Book Antiqua"/>
          <w:sz w:val="24"/>
          <w:szCs w:val="24"/>
          <w:vertAlign w:val="superscript"/>
        </w:rPr>
        <w:t>32]</w:t>
      </w:r>
      <w:r w:rsidRPr="00443A23">
        <w:rPr>
          <w:rFonts w:ascii="Book Antiqua" w:hAnsi="Book Antiqua"/>
          <w:sz w:val="24"/>
          <w:szCs w:val="24"/>
        </w:rPr>
        <w:t xml:space="preserve">. These microbial changes are thought to be due to the lack of the gastric acid barrier allowing bacteria to enter the intestine and also the effect of impaired protein digestion providing nutrients to facilitate bacterial </w:t>
      </w:r>
      <w:proofErr w:type="gramStart"/>
      <w:r w:rsidRPr="00443A23">
        <w:rPr>
          <w:rFonts w:ascii="Book Antiqua" w:hAnsi="Book Antiqua"/>
          <w:sz w:val="24"/>
          <w:szCs w:val="24"/>
        </w:rPr>
        <w:t>growth</w:t>
      </w:r>
      <w:r w:rsidR="00924037" w:rsidRPr="00443A23">
        <w:rPr>
          <w:rFonts w:ascii="Book Antiqua" w:hAnsi="Book Antiqua"/>
          <w:sz w:val="24"/>
          <w:szCs w:val="24"/>
          <w:vertAlign w:val="superscript"/>
        </w:rPr>
        <w:t>[</w:t>
      </w:r>
      <w:proofErr w:type="gramEnd"/>
      <w:r w:rsidR="00B25FA0" w:rsidRPr="00443A23">
        <w:rPr>
          <w:rFonts w:ascii="Book Antiqua" w:hAnsi="Book Antiqua"/>
          <w:sz w:val="24"/>
          <w:szCs w:val="24"/>
          <w:vertAlign w:val="superscript"/>
        </w:rPr>
        <w:t>31]</w:t>
      </w:r>
      <w:r w:rsidRPr="00443A23">
        <w:rPr>
          <w:rFonts w:ascii="Book Antiqua" w:hAnsi="Book Antiqua"/>
          <w:sz w:val="24"/>
          <w:szCs w:val="24"/>
        </w:rPr>
        <w:t xml:space="preserve">. Links have previously been made between these and similar changes to intestinal </w:t>
      </w:r>
      <w:proofErr w:type="spellStart"/>
      <w:r w:rsidRPr="00443A23">
        <w:rPr>
          <w:rFonts w:ascii="Book Antiqua" w:hAnsi="Book Antiqua"/>
          <w:sz w:val="24"/>
          <w:szCs w:val="24"/>
        </w:rPr>
        <w:t>microbiome</w:t>
      </w:r>
      <w:proofErr w:type="spellEnd"/>
      <w:r w:rsidRPr="00443A23">
        <w:rPr>
          <w:rFonts w:ascii="Book Antiqua" w:hAnsi="Book Antiqua"/>
          <w:sz w:val="24"/>
          <w:szCs w:val="24"/>
        </w:rPr>
        <w:t xml:space="preserve"> and the pathogenesis of inflammatory and malignant conditions of the </w:t>
      </w:r>
      <w:proofErr w:type="gramStart"/>
      <w:r w:rsidRPr="00443A23">
        <w:rPr>
          <w:rFonts w:ascii="Book Antiqua" w:hAnsi="Book Antiqua"/>
          <w:sz w:val="24"/>
          <w:szCs w:val="24"/>
        </w:rPr>
        <w:t>bowel</w:t>
      </w:r>
      <w:r w:rsidR="00924037" w:rsidRPr="00443A23">
        <w:rPr>
          <w:rFonts w:ascii="Book Antiqua" w:hAnsi="Book Antiqua"/>
          <w:sz w:val="24"/>
          <w:szCs w:val="24"/>
          <w:vertAlign w:val="superscript"/>
        </w:rPr>
        <w:t>[</w:t>
      </w:r>
      <w:proofErr w:type="gramEnd"/>
      <w:r w:rsidR="004E11F0" w:rsidRPr="00443A23">
        <w:rPr>
          <w:rFonts w:ascii="Book Antiqua" w:hAnsi="Book Antiqua"/>
          <w:sz w:val="24"/>
          <w:szCs w:val="24"/>
          <w:vertAlign w:val="superscript"/>
        </w:rPr>
        <w:t>33]</w:t>
      </w:r>
      <w:r w:rsidRPr="00443A23">
        <w:rPr>
          <w:rFonts w:ascii="Book Antiqua" w:hAnsi="Book Antiqua"/>
          <w:sz w:val="24"/>
          <w:szCs w:val="24"/>
        </w:rPr>
        <w:t xml:space="preserve">.  </w:t>
      </w:r>
    </w:p>
    <w:p w14:paraId="312AE7D8" w14:textId="77777777" w:rsidR="002F7702" w:rsidRPr="00443A23" w:rsidRDefault="002F7702" w:rsidP="0002686E">
      <w:pPr>
        <w:spacing w:after="0" w:line="360" w:lineRule="auto"/>
        <w:jc w:val="both"/>
        <w:rPr>
          <w:rFonts w:ascii="Book Antiqua" w:hAnsi="Book Antiqua"/>
          <w:sz w:val="24"/>
          <w:szCs w:val="24"/>
        </w:rPr>
      </w:pPr>
    </w:p>
    <w:p w14:paraId="560D184B" w14:textId="59154D19"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Risk of </w:t>
      </w:r>
      <w:r w:rsidR="00924037" w:rsidRPr="00443A23">
        <w:rPr>
          <w:rFonts w:ascii="Book Antiqua" w:hAnsi="Book Antiqua"/>
          <w:b/>
          <w:i/>
          <w:sz w:val="24"/>
          <w:szCs w:val="24"/>
        </w:rPr>
        <w:t xml:space="preserve">infections  </w:t>
      </w:r>
    </w:p>
    <w:p w14:paraId="4F69D262" w14:textId="0B4C55BF"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The pathogenic mechanism that allows enteric bacteria to cause gastrointestinal infections is multi-factorial. Gastric acid inhibition reduces the gastric </w:t>
      </w:r>
      <w:proofErr w:type="spellStart"/>
      <w:r w:rsidRPr="00443A23">
        <w:rPr>
          <w:rFonts w:ascii="Book Antiqua" w:hAnsi="Book Antiqua"/>
          <w:sz w:val="24"/>
          <w:szCs w:val="24"/>
        </w:rPr>
        <w:t>microbiocidal</w:t>
      </w:r>
      <w:proofErr w:type="spellEnd"/>
      <w:r w:rsidRPr="00443A23">
        <w:rPr>
          <w:rFonts w:ascii="Book Antiqua" w:hAnsi="Book Antiqua"/>
          <w:sz w:val="24"/>
          <w:szCs w:val="24"/>
        </w:rPr>
        <w:t xml:space="preserve"> barrier, delays gastric emptying, reduces gastric mucus viscosity thereby increasing the risk of bacterial translocation in addition to increasing the risk of colonisation by bacterial agents. Gastric acid inhibition also has an adverse effect on leukocyte function by decreasing adhesion to endothelial cells, reducing chemotactic response to bacterial proteins and inhibiting neutrophil phagocytosis by </w:t>
      </w:r>
      <w:proofErr w:type="spellStart"/>
      <w:r w:rsidRPr="00443A23">
        <w:rPr>
          <w:rFonts w:ascii="Book Antiqua" w:hAnsi="Book Antiqua"/>
          <w:sz w:val="24"/>
          <w:szCs w:val="24"/>
        </w:rPr>
        <w:t>phago</w:t>
      </w:r>
      <w:r w:rsidR="004E11F0" w:rsidRPr="00443A23">
        <w:rPr>
          <w:rFonts w:ascii="Book Antiqua" w:hAnsi="Book Antiqua"/>
          <w:sz w:val="24"/>
          <w:szCs w:val="24"/>
        </w:rPr>
        <w:t>some</w:t>
      </w:r>
      <w:proofErr w:type="spellEnd"/>
      <w:r w:rsidR="004E11F0" w:rsidRPr="00443A23">
        <w:rPr>
          <w:rFonts w:ascii="Book Antiqua" w:hAnsi="Book Antiqua"/>
          <w:sz w:val="24"/>
          <w:szCs w:val="24"/>
        </w:rPr>
        <w:t xml:space="preserve"> </w:t>
      </w:r>
      <w:proofErr w:type="gramStart"/>
      <w:r w:rsidR="004E11F0" w:rsidRPr="00443A23">
        <w:rPr>
          <w:rFonts w:ascii="Book Antiqua" w:hAnsi="Book Antiqua"/>
          <w:sz w:val="24"/>
          <w:szCs w:val="24"/>
        </w:rPr>
        <w:t>acidification</w:t>
      </w:r>
      <w:r w:rsidR="00924037" w:rsidRPr="00443A23">
        <w:rPr>
          <w:rFonts w:ascii="Book Antiqua" w:hAnsi="Book Antiqua"/>
          <w:sz w:val="24"/>
          <w:szCs w:val="24"/>
          <w:vertAlign w:val="superscript"/>
        </w:rPr>
        <w:t>[</w:t>
      </w:r>
      <w:proofErr w:type="gramEnd"/>
      <w:r w:rsidR="004E11F0" w:rsidRPr="00443A23">
        <w:rPr>
          <w:rFonts w:ascii="Book Antiqua" w:hAnsi="Book Antiqua"/>
          <w:sz w:val="24"/>
          <w:szCs w:val="24"/>
          <w:vertAlign w:val="superscript"/>
        </w:rPr>
        <w:t>16]</w:t>
      </w:r>
      <w:r w:rsidRPr="00443A23">
        <w:rPr>
          <w:rFonts w:ascii="Book Antiqua" w:hAnsi="Book Antiqua"/>
          <w:sz w:val="24"/>
          <w:szCs w:val="24"/>
        </w:rPr>
        <w:t xml:space="preserve">. This is potentially important in neonates and infants, who have immature </w:t>
      </w:r>
      <w:proofErr w:type="spellStart"/>
      <w:r w:rsidRPr="00443A23">
        <w:rPr>
          <w:rFonts w:ascii="Book Antiqua" w:hAnsi="Book Antiqua"/>
          <w:sz w:val="24"/>
          <w:szCs w:val="24"/>
        </w:rPr>
        <w:t>humo</w:t>
      </w:r>
      <w:r w:rsidR="004E11F0" w:rsidRPr="00443A23">
        <w:rPr>
          <w:rFonts w:ascii="Book Antiqua" w:hAnsi="Book Antiqua"/>
          <w:sz w:val="24"/>
          <w:szCs w:val="24"/>
        </w:rPr>
        <w:t>ral</w:t>
      </w:r>
      <w:proofErr w:type="spellEnd"/>
      <w:r w:rsidR="004E11F0" w:rsidRPr="00443A23">
        <w:rPr>
          <w:rFonts w:ascii="Book Antiqua" w:hAnsi="Book Antiqua"/>
          <w:sz w:val="24"/>
          <w:szCs w:val="24"/>
        </w:rPr>
        <w:t xml:space="preserve"> </w:t>
      </w:r>
      <w:proofErr w:type="gramStart"/>
      <w:r w:rsidR="004E11F0" w:rsidRPr="00443A23">
        <w:rPr>
          <w:rFonts w:ascii="Book Antiqua" w:hAnsi="Book Antiqua"/>
          <w:sz w:val="24"/>
          <w:szCs w:val="24"/>
        </w:rPr>
        <w:t>immunity</w:t>
      </w:r>
      <w:r w:rsidR="00924037" w:rsidRPr="00443A23">
        <w:rPr>
          <w:rFonts w:ascii="Book Antiqua" w:hAnsi="Book Antiqua"/>
          <w:sz w:val="24"/>
          <w:szCs w:val="24"/>
          <w:vertAlign w:val="superscript"/>
        </w:rPr>
        <w:t>[</w:t>
      </w:r>
      <w:proofErr w:type="gramEnd"/>
      <w:r w:rsidR="004E11F0" w:rsidRPr="00443A23">
        <w:rPr>
          <w:rFonts w:ascii="Book Antiqua" w:hAnsi="Book Antiqua"/>
          <w:sz w:val="24"/>
          <w:szCs w:val="24"/>
          <w:vertAlign w:val="superscript"/>
        </w:rPr>
        <w:t>16]</w:t>
      </w:r>
      <w:r w:rsidRPr="00443A23">
        <w:rPr>
          <w:rFonts w:ascii="Book Antiqua" w:hAnsi="Book Antiqua"/>
          <w:sz w:val="24"/>
          <w:szCs w:val="24"/>
        </w:rPr>
        <w:t xml:space="preserve">. A study on the numbers and type of bacteria in nasogastric tubes of patients receiving GAI demonstrated increased numbers of bacteria including Streptococcus, a known cause of community acquired </w:t>
      </w:r>
      <w:proofErr w:type="gramStart"/>
      <w:r w:rsidRPr="00443A23">
        <w:rPr>
          <w:rFonts w:ascii="Book Antiqua" w:hAnsi="Book Antiqua"/>
          <w:sz w:val="24"/>
          <w:szCs w:val="24"/>
        </w:rPr>
        <w:t>pneumonia</w:t>
      </w:r>
      <w:r w:rsidR="00924037" w:rsidRPr="00443A23">
        <w:rPr>
          <w:rFonts w:ascii="Book Antiqua" w:hAnsi="Book Antiqua"/>
          <w:sz w:val="24"/>
          <w:szCs w:val="24"/>
          <w:vertAlign w:val="superscript"/>
        </w:rPr>
        <w:t>[</w:t>
      </w:r>
      <w:proofErr w:type="gramEnd"/>
      <w:r w:rsidR="004E11F0" w:rsidRPr="00443A23">
        <w:rPr>
          <w:rFonts w:ascii="Book Antiqua" w:hAnsi="Book Antiqua"/>
          <w:sz w:val="24"/>
          <w:szCs w:val="24"/>
          <w:vertAlign w:val="superscript"/>
        </w:rPr>
        <w:t>34]</w:t>
      </w:r>
      <w:r w:rsidRPr="00443A23">
        <w:rPr>
          <w:rFonts w:ascii="Book Antiqua" w:hAnsi="Book Antiqua"/>
          <w:sz w:val="24"/>
          <w:szCs w:val="24"/>
        </w:rPr>
        <w:t xml:space="preserve">. It is possible that the risk of pneumonia is increased as result of reflux aspiration of gastrointestinal contents into the lungs. PPIs may also directly inhibit the </w:t>
      </w:r>
      <w:proofErr w:type="spellStart"/>
      <w:r w:rsidRPr="00443A23">
        <w:rPr>
          <w:rFonts w:ascii="Book Antiqua" w:hAnsi="Book Antiqua"/>
          <w:sz w:val="24"/>
          <w:szCs w:val="24"/>
        </w:rPr>
        <w:t>H+K+ATPase</w:t>
      </w:r>
      <w:proofErr w:type="spellEnd"/>
      <w:r w:rsidRPr="00443A23">
        <w:rPr>
          <w:rFonts w:ascii="Book Antiqua" w:hAnsi="Book Antiqua"/>
          <w:sz w:val="24"/>
          <w:szCs w:val="24"/>
        </w:rPr>
        <w:t xml:space="preserve"> present in the respiratory tract, altering the pH of its </w:t>
      </w:r>
      <w:proofErr w:type="spellStart"/>
      <w:r w:rsidRPr="00443A23">
        <w:rPr>
          <w:rFonts w:ascii="Book Antiqua" w:hAnsi="Book Antiqua"/>
          <w:sz w:val="24"/>
          <w:szCs w:val="24"/>
        </w:rPr>
        <w:t>seromucinous</w:t>
      </w:r>
      <w:proofErr w:type="spellEnd"/>
      <w:r w:rsidRPr="00443A23">
        <w:rPr>
          <w:rFonts w:ascii="Book Antiqua" w:hAnsi="Book Antiqua"/>
          <w:sz w:val="24"/>
          <w:szCs w:val="24"/>
        </w:rPr>
        <w:t xml:space="preserve"> </w:t>
      </w:r>
      <w:proofErr w:type="gramStart"/>
      <w:r w:rsidRPr="00443A23">
        <w:rPr>
          <w:rFonts w:ascii="Book Antiqua" w:hAnsi="Book Antiqua"/>
          <w:sz w:val="24"/>
          <w:szCs w:val="24"/>
        </w:rPr>
        <w:t>secretions</w:t>
      </w:r>
      <w:r w:rsidR="00924037" w:rsidRPr="00443A23">
        <w:rPr>
          <w:rFonts w:ascii="Book Antiqua" w:hAnsi="Book Antiqua"/>
          <w:sz w:val="24"/>
          <w:szCs w:val="24"/>
          <w:vertAlign w:val="superscript"/>
        </w:rPr>
        <w:t>[</w:t>
      </w:r>
      <w:proofErr w:type="gramEnd"/>
      <w:r w:rsidR="004E11F0" w:rsidRPr="00443A23">
        <w:rPr>
          <w:rFonts w:ascii="Book Antiqua" w:hAnsi="Book Antiqua"/>
          <w:sz w:val="24"/>
          <w:szCs w:val="24"/>
          <w:vertAlign w:val="superscript"/>
        </w:rPr>
        <w:t>35]</w:t>
      </w:r>
      <w:r w:rsidRPr="00443A23">
        <w:rPr>
          <w:rFonts w:ascii="Book Antiqua" w:hAnsi="Book Antiqua"/>
          <w:sz w:val="24"/>
          <w:szCs w:val="24"/>
        </w:rPr>
        <w:t>.</w:t>
      </w:r>
    </w:p>
    <w:p w14:paraId="29B8CAFA" w14:textId="77777777" w:rsidR="002F7702" w:rsidRPr="00443A23" w:rsidRDefault="002F7702" w:rsidP="0002686E">
      <w:pPr>
        <w:spacing w:after="0" w:line="360" w:lineRule="auto"/>
        <w:jc w:val="both"/>
        <w:rPr>
          <w:rFonts w:ascii="Book Antiqua" w:hAnsi="Book Antiqua"/>
          <w:sz w:val="24"/>
          <w:szCs w:val="24"/>
        </w:rPr>
      </w:pPr>
    </w:p>
    <w:p w14:paraId="314F9656" w14:textId="13215817"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Adult </w:t>
      </w:r>
      <w:r w:rsidR="00924037" w:rsidRPr="00443A23">
        <w:rPr>
          <w:rFonts w:ascii="Book Antiqua" w:hAnsi="Book Antiqua"/>
          <w:b/>
          <w:i/>
          <w:sz w:val="24"/>
          <w:szCs w:val="24"/>
        </w:rPr>
        <w:t xml:space="preserve">studies </w:t>
      </w:r>
    </w:p>
    <w:p w14:paraId="55473FF3" w14:textId="44C4F581"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A meta-analysis of 26 observational studies found a significant association between PPI/H2RA use and Clostridium </w:t>
      </w:r>
      <w:proofErr w:type="spellStart"/>
      <w:r w:rsidRPr="00443A23">
        <w:rPr>
          <w:rFonts w:ascii="Book Antiqua" w:hAnsi="Book Antiqua"/>
          <w:sz w:val="24"/>
          <w:szCs w:val="24"/>
        </w:rPr>
        <w:t>difficile</w:t>
      </w:r>
      <w:proofErr w:type="spellEnd"/>
      <w:r w:rsidRPr="00443A23">
        <w:rPr>
          <w:rFonts w:ascii="Book Antiqua" w:hAnsi="Book Antiqua"/>
          <w:sz w:val="24"/>
          <w:szCs w:val="24"/>
        </w:rPr>
        <w:t xml:space="preserve"> infections</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w:t>
      </w:r>
      <w:r w:rsidRPr="00443A23">
        <w:rPr>
          <w:rFonts w:ascii="Book Antiqua" w:hAnsi="Book Antiqua"/>
          <w:sz w:val="24"/>
          <w:szCs w:val="24"/>
        </w:rPr>
        <w:t>pooled OR</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 1.95, 95%CI</w:t>
      </w:r>
      <w:r w:rsidR="00924037" w:rsidRPr="00443A23">
        <w:rPr>
          <w:rFonts w:ascii="Book Antiqua" w:hAnsi="Book Antiqua"/>
          <w:sz w:val="24"/>
          <w:szCs w:val="24"/>
          <w:lang w:eastAsia="zh-CN"/>
        </w:rPr>
        <w:t>:</w:t>
      </w:r>
      <w:r w:rsidRPr="00443A23">
        <w:rPr>
          <w:rFonts w:ascii="Book Antiqua" w:hAnsi="Book Antiqua"/>
          <w:sz w:val="24"/>
          <w:szCs w:val="24"/>
        </w:rPr>
        <w:t xml:space="preserve"> 1.48-2.58], and </w:t>
      </w:r>
      <w:r w:rsidR="00924037" w:rsidRPr="00443A23">
        <w:rPr>
          <w:rFonts w:ascii="Book Antiqua" w:hAnsi="Book Antiqua"/>
          <w:sz w:val="24"/>
          <w:szCs w:val="24"/>
          <w:lang w:eastAsia="zh-CN"/>
        </w:rPr>
        <w:t>“</w:t>
      </w:r>
      <w:r w:rsidRPr="00443A23">
        <w:rPr>
          <w:rFonts w:ascii="Book Antiqua" w:hAnsi="Book Antiqua"/>
          <w:sz w:val="24"/>
          <w:szCs w:val="24"/>
        </w:rPr>
        <w:t>other</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enteric infections (Salmonella or </w:t>
      </w:r>
      <w:proofErr w:type="spellStart"/>
      <w:r w:rsidRPr="00443A23">
        <w:rPr>
          <w:rFonts w:ascii="Book Antiqua" w:hAnsi="Book Antiqua"/>
          <w:sz w:val="24"/>
          <w:szCs w:val="24"/>
        </w:rPr>
        <w:t>Campylobactor</w:t>
      </w:r>
      <w:proofErr w:type="spellEnd"/>
      <w:r w:rsidRPr="00443A23">
        <w:rPr>
          <w:rFonts w:ascii="Book Antiqua" w:hAnsi="Book Antiqua"/>
          <w:sz w:val="24"/>
          <w:szCs w:val="24"/>
        </w:rPr>
        <w:t>) (OR</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 xml:space="preserve"> 2.55, 95%</w:t>
      </w:r>
      <w:r w:rsidRPr="00443A23">
        <w:rPr>
          <w:rFonts w:ascii="Book Antiqua" w:hAnsi="Book Antiqua"/>
          <w:sz w:val="24"/>
          <w:szCs w:val="24"/>
        </w:rPr>
        <w:t>CI</w:t>
      </w:r>
      <w:r w:rsidR="00924037" w:rsidRPr="00443A23">
        <w:rPr>
          <w:rFonts w:ascii="Book Antiqua" w:hAnsi="Book Antiqua"/>
          <w:sz w:val="24"/>
          <w:szCs w:val="24"/>
          <w:lang w:eastAsia="zh-CN"/>
        </w:rPr>
        <w:t>:</w:t>
      </w:r>
      <w:r w:rsidRPr="00443A23">
        <w:rPr>
          <w:rFonts w:ascii="Book Antiqua" w:hAnsi="Book Antiqua"/>
          <w:sz w:val="24"/>
          <w:szCs w:val="24"/>
        </w:rPr>
        <w:t xml:space="preserve"> 1.53-4.26)</w:t>
      </w:r>
      <w:r w:rsidR="00924037" w:rsidRPr="00443A23">
        <w:rPr>
          <w:rFonts w:ascii="Book Antiqua" w:hAnsi="Book Antiqua"/>
          <w:sz w:val="24"/>
          <w:szCs w:val="24"/>
          <w:vertAlign w:val="superscript"/>
        </w:rPr>
        <w:t>[</w:t>
      </w:r>
      <w:r w:rsidR="004E11F0" w:rsidRPr="00443A23">
        <w:rPr>
          <w:rFonts w:ascii="Book Antiqua" w:hAnsi="Book Antiqua"/>
          <w:sz w:val="24"/>
          <w:szCs w:val="24"/>
          <w:vertAlign w:val="superscript"/>
        </w:rPr>
        <w:t>36]</w:t>
      </w:r>
      <w:r w:rsidRPr="00443A23">
        <w:rPr>
          <w:rFonts w:ascii="Book Antiqua" w:hAnsi="Book Antiqua"/>
          <w:sz w:val="24"/>
          <w:szCs w:val="24"/>
        </w:rPr>
        <w:t xml:space="preserve">. Salmonella, Campylobacter and the vegetative form of C. </w:t>
      </w:r>
      <w:proofErr w:type="spellStart"/>
      <w:r w:rsidRPr="00443A23">
        <w:rPr>
          <w:rFonts w:ascii="Book Antiqua" w:hAnsi="Book Antiqua"/>
          <w:sz w:val="24"/>
          <w:szCs w:val="24"/>
        </w:rPr>
        <w:t>difficile</w:t>
      </w:r>
      <w:proofErr w:type="spellEnd"/>
      <w:r w:rsidRPr="00443A23">
        <w:rPr>
          <w:rFonts w:ascii="Book Antiqua" w:hAnsi="Book Antiqua"/>
          <w:sz w:val="24"/>
          <w:szCs w:val="24"/>
        </w:rPr>
        <w:t xml:space="preserve"> are acid-sensitive bacteria but are able to survive with PPI-induced acid </w:t>
      </w:r>
      <w:proofErr w:type="gramStart"/>
      <w:r w:rsidRPr="00443A23">
        <w:rPr>
          <w:rFonts w:ascii="Book Antiqua" w:hAnsi="Book Antiqua"/>
          <w:sz w:val="24"/>
          <w:szCs w:val="24"/>
        </w:rPr>
        <w:t>suppression</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36]</w:t>
      </w:r>
      <w:r w:rsidRPr="00443A23">
        <w:rPr>
          <w:rFonts w:ascii="Book Antiqua" w:hAnsi="Book Antiqua"/>
          <w:sz w:val="24"/>
          <w:szCs w:val="24"/>
        </w:rPr>
        <w:t xml:space="preserve">. Experimental studies have shown that </w:t>
      </w:r>
      <w:proofErr w:type="spellStart"/>
      <w:r w:rsidRPr="00443A23">
        <w:rPr>
          <w:rFonts w:ascii="Book Antiqua" w:hAnsi="Book Antiqua"/>
          <w:sz w:val="24"/>
          <w:szCs w:val="24"/>
        </w:rPr>
        <w:t>pretreatment</w:t>
      </w:r>
      <w:proofErr w:type="spellEnd"/>
      <w:r w:rsidRPr="00443A23">
        <w:rPr>
          <w:rFonts w:ascii="Book Antiqua" w:hAnsi="Book Antiqua"/>
          <w:sz w:val="24"/>
          <w:szCs w:val="24"/>
        </w:rPr>
        <w:t xml:space="preserve"> with gastric acid inhibitors in a mouse model prior to C. </w:t>
      </w:r>
      <w:proofErr w:type="spellStart"/>
      <w:r w:rsidRPr="00443A23">
        <w:rPr>
          <w:rFonts w:ascii="Book Antiqua" w:hAnsi="Book Antiqua"/>
          <w:sz w:val="24"/>
          <w:szCs w:val="24"/>
        </w:rPr>
        <w:t>difficile</w:t>
      </w:r>
      <w:proofErr w:type="spellEnd"/>
      <w:r w:rsidRPr="00443A23">
        <w:rPr>
          <w:rFonts w:ascii="Book Antiqua" w:hAnsi="Book Antiqua"/>
          <w:sz w:val="24"/>
          <w:szCs w:val="24"/>
        </w:rPr>
        <w:t xml:space="preserve"> inoculation resulted in similar rates </w:t>
      </w:r>
      <w:r w:rsidRPr="00443A23">
        <w:rPr>
          <w:rFonts w:ascii="Book Antiqua" w:hAnsi="Book Antiqua"/>
          <w:sz w:val="24"/>
          <w:szCs w:val="24"/>
        </w:rPr>
        <w:lastRenderedPageBreak/>
        <w:t xml:space="preserve">of infection, toxin production and colon injury compared with a group of </w:t>
      </w:r>
      <w:r w:rsidR="00924037" w:rsidRPr="00443A23">
        <w:rPr>
          <w:rFonts w:ascii="Book Antiqua" w:hAnsi="Book Antiqua"/>
          <w:sz w:val="24"/>
          <w:szCs w:val="24"/>
        </w:rPr>
        <w:t xml:space="preserve">mice </w:t>
      </w:r>
      <w:proofErr w:type="spellStart"/>
      <w:r w:rsidR="00924037" w:rsidRPr="00443A23">
        <w:rPr>
          <w:rFonts w:ascii="Book Antiqua" w:hAnsi="Book Antiqua"/>
          <w:sz w:val="24"/>
          <w:szCs w:val="24"/>
        </w:rPr>
        <w:t>pretreated</w:t>
      </w:r>
      <w:proofErr w:type="spellEnd"/>
      <w:r w:rsidR="00924037" w:rsidRPr="00443A23">
        <w:rPr>
          <w:rFonts w:ascii="Book Antiqua" w:hAnsi="Book Antiqua"/>
          <w:sz w:val="24"/>
          <w:szCs w:val="24"/>
        </w:rPr>
        <w:t xml:space="preserve"> with </w:t>
      </w:r>
      <w:proofErr w:type="gramStart"/>
      <w:r w:rsidR="00924037" w:rsidRPr="00443A23">
        <w:rPr>
          <w:rFonts w:ascii="Book Antiqua" w:hAnsi="Book Antiqua"/>
          <w:sz w:val="24"/>
          <w:szCs w:val="24"/>
        </w:rPr>
        <w:t>ampicillin</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36]</w:t>
      </w:r>
      <w:r w:rsidRPr="00443A23">
        <w:rPr>
          <w:rFonts w:ascii="Book Antiqua" w:hAnsi="Book Antiqua"/>
          <w:sz w:val="24"/>
          <w:szCs w:val="24"/>
        </w:rPr>
        <w:t xml:space="preserve">. </w:t>
      </w:r>
      <w:proofErr w:type="gramStart"/>
      <w:r w:rsidRPr="00443A23">
        <w:rPr>
          <w:rFonts w:ascii="Book Antiqua" w:hAnsi="Book Antiqua"/>
          <w:sz w:val="24"/>
          <w:szCs w:val="24"/>
        </w:rPr>
        <w:t>Spore germination was also favoured by high pH levels and the presence of potassium chloride</w:t>
      </w:r>
      <w:proofErr w:type="gramEnd"/>
      <w:r w:rsidRPr="00443A23">
        <w:rPr>
          <w:rFonts w:ascii="Book Antiqua" w:hAnsi="Book Antiqua"/>
          <w:sz w:val="24"/>
          <w:szCs w:val="24"/>
        </w:rPr>
        <w:t xml:space="preserve">. Blockage of potassium pumps in the stomach could potentially lead to increased potassium as the proton pumps exchange potassium for hydrogen ions. </w:t>
      </w:r>
    </w:p>
    <w:p w14:paraId="296D3DE5" w14:textId="63915749" w:rsidR="002F7702" w:rsidRPr="00443A23" w:rsidRDefault="002F7702"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 xml:space="preserve">In a systematic review, </w:t>
      </w:r>
      <w:proofErr w:type="spellStart"/>
      <w:r w:rsidRPr="00443A23">
        <w:rPr>
          <w:rFonts w:ascii="Book Antiqua" w:hAnsi="Book Antiqua"/>
          <w:sz w:val="24"/>
          <w:szCs w:val="24"/>
        </w:rPr>
        <w:t>Bavishi</w:t>
      </w:r>
      <w:proofErr w:type="spellEnd"/>
      <w:r w:rsidRPr="00443A23">
        <w:rPr>
          <w:rFonts w:ascii="Book Antiqua" w:hAnsi="Book Antiqua"/>
          <w:sz w:val="24"/>
          <w:szCs w:val="24"/>
        </w:rPr>
        <w:t xml:space="preserve"> </w:t>
      </w:r>
      <w:r w:rsidR="00924037" w:rsidRPr="00443A23">
        <w:rPr>
          <w:rFonts w:ascii="Book Antiqua" w:hAnsi="Book Antiqua"/>
          <w:sz w:val="24"/>
          <w:szCs w:val="24"/>
          <w:lang w:eastAsia="zh-CN"/>
        </w:rPr>
        <w:t>and</w:t>
      </w:r>
      <w:r w:rsidRPr="00443A23">
        <w:rPr>
          <w:rFonts w:ascii="Book Antiqua" w:hAnsi="Book Antiqua"/>
          <w:sz w:val="24"/>
          <w:szCs w:val="24"/>
        </w:rPr>
        <w:t xml:space="preserve"> </w:t>
      </w:r>
      <w:proofErr w:type="spellStart"/>
      <w:proofErr w:type="gramStart"/>
      <w:r w:rsidRPr="00443A23">
        <w:rPr>
          <w:rFonts w:ascii="Book Antiqua" w:hAnsi="Book Antiqua"/>
          <w:sz w:val="24"/>
          <w:szCs w:val="24"/>
        </w:rPr>
        <w:t>Dupont</w:t>
      </w:r>
      <w:proofErr w:type="spellEnd"/>
      <w:r w:rsidR="00924037" w:rsidRPr="00443A23">
        <w:rPr>
          <w:rFonts w:ascii="Book Antiqua" w:hAnsi="Book Antiqua"/>
          <w:sz w:val="24"/>
          <w:szCs w:val="24"/>
          <w:vertAlign w:val="superscript"/>
        </w:rPr>
        <w:t>[</w:t>
      </w:r>
      <w:proofErr w:type="gramEnd"/>
      <w:r w:rsidR="00DE59E6" w:rsidRPr="00443A23">
        <w:rPr>
          <w:rFonts w:ascii="Book Antiqua" w:hAnsi="Book Antiqua"/>
          <w:sz w:val="24"/>
          <w:szCs w:val="24"/>
          <w:vertAlign w:val="superscript"/>
        </w:rPr>
        <w:t>18</w:t>
      </w:r>
      <w:r w:rsidR="00B25FA0" w:rsidRPr="00443A23">
        <w:rPr>
          <w:rFonts w:ascii="Book Antiqua" w:hAnsi="Book Antiqua"/>
          <w:sz w:val="24"/>
          <w:szCs w:val="24"/>
          <w:vertAlign w:val="superscript"/>
        </w:rPr>
        <w:t>]</w:t>
      </w:r>
      <w:r w:rsidRPr="00443A23">
        <w:rPr>
          <w:rFonts w:ascii="Book Antiqua" w:hAnsi="Book Antiqua"/>
          <w:sz w:val="24"/>
          <w:szCs w:val="24"/>
        </w:rPr>
        <w:t xml:space="preserve"> found that while it was difficult to establish causation in some studies due to other contributing factors such as advanced age and hospital exposure, patients on PPIs demonstrated a greater-than 4-fold risk for recurrent C. </w:t>
      </w:r>
      <w:proofErr w:type="spellStart"/>
      <w:r w:rsidRPr="00443A23">
        <w:rPr>
          <w:rFonts w:ascii="Book Antiqua" w:hAnsi="Book Antiqua"/>
          <w:sz w:val="24"/>
          <w:szCs w:val="24"/>
        </w:rPr>
        <w:t>difficile</w:t>
      </w:r>
      <w:proofErr w:type="spellEnd"/>
      <w:r w:rsidRPr="00443A23">
        <w:rPr>
          <w:rFonts w:ascii="Book Antiqua" w:hAnsi="Book Antiqua"/>
          <w:sz w:val="24"/>
          <w:szCs w:val="24"/>
        </w:rPr>
        <w:t xml:space="preserve"> infection</w:t>
      </w:r>
      <w:r w:rsidR="00924037" w:rsidRPr="00443A23">
        <w:rPr>
          <w:rFonts w:ascii="Book Antiqua" w:hAnsi="Book Antiqua"/>
          <w:sz w:val="24"/>
          <w:szCs w:val="24"/>
          <w:vertAlign w:val="superscript"/>
        </w:rPr>
        <w:t>[</w:t>
      </w:r>
      <w:r w:rsidR="00D563AD" w:rsidRPr="00443A23">
        <w:rPr>
          <w:rFonts w:ascii="Book Antiqua" w:hAnsi="Book Antiqua"/>
          <w:sz w:val="24"/>
          <w:szCs w:val="24"/>
          <w:vertAlign w:val="superscript"/>
        </w:rPr>
        <w:t>37]</w:t>
      </w:r>
      <w:r w:rsidRPr="00443A23">
        <w:rPr>
          <w:rFonts w:ascii="Book Antiqua" w:hAnsi="Book Antiqua"/>
          <w:sz w:val="24"/>
          <w:szCs w:val="24"/>
        </w:rPr>
        <w:t>.</w:t>
      </w:r>
    </w:p>
    <w:p w14:paraId="5EEC5441" w14:textId="3014DEF0" w:rsidR="002F7702" w:rsidRPr="00443A23" w:rsidRDefault="002F7702"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A m</w:t>
      </w:r>
      <w:r w:rsidR="00924037" w:rsidRPr="00443A23">
        <w:rPr>
          <w:rFonts w:ascii="Book Antiqua" w:hAnsi="Book Antiqua"/>
          <w:sz w:val="24"/>
          <w:szCs w:val="24"/>
        </w:rPr>
        <w:t xml:space="preserve">eta-analysis by </w:t>
      </w:r>
      <w:proofErr w:type="spellStart"/>
      <w:r w:rsidR="00924037" w:rsidRPr="00443A23">
        <w:rPr>
          <w:rFonts w:ascii="Book Antiqua" w:hAnsi="Book Antiqua"/>
          <w:sz w:val="24"/>
          <w:szCs w:val="24"/>
        </w:rPr>
        <w:t>Eom</w:t>
      </w:r>
      <w:proofErr w:type="spellEnd"/>
      <w:r w:rsidR="00924037" w:rsidRPr="00443A23">
        <w:rPr>
          <w:rFonts w:ascii="Book Antiqua" w:hAnsi="Book Antiqua"/>
          <w:sz w:val="24"/>
          <w:szCs w:val="24"/>
        </w:rPr>
        <w:t xml:space="preserv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35]</w:t>
      </w:r>
      <w:r w:rsidRPr="00443A23">
        <w:rPr>
          <w:rFonts w:ascii="Book Antiqua" w:hAnsi="Book Antiqua"/>
          <w:sz w:val="24"/>
          <w:szCs w:val="24"/>
        </w:rPr>
        <w:t xml:space="preserve"> also found significant association between PPIs and p</w:t>
      </w:r>
      <w:r w:rsidR="00924037" w:rsidRPr="00443A23">
        <w:rPr>
          <w:rFonts w:ascii="Book Antiqua" w:hAnsi="Book Antiqua"/>
          <w:sz w:val="24"/>
          <w:szCs w:val="24"/>
        </w:rPr>
        <w:t xml:space="preserve">neumonia (adjusted OR </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1.27, 95%</w:t>
      </w:r>
      <w:r w:rsidRPr="00443A23">
        <w:rPr>
          <w:rFonts w:ascii="Book Antiqua" w:hAnsi="Book Antiqua"/>
          <w:sz w:val="24"/>
          <w:szCs w:val="24"/>
        </w:rPr>
        <w:t>CI</w:t>
      </w:r>
      <w:r w:rsidR="00924037" w:rsidRPr="00443A23">
        <w:rPr>
          <w:rFonts w:ascii="Book Antiqua" w:hAnsi="Book Antiqua"/>
          <w:sz w:val="24"/>
          <w:szCs w:val="24"/>
          <w:lang w:eastAsia="zh-CN"/>
        </w:rPr>
        <w:t>:</w:t>
      </w:r>
      <w:r w:rsidRPr="00443A23">
        <w:rPr>
          <w:rFonts w:ascii="Book Antiqua" w:hAnsi="Book Antiqua"/>
          <w:sz w:val="24"/>
          <w:szCs w:val="24"/>
        </w:rPr>
        <w:t xml:space="preserve"> 1.11-1.46), with an even greater risk for community-a</w:t>
      </w:r>
      <w:r w:rsidR="00924037" w:rsidRPr="00443A23">
        <w:rPr>
          <w:rFonts w:ascii="Book Antiqua" w:hAnsi="Book Antiqua"/>
          <w:sz w:val="24"/>
          <w:szCs w:val="24"/>
        </w:rPr>
        <w:t xml:space="preserve">cquired pneumonia (OR </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1.34, 95%</w:t>
      </w:r>
      <w:r w:rsidRPr="00443A23">
        <w:rPr>
          <w:rFonts w:ascii="Book Antiqua" w:hAnsi="Book Antiqua"/>
          <w:sz w:val="24"/>
          <w:szCs w:val="24"/>
        </w:rPr>
        <w:t>CI</w:t>
      </w:r>
      <w:r w:rsidR="00924037" w:rsidRPr="00443A23">
        <w:rPr>
          <w:rFonts w:ascii="Book Antiqua" w:hAnsi="Book Antiqua"/>
          <w:sz w:val="24"/>
          <w:szCs w:val="24"/>
          <w:lang w:eastAsia="zh-CN"/>
        </w:rPr>
        <w:t>:</w:t>
      </w:r>
      <w:r w:rsidRPr="00443A23">
        <w:rPr>
          <w:rFonts w:ascii="Book Antiqua" w:hAnsi="Book Antiqua"/>
          <w:sz w:val="24"/>
          <w:szCs w:val="24"/>
        </w:rPr>
        <w:t xml:space="preserve"> 1.14-1.57). This risk of pneumonia was markedly higher within the first week of PPI use (OR </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3.95, 95%CI</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2.86-5.45) suggesting that patients who were already susceptible to pneumonia would become ill soon after PPI treatment. With a small number of studies investigating the relationship between PPIs and hospital-acquired pneumonia, only an increased risk of hospital-acquired pneumonia was observed with H2RA </w:t>
      </w:r>
      <w:proofErr w:type="gramStart"/>
      <w:r w:rsidRPr="00443A23">
        <w:rPr>
          <w:rFonts w:ascii="Book Antiqua" w:hAnsi="Book Antiqua"/>
          <w:sz w:val="24"/>
          <w:szCs w:val="24"/>
        </w:rPr>
        <w:t>therapy</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35]</w:t>
      </w:r>
      <w:r w:rsidRPr="00443A23">
        <w:rPr>
          <w:rFonts w:ascii="Book Antiqua" w:hAnsi="Book Antiqua"/>
          <w:sz w:val="24"/>
          <w:szCs w:val="24"/>
        </w:rPr>
        <w:t xml:space="preserve">. </w:t>
      </w:r>
    </w:p>
    <w:p w14:paraId="2B692831" w14:textId="77777777" w:rsidR="002F7702" w:rsidRPr="00443A23" w:rsidRDefault="002F7702" w:rsidP="0002686E">
      <w:pPr>
        <w:spacing w:after="0" w:line="360" w:lineRule="auto"/>
        <w:jc w:val="both"/>
        <w:rPr>
          <w:rFonts w:ascii="Book Antiqua" w:hAnsi="Book Antiqua"/>
          <w:sz w:val="24"/>
          <w:szCs w:val="24"/>
        </w:rPr>
      </w:pPr>
    </w:p>
    <w:p w14:paraId="7C37ACD3" w14:textId="613E3DBE"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Paediatric </w:t>
      </w:r>
      <w:r w:rsidR="00924037" w:rsidRPr="00443A23">
        <w:rPr>
          <w:rFonts w:ascii="Book Antiqua" w:hAnsi="Book Antiqua"/>
          <w:b/>
          <w:i/>
          <w:sz w:val="24"/>
          <w:szCs w:val="24"/>
        </w:rPr>
        <w:t xml:space="preserve">studies </w:t>
      </w:r>
    </w:p>
    <w:p w14:paraId="7EEE105C" w14:textId="4D75D37C"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 The few paediatric studies available have made similar conclusions. Notably, a prospective study of 93 paediatric patients (4-36 </w:t>
      </w:r>
      <w:proofErr w:type="spellStart"/>
      <w:r w:rsidR="00924037" w:rsidRPr="00443A23">
        <w:rPr>
          <w:rFonts w:ascii="Book Antiqua" w:hAnsi="Book Antiqua"/>
          <w:sz w:val="24"/>
          <w:szCs w:val="24"/>
          <w:lang w:eastAsia="zh-CN"/>
        </w:rPr>
        <w:t>mo</w:t>
      </w:r>
      <w:proofErr w:type="spellEnd"/>
      <w:r w:rsidRPr="00443A23">
        <w:rPr>
          <w:rFonts w:ascii="Book Antiqua" w:hAnsi="Book Antiqua"/>
          <w:sz w:val="24"/>
          <w:szCs w:val="24"/>
        </w:rPr>
        <w:t xml:space="preserve">) with </w:t>
      </w:r>
      <w:proofErr w:type="spellStart"/>
      <w:r w:rsidRPr="00443A23">
        <w:rPr>
          <w:rFonts w:ascii="Book Antiqua" w:hAnsi="Book Antiqua"/>
          <w:sz w:val="24"/>
          <w:szCs w:val="24"/>
        </w:rPr>
        <w:t>endoscopically</w:t>
      </w:r>
      <w:proofErr w:type="spellEnd"/>
      <w:r w:rsidRPr="00443A23">
        <w:rPr>
          <w:rFonts w:ascii="Book Antiqua" w:hAnsi="Book Antiqua"/>
          <w:sz w:val="24"/>
          <w:szCs w:val="24"/>
        </w:rPr>
        <w:t xml:space="preserve"> diagnosed GORD, showed that children treated with either ranitidine or omeprazole for 8 weeks were 3.58 and 6.39 times more likely to develop acute gastroenteritis and community-acquired pneumonia respectively, compared with healthy children during the 4 month follow-</w:t>
      </w:r>
      <w:proofErr w:type="gramStart"/>
      <w:r w:rsidRPr="00443A23">
        <w:rPr>
          <w:rFonts w:ascii="Book Antiqua" w:hAnsi="Book Antiqua"/>
          <w:sz w:val="24"/>
          <w:szCs w:val="24"/>
        </w:rPr>
        <w:t>up</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17]</w:t>
      </w:r>
      <w:r w:rsidRPr="00443A23">
        <w:rPr>
          <w:rFonts w:ascii="Book Antiqua" w:hAnsi="Book Antiqua"/>
          <w:sz w:val="24"/>
          <w:szCs w:val="24"/>
        </w:rPr>
        <w:t>. Comparing 4 months before and after enrolment, a significant increase in the incidence of acute gastroenteritis and pneumonia was found only in the treatment group, demonstrating that infection susceptibility could continu</w:t>
      </w:r>
      <w:r w:rsidR="00D563AD" w:rsidRPr="00443A23">
        <w:rPr>
          <w:rFonts w:ascii="Book Antiqua" w:hAnsi="Book Antiqua"/>
          <w:sz w:val="24"/>
          <w:szCs w:val="24"/>
        </w:rPr>
        <w:t xml:space="preserve">e even after therapy </w:t>
      </w:r>
      <w:proofErr w:type="gramStart"/>
      <w:r w:rsidR="00D563AD" w:rsidRPr="00443A23">
        <w:rPr>
          <w:rFonts w:ascii="Book Antiqua" w:hAnsi="Book Antiqua"/>
          <w:sz w:val="24"/>
          <w:szCs w:val="24"/>
        </w:rPr>
        <w:t>cessation</w:t>
      </w:r>
      <w:r w:rsidR="00924037" w:rsidRPr="00443A23">
        <w:rPr>
          <w:rFonts w:ascii="Book Antiqua" w:hAnsi="Book Antiqua"/>
          <w:sz w:val="24"/>
          <w:szCs w:val="24"/>
          <w:vertAlign w:val="superscript"/>
        </w:rPr>
        <w:t>[</w:t>
      </w:r>
      <w:proofErr w:type="gramEnd"/>
      <w:r w:rsidR="00D563AD" w:rsidRPr="00443A23">
        <w:rPr>
          <w:rFonts w:ascii="Book Antiqua" w:hAnsi="Book Antiqua"/>
          <w:sz w:val="24"/>
          <w:szCs w:val="24"/>
          <w:vertAlign w:val="superscript"/>
        </w:rPr>
        <w:t>17]</w:t>
      </w:r>
      <w:r w:rsidR="00D563AD" w:rsidRPr="00443A23">
        <w:rPr>
          <w:rFonts w:ascii="Book Antiqua" w:hAnsi="Book Antiqua"/>
          <w:sz w:val="24"/>
          <w:szCs w:val="24"/>
        </w:rPr>
        <w:t>.</w:t>
      </w:r>
      <w:r w:rsidRPr="00443A23">
        <w:rPr>
          <w:rFonts w:ascii="Book Antiqua" w:hAnsi="Book Antiqua"/>
          <w:sz w:val="24"/>
          <w:szCs w:val="24"/>
        </w:rPr>
        <w:t xml:space="preserve"> </w:t>
      </w:r>
    </w:p>
    <w:p w14:paraId="0DF6A76A" w14:textId="2772DD6B" w:rsidR="002F7702" w:rsidRPr="00443A23" w:rsidRDefault="002F7702"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 xml:space="preserve">The results of safety studies on the use of gastric acid inhibiting drugs in infants, particularly in intensive care, where hospital-acquired pathogens are responsible for significant morbidity and mortality are </w:t>
      </w:r>
      <w:proofErr w:type="gramStart"/>
      <w:r w:rsidRPr="00443A23">
        <w:rPr>
          <w:rFonts w:ascii="Book Antiqua" w:hAnsi="Book Antiqua"/>
          <w:sz w:val="24"/>
          <w:szCs w:val="24"/>
        </w:rPr>
        <w:t>concerning</w:t>
      </w:r>
      <w:r w:rsidR="00924037" w:rsidRPr="00443A23">
        <w:rPr>
          <w:rFonts w:ascii="Book Antiqua" w:hAnsi="Book Antiqua"/>
          <w:sz w:val="24"/>
          <w:szCs w:val="24"/>
          <w:vertAlign w:val="superscript"/>
        </w:rPr>
        <w:t>[</w:t>
      </w:r>
      <w:proofErr w:type="gramEnd"/>
      <w:r w:rsidR="00747467" w:rsidRPr="00443A23">
        <w:rPr>
          <w:rFonts w:ascii="Book Antiqua" w:hAnsi="Book Antiqua"/>
          <w:sz w:val="24"/>
          <w:szCs w:val="24"/>
          <w:vertAlign w:val="superscript"/>
        </w:rPr>
        <w:t>38]</w:t>
      </w:r>
      <w:r w:rsidRPr="00443A23">
        <w:rPr>
          <w:rFonts w:ascii="Book Antiqua" w:hAnsi="Book Antiqua"/>
          <w:sz w:val="24"/>
          <w:szCs w:val="24"/>
        </w:rPr>
        <w:t xml:space="preserve">. A case-control study of very </w:t>
      </w:r>
      <w:r w:rsidRPr="00443A23">
        <w:rPr>
          <w:rFonts w:ascii="Book Antiqua" w:hAnsi="Book Antiqua"/>
          <w:sz w:val="24"/>
          <w:szCs w:val="24"/>
        </w:rPr>
        <w:lastRenderedPageBreak/>
        <w:t xml:space="preserve">low birth weight infants showed H2RA use was associated with higher rates of necrotizing </w:t>
      </w:r>
      <w:proofErr w:type="spellStart"/>
      <w:r w:rsidRPr="00443A23">
        <w:rPr>
          <w:rFonts w:ascii="Book Antiqua" w:hAnsi="Book Antiqua"/>
          <w:sz w:val="24"/>
          <w:szCs w:val="24"/>
        </w:rPr>
        <w:t>enterocolitis</w:t>
      </w:r>
      <w:proofErr w:type="spellEnd"/>
      <w:r w:rsidRPr="00443A23">
        <w:rPr>
          <w:rFonts w:ascii="Book Antiqua" w:hAnsi="Book Antiqua"/>
          <w:sz w:val="24"/>
          <w:szCs w:val="24"/>
        </w:rPr>
        <w:t xml:space="preserve"> (OR </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1.71</w:t>
      </w:r>
      <w:r w:rsidR="00924037" w:rsidRPr="00443A23">
        <w:rPr>
          <w:rFonts w:ascii="Book Antiqua" w:hAnsi="Book Antiqua"/>
          <w:sz w:val="24"/>
          <w:szCs w:val="24"/>
          <w:lang w:eastAsia="zh-CN"/>
        </w:rPr>
        <w:t>,</w:t>
      </w:r>
      <w:r w:rsidR="00924037" w:rsidRPr="00443A23">
        <w:rPr>
          <w:rFonts w:ascii="Book Antiqua" w:hAnsi="Book Antiqua"/>
          <w:sz w:val="24"/>
          <w:szCs w:val="24"/>
        </w:rPr>
        <w:t xml:space="preserve"> 95%CI</w:t>
      </w:r>
      <w:r w:rsidR="00924037" w:rsidRPr="00443A23">
        <w:rPr>
          <w:rFonts w:ascii="Book Antiqua" w:hAnsi="Book Antiqua"/>
          <w:sz w:val="24"/>
          <w:szCs w:val="24"/>
          <w:lang w:eastAsia="zh-CN"/>
        </w:rPr>
        <w:t xml:space="preserve">: </w:t>
      </w:r>
      <w:r w:rsidRPr="00443A23">
        <w:rPr>
          <w:rFonts w:ascii="Book Antiqua" w:hAnsi="Book Antiqua"/>
          <w:sz w:val="24"/>
          <w:szCs w:val="24"/>
        </w:rPr>
        <w:t>1.34-2.19)</w:t>
      </w:r>
      <w:r w:rsidR="00924037" w:rsidRPr="00443A23">
        <w:rPr>
          <w:rFonts w:ascii="Book Antiqua" w:hAnsi="Book Antiqua"/>
          <w:sz w:val="24"/>
          <w:szCs w:val="24"/>
          <w:vertAlign w:val="superscript"/>
        </w:rPr>
        <w:t>[</w:t>
      </w:r>
      <w:r w:rsidR="00DF1E60" w:rsidRPr="00443A23">
        <w:rPr>
          <w:rFonts w:ascii="Book Antiqua" w:hAnsi="Book Antiqua"/>
          <w:sz w:val="24"/>
          <w:szCs w:val="24"/>
          <w:vertAlign w:val="superscript"/>
        </w:rPr>
        <w:t>40]</w:t>
      </w:r>
      <w:r w:rsidR="00924037" w:rsidRPr="00443A23">
        <w:rPr>
          <w:rFonts w:ascii="Book Antiqua" w:hAnsi="Book Antiqua"/>
          <w:sz w:val="24"/>
          <w:szCs w:val="24"/>
        </w:rPr>
        <w:t xml:space="preserve">. Stoll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DF1E60" w:rsidRPr="00443A23">
        <w:rPr>
          <w:rFonts w:ascii="Book Antiqua" w:hAnsi="Book Antiqua"/>
          <w:sz w:val="24"/>
          <w:szCs w:val="24"/>
          <w:vertAlign w:val="superscript"/>
        </w:rPr>
        <w:t>41]</w:t>
      </w:r>
      <w:r w:rsidRPr="00443A23">
        <w:rPr>
          <w:rFonts w:ascii="Book Antiqua" w:hAnsi="Book Antiqua"/>
          <w:sz w:val="24"/>
          <w:szCs w:val="24"/>
        </w:rPr>
        <w:t xml:space="preserve"> also observed an increased risk of sepsis and meningitis with H2RAs given at 2 </w:t>
      </w:r>
      <w:proofErr w:type="spellStart"/>
      <w:r w:rsidR="00924037" w:rsidRPr="00443A23">
        <w:rPr>
          <w:rFonts w:ascii="Book Antiqua" w:hAnsi="Book Antiqua"/>
          <w:sz w:val="24"/>
          <w:szCs w:val="24"/>
          <w:lang w:eastAsia="zh-CN"/>
        </w:rPr>
        <w:t>wk</w:t>
      </w:r>
      <w:proofErr w:type="spellEnd"/>
      <w:r w:rsidRPr="00443A23">
        <w:rPr>
          <w:rFonts w:ascii="Book Antiqua" w:hAnsi="Book Antiqua"/>
          <w:sz w:val="24"/>
          <w:szCs w:val="24"/>
        </w:rPr>
        <w:t xml:space="preserve"> of age as a secondary outcome of their RCT comparing dexamethas</w:t>
      </w:r>
      <w:r w:rsidR="00924037" w:rsidRPr="00443A23">
        <w:rPr>
          <w:rFonts w:ascii="Book Antiqua" w:hAnsi="Book Antiqua"/>
          <w:sz w:val="24"/>
          <w:szCs w:val="24"/>
        </w:rPr>
        <w:t>one exposure. Beck-</w:t>
      </w:r>
      <w:proofErr w:type="spellStart"/>
      <w:r w:rsidR="00924037" w:rsidRPr="00443A23">
        <w:rPr>
          <w:rFonts w:ascii="Book Antiqua" w:hAnsi="Book Antiqua"/>
          <w:sz w:val="24"/>
          <w:szCs w:val="24"/>
        </w:rPr>
        <w:t>Sague</w:t>
      </w:r>
      <w:proofErr w:type="spellEnd"/>
      <w:r w:rsidR="00924037" w:rsidRPr="00443A23">
        <w:rPr>
          <w:rFonts w:ascii="Book Antiqua" w:hAnsi="Book Antiqua"/>
          <w:i/>
          <w:sz w:val="24"/>
          <w:szCs w:val="24"/>
        </w:rPr>
        <w:t xml:space="preserve"> 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DF1E60" w:rsidRPr="00443A23">
        <w:rPr>
          <w:rFonts w:ascii="Book Antiqua" w:hAnsi="Book Antiqua"/>
          <w:sz w:val="24"/>
          <w:szCs w:val="24"/>
          <w:vertAlign w:val="superscript"/>
        </w:rPr>
        <w:t>42]</w:t>
      </w:r>
      <w:r w:rsidRPr="00443A23">
        <w:rPr>
          <w:rFonts w:ascii="Book Antiqua" w:hAnsi="Book Antiqua"/>
          <w:sz w:val="24"/>
          <w:szCs w:val="24"/>
        </w:rPr>
        <w:t xml:space="preserve"> also reported H2RAs as a significant risk factor for bloodstream infections (</w:t>
      </w:r>
      <w:r w:rsidR="00924037" w:rsidRPr="00443A23">
        <w:rPr>
          <w:rFonts w:ascii="Book Antiqua" w:hAnsi="Book Antiqua"/>
          <w:sz w:val="24"/>
          <w:szCs w:val="24"/>
          <w:lang w:eastAsia="zh-CN"/>
        </w:rPr>
        <w:t>RR =</w:t>
      </w:r>
      <w:r w:rsidRPr="00443A23">
        <w:rPr>
          <w:rFonts w:ascii="Book Antiqua" w:hAnsi="Book Antiqua"/>
          <w:sz w:val="24"/>
          <w:szCs w:val="24"/>
        </w:rPr>
        <w:t xml:space="preserve"> 4.2) in level III neonatal intensive care, including Candida species; and the risk of </w:t>
      </w:r>
      <w:proofErr w:type="spellStart"/>
      <w:r w:rsidRPr="00443A23">
        <w:rPr>
          <w:rFonts w:ascii="Book Antiqua" w:hAnsi="Book Antiqua"/>
          <w:sz w:val="24"/>
          <w:szCs w:val="24"/>
        </w:rPr>
        <w:t>candidemia</w:t>
      </w:r>
      <w:proofErr w:type="spellEnd"/>
      <w:r w:rsidRPr="00443A23">
        <w:rPr>
          <w:rFonts w:ascii="Book Antiqua" w:hAnsi="Book Antiqua"/>
          <w:sz w:val="24"/>
          <w:szCs w:val="24"/>
        </w:rPr>
        <w:t xml:space="preserve"> (OR </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2.44) </w:t>
      </w:r>
      <w:r w:rsidR="00924037" w:rsidRPr="00443A23">
        <w:rPr>
          <w:rFonts w:ascii="Book Antiqua" w:hAnsi="Book Antiqua"/>
          <w:sz w:val="24"/>
          <w:szCs w:val="24"/>
        </w:rPr>
        <w:t xml:space="preserve">was shown again by </w:t>
      </w:r>
      <w:proofErr w:type="spellStart"/>
      <w:r w:rsidR="00924037" w:rsidRPr="00443A23">
        <w:rPr>
          <w:rFonts w:ascii="Book Antiqua" w:hAnsi="Book Antiqua"/>
          <w:sz w:val="24"/>
          <w:szCs w:val="24"/>
        </w:rPr>
        <w:t>Saiman</w:t>
      </w:r>
      <w:proofErr w:type="spellEnd"/>
      <w:r w:rsidR="00924037" w:rsidRPr="00443A23">
        <w:rPr>
          <w:rFonts w:ascii="Book Antiqua" w:hAnsi="Book Antiqua"/>
          <w:i/>
          <w:sz w:val="24"/>
          <w:szCs w:val="24"/>
        </w:rPr>
        <w:t xml:space="preserve"> et al</w:t>
      </w:r>
      <w:r w:rsidR="00924037" w:rsidRPr="00443A23">
        <w:rPr>
          <w:rFonts w:ascii="Book Antiqua" w:hAnsi="Book Antiqua"/>
          <w:sz w:val="24"/>
          <w:szCs w:val="24"/>
          <w:vertAlign w:val="superscript"/>
          <w:lang w:eastAsia="zh-CN"/>
        </w:rPr>
        <w:t>[</w:t>
      </w:r>
      <w:r w:rsidR="00747467" w:rsidRPr="00443A23">
        <w:rPr>
          <w:rFonts w:ascii="Book Antiqua" w:hAnsi="Book Antiqua"/>
          <w:sz w:val="24"/>
          <w:szCs w:val="24"/>
          <w:vertAlign w:val="superscript"/>
        </w:rPr>
        <w:t>39]</w:t>
      </w:r>
      <w:r w:rsidRPr="00443A23">
        <w:rPr>
          <w:rFonts w:ascii="Book Antiqua" w:hAnsi="Book Antiqua"/>
          <w:sz w:val="24"/>
          <w:szCs w:val="24"/>
        </w:rPr>
        <w:t xml:space="preserve">. Very few studies have explored the risk of infections in the preterm infant population, but of these, </w:t>
      </w:r>
      <w:proofErr w:type="spellStart"/>
      <w:r w:rsidRPr="00443A23">
        <w:rPr>
          <w:rFonts w:ascii="Book Antiqua" w:hAnsi="Book Antiqua"/>
          <w:sz w:val="24"/>
          <w:szCs w:val="24"/>
        </w:rPr>
        <w:t>Guillet</w:t>
      </w:r>
      <w:proofErr w:type="spellEnd"/>
      <w:r w:rsidRPr="00443A23">
        <w:rPr>
          <w:rFonts w:ascii="Book Antiqua" w:hAnsi="Book Antiqua"/>
          <w:sz w:val="24"/>
          <w:szCs w:val="24"/>
        </w:rPr>
        <w:t xml:space="preserv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DF1E60" w:rsidRPr="00443A23">
        <w:rPr>
          <w:rFonts w:ascii="Book Antiqua" w:hAnsi="Book Antiqua"/>
          <w:sz w:val="24"/>
          <w:szCs w:val="24"/>
          <w:vertAlign w:val="superscript"/>
        </w:rPr>
        <w:t>40]</w:t>
      </w:r>
      <w:r w:rsidRPr="00443A23">
        <w:rPr>
          <w:rFonts w:ascii="Book Antiqua" w:hAnsi="Book Antiqua"/>
          <w:sz w:val="24"/>
          <w:szCs w:val="24"/>
        </w:rPr>
        <w:t xml:space="preserve"> showed H2RA use was associated with higher rates of necrotising </w:t>
      </w:r>
      <w:proofErr w:type="spellStart"/>
      <w:r w:rsidRPr="00443A23">
        <w:rPr>
          <w:rFonts w:ascii="Book Antiqua" w:hAnsi="Book Antiqua"/>
          <w:sz w:val="24"/>
          <w:szCs w:val="24"/>
        </w:rPr>
        <w:t>enterocolitis</w:t>
      </w:r>
      <w:proofErr w:type="spellEnd"/>
      <w:r w:rsidRPr="00443A23">
        <w:rPr>
          <w:rFonts w:ascii="Book Antiqua" w:hAnsi="Book Antiqua"/>
          <w:sz w:val="24"/>
          <w:szCs w:val="24"/>
        </w:rPr>
        <w:t xml:space="preserve"> (NEC) (OR</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 1.</w:t>
      </w:r>
      <w:r w:rsidR="00924037" w:rsidRPr="00443A23">
        <w:rPr>
          <w:rFonts w:ascii="Book Antiqua" w:hAnsi="Book Antiqua"/>
          <w:sz w:val="24"/>
          <w:szCs w:val="24"/>
        </w:rPr>
        <w:t>71) in large cohort study of 11</w:t>
      </w:r>
      <w:r w:rsidRPr="00443A23">
        <w:rPr>
          <w:rFonts w:ascii="Book Antiqua" w:hAnsi="Book Antiqua"/>
          <w:sz w:val="24"/>
          <w:szCs w:val="24"/>
        </w:rPr>
        <w:t xml:space="preserve">072 very low birth weight infants. H2RAs have also been found to be a significant risk factor for blood stream </w:t>
      </w:r>
      <w:r w:rsidR="00DF1E60" w:rsidRPr="00443A23">
        <w:rPr>
          <w:rFonts w:ascii="Book Antiqua" w:hAnsi="Book Antiqua"/>
          <w:sz w:val="24"/>
          <w:szCs w:val="24"/>
        </w:rPr>
        <w:t xml:space="preserve">infections in a level III </w:t>
      </w:r>
      <w:proofErr w:type="gramStart"/>
      <w:r w:rsidR="00DF1E60" w:rsidRPr="00443A23">
        <w:rPr>
          <w:rFonts w:ascii="Book Antiqua" w:hAnsi="Book Antiqua"/>
          <w:sz w:val="24"/>
          <w:szCs w:val="24"/>
        </w:rPr>
        <w:t>NICU</w:t>
      </w:r>
      <w:r w:rsidR="00924037" w:rsidRPr="00443A23">
        <w:rPr>
          <w:rFonts w:ascii="Book Antiqua" w:hAnsi="Book Antiqua"/>
          <w:sz w:val="24"/>
          <w:szCs w:val="24"/>
          <w:vertAlign w:val="superscript"/>
        </w:rPr>
        <w:t>[</w:t>
      </w:r>
      <w:proofErr w:type="gramEnd"/>
      <w:r w:rsidR="00DF1E60" w:rsidRPr="00443A23">
        <w:rPr>
          <w:rFonts w:ascii="Book Antiqua" w:hAnsi="Book Antiqua"/>
          <w:sz w:val="24"/>
          <w:szCs w:val="24"/>
          <w:vertAlign w:val="superscript"/>
        </w:rPr>
        <w:t>42]</w:t>
      </w:r>
      <w:r w:rsidRPr="00443A23">
        <w:rPr>
          <w:rFonts w:ascii="Book Antiqua" w:hAnsi="Book Antiqua"/>
          <w:sz w:val="24"/>
          <w:szCs w:val="24"/>
        </w:rPr>
        <w:t xml:space="preserve">, and </w:t>
      </w:r>
      <w:proofErr w:type="spellStart"/>
      <w:r w:rsidRPr="00443A23">
        <w:rPr>
          <w:rFonts w:ascii="Book Antiqua" w:hAnsi="Book Antiqua"/>
          <w:sz w:val="24"/>
          <w:szCs w:val="24"/>
        </w:rPr>
        <w:t>candidemia</w:t>
      </w:r>
      <w:proofErr w:type="spellEnd"/>
      <w:r w:rsidR="00924037" w:rsidRPr="00443A23">
        <w:rPr>
          <w:rFonts w:ascii="Book Antiqua" w:hAnsi="Book Antiqua"/>
          <w:sz w:val="24"/>
          <w:szCs w:val="24"/>
          <w:vertAlign w:val="superscript"/>
        </w:rPr>
        <w:t>[</w:t>
      </w:r>
      <w:r w:rsidR="00747467" w:rsidRPr="00443A23">
        <w:rPr>
          <w:rFonts w:ascii="Book Antiqua" w:hAnsi="Book Antiqua"/>
          <w:sz w:val="24"/>
          <w:szCs w:val="24"/>
          <w:vertAlign w:val="superscript"/>
        </w:rPr>
        <w:t>39]</w:t>
      </w:r>
      <w:r w:rsidRPr="00443A23">
        <w:rPr>
          <w:rFonts w:ascii="Book Antiqua" w:hAnsi="Book Antiqua"/>
          <w:sz w:val="24"/>
          <w:szCs w:val="24"/>
        </w:rPr>
        <w:t>. The pathogenic mechanism of GAIs to cause infection is thought to be a result of reducing the gastric acid barrier against gastrointestinal tract colonisation with acid-sensitive bacteria such a</w:t>
      </w:r>
      <w:r w:rsidR="00DF1E60" w:rsidRPr="00443A23">
        <w:rPr>
          <w:rFonts w:ascii="Book Antiqua" w:hAnsi="Book Antiqua"/>
          <w:sz w:val="24"/>
          <w:szCs w:val="24"/>
        </w:rPr>
        <w:t xml:space="preserve">s Clostridium </w:t>
      </w:r>
      <w:proofErr w:type="spellStart"/>
      <w:proofErr w:type="gramStart"/>
      <w:r w:rsidR="00DF1E60" w:rsidRPr="00443A23">
        <w:rPr>
          <w:rFonts w:ascii="Book Antiqua" w:hAnsi="Book Antiqua"/>
          <w:sz w:val="24"/>
          <w:szCs w:val="24"/>
        </w:rPr>
        <w:t>difficile</w:t>
      </w:r>
      <w:proofErr w:type="spellEnd"/>
      <w:r w:rsidR="00924037" w:rsidRPr="00443A23">
        <w:rPr>
          <w:rFonts w:ascii="Book Antiqua" w:hAnsi="Book Antiqua"/>
          <w:sz w:val="24"/>
          <w:szCs w:val="24"/>
          <w:vertAlign w:val="superscript"/>
        </w:rPr>
        <w:t>[</w:t>
      </w:r>
      <w:proofErr w:type="gramEnd"/>
      <w:r w:rsidR="00DF1E60" w:rsidRPr="00443A23">
        <w:rPr>
          <w:rFonts w:ascii="Book Antiqua" w:hAnsi="Book Antiqua"/>
          <w:sz w:val="24"/>
          <w:szCs w:val="24"/>
          <w:vertAlign w:val="superscript"/>
        </w:rPr>
        <w:t>18]</w:t>
      </w:r>
      <w:r w:rsidRPr="00443A23">
        <w:rPr>
          <w:rFonts w:ascii="Book Antiqua" w:hAnsi="Book Antiqua"/>
          <w:sz w:val="24"/>
          <w:szCs w:val="24"/>
        </w:rPr>
        <w:t xml:space="preserve">. Carrion and </w:t>
      </w:r>
      <w:proofErr w:type="gramStart"/>
      <w:r w:rsidRPr="00443A23">
        <w:rPr>
          <w:rFonts w:ascii="Book Antiqua" w:hAnsi="Book Antiqua"/>
          <w:sz w:val="24"/>
          <w:szCs w:val="24"/>
        </w:rPr>
        <w:t>Egan</w:t>
      </w:r>
      <w:r w:rsidR="00924037" w:rsidRPr="00443A23">
        <w:rPr>
          <w:rFonts w:ascii="Book Antiqua" w:hAnsi="Book Antiqua"/>
          <w:sz w:val="24"/>
          <w:szCs w:val="24"/>
          <w:vertAlign w:val="superscript"/>
        </w:rPr>
        <w:t>[</w:t>
      </w:r>
      <w:proofErr w:type="gramEnd"/>
      <w:r w:rsidR="00DE59E6" w:rsidRPr="00443A23">
        <w:rPr>
          <w:rFonts w:ascii="Book Antiqua" w:hAnsi="Book Antiqua"/>
          <w:sz w:val="24"/>
          <w:szCs w:val="24"/>
          <w:vertAlign w:val="superscript"/>
        </w:rPr>
        <w:t>43]</w:t>
      </w:r>
      <w:r w:rsidRPr="00443A23">
        <w:rPr>
          <w:rFonts w:ascii="Book Antiqua" w:hAnsi="Book Antiqua"/>
          <w:sz w:val="24"/>
          <w:szCs w:val="24"/>
        </w:rPr>
        <w:t xml:space="preserve"> conducted a small prospective double-blind trial in 68 preterm infants (&lt;</w:t>
      </w:r>
      <w:r w:rsidR="00924037" w:rsidRPr="00443A23">
        <w:rPr>
          <w:rFonts w:ascii="Book Antiqua" w:hAnsi="Book Antiqua"/>
          <w:sz w:val="24"/>
          <w:szCs w:val="24"/>
          <w:lang w:eastAsia="zh-CN"/>
        </w:rPr>
        <w:t xml:space="preserve"> </w:t>
      </w:r>
      <w:r w:rsidRPr="00443A23">
        <w:rPr>
          <w:rFonts w:ascii="Book Antiqua" w:hAnsi="Book Antiqua"/>
          <w:sz w:val="24"/>
          <w:szCs w:val="24"/>
        </w:rPr>
        <w:t>1250</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g) supplemented with either </w:t>
      </w:r>
      <w:proofErr w:type="spellStart"/>
      <w:r w:rsidRPr="00443A23">
        <w:rPr>
          <w:rFonts w:ascii="Book Antiqua" w:hAnsi="Book Antiqua"/>
          <w:sz w:val="24"/>
          <w:szCs w:val="24"/>
        </w:rPr>
        <w:t>HCl</w:t>
      </w:r>
      <w:proofErr w:type="spellEnd"/>
      <w:r w:rsidRPr="00443A23">
        <w:rPr>
          <w:rFonts w:ascii="Book Antiqua" w:hAnsi="Book Antiqua"/>
          <w:sz w:val="24"/>
          <w:szCs w:val="24"/>
        </w:rPr>
        <w:t xml:space="preserve"> or water with feeds, and found that increased gastric bacterial colony counts were strongly correlated with gastric pH &gt;</w:t>
      </w:r>
      <w:r w:rsidR="00924037" w:rsidRPr="00443A23">
        <w:rPr>
          <w:rFonts w:ascii="Book Antiqua" w:hAnsi="Book Antiqua"/>
          <w:sz w:val="24"/>
          <w:szCs w:val="24"/>
          <w:lang w:eastAsia="zh-CN"/>
        </w:rPr>
        <w:t xml:space="preserve"> </w:t>
      </w:r>
      <w:r w:rsidRPr="00443A23">
        <w:rPr>
          <w:rFonts w:ascii="Book Antiqua" w:hAnsi="Book Antiqua"/>
          <w:sz w:val="24"/>
          <w:szCs w:val="24"/>
        </w:rPr>
        <w:t>4 (</w:t>
      </w:r>
      <w:r w:rsidRPr="00443A23">
        <w:rPr>
          <w:rFonts w:ascii="Book Antiqua" w:hAnsi="Book Antiqua"/>
          <w:i/>
          <w:sz w:val="24"/>
          <w:szCs w:val="24"/>
        </w:rPr>
        <w:t>P</w:t>
      </w:r>
      <w:r w:rsidR="00924037" w:rsidRPr="00443A23">
        <w:rPr>
          <w:rFonts w:ascii="Book Antiqua" w:hAnsi="Book Antiqua"/>
          <w:sz w:val="24"/>
          <w:szCs w:val="24"/>
          <w:lang w:eastAsia="zh-CN"/>
        </w:rPr>
        <w:t xml:space="preserve"> </w:t>
      </w:r>
      <w:r w:rsidRPr="00443A23">
        <w:rPr>
          <w:rFonts w:ascii="Book Antiqua" w:hAnsi="Book Antiqua"/>
          <w:sz w:val="24"/>
          <w:szCs w:val="24"/>
        </w:rPr>
        <w:t>&lt;</w:t>
      </w:r>
      <w:r w:rsidR="00924037" w:rsidRPr="00443A23">
        <w:rPr>
          <w:rFonts w:ascii="Book Antiqua" w:hAnsi="Book Antiqua"/>
          <w:sz w:val="24"/>
          <w:szCs w:val="24"/>
          <w:lang w:eastAsia="zh-CN"/>
        </w:rPr>
        <w:t xml:space="preserve"> </w:t>
      </w:r>
      <w:r w:rsidRPr="00443A23">
        <w:rPr>
          <w:rFonts w:ascii="Book Antiqua" w:hAnsi="Book Antiqua"/>
          <w:sz w:val="24"/>
          <w:szCs w:val="24"/>
        </w:rPr>
        <w:t>0.001), and acidification significantly reduced the incidences of NEC.</w:t>
      </w:r>
    </w:p>
    <w:p w14:paraId="4A814913" w14:textId="77777777" w:rsidR="002F7702" w:rsidRPr="00443A23" w:rsidRDefault="002F7702" w:rsidP="0002686E">
      <w:pPr>
        <w:spacing w:after="0" w:line="360" w:lineRule="auto"/>
        <w:jc w:val="both"/>
        <w:rPr>
          <w:rFonts w:ascii="Book Antiqua" w:hAnsi="Book Antiqua"/>
          <w:sz w:val="24"/>
          <w:szCs w:val="24"/>
        </w:rPr>
      </w:pPr>
    </w:p>
    <w:p w14:paraId="5CDD4740" w14:textId="427A3558"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Allergic </w:t>
      </w:r>
      <w:r w:rsidR="00924037" w:rsidRPr="00443A23">
        <w:rPr>
          <w:rFonts w:ascii="Book Antiqua" w:hAnsi="Book Antiqua"/>
          <w:b/>
          <w:i/>
          <w:sz w:val="24"/>
          <w:szCs w:val="24"/>
        </w:rPr>
        <w:t xml:space="preserve">sensitization </w:t>
      </w:r>
    </w:p>
    <w:p w14:paraId="30034AED" w14:textId="02364179"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Elevation of gastric pH also interferes with protein digestion, and it is hypothesised that normally digestible dietary peptides are preserved and recognised by the immune system as </w:t>
      </w:r>
      <w:proofErr w:type="gramStart"/>
      <w:r w:rsidRPr="00443A23">
        <w:rPr>
          <w:rFonts w:ascii="Book Antiqua" w:hAnsi="Book Antiqua"/>
          <w:sz w:val="24"/>
          <w:szCs w:val="24"/>
        </w:rPr>
        <w:t>allergens</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19]</w:t>
      </w:r>
      <w:r w:rsidR="00924037" w:rsidRPr="00443A23">
        <w:rPr>
          <w:rFonts w:ascii="Book Antiqua" w:hAnsi="Book Antiqua"/>
          <w:sz w:val="24"/>
          <w:szCs w:val="24"/>
        </w:rPr>
        <w:t xml:space="preserve">. </w:t>
      </w:r>
      <w:proofErr w:type="spellStart"/>
      <w:r w:rsidR="00924037" w:rsidRPr="00443A23">
        <w:rPr>
          <w:rFonts w:ascii="Book Antiqua" w:hAnsi="Book Antiqua"/>
          <w:sz w:val="24"/>
          <w:szCs w:val="24"/>
        </w:rPr>
        <w:t>Schöll</w:t>
      </w:r>
      <w:proofErr w:type="spellEnd"/>
      <w:r w:rsidR="00924037" w:rsidRPr="00443A23">
        <w:rPr>
          <w:rFonts w:ascii="Book Antiqua" w:hAnsi="Book Antiqua"/>
          <w:sz w:val="24"/>
          <w:szCs w:val="24"/>
        </w:rPr>
        <w:t xml:space="preserv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19]</w:t>
      </w:r>
      <w:r w:rsidRPr="00443A23">
        <w:rPr>
          <w:rFonts w:ascii="Book Antiqua" w:hAnsi="Book Antiqua"/>
          <w:sz w:val="24"/>
          <w:szCs w:val="24"/>
        </w:rPr>
        <w:t xml:space="preserve"> showed that omeprazole with hazelnut-extract treatment  induced hazelnut-specific IgG1 in 3 of 5 mice (</w:t>
      </w:r>
      <w:r w:rsidRPr="00443A23">
        <w:rPr>
          <w:rFonts w:ascii="Book Antiqua" w:hAnsi="Book Antiqua"/>
          <w:i/>
          <w:sz w:val="24"/>
          <w:szCs w:val="24"/>
        </w:rPr>
        <w:t>P</w:t>
      </w:r>
      <w:r w:rsidR="00924037" w:rsidRPr="00443A23">
        <w:rPr>
          <w:rFonts w:ascii="Book Antiqua" w:hAnsi="Book Antiqua"/>
          <w:sz w:val="24"/>
          <w:szCs w:val="24"/>
          <w:lang w:eastAsia="zh-CN"/>
        </w:rPr>
        <w:t xml:space="preserve"> </w:t>
      </w:r>
      <w:r w:rsidRPr="00443A23">
        <w:rPr>
          <w:rFonts w:ascii="Book Antiqua" w:hAnsi="Book Antiqua"/>
          <w:sz w:val="24"/>
          <w:szCs w:val="24"/>
        </w:rPr>
        <w:t>=</w:t>
      </w:r>
      <w:r w:rsidR="00924037" w:rsidRPr="00443A23">
        <w:rPr>
          <w:rFonts w:ascii="Book Antiqua" w:hAnsi="Book Antiqua"/>
          <w:sz w:val="24"/>
          <w:szCs w:val="24"/>
          <w:lang w:eastAsia="zh-CN"/>
        </w:rPr>
        <w:t xml:space="preserve"> </w:t>
      </w:r>
      <w:r w:rsidRPr="00443A23">
        <w:rPr>
          <w:rFonts w:ascii="Book Antiqua" w:hAnsi="Book Antiqua"/>
          <w:sz w:val="24"/>
          <w:szCs w:val="24"/>
        </w:rPr>
        <w:t>0.754); and in the human study, 3.3% of patients receiving 3 months of H2RA/PPI treatment also developed de novo allergic sensitization, which was higher than the reported prevalence of all tree nut allergies in the general US population (0.2-0.7%).</w:t>
      </w:r>
      <w:r w:rsidR="00924037" w:rsidRPr="00443A23">
        <w:rPr>
          <w:rFonts w:ascii="Book Antiqua" w:hAnsi="Book Antiqua"/>
          <w:sz w:val="24"/>
          <w:szCs w:val="24"/>
        </w:rPr>
        <w:t xml:space="preserve"> </w:t>
      </w:r>
      <w:proofErr w:type="spellStart"/>
      <w:r w:rsidR="00924037" w:rsidRPr="00443A23">
        <w:rPr>
          <w:rFonts w:ascii="Book Antiqua" w:hAnsi="Book Antiqua"/>
          <w:sz w:val="24"/>
          <w:szCs w:val="24"/>
        </w:rPr>
        <w:t>Schöll</w:t>
      </w:r>
      <w:proofErr w:type="spellEnd"/>
      <w:r w:rsidR="00924037" w:rsidRPr="00443A23">
        <w:rPr>
          <w:rFonts w:ascii="Book Antiqua" w:hAnsi="Book Antiqua"/>
          <w:sz w:val="24"/>
          <w:szCs w:val="24"/>
        </w:rPr>
        <w:t xml:space="preserve"> </w:t>
      </w:r>
      <w:r w:rsidR="00924037" w:rsidRPr="00443A23">
        <w:rPr>
          <w:rFonts w:ascii="Book Antiqua" w:hAnsi="Book Antiqua"/>
          <w:i/>
          <w:sz w:val="24"/>
          <w:szCs w:val="24"/>
        </w:rPr>
        <w:t xml:space="preserve">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44]</w:t>
      </w:r>
      <w:r w:rsidRPr="00443A23">
        <w:rPr>
          <w:rFonts w:ascii="Book Antiqua" w:hAnsi="Book Antiqua"/>
          <w:sz w:val="24"/>
          <w:szCs w:val="24"/>
        </w:rPr>
        <w:t xml:space="preserve"> also proposed that an allergic status induced in mothers had the potential to transfer (</w:t>
      </w:r>
      <w:r w:rsidRPr="00443A23">
        <w:rPr>
          <w:rFonts w:ascii="Book Antiqua" w:hAnsi="Book Antiqua"/>
          <w:i/>
          <w:sz w:val="24"/>
          <w:szCs w:val="24"/>
        </w:rPr>
        <w:t>via</w:t>
      </w:r>
      <w:r w:rsidRPr="00443A23">
        <w:rPr>
          <w:rFonts w:ascii="Book Antiqua" w:hAnsi="Book Antiqua"/>
          <w:sz w:val="24"/>
          <w:szCs w:val="24"/>
        </w:rPr>
        <w:t xml:space="preserve"> placenta or breast milk) to the child. A study in pregnant mice demonstrated that increasing the gastric pH with </w:t>
      </w:r>
      <w:proofErr w:type="spellStart"/>
      <w:r w:rsidRPr="00443A23">
        <w:rPr>
          <w:rFonts w:ascii="Book Antiqua" w:hAnsi="Book Antiqua"/>
          <w:sz w:val="24"/>
          <w:szCs w:val="24"/>
        </w:rPr>
        <w:t>sucralfate</w:t>
      </w:r>
      <w:proofErr w:type="spellEnd"/>
      <w:r w:rsidRPr="00443A23">
        <w:rPr>
          <w:rFonts w:ascii="Book Antiqua" w:hAnsi="Book Antiqua"/>
          <w:sz w:val="24"/>
          <w:szCs w:val="24"/>
        </w:rPr>
        <w:t xml:space="preserve"> induced higher levels of codfish-specific IgG1 in mothers and</w:t>
      </w:r>
      <w:r w:rsidR="00237562" w:rsidRPr="00443A23">
        <w:rPr>
          <w:rFonts w:ascii="Book Antiqua" w:hAnsi="Book Antiqua"/>
          <w:sz w:val="24"/>
          <w:szCs w:val="24"/>
        </w:rPr>
        <w:t xml:space="preserve"> </w:t>
      </w:r>
      <w:proofErr w:type="gramStart"/>
      <w:r w:rsidR="00237562" w:rsidRPr="00443A23">
        <w:rPr>
          <w:rFonts w:ascii="Book Antiqua" w:hAnsi="Book Antiqua"/>
          <w:sz w:val="24"/>
          <w:szCs w:val="24"/>
        </w:rPr>
        <w:t>offspring</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44]</w:t>
      </w:r>
      <w:r w:rsidRPr="00443A23">
        <w:rPr>
          <w:rFonts w:ascii="Book Antiqua" w:hAnsi="Book Antiqua"/>
          <w:sz w:val="24"/>
          <w:szCs w:val="24"/>
        </w:rPr>
        <w:t xml:space="preserve">. In offspring </w:t>
      </w:r>
      <w:proofErr w:type="spellStart"/>
      <w:r w:rsidRPr="00443A23">
        <w:rPr>
          <w:rFonts w:ascii="Book Antiqua" w:hAnsi="Book Antiqua"/>
          <w:sz w:val="24"/>
          <w:szCs w:val="24"/>
        </w:rPr>
        <w:t>splenocytes</w:t>
      </w:r>
      <w:proofErr w:type="spellEnd"/>
      <w:r w:rsidRPr="00443A23">
        <w:rPr>
          <w:rFonts w:ascii="Book Antiqua" w:hAnsi="Book Antiqua"/>
          <w:sz w:val="24"/>
          <w:szCs w:val="24"/>
        </w:rPr>
        <w:t xml:space="preserve">, </w:t>
      </w:r>
      <w:r w:rsidRPr="00443A23">
        <w:rPr>
          <w:rFonts w:ascii="Book Antiqua" w:hAnsi="Book Antiqua"/>
          <w:sz w:val="24"/>
          <w:szCs w:val="24"/>
        </w:rPr>
        <w:lastRenderedPageBreak/>
        <w:t>there was also a suppressed production of IFN- γ (Th1-cytokine), allowing the Th2-cytokine response to dominate (a phenotype predisposed to allergy); and T-regulatory cytokine IL-10, which r</w:t>
      </w:r>
      <w:r w:rsidR="00237562" w:rsidRPr="00443A23">
        <w:rPr>
          <w:rFonts w:ascii="Book Antiqua" w:hAnsi="Book Antiqua"/>
          <w:sz w:val="24"/>
          <w:szCs w:val="24"/>
        </w:rPr>
        <w:t xml:space="preserve">egulates the allergic </w:t>
      </w:r>
      <w:proofErr w:type="gramStart"/>
      <w:r w:rsidR="00237562" w:rsidRPr="00443A23">
        <w:rPr>
          <w:rFonts w:ascii="Book Antiqua" w:hAnsi="Book Antiqua"/>
          <w:sz w:val="24"/>
          <w:szCs w:val="24"/>
        </w:rPr>
        <w:t>response</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44]</w:t>
      </w:r>
      <w:r w:rsidRPr="00443A23">
        <w:rPr>
          <w:rFonts w:ascii="Book Antiqua" w:hAnsi="Book Antiqua"/>
          <w:sz w:val="24"/>
          <w:szCs w:val="24"/>
        </w:rPr>
        <w:t xml:space="preserve">. A Swedish population register-based study found a significantly increased risk of developing childhood asthmas (51%), or any allergy (43%) in children exposed to PPIs/H2RAs in utero, irrespective of the drug type, trimester of exposure or maternal </w:t>
      </w:r>
      <w:r w:rsidR="00237562" w:rsidRPr="00443A23">
        <w:rPr>
          <w:rFonts w:ascii="Book Antiqua" w:hAnsi="Book Antiqua"/>
          <w:sz w:val="24"/>
          <w:szCs w:val="24"/>
        </w:rPr>
        <w:t xml:space="preserve">history of </w:t>
      </w:r>
      <w:proofErr w:type="gramStart"/>
      <w:r w:rsidR="00237562" w:rsidRPr="00443A23">
        <w:rPr>
          <w:rFonts w:ascii="Book Antiqua" w:hAnsi="Book Antiqua"/>
          <w:sz w:val="24"/>
          <w:szCs w:val="24"/>
        </w:rPr>
        <w:t>allergy</w:t>
      </w:r>
      <w:r w:rsidR="00924037" w:rsidRPr="00443A23">
        <w:rPr>
          <w:rFonts w:ascii="Book Antiqua" w:hAnsi="Book Antiqua"/>
          <w:sz w:val="24"/>
          <w:szCs w:val="24"/>
          <w:vertAlign w:val="superscript"/>
        </w:rPr>
        <w:t>[</w:t>
      </w:r>
      <w:proofErr w:type="gramEnd"/>
      <w:r w:rsidR="00237562" w:rsidRPr="00443A23">
        <w:rPr>
          <w:rFonts w:ascii="Book Antiqua" w:hAnsi="Book Antiqua"/>
          <w:sz w:val="24"/>
          <w:szCs w:val="24"/>
          <w:vertAlign w:val="superscript"/>
        </w:rPr>
        <w:t>45]</w:t>
      </w:r>
      <w:r w:rsidRPr="00443A23">
        <w:rPr>
          <w:rFonts w:ascii="Book Antiqua" w:hAnsi="Book Antiqua"/>
          <w:sz w:val="24"/>
          <w:szCs w:val="24"/>
        </w:rPr>
        <w:t xml:space="preserve">. </w:t>
      </w:r>
    </w:p>
    <w:p w14:paraId="7E5A9C48" w14:textId="77777777" w:rsidR="002F7702" w:rsidRPr="00443A23" w:rsidRDefault="002F7702" w:rsidP="0002686E">
      <w:pPr>
        <w:spacing w:after="0" w:line="360" w:lineRule="auto"/>
        <w:jc w:val="both"/>
        <w:rPr>
          <w:rFonts w:ascii="Book Antiqua" w:hAnsi="Book Antiqua"/>
          <w:sz w:val="24"/>
          <w:szCs w:val="24"/>
          <w:lang w:eastAsia="zh-CN"/>
        </w:rPr>
      </w:pPr>
    </w:p>
    <w:p w14:paraId="752A6832" w14:textId="1893BA02" w:rsidR="002F7702" w:rsidRPr="00443A23" w:rsidRDefault="00924037" w:rsidP="0002686E">
      <w:pPr>
        <w:spacing w:after="0" w:line="360" w:lineRule="auto"/>
        <w:jc w:val="both"/>
        <w:rPr>
          <w:rFonts w:ascii="Book Antiqua" w:hAnsi="Book Antiqua"/>
          <w:b/>
          <w:sz w:val="24"/>
          <w:szCs w:val="24"/>
        </w:rPr>
      </w:pPr>
      <w:r w:rsidRPr="00443A23">
        <w:rPr>
          <w:rFonts w:ascii="Book Antiqua" w:hAnsi="Book Antiqua"/>
          <w:b/>
          <w:sz w:val="24"/>
          <w:szCs w:val="24"/>
        </w:rPr>
        <w:t>HYPERGASTRINAEMIA AND MUCOSA CHANGES</w:t>
      </w:r>
    </w:p>
    <w:p w14:paraId="76EC31AF" w14:textId="5EA45A7B"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Increasing gastric pH leads to </w:t>
      </w:r>
      <w:proofErr w:type="spellStart"/>
      <w:r w:rsidRPr="00443A23">
        <w:rPr>
          <w:rFonts w:ascii="Book Antiqua" w:hAnsi="Book Antiqua"/>
          <w:sz w:val="24"/>
          <w:szCs w:val="24"/>
        </w:rPr>
        <w:t>hypergastrinemia</w:t>
      </w:r>
      <w:proofErr w:type="spellEnd"/>
      <w:r w:rsidRPr="00443A23">
        <w:rPr>
          <w:rFonts w:ascii="Book Antiqua" w:hAnsi="Book Antiqua"/>
          <w:sz w:val="24"/>
          <w:szCs w:val="24"/>
        </w:rPr>
        <w:t xml:space="preserve">, which has growth-promoting effects on several epithelial </w:t>
      </w:r>
      <w:proofErr w:type="gramStart"/>
      <w:r w:rsidRPr="00443A23">
        <w:rPr>
          <w:rFonts w:ascii="Book Antiqua" w:hAnsi="Book Antiqua"/>
          <w:sz w:val="24"/>
          <w:szCs w:val="24"/>
        </w:rPr>
        <w:t>types</w:t>
      </w:r>
      <w:r w:rsidR="00924037" w:rsidRPr="00443A23">
        <w:rPr>
          <w:rFonts w:ascii="Book Antiqua" w:hAnsi="Book Antiqua"/>
          <w:sz w:val="24"/>
          <w:szCs w:val="24"/>
          <w:vertAlign w:val="superscript"/>
        </w:rPr>
        <w:t>[</w:t>
      </w:r>
      <w:proofErr w:type="gramEnd"/>
      <w:r w:rsidR="00E76E27" w:rsidRPr="00443A23">
        <w:rPr>
          <w:rFonts w:ascii="Book Antiqua" w:hAnsi="Book Antiqua"/>
          <w:sz w:val="24"/>
          <w:szCs w:val="24"/>
          <w:vertAlign w:val="superscript"/>
        </w:rPr>
        <w:t>46]</w:t>
      </w:r>
      <w:r w:rsidRPr="00443A23">
        <w:rPr>
          <w:rFonts w:ascii="Book Antiqua" w:hAnsi="Book Antiqua"/>
          <w:sz w:val="24"/>
          <w:szCs w:val="24"/>
        </w:rPr>
        <w:t xml:space="preserve">. Consequently, long-term PPI therapy is associated with parietal and </w:t>
      </w:r>
      <w:proofErr w:type="spellStart"/>
      <w:r w:rsidRPr="00443A23">
        <w:rPr>
          <w:rFonts w:ascii="Book Antiqua" w:hAnsi="Book Antiqua"/>
          <w:sz w:val="24"/>
          <w:szCs w:val="24"/>
        </w:rPr>
        <w:t>enterochromaffin</w:t>
      </w:r>
      <w:proofErr w:type="spellEnd"/>
      <w:r w:rsidRPr="00443A23">
        <w:rPr>
          <w:rFonts w:ascii="Book Antiqua" w:hAnsi="Book Antiqua"/>
          <w:sz w:val="24"/>
          <w:szCs w:val="24"/>
        </w:rPr>
        <w:t xml:space="preserve">-like cell hyperplasia, as demonstrated by a RCT between esomeprazole treatment for 5 years compared with laparoscopic </w:t>
      </w:r>
      <w:proofErr w:type="spellStart"/>
      <w:r w:rsidRPr="00443A23">
        <w:rPr>
          <w:rFonts w:ascii="Book Antiqua" w:hAnsi="Book Antiqua"/>
          <w:sz w:val="24"/>
          <w:szCs w:val="24"/>
        </w:rPr>
        <w:t>antireflux</w:t>
      </w:r>
      <w:proofErr w:type="spellEnd"/>
      <w:r w:rsidRPr="00443A23">
        <w:rPr>
          <w:rFonts w:ascii="Book Antiqua" w:hAnsi="Book Antiqua"/>
          <w:sz w:val="24"/>
          <w:szCs w:val="24"/>
        </w:rPr>
        <w:t xml:space="preserve"> procedures for </w:t>
      </w:r>
      <w:proofErr w:type="gramStart"/>
      <w:r w:rsidRPr="00443A23">
        <w:rPr>
          <w:rFonts w:ascii="Book Antiqua" w:hAnsi="Book Antiqua"/>
          <w:sz w:val="24"/>
          <w:szCs w:val="24"/>
        </w:rPr>
        <w:t>GORD</w:t>
      </w:r>
      <w:r w:rsidR="00924037" w:rsidRPr="00443A23">
        <w:rPr>
          <w:rFonts w:ascii="Book Antiqua" w:hAnsi="Book Antiqua"/>
          <w:sz w:val="24"/>
          <w:szCs w:val="24"/>
          <w:vertAlign w:val="superscript"/>
        </w:rPr>
        <w:t>[</w:t>
      </w:r>
      <w:proofErr w:type="gramEnd"/>
      <w:r w:rsidR="00E76E27" w:rsidRPr="00443A23">
        <w:rPr>
          <w:rFonts w:ascii="Book Antiqua" w:hAnsi="Book Antiqua"/>
          <w:sz w:val="24"/>
          <w:szCs w:val="24"/>
          <w:vertAlign w:val="superscript"/>
        </w:rPr>
        <w:t>47]</w:t>
      </w:r>
      <w:r w:rsidRPr="00443A23">
        <w:rPr>
          <w:rFonts w:ascii="Book Antiqua" w:hAnsi="Book Antiqua"/>
          <w:sz w:val="24"/>
          <w:szCs w:val="24"/>
        </w:rPr>
        <w:t xml:space="preserve">. Despite the proliferative drive of chronically elevated gastrin, no dysplastic changes were found. </w:t>
      </w:r>
    </w:p>
    <w:p w14:paraId="5E3AF996" w14:textId="7653A12F" w:rsidR="002F7702" w:rsidRPr="00443A23" w:rsidRDefault="002F7702" w:rsidP="0002686E">
      <w:pPr>
        <w:spacing w:after="0" w:line="360" w:lineRule="auto"/>
        <w:ind w:firstLineChars="150" w:firstLine="360"/>
        <w:jc w:val="both"/>
        <w:rPr>
          <w:rFonts w:ascii="Book Antiqua" w:hAnsi="Book Antiqua"/>
          <w:sz w:val="24"/>
          <w:szCs w:val="24"/>
        </w:rPr>
      </w:pPr>
      <w:proofErr w:type="spellStart"/>
      <w:r w:rsidRPr="00443A23">
        <w:rPr>
          <w:rFonts w:ascii="Book Antiqua" w:hAnsi="Book Antiqua"/>
          <w:sz w:val="24"/>
          <w:szCs w:val="24"/>
        </w:rPr>
        <w:t>Jalving</w:t>
      </w:r>
      <w:proofErr w:type="spellEnd"/>
      <w:r w:rsidR="00924037" w:rsidRPr="00443A23">
        <w:rPr>
          <w:rFonts w:ascii="Book Antiqua" w:hAnsi="Book Antiqua"/>
          <w:i/>
          <w:sz w:val="24"/>
          <w:szCs w:val="24"/>
        </w:rPr>
        <w:t xml:space="preserve"> et </w:t>
      </w:r>
      <w:proofErr w:type="gramStart"/>
      <w:r w:rsidR="00924037" w:rsidRPr="00443A23">
        <w:rPr>
          <w:rFonts w:ascii="Book Antiqua" w:hAnsi="Book Antiqua"/>
          <w:i/>
          <w:sz w:val="24"/>
          <w:szCs w:val="24"/>
        </w:rPr>
        <w:t>al</w:t>
      </w:r>
      <w:r w:rsidR="00924037" w:rsidRPr="00443A23">
        <w:rPr>
          <w:rFonts w:ascii="Book Antiqua" w:hAnsi="Book Antiqua"/>
          <w:sz w:val="24"/>
          <w:szCs w:val="24"/>
          <w:vertAlign w:val="superscript"/>
        </w:rPr>
        <w:t>[</w:t>
      </w:r>
      <w:proofErr w:type="gramEnd"/>
      <w:r w:rsidR="00567506" w:rsidRPr="00443A23">
        <w:rPr>
          <w:rFonts w:ascii="Book Antiqua" w:hAnsi="Book Antiqua"/>
          <w:sz w:val="24"/>
          <w:szCs w:val="24"/>
          <w:vertAlign w:val="superscript"/>
        </w:rPr>
        <w:t>48]</w:t>
      </w:r>
      <w:r w:rsidRPr="00443A23">
        <w:rPr>
          <w:rFonts w:ascii="Book Antiqua" w:hAnsi="Book Antiqua"/>
          <w:sz w:val="24"/>
          <w:szCs w:val="24"/>
        </w:rPr>
        <w:t xml:space="preserve"> also found that PPI use &gt;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1 year was associated with an increased risk of benign </w:t>
      </w:r>
      <w:proofErr w:type="spellStart"/>
      <w:r w:rsidRPr="00443A23">
        <w:rPr>
          <w:rFonts w:ascii="Book Antiqua" w:hAnsi="Book Antiqua"/>
          <w:sz w:val="24"/>
          <w:szCs w:val="24"/>
        </w:rPr>
        <w:t>fundic</w:t>
      </w:r>
      <w:proofErr w:type="spellEnd"/>
      <w:r w:rsidRPr="00443A23">
        <w:rPr>
          <w:rFonts w:ascii="Book Antiqua" w:hAnsi="Book Antiqua"/>
          <w:sz w:val="24"/>
          <w:szCs w:val="24"/>
        </w:rPr>
        <w:t xml:space="preserve"> gland polyps (OR </w:t>
      </w:r>
      <w:r w:rsidR="00924037" w:rsidRPr="00443A23">
        <w:rPr>
          <w:rFonts w:ascii="Book Antiqua" w:hAnsi="Book Antiqua"/>
          <w:sz w:val="24"/>
          <w:szCs w:val="24"/>
          <w:lang w:eastAsia="zh-CN"/>
        </w:rPr>
        <w:t xml:space="preserve">= </w:t>
      </w:r>
      <w:r w:rsidR="00924037" w:rsidRPr="00443A23">
        <w:rPr>
          <w:rFonts w:ascii="Book Antiqua" w:hAnsi="Book Antiqua"/>
          <w:sz w:val="24"/>
          <w:szCs w:val="24"/>
        </w:rPr>
        <w:t>2.8, 95%</w:t>
      </w:r>
      <w:r w:rsidRPr="00443A23">
        <w:rPr>
          <w:rFonts w:ascii="Book Antiqua" w:hAnsi="Book Antiqua"/>
          <w:sz w:val="24"/>
          <w:szCs w:val="24"/>
        </w:rPr>
        <w:t>CI</w:t>
      </w:r>
      <w:r w:rsidR="00924037" w:rsidRPr="00443A23">
        <w:rPr>
          <w:rFonts w:ascii="Book Antiqua" w:hAnsi="Book Antiqua"/>
          <w:sz w:val="24"/>
          <w:szCs w:val="24"/>
          <w:lang w:eastAsia="zh-CN"/>
        </w:rPr>
        <w:t>:</w:t>
      </w:r>
      <w:r w:rsidRPr="00443A23">
        <w:rPr>
          <w:rFonts w:ascii="Book Antiqua" w:hAnsi="Book Antiqua"/>
          <w:sz w:val="24"/>
          <w:szCs w:val="24"/>
        </w:rPr>
        <w:t xml:space="preserve"> 1.8-4.5), believed to arise from parietal cell protrusions and hyperplasia. One low-grade dysplastic polyp was found in a patient already predisposed with familial adenomatous polyposis, and did not appear to be PP</w:t>
      </w:r>
      <w:r w:rsidR="00567506" w:rsidRPr="00443A23">
        <w:rPr>
          <w:rFonts w:ascii="Book Antiqua" w:hAnsi="Book Antiqua"/>
          <w:sz w:val="24"/>
          <w:szCs w:val="24"/>
        </w:rPr>
        <w:t>I-</w:t>
      </w:r>
      <w:proofErr w:type="gramStart"/>
      <w:r w:rsidR="00567506" w:rsidRPr="00443A23">
        <w:rPr>
          <w:rFonts w:ascii="Book Antiqua" w:hAnsi="Book Antiqua"/>
          <w:sz w:val="24"/>
          <w:szCs w:val="24"/>
        </w:rPr>
        <w:t>related</w:t>
      </w:r>
      <w:r w:rsidR="00924037" w:rsidRPr="00443A23">
        <w:rPr>
          <w:rFonts w:ascii="Book Antiqua" w:hAnsi="Book Antiqua"/>
          <w:sz w:val="24"/>
          <w:szCs w:val="24"/>
          <w:vertAlign w:val="superscript"/>
        </w:rPr>
        <w:t>[</w:t>
      </w:r>
      <w:proofErr w:type="gramEnd"/>
      <w:r w:rsidR="00567506" w:rsidRPr="00443A23">
        <w:rPr>
          <w:rFonts w:ascii="Book Antiqua" w:hAnsi="Book Antiqua"/>
          <w:sz w:val="24"/>
          <w:szCs w:val="24"/>
          <w:vertAlign w:val="superscript"/>
        </w:rPr>
        <w:t>48]</w:t>
      </w:r>
      <w:r w:rsidRPr="00443A23">
        <w:rPr>
          <w:rFonts w:ascii="Book Antiqua" w:hAnsi="Book Antiqua"/>
          <w:sz w:val="24"/>
          <w:szCs w:val="24"/>
        </w:rPr>
        <w:t xml:space="preserve">. </w:t>
      </w:r>
    </w:p>
    <w:p w14:paraId="1785E8CE" w14:textId="77777777" w:rsidR="002F7702" w:rsidRPr="00443A23" w:rsidRDefault="002F7702" w:rsidP="0002686E">
      <w:pPr>
        <w:spacing w:after="0" w:line="360" w:lineRule="auto"/>
        <w:jc w:val="both"/>
        <w:rPr>
          <w:rFonts w:ascii="Book Antiqua" w:hAnsi="Book Antiqua"/>
          <w:sz w:val="24"/>
          <w:szCs w:val="24"/>
        </w:rPr>
      </w:pPr>
    </w:p>
    <w:p w14:paraId="0740DD3D" w14:textId="77777777"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Vitamin and mineral deficiencies </w:t>
      </w:r>
    </w:p>
    <w:p w14:paraId="5E741BB0" w14:textId="00B0099B"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By reducing gastric acidity, PPIs may interfere with the absorption of dietary protein-bound vitamin B12 and ionised calcium from dietary </w:t>
      </w:r>
      <w:proofErr w:type="gramStart"/>
      <w:r w:rsidRPr="00443A23">
        <w:rPr>
          <w:rFonts w:ascii="Book Antiqua" w:hAnsi="Book Antiqua"/>
          <w:sz w:val="24"/>
          <w:szCs w:val="24"/>
        </w:rPr>
        <w:t>salts</w:t>
      </w:r>
      <w:r w:rsidR="00924037" w:rsidRPr="00443A23">
        <w:rPr>
          <w:rFonts w:ascii="Book Antiqua" w:hAnsi="Book Antiqua"/>
          <w:sz w:val="24"/>
          <w:szCs w:val="24"/>
          <w:vertAlign w:val="superscript"/>
        </w:rPr>
        <w:t>[</w:t>
      </w:r>
      <w:proofErr w:type="gramEnd"/>
      <w:r w:rsidR="00556DC7" w:rsidRPr="00443A23">
        <w:rPr>
          <w:rFonts w:ascii="Book Antiqua" w:hAnsi="Book Antiqua"/>
          <w:sz w:val="24"/>
          <w:szCs w:val="24"/>
          <w:vertAlign w:val="superscript"/>
        </w:rPr>
        <w:t>22]</w:t>
      </w:r>
      <w:r w:rsidRPr="00443A23">
        <w:rPr>
          <w:rFonts w:ascii="Book Antiqua" w:hAnsi="Book Antiqua"/>
          <w:sz w:val="24"/>
          <w:szCs w:val="24"/>
        </w:rPr>
        <w:t>. However, evidence of an effect of long-term PPI use in the elderly (over 65) on vitamin B12 has shown conflicting results. One case-control study (</w:t>
      </w:r>
      <w:r w:rsidRPr="00443A23">
        <w:rPr>
          <w:rFonts w:ascii="Book Antiqua" w:hAnsi="Book Antiqua"/>
          <w:i/>
          <w:sz w:val="24"/>
          <w:szCs w:val="24"/>
        </w:rPr>
        <w:t>n</w:t>
      </w:r>
      <w:r w:rsidR="00924037" w:rsidRPr="00443A23">
        <w:rPr>
          <w:rFonts w:ascii="Book Antiqua" w:hAnsi="Book Antiqua"/>
          <w:sz w:val="24"/>
          <w:szCs w:val="24"/>
          <w:lang w:eastAsia="zh-CN"/>
        </w:rPr>
        <w:t xml:space="preserve"> </w:t>
      </w:r>
      <w:r w:rsidRPr="00443A23">
        <w:rPr>
          <w:rFonts w:ascii="Book Antiqua" w:hAnsi="Book Antiqua"/>
          <w:sz w:val="24"/>
          <w:szCs w:val="24"/>
        </w:rPr>
        <w:t>=</w:t>
      </w:r>
      <w:r w:rsidR="00924037" w:rsidRPr="00443A23">
        <w:rPr>
          <w:rFonts w:ascii="Book Antiqua" w:hAnsi="Book Antiqua"/>
          <w:sz w:val="24"/>
          <w:szCs w:val="24"/>
          <w:lang w:eastAsia="zh-CN"/>
        </w:rPr>
        <w:t xml:space="preserve"> </w:t>
      </w:r>
      <w:r w:rsidRPr="00443A23">
        <w:rPr>
          <w:rFonts w:ascii="Book Antiqua" w:hAnsi="Book Antiqua"/>
          <w:sz w:val="24"/>
          <w:szCs w:val="24"/>
        </w:rPr>
        <w:t>53) found a 4.45 times increased risk for vitamin B12 deficiency in patients (&gt;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12 </w:t>
      </w:r>
      <w:proofErr w:type="spellStart"/>
      <w:r w:rsidR="00924037" w:rsidRPr="00443A23">
        <w:rPr>
          <w:rFonts w:ascii="Book Antiqua" w:hAnsi="Book Antiqua"/>
          <w:sz w:val="24"/>
          <w:szCs w:val="24"/>
          <w:lang w:eastAsia="zh-CN"/>
        </w:rPr>
        <w:t>mo</w:t>
      </w:r>
      <w:proofErr w:type="spellEnd"/>
      <w:r w:rsidRPr="00443A23">
        <w:rPr>
          <w:rFonts w:ascii="Book Antiqua" w:hAnsi="Book Antiqua"/>
          <w:sz w:val="24"/>
          <w:szCs w:val="24"/>
        </w:rPr>
        <w:t xml:space="preserve"> of H2</w:t>
      </w:r>
      <w:r w:rsidR="00556DC7" w:rsidRPr="00443A23">
        <w:rPr>
          <w:rFonts w:ascii="Book Antiqua" w:hAnsi="Book Antiqua"/>
          <w:sz w:val="24"/>
          <w:szCs w:val="24"/>
        </w:rPr>
        <w:t>RAs/PPIs)</w:t>
      </w:r>
      <w:r w:rsidR="00924037" w:rsidRPr="00443A23">
        <w:rPr>
          <w:rFonts w:ascii="Book Antiqua" w:hAnsi="Book Antiqua"/>
          <w:sz w:val="24"/>
          <w:szCs w:val="24"/>
          <w:vertAlign w:val="superscript"/>
        </w:rPr>
        <w:t>[</w:t>
      </w:r>
      <w:r w:rsidR="00556DC7" w:rsidRPr="00443A23">
        <w:rPr>
          <w:rFonts w:ascii="Book Antiqua" w:hAnsi="Book Antiqua"/>
          <w:sz w:val="24"/>
          <w:szCs w:val="24"/>
          <w:vertAlign w:val="superscript"/>
        </w:rPr>
        <w:t>49]</w:t>
      </w:r>
      <w:r w:rsidRPr="00443A23">
        <w:rPr>
          <w:rFonts w:ascii="Book Antiqua" w:hAnsi="Book Antiqua"/>
          <w:sz w:val="24"/>
          <w:szCs w:val="24"/>
        </w:rPr>
        <w:t>. However, a more recent cross-sectional study of 125 chronic (&gt;</w:t>
      </w:r>
      <w:r w:rsidR="00924037" w:rsidRPr="00443A23">
        <w:rPr>
          <w:rFonts w:ascii="Book Antiqua" w:hAnsi="Book Antiqua"/>
          <w:sz w:val="24"/>
          <w:szCs w:val="24"/>
          <w:lang w:eastAsia="zh-CN"/>
        </w:rPr>
        <w:t xml:space="preserve"> </w:t>
      </w:r>
      <w:r w:rsidRPr="00443A23">
        <w:rPr>
          <w:rFonts w:ascii="Book Antiqua" w:hAnsi="Book Antiqua"/>
          <w:sz w:val="24"/>
          <w:szCs w:val="24"/>
        </w:rPr>
        <w:t xml:space="preserve">3 years) PPI users found no difference in serum vitamin B12 levels compared with </w:t>
      </w:r>
      <w:proofErr w:type="gramStart"/>
      <w:r w:rsidRPr="00443A23">
        <w:rPr>
          <w:rFonts w:ascii="Book Antiqua" w:hAnsi="Book Antiqua"/>
          <w:sz w:val="24"/>
          <w:szCs w:val="24"/>
        </w:rPr>
        <w:t>controls</w:t>
      </w:r>
      <w:r w:rsidR="00924037" w:rsidRPr="00443A23">
        <w:rPr>
          <w:rFonts w:ascii="Book Antiqua" w:hAnsi="Book Antiqua"/>
          <w:sz w:val="24"/>
          <w:szCs w:val="24"/>
          <w:vertAlign w:val="superscript"/>
        </w:rPr>
        <w:t>[</w:t>
      </w:r>
      <w:proofErr w:type="gramEnd"/>
      <w:r w:rsidR="00556DC7" w:rsidRPr="00443A23">
        <w:rPr>
          <w:rFonts w:ascii="Book Antiqua" w:hAnsi="Book Antiqua"/>
          <w:sz w:val="24"/>
          <w:szCs w:val="24"/>
          <w:vertAlign w:val="superscript"/>
        </w:rPr>
        <w:t>50]</w:t>
      </w:r>
      <w:r w:rsidRPr="00443A23">
        <w:rPr>
          <w:rFonts w:ascii="Book Antiqua" w:hAnsi="Book Antiqua"/>
          <w:sz w:val="24"/>
          <w:szCs w:val="24"/>
        </w:rPr>
        <w:t xml:space="preserve">.  </w:t>
      </w:r>
    </w:p>
    <w:p w14:paraId="2757276D" w14:textId="2CD92308" w:rsidR="00441370" w:rsidRPr="00443A23" w:rsidRDefault="002F7702" w:rsidP="0002686E">
      <w:pPr>
        <w:spacing w:after="0" w:line="360" w:lineRule="auto"/>
        <w:ind w:firstLineChars="100" w:firstLine="240"/>
        <w:jc w:val="both"/>
        <w:rPr>
          <w:rFonts w:ascii="Book Antiqua" w:hAnsi="Book Antiqua"/>
          <w:sz w:val="24"/>
          <w:szCs w:val="24"/>
        </w:rPr>
      </w:pPr>
      <w:r w:rsidRPr="00443A23">
        <w:rPr>
          <w:rFonts w:ascii="Book Antiqua" w:hAnsi="Book Antiqua"/>
          <w:sz w:val="24"/>
          <w:szCs w:val="24"/>
        </w:rPr>
        <w:t>PPIs have also been associated with an increased risk of fracture, as impaired calcium absorption is thought to cause a compensatory state of hyperparathyroidism to stimulate o</w:t>
      </w:r>
      <w:r w:rsidR="00556DC7" w:rsidRPr="00443A23">
        <w:rPr>
          <w:rFonts w:ascii="Book Antiqua" w:hAnsi="Book Antiqua"/>
          <w:sz w:val="24"/>
          <w:szCs w:val="24"/>
        </w:rPr>
        <w:t xml:space="preserve">steoclasts and bone </w:t>
      </w:r>
      <w:proofErr w:type="spellStart"/>
      <w:proofErr w:type="gramStart"/>
      <w:r w:rsidR="00556DC7" w:rsidRPr="00443A23">
        <w:rPr>
          <w:rFonts w:ascii="Book Antiqua" w:hAnsi="Book Antiqua"/>
          <w:sz w:val="24"/>
          <w:szCs w:val="24"/>
        </w:rPr>
        <w:t>resorption</w:t>
      </w:r>
      <w:proofErr w:type="spellEnd"/>
      <w:r w:rsidR="00924037" w:rsidRPr="00443A23">
        <w:rPr>
          <w:rFonts w:ascii="Book Antiqua" w:hAnsi="Book Antiqua"/>
          <w:sz w:val="24"/>
          <w:szCs w:val="24"/>
          <w:vertAlign w:val="superscript"/>
        </w:rPr>
        <w:t>[</w:t>
      </w:r>
      <w:proofErr w:type="gramEnd"/>
      <w:r w:rsidR="00556DC7" w:rsidRPr="00443A23">
        <w:rPr>
          <w:rFonts w:ascii="Book Antiqua" w:hAnsi="Book Antiqua"/>
          <w:sz w:val="24"/>
          <w:szCs w:val="24"/>
          <w:vertAlign w:val="superscript"/>
        </w:rPr>
        <w:t>51]</w:t>
      </w:r>
      <w:r w:rsidRPr="00443A23">
        <w:rPr>
          <w:rFonts w:ascii="Book Antiqua" w:hAnsi="Book Antiqua"/>
          <w:sz w:val="24"/>
          <w:szCs w:val="24"/>
        </w:rPr>
        <w:t xml:space="preserve">, but, there is also significant </w:t>
      </w:r>
      <w:r w:rsidRPr="00443A23">
        <w:rPr>
          <w:rFonts w:ascii="Book Antiqua" w:hAnsi="Book Antiqua"/>
          <w:sz w:val="24"/>
          <w:szCs w:val="24"/>
        </w:rPr>
        <w:lastRenderedPageBreak/>
        <w:t>het</w:t>
      </w:r>
      <w:r w:rsidR="00556DC7" w:rsidRPr="00443A23">
        <w:rPr>
          <w:rFonts w:ascii="Book Antiqua" w:hAnsi="Book Antiqua"/>
          <w:sz w:val="24"/>
          <w:szCs w:val="24"/>
        </w:rPr>
        <w:t>erogeneity among these studies</w:t>
      </w:r>
      <w:r w:rsidR="00924037" w:rsidRPr="00443A23">
        <w:rPr>
          <w:rFonts w:ascii="Book Antiqua" w:hAnsi="Book Antiqua"/>
          <w:sz w:val="24"/>
          <w:szCs w:val="24"/>
          <w:vertAlign w:val="superscript"/>
        </w:rPr>
        <w:t>[</w:t>
      </w:r>
      <w:r w:rsidR="00556DC7" w:rsidRPr="00443A23">
        <w:rPr>
          <w:rFonts w:ascii="Book Antiqua" w:hAnsi="Book Antiqua"/>
          <w:sz w:val="24"/>
          <w:szCs w:val="24"/>
          <w:vertAlign w:val="superscript"/>
        </w:rPr>
        <w:t>52]</w:t>
      </w:r>
      <w:r w:rsidRPr="00443A23">
        <w:rPr>
          <w:rFonts w:ascii="Book Antiqua" w:hAnsi="Book Antiqua"/>
          <w:sz w:val="24"/>
          <w:szCs w:val="24"/>
        </w:rPr>
        <w:t xml:space="preserve">. However, </w:t>
      </w:r>
      <w:r w:rsidR="00CC75AE" w:rsidRPr="00443A23">
        <w:rPr>
          <w:rFonts w:ascii="Book Antiqua" w:hAnsi="Book Antiqua"/>
          <w:sz w:val="24"/>
          <w:szCs w:val="24"/>
        </w:rPr>
        <w:t xml:space="preserve">case-control studies have demonstrated significantly increased fracture risk in those with recent or current </w:t>
      </w:r>
      <w:r w:rsidR="00780C7C" w:rsidRPr="00443A23">
        <w:rPr>
          <w:rFonts w:ascii="Book Antiqua" w:hAnsi="Book Antiqua"/>
          <w:sz w:val="24"/>
          <w:szCs w:val="24"/>
        </w:rPr>
        <w:t>P</w:t>
      </w:r>
      <w:r w:rsidR="00CC75AE" w:rsidRPr="00443A23">
        <w:rPr>
          <w:rFonts w:ascii="Book Antiqua" w:hAnsi="Book Antiqua"/>
          <w:sz w:val="24"/>
          <w:szCs w:val="24"/>
        </w:rPr>
        <w:t xml:space="preserve">PI use and at least one other risk factor for </w:t>
      </w:r>
      <w:proofErr w:type="gramStart"/>
      <w:r w:rsidR="00CC75AE" w:rsidRPr="00443A23">
        <w:rPr>
          <w:rFonts w:ascii="Book Antiqua" w:hAnsi="Book Antiqua"/>
          <w:sz w:val="24"/>
          <w:szCs w:val="24"/>
        </w:rPr>
        <w:t>fracture</w:t>
      </w:r>
      <w:r w:rsidR="00924037" w:rsidRPr="00443A23">
        <w:rPr>
          <w:rFonts w:ascii="Book Antiqua" w:hAnsi="Book Antiqua"/>
          <w:sz w:val="24"/>
          <w:szCs w:val="24"/>
          <w:vertAlign w:val="superscript"/>
        </w:rPr>
        <w:t>[</w:t>
      </w:r>
      <w:proofErr w:type="gramEnd"/>
      <w:r w:rsidR="0002686E">
        <w:rPr>
          <w:rFonts w:ascii="Book Antiqua" w:hAnsi="Book Antiqua"/>
          <w:sz w:val="24"/>
          <w:szCs w:val="24"/>
          <w:vertAlign w:val="superscript"/>
        </w:rPr>
        <w:t>53,</w:t>
      </w:r>
      <w:r w:rsidR="00441370" w:rsidRPr="00443A23">
        <w:rPr>
          <w:rFonts w:ascii="Book Antiqua" w:hAnsi="Book Antiqua"/>
          <w:sz w:val="24"/>
          <w:szCs w:val="24"/>
          <w:vertAlign w:val="superscript"/>
        </w:rPr>
        <w:t>54]</w:t>
      </w:r>
      <w:r w:rsidR="00CC75AE" w:rsidRPr="00443A23">
        <w:rPr>
          <w:rFonts w:ascii="Book Antiqua" w:hAnsi="Book Antiqua"/>
          <w:sz w:val="24"/>
          <w:szCs w:val="24"/>
        </w:rPr>
        <w:t>.</w:t>
      </w:r>
      <w:r w:rsidRPr="00443A23">
        <w:rPr>
          <w:rFonts w:ascii="Book Antiqua" w:hAnsi="Book Antiqua"/>
          <w:sz w:val="24"/>
          <w:szCs w:val="24"/>
        </w:rPr>
        <w:t xml:space="preserve"> </w:t>
      </w:r>
    </w:p>
    <w:p w14:paraId="55903712" w14:textId="1A7B83B4" w:rsidR="002F7702" w:rsidRPr="00443A23" w:rsidRDefault="002F7702" w:rsidP="0002686E">
      <w:pPr>
        <w:spacing w:after="0" w:line="360" w:lineRule="auto"/>
        <w:ind w:firstLineChars="100" w:firstLine="240"/>
        <w:jc w:val="both"/>
        <w:rPr>
          <w:rFonts w:ascii="Book Antiqua" w:hAnsi="Book Antiqua"/>
          <w:sz w:val="24"/>
          <w:szCs w:val="24"/>
        </w:rPr>
      </w:pPr>
      <w:r w:rsidRPr="00443A23">
        <w:rPr>
          <w:rFonts w:ascii="Book Antiqua" w:hAnsi="Book Antiqua"/>
          <w:sz w:val="24"/>
          <w:szCs w:val="24"/>
        </w:rPr>
        <w:t xml:space="preserve">During 2006-2012, there were 26 reported cases of hypomagnesaemia associated with PPIs in literature, with symptoms including electrocardiogram abnormalities and </w:t>
      </w:r>
      <w:proofErr w:type="spellStart"/>
      <w:r w:rsidRPr="00443A23">
        <w:rPr>
          <w:rFonts w:ascii="Book Antiqua" w:hAnsi="Book Antiqua"/>
          <w:sz w:val="24"/>
          <w:szCs w:val="24"/>
        </w:rPr>
        <w:t>neuroexcitability</w:t>
      </w:r>
      <w:proofErr w:type="spellEnd"/>
      <w:r w:rsidRPr="00443A23">
        <w:rPr>
          <w:rFonts w:ascii="Book Antiqua" w:hAnsi="Book Antiqua"/>
          <w:sz w:val="24"/>
          <w:szCs w:val="24"/>
        </w:rPr>
        <w:t>, including tetanus and seizures, which resolv</w:t>
      </w:r>
      <w:r w:rsidR="00441370" w:rsidRPr="00443A23">
        <w:rPr>
          <w:rFonts w:ascii="Book Antiqua" w:hAnsi="Book Antiqua"/>
          <w:sz w:val="24"/>
          <w:szCs w:val="24"/>
        </w:rPr>
        <w:t xml:space="preserve">ed following withdrawal of </w:t>
      </w:r>
      <w:proofErr w:type="gramStart"/>
      <w:r w:rsidR="00441370" w:rsidRPr="00443A23">
        <w:rPr>
          <w:rFonts w:ascii="Book Antiqua" w:hAnsi="Book Antiqua"/>
          <w:sz w:val="24"/>
          <w:szCs w:val="24"/>
        </w:rPr>
        <w:t>PPI</w:t>
      </w:r>
      <w:r w:rsidR="00924037" w:rsidRPr="00443A23">
        <w:rPr>
          <w:rFonts w:ascii="Book Antiqua" w:hAnsi="Book Antiqua"/>
          <w:sz w:val="24"/>
          <w:szCs w:val="24"/>
          <w:vertAlign w:val="superscript"/>
        </w:rPr>
        <w:t>[</w:t>
      </w:r>
      <w:proofErr w:type="gramEnd"/>
      <w:r w:rsidR="00441370" w:rsidRPr="00443A23">
        <w:rPr>
          <w:rFonts w:ascii="Book Antiqua" w:hAnsi="Book Antiqua"/>
          <w:sz w:val="24"/>
          <w:szCs w:val="24"/>
          <w:vertAlign w:val="superscript"/>
        </w:rPr>
        <w:t>52]</w:t>
      </w:r>
      <w:r w:rsidRPr="00443A23">
        <w:rPr>
          <w:rFonts w:ascii="Book Antiqua" w:hAnsi="Book Antiqua"/>
          <w:sz w:val="24"/>
          <w:szCs w:val="24"/>
        </w:rPr>
        <w:t xml:space="preserve">. The mechanism of PPI-induced hypomagnesaemia is unknown, however, monitoring of serum magnesium levels has been recommended for susceptible patients, including patients using diuretics </w:t>
      </w:r>
      <w:proofErr w:type="gramStart"/>
      <w:r w:rsidRPr="00443A23">
        <w:rPr>
          <w:rFonts w:ascii="Book Antiqua" w:hAnsi="Book Antiqua"/>
          <w:sz w:val="24"/>
          <w:szCs w:val="24"/>
        </w:rPr>
        <w:t>concurrently</w:t>
      </w:r>
      <w:r w:rsidR="00924037" w:rsidRPr="00443A23">
        <w:rPr>
          <w:rFonts w:ascii="Book Antiqua" w:hAnsi="Book Antiqua"/>
          <w:sz w:val="24"/>
          <w:szCs w:val="24"/>
          <w:vertAlign w:val="superscript"/>
        </w:rPr>
        <w:t>[</w:t>
      </w:r>
      <w:proofErr w:type="gramEnd"/>
      <w:r w:rsidR="00592011" w:rsidRPr="00443A23">
        <w:rPr>
          <w:rFonts w:ascii="Book Antiqua" w:hAnsi="Book Antiqua"/>
          <w:sz w:val="24"/>
          <w:szCs w:val="24"/>
          <w:vertAlign w:val="superscript"/>
        </w:rPr>
        <w:t>55]</w:t>
      </w:r>
      <w:r w:rsidR="00592011" w:rsidRPr="00443A23">
        <w:rPr>
          <w:rFonts w:ascii="Book Antiqua" w:hAnsi="Book Antiqua"/>
          <w:sz w:val="24"/>
          <w:szCs w:val="24"/>
        </w:rPr>
        <w:t>.</w:t>
      </w:r>
      <w:r w:rsidRPr="00443A23">
        <w:rPr>
          <w:rFonts w:ascii="Book Antiqua" w:hAnsi="Book Antiqua"/>
          <w:sz w:val="24"/>
          <w:szCs w:val="24"/>
        </w:rPr>
        <w:t xml:space="preserve"> </w:t>
      </w:r>
    </w:p>
    <w:p w14:paraId="189D8967" w14:textId="77777777" w:rsidR="002F7702" w:rsidRPr="00443A23" w:rsidRDefault="002F7702" w:rsidP="0002686E">
      <w:pPr>
        <w:spacing w:after="0" w:line="360" w:lineRule="auto"/>
        <w:jc w:val="both"/>
        <w:rPr>
          <w:rFonts w:ascii="Book Antiqua" w:hAnsi="Book Antiqua"/>
          <w:sz w:val="24"/>
          <w:szCs w:val="24"/>
        </w:rPr>
      </w:pPr>
    </w:p>
    <w:p w14:paraId="6EAD026A" w14:textId="77777777" w:rsidR="002F7702" w:rsidRPr="00443A23" w:rsidRDefault="002F7702" w:rsidP="0002686E">
      <w:pPr>
        <w:spacing w:after="0" w:line="360" w:lineRule="auto"/>
        <w:jc w:val="both"/>
        <w:rPr>
          <w:rFonts w:ascii="Book Antiqua" w:hAnsi="Book Antiqua"/>
          <w:b/>
          <w:i/>
          <w:sz w:val="24"/>
          <w:szCs w:val="24"/>
        </w:rPr>
      </w:pPr>
      <w:r w:rsidRPr="00443A23">
        <w:rPr>
          <w:rFonts w:ascii="Book Antiqua" w:hAnsi="Book Antiqua"/>
          <w:b/>
          <w:i/>
          <w:sz w:val="24"/>
          <w:szCs w:val="24"/>
        </w:rPr>
        <w:t xml:space="preserve">Drug interactions </w:t>
      </w:r>
    </w:p>
    <w:p w14:paraId="7E42A014" w14:textId="47E5698B" w:rsidR="002F7702" w:rsidRPr="00443A23" w:rsidRDefault="002F7702" w:rsidP="0002686E">
      <w:pPr>
        <w:spacing w:after="0" w:line="360" w:lineRule="auto"/>
        <w:jc w:val="both"/>
        <w:rPr>
          <w:rFonts w:ascii="Book Antiqua" w:hAnsi="Book Antiqua"/>
          <w:sz w:val="24"/>
          <w:szCs w:val="24"/>
        </w:rPr>
      </w:pPr>
      <w:r w:rsidRPr="00443A23">
        <w:rPr>
          <w:rFonts w:ascii="Book Antiqua" w:hAnsi="Book Antiqua"/>
          <w:sz w:val="24"/>
          <w:szCs w:val="24"/>
        </w:rPr>
        <w:t xml:space="preserve">In vitro studies have demonstrated a theoretical potential for PPIs and </w:t>
      </w:r>
      <w:proofErr w:type="spellStart"/>
      <w:r w:rsidRPr="00443A23">
        <w:rPr>
          <w:rFonts w:ascii="Book Antiqua" w:hAnsi="Book Antiqua"/>
          <w:sz w:val="24"/>
          <w:szCs w:val="24"/>
        </w:rPr>
        <w:t>clopidogrel</w:t>
      </w:r>
      <w:proofErr w:type="spellEnd"/>
      <w:r w:rsidRPr="00443A23">
        <w:rPr>
          <w:rFonts w:ascii="Book Antiqua" w:hAnsi="Book Antiqua"/>
          <w:sz w:val="24"/>
          <w:szCs w:val="24"/>
        </w:rPr>
        <w:t xml:space="preserve"> to interact through competitive binding at the cytochrome (CYP) 450 isoform CYP2C19, an enz</w:t>
      </w:r>
      <w:r w:rsidR="00441370" w:rsidRPr="00443A23">
        <w:rPr>
          <w:rFonts w:ascii="Book Antiqua" w:hAnsi="Book Antiqua"/>
          <w:sz w:val="24"/>
          <w:szCs w:val="24"/>
        </w:rPr>
        <w:t xml:space="preserve">yme involved in PPI </w:t>
      </w:r>
      <w:proofErr w:type="gramStart"/>
      <w:r w:rsidR="00441370" w:rsidRPr="00443A23">
        <w:rPr>
          <w:rFonts w:ascii="Book Antiqua" w:hAnsi="Book Antiqua"/>
          <w:sz w:val="24"/>
          <w:szCs w:val="24"/>
        </w:rPr>
        <w:t>metabolism</w:t>
      </w:r>
      <w:r w:rsidR="00924037" w:rsidRPr="00443A23">
        <w:rPr>
          <w:rFonts w:ascii="Book Antiqua" w:hAnsi="Book Antiqua"/>
          <w:sz w:val="24"/>
          <w:szCs w:val="24"/>
          <w:vertAlign w:val="superscript"/>
        </w:rPr>
        <w:t>[</w:t>
      </w:r>
      <w:proofErr w:type="gramEnd"/>
      <w:r w:rsidR="00441370" w:rsidRPr="00443A23">
        <w:rPr>
          <w:rFonts w:ascii="Book Antiqua" w:hAnsi="Book Antiqua"/>
          <w:sz w:val="24"/>
          <w:szCs w:val="24"/>
          <w:vertAlign w:val="superscript"/>
        </w:rPr>
        <w:t>52]</w:t>
      </w:r>
      <w:r w:rsidRPr="00443A23">
        <w:rPr>
          <w:rFonts w:ascii="Book Antiqua" w:hAnsi="Book Antiqua"/>
          <w:sz w:val="24"/>
          <w:szCs w:val="24"/>
        </w:rPr>
        <w:t xml:space="preserve">. Consequently, a significant reduction in the antiplatelet effect of </w:t>
      </w:r>
      <w:proofErr w:type="spellStart"/>
      <w:r w:rsidRPr="00443A23">
        <w:rPr>
          <w:rFonts w:ascii="Book Antiqua" w:hAnsi="Book Antiqua"/>
          <w:sz w:val="24"/>
          <w:szCs w:val="24"/>
        </w:rPr>
        <w:t>clopidogrel</w:t>
      </w:r>
      <w:proofErr w:type="spellEnd"/>
      <w:r w:rsidRPr="00443A23">
        <w:rPr>
          <w:rFonts w:ascii="Book Antiqua" w:hAnsi="Book Antiqua"/>
          <w:sz w:val="24"/>
          <w:szCs w:val="24"/>
        </w:rPr>
        <w:t xml:space="preserve"> has been reported</w:t>
      </w:r>
      <w:r w:rsidR="00441370" w:rsidRPr="00443A23">
        <w:rPr>
          <w:rFonts w:ascii="Book Antiqua" w:hAnsi="Book Antiqua"/>
          <w:sz w:val="24"/>
          <w:szCs w:val="24"/>
        </w:rPr>
        <w:t>. A</w:t>
      </w:r>
      <w:r w:rsidRPr="00443A23">
        <w:rPr>
          <w:rFonts w:ascii="Book Antiqua" w:hAnsi="Book Antiqua"/>
          <w:sz w:val="24"/>
          <w:szCs w:val="24"/>
        </w:rPr>
        <w:t>lthough</w:t>
      </w:r>
      <w:r w:rsidR="00441370" w:rsidRPr="00443A23">
        <w:rPr>
          <w:rFonts w:ascii="Book Antiqua" w:hAnsi="Book Antiqua"/>
          <w:sz w:val="24"/>
          <w:szCs w:val="24"/>
        </w:rPr>
        <w:t xml:space="preserve"> there have been no RCTs demonstrating</w:t>
      </w:r>
      <w:r w:rsidR="00592011" w:rsidRPr="00443A23">
        <w:rPr>
          <w:rFonts w:ascii="Book Antiqua" w:hAnsi="Book Antiqua"/>
          <w:sz w:val="24"/>
          <w:szCs w:val="24"/>
        </w:rPr>
        <w:t xml:space="preserve"> </w:t>
      </w:r>
      <w:r w:rsidRPr="00443A23">
        <w:rPr>
          <w:rFonts w:ascii="Book Antiqua" w:hAnsi="Book Antiqua"/>
          <w:sz w:val="24"/>
          <w:szCs w:val="24"/>
        </w:rPr>
        <w:t>increased</w:t>
      </w:r>
      <w:r w:rsidR="00592011" w:rsidRPr="00443A23">
        <w:rPr>
          <w:rFonts w:ascii="Book Antiqua" w:hAnsi="Book Antiqua"/>
          <w:sz w:val="24"/>
          <w:szCs w:val="24"/>
        </w:rPr>
        <w:t xml:space="preserve"> cardiovascular</w:t>
      </w:r>
      <w:r w:rsidRPr="00443A23">
        <w:rPr>
          <w:rFonts w:ascii="Book Antiqua" w:hAnsi="Book Antiqua"/>
          <w:sz w:val="24"/>
          <w:szCs w:val="24"/>
        </w:rPr>
        <w:t xml:space="preserve"> risk</w:t>
      </w:r>
      <w:r w:rsidR="00592011" w:rsidRPr="00443A23">
        <w:rPr>
          <w:rFonts w:ascii="Book Antiqua" w:hAnsi="Book Antiqua"/>
          <w:sz w:val="24"/>
          <w:szCs w:val="24"/>
        </w:rPr>
        <w:t>, a recent propensity score analysis of a very large cohort showed an increased risk of myocardial infarction for adults taking PPI with an adjusted hazard ratio of 1.58</w:t>
      </w:r>
      <w:r w:rsidR="00924037" w:rsidRPr="00443A23">
        <w:rPr>
          <w:rFonts w:ascii="Book Antiqua" w:hAnsi="Book Antiqua"/>
          <w:sz w:val="24"/>
          <w:szCs w:val="24"/>
          <w:vertAlign w:val="superscript"/>
        </w:rPr>
        <w:t>[</w:t>
      </w:r>
      <w:r w:rsidR="00441370" w:rsidRPr="00443A23">
        <w:rPr>
          <w:rFonts w:ascii="Book Antiqua" w:hAnsi="Book Antiqua"/>
          <w:sz w:val="24"/>
          <w:szCs w:val="24"/>
          <w:vertAlign w:val="superscript"/>
        </w:rPr>
        <w:t>52]</w:t>
      </w:r>
      <w:r w:rsidRPr="00443A23">
        <w:rPr>
          <w:rFonts w:ascii="Book Antiqua" w:hAnsi="Book Antiqua"/>
          <w:sz w:val="24"/>
          <w:szCs w:val="24"/>
        </w:rPr>
        <w:t>.</w:t>
      </w:r>
    </w:p>
    <w:p w14:paraId="5D041DF8" w14:textId="77777777" w:rsidR="00992229" w:rsidRPr="00443A23" w:rsidRDefault="00992229" w:rsidP="0002686E">
      <w:pPr>
        <w:spacing w:after="0" w:line="360" w:lineRule="auto"/>
        <w:jc w:val="both"/>
        <w:rPr>
          <w:rFonts w:ascii="Book Antiqua" w:hAnsi="Book Antiqua"/>
          <w:b/>
          <w:sz w:val="24"/>
          <w:szCs w:val="24"/>
        </w:rPr>
      </w:pPr>
    </w:p>
    <w:p w14:paraId="1E577427" w14:textId="6CE8D74C" w:rsidR="000F5232" w:rsidRPr="00443A23" w:rsidRDefault="00924037" w:rsidP="0002686E">
      <w:pPr>
        <w:spacing w:after="0" w:line="360" w:lineRule="auto"/>
        <w:jc w:val="both"/>
        <w:rPr>
          <w:rFonts w:ascii="Book Antiqua" w:hAnsi="Book Antiqua"/>
          <w:b/>
          <w:sz w:val="24"/>
          <w:szCs w:val="24"/>
          <w:lang w:eastAsia="zh-CN"/>
        </w:rPr>
      </w:pPr>
      <w:r w:rsidRPr="00443A23">
        <w:rPr>
          <w:rFonts w:ascii="Book Antiqua" w:hAnsi="Book Antiqua"/>
          <w:b/>
          <w:sz w:val="24"/>
          <w:szCs w:val="24"/>
        </w:rPr>
        <w:t>CONCLUSION</w:t>
      </w:r>
    </w:p>
    <w:p w14:paraId="1C0FBEC9" w14:textId="36310563" w:rsidR="000F5232" w:rsidRPr="00443A23" w:rsidRDefault="000F5232" w:rsidP="0002686E">
      <w:pPr>
        <w:spacing w:after="0" w:line="360" w:lineRule="auto"/>
        <w:jc w:val="both"/>
        <w:rPr>
          <w:rFonts w:ascii="Book Antiqua" w:hAnsi="Book Antiqua"/>
          <w:sz w:val="24"/>
          <w:szCs w:val="24"/>
        </w:rPr>
      </w:pPr>
      <w:r w:rsidRPr="00443A23">
        <w:rPr>
          <w:rFonts w:ascii="Book Antiqua" w:hAnsi="Book Antiqua"/>
          <w:sz w:val="24"/>
          <w:szCs w:val="24"/>
        </w:rPr>
        <w:t>This review highlights the issues regarding PPIs as treatment for infants with a presumed diagnosis of GORD based on symptomatology alone. For many clinicians, concern regarding the theoretical risk of tissue injury and secondary morbidities, seem to outweigh an</w:t>
      </w:r>
      <w:r w:rsidR="006C0D70" w:rsidRPr="00443A23">
        <w:rPr>
          <w:rFonts w:ascii="Book Antiqua" w:hAnsi="Book Antiqua"/>
          <w:sz w:val="24"/>
          <w:szCs w:val="24"/>
        </w:rPr>
        <w:t>y</w:t>
      </w:r>
      <w:r w:rsidRPr="00443A23">
        <w:rPr>
          <w:rFonts w:ascii="Book Antiqua" w:hAnsi="Book Antiqua"/>
          <w:sz w:val="24"/>
          <w:szCs w:val="24"/>
        </w:rPr>
        <w:t xml:space="preserve"> concern for the risks of PPI use. Currently, several RCTs of PPIs have shown a consistent lack of efficacy in relieving ‘distressed’ GORD behaviours thought to be indicative of painful stimuli, suggesting they may have other underlying causes. Nonetheless, there is a need for more sizeable RCTs, standardised diagnostic procedures and better end-points in treatment in this population. Symptom assessments are clinically relevant but there is a lack of validated symptom-reported questionnaires for GORD in infants. </w:t>
      </w:r>
    </w:p>
    <w:p w14:paraId="2316DB7F" w14:textId="470EDBBA" w:rsidR="002E0E5D" w:rsidRPr="00443A23" w:rsidRDefault="000F5232" w:rsidP="0002686E">
      <w:pPr>
        <w:spacing w:after="0" w:line="360" w:lineRule="auto"/>
        <w:ind w:firstLineChars="150" w:firstLine="360"/>
        <w:jc w:val="both"/>
        <w:rPr>
          <w:rFonts w:ascii="Book Antiqua" w:hAnsi="Book Antiqua"/>
          <w:sz w:val="24"/>
          <w:szCs w:val="24"/>
        </w:rPr>
      </w:pPr>
      <w:r w:rsidRPr="00443A23">
        <w:rPr>
          <w:rFonts w:ascii="Book Antiqua" w:hAnsi="Book Antiqua"/>
          <w:sz w:val="24"/>
          <w:szCs w:val="24"/>
        </w:rPr>
        <w:t xml:space="preserve">The safety of PPIs in infants also requires more prospective RCTs to remove the effect of confounders and bias. Irritable infants with uncomplicated GORD are hence </w:t>
      </w:r>
      <w:r w:rsidRPr="00443A23">
        <w:rPr>
          <w:rFonts w:ascii="Book Antiqua" w:hAnsi="Book Antiqua"/>
          <w:sz w:val="24"/>
          <w:szCs w:val="24"/>
        </w:rPr>
        <w:lastRenderedPageBreak/>
        <w:t>recommended to continue lifestyle modifications, such as changing feeding techniques or formula composition, and avoid acid suppression. If PPIs are to be prescribed, only the minimal effective do</w:t>
      </w:r>
      <w:r w:rsidR="00C92637" w:rsidRPr="00443A23">
        <w:rPr>
          <w:rFonts w:ascii="Book Antiqua" w:hAnsi="Book Antiqua"/>
          <w:sz w:val="24"/>
          <w:szCs w:val="24"/>
        </w:rPr>
        <w:t>se should be used, and should be weaned as soon as possible.</w:t>
      </w:r>
      <w:r w:rsidR="006C0D70" w:rsidRPr="00443A23">
        <w:rPr>
          <w:rFonts w:ascii="Book Antiqua" w:hAnsi="Book Antiqua"/>
          <w:sz w:val="24"/>
          <w:szCs w:val="24"/>
        </w:rPr>
        <w:t xml:space="preserve">  There is no direct evidence to suggest increased safety of H2RA medication compared with PPI and in situations where acid s</w:t>
      </w:r>
      <w:r w:rsidR="00B03F93" w:rsidRPr="00443A23">
        <w:rPr>
          <w:rFonts w:ascii="Book Antiqua" w:hAnsi="Book Antiqua"/>
          <w:sz w:val="24"/>
          <w:szCs w:val="24"/>
        </w:rPr>
        <w:t>uppression is indicated (</w:t>
      </w:r>
      <w:r w:rsidR="00B03F93" w:rsidRPr="00443A23">
        <w:rPr>
          <w:rFonts w:ascii="Book Antiqua" w:hAnsi="Book Antiqua"/>
          <w:i/>
          <w:sz w:val="24"/>
          <w:szCs w:val="24"/>
        </w:rPr>
        <w:t>e.g.</w:t>
      </w:r>
      <w:r w:rsidR="00924037" w:rsidRPr="00443A23">
        <w:rPr>
          <w:rFonts w:ascii="Book Antiqua" w:hAnsi="Book Antiqua"/>
          <w:i/>
          <w:sz w:val="24"/>
          <w:szCs w:val="24"/>
          <w:lang w:eastAsia="zh-CN"/>
        </w:rPr>
        <w:t>,</w:t>
      </w:r>
      <w:r w:rsidR="00B03F93" w:rsidRPr="00443A23">
        <w:rPr>
          <w:rFonts w:ascii="Book Antiqua" w:hAnsi="Book Antiqua"/>
          <w:sz w:val="24"/>
          <w:szCs w:val="24"/>
        </w:rPr>
        <w:t xml:space="preserve"> e</w:t>
      </w:r>
      <w:r w:rsidR="006C0D70" w:rsidRPr="00443A23">
        <w:rPr>
          <w:rFonts w:ascii="Book Antiqua" w:hAnsi="Book Antiqua"/>
          <w:sz w:val="24"/>
          <w:szCs w:val="24"/>
        </w:rPr>
        <w:t>sophagitis) they have decreased potency.</w:t>
      </w:r>
      <w:r w:rsidRPr="00443A23">
        <w:rPr>
          <w:rFonts w:ascii="Book Antiqua" w:hAnsi="Book Antiqua"/>
          <w:sz w:val="24"/>
          <w:szCs w:val="24"/>
        </w:rPr>
        <w:t xml:space="preserve"> </w:t>
      </w:r>
      <w:r w:rsidR="00C92637" w:rsidRPr="00443A23">
        <w:rPr>
          <w:rFonts w:ascii="Book Antiqua" w:hAnsi="Book Antiqua"/>
          <w:sz w:val="24"/>
          <w:szCs w:val="24"/>
        </w:rPr>
        <w:t xml:space="preserve">Attention should be paid to the </w:t>
      </w:r>
      <w:r w:rsidRPr="00443A23">
        <w:rPr>
          <w:rFonts w:ascii="Book Antiqua" w:hAnsi="Book Antiqua"/>
          <w:sz w:val="24"/>
          <w:szCs w:val="24"/>
        </w:rPr>
        <w:t xml:space="preserve">substantial epidemiological evidence of increased </w:t>
      </w:r>
      <w:r w:rsidR="00C92637" w:rsidRPr="00443A23">
        <w:rPr>
          <w:rFonts w:ascii="Book Antiqua" w:hAnsi="Book Antiqua"/>
          <w:sz w:val="24"/>
          <w:szCs w:val="24"/>
        </w:rPr>
        <w:t xml:space="preserve">infection </w:t>
      </w:r>
      <w:r w:rsidRPr="00443A23">
        <w:rPr>
          <w:rFonts w:ascii="Book Antiqua" w:hAnsi="Book Antiqua"/>
          <w:sz w:val="24"/>
          <w:szCs w:val="24"/>
        </w:rPr>
        <w:t>risk</w:t>
      </w:r>
      <w:r w:rsidR="00C92637" w:rsidRPr="00443A23">
        <w:rPr>
          <w:rFonts w:ascii="Book Antiqua" w:hAnsi="Book Antiqua"/>
          <w:sz w:val="24"/>
          <w:szCs w:val="24"/>
        </w:rPr>
        <w:t xml:space="preserve"> with PPIs, and </w:t>
      </w:r>
      <w:r w:rsidRPr="00443A23">
        <w:rPr>
          <w:rFonts w:ascii="Book Antiqua" w:hAnsi="Book Antiqua"/>
          <w:sz w:val="24"/>
          <w:szCs w:val="24"/>
        </w:rPr>
        <w:t>in</w:t>
      </w:r>
      <w:r w:rsidR="00C92637" w:rsidRPr="00443A23">
        <w:rPr>
          <w:rFonts w:ascii="Book Antiqua" w:hAnsi="Book Antiqua"/>
          <w:sz w:val="24"/>
          <w:szCs w:val="24"/>
        </w:rPr>
        <w:t xml:space="preserve"> the</w:t>
      </w:r>
      <w:r w:rsidRPr="00443A23">
        <w:rPr>
          <w:rFonts w:ascii="Book Antiqua" w:hAnsi="Book Antiqua"/>
          <w:sz w:val="24"/>
          <w:szCs w:val="24"/>
        </w:rPr>
        <w:t xml:space="preserve"> </w:t>
      </w:r>
      <w:r w:rsidR="00C92637" w:rsidRPr="00443A23">
        <w:rPr>
          <w:rFonts w:ascii="Book Antiqua" w:hAnsi="Book Antiqua"/>
          <w:sz w:val="24"/>
          <w:szCs w:val="24"/>
        </w:rPr>
        <w:t xml:space="preserve">vulnerable </w:t>
      </w:r>
      <w:r w:rsidRPr="00443A23">
        <w:rPr>
          <w:rFonts w:ascii="Book Antiqua" w:hAnsi="Book Antiqua"/>
          <w:sz w:val="24"/>
          <w:szCs w:val="24"/>
        </w:rPr>
        <w:t>pop</w:t>
      </w:r>
      <w:r w:rsidR="00C92637" w:rsidRPr="00443A23">
        <w:rPr>
          <w:rFonts w:ascii="Book Antiqua" w:hAnsi="Book Antiqua"/>
          <w:sz w:val="24"/>
          <w:szCs w:val="24"/>
        </w:rPr>
        <w:t>ulation group of preterm infants, some</w:t>
      </w:r>
      <w:r w:rsidRPr="00443A23">
        <w:rPr>
          <w:rFonts w:ascii="Book Antiqua" w:hAnsi="Book Antiqua"/>
          <w:sz w:val="24"/>
          <w:szCs w:val="24"/>
        </w:rPr>
        <w:t xml:space="preserve"> authors </w:t>
      </w:r>
      <w:r w:rsidR="00C92637" w:rsidRPr="00443A23">
        <w:rPr>
          <w:rFonts w:ascii="Book Antiqua" w:hAnsi="Book Antiqua"/>
          <w:sz w:val="24"/>
          <w:szCs w:val="24"/>
        </w:rPr>
        <w:t>suggest</w:t>
      </w:r>
      <w:r w:rsidRPr="00443A23">
        <w:rPr>
          <w:rFonts w:ascii="Book Antiqua" w:hAnsi="Book Antiqua"/>
          <w:sz w:val="24"/>
          <w:szCs w:val="24"/>
        </w:rPr>
        <w:t xml:space="preserve"> </w:t>
      </w:r>
      <w:r w:rsidR="00C92637" w:rsidRPr="00443A23">
        <w:rPr>
          <w:rFonts w:ascii="Book Antiqua" w:hAnsi="Book Antiqua"/>
          <w:sz w:val="24"/>
          <w:szCs w:val="24"/>
        </w:rPr>
        <w:t>prophylactic measures.</w:t>
      </w:r>
    </w:p>
    <w:p w14:paraId="3EEF4CA3" w14:textId="77777777" w:rsidR="001E39BE" w:rsidRPr="00443A23" w:rsidRDefault="001E39BE" w:rsidP="0002686E">
      <w:pPr>
        <w:spacing w:after="0" w:line="360" w:lineRule="auto"/>
        <w:jc w:val="both"/>
        <w:rPr>
          <w:rFonts w:ascii="Book Antiqua" w:hAnsi="Book Antiqua"/>
          <w:b/>
          <w:sz w:val="24"/>
          <w:szCs w:val="24"/>
        </w:rPr>
      </w:pPr>
    </w:p>
    <w:p w14:paraId="7D5BD736" w14:textId="77777777" w:rsidR="00C92637" w:rsidRPr="00443A23" w:rsidRDefault="00C92637" w:rsidP="0002686E">
      <w:pPr>
        <w:spacing w:after="0"/>
        <w:jc w:val="both"/>
        <w:rPr>
          <w:rFonts w:ascii="Book Antiqua" w:hAnsi="Book Antiqua"/>
          <w:b/>
          <w:sz w:val="24"/>
          <w:szCs w:val="24"/>
        </w:rPr>
      </w:pPr>
      <w:r w:rsidRPr="00443A23">
        <w:rPr>
          <w:rFonts w:ascii="Book Antiqua" w:hAnsi="Book Antiqua"/>
          <w:b/>
          <w:sz w:val="24"/>
          <w:szCs w:val="24"/>
        </w:rPr>
        <w:br w:type="page"/>
      </w:r>
    </w:p>
    <w:p w14:paraId="2EA2EC74" w14:textId="4F617933" w:rsidR="00592011" w:rsidRPr="00443A23" w:rsidRDefault="00E103F9" w:rsidP="0002686E">
      <w:pPr>
        <w:autoSpaceDE w:val="0"/>
        <w:autoSpaceDN w:val="0"/>
        <w:adjustRightInd w:val="0"/>
        <w:snapToGrid w:val="0"/>
        <w:spacing w:after="0" w:line="360" w:lineRule="auto"/>
        <w:jc w:val="both"/>
        <w:rPr>
          <w:rFonts w:ascii="Book Antiqua" w:hAnsi="Book Antiqua"/>
          <w:b/>
          <w:sz w:val="24"/>
          <w:szCs w:val="24"/>
          <w:lang w:eastAsia="zh-CN"/>
        </w:rPr>
      </w:pPr>
      <w:r w:rsidRPr="00443A23">
        <w:rPr>
          <w:rFonts w:ascii="Book Antiqua" w:hAnsi="Book Antiqua" w:cs="Arial"/>
          <w:b/>
          <w:sz w:val="24"/>
          <w:szCs w:val="24"/>
        </w:rPr>
        <w:lastRenderedPageBreak/>
        <w:t>REFERENCES</w:t>
      </w:r>
    </w:p>
    <w:p w14:paraId="0B298554"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Vandenplas</w:t>
      </w:r>
      <w:proofErr w:type="spellEnd"/>
      <w:r w:rsidRPr="006717E3">
        <w:rPr>
          <w:rFonts w:ascii="Book Antiqua" w:eastAsia="宋体" w:hAnsi="Book Antiqua" w:cs="宋体"/>
          <w:b/>
          <w:bCs/>
          <w:sz w:val="24"/>
          <w:szCs w:val="24"/>
        </w:rPr>
        <w:t xml:space="preserve"> Y</w:t>
      </w:r>
      <w:r w:rsidRPr="006717E3">
        <w:rPr>
          <w:rFonts w:ascii="Book Antiqua" w:eastAsia="宋体" w:hAnsi="Book Antiqua" w:cs="宋体"/>
          <w:sz w:val="24"/>
          <w:szCs w:val="24"/>
        </w:rPr>
        <w:t xml:space="preserve">, Rudolph CD, Di Lorenzo C, Hassall E, </w:t>
      </w:r>
      <w:proofErr w:type="spellStart"/>
      <w:r w:rsidRPr="006717E3">
        <w:rPr>
          <w:rFonts w:ascii="Book Antiqua" w:eastAsia="宋体" w:hAnsi="Book Antiqua" w:cs="宋体"/>
          <w:sz w:val="24"/>
          <w:szCs w:val="24"/>
        </w:rPr>
        <w:t>Liptak</w:t>
      </w:r>
      <w:proofErr w:type="spellEnd"/>
      <w:r w:rsidRPr="006717E3">
        <w:rPr>
          <w:rFonts w:ascii="Book Antiqua" w:eastAsia="宋体" w:hAnsi="Book Antiqua" w:cs="宋体"/>
          <w:sz w:val="24"/>
          <w:szCs w:val="24"/>
        </w:rPr>
        <w:t xml:space="preserve"> G, Mazur L, </w:t>
      </w:r>
      <w:proofErr w:type="spellStart"/>
      <w:r w:rsidRPr="006717E3">
        <w:rPr>
          <w:rFonts w:ascii="Book Antiqua" w:eastAsia="宋体" w:hAnsi="Book Antiqua" w:cs="宋体"/>
          <w:sz w:val="24"/>
          <w:szCs w:val="24"/>
        </w:rPr>
        <w:t>Sondheimer</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Staiano</w:t>
      </w:r>
      <w:proofErr w:type="spellEnd"/>
      <w:r w:rsidRPr="006717E3">
        <w:rPr>
          <w:rFonts w:ascii="Book Antiqua" w:eastAsia="宋体" w:hAnsi="Book Antiqua" w:cs="宋体"/>
          <w:sz w:val="24"/>
          <w:szCs w:val="24"/>
        </w:rPr>
        <w:t xml:space="preserve"> A, Thomson M, </w:t>
      </w:r>
      <w:proofErr w:type="spellStart"/>
      <w:r w:rsidRPr="006717E3">
        <w:rPr>
          <w:rFonts w:ascii="Book Antiqua" w:eastAsia="宋体" w:hAnsi="Book Antiqua" w:cs="宋体"/>
          <w:sz w:val="24"/>
          <w:szCs w:val="24"/>
        </w:rPr>
        <w:t>Veereman-Wauters</w:t>
      </w:r>
      <w:proofErr w:type="spellEnd"/>
      <w:r w:rsidRPr="006717E3">
        <w:rPr>
          <w:rFonts w:ascii="Book Antiqua" w:eastAsia="宋体" w:hAnsi="Book Antiqua" w:cs="宋体"/>
          <w:sz w:val="24"/>
          <w:szCs w:val="24"/>
        </w:rPr>
        <w:t xml:space="preserve"> G, </w:t>
      </w:r>
      <w:proofErr w:type="spellStart"/>
      <w:r w:rsidRPr="006717E3">
        <w:rPr>
          <w:rFonts w:ascii="Book Antiqua" w:eastAsia="宋体" w:hAnsi="Book Antiqua" w:cs="宋体"/>
          <w:sz w:val="24"/>
          <w:szCs w:val="24"/>
        </w:rPr>
        <w:t>Wenzl</w:t>
      </w:r>
      <w:proofErr w:type="spellEnd"/>
      <w:r w:rsidRPr="006717E3">
        <w:rPr>
          <w:rFonts w:ascii="Book Antiqua" w:eastAsia="宋体" w:hAnsi="Book Antiqua" w:cs="宋体"/>
          <w:sz w:val="24"/>
          <w:szCs w:val="24"/>
        </w:rPr>
        <w:t xml:space="preserve"> TG.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clinical practice guidelines: joint recommendations of the North American Society for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Gastroenterology, </w:t>
      </w:r>
      <w:proofErr w:type="spellStart"/>
      <w:r w:rsidRPr="006717E3">
        <w:rPr>
          <w:rFonts w:ascii="Book Antiqua" w:eastAsia="宋体" w:hAnsi="Book Antiqua" w:cs="宋体"/>
          <w:sz w:val="24"/>
          <w:szCs w:val="24"/>
        </w:rPr>
        <w:t>Hepatology</w:t>
      </w:r>
      <w:proofErr w:type="spellEnd"/>
      <w:r w:rsidRPr="006717E3">
        <w:rPr>
          <w:rFonts w:ascii="Book Antiqua" w:eastAsia="宋体" w:hAnsi="Book Antiqua" w:cs="宋体"/>
          <w:sz w:val="24"/>
          <w:szCs w:val="24"/>
        </w:rPr>
        <w:t xml:space="preserve">, and Nutrition (NASPGHAN) and the European Society for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Gastroenterology, </w:t>
      </w:r>
      <w:proofErr w:type="spellStart"/>
      <w:r w:rsidRPr="006717E3">
        <w:rPr>
          <w:rFonts w:ascii="Book Antiqua" w:eastAsia="宋体" w:hAnsi="Book Antiqua" w:cs="宋体"/>
          <w:sz w:val="24"/>
          <w:szCs w:val="24"/>
        </w:rPr>
        <w:t>Hepatology</w:t>
      </w:r>
      <w:proofErr w:type="spellEnd"/>
      <w:r w:rsidRPr="006717E3">
        <w:rPr>
          <w:rFonts w:ascii="Book Antiqua" w:eastAsia="宋体" w:hAnsi="Book Antiqua" w:cs="宋体"/>
          <w:sz w:val="24"/>
          <w:szCs w:val="24"/>
        </w:rPr>
        <w:t>, and Nutrition (ESPGHAN).</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2009;</w:t>
      </w:r>
      <w:r w:rsidRPr="00443A23">
        <w:rPr>
          <w:rFonts w:ascii="Book Antiqua" w:eastAsia="宋体" w:hAnsi="Book Antiqua" w:cs="宋体"/>
          <w:sz w:val="24"/>
          <w:szCs w:val="24"/>
        </w:rPr>
        <w:t> </w:t>
      </w:r>
      <w:r w:rsidRPr="006717E3">
        <w:rPr>
          <w:rFonts w:ascii="Book Antiqua" w:eastAsia="宋体" w:hAnsi="Book Antiqua" w:cs="宋体"/>
          <w:b/>
          <w:bCs/>
          <w:sz w:val="24"/>
          <w:szCs w:val="24"/>
        </w:rPr>
        <w:t>49</w:t>
      </w:r>
      <w:r w:rsidRPr="006717E3">
        <w:rPr>
          <w:rFonts w:ascii="Book Antiqua" w:eastAsia="宋体" w:hAnsi="Book Antiqua" w:cs="宋体"/>
          <w:sz w:val="24"/>
          <w:szCs w:val="24"/>
        </w:rPr>
        <w:t>: 498-547 [PMID: 19745761 DOI: 10.1097/MPG.0b013e3181b7f563]</w:t>
      </w:r>
    </w:p>
    <w:p w14:paraId="52EC8EB4"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2</w:t>
      </w:r>
      <w:r w:rsidRPr="00443A23">
        <w:rPr>
          <w:rFonts w:ascii="Book Antiqua" w:eastAsia="宋体" w:hAnsi="Book Antiqua" w:cs="宋体"/>
          <w:sz w:val="24"/>
          <w:szCs w:val="24"/>
        </w:rPr>
        <w:t> </w:t>
      </w:r>
      <w:r w:rsidRPr="006717E3">
        <w:rPr>
          <w:rFonts w:ascii="Book Antiqua" w:eastAsia="宋体" w:hAnsi="Book Antiqua" w:cs="宋体"/>
          <w:b/>
          <w:bCs/>
          <w:sz w:val="24"/>
          <w:szCs w:val="24"/>
        </w:rPr>
        <w:t>Blanco FC</w:t>
      </w:r>
      <w:r w:rsidRPr="006717E3">
        <w:rPr>
          <w:rFonts w:ascii="Book Antiqua" w:eastAsia="宋体" w:hAnsi="Book Antiqua" w:cs="宋体"/>
          <w:sz w:val="24"/>
          <w:szCs w:val="24"/>
        </w:rPr>
        <w:t>, Davenport KP, Kane TD.</w:t>
      </w:r>
      <w:proofErr w:type="gramEnd"/>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disease.</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Surg</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North Am</w:t>
      </w:r>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92</w:t>
      </w:r>
      <w:r w:rsidRPr="006717E3">
        <w:rPr>
          <w:rFonts w:ascii="Book Antiqua" w:eastAsia="宋体" w:hAnsi="Book Antiqua" w:cs="宋体"/>
          <w:sz w:val="24"/>
          <w:szCs w:val="24"/>
        </w:rPr>
        <w:t>: 541-</w:t>
      </w:r>
      <w:r w:rsidRPr="00443A23">
        <w:rPr>
          <w:rFonts w:ascii="Book Antiqua" w:eastAsia="宋体" w:hAnsi="Book Antiqua" w:cs="宋体"/>
          <w:sz w:val="24"/>
          <w:szCs w:val="24"/>
        </w:rPr>
        <w:t>5</w:t>
      </w:r>
      <w:r w:rsidRPr="006717E3">
        <w:rPr>
          <w:rFonts w:ascii="Book Antiqua" w:eastAsia="宋体" w:hAnsi="Book Antiqua" w:cs="宋体"/>
          <w:sz w:val="24"/>
          <w:szCs w:val="24"/>
        </w:rPr>
        <w:t>58, viii [PMID: 22595708 DOI: 10.1016/j.suc.2012.03.009]</w:t>
      </w:r>
    </w:p>
    <w:p w14:paraId="582B6927"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3</w:t>
      </w:r>
      <w:r w:rsidRPr="00443A23">
        <w:rPr>
          <w:rFonts w:ascii="Book Antiqua" w:eastAsia="宋体" w:hAnsi="Book Antiqua" w:cs="宋体"/>
          <w:sz w:val="24"/>
          <w:szCs w:val="24"/>
        </w:rPr>
        <w:t> </w:t>
      </w:r>
      <w:r w:rsidRPr="006717E3">
        <w:rPr>
          <w:rFonts w:ascii="Book Antiqua" w:eastAsia="宋体" w:hAnsi="Book Antiqua" w:cs="宋体"/>
          <w:b/>
          <w:bCs/>
          <w:sz w:val="24"/>
          <w:szCs w:val="24"/>
        </w:rPr>
        <w:t>Nelson SP</w:t>
      </w:r>
      <w:r w:rsidRPr="006717E3">
        <w:rPr>
          <w:rFonts w:ascii="Book Antiqua" w:eastAsia="宋体" w:hAnsi="Book Antiqua" w:cs="宋体"/>
          <w:sz w:val="24"/>
          <w:szCs w:val="24"/>
        </w:rPr>
        <w:t xml:space="preserve">, Chen EH, </w:t>
      </w:r>
      <w:proofErr w:type="spellStart"/>
      <w:r w:rsidRPr="006717E3">
        <w:rPr>
          <w:rFonts w:ascii="Book Antiqua" w:eastAsia="宋体" w:hAnsi="Book Antiqua" w:cs="宋体"/>
          <w:sz w:val="24"/>
          <w:szCs w:val="24"/>
        </w:rPr>
        <w:t>Syniar</w:t>
      </w:r>
      <w:proofErr w:type="spellEnd"/>
      <w:r w:rsidRPr="006717E3">
        <w:rPr>
          <w:rFonts w:ascii="Book Antiqua" w:eastAsia="宋体" w:hAnsi="Book Antiqua" w:cs="宋体"/>
          <w:sz w:val="24"/>
          <w:szCs w:val="24"/>
        </w:rPr>
        <w:t xml:space="preserve"> GM, </w:t>
      </w:r>
      <w:proofErr w:type="spellStart"/>
      <w:r w:rsidRPr="006717E3">
        <w:rPr>
          <w:rFonts w:ascii="Book Antiqua" w:eastAsia="宋体" w:hAnsi="Book Antiqua" w:cs="宋体"/>
          <w:sz w:val="24"/>
          <w:szCs w:val="24"/>
        </w:rPr>
        <w:t>Christoffel</w:t>
      </w:r>
      <w:proofErr w:type="spellEnd"/>
      <w:r w:rsidRPr="006717E3">
        <w:rPr>
          <w:rFonts w:ascii="Book Antiqua" w:eastAsia="宋体" w:hAnsi="Book Antiqua" w:cs="宋体"/>
          <w:sz w:val="24"/>
          <w:szCs w:val="24"/>
        </w:rPr>
        <w:t xml:space="preserve"> KK.</w:t>
      </w:r>
      <w:proofErr w:type="gramEnd"/>
      <w:r w:rsidRPr="006717E3">
        <w:rPr>
          <w:rFonts w:ascii="Book Antiqua" w:eastAsia="宋体" w:hAnsi="Book Antiqua" w:cs="宋体"/>
          <w:sz w:val="24"/>
          <w:szCs w:val="24"/>
        </w:rPr>
        <w:t xml:space="preserve"> </w:t>
      </w:r>
      <w:proofErr w:type="gramStart"/>
      <w:r w:rsidRPr="006717E3">
        <w:rPr>
          <w:rFonts w:ascii="Book Antiqua" w:eastAsia="宋体" w:hAnsi="Book Antiqua" w:cs="宋体"/>
          <w:sz w:val="24"/>
          <w:szCs w:val="24"/>
        </w:rPr>
        <w:t xml:space="preserve">Prevalence of symptoms of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during infancy.</w:t>
      </w:r>
      <w:proofErr w:type="gramEnd"/>
      <w:r w:rsidRPr="006717E3">
        <w:rPr>
          <w:rFonts w:ascii="Book Antiqua" w:eastAsia="宋体" w:hAnsi="Book Antiqua" w:cs="宋体"/>
          <w:sz w:val="24"/>
          <w:szCs w:val="24"/>
        </w:rPr>
        <w:t xml:space="preserve"> </w:t>
      </w:r>
      <w:proofErr w:type="gramStart"/>
      <w:r w:rsidRPr="006717E3">
        <w:rPr>
          <w:rFonts w:ascii="Book Antiqua" w:eastAsia="宋体" w:hAnsi="Book Antiqua" w:cs="宋体"/>
          <w:sz w:val="24"/>
          <w:szCs w:val="24"/>
        </w:rPr>
        <w:t xml:space="preserve">A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practice-based survey.</w:t>
      </w:r>
      <w:proofErr w:type="gramEnd"/>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Pediatric</w:t>
      </w:r>
      <w:proofErr w:type="spellEnd"/>
      <w:r w:rsidRPr="006717E3">
        <w:rPr>
          <w:rFonts w:ascii="Book Antiqua" w:eastAsia="宋体" w:hAnsi="Book Antiqua" w:cs="宋体"/>
          <w:sz w:val="24"/>
          <w:szCs w:val="24"/>
        </w:rPr>
        <w:t xml:space="preserve"> Practice Research Group.</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Arch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Adolesc</w:t>
      </w:r>
      <w:proofErr w:type="spellEnd"/>
      <w:r w:rsidRPr="006717E3">
        <w:rPr>
          <w:rFonts w:ascii="Book Antiqua" w:eastAsia="宋体" w:hAnsi="Book Antiqua" w:cs="宋体"/>
          <w:i/>
          <w:iCs/>
          <w:sz w:val="24"/>
          <w:szCs w:val="24"/>
        </w:rPr>
        <w:t xml:space="preserve"> Med</w:t>
      </w:r>
      <w:r w:rsidRPr="00443A23">
        <w:rPr>
          <w:rFonts w:ascii="Book Antiqua" w:eastAsia="宋体" w:hAnsi="Book Antiqua" w:cs="宋体"/>
          <w:sz w:val="24"/>
          <w:szCs w:val="24"/>
        </w:rPr>
        <w:t> </w:t>
      </w:r>
      <w:r w:rsidRPr="006717E3">
        <w:rPr>
          <w:rFonts w:ascii="Book Antiqua" w:eastAsia="宋体" w:hAnsi="Book Antiqua" w:cs="宋体"/>
          <w:sz w:val="24"/>
          <w:szCs w:val="24"/>
        </w:rPr>
        <w:t>1997;</w:t>
      </w:r>
      <w:r w:rsidRPr="00443A23">
        <w:rPr>
          <w:rFonts w:ascii="Book Antiqua" w:eastAsia="宋体" w:hAnsi="Book Antiqua" w:cs="宋体"/>
          <w:sz w:val="24"/>
          <w:szCs w:val="24"/>
        </w:rPr>
        <w:t> </w:t>
      </w:r>
      <w:r w:rsidRPr="006717E3">
        <w:rPr>
          <w:rFonts w:ascii="Book Antiqua" w:eastAsia="宋体" w:hAnsi="Book Antiqua" w:cs="宋体"/>
          <w:b/>
          <w:bCs/>
          <w:sz w:val="24"/>
          <w:szCs w:val="24"/>
        </w:rPr>
        <w:t>151</w:t>
      </w:r>
      <w:r w:rsidRPr="006717E3">
        <w:rPr>
          <w:rFonts w:ascii="Book Antiqua" w:eastAsia="宋体" w:hAnsi="Book Antiqua" w:cs="宋体"/>
          <w:sz w:val="24"/>
          <w:szCs w:val="24"/>
        </w:rPr>
        <w:t>: 569-572 [PMID: 9193240 DOI: 10.1001/archpedi.1997.02170430035007]</w:t>
      </w:r>
    </w:p>
    <w:p w14:paraId="146DEE3D"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4</w:t>
      </w:r>
      <w:r w:rsidRPr="00443A23">
        <w:rPr>
          <w:rFonts w:ascii="Book Antiqua" w:eastAsia="宋体" w:hAnsi="Book Antiqua" w:cs="宋体"/>
          <w:sz w:val="24"/>
          <w:szCs w:val="24"/>
        </w:rPr>
        <w:t> </w:t>
      </w:r>
      <w:r w:rsidRPr="006717E3">
        <w:rPr>
          <w:rFonts w:ascii="Book Antiqua" w:eastAsia="宋体" w:hAnsi="Book Antiqua" w:cs="宋体"/>
          <w:b/>
          <w:bCs/>
          <w:sz w:val="24"/>
          <w:szCs w:val="24"/>
        </w:rPr>
        <w:t>Birch</w:t>
      </w:r>
      <w:proofErr w:type="gramEnd"/>
      <w:r w:rsidRPr="006717E3">
        <w:rPr>
          <w:rFonts w:ascii="Book Antiqua" w:eastAsia="宋体" w:hAnsi="Book Antiqua" w:cs="宋体"/>
          <w:b/>
          <w:bCs/>
          <w:sz w:val="24"/>
          <w:szCs w:val="24"/>
        </w:rPr>
        <w:t xml:space="preserve"> JL</w:t>
      </w:r>
      <w:r w:rsidRPr="006717E3">
        <w:rPr>
          <w:rFonts w:ascii="Book Antiqua" w:eastAsia="宋体" w:hAnsi="Book Antiqua" w:cs="宋体"/>
          <w:sz w:val="24"/>
          <w:szCs w:val="24"/>
        </w:rPr>
        <w:t xml:space="preserve">, Newell SJ. </w:t>
      </w:r>
      <w:proofErr w:type="spellStart"/>
      <w:r w:rsidRPr="006717E3">
        <w:rPr>
          <w:rFonts w:ascii="Book Antiqua" w:eastAsia="宋体" w:hAnsi="Book Antiqua" w:cs="宋体"/>
          <w:sz w:val="24"/>
          <w:szCs w:val="24"/>
        </w:rPr>
        <w:t>Gastrooesophageal</w:t>
      </w:r>
      <w:proofErr w:type="spellEnd"/>
      <w:r w:rsidRPr="006717E3">
        <w:rPr>
          <w:rFonts w:ascii="Book Antiqua" w:eastAsia="宋体" w:hAnsi="Book Antiqua" w:cs="宋体"/>
          <w:sz w:val="24"/>
          <w:szCs w:val="24"/>
        </w:rPr>
        <w:t xml:space="preserve"> reflux disease in preterm infants: current management and diagnostic dilemmas.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Arch Dis Child </w:t>
      </w:r>
      <w:proofErr w:type="spellStart"/>
      <w:r w:rsidRPr="006717E3">
        <w:rPr>
          <w:rFonts w:ascii="Book Antiqua" w:eastAsia="宋体" w:hAnsi="Book Antiqua" w:cs="宋体"/>
          <w:i/>
          <w:iCs/>
          <w:sz w:val="24"/>
          <w:szCs w:val="24"/>
        </w:rPr>
        <w:t>Fetal</w:t>
      </w:r>
      <w:proofErr w:type="spellEnd"/>
      <w:r w:rsidRPr="006717E3">
        <w:rPr>
          <w:rFonts w:ascii="Book Antiqua" w:eastAsia="宋体" w:hAnsi="Book Antiqua" w:cs="宋体"/>
          <w:i/>
          <w:iCs/>
          <w:sz w:val="24"/>
          <w:szCs w:val="24"/>
        </w:rPr>
        <w:t xml:space="preserve"> Neonatal Ed</w:t>
      </w:r>
      <w:r w:rsidRPr="00443A23">
        <w:rPr>
          <w:rFonts w:ascii="Book Antiqua" w:eastAsia="宋体" w:hAnsi="Book Antiqua" w:cs="宋体"/>
          <w:sz w:val="24"/>
          <w:szCs w:val="24"/>
        </w:rPr>
        <w:t> </w:t>
      </w:r>
      <w:r w:rsidRPr="006717E3">
        <w:rPr>
          <w:rFonts w:ascii="Book Antiqua" w:eastAsia="宋体" w:hAnsi="Book Antiqua" w:cs="宋体"/>
          <w:sz w:val="24"/>
          <w:szCs w:val="24"/>
        </w:rPr>
        <w:t>2009</w:t>
      </w:r>
      <w:proofErr w:type="gramStart"/>
      <w:r w:rsidRPr="006717E3">
        <w:rPr>
          <w:rFonts w:ascii="Book Antiqua" w:eastAsia="宋体" w:hAnsi="Book Antiqua" w:cs="宋体"/>
          <w:sz w:val="24"/>
          <w:szCs w:val="24"/>
        </w:rPr>
        <w:t>;</w:t>
      </w:r>
      <w:proofErr w:type="gramEnd"/>
      <w:r w:rsidRPr="00443A23">
        <w:rPr>
          <w:rFonts w:ascii="Book Antiqua" w:eastAsia="宋体" w:hAnsi="Book Antiqua" w:cs="宋体"/>
          <w:sz w:val="24"/>
          <w:szCs w:val="24"/>
        </w:rPr>
        <w:t> </w:t>
      </w:r>
      <w:r w:rsidRPr="006717E3">
        <w:rPr>
          <w:rFonts w:ascii="Book Antiqua" w:eastAsia="宋体" w:hAnsi="Book Antiqua" w:cs="宋体"/>
          <w:b/>
          <w:bCs/>
          <w:sz w:val="24"/>
          <w:szCs w:val="24"/>
        </w:rPr>
        <w:t>94</w:t>
      </w:r>
      <w:r w:rsidRPr="006717E3">
        <w:rPr>
          <w:rFonts w:ascii="Book Antiqua" w:eastAsia="宋体" w:hAnsi="Book Antiqua" w:cs="宋体"/>
          <w:sz w:val="24"/>
          <w:szCs w:val="24"/>
        </w:rPr>
        <w:t>: F379-F383 [PMID: 19307225 DOI: 10.1136/adc.2008.149112]</w:t>
      </w:r>
    </w:p>
    <w:p w14:paraId="5859514E"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w:t>
      </w:r>
      <w:r w:rsidRPr="00443A23">
        <w:rPr>
          <w:rFonts w:ascii="Book Antiqua" w:eastAsia="宋体" w:hAnsi="Book Antiqua" w:cs="宋体"/>
          <w:sz w:val="24"/>
          <w:szCs w:val="24"/>
        </w:rPr>
        <w:t> </w:t>
      </w:r>
      <w:r w:rsidRPr="006717E3">
        <w:rPr>
          <w:rFonts w:ascii="Book Antiqua" w:eastAsia="宋体" w:hAnsi="Book Antiqua" w:cs="宋体"/>
          <w:b/>
          <w:bCs/>
          <w:sz w:val="24"/>
          <w:szCs w:val="24"/>
        </w:rPr>
        <w:t>Malcolm WF</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Gantz</w:t>
      </w:r>
      <w:proofErr w:type="spellEnd"/>
      <w:r w:rsidRPr="006717E3">
        <w:rPr>
          <w:rFonts w:ascii="Book Antiqua" w:eastAsia="宋体" w:hAnsi="Book Antiqua" w:cs="宋体"/>
          <w:sz w:val="24"/>
          <w:szCs w:val="24"/>
        </w:rPr>
        <w:t xml:space="preserve"> M, Martin RJ, Goldstein RF, Goldberg RN, </w:t>
      </w:r>
      <w:proofErr w:type="spellStart"/>
      <w:r w:rsidRPr="006717E3">
        <w:rPr>
          <w:rFonts w:ascii="Book Antiqua" w:eastAsia="宋体" w:hAnsi="Book Antiqua" w:cs="宋体"/>
          <w:sz w:val="24"/>
          <w:szCs w:val="24"/>
        </w:rPr>
        <w:t>Cotten</w:t>
      </w:r>
      <w:proofErr w:type="spellEnd"/>
      <w:r w:rsidRPr="006717E3">
        <w:rPr>
          <w:rFonts w:ascii="Book Antiqua" w:eastAsia="宋体" w:hAnsi="Book Antiqua" w:cs="宋体"/>
          <w:sz w:val="24"/>
          <w:szCs w:val="24"/>
        </w:rPr>
        <w:t xml:space="preserve"> CM. Use of medications for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at discharge among extremely low birth weight infants.</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Pediatrics</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2008;</w:t>
      </w:r>
      <w:r w:rsidRPr="00443A23">
        <w:rPr>
          <w:rFonts w:ascii="Book Antiqua" w:eastAsia="宋体" w:hAnsi="Book Antiqua" w:cs="宋体"/>
          <w:sz w:val="24"/>
          <w:szCs w:val="24"/>
        </w:rPr>
        <w:t> </w:t>
      </w:r>
      <w:r w:rsidRPr="006717E3">
        <w:rPr>
          <w:rFonts w:ascii="Book Antiqua" w:eastAsia="宋体" w:hAnsi="Book Antiqua" w:cs="宋体"/>
          <w:b/>
          <w:bCs/>
          <w:sz w:val="24"/>
          <w:szCs w:val="24"/>
        </w:rPr>
        <w:t>121</w:t>
      </w:r>
      <w:r w:rsidRPr="006717E3">
        <w:rPr>
          <w:rFonts w:ascii="Book Antiqua" w:eastAsia="宋体" w:hAnsi="Book Antiqua" w:cs="宋体"/>
          <w:sz w:val="24"/>
          <w:szCs w:val="24"/>
        </w:rPr>
        <w:t>: 22-27 [PMID: 18166553 DOI: 10.1542/peds.2007-0381]</w:t>
      </w:r>
    </w:p>
    <w:p w14:paraId="7591118C"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6</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Sandström</w:t>
      </w:r>
      <w:proofErr w:type="spellEnd"/>
      <w:r w:rsidRPr="006717E3">
        <w:rPr>
          <w:rFonts w:ascii="Book Antiqua" w:eastAsia="宋体" w:hAnsi="Book Antiqua" w:cs="宋体"/>
          <w:b/>
          <w:bCs/>
          <w:sz w:val="24"/>
          <w:szCs w:val="24"/>
        </w:rPr>
        <w:t xml:space="preserve"> M</w:t>
      </w:r>
      <w:r w:rsidRPr="006717E3">
        <w:rPr>
          <w:rFonts w:ascii="Book Antiqua" w:eastAsia="宋体" w:hAnsi="Book Antiqua" w:cs="宋体"/>
          <w:sz w:val="24"/>
          <w:szCs w:val="24"/>
        </w:rPr>
        <w:t xml:space="preserve">, Davidson G, </w:t>
      </w:r>
      <w:proofErr w:type="spellStart"/>
      <w:r w:rsidRPr="006717E3">
        <w:rPr>
          <w:rFonts w:ascii="Book Antiqua" w:eastAsia="宋体" w:hAnsi="Book Antiqua" w:cs="宋体"/>
          <w:sz w:val="24"/>
          <w:szCs w:val="24"/>
        </w:rPr>
        <w:t>Tolia</w:t>
      </w:r>
      <w:proofErr w:type="spellEnd"/>
      <w:r w:rsidRPr="006717E3">
        <w:rPr>
          <w:rFonts w:ascii="Book Antiqua" w:eastAsia="宋体" w:hAnsi="Book Antiqua" w:cs="宋体"/>
          <w:sz w:val="24"/>
          <w:szCs w:val="24"/>
        </w:rPr>
        <w:t xml:space="preserve"> V, Sullivan JE, </w:t>
      </w:r>
      <w:proofErr w:type="spellStart"/>
      <w:r w:rsidRPr="006717E3">
        <w:rPr>
          <w:rFonts w:ascii="Book Antiqua" w:eastAsia="宋体" w:hAnsi="Book Antiqua" w:cs="宋体"/>
          <w:sz w:val="24"/>
          <w:szCs w:val="24"/>
        </w:rPr>
        <w:t>Långström</w:t>
      </w:r>
      <w:proofErr w:type="spellEnd"/>
      <w:r w:rsidRPr="006717E3">
        <w:rPr>
          <w:rFonts w:ascii="Book Antiqua" w:eastAsia="宋体" w:hAnsi="Book Antiqua" w:cs="宋体"/>
          <w:sz w:val="24"/>
          <w:szCs w:val="24"/>
        </w:rPr>
        <w:t xml:space="preserve"> G, </w:t>
      </w:r>
      <w:proofErr w:type="spellStart"/>
      <w:r w:rsidRPr="006717E3">
        <w:rPr>
          <w:rFonts w:ascii="Book Antiqua" w:eastAsia="宋体" w:hAnsi="Book Antiqua" w:cs="宋体"/>
          <w:sz w:val="24"/>
          <w:szCs w:val="24"/>
        </w:rPr>
        <w:t>Lundborg</w:t>
      </w:r>
      <w:proofErr w:type="spellEnd"/>
      <w:r w:rsidRPr="006717E3">
        <w:rPr>
          <w:rFonts w:ascii="Book Antiqua" w:eastAsia="宋体" w:hAnsi="Book Antiqua" w:cs="宋体"/>
          <w:sz w:val="24"/>
          <w:szCs w:val="24"/>
        </w:rPr>
        <w:t xml:space="preserve"> P, Brown K. Phase I, </w:t>
      </w:r>
      <w:proofErr w:type="spellStart"/>
      <w:r w:rsidRPr="006717E3">
        <w:rPr>
          <w:rFonts w:ascii="Book Antiqua" w:eastAsia="宋体" w:hAnsi="Book Antiqua" w:cs="宋体"/>
          <w:sz w:val="24"/>
          <w:szCs w:val="24"/>
        </w:rPr>
        <w:t>multicenter</w:t>
      </w:r>
      <w:proofErr w:type="spellEnd"/>
      <w:r w:rsidRPr="006717E3">
        <w:rPr>
          <w:rFonts w:ascii="Book Antiqua" w:eastAsia="宋体" w:hAnsi="Book Antiqua" w:cs="宋体"/>
          <w:sz w:val="24"/>
          <w:szCs w:val="24"/>
        </w:rPr>
        <w:t>, randomized, open-label study evaluating the pharmacokinetics and safety profile of repeated once-daily doses of intravenous esomeprazole in children 0 to 17 years of age.</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34</w:t>
      </w:r>
      <w:r w:rsidRPr="006717E3">
        <w:rPr>
          <w:rFonts w:ascii="Book Antiqua" w:eastAsia="宋体" w:hAnsi="Book Antiqua" w:cs="宋体"/>
          <w:sz w:val="24"/>
          <w:szCs w:val="24"/>
        </w:rPr>
        <w:t>: 1828-1838 [PMID: 22832034 DOI: 10.1016/j.clinthera.2012.06.028]</w:t>
      </w:r>
    </w:p>
    <w:p w14:paraId="595B1D7F"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7</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Illueca</w:t>
      </w:r>
      <w:proofErr w:type="spellEnd"/>
      <w:r w:rsidRPr="006717E3">
        <w:rPr>
          <w:rFonts w:ascii="Book Antiqua" w:eastAsia="宋体" w:hAnsi="Book Antiqua" w:cs="宋体"/>
          <w:b/>
          <w:bCs/>
          <w:sz w:val="24"/>
          <w:szCs w:val="24"/>
        </w:rPr>
        <w:t xml:space="preserve"> M</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Alemayehu</w:t>
      </w:r>
      <w:proofErr w:type="spellEnd"/>
      <w:r w:rsidRPr="006717E3">
        <w:rPr>
          <w:rFonts w:ascii="Book Antiqua" w:eastAsia="宋体" w:hAnsi="Book Antiqua" w:cs="宋体"/>
          <w:sz w:val="24"/>
          <w:szCs w:val="24"/>
        </w:rPr>
        <w:t xml:space="preserve"> B, </w:t>
      </w:r>
      <w:proofErr w:type="spellStart"/>
      <w:r w:rsidRPr="006717E3">
        <w:rPr>
          <w:rFonts w:ascii="Book Antiqua" w:eastAsia="宋体" w:hAnsi="Book Antiqua" w:cs="宋体"/>
          <w:sz w:val="24"/>
          <w:szCs w:val="24"/>
        </w:rPr>
        <w:t>Shoetan</w:t>
      </w:r>
      <w:proofErr w:type="spellEnd"/>
      <w:r w:rsidRPr="006717E3">
        <w:rPr>
          <w:rFonts w:ascii="Book Antiqua" w:eastAsia="宋体" w:hAnsi="Book Antiqua" w:cs="宋体"/>
          <w:sz w:val="24"/>
          <w:szCs w:val="24"/>
        </w:rPr>
        <w:t xml:space="preserve"> N, Yang H. Proton pump </w:t>
      </w:r>
      <w:proofErr w:type="gramStart"/>
      <w:r w:rsidRPr="006717E3">
        <w:rPr>
          <w:rFonts w:ascii="Book Antiqua" w:eastAsia="宋体" w:hAnsi="Book Antiqua" w:cs="宋体"/>
          <w:sz w:val="24"/>
          <w:szCs w:val="24"/>
        </w:rPr>
        <w:t>inhibitor prescribing</w:t>
      </w:r>
      <w:proofErr w:type="gramEnd"/>
      <w:r w:rsidRPr="006717E3">
        <w:rPr>
          <w:rFonts w:ascii="Book Antiqua" w:eastAsia="宋体" w:hAnsi="Book Antiqua" w:cs="宋体"/>
          <w:sz w:val="24"/>
          <w:szCs w:val="24"/>
        </w:rPr>
        <w:t xml:space="preserve"> patterns in newborns and infants.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2014</w:t>
      </w:r>
      <w:r w:rsidRPr="006717E3">
        <w:rPr>
          <w:rFonts w:ascii="Book Antiqua" w:eastAsia="宋体" w:hAnsi="Book Antiqua" w:cs="宋体"/>
          <w:sz w:val="24"/>
          <w:szCs w:val="24"/>
        </w:rPr>
        <w:t>;</w:t>
      </w:r>
      <w:r w:rsidRPr="00443A23">
        <w:rPr>
          <w:rFonts w:ascii="Book Antiqua" w:eastAsia="宋体" w:hAnsi="Book Antiqua" w:cs="宋体"/>
          <w:sz w:val="24"/>
          <w:szCs w:val="24"/>
        </w:rPr>
        <w:t> </w:t>
      </w:r>
      <w:r w:rsidRPr="006717E3">
        <w:rPr>
          <w:rFonts w:ascii="Book Antiqua" w:eastAsia="宋体" w:hAnsi="Book Antiqua" w:cs="宋体"/>
          <w:b/>
          <w:bCs/>
          <w:sz w:val="24"/>
          <w:szCs w:val="24"/>
        </w:rPr>
        <w:t>19</w:t>
      </w:r>
      <w:r w:rsidRPr="006717E3">
        <w:rPr>
          <w:rFonts w:ascii="Book Antiqua" w:eastAsia="宋体" w:hAnsi="Book Antiqua" w:cs="宋体"/>
          <w:sz w:val="24"/>
          <w:szCs w:val="24"/>
        </w:rPr>
        <w:t>: 283-287 [PMID: 25762873 DOI: 10.5863/1551-6776-19.4.283</w:t>
      </w:r>
      <w:r w:rsidRPr="00443A23">
        <w:rPr>
          <w:rFonts w:ascii="Book Antiqua" w:eastAsia="宋体" w:hAnsi="Book Antiqua" w:cs="宋体"/>
          <w:sz w:val="24"/>
          <w:szCs w:val="24"/>
        </w:rPr>
        <w:t>]</w:t>
      </w:r>
    </w:p>
    <w:p w14:paraId="178771B9"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lastRenderedPageBreak/>
        <w:t>8</w:t>
      </w:r>
      <w:r w:rsidRPr="00443A23">
        <w:rPr>
          <w:rFonts w:ascii="Book Antiqua" w:eastAsia="宋体" w:hAnsi="Book Antiqua" w:cs="宋体"/>
          <w:sz w:val="24"/>
          <w:szCs w:val="24"/>
        </w:rPr>
        <w:t> </w:t>
      </w:r>
      <w:r w:rsidRPr="006717E3">
        <w:rPr>
          <w:rFonts w:ascii="Book Antiqua" w:eastAsia="宋体" w:hAnsi="Book Antiqua" w:cs="宋体"/>
          <w:b/>
          <w:bCs/>
          <w:sz w:val="24"/>
          <w:szCs w:val="24"/>
        </w:rPr>
        <w:t>Barron JJ</w:t>
      </w:r>
      <w:r w:rsidRPr="006717E3">
        <w:rPr>
          <w:rFonts w:ascii="Book Antiqua" w:eastAsia="宋体" w:hAnsi="Book Antiqua" w:cs="宋体"/>
          <w:sz w:val="24"/>
          <w:szCs w:val="24"/>
        </w:rPr>
        <w:t>, Tan H, Spalding J, Bakst AW, Singer J. Proton pump inhibitor utilization patterns in infants.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2007;</w:t>
      </w:r>
      <w:r w:rsidRPr="00443A23">
        <w:rPr>
          <w:rFonts w:ascii="Book Antiqua" w:eastAsia="宋体" w:hAnsi="Book Antiqua" w:cs="宋体"/>
          <w:sz w:val="24"/>
          <w:szCs w:val="24"/>
        </w:rPr>
        <w:t> </w:t>
      </w:r>
      <w:r w:rsidRPr="006717E3">
        <w:rPr>
          <w:rFonts w:ascii="Book Antiqua" w:eastAsia="宋体" w:hAnsi="Book Antiqua" w:cs="宋体"/>
          <w:b/>
          <w:bCs/>
          <w:sz w:val="24"/>
          <w:szCs w:val="24"/>
        </w:rPr>
        <w:t>45</w:t>
      </w:r>
      <w:r w:rsidRPr="006717E3">
        <w:rPr>
          <w:rFonts w:ascii="Book Antiqua" w:eastAsia="宋体" w:hAnsi="Book Antiqua" w:cs="宋体"/>
          <w:sz w:val="24"/>
          <w:szCs w:val="24"/>
        </w:rPr>
        <w:t>: 421-427 [PMID: 18030207 DOI: 10.1097/MPG.0b013e31812e0149]</w:t>
      </w:r>
    </w:p>
    <w:p w14:paraId="42227EDA"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9</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Dhillon</w:t>
      </w:r>
      <w:proofErr w:type="spellEnd"/>
      <w:r w:rsidRPr="006717E3">
        <w:rPr>
          <w:rFonts w:ascii="Book Antiqua" w:eastAsia="宋体" w:hAnsi="Book Antiqua" w:cs="宋体"/>
          <w:b/>
          <w:bCs/>
          <w:sz w:val="24"/>
          <w:szCs w:val="24"/>
        </w:rPr>
        <w:t xml:space="preserve"> AS</w:t>
      </w:r>
      <w:r w:rsidRPr="006717E3">
        <w:rPr>
          <w:rFonts w:ascii="Book Antiqua" w:eastAsia="宋体" w:hAnsi="Book Antiqua" w:cs="宋体"/>
          <w:sz w:val="24"/>
          <w:szCs w:val="24"/>
        </w:rPr>
        <w:t>, Ewer AK.</w:t>
      </w:r>
      <w:proofErr w:type="gramEnd"/>
      <w:r w:rsidRPr="006717E3">
        <w:rPr>
          <w:rFonts w:ascii="Book Antiqua" w:eastAsia="宋体" w:hAnsi="Book Antiqua" w:cs="宋体"/>
          <w:sz w:val="24"/>
          <w:szCs w:val="24"/>
        </w:rPr>
        <w:t xml:space="preserve"> Diagnosis and management of gastro-oesophageal reflux in preterm infants in neonatal intensive care units.</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Acta</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Paediatr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2004;</w:t>
      </w:r>
      <w:r w:rsidRPr="00443A23">
        <w:rPr>
          <w:rFonts w:ascii="Book Antiqua" w:eastAsia="宋体" w:hAnsi="Book Antiqua" w:cs="宋体"/>
          <w:sz w:val="24"/>
          <w:szCs w:val="24"/>
        </w:rPr>
        <w:t> </w:t>
      </w:r>
      <w:r w:rsidRPr="006717E3">
        <w:rPr>
          <w:rFonts w:ascii="Book Antiqua" w:eastAsia="宋体" w:hAnsi="Book Antiqua" w:cs="宋体"/>
          <w:b/>
          <w:bCs/>
          <w:sz w:val="24"/>
          <w:szCs w:val="24"/>
        </w:rPr>
        <w:t>93</w:t>
      </w:r>
      <w:r w:rsidRPr="006717E3">
        <w:rPr>
          <w:rFonts w:ascii="Book Antiqua" w:eastAsia="宋体" w:hAnsi="Book Antiqua" w:cs="宋体"/>
          <w:sz w:val="24"/>
          <w:szCs w:val="24"/>
        </w:rPr>
        <w:t>: 88-93 [PMID: 14989446 DOI: 10.1080/08035250310007934]</w:t>
      </w:r>
    </w:p>
    <w:p w14:paraId="40695753"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10</w:t>
      </w:r>
      <w:r w:rsidRPr="00443A23">
        <w:rPr>
          <w:rFonts w:ascii="Book Antiqua" w:eastAsia="宋体" w:hAnsi="Book Antiqua" w:cs="宋体"/>
          <w:sz w:val="24"/>
          <w:szCs w:val="24"/>
        </w:rPr>
        <w:t> </w:t>
      </w:r>
      <w:r w:rsidRPr="006717E3">
        <w:rPr>
          <w:rFonts w:ascii="Book Antiqua" w:eastAsia="宋体" w:hAnsi="Book Antiqua" w:cs="宋体"/>
          <w:b/>
          <w:bCs/>
          <w:sz w:val="24"/>
          <w:szCs w:val="24"/>
        </w:rPr>
        <w:t>Salvatore S</w:t>
      </w:r>
      <w:r w:rsidRPr="006717E3">
        <w:rPr>
          <w:rFonts w:ascii="Book Antiqua" w:eastAsia="宋体" w:hAnsi="Book Antiqua" w:cs="宋体"/>
          <w:sz w:val="24"/>
          <w:szCs w:val="24"/>
        </w:rPr>
        <w:t xml:space="preserve">, Hauser B, </w:t>
      </w:r>
      <w:proofErr w:type="spellStart"/>
      <w:r w:rsidRPr="006717E3">
        <w:rPr>
          <w:rFonts w:ascii="Book Antiqua" w:eastAsia="宋体" w:hAnsi="Book Antiqua" w:cs="宋体"/>
          <w:sz w:val="24"/>
          <w:szCs w:val="24"/>
        </w:rPr>
        <w:t>Vandemaele</w:t>
      </w:r>
      <w:proofErr w:type="spellEnd"/>
      <w:r w:rsidRPr="006717E3">
        <w:rPr>
          <w:rFonts w:ascii="Book Antiqua" w:eastAsia="宋体" w:hAnsi="Book Antiqua" w:cs="宋体"/>
          <w:sz w:val="24"/>
          <w:szCs w:val="24"/>
        </w:rPr>
        <w:t xml:space="preserve"> K, </w:t>
      </w:r>
      <w:proofErr w:type="spellStart"/>
      <w:r w:rsidRPr="006717E3">
        <w:rPr>
          <w:rFonts w:ascii="Book Antiqua" w:eastAsia="宋体" w:hAnsi="Book Antiqua" w:cs="宋体"/>
          <w:sz w:val="24"/>
          <w:szCs w:val="24"/>
        </w:rPr>
        <w:t>Novario</w:t>
      </w:r>
      <w:proofErr w:type="spellEnd"/>
      <w:r w:rsidRPr="006717E3">
        <w:rPr>
          <w:rFonts w:ascii="Book Antiqua" w:eastAsia="宋体" w:hAnsi="Book Antiqua" w:cs="宋体"/>
          <w:sz w:val="24"/>
          <w:szCs w:val="24"/>
        </w:rPr>
        <w:t xml:space="preserve"> R, </w:t>
      </w:r>
      <w:proofErr w:type="spellStart"/>
      <w:r w:rsidRPr="006717E3">
        <w:rPr>
          <w:rFonts w:ascii="Book Antiqua" w:eastAsia="宋体" w:hAnsi="Book Antiqua" w:cs="宋体"/>
          <w:sz w:val="24"/>
          <w:szCs w:val="24"/>
        </w:rPr>
        <w:t>Vandenplas</w:t>
      </w:r>
      <w:proofErr w:type="spellEnd"/>
      <w:r w:rsidRPr="006717E3">
        <w:rPr>
          <w:rFonts w:ascii="Book Antiqua" w:eastAsia="宋体" w:hAnsi="Book Antiqua" w:cs="宋体"/>
          <w:sz w:val="24"/>
          <w:szCs w:val="24"/>
        </w:rPr>
        <w:t xml:space="preserve"> Y.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disease in infants: how much is predictable with questionnaires, pH-</w:t>
      </w:r>
      <w:proofErr w:type="spellStart"/>
      <w:r w:rsidRPr="006717E3">
        <w:rPr>
          <w:rFonts w:ascii="Book Antiqua" w:eastAsia="宋体" w:hAnsi="Book Antiqua" w:cs="宋体"/>
          <w:sz w:val="24"/>
          <w:szCs w:val="24"/>
        </w:rPr>
        <w:t>metry</w:t>
      </w:r>
      <w:proofErr w:type="spellEnd"/>
      <w:r w:rsidRPr="006717E3">
        <w:rPr>
          <w:rFonts w:ascii="Book Antiqua" w:eastAsia="宋体" w:hAnsi="Book Antiqua" w:cs="宋体"/>
          <w:sz w:val="24"/>
          <w:szCs w:val="24"/>
        </w:rPr>
        <w:t>, endoscopy and histology?</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2005;</w:t>
      </w:r>
      <w:r w:rsidRPr="00443A23">
        <w:rPr>
          <w:rFonts w:ascii="Book Antiqua" w:eastAsia="宋体" w:hAnsi="Book Antiqua" w:cs="宋体"/>
          <w:sz w:val="24"/>
          <w:szCs w:val="24"/>
        </w:rPr>
        <w:t> </w:t>
      </w:r>
      <w:r w:rsidRPr="006717E3">
        <w:rPr>
          <w:rFonts w:ascii="Book Antiqua" w:eastAsia="宋体" w:hAnsi="Book Antiqua" w:cs="宋体"/>
          <w:b/>
          <w:bCs/>
          <w:sz w:val="24"/>
          <w:szCs w:val="24"/>
        </w:rPr>
        <w:t>40</w:t>
      </w:r>
      <w:r w:rsidRPr="006717E3">
        <w:rPr>
          <w:rFonts w:ascii="Book Antiqua" w:eastAsia="宋体" w:hAnsi="Book Antiqua" w:cs="宋体"/>
          <w:sz w:val="24"/>
          <w:szCs w:val="24"/>
        </w:rPr>
        <w:t>: 210-215 [PMID: 15699699 DOI: 10.1016/s8756-</w:t>
      </w:r>
      <w:proofErr w:type="gramStart"/>
      <w:r w:rsidRPr="006717E3">
        <w:rPr>
          <w:rFonts w:ascii="Book Antiqua" w:eastAsia="宋体" w:hAnsi="Book Antiqua" w:cs="宋体"/>
          <w:sz w:val="24"/>
          <w:szCs w:val="24"/>
        </w:rPr>
        <w:t>5005(</w:t>
      </w:r>
      <w:proofErr w:type="gramEnd"/>
      <w:r w:rsidRPr="006717E3">
        <w:rPr>
          <w:rFonts w:ascii="Book Antiqua" w:eastAsia="宋体" w:hAnsi="Book Antiqua" w:cs="宋体"/>
          <w:sz w:val="24"/>
          <w:szCs w:val="24"/>
        </w:rPr>
        <w:t>08)70322-6]</w:t>
      </w:r>
    </w:p>
    <w:p w14:paraId="2447D4BC"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11</w:t>
      </w:r>
      <w:r w:rsidRPr="00443A23">
        <w:rPr>
          <w:rFonts w:ascii="Book Antiqua" w:eastAsia="宋体" w:hAnsi="Book Antiqua" w:cs="宋体"/>
          <w:sz w:val="24"/>
          <w:szCs w:val="24"/>
        </w:rPr>
        <w:t> </w:t>
      </w:r>
      <w:r w:rsidRPr="006717E3">
        <w:rPr>
          <w:rFonts w:ascii="Book Antiqua" w:eastAsia="宋体" w:hAnsi="Book Antiqua" w:cs="宋体"/>
          <w:b/>
          <w:bCs/>
          <w:sz w:val="24"/>
          <w:szCs w:val="24"/>
        </w:rPr>
        <w:t>Orenstein SR</w:t>
      </w:r>
      <w:r w:rsidRPr="006717E3">
        <w:rPr>
          <w:rFonts w:ascii="Book Antiqua" w:eastAsia="宋体" w:hAnsi="Book Antiqua" w:cs="宋体"/>
          <w:sz w:val="24"/>
          <w:szCs w:val="24"/>
        </w:rPr>
        <w:t xml:space="preserve">. Infant GERD: symptoms, reflux episodes &amp; amp; reflux disease, acid &amp; amp; non-acid </w:t>
      </w:r>
      <w:proofErr w:type="spellStart"/>
      <w:r w:rsidRPr="006717E3">
        <w:rPr>
          <w:rFonts w:ascii="Book Antiqua" w:eastAsia="宋体" w:hAnsi="Book Antiqua" w:cs="宋体"/>
          <w:sz w:val="24"/>
          <w:szCs w:val="24"/>
        </w:rPr>
        <w:t>refllux</w:t>
      </w:r>
      <w:proofErr w:type="spellEnd"/>
      <w:r w:rsidRPr="006717E3">
        <w:rPr>
          <w:rFonts w:ascii="Book Antiqua" w:eastAsia="宋体" w:hAnsi="Book Antiqua" w:cs="宋体"/>
          <w:sz w:val="24"/>
          <w:szCs w:val="24"/>
        </w:rPr>
        <w:t>--implications for treatment with PPIs.</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Curr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Rep</w:t>
      </w:r>
      <w:r w:rsidRPr="00443A23">
        <w:rPr>
          <w:rFonts w:ascii="Book Antiqua" w:eastAsia="宋体" w:hAnsi="Book Antiqua" w:cs="宋体"/>
          <w:sz w:val="24"/>
          <w:szCs w:val="24"/>
        </w:rPr>
        <w:t> </w:t>
      </w:r>
      <w:r w:rsidRPr="006717E3">
        <w:rPr>
          <w:rFonts w:ascii="Book Antiqua" w:eastAsia="宋体" w:hAnsi="Book Antiqua" w:cs="宋体"/>
          <w:sz w:val="24"/>
          <w:szCs w:val="24"/>
        </w:rPr>
        <w:t>2013;</w:t>
      </w:r>
      <w:r w:rsidRPr="00443A23">
        <w:rPr>
          <w:rFonts w:ascii="Book Antiqua" w:eastAsia="宋体" w:hAnsi="Book Antiqua" w:cs="宋体"/>
          <w:sz w:val="24"/>
          <w:szCs w:val="24"/>
        </w:rPr>
        <w:t> </w:t>
      </w:r>
      <w:r w:rsidRPr="006717E3">
        <w:rPr>
          <w:rFonts w:ascii="Book Antiqua" w:eastAsia="宋体" w:hAnsi="Book Antiqua" w:cs="宋体"/>
          <w:b/>
          <w:bCs/>
          <w:sz w:val="24"/>
          <w:szCs w:val="24"/>
        </w:rPr>
        <w:t>15</w:t>
      </w:r>
      <w:r w:rsidRPr="006717E3">
        <w:rPr>
          <w:rFonts w:ascii="Book Antiqua" w:eastAsia="宋体" w:hAnsi="Book Antiqua" w:cs="宋体"/>
          <w:sz w:val="24"/>
          <w:szCs w:val="24"/>
        </w:rPr>
        <w:t>: 353 [PMID: 24197743 DOI: 10.1007/s11894-013-0353-1</w:t>
      </w:r>
      <w:r w:rsidRPr="00443A23">
        <w:rPr>
          <w:rFonts w:ascii="Book Antiqua" w:eastAsia="宋体" w:hAnsi="Book Antiqua" w:cs="宋体"/>
          <w:sz w:val="24"/>
          <w:szCs w:val="24"/>
        </w:rPr>
        <w:t>]</w:t>
      </w:r>
    </w:p>
    <w:p w14:paraId="72B8F202"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12</w:t>
      </w:r>
      <w:r w:rsidRPr="00443A23">
        <w:rPr>
          <w:rFonts w:ascii="Book Antiqua" w:eastAsia="宋体" w:hAnsi="Book Antiqua" w:cs="宋体"/>
          <w:sz w:val="24"/>
          <w:szCs w:val="24"/>
        </w:rPr>
        <w:t> </w:t>
      </w:r>
      <w:r w:rsidRPr="006717E3">
        <w:rPr>
          <w:rFonts w:ascii="Book Antiqua" w:eastAsia="宋体" w:hAnsi="Book Antiqua" w:cs="宋体"/>
          <w:b/>
          <w:bCs/>
          <w:sz w:val="24"/>
          <w:szCs w:val="24"/>
        </w:rPr>
        <w:t>Di Fiore J</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Arko</w:t>
      </w:r>
      <w:proofErr w:type="spellEnd"/>
      <w:r w:rsidRPr="006717E3">
        <w:rPr>
          <w:rFonts w:ascii="Book Antiqua" w:eastAsia="宋体" w:hAnsi="Book Antiqua" w:cs="宋体"/>
          <w:sz w:val="24"/>
          <w:szCs w:val="24"/>
        </w:rPr>
        <w:t xml:space="preserve"> M, </w:t>
      </w:r>
      <w:proofErr w:type="spellStart"/>
      <w:r w:rsidRPr="006717E3">
        <w:rPr>
          <w:rFonts w:ascii="Book Antiqua" w:eastAsia="宋体" w:hAnsi="Book Antiqua" w:cs="宋体"/>
          <w:sz w:val="24"/>
          <w:szCs w:val="24"/>
        </w:rPr>
        <w:t>Herynk</w:t>
      </w:r>
      <w:proofErr w:type="spellEnd"/>
      <w:r w:rsidRPr="006717E3">
        <w:rPr>
          <w:rFonts w:ascii="Book Antiqua" w:eastAsia="宋体" w:hAnsi="Book Antiqua" w:cs="宋体"/>
          <w:sz w:val="24"/>
          <w:szCs w:val="24"/>
        </w:rPr>
        <w:t xml:space="preserve"> B, Martin R, </w:t>
      </w:r>
      <w:proofErr w:type="spellStart"/>
      <w:r w:rsidRPr="006717E3">
        <w:rPr>
          <w:rFonts w:ascii="Book Antiqua" w:eastAsia="宋体" w:hAnsi="Book Antiqua" w:cs="宋体"/>
          <w:sz w:val="24"/>
          <w:szCs w:val="24"/>
        </w:rPr>
        <w:t>Hibbs</w:t>
      </w:r>
      <w:proofErr w:type="spellEnd"/>
      <w:r w:rsidRPr="006717E3">
        <w:rPr>
          <w:rFonts w:ascii="Book Antiqua" w:eastAsia="宋体" w:hAnsi="Book Antiqua" w:cs="宋体"/>
          <w:sz w:val="24"/>
          <w:szCs w:val="24"/>
        </w:rPr>
        <w:t xml:space="preserve"> AM. </w:t>
      </w:r>
      <w:proofErr w:type="gramStart"/>
      <w:r w:rsidRPr="006717E3">
        <w:rPr>
          <w:rFonts w:ascii="Book Antiqua" w:eastAsia="宋体" w:hAnsi="Book Antiqua" w:cs="宋体"/>
          <w:sz w:val="24"/>
          <w:szCs w:val="24"/>
        </w:rPr>
        <w:t xml:space="preserve">Characterization of cardiorespiratory events following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in preterm infants.</w:t>
      </w:r>
      <w:proofErr w:type="gramEnd"/>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Perinatol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30</w:t>
      </w:r>
      <w:r w:rsidRPr="006717E3">
        <w:rPr>
          <w:rFonts w:ascii="Book Antiqua" w:eastAsia="宋体" w:hAnsi="Book Antiqua" w:cs="宋体"/>
          <w:sz w:val="24"/>
          <w:szCs w:val="24"/>
        </w:rPr>
        <w:t>: 683-687 [PMID: 20220760 DOI: 10.1038/jp.2010.27</w:t>
      </w:r>
      <w:r w:rsidRPr="00443A23">
        <w:rPr>
          <w:rFonts w:ascii="Book Antiqua" w:eastAsia="宋体" w:hAnsi="Book Antiqua" w:cs="宋体"/>
          <w:sz w:val="24"/>
          <w:szCs w:val="24"/>
        </w:rPr>
        <w:t>]</w:t>
      </w:r>
    </w:p>
    <w:p w14:paraId="3C291C08"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13</w:t>
      </w:r>
      <w:r w:rsidRPr="00443A23">
        <w:rPr>
          <w:rFonts w:ascii="Book Antiqua" w:eastAsia="宋体" w:hAnsi="Book Antiqua" w:cs="宋体"/>
          <w:sz w:val="24"/>
          <w:szCs w:val="24"/>
        </w:rPr>
        <w:t> </w:t>
      </w:r>
      <w:r w:rsidRPr="006717E3">
        <w:rPr>
          <w:rFonts w:ascii="Book Antiqua" w:eastAsia="宋体" w:hAnsi="Book Antiqua" w:cs="宋体"/>
          <w:b/>
          <w:bCs/>
          <w:sz w:val="24"/>
          <w:szCs w:val="24"/>
        </w:rPr>
        <w:t>Smits MJ</w:t>
      </w:r>
      <w:r w:rsidRPr="006717E3">
        <w:rPr>
          <w:rFonts w:ascii="Book Antiqua" w:eastAsia="宋体" w:hAnsi="Book Antiqua" w:cs="宋体"/>
          <w:sz w:val="24"/>
          <w:szCs w:val="24"/>
        </w:rPr>
        <w:t xml:space="preserve">, van </w:t>
      </w:r>
      <w:proofErr w:type="spellStart"/>
      <w:r w:rsidRPr="006717E3">
        <w:rPr>
          <w:rFonts w:ascii="Book Antiqua" w:eastAsia="宋体" w:hAnsi="Book Antiqua" w:cs="宋体"/>
          <w:sz w:val="24"/>
          <w:szCs w:val="24"/>
        </w:rPr>
        <w:t>Wijk</w:t>
      </w:r>
      <w:proofErr w:type="spellEnd"/>
      <w:r w:rsidRPr="006717E3">
        <w:rPr>
          <w:rFonts w:ascii="Book Antiqua" w:eastAsia="宋体" w:hAnsi="Book Antiqua" w:cs="宋体"/>
          <w:sz w:val="24"/>
          <w:szCs w:val="24"/>
        </w:rPr>
        <w:t xml:space="preserve"> MP, </w:t>
      </w:r>
      <w:proofErr w:type="spellStart"/>
      <w:r w:rsidRPr="006717E3">
        <w:rPr>
          <w:rFonts w:ascii="Book Antiqua" w:eastAsia="宋体" w:hAnsi="Book Antiqua" w:cs="宋体"/>
          <w:sz w:val="24"/>
          <w:szCs w:val="24"/>
        </w:rPr>
        <w:t>Langendam</w:t>
      </w:r>
      <w:proofErr w:type="spellEnd"/>
      <w:r w:rsidRPr="006717E3">
        <w:rPr>
          <w:rFonts w:ascii="Book Antiqua" w:eastAsia="宋体" w:hAnsi="Book Antiqua" w:cs="宋体"/>
          <w:sz w:val="24"/>
          <w:szCs w:val="24"/>
        </w:rPr>
        <w:t xml:space="preserve"> MW, </w:t>
      </w:r>
      <w:proofErr w:type="spellStart"/>
      <w:r w:rsidRPr="006717E3">
        <w:rPr>
          <w:rFonts w:ascii="Book Antiqua" w:eastAsia="宋体" w:hAnsi="Book Antiqua" w:cs="宋体"/>
          <w:sz w:val="24"/>
          <w:szCs w:val="24"/>
        </w:rPr>
        <w:t>Benninga</w:t>
      </w:r>
      <w:proofErr w:type="spellEnd"/>
      <w:r w:rsidRPr="006717E3">
        <w:rPr>
          <w:rFonts w:ascii="Book Antiqua" w:eastAsia="宋体" w:hAnsi="Book Antiqua" w:cs="宋体"/>
          <w:sz w:val="24"/>
          <w:szCs w:val="24"/>
        </w:rPr>
        <w:t xml:space="preserve"> MA, </w:t>
      </w:r>
      <w:proofErr w:type="spellStart"/>
      <w:r w:rsidRPr="006717E3">
        <w:rPr>
          <w:rFonts w:ascii="Book Antiqua" w:eastAsia="宋体" w:hAnsi="Book Antiqua" w:cs="宋体"/>
          <w:sz w:val="24"/>
          <w:szCs w:val="24"/>
        </w:rPr>
        <w:t>Tabbers</w:t>
      </w:r>
      <w:proofErr w:type="spellEnd"/>
      <w:r w:rsidRPr="006717E3">
        <w:rPr>
          <w:rFonts w:ascii="Book Antiqua" w:eastAsia="宋体" w:hAnsi="Book Antiqua" w:cs="宋体"/>
          <w:sz w:val="24"/>
          <w:szCs w:val="24"/>
        </w:rPr>
        <w:t xml:space="preserve"> MM. Association between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and pathologic </w:t>
      </w:r>
      <w:proofErr w:type="spellStart"/>
      <w:r w:rsidRPr="006717E3">
        <w:rPr>
          <w:rFonts w:ascii="Book Antiqua" w:eastAsia="宋体" w:hAnsi="Book Antiqua" w:cs="宋体"/>
          <w:sz w:val="24"/>
          <w:szCs w:val="24"/>
        </w:rPr>
        <w:t>apneas</w:t>
      </w:r>
      <w:proofErr w:type="spellEnd"/>
      <w:r w:rsidRPr="006717E3">
        <w:rPr>
          <w:rFonts w:ascii="Book Antiqua" w:eastAsia="宋体" w:hAnsi="Book Antiqua" w:cs="宋体"/>
          <w:sz w:val="24"/>
          <w:szCs w:val="24"/>
        </w:rPr>
        <w:t xml:space="preserve"> in infants: a systematic review.</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Neurogastroenterol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Motil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2014;</w:t>
      </w:r>
      <w:r w:rsidRPr="00443A23">
        <w:rPr>
          <w:rFonts w:ascii="Book Antiqua" w:eastAsia="宋体" w:hAnsi="Book Antiqua" w:cs="宋体"/>
          <w:sz w:val="24"/>
          <w:szCs w:val="24"/>
        </w:rPr>
        <w:t> </w:t>
      </w:r>
      <w:r w:rsidRPr="006717E3">
        <w:rPr>
          <w:rFonts w:ascii="Book Antiqua" w:eastAsia="宋体" w:hAnsi="Book Antiqua" w:cs="宋体"/>
          <w:b/>
          <w:bCs/>
          <w:sz w:val="24"/>
          <w:szCs w:val="24"/>
        </w:rPr>
        <w:t>26</w:t>
      </w:r>
      <w:r w:rsidRPr="006717E3">
        <w:rPr>
          <w:rFonts w:ascii="Book Antiqua" w:eastAsia="宋体" w:hAnsi="Book Antiqua" w:cs="宋体"/>
          <w:sz w:val="24"/>
          <w:szCs w:val="24"/>
        </w:rPr>
        <w:t>: 1527-1538 [PMID: 25080836 DOI: 10.1111/nmo.12405</w:t>
      </w:r>
      <w:r w:rsidRPr="00443A23">
        <w:rPr>
          <w:rFonts w:ascii="Book Antiqua" w:eastAsia="宋体" w:hAnsi="Book Antiqua" w:cs="宋体"/>
          <w:sz w:val="24"/>
          <w:szCs w:val="24"/>
        </w:rPr>
        <w:t>]</w:t>
      </w:r>
    </w:p>
    <w:p w14:paraId="10252890"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14</w:t>
      </w:r>
      <w:r w:rsidRPr="00443A23">
        <w:rPr>
          <w:rFonts w:ascii="Book Antiqua" w:eastAsia="宋体" w:hAnsi="Book Antiqua" w:cs="宋体"/>
          <w:sz w:val="24"/>
          <w:szCs w:val="24"/>
        </w:rPr>
        <w:t> </w:t>
      </w:r>
      <w:r w:rsidRPr="006717E3">
        <w:rPr>
          <w:rFonts w:ascii="Book Antiqua" w:eastAsia="宋体" w:hAnsi="Book Antiqua" w:cs="宋体"/>
          <w:b/>
          <w:bCs/>
          <w:sz w:val="24"/>
          <w:szCs w:val="24"/>
        </w:rPr>
        <w:t xml:space="preserve">Abu </w:t>
      </w:r>
      <w:proofErr w:type="spellStart"/>
      <w:r w:rsidRPr="006717E3">
        <w:rPr>
          <w:rFonts w:ascii="Book Antiqua" w:eastAsia="宋体" w:hAnsi="Book Antiqua" w:cs="宋体"/>
          <w:b/>
          <w:bCs/>
          <w:sz w:val="24"/>
          <w:szCs w:val="24"/>
        </w:rPr>
        <w:t>Jawdeh</w:t>
      </w:r>
      <w:proofErr w:type="spellEnd"/>
      <w:r w:rsidRPr="006717E3">
        <w:rPr>
          <w:rFonts w:ascii="Book Antiqua" w:eastAsia="宋体" w:hAnsi="Book Antiqua" w:cs="宋体"/>
          <w:b/>
          <w:bCs/>
          <w:sz w:val="24"/>
          <w:szCs w:val="24"/>
        </w:rPr>
        <w:t xml:space="preserve"> EG</w:t>
      </w:r>
      <w:r w:rsidRPr="006717E3">
        <w:rPr>
          <w:rFonts w:ascii="Book Antiqua" w:eastAsia="宋体" w:hAnsi="Book Antiqua" w:cs="宋体"/>
          <w:sz w:val="24"/>
          <w:szCs w:val="24"/>
        </w:rPr>
        <w:t>, Martin RJ.</w:t>
      </w:r>
      <w:proofErr w:type="gramEnd"/>
      <w:r w:rsidRPr="006717E3">
        <w:rPr>
          <w:rFonts w:ascii="Book Antiqua" w:eastAsia="宋体" w:hAnsi="Book Antiqua" w:cs="宋体"/>
          <w:sz w:val="24"/>
          <w:szCs w:val="24"/>
        </w:rPr>
        <w:t xml:space="preserve"> Neonatal </w:t>
      </w:r>
      <w:proofErr w:type="spellStart"/>
      <w:r w:rsidRPr="006717E3">
        <w:rPr>
          <w:rFonts w:ascii="Book Antiqua" w:eastAsia="宋体" w:hAnsi="Book Antiqua" w:cs="宋体"/>
          <w:sz w:val="24"/>
          <w:szCs w:val="24"/>
        </w:rPr>
        <w:t>apnea</w:t>
      </w:r>
      <w:proofErr w:type="spellEnd"/>
      <w:r w:rsidRPr="006717E3">
        <w:rPr>
          <w:rFonts w:ascii="Book Antiqua" w:eastAsia="宋体" w:hAnsi="Book Antiqua" w:cs="宋体"/>
          <w:sz w:val="24"/>
          <w:szCs w:val="24"/>
        </w:rPr>
        <w:t xml:space="preserve"> and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(GER): is there a problem?</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Early Hum </w:t>
      </w:r>
      <w:proofErr w:type="spellStart"/>
      <w:r w:rsidRPr="006717E3">
        <w:rPr>
          <w:rFonts w:ascii="Book Antiqua" w:eastAsia="宋体" w:hAnsi="Book Antiqua" w:cs="宋体"/>
          <w:i/>
          <w:iCs/>
          <w:sz w:val="24"/>
          <w:szCs w:val="24"/>
        </w:rPr>
        <w:t>Dev</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2013;</w:t>
      </w:r>
      <w:r w:rsidRPr="00443A23">
        <w:rPr>
          <w:rFonts w:ascii="Book Antiqua" w:eastAsia="宋体" w:hAnsi="Book Antiqua" w:cs="宋体"/>
          <w:sz w:val="24"/>
          <w:szCs w:val="24"/>
        </w:rPr>
        <w:t> </w:t>
      </w:r>
      <w:r w:rsidRPr="006717E3">
        <w:rPr>
          <w:rFonts w:ascii="Book Antiqua" w:eastAsia="宋体" w:hAnsi="Book Antiqua" w:cs="宋体"/>
          <w:b/>
          <w:bCs/>
          <w:sz w:val="24"/>
          <w:szCs w:val="24"/>
        </w:rPr>
        <w:t>89</w:t>
      </w:r>
      <w:r w:rsidRPr="006717E3">
        <w:rPr>
          <w:rFonts w:ascii="Book Antiqua" w:eastAsia="宋体" w:hAnsi="Book Antiqua" w:cs="宋体"/>
          <w:bCs/>
          <w:sz w:val="24"/>
          <w:szCs w:val="24"/>
        </w:rPr>
        <w:t xml:space="preserve"> </w:t>
      </w:r>
      <w:proofErr w:type="spellStart"/>
      <w:r w:rsidRPr="006717E3">
        <w:rPr>
          <w:rFonts w:ascii="Book Antiqua" w:eastAsia="宋体" w:hAnsi="Book Antiqua" w:cs="宋体"/>
          <w:bCs/>
          <w:sz w:val="24"/>
          <w:szCs w:val="24"/>
        </w:rPr>
        <w:t>Suppl</w:t>
      </w:r>
      <w:proofErr w:type="spellEnd"/>
      <w:r w:rsidRPr="006717E3">
        <w:rPr>
          <w:rFonts w:ascii="Book Antiqua" w:eastAsia="宋体" w:hAnsi="Book Antiqua" w:cs="宋体"/>
          <w:bCs/>
          <w:sz w:val="24"/>
          <w:szCs w:val="24"/>
        </w:rPr>
        <w:t xml:space="preserve"> 1</w:t>
      </w:r>
      <w:r w:rsidRPr="006717E3">
        <w:rPr>
          <w:rFonts w:ascii="Book Antiqua" w:eastAsia="宋体" w:hAnsi="Book Antiqua" w:cs="宋体"/>
          <w:sz w:val="24"/>
          <w:szCs w:val="24"/>
        </w:rPr>
        <w:t>: S14-S16 [PMID: 23809340 DOI: 10.1016/S0378-</w:t>
      </w:r>
      <w:proofErr w:type="gramStart"/>
      <w:r w:rsidRPr="006717E3">
        <w:rPr>
          <w:rFonts w:ascii="Book Antiqua" w:eastAsia="宋体" w:hAnsi="Book Antiqua" w:cs="宋体"/>
          <w:sz w:val="24"/>
          <w:szCs w:val="24"/>
        </w:rPr>
        <w:t>3782(</w:t>
      </w:r>
      <w:proofErr w:type="gramEnd"/>
      <w:r w:rsidRPr="006717E3">
        <w:rPr>
          <w:rFonts w:ascii="Book Antiqua" w:eastAsia="宋体" w:hAnsi="Book Antiqua" w:cs="宋体"/>
          <w:sz w:val="24"/>
          <w:szCs w:val="24"/>
        </w:rPr>
        <w:t>13)70005-7</w:t>
      </w:r>
      <w:r w:rsidRPr="00443A23">
        <w:rPr>
          <w:rFonts w:ascii="Book Antiqua" w:eastAsia="宋体" w:hAnsi="Book Antiqua" w:cs="宋体"/>
          <w:sz w:val="24"/>
          <w:szCs w:val="24"/>
        </w:rPr>
        <w:t>]</w:t>
      </w:r>
    </w:p>
    <w:p w14:paraId="7C91E4FD"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15</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Quitadamo</w:t>
      </w:r>
      <w:proofErr w:type="spellEnd"/>
      <w:r w:rsidRPr="006717E3">
        <w:rPr>
          <w:rFonts w:ascii="Book Antiqua" w:eastAsia="宋体" w:hAnsi="Book Antiqua" w:cs="宋体"/>
          <w:b/>
          <w:bCs/>
          <w:sz w:val="24"/>
          <w:szCs w:val="24"/>
        </w:rPr>
        <w:t xml:space="preserve"> P</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Papadopoulou</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Wenzl</w:t>
      </w:r>
      <w:proofErr w:type="spellEnd"/>
      <w:r w:rsidRPr="006717E3">
        <w:rPr>
          <w:rFonts w:ascii="Book Antiqua" w:eastAsia="宋体" w:hAnsi="Book Antiqua" w:cs="宋体"/>
          <w:sz w:val="24"/>
          <w:szCs w:val="24"/>
        </w:rPr>
        <w:t xml:space="preserve"> T, </w:t>
      </w:r>
      <w:proofErr w:type="spellStart"/>
      <w:r w:rsidRPr="006717E3">
        <w:rPr>
          <w:rFonts w:ascii="Book Antiqua" w:eastAsia="宋体" w:hAnsi="Book Antiqua" w:cs="宋体"/>
          <w:sz w:val="24"/>
          <w:szCs w:val="24"/>
        </w:rPr>
        <w:t>Urbonas</w:t>
      </w:r>
      <w:proofErr w:type="spellEnd"/>
      <w:r w:rsidRPr="006717E3">
        <w:rPr>
          <w:rFonts w:ascii="Book Antiqua" w:eastAsia="宋体" w:hAnsi="Book Antiqua" w:cs="宋体"/>
          <w:sz w:val="24"/>
          <w:szCs w:val="24"/>
        </w:rPr>
        <w:t xml:space="preserve"> V, </w:t>
      </w:r>
      <w:proofErr w:type="spellStart"/>
      <w:r w:rsidRPr="006717E3">
        <w:rPr>
          <w:rFonts w:ascii="Book Antiqua" w:eastAsia="宋体" w:hAnsi="Book Antiqua" w:cs="宋体"/>
          <w:sz w:val="24"/>
          <w:szCs w:val="24"/>
        </w:rPr>
        <w:t>Kneepkens</w:t>
      </w:r>
      <w:proofErr w:type="spellEnd"/>
      <w:r w:rsidRPr="006717E3">
        <w:rPr>
          <w:rFonts w:ascii="Book Antiqua" w:eastAsia="宋体" w:hAnsi="Book Antiqua" w:cs="宋体"/>
          <w:sz w:val="24"/>
          <w:szCs w:val="24"/>
        </w:rPr>
        <w:t xml:space="preserve"> CM, Roman E, Orel R, </w:t>
      </w:r>
      <w:proofErr w:type="spellStart"/>
      <w:r w:rsidRPr="006717E3">
        <w:rPr>
          <w:rFonts w:ascii="Book Antiqua" w:eastAsia="宋体" w:hAnsi="Book Antiqua" w:cs="宋体"/>
          <w:sz w:val="24"/>
          <w:szCs w:val="24"/>
        </w:rPr>
        <w:t>Pavkov</w:t>
      </w:r>
      <w:proofErr w:type="spellEnd"/>
      <w:r w:rsidRPr="006717E3">
        <w:rPr>
          <w:rFonts w:ascii="Book Antiqua" w:eastAsia="宋体" w:hAnsi="Book Antiqua" w:cs="宋体"/>
          <w:sz w:val="24"/>
          <w:szCs w:val="24"/>
        </w:rPr>
        <w:t xml:space="preserve"> DJ, Dias JA, </w:t>
      </w:r>
      <w:proofErr w:type="spellStart"/>
      <w:r w:rsidRPr="006717E3">
        <w:rPr>
          <w:rFonts w:ascii="Book Antiqua" w:eastAsia="宋体" w:hAnsi="Book Antiqua" w:cs="宋体"/>
          <w:sz w:val="24"/>
          <w:szCs w:val="24"/>
        </w:rPr>
        <w:t>Vandenplas</w:t>
      </w:r>
      <w:proofErr w:type="spellEnd"/>
      <w:r w:rsidRPr="006717E3">
        <w:rPr>
          <w:rFonts w:ascii="Book Antiqua" w:eastAsia="宋体" w:hAnsi="Book Antiqua" w:cs="宋体"/>
          <w:sz w:val="24"/>
          <w:szCs w:val="24"/>
        </w:rPr>
        <w:t xml:space="preserve"> Y, </w:t>
      </w:r>
      <w:proofErr w:type="spellStart"/>
      <w:r w:rsidRPr="006717E3">
        <w:rPr>
          <w:rFonts w:ascii="Book Antiqua" w:eastAsia="宋体" w:hAnsi="Book Antiqua" w:cs="宋体"/>
          <w:sz w:val="24"/>
          <w:szCs w:val="24"/>
        </w:rPr>
        <w:t>Kostovski</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Miele</w:t>
      </w:r>
      <w:proofErr w:type="spellEnd"/>
      <w:r w:rsidRPr="006717E3">
        <w:rPr>
          <w:rFonts w:ascii="Book Antiqua" w:eastAsia="宋体" w:hAnsi="Book Antiqua" w:cs="宋体"/>
          <w:sz w:val="24"/>
          <w:szCs w:val="24"/>
        </w:rPr>
        <w:t xml:space="preserve"> E, </w:t>
      </w:r>
      <w:proofErr w:type="spellStart"/>
      <w:r w:rsidRPr="006717E3">
        <w:rPr>
          <w:rFonts w:ascii="Book Antiqua" w:eastAsia="宋体" w:hAnsi="Book Antiqua" w:cs="宋体"/>
          <w:sz w:val="24"/>
          <w:szCs w:val="24"/>
        </w:rPr>
        <w:t>Villani</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Staiano</w:t>
      </w:r>
      <w:proofErr w:type="spellEnd"/>
      <w:r w:rsidRPr="006717E3">
        <w:rPr>
          <w:rFonts w:ascii="Book Antiqua" w:eastAsia="宋体" w:hAnsi="Book Antiqua" w:cs="宋体"/>
          <w:sz w:val="24"/>
          <w:szCs w:val="24"/>
        </w:rPr>
        <w:t xml:space="preserve"> A. European </w:t>
      </w:r>
      <w:proofErr w:type="spellStart"/>
      <w:r w:rsidRPr="006717E3">
        <w:rPr>
          <w:rFonts w:ascii="Book Antiqua" w:eastAsia="宋体" w:hAnsi="Book Antiqua" w:cs="宋体"/>
          <w:sz w:val="24"/>
          <w:szCs w:val="24"/>
        </w:rPr>
        <w:t>pediatricians'</w:t>
      </w:r>
      <w:proofErr w:type="spellEnd"/>
      <w:r w:rsidRPr="006717E3">
        <w:rPr>
          <w:rFonts w:ascii="Book Antiqua" w:eastAsia="宋体" w:hAnsi="Book Antiqua" w:cs="宋体"/>
          <w:sz w:val="24"/>
          <w:szCs w:val="24"/>
        </w:rPr>
        <w:t xml:space="preserve"> approach to children with GER symptoms: survey of the implementation of 2009 NASPGHAN-ESPGHAN guidelines.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2014;</w:t>
      </w:r>
      <w:r w:rsidRPr="00443A23">
        <w:rPr>
          <w:rFonts w:ascii="Book Antiqua" w:eastAsia="宋体" w:hAnsi="Book Antiqua" w:cs="宋体"/>
          <w:sz w:val="24"/>
          <w:szCs w:val="24"/>
        </w:rPr>
        <w:t> </w:t>
      </w:r>
      <w:r w:rsidRPr="006717E3">
        <w:rPr>
          <w:rFonts w:ascii="Book Antiqua" w:eastAsia="宋体" w:hAnsi="Book Antiqua" w:cs="宋体"/>
          <w:b/>
          <w:bCs/>
          <w:sz w:val="24"/>
          <w:szCs w:val="24"/>
        </w:rPr>
        <w:t>58</w:t>
      </w:r>
      <w:r w:rsidRPr="006717E3">
        <w:rPr>
          <w:rFonts w:ascii="Book Antiqua" w:eastAsia="宋体" w:hAnsi="Book Antiqua" w:cs="宋体"/>
          <w:sz w:val="24"/>
          <w:szCs w:val="24"/>
        </w:rPr>
        <w:t>: 505-509 [PMID: 24663035 DOI: 0.1097/MPG.0b013e3182a69912</w:t>
      </w:r>
      <w:r w:rsidRPr="00443A23">
        <w:rPr>
          <w:rFonts w:ascii="Book Antiqua" w:eastAsia="宋体" w:hAnsi="Book Antiqua" w:cs="宋体"/>
          <w:sz w:val="24"/>
          <w:szCs w:val="24"/>
        </w:rPr>
        <w:t>]</w:t>
      </w:r>
    </w:p>
    <w:p w14:paraId="040AC576"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16</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Canani</w:t>
      </w:r>
      <w:proofErr w:type="spellEnd"/>
      <w:r w:rsidRPr="006717E3">
        <w:rPr>
          <w:rFonts w:ascii="Book Antiqua" w:eastAsia="宋体" w:hAnsi="Book Antiqua" w:cs="宋体"/>
          <w:b/>
          <w:bCs/>
          <w:sz w:val="24"/>
          <w:szCs w:val="24"/>
        </w:rPr>
        <w:t xml:space="preserve"> RB</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Terrin</w:t>
      </w:r>
      <w:proofErr w:type="spellEnd"/>
      <w:r w:rsidRPr="006717E3">
        <w:rPr>
          <w:rFonts w:ascii="Book Antiqua" w:eastAsia="宋体" w:hAnsi="Book Antiqua" w:cs="宋体"/>
          <w:sz w:val="24"/>
          <w:szCs w:val="24"/>
        </w:rPr>
        <w:t xml:space="preserve"> G. Gastric acidity inhibitors and the risk of intestinal infections.</w:t>
      </w:r>
      <w:proofErr w:type="gramEnd"/>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Curr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Opin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26</w:t>
      </w:r>
      <w:r w:rsidRPr="006717E3">
        <w:rPr>
          <w:rFonts w:ascii="Book Antiqua" w:eastAsia="宋体" w:hAnsi="Book Antiqua" w:cs="宋体"/>
          <w:sz w:val="24"/>
          <w:szCs w:val="24"/>
        </w:rPr>
        <w:t>: 31-35 [PMID: 19907324 DOI: 10.1097/MOG.0b013e328333d781]</w:t>
      </w:r>
    </w:p>
    <w:p w14:paraId="2C45E39C"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lastRenderedPageBreak/>
        <w:t>17</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Canani</w:t>
      </w:r>
      <w:proofErr w:type="spellEnd"/>
      <w:r w:rsidRPr="006717E3">
        <w:rPr>
          <w:rFonts w:ascii="Book Antiqua" w:eastAsia="宋体" w:hAnsi="Book Antiqua" w:cs="宋体"/>
          <w:b/>
          <w:bCs/>
          <w:sz w:val="24"/>
          <w:szCs w:val="24"/>
        </w:rPr>
        <w:t xml:space="preserve"> RB</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Cirillo</w:t>
      </w:r>
      <w:proofErr w:type="spellEnd"/>
      <w:r w:rsidRPr="006717E3">
        <w:rPr>
          <w:rFonts w:ascii="Book Antiqua" w:eastAsia="宋体" w:hAnsi="Book Antiqua" w:cs="宋体"/>
          <w:sz w:val="24"/>
          <w:szCs w:val="24"/>
        </w:rPr>
        <w:t xml:space="preserve"> P, </w:t>
      </w:r>
      <w:proofErr w:type="spellStart"/>
      <w:r w:rsidRPr="006717E3">
        <w:rPr>
          <w:rFonts w:ascii="Book Antiqua" w:eastAsia="宋体" w:hAnsi="Book Antiqua" w:cs="宋体"/>
          <w:sz w:val="24"/>
          <w:szCs w:val="24"/>
        </w:rPr>
        <w:t>Roggero</w:t>
      </w:r>
      <w:proofErr w:type="spellEnd"/>
      <w:r w:rsidRPr="006717E3">
        <w:rPr>
          <w:rFonts w:ascii="Book Antiqua" w:eastAsia="宋体" w:hAnsi="Book Antiqua" w:cs="宋体"/>
          <w:sz w:val="24"/>
          <w:szCs w:val="24"/>
        </w:rPr>
        <w:t xml:space="preserve"> P, Romano C, </w:t>
      </w:r>
      <w:proofErr w:type="spellStart"/>
      <w:r w:rsidRPr="006717E3">
        <w:rPr>
          <w:rFonts w:ascii="Book Antiqua" w:eastAsia="宋体" w:hAnsi="Book Antiqua" w:cs="宋体"/>
          <w:sz w:val="24"/>
          <w:szCs w:val="24"/>
        </w:rPr>
        <w:t>Malamisura</w:t>
      </w:r>
      <w:proofErr w:type="spellEnd"/>
      <w:r w:rsidRPr="006717E3">
        <w:rPr>
          <w:rFonts w:ascii="Book Antiqua" w:eastAsia="宋体" w:hAnsi="Book Antiqua" w:cs="宋体"/>
          <w:sz w:val="24"/>
          <w:szCs w:val="24"/>
        </w:rPr>
        <w:t xml:space="preserve"> B, </w:t>
      </w:r>
      <w:proofErr w:type="spellStart"/>
      <w:r w:rsidRPr="006717E3">
        <w:rPr>
          <w:rFonts w:ascii="Book Antiqua" w:eastAsia="宋体" w:hAnsi="Book Antiqua" w:cs="宋体"/>
          <w:sz w:val="24"/>
          <w:szCs w:val="24"/>
        </w:rPr>
        <w:t>Terrin</w:t>
      </w:r>
      <w:proofErr w:type="spellEnd"/>
      <w:r w:rsidRPr="006717E3">
        <w:rPr>
          <w:rFonts w:ascii="Book Antiqua" w:eastAsia="宋体" w:hAnsi="Book Antiqua" w:cs="宋体"/>
          <w:sz w:val="24"/>
          <w:szCs w:val="24"/>
        </w:rPr>
        <w:t xml:space="preserve"> G, </w:t>
      </w:r>
      <w:proofErr w:type="spellStart"/>
      <w:r w:rsidRPr="006717E3">
        <w:rPr>
          <w:rFonts w:ascii="Book Antiqua" w:eastAsia="宋体" w:hAnsi="Book Antiqua" w:cs="宋体"/>
          <w:sz w:val="24"/>
          <w:szCs w:val="24"/>
        </w:rPr>
        <w:t>Passariello</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Manguso</w:t>
      </w:r>
      <w:proofErr w:type="spellEnd"/>
      <w:r w:rsidRPr="006717E3">
        <w:rPr>
          <w:rFonts w:ascii="Book Antiqua" w:eastAsia="宋体" w:hAnsi="Book Antiqua" w:cs="宋体"/>
          <w:sz w:val="24"/>
          <w:szCs w:val="24"/>
        </w:rPr>
        <w:t xml:space="preserve"> F, </w:t>
      </w:r>
      <w:proofErr w:type="spellStart"/>
      <w:r w:rsidRPr="006717E3">
        <w:rPr>
          <w:rFonts w:ascii="Book Antiqua" w:eastAsia="宋体" w:hAnsi="Book Antiqua" w:cs="宋体"/>
          <w:sz w:val="24"/>
          <w:szCs w:val="24"/>
        </w:rPr>
        <w:t>Morelli</w:t>
      </w:r>
      <w:proofErr w:type="spellEnd"/>
      <w:r w:rsidRPr="006717E3">
        <w:rPr>
          <w:rFonts w:ascii="Book Antiqua" w:eastAsia="宋体" w:hAnsi="Book Antiqua" w:cs="宋体"/>
          <w:sz w:val="24"/>
          <w:szCs w:val="24"/>
        </w:rPr>
        <w:t xml:space="preserve"> L, </w:t>
      </w:r>
      <w:proofErr w:type="spellStart"/>
      <w:r w:rsidRPr="006717E3">
        <w:rPr>
          <w:rFonts w:ascii="Book Antiqua" w:eastAsia="宋体" w:hAnsi="Book Antiqua" w:cs="宋体"/>
          <w:sz w:val="24"/>
          <w:szCs w:val="24"/>
        </w:rPr>
        <w:t>Guarino</w:t>
      </w:r>
      <w:proofErr w:type="spellEnd"/>
      <w:r w:rsidRPr="006717E3">
        <w:rPr>
          <w:rFonts w:ascii="Book Antiqua" w:eastAsia="宋体" w:hAnsi="Book Antiqua" w:cs="宋体"/>
          <w:sz w:val="24"/>
          <w:szCs w:val="24"/>
        </w:rPr>
        <w:t xml:space="preserve"> A. Therapy with gastric acidity inhibitors increases the risk of acute gastroenteritis and community-acquired pneumonia in children.</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Pediatrics</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2006;</w:t>
      </w:r>
      <w:r w:rsidRPr="00443A23">
        <w:rPr>
          <w:rFonts w:ascii="Book Antiqua" w:eastAsia="宋体" w:hAnsi="Book Antiqua" w:cs="宋体"/>
          <w:sz w:val="24"/>
          <w:szCs w:val="24"/>
        </w:rPr>
        <w:t> </w:t>
      </w:r>
      <w:r w:rsidRPr="006717E3">
        <w:rPr>
          <w:rFonts w:ascii="Book Antiqua" w:eastAsia="宋体" w:hAnsi="Book Antiqua" w:cs="宋体"/>
          <w:b/>
          <w:bCs/>
          <w:sz w:val="24"/>
          <w:szCs w:val="24"/>
        </w:rPr>
        <w:t>117</w:t>
      </w:r>
      <w:r w:rsidRPr="006717E3">
        <w:rPr>
          <w:rFonts w:ascii="Book Antiqua" w:eastAsia="宋体" w:hAnsi="Book Antiqua" w:cs="宋体"/>
          <w:sz w:val="24"/>
          <w:szCs w:val="24"/>
        </w:rPr>
        <w:t>: e817-e820 [PMID: 16651285 DOI: 10.1542/peds.2005-1655]</w:t>
      </w:r>
    </w:p>
    <w:p w14:paraId="1039A3CD"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18</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Bavishi</w:t>
      </w:r>
      <w:proofErr w:type="spellEnd"/>
      <w:r w:rsidRPr="006717E3">
        <w:rPr>
          <w:rFonts w:ascii="Book Antiqua" w:eastAsia="宋体" w:hAnsi="Book Antiqua" w:cs="宋体"/>
          <w:b/>
          <w:bCs/>
          <w:sz w:val="24"/>
          <w:szCs w:val="24"/>
        </w:rPr>
        <w:t xml:space="preserve"> C</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Dupont</w:t>
      </w:r>
      <w:proofErr w:type="spellEnd"/>
      <w:r w:rsidRPr="006717E3">
        <w:rPr>
          <w:rFonts w:ascii="Book Antiqua" w:eastAsia="宋体" w:hAnsi="Book Antiqua" w:cs="宋体"/>
          <w:sz w:val="24"/>
          <w:szCs w:val="24"/>
        </w:rPr>
        <w:t xml:space="preserve"> HL. Systematic review: the use of proton pump inhibitors and increased susceptibility to enteric infection.</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Aliment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2011;</w:t>
      </w:r>
      <w:r w:rsidRPr="00443A23">
        <w:rPr>
          <w:rFonts w:ascii="Book Antiqua" w:eastAsia="宋体" w:hAnsi="Book Antiqua" w:cs="宋体"/>
          <w:sz w:val="24"/>
          <w:szCs w:val="24"/>
        </w:rPr>
        <w:t> </w:t>
      </w:r>
      <w:r w:rsidRPr="006717E3">
        <w:rPr>
          <w:rFonts w:ascii="Book Antiqua" w:eastAsia="宋体" w:hAnsi="Book Antiqua" w:cs="宋体"/>
          <w:b/>
          <w:bCs/>
          <w:sz w:val="24"/>
          <w:szCs w:val="24"/>
        </w:rPr>
        <w:t>34</w:t>
      </w:r>
      <w:r w:rsidRPr="006717E3">
        <w:rPr>
          <w:rFonts w:ascii="Book Antiqua" w:eastAsia="宋体" w:hAnsi="Book Antiqua" w:cs="宋体"/>
          <w:sz w:val="24"/>
          <w:szCs w:val="24"/>
        </w:rPr>
        <w:t>: 1269-1281 [PMID: 21999643 DOI: 10.1111/j.1365-2036.2011.04874.x]</w:t>
      </w:r>
    </w:p>
    <w:p w14:paraId="0E4DB7EF"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19</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Schöll</w:t>
      </w:r>
      <w:proofErr w:type="spellEnd"/>
      <w:r w:rsidRPr="006717E3">
        <w:rPr>
          <w:rFonts w:ascii="Book Antiqua" w:eastAsia="宋体" w:hAnsi="Book Antiqua" w:cs="宋体"/>
          <w:b/>
          <w:bCs/>
          <w:sz w:val="24"/>
          <w:szCs w:val="24"/>
        </w:rPr>
        <w:t xml:space="preserve"> I</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Untersmayr</w:t>
      </w:r>
      <w:proofErr w:type="spellEnd"/>
      <w:r w:rsidRPr="006717E3">
        <w:rPr>
          <w:rFonts w:ascii="Book Antiqua" w:eastAsia="宋体" w:hAnsi="Book Antiqua" w:cs="宋体"/>
          <w:sz w:val="24"/>
          <w:szCs w:val="24"/>
        </w:rPr>
        <w:t xml:space="preserve"> E, </w:t>
      </w:r>
      <w:proofErr w:type="spellStart"/>
      <w:r w:rsidRPr="006717E3">
        <w:rPr>
          <w:rFonts w:ascii="Book Antiqua" w:eastAsia="宋体" w:hAnsi="Book Antiqua" w:cs="宋体"/>
          <w:sz w:val="24"/>
          <w:szCs w:val="24"/>
        </w:rPr>
        <w:t>Bakos</w:t>
      </w:r>
      <w:proofErr w:type="spellEnd"/>
      <w:r w:rsidRPr="006717E3">
        <w:rPr>
          <w:rFonts w:ascii="Book Antiqua" w:eastAsia="宋体" w:hAnsi="Book Antiqua" w:cs="宋体"/>
          <w:sz w:val="24"/>
          <w:szCs w:val="24"/>
        </w:rPr>
        <w:t xml:space="preserve"> N, Roth-Walter F, </w:t>
      </w:r>
      <w:proofErr w:type="spellStart"/>
      <w:r w:rsidRPr="006717E3">
        <w:rPr>
          <w:rFonts w:ascii="Book Antiqua" w:eastAsia="宋体" w:hAnsi="Book Antiqua" w:cs="宋体"/>
          <w:sz w:val="24"/>
          <w:szCs w:val="24"/>
        </w:rPr>
        <w:t>Gleiss</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Boltz-Nitulescu</w:t>
      </w:r>
      <w:proofErr w:type="spellEnd"/>
      <w:r w:rsidRPr="006717E3">
        <w:rPr>
          <w:rFonts w:ascii="Book Antiqua" w:eastAsia="宋体" w:hAnsi="Book Antiqua" w:cs="宋体"/>
          <w:sz w:val="24"/>
          <w:szCs w:val="24"/>
        </w:rPr>
        <w:t xml:space="preserve"> G, </w:t>
      </w:r>
      <w:proofErr w:type="spellStart"/>
      <w:r w:rsidRPr="006717E3">
        <w:rPr>
          <w:rFonts w:ascii="Book Antiqua" w:eastAsia="宋体" w:hAnsi="Book Antiqua" w:cs="宋体"/>
          <w:sz w:val="24"/>
          <w:szCs w:val="24"/>
        </w:rPr>
        <w:t>Scheiner</w:t>
      </w:r>
      <w:proofErr w:type="spellEnd"/>
      <w:r w:rsidRPr="006717E3">
        <w:rPr>
          <w:rFonts w:ascii="Book Antiqua" w:eastAsia="宋体" w:hAnsi="Book Antiqua" w:cs="宋体"/>
          <w:sz w:val="24"/>
          <w:szCs w:val="24"/>
        </w:rPr>
        <w:t xml:space="preserve"> O, Jensen-</w:t>
      </w:r>
      <w:proofErr w:type="spellStart"/>
      <w:r w:rsidRPr="006717E3">
        <w:rPr>
          <w:rFonts w:ascii="Book Antiqua" w:eastAsia="宋体" w:hAnsi="Book Antiqua" w:cs="宋体"/>
          <w:sz w:val="24"/>
          <w:szCs w:val="24"/>
        </w:rPr>
        <w:t>Jarolim</w:t>
      </w:r>
      <w:proofErr w:type="spellEnd"/>
      <w:r w:rsidRPr="006717E3">
        <w:rPr>
          <w:rFonts w:ascii="Book Antiqua" w:eastAsia="宋体" w:hAnsi="Book Antiqua" w:cs="宋体"/>
          <w:sz w:val="24"/>
          <w:szCs w:val="24"/>
        </w:rPr>
        <w:t xml:space="preserve"> E. Antiulcer drugs promote oral sensitization and hypersensitivity to hazelnut allergens in BALB/c mice and humans.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Am J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2005;</w:t>
      </w:r>
      <w:r w:rsidRPr="00443A23">
        <w:rPr>
          <w:rFonts w:ascii="Book Antiqua" w:eastAsia="宋体" w:hAnsi="Book Antiqua" w:cs="宋体"/>
          <w:sz w:val="24"/>
          <w:szCs w:val="24"/>
        </w:rPr>
        <w:t> </w:t>
      </w:r>
      <w:r w:rsidRPr="006717E3">
        <w:rPr>
          <w:rFonts w:ascii="Book Antiqua" w:eastAsia="宋体" w:hAnsi="Book Antiqua" w:cs="宋体"/>
          <w:b/>
          <w:bCs/>
          <w:sz w:val="24"/>
          <w:szCs w:val="24"/>
        </w:rPr>
        <w:t>81</w:t>
      </w:r>
      <w:r w:rsidRPr="006717E3">
        <w:rPr>
          <w:rFonts w:ascii="Book Antiqua" w:eastAsia="宋体" w:hAnsi="Book Antiqua" w:cs="宋体"/>
          <w:sz w:val="24"/>
          <w:szCs w:val="24"/>
        </w:rPr>
        <w:t>: 154-160 [PMID: 15640475</w:t>
      </w:r>
      <w:proofErr w:type="gramStart"/>
      <w:r w:rsidRPr="006717E3">
        <w:rPr>
          <w:rFonts w:ascii="Book Antiqua" w:eastAsia="宋体" w:hAnsi="Book Antiqua" w:cs="宋体"/>
          <w:sz w:val="24"/>
          <w:szCs w:val="24"/>
        </w:rPr>
        <w:t>]</w:t>
      </w:r>
      <w:proofErr w:type="gramEnd"/>
    </w:p>
    <w:p w14:paraId="5695F1BD" w14:textId="77777777" w:rsidR="00443A23" w:rsidRPr="006717E3" w:rsidRDefault="00443A23" w:rsidP="0002686E">
      <w:pPr>
        <w:spacing w:after="0" w:line="360" w:lineRule="auto"/>
        <w:jc w:val="both"/>
        <w:rPr>
          <w:rFonts w:ascii="Book Antiqua" w:eastAsia="宋体" w:hAnsi="Book Antiqua" w:cs="宋体"/>
          <w:sz w:val="24"/>
          <w:szCs w:val="24"/>
        </w:rPr>
      </w:pPr>
      <w:r w:rsidRPr="00443A23">
        <w:rPr>
          <w:rFonts w:ascii="Book Antiqua" w:eastAsia="宋体" w:hAnsi="Book Antiqua" w:cs="宋体"/>
          <w:sz w:val="24"/>
          <w:szCs w:val="24"/>
        </w:rPr>
        <w:t xml:space="preserve">20 </w:t>
      </w:r>
      <w:proofErr w:type="spellStart"/>
      <w:r w:rsidRPr="006717E3">
        <w:rPr>
          <w:rFonts w:ascii="Book Antiqua" w:eastAsia="宋体" w:hAnsi="Book Antiqua" w:cs="宋体"/>
          <w:b/>
          <w:sz w:val="24"/>
          <w:szCs w:val="24"/>
        </w:rPr>
        <w:t>Omari</w:t>
      </w:r>
      <w:proofErr w:type="spellEnd"/>
      <w:r w:rsidRPr="006717E3">
        <w:rPr>
          <w:rFonts w:ascii="Book Antiqua" w:eastAsia="宋体" w:hAnsi="Book Antiqua" w:cs="宋体"/>
          <w:b/>
          <w:sz w:val="24"/>
          <w:szCs w:val="24"/>
        </w:rPr>
        <w:t xml:space="preserve"> T</w:t>
      </w:r>
      <w:r w:rsidRPr="006717E3">
        <w:rPr>
          <w:rFonts w:ascii="Book Antiqua" w:eastAsia="宋体" w:hAnsi="Book Antiqua" w:cs="宋体"/>
          <w:sz w:val="24"/>
          <w:szCs w:val="24"/>
        </w:rPr>
        <w:t xml:space="preserve">, Davidson G, </w:t>
      </w:r>
      <w:proofErr w:type="spellStart"/>
      <w:r w:rsidRPr="006717E3">
        <w:rPr>
          <w:rFonts w:ascii="Book Antiqua" w:eastAsia="宋体" w:hAnsi="Book Antiqua" w:cs="宋体"/>
          <w:sz w:val="24"/>
          <w:szCs w:val="24"/>
        </w:rPr>
        <w:t>Bondarov</w:t>
      </w:r>
      <w:proofErr w:type="spellEnd"/>
      <w:r w:rsidRPr="006717E3">
        <w:rPr>
          <w:rFonts w:ascii="Book Antiqua" w:eastAsia="宋体" w:hAnsi="Book Antiqua" w:cs="宋体"/>
          <w:sz w:val="24"/>
          <w:szCs w:val="24"/>
        </w:rPr>
        <w:t xml:space="preserve"> P, </w:t>
      </w:r>
      <w:proofErr w:type="spellStart"/>
      <w:r w:rsidRPr="006717E3">
        <w:rPr>
          <w:rFonts w:ascii="Book Antiqua" w:eastAsia="宋体" w:hAnsi="Book Antiqua" w:cs="宋体"/>
          <w:sz w:val="24"/>
          <w:szCs w:val="24"/>
        </w:rPr>
        <w:t>Naucler</w:t>
      </w:r>
      <w:proofErr w:type="spellEnd"/>
      <w:r w:rsidRPr="006717E3">
        <w:rPr>
          <w:rFonts w:ascii="Book Antiqua" w:eastAsia="宋体" w:hAnsi="Book Antiqua" w:cs="宋体"/>
          <w:sz w:val="24"/>
          <w:szCs w:val="24"/>
        </w:rPr>
        <w:t xml:space="preserve"> E, Nilsson C, </w:t>
      </w:r>
      <w:proofErr w:type="spellStart"/>
      <w:r w:rsidRPr="006717E3">
        <w:rPr>
          <w:rFonts w:ascii="Book Antiqua" w:eastAsia="宋体" w:hAnsi="Book Antiqua" w:cs="宋体"/>
          <w:sz w:val="24"/>
          <w:szCs w:val="24"/>
        </w:rPr>
        <w:t>Lundborg</w:t>
      </w:r>
      <w:proofErr w:type="spellEnd"/>
      <w:r w:rsidRPr="006717E3">
        <w:rPr>
          <w:rFonts w:ascii="Book Antiqua" w:eastAsia="宋体" w:hAnsi="Book Antiqua" w:cs="宋体"/>
          <w:sz w:val="24"/>
          <w:szCs w:val="24"/>
        </w:rPr>
        <w:t xml:space="preserve"> P. Pharmacokinetics and Acid-suppressive Effects of Esomeprazole in Infants 1-24 Months Old With Symptoms of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Disease.</w:t>
      </w:r>
      <w:r w:rsidRPr="006717E3">
        <w:rPr>
          <w:rFonts w:ascii="Book Antiqua" w:eastAsia="宋体" w:hAnsi="Book Antiqua" w:cs="宋体"/>
          <w:i/>
          <w:sz w:val="24"/>
          <w:szCs w:val="24"/>
        </w:rPr>
        <w:t xml:space="preserve"> J </w:t>
      </w:r>
      <w:proofErr w:type="spellStart"/>
      <w:r w:rsidRPr="006717E3">
        <w:rPr>
          <w:rFonts w:ascii="Book Antiqua" w:eastAsia="宋体" w:hAnsi="Book Antiqua" w:cs="宋体"/>
          <w:i/>
          <w:sz w:val="24"/>
          <w:szCs w:val="24"/>
        </w:rPr>
        <w:t>Pediatric</w:t>
      </w:r>
      <w:proofErr w:type="spellEnd"/>
      <w:r w:rsidRPr="006717E3">
        <w:rPr>
          <w:rFonts w:ascii="Book Antiqua" w:eastAsia="宋体" w:hAnsi="Book Antiqua" w:cs="宋体"/>
          <w:i/>
          <w:sz w:val="24"/>
          <w:szCs w:val="24"/>
        </w:rPr>
        <w:t xml:space="preserve"> </w:t>
      </w:r>
      <w:proofErr w:type="spellStart"/>
      <w:r w:rsidRPr="006717E3">
        <w:rPr>
          <w:rFonts w:ascii="Book Antiqua" w:eastAsia="宋体" w:hAnsi="Book Antiqua" w:cs="宋体"/>
          <w:i/>
          <w:sz w:val="24"/>
          <w:szCs w:val="24"/>
        </w:rPr>
        <w:t>Gastroenterol</w:t>
      </w:r>
      <w:proofErr w:type="spellEnd"/>
      <w:r w:rsidRPr="006717E3">
        <w:rPr>
          <w:rFonts w:ascii="Book Antiqua" w:eastAsia="宋体" w:hAnsi="Book Antiqua" w:cs="宋体"/>
          <w:i/>
          <w:sz w:val="24"/>
          <w:szCs w:val="24"/>
        </w:rPr>
        <w:t xml:space="preserve"> </w:t>
      </w:r>
      <w:proofErr w:type="spellStart"/>
      <w:r w:rsidRPr="006717E3">
        <w:rPr>
          <w:rFonts w:ascii="Book Antiqua" w:eastAsia="宋体" w:hAnsi="Book Antiqua" w:cs="宋体"/>
          <w:i/>
          <w:sz w:val="24"/>
          <w:szCs w:val="24"/>
        </w:rPr>
        <w:t>Nutr</w:t>
      </w:r>
      <w:proofErr w:type="spellEnd"/>
      <w:r w:rsidRPr="006717E3">
        <w:rPr>
          <w:rFonts w:ascii="Book Antiqua" w:eastAsia="宋体" w:hAnsi="Book Antiqua" w:cs="宋体"/>
          <w:sz w:val="24"/>
          <w:szCs w:val="24"/>
        </w:rPr>
        <w:t xml:space="preserve"> 2015; </w:t>
      </w:r>
      <w:r w:rsidRPr="006717E3">
        <w:rPr>
          <w:rFonts w:ascii="Book Antiqua" w:eastAsia="宋体" w:hAnsi="Book Antiqua" w:cs="宋体"/>
          <w:b/>
          <w:sz w:val="24"/>
          <w:szCs w:val="24"/>
        </w:rPr>
        <w:t>60</w:t>
      </w:r>
      <w:r w:rsidRPr="00443A23">
        <w:rPr>
          <w:rFonts w:ascii="Book Antiqua" w:eastAsia="宋体" w:hAnsi="Book Antiqua" w:cs="宋体"/>
          <w:sz w:val="24"/>
          <w:szCs w:val="24"/>
        </w:rPr>
        <w:t>: S2-8</w:t>
      </w:r>
      <w:r w:rsidRPr="006717E3">
        <w:rPr>
          <w:rFonts w:ascii="Book Antiqua" w:eastAsia="宋体" w:hAnsi="Book Antiqua" w:cs="宋体"/>
          <w:sz w:val="24"/>
          <w:szCs w:val="24"/>
        </w:rPr>
        <w:t xml:space="preserve"> </w:t>
      </w:r>
      <w:r w:rsidRPr="00443A23">
        <w:rPr>
          <w:rFonts w:ascii="Book Antiqua" w:eastAsia="宋体" w:hAnsi="Book Antiqua" w:cs="宋体"/>
          <w:sz w:val="24"/>
          <w:szCs w:val="24"/>
        </w:rPr>
        <w:t>[</w:t>
      </w:r>
      <w:r w:rsidRPr="006717E3">
        <w:rPr>
          <w:rFonts w:ascii="Book Antiqua" w:eastAsia="宋体" w:hAnsi="Book Antiqua" w:cs="宋体"/>
          <w:sz w:val="24"/>
          <w:szCs w:val="24"/>
        </w:rPr>
        <w:t>DOI: 10.1097/01.mpg.0000469415.50085.f7</w:t>
      </w:r>
      <w:r w:rsidRPr="00443A23">
        <w:rPr>
          <w:rFonts w:ascii="Book Antiqua" w:eastAsia="宋体" w:hAnsi="Book Antiqua" w:cs="宋体"/>
          <w:sz w:val="24"/>
          <w:szCs w:val="24"/>
        </w:rPr>
        <w:t>]</w:t>
      </w:r>
    </w:p>
    <w:p w14:paraId="5167B60D" w14:textId="77777777" w:rsidR="00443A23" w:rsidRPr="006717E3" w:rsidRDefault="00443A23" w:rsidP="0002686E">
      <w:pPr>
        <w:spacing w:after="0" w:line="360" w:lineRule="auto"/>
        <w:jc w:val="both"/>
        <w:rPr>
          <w:rFonts w:ascii="Book Antiqua" w:eastAsia="宋体" w:hAnsi="Book Antiqua" w:cs="宋体"/>
          <w:sz w:val="24"/>
          <w:szCs w:val="24"/>
        </w:rPr>
      </w:pPr>
      <w:r w:rsidRPr="00443A23">
        <w:rPr>
          <w:rFonts w:ascii="Book Antiqua" w:eastAsia="宋体" w:hAnsi="Book Antiqua" w:cs="宋体"/>
          <w:sz w:val="24"/>
          <w:szCs w:val="24"/>
        </w:rPr>
        <w:t xml:space="preserve">21 </w:t>
      </w:r>
      <w:proofErr w:type="spellStart"/>
      <w:r w:rsidRPr="006717E3">
        <w:rPr>
          <w:rFonts w:ascii="Book Antiqua" w:eastAsia="宋体" w:hAnsi="Book Antiqua" w:cs="宋体"/>
          <w:b/>
          <w:sz w:val="24"/>
          <w:szCs w:val="24"/>
        </w:rPr>
        <w:t>Tolia</w:t>
      </w:r>
      <w:proofErr w:type="spellEnd"/>
      <w:r w:rsidRPr="006717E3">
        <w:rPr>
          <w:rFonts w:ascii="Book Antiqua" w:eastAsia="宋体" w:hAnsi="Book Antiqua" w:cs="宋体"/>
          <w:b/>
          <w:sz w:val="24"/>
          <w:szCs w:val="24"/>
        </w:rPr>
        <w:t xml:space="preserve"> V, </w:t>
      </w:r>
      <w:r w:rsidRPr="006717E3">
        <w:rPr>
          <w:rFonts w:ascii="Book Antiqua" w:eastAsia="宋体" w:hAnsi="Book Antiqua" w:cs="宋体"/>
          <w:sz w:val="24"/>
          <w:szCs w:val="24"/>
        </w:rPr>
        <w:t xml:space="preserve">Youssef NN, </w:t>
      </w:r>
      <w:proofErr w:type="spellStart"/>
      <w:r w:rsidRPr="006717E3">
        <w:rPr>
          <w:rFonts w:ascii="Book Antiqua" w:eastAsia="宋体" w:hAnsi="Book Antiqua" w:cs="宋体"/>
          <w:sz w:val="24"/>
          <w:szCs w:val="24"/>
        </w:rPr>
        <w:t>Gilger</w:t>
      </w:r>
      <w:proofErr w:type="spellEnd"/>
      <w:r w:rsidRPr="006717E3">
        <w:rPr>
          <w:rFonts w:ascii="Book Antiqua" w:eastAsia="宋体" w:hAnsi="Book Antiqua" w:cs="宋体"/>
          <w:sz w:val="24"/>
          <w:szCs w:val="24"/>
        </w:rPr>
        <w:t xml:space="preserve"> MA, </w:t>
      </w:r>
      <w:proofErr w:type="spellStart"/>
      <w:r w:rsidRPr="006717E3">
        <w:rPr>
          <w:rFonts w:ascii="Book Antiqua" w:eastAsia="宋体" w:hAnsi="Book Antiqua" w:cs="宋体"/>
          <w:sz w:val="24"/>
          <w:szCs w:val="24"/>
        </w:rPr>
        <w:t>Traxler</w:t>
      </w:r>
      <w:proofErr w:type="spellEnd"/>
      <w:r w:rsidRPr="006717E3">
        <w:rPr>
          <w:rFonts w:ascii="Book Antiqua" w:eastAsia="宋体" w:hAnsi="Book Antiqua" w:cs="宋体"/>
          <w:sz w:val="24"/>
          <w:szCs w:val="24"/>
        </w:rPr>
        <w:t xml:space="preserve"> B, </w:t>
      </w:r>
      <w:proofErr w:type="spellStart"/>
      <w:r w:rsidRPr="006717E3">
        <w:rPr>
          <w:rFonts w:ascii="Book Antiqua" w:eastAsia="宋体" w:hAnsi="Book Antiqua" w:cs="宋体"/>
          <w:sz w:val="24"/>
          <w:szCs w:val="24"/>
        </w:rPr>
        <w:t>Illueca</w:t>
      </w:r>
      <w:proofErr w:type="spellEnd"/>
      <w:r w:rsidRPr="006717E3">
        <w:rPr>
          <w:rFonts w:ascii="Book Antiqua" w:eastAsia="宋体" w:hAnsi="Book Antiqua" w:cs="宋体"/>
          <w:sz w:val="24"/>
          <w:szCs w:val="24"/>
        </w:rPr>
        <w:t xml:space="preserve"> M. Esomeprazole for the Treatment of Erosive Esophagitis in Children: An International, </w:t>
      </w:r>
      <w:proofErr w:type="spellStart"/>
      <w:r w:rsidRPr="006717E3">
        <w:rPr>
          <w:rFonts w:ascii="Book Antiqua" w:eastAsia="宋体" w:hAnsi="Book Antiqua" w:cs="宋体"/>
          <w:sz w:val="24"/>
          <w:szCs w:val="24"/>
        </w:rPr>
        <w:t>Multicenter</w:t>
      </w:r>
      <w:proofErr w:type="spellEnd"/>
      <w:r w:rsidRPr="006717E3">
        <w:rPr>
          <w:rFonts w:ascii="Book Antiqua" w:eastAsia="宋体" w:hAnsi="Book Antiqua" w:cs="宋体"/>
          <w:sz w:val="24"/>
          <w:szCs w:val="24"/>
        </w:rPr>
        <w:t xml:space="preserve">, Randomized, Parallel-Group, Double-Blind (for Dose) Study. </w:t>
      </w:r>
      <w:r w:rsidRPr="006717E3">
        <w:rPr>
          <w:rFonts w:ascii="Book Antiqua" w:eastAsia="宋体" w:hAnsi="Book Antiqua" w:cs="宋体"/>
          <w:i/>
          <w:sz w:val="24"/>
          <w:szCs w:val="24"/>
        </w:rPr>
        <w:t xml:space="preserve">J </w:t>
      </w:r>
      <w:proofErr w:type="spellStart"/>
      <w:r w:rsidRPr="006717E3">
        <w:rPr>
          <w:rFonts w:ascii="Book Antiqua" w:eastAsia="宋体" w:hAnsi="Book Antiqua" w:cs="宋体"/>
          <w:i/>
          <w:sz w:val="24"/>
          <w:szCs w:val="24"/>
        </w:rPr>
        <w:t>Pediatric</w:t>
      </w:r>
      <w:proofErr w:type="spellEnd"/>
      <w:r w:rsidRPr="006717E3">
        <w:rPr>
          <w:rFonts w:ascii="Book Antiqua" w:eastAsia="宋体" w:hAnsi="Book Antiqua" w:cs="宋体"/>
          <w:i/>
          <w:sz w:val="24"/>
          <w:szCs w:val="24"/>
        </w:rPr>
        <w:t xml:space="preserve"> </w:t>
      </w:r>
      <w:proofErr w:type="spellStart"/>
      <w:r w:rsidRPr="006717E3">
        <w:rPr>
          <w:rFonts w:ascii="Book Antiqua" w:eastAsia="宋体" w:hAnsi="Book Antiqua" w:cs="宋体"/>
          <w:i/>
          <w:sz w:val="24"/>
          <w:szCs w:val="24"/>
        </w:rPr>
        <w:t>Gastroenterol</w:t>
      </w:r>
      <w:proofErr w:type="spellEnd"/>
      <w:r w:rsidRPr="006717E3">
        <w:rPr>
          <w:rFonts w:ascii="Book Antiqua" w:eastAsia="宋体" w:hAnsi="Book Antiqua" w:cs="宋体"/>
          <w:i/>
          <w:sz w:val="24"/>
          <w:szCs w:val="24"/>
        </w:rPr>
        <w:t xml:space="preserve"> </w:t>
      </w:r>
      <w:proofErr w:type="spellStart"/>
      <w:r w:rsidRPr="006717E3">
        <w:rPr>
          <w:rFonts w:ascii="Book Antiqua" w:eastAsia="宋体" w:hAnsi="Book Antiqua" w:cs="宋体"/>
          <w:i/>
          <w:sz w:val="24"/>
          <w:szCs w:val="24"/>
        </w:rPr>
        <w:t>Nutr</w:t>
      </w:r>
      <w:proofErr w:type="spellEnd"/>
      <w:r w:rsidRPr="00443A23">
        <w:rPr>
          <w:rFonts w:ascii="Book Antiqua" w:eastAsia="宋体" w:hAnsi="Book Antiqua" w:cs="宋体"/>
          <w:sz w:val="24"/>
          <w:szCs w:val="24"/>
        </w:rPr>
        <w:t xml:space="preserve"> </w:t>
      </w:r>
      <w:r w:rsidRPr="006717E3">
        <w:rPr>
          <w:rFonts w:ascii="Book Antiqua" w:eastAsia="宋体" w:hAnsi="Book Antiqua" w:cs="宋体"/>
          <w:sz w:val="24"/>
          <w:szCs w:val="24"/>
        </w:rPr>
        <w:t xml:space="preserve">2015; </w:t>
      </w:r>
      <w:r w:rsidRPr="006717E3">
        <w:rPr>
          <w:rFonts w:ascii="Book Antiqua" w:eastAsia="宋体" w:hAnsi="Book Antiqua" w:cs="宋体"/>
          <w:b/>
          <w:sz w:val="24"/>
          <w:szCs w:val="24"/>
        </w:rPr>
        <w:t>60</w:t>
      </w:r>
      <w:r w:rsidRPr="006717E3">
        <w:rPr>
          <w:rFonts w:ascii="Book Antiqua" w:eastAsia="宋体" w:hAnsi="Book Antiqua" w:cs="宋体"/>
          <w:sz w:val="24"/>
          <w:szCs w:val="24"/>
        </w:rPr>
        <w:t xml:space="preserve">: S24-30 </w:t>
      </w:r>
      <w:r w:rsidRPr="00443A23">
        <w:rPr>
          <w:rFonts w:ascii="Book Antiqua" w:eastAsia="宋体" w:hAnsi="Book Antiqua" w:cs="宋体"/>
          <w:sz w:val="24"/>
          <w:szCs w:val="24"/>
        </w:rPr>
        <w:t>[</w:t>
      </w:r>
      <w:r w:rsidRPr="006717E3">
        <w:rPr>
          <w:rFonts w:ascii="Book Antiqua" w:eastAsia="宋体" w:hAnsi="Book Antiqua" w:cs="宋体"/>
          <w:sz w:val="24"/>
          <w:szCs w:val="24"/>
        </w:rPr>
        <w:t>DOI: 10.1097/01.mpg.0000469419.29000.94</w:t>
      </w:r>
      <w:r w:rsidRPr="00443A23">
        <w:rPr>
          <w:rFonts w:ascii="Book Antiqua" w:eastAsia="宋体" w:hAnsi="Book Antiqua" w:cs="宋体"/>
          <w:sz w:val="24"/>
          <w:szCs w:val="24"/>
        </w:rPr>
        <w:t>]</w:t>
      </w:r>
    </w:p>
    <w:p w14:paraId="12BFFB20"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22</w:t>
      </w:r>
      <w:r w:rsidRPr="00443A23">
        <w:rPr>
          <w:rFonts w:ascii="Book Antiqua" w:eastAsia="宋体" w:hAnsi="Book Antiqua" w:cs="宋体"/>
          <w:sz w:val="24"/>
          <w:szCs w:val="24"/>
        </w:rPr>
        <w:t> </w:t>
      </w:r>
      <w:r w:rsidRPr="006717E3">
        <w:rPr>
          <w:rFonts w:ascii="Book Antiqua" w:eastAsia="宋体" w:hAnsi="Book Antiqua" w:cs="宋体"/>
          <w:b/>
          <w:bCs/>
          <w:sz w:val="24"/>
          <w:szCs w:val="24"/>
        </w:rPr>
        <w:t>Yang YX</w:t>
      </w:r>
      <w:r w:rsidRPr="006717E3">
        <w:rPr>
          <w:rFonts w:ascii="Book Antiqua" w:eastAsia="宋体" w:hAnsi="Book Antiqua" w:cs="宋体"/>
          <w:sz w:val="24"/>
          <w:szCs w:val="24"/>
        </w:rPr>
        <w:t>, Metz DC.</w:t>
      </w:r>
      <w:proofErr w:type="gramEnd"/>
      <w:r w:rsidRPr="006717E3">
        <w:rPr>
          <w:rFonts w:ascii="Book Antiqua" w:eastAsia="宋体" w:hAnsi="Book Antiqua" w:cs="宋体"/>
          <w:sz w:val="24"/>
          <w:szCs w:val="24"/>
        </w:rPr>
        <w:t xml:space="preserve"> </w:t>
      </w:r>
      <w:proofErr w:type="gramStart"/>
      <w:r w:rsidRPr="006717E3">
        <w:rPr>
          <w:rFonts w:ascii="Book Antiqua" w:eastAsia="宋体" w:hAnsi="Book Antiqua" w:cs="宋体"/>
          <w:sz w:val="24"/>
          <w:szCs w:val="24"/>
        </w:rPr>
        <w:t>Safety of proton pump</w:t>
      </w:r>
      <w:proofErr w:type="gramEnd"/>
      <w:r w:rsidRPr="006717E3">
        <w:rPr>
          <w:rFonts w:ascii="Book Antiqua" w:eastAsia="宋体" w:hAnsi="Book Antiqua" w:cs="宋体"/>
          <w:sz w:val="24"/>
          <w:szCs w:val="24"/>
        </w:rPr>
        <w:t xml:space="preserve"> inhibitor exposure.</w:t>
      </w:r>
      <w:r w:rsidRPr="00443A23">
        <w:rPr>
          <w:rFonts w:ascii="Book Antiqua" w:eastAsia="宋体" w:hAnsi="Book Antiqua" w:cs="宋体"/>
          <w:sz w:val="24"/>
          <w:szCs w:val="24"/>
        </w:rPr>
        <w:t> </w:t>
      </w:r>
      <w:r w:rsidRPr="006717E3">
        <w:rPr>
          <w:rFonts w:ascii="Book Antiqua" w:eastAsia="宋体" w:hAnsi="Book Antiqua" w:cs="宋体"/>
          <w:i/>
          <w:iCs/>
          <w:sz w:val="24"/>
          <w:szCs w:val="24"/>
        </w:rPr>
        <w:t>Gastroenterology</w:t>
      </w:r>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139</w:t>
      </w:r>
      <w:r w:rsidRPr="006717E3">
        <w:rPr>
          <w:rFonts w:ascii="Book Antiqua" w:eastAsia="宋体" w:hAnsi="Book Antiqua" w:cs="宋体"/>
          <w:sz w:val="24"/>
          <w:szCs w:val="24"/>
        </w:rPr>
        <w:t>: 1115-1127 [PMID: 20727892 DOI: 10.1053/j.gastro.2010.08.023</w:t>
      </w:r>
      <w:r w:rsidRPr="00443A23">
        <w:rPr>
          <w:rFonts w:ascii="Book Antiqua" w:eastAsia="宋体" w:hAnsi="Book Antiqua" w:cs="宋体"/>
          <w:sz w:val="24"/>
          <w:szCs w:val="24"/>
        </w:rPr>
        <w:t>]</w:t>
      </w:r>
    </w:p>
    <w:p w14:paraId="6A11AB67"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23</w:t>
      </w:r>
      <w:r w:rsidRPr="00443A23">
        <w:rPr>
          <w:rFonts w:ascii="Book Antiqua" w:eastAsia="宋体" w:hAnsi="Book Antiqua" w:cs="宋体"/>
          <w:sz w:val="24"/>
          <w:szCs w:val="24"/>
        </w:rPr>
        <w:t> </w:t>
      </w:r>
      <w:r w:rsidRPr="006717E3">
        <w:rPr>
          <w:rFonts w:ascii="Book Antiqua" w:eastAsia="宋体" w:hAnsi="Book Antiqua" w:cs="宋体"/>
          <w:b/>
          <w:bCs/>
          <w:sz w:val="24"/>
          <w:szCs w:val="24"/>
        </w:rPr>
        <w:t>Chen IL</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Gao</w:t>
      </w:r>
      <w:proofErr w:type="spellEnd"/>
      <w:r w:rsidRPr="006717E3">
        <w:rPr>
          <w:rFonts w:ascii="Book Antiqua" w:eastAsia="宋体" w:hAnsi="Book Antiqua" w:cs="宋体"/>
          <w:sz w:val="24"/>
          <w:szCs w:val="24"/>
        </w:rPr>
        <w:t xml:space="preserve"> WY, Johnson AP, </w:t>
      </w:r>
      <w:proofErr w:type="spellStart"/>
      <w:r w:rsidRPr="006717E3">
        <w:rPr>
          <w:rFonts w:ascii="Book Antiqua" w:eastAsia="宋体" w:hAnsi="Book Antiqua" w:cs="宋体"/>
          <w:sz w:val="24"/>
          <w:szCs w:val="24"/>
        </w:rPr>
        <w:t>Niak</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Troiani</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Korvick</w:t>
      </w:r>
      <w:proofErr w:type="spellEnd"/>
      <w:r w:rsidRPr="006717E3">
        <w:rPr>
          <w:rFonts w:ascii="Book Antiqua" w:eastAsia="宋体" w:hAnsi="Book Antiqua" w:cs="宋体"/>
          <w:sz w:val="24"/>
          <w:szCs w:val="24"/>
        </w:rPr>
        <w:t xml:space="preserve"> J, Snow N, Estes K, Taylor A, </w:t>
      </w:r>
      <w:proofErr w:type="spellStart"/>
      <w:r w:rsidRPr="006717E3">
        <w:rPr>
          <w:rFonts w:ascii="Book Antiqua" w:eastAsia="宋体" w:hAnsi="Book Antiqua" w:cs="宋体"/>
          <w:sz w:val="24"/>
          <w:szCs w:val="24"/>
        </w:rPr>
        <w:t>Griebel</w:t>
      </w:r>
      <w:proofErr w:type="spellEnd"/>
      <w:r w:rsidRPr="006717E3">
        <w:rPr>
          <w:rFonts w:ascii="Book Antiqua" w:eastAsia="宋体" w:hAnsi="Book Antiqua" w:cs="宋体"/>
          <w:sz w:val="24"/>
          <w:szCs w:val="24"/>
        </w:rPr>
        <w:t xml:space="preserve"> D. Proton pump inhibitor use in infants: FDA reviewer experience.</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54</w:t>
      </w:r>
      <w:r w:rsidRPr="006717E3">
        <w:rPr>
          <w:rFonts w:ascii="Book Antiqua" w:eastAsia="宋体" w:hAnsi="Book Antiqua" w:cs="宋体"/>
          <w:sz w:val="24"/>
          <w:szCs w:val="24"/>
        </w:rPr>
        <w:t>: 8-14 [PMID: 21946832 DOI: 10.1097/MPG.0b013e31823890b4]</w:t>
      </w:r>
    </w:p>
    <w:p w14:paraId="42E971C6"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24</w:t>
      </w:r>
      <w:r w:rsidRPr="00443A23">
        <w:rPr>
          <w:rFonts w:ascii="Book Antiqua" w:eastAsia="宋体" w:hAnsi="Book Antiqua" w:cs="宋体"/>
          <w:sz w:val="24"/>
          <w:szCs w:val="24"/>
        </w:rPr>
        <w:t> </w:t>
      </w:r>
      <w:r w:rsidRPr="006717E3">
        <w:rPr>
          <w:rFonts w:ascii="Book Antiqua" w:eastAsia="宋体" w:hAnsi="Book Antiqua" w:cs="宋体"/>
          <w:b/>
          <w:bCs/>
          <w:sz w:val="24"/>
          <w:szCs w:val="24"/>
        </w:rPr>
        <w:t>Moore DJ</w:t>
      </w:r>
      <w:r w:rsidRPr="006717E3">
        <w:rPr>
          <w:rFonts w:ascii="Book Antiqua" w:eastAsia="宋体" w:hAnsi="Book Antiqua" w:cs="宋体"/>
          <w:sz w:val="24"/>
          <w:szCs w:val="24"/>
        </w:rPr>
        <w:t xml:space="preserve">, Tao BS, Lines DR, </w:t>
      </w:r>
      <w:proofErr w:type="spellStart"/>
      <w:r w:rsidRPr="006717E3">
        <w:rPr>
          <w:rFonts w:ascii="Book Antiqua" w:eastAsia="宋体" w:hAnsi="Book Antiqua" w:cs="宋体"/>
          <w:sz w:val="24"/>
          <w:szCs w:val="24"/>
        </w:rPr>
        <w:t>Hirte</w:t>
      </w:r>
      <w:proofErr w:type="spellEnd"/>
      <w:r w:rsidRPr="006717E3">
        <w:rPr>
          <w:rFonts w:ascii="Book Antiqua" w:eastAsia="宋体" w:hAnsi="Book Antiqua" w:cs="宋体"/>
          <w:sz w:val="24"/>
          <w:szCs w:val="24"/>
        </w:rPr>
        <w:t xml:space="preserve"> C, Heddle ML, Davidson GP.</w:t>
      </w:r>
      <w:proofErr w:type="gramEnd"/>
      <w:r w:rsidRPr="006717E3">
        <w:rPr>
          <w:rFonts w:ascii="Book Antiqua" w:eastAsia="宋体" w:hAnsi="Book Antiqua" w:cs="宋体"/>
          <w:sz w:val="24"/>
          <w:szCs w:val="24"/>
        </w:rPr>
        <w:t xml:space="preserve"> Double-blind placebo-controlled trial of omeprazole in irritable infants with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2003;</w:t>
      </w:r>
      <w:r w:rsidRPr="00443A23">
        <w:rPr>
          <w:rFonts w:ascii="Book Antiqua" w:eastAsia="宋体" w:hAnsi="Book Antiqua" w:cs="宋体"/>
          <w:sz w:val="24"/>
          <w:szCs w:val="24"/>
        </w:rPr>
        <w:t> </w:t>
      </w:r>
      <w:r w:rsidRPr="006717E3">
        <w:rPr>
          <w:rFonts w:ascii="Book Antiqua" w:eastAsia="宋体" w:hAnsi="Book Antiqua" w:cs="宋体"/>
          <w:b/>
          <w:bCs/>
          <w:sz w:val="24"/>
          <w:szCs w:val="24"/>
        </w:rPr>
        <w:t>143</w:t>
      </w:r>
      <w:r w:rsidRPr="006717E3">
        <w:rPr>
          <w:rFonts w:ascii="Book Antiqua" w:eastAsia="宋体" w:hAnsi="Book Antiqua" w:cs="宋体"/>
          <w:sz w:val="24"/>
          <w:szCs w:val="24"/>
        </w:rPr>
        <w:t>: 219-223 [PMID: 12970637 DOI: 10.1067/S0022-</w:t>
      </w:r>
      <w:proofErr w:type="gramStart"/>
      <w:r w:rsidRPr="006717E3">
        <w:rPr>
          <w:rFonts w:ascii="Book Antiqua" w:eastAsia="宋体" w:hAnsi="Book Antiqua" w:cs="宋体"/>
          <w:sz w:val="24"/>
          <w:szCs w:val="24"/>
        </w:rPr>
        <w:t>3476(</w:t>
      </w:r>
      <w:proofErr w:type="gramEnd"/>
      <w:r w:rsidRPr="006717E3">
        <w:rPr>
          <w:rFonts w:ascii="Book Antiqua" w:eastAsia="宋体" w:hAnsi="Book Antiqua" w:cs="宋体"/>
          <w:sz w:val="24"/>
          <w:szCs w:val="24"/>
        </w:rPr>
        <w:t>03)00207-5]</w:t>
      </w:r>
    </w:p>
    <w:p w14:paraId="10BE8D3A"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lastRenderedPageBreak/>
        <w:t>25</w:t>
      </w:r>
      <w:r w:rsidRPr="00443A23">
        <w:rPr>
          <w:rFonts w:ascii="Book Antiqua" w:eastAsia="宋体" w:hAnsi="Book Antiqua" w:cs="宋体"/>
          <w:sz w:val="24"/>
          <w:szCs w:val="24"/>
        </w:rPr>
        <w:t> </w:t>
      </w:r>
      <w:r w:rsidRPr="006717E3">
        <w:rPr>
          <w:rFonts w:ascii="Book Antiqua" w:eastAsia="宋体" w:hAnsi="Book Antiqua" w:cs="宋体"/>
          <w:b/>
          <w:bCs/>
          <w:sz w:val="24"/>
          <w:szCs w:val="24"/>
        </w:rPr>
        <w:t>Winter H</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Gunasekaran</w:t>
      </w:r>
      <w:proofErr w:type="spellEnd"/>
      <w:r w:rsidRPr="006717E3">
        <w:rPr>
          <w:rFonts w:ascii="Book Antiqua" w:eastAsia="宋体" w:hAnsi="Book Antiqua" w:cs="宋体"/>
          <w:sz w:val="24"/>
          <w:szCs w:val="24"/>
        </w:rPr>
        <w:t xml:space="preserve"> T, </w:t>
      </w:r>
      <w:proofErr w:type="spellStart"/>
      <w:r w:rsidRPr="006717E3">
        <w:rPr>
          <w:rFonts w:ascii="Book Antiqua" w:eastAsia="宋体" w:hAnsi="Book Antiqua" w:cs="宋体"/>
          <w:sz w:val="24"/>
          <w:szCs w:val="24"/>
        </w:rPr>
        <w:t>Tolia</w:t>
      </w:r>
      <w:proofErr w:type="spellEnd"/>
      <w:r w:rsidRPr="006717E3">
        <w:rPr>
          <w:rFonts w:ascii="Book Antiqua" w:eastAsia="宋体" w:hAnsi="Book Antiqua" w:cs="宋体"/>
          <w:sz w:val="24"/>
          <w:szCs w:val="24"/>
        </w:rPr>
        <w:t xml:space="preserve"> V, </w:t>
      </w:r>
      <w:proofErr w:type="spellStart"/>
      <w:r w:rsidRPr="006717E3">
        <w:rPr>
          <w:rFonts w:ascii="Book Antiqua" w:eastAsia="宋体" w:hAnsi="Book Antiqua" w:cs="宋体"/>
          <w:sz w:val="24"/>
          <w:szCs w:val="24"/>
        </w:rPr>
        <w:t>Gottrand</w:t>
      </w:r>
      <w:proofErr w:type="spellEnd"/>
      <w:r w:rsidRPr="006717E3">
        <w:rPr>
          <w:rFonts w:ascii="Book Antiqua" w:eastAsia="宋体" w:hAnsi="Book Antiqua" w:cs="宋体"/>
          <w:sz w:val="24"/>
          <w:szCs w:val="24"/>
        </w:rPr>
        <w:t xml:space="preserve"> F, Barker PN, </w:t>
      </w:r>
      <w:proofErr w:type="spellStart"/>
      <w:r w:rsidRPr="006717E3">
        <w:rPr>
          <w:rFonts w:ascii="Book Antiqua" w:eastAsia="宋体" w:hAnsi="Book Antiqua" w:cs="宋体"/>
          <w:sz w:val="24"/>
          <w:szCs w:val="24"/>
        </w:rPr>
        <w:t>Illueca</w:t>
      </w:r>
      <w:proofErr w:type="spellEnd"/>
      <w:r w:rsidRPr="006717E3">
        <w:rPr>
          <w:rFonts w:ascii="Book Antiqua" w:eastAsia="宋体" w:hAnsi="Book Antiqua" w:cs="宋体"/>
          <w:sz w:val="24"/>
          <w:szCs w:val="24"/>
        </w:rPr>
        <w:t xml:space="preserve"> M. Esomeprazole for the Treatment of GERD in Infants Ages 1-11 Months.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2015;</w:t>
      </w:r>
      <w:r w:rsidRPr="00443A23">
        <w:rPr>
          <w:rFonts w:ascii="Book Antiqua" w:eastAsia="宋体" w:hAnsi="Book Antiqua" w:cs="宋体"/>
          <w:sz w:val="24"/>
          <w:szCs w:val="24"/>
        </w:rPr>
        <w:t> </w:t>
      </w:r>
      <w:r w:rsidRPr="006717E3">
        <w:rPr>
          <w:rFonts w:ascii="Book Antiqua" w:eastAsia="宋体" w:hAnsi="Book Antiqua" w:cs="宋体"/>
          <w:b/>
          <w:bCs/>
          <w:sz w:val="24"/>
          <w:szCs w:val="24"/>
        </w:rPr>
        <w:t xml:space="preserve">60 </w:t>
      </w:r>
      <w:proofErr w:type="spellStart"/>
      <w:r w:rsidRPr="006717E3">
        <w:rPr>
          <w:rFonts w:ascii="Book Antiqua" w:eastAsia="宋体" w:hAnsi="Book Antiqua" w:cs="宋体"/>
          <w:bCs/>
          <w:sz w:val="24"/>
          <w:szCs w:val="24"/>
        </w:rPr>
        <w:t>Suppl</w:t>
      </w:r>
      <w:proofErr w:type="spellEnd"/>
      <w:r w:rsidRPr="006717E3">
        <w:rPr>
          <w:rFonts w:ascii="Book Antiqua" w:eastAsia="宋体" w:hAnsi="Book Antiqua" w:cs="宋体"/>
          <w:bCs/>
          <w:sz w:val="24"/>
          <w:szCs w:val="24"/>
        </w:rPr>
        <w:t xml:space="preserve"> 1</w:t>
      </w:r>
      <w:r w:rsidRPr="006717E3">
        <w:rPr>
          <w:rFonts w:ascii="Book Antiqua" w:eastAsia="宋体" w:hAnsi="Book Antiqua" w:cs="宋体"/>
          <w:sz w:val="24"/>
          <w:szCs w:val="24"/>
        </w:rPr>
        <w:t>: S9-15 [PMID: 26422097 DOI: 10.1097/MPG.0b013e3182496b35]</w:t>
      </w:r>
    </w:p>
    <w:p w14:paraId="793CAACE"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26</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Omari</w:t>
      </w:r>
      <w:proofErr w:type="spellEnd"/>
      <w:r w:rsidRPr="006717E3">
        <w:rPr>
          <w:rFonts w:ascii="Book Antiqua" w:eastAsia="宋体" w:hAnsi="Book Antiqua" w:cs="宋体"/>
          <w:b/>
          <w:bCs/>
          <w:sz w:val="24"/>
          <w:szCs w:val="24"/>
        </w:rPr>
        <w:t xml:space="preserve"> T</w:t>
      </w:r>
      <w:r w:rsidRPr="006717E3">
        <w:rPr>
          <w:rFonts w:ascii="Book Antiqua" w:eastAsia="宋体" w:hAnsi="Book Antiqua" w:cs="宋体"/>
          <w:sz w:val="24"/>
          <w:szCs w:val="24"/>
        </w:rPr>
        <w:t xml:space="preserve">, Davidson G, </w:t>
      </w:r>
      <w:proofErr w:type="spellStart"/>
      <w:r w:rsidRPr="006717E3">
        <w:rPr>
          <w:rFonts w:ascii="Book Antiqua" w:eastAsia="宋体" w:hAnsi="Book Antiqua" w:cs="宋体"/>
          <w:sz w:val="24"/>
          <w:szCs w:val="24"/>
        </w:rPr>
        <w:t>Bondarov</w:t>
      </w:r>
      <w:proofErr w:type="spellEnd"/>
      <w:r w:rsidRPr="006717E3">
        <w:rPr>
          <w:rFonts w:ascii="Book Antiqua" w:eastAsia="宋体" w:hAnsi="Book Antiqua" w:cs="宋体"/>
          <w:sz w:val="24"/>
          <w:szCs w:val="24"/>
        </w:rPr>
        <w:t xml:space="preserve"> P, </w:t>
      </w:r>
      <w:proofErr w:type="spellStart"/>
      <w:r w:rsidRPr="006717E3">
        <w:rPr>
          <w:rFonts w:ascii="Book Antiqua" w:eastAsia="宋体" w:hAnsi="Book Antiqua" w:cs="宋体"/>
          <w:sz w:val="24"/>
          <w:szCs w:val="24"/>
        </w:rPr>
        <w:t>Nauclér</w:t>
      </w:r>
      <w:proofErr w:type="spellEnd"/>
      <w:r w:rsidRPr="006717E3">
        <w:rPr>
          <w:rFonts w:ascii="Book Antiqua" w:eastAsia="宋体" w:hAnsi="Book Antiqua" w:cs="宋体"/>
          <w:sz w:val="24"/>
          <w:szCs w:val="24"/>
        </w:rPr>
        <w:t xml:space="preserve"> E, Nilsson C, </w:t>
      </w:r>
      <w:proofErr w:type="spellStart"/>
      <w:r w:rsidRPr="006717E3">
        <w:rPr>
          <w:rFonts w:ascii="Book Antiqua" w:eastAsia="宋体" w:hAnsi="Book Antiqua" w:cs="宋体"/>
          <w:sz w:val="24"/>
          <w:szCs w:val="24"/>
        </w:rPr>
        <w:t>Lundborg</w:t>
      </w:r>
      <w:proofErr w:type="spellEnd"/>
      <w:r w:rsidRPr="006717E3">
        <w:rPr>
          <w:rFonts w:ascii="Book Antiqua" w:eastAsia="宋体" w:hAnsi="Book Antiqua" w:cs="宋体"/>
          <w:sz w:val="24"/>
          <w:szCs w:val="24"/>
        </w:rPr>
        <w:t xml:space="preserve"> P. Pharmacokinetics and acid-suppressive effects of esomeprazole in infants 1-24 months old with symptoms of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disease.</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2007;</w:t>
      </w:r>
      <w:r w:rsidRPr="00443A23">
        <w:rPr>
          <w:rFonts w:ascii="Book Antiqua" w:eastAsia="宋体" w:hAnsi="Book Antiqua" w:cs="宋体"/>
          <w:sz w:val="24"/>
          <w:szCs w:val="24"/>
        </w:rPr>
        <w:t> </w:t>
      </w:r>
      <w:r w:rsidRPr="006717E3">
        <w:rPr>
          <w:rFonts w:ascii="Book Antiqua" w:eastAsia="宋体" w:hAnsi="Book Antiqua" w:cs="宋体"/>
          <w:b/>
          <w:bCs/>
          <w:sz w:val="24"/>
          <w:szCs w:val="24"/>
        </w:rPr>
        <w:t>45</w:t>
      </w:r>
      <w:r w:rsidRPr="006717E3">
        <w:rPr>
          <w:rFonts w:ascii="Book Antiqua" w:eastAsia="宋体" w:hAnsi="Book Antiqua" w:cs="宋体"/>
          <w:sz w:val="24"/>
          <w:szCs w:val="24"/>
        </w:rPr>
        <w:t>: 530-537 [PMID: 18030229 DOI: 10.1097/MPG.0b013e31812e012f]</w:t>
      </w:r>
    </w:p>
    <w:p w14:paraId="27719EA4"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27</w:t>
      </w:r>
      <w:r w:rsidRPr="00443A23">
        <w:rPr>
          <w:rFonts w:ascii="Book Antiqua" w:eastAsia="宋体" w:hAnsi="Book Antiqua" w:cs="宋体"/>
          <w:sz w:val="24"/>
          <w:szCs w:val="24"/>
        </w:rPr>
        <w:t> </w:t>
      </w:r>
      <w:r w:rsidRPr="006717E3">
        <w:rPr>
          <w:rFonts w:ascii="Book Antiqua" w:eastAsia="宋体" w:hAnsi="Book Antiqua" w:cs="宋体"/>
          <w:b/>
          <w:bCs/>
          <w:sz w:val="24"/>
          <w:szCs w:val="24"/>
        </w:rPr>
        <w:t>Orenstein SR</w:t>
      </w:r>
      <w:r w:rsidRPr="006717E3">
        <w:rPr>
          <w:rFonts w:ascii="Book Antiqua" w:eastAsia="宋体" w:hAnsi="Book Antiqua" w:cs="宋体"/>
          <w:sz w:val="24"/>
          <w:szCs w:val="24"/>
        </w:rPr>
        <w:t xml:space="preserve">, Hassall E, </w:t>
      </w:r>
      <w:proofErr w:type="spellStart"/>
      <w:r w:rsidRPr="006717E3">
        <w:rPr>
          <w:rFonts w:ascii="Book Antiqua" w:eastAsia="宋体" w:hAnsi="Book Antiqua" w:cs="宋体"/>
          <w:sz w:val="24"/>
          <w:szCs w:val="24"/>
        </w:rPr>
        <w:t>Furmaga-Jablonska</w:t>
      </w:r>
      <w:proofErr w:type="spellEnd"/>
      <w:r w:rsidRPr="006717E3">
        <w:rPr>
          <w:rFonts w:ascii="Book Antiqua" w:eastAsia="宋体" w:hAnsi="Book Antiqua" w:cs="宋体"/>
          <w:sz w:val="24"/>
          <w:szCs w:val="24"/>
        </w:rPr>
        <w:t xml:space="preserve"> W, Atkinson S, </w:t>
      </w:r>
      <w:proofErr w:type="spellStart"/>
      <w:r w:rsidRPr="006717E3">
        <w:rPr>
          <w:rFonts w:ascii="Book Antiqua" w:eastAsia="宋体" w:hAnsi="Book Antiqua" w:cs="宋体"/>
          <w:sz w:val="24"/>
          <w:szCs w:val="24"/>
        </w:rPr>
        <w:t>Raanan</w:t>
      </w:r>
      <w:proofErr w:type="spellEnd"/>
      <w:r w:rsidRPr="006717E3">
        <w:rPr>
          <w:rFonts w:ascii="Book Antiqua" w:eastAsia="宋体" w:hAnsi="Book Antiqua" w:cs="宋体"/>
          <w:sz w:val="24"/>
          <w:szCs w:val="24"/>
        </w:rPr>
        <w:t xml:space="preserve"> M. </w:t>
      </w:r>
      <w:proofErr w:type="spellStart"/>
      <w:r w:rsidRPr="006717E3">
        <w:rPr>
          <w:rFonts w:ascii="Book Antiqua" w:eastAsia="宋体" w:hAnsi="Book Antiqua" w:cs="宋体"/>
          <w:sz w:val="24"/>
          <w:szCs w:val="24"/>
        </w:rPr>
        <w:t>Multicenter</w:t>
      </w:r>
      <w:proofErr w:type="spellEnd"/>
      <w:r w:rsidRPr="006717E3">
        <w:rPr>
          <w:rFonts w:ascii="Book Antiqua" w:eastAsia="宋体" w:hAnsi="Book Antiqua" w:cs="宋体"/>
          <w:sz w:val="24"/>
          <w:szCs w:val="24"/>
        </w:rPr>
        <w:t xml:space="preserve">, double-blind, randomized, placebo-controlled trial assessing the efficacy and safety of proton pump inhibitor </w:t>
      </w:r>
      <w:proofErr w:type="spellStart"/>
      <w:r w:rsidRPr="006717E3">
        <w:rPr>
          <w:rFonts w:ascii="Book Antiqua" w:eastAsia="宋体" w:hAnsi="Book Antiqua" w:cs="宋体"/>
          <w:sz w:val="24"/>
          <w:szCs w:val="24"/>
        </w:rPr>
        <w:t>lansoprazole</w:t>
      </w:r>
      <w:proofErr w:type="spellEnd"/>
      <w:r w:rsidRPr="006717E3">
        <w:rPr>
          <w:rFonts w:ascii="Book Antiqua" w:eastAsia="宋体" w:hAnsi="Book Antiqua" w:cs="宋体"/>
          <w:sz w:val="24"/>
          <w:szCs w:val="24"/>
        </w:rPr>
        <w:t xml:space="preserve"> in infants with symptoms of </w:t>
      </w:r>
      <w:proofErr w:type="spellStart"/>
      <w:r w:rsidRPr="006717E3">
        <w:rPr>
          <w:rFonts w:ascii="Book Antiqua" w:eastAsia="宋体" w:hAnsi="Book Antiqua" w:cs="宋体"/>
          <w:sz w:val="24"/>
          <w:szCs w:val="24"/>
        </w:rPr>
        <w:t>gastroesophageal</w:t>
      </w:r>
      <w:proofErr w:type="spellEnd"/>
      <w:r w:rsidRPr="006717E3">
        <w:rPr>
          <w:rFonts w:ascii="Book Antiqua" w:eastAsia="宋体" w:hAnsi="Book Antiqua" w:cs="宋体"/>
          <w:sz w:val="24"/>
          <w:szCs w:val="24"/>
        </w:rPr>
        <w:t xml:space="preserve"> reflux disease.</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2009;</w:t>
      </w:r>
      <w:r w:rsidRPr="00443A23">
        <w:rPr>
          <w:rFonts w:ascii="Book Antiqua" w:eastAsia="宋体" w:hAnsi="Book Antiqua" w:cs="宋体"/>
          <w:sz w:val="24"/>
          <w:szCs w:val="24"/>
        </w:rPr>
        <w:t> </w:t>
      </w:r>
      <w:r w:rsidRPr="006717E3">
        <w:rPr>
          <w:rFonts w:ascii="Book Antiqua" w:eastAsia="宋体" w:hAnsi="Book Antiqua" w:cs="宋体"/>
          <w:b/>
          <w:bCs/>
          <w:sz w:val="24"/>
          <w:szCs w:val="24"/>
        </w:rPr>
        <w:t>154</w:t>
      </w:r>
      <w:r w:rsidRPr="006717E3">
        <w:rPr>
          <w:rFonts w:ascii="Book Antiqua" w:eastAsia="宋体" w:hAnsi="Book Antiqua" w:cs="宋体"/>
          <w:sz w:val="24"/>
          <w:szCs w:val="24"/>
        </w:rPr>
        <w:t>: 514-520.e4 [PMID: 19054529 DOI: 10.1016/j.jpeds.2008.09.054</w:t>
      </w:r>
      <w:r w:rsidRPr="00443A23">
        <w:rPr>
          <w:rFonts w:ascii="Book Antiqua" w:eastAsia="宋体" w:hAnsi="Book Antiqua" w:cs="宋体"/>
          <w:sz w:val="24"/>
          <w:szCs w:val="24"/>
        </w:rPr>
        <w:t>]</w:t>
      </w:r>
    </w:p>
    <w:p w14:paraId="4CDFD284"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28</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Shakhnovich</w:t>
      </w:r>
      <w:proofErr w:type="spellEnd"/>
      <w:r w:rsidRPr="006717E3">
        <w:rPr>
          <w:rFonts w:ascii="Book Antiqua" w:eastAsia="宋体" w:hAnsi="Book Antiqua" w:cs="宋体"/>
          <w:b/>
          <w:bCs/>
          <w:sz w:val="24"/>
          <w:szCs w:val="24"/>
        </w:rPr>
        <w:t xml:space="preserve"> V</w:t>
      </w:r>
      <w:r w:rsidRPr="006717E3">
        <w:rPr>
          <w:rFonts w:ascii="Book Antiqua" w:eastAsia="宋体" w:hAnsi="Book Antiqua" w:cs="宋体"/>
          <w:sz w:val="24"/>
          <w:szCs w:val="24"/>
        </w:rPr>
        <w:t>, Ward RM, Kearns GL. Failure of proton pump inhibitors to treat GERD in neonates and infants: a question of drug, diagnosis, or design.</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92</w:t>
      </w:r>
      <w:r w:rsidRPr="006717E3">
        <w:rPr>
          <w:rFonts w:ascii="Book Antiqua" w:eastAsia="宋体" w:hAnsi="Book Antiqua" w:cs="宋体"/>
          <w:sz w:val="24"/>
          <w:szCs w:val="24"/>
        </w:rPr>
        <w:t>: 388-392 [PMID: 22805424 DOI: 10.1038/clpt.2012.86</w:t>
      </w:r>
      <w:r w:rsidRPr="00443A23">
        <w:rPr>
          <w:rFonts w:ascii="Book Antiqua" w:eastAsia="宋体" w:hAnsi="Book Antiqua" w:cs="宋体"/>
          <w:sz w:val="24"/>
          <w:szCs w:val="24"/>
        </w:rPr>
        <w:t>]</w:t>
      </w:r>
    </w:p>
    <w:p w14:paraId="419C0318" w14:textId="77777777" w:rsidR="00443A23" w:rsidRPr="006717E3" w:rsidRDefault="00443A23" w:rsidP="0002686E">
      <w:pPr>
        <w:spacing w:after="0" w:line="360" w:lineRule="auto"/>
        <w:jc w:val="both"/>
        <w:rPr>
          <w:rFonts w:ascii="Book Antiqua" w:eastAsia="宋体" w:hAnsi="Book Antiqua" w:cs="宋体"/>
          <w:sz w:val="24"/>
          <w:szCs w:val="24"/>
        </w:rPr>
      </w:pPr>
      <w:r w:rsidRPr="00443A23">
        <w:rPr>
          <w:rFonts w:ascii="Book Antiqua" w:eastAsia="宋体" w:hAnsi="Book Antiqua" w:cs="宋体"/>
          <w:sz w:val="24"/>
          <w:szCs w:val="24"/>
        </w:rPr>
        <w:t xml:space="preserve">29 </w:t>
      </w:r>
      <w:r w:rsidRPr="00443A23">
        <w:rPr>
          <w:rFonts w:ascii="Book Antiqua" w:eastAsia="宋体" w:hAnsi="Book Antiqua" w:cs="宋体"/>
          <w:b/>
          <w:sz w:val="24"/>
          <w:szCs w:val="24"/>
        </w:rPr>
        <w:t>Sierra F,</w:t>
      </w:r>
      <w:r w:rsidRPr="00443A23">
        <w:rPr>
          <w:rFonts w:ascii="Book Antiqua" w:eastAsia="宋体" w:hAnsi="Book Antiqua" w:cs="宋体"/>
          <w:sz w:val="24"/>
          <w:szCs w:val="24"/>
        </w:rPr>
        <w:t xml:space="preserve"> Suarez M, Rey M</w:t>
      </w:r>
      <w:r w:rsidRPr="006717E3">
        <w:rPr>
          <w:rFonts w:ascii="Book Antiqua" w:eastAsia="宋体" w:hAnsi="Book Antiqua" w:cs="宋体"/>
          <w:sz w:val="24"/>
          <w:szCs w:val="24"/>
        </w:rPr>
        <w:t xml:space="preserve">, </w:t>
      </w:r>
      <w:r w:rsidRPr="00443A23">
        <w:rPr>
          <w:rFonts w:ascii="Book Antiqua" w:eastAsia="宋体" w:hAnsi="Book Antiqua" w:cs="宋体"/>
          <w:sz w:val="24"/>
          <w:szCs w:val="24"/>
        </w:rPr>
        <w:t>Vela MF</w:t>
      </w:r>
      <w:r w:rsidRPr="006717E3">
        <w:rPr>
          <w:rFonts w:ascii="Book Antiqua" w:eastAsia="宋体" w:hAnsi="Book Antiqua" w:cs="宋体"/>
          <w:sz w:val="24"/>
          <w:szCs w:val="24"/>
        </w:rPr>
        <w:t xml:space="preserve">. Systematic review: proton pump inhibitor-associated acute interstitial nephritis. </w:t>
      </w:r>
      <w:r w:rsidRPr="006717E3">
        <w:rPr>
          <w:rFonts w:ascii="Book Antiqua" w:eastAsia="宋体" w:hAnsi="Book Antiqua" w:cs="宋体"/>
          <w:i/>
          <w:sz w:val="24"/>
          <w:szCs w:val="24"/>
        </w:rPr>
        <w:t xml:space="preserve">Alimentary </w:t>
      </w:r>
      <w:proofErr w:type="spellStart"/>
      <w:r w:rsidRPr="006717E3">
        <w:rPr>
          <w:rFonts w:ascii="Book Antiqua" w:eastAsia="宋体" w:hAnsi="Book Antiqua" w:cs="宋体"/>
          <w:i/>
          <w:sz w:val="24"/>
          <w:szCs w:val="24"/>
        </w:rPr>
        <w:t>Pharmacol</w:t>
      </w:r>
      <w:proofErr w:type="spellEnd"/>
      <w:r w:rsidRPr="006717E3">
        <w:rPr>
          <w:rFonts w:ascii="Book Antiqua" w:eastAsia="宋体" w:hAnsi="Book Antiqua" w:cs="宋体"/>
          <w:i/>
          <w:sz w:val="24"/>
          <w:szCs w:val="24"/>
        </w:rPr>
        <w:t xml:space="preserve"> </w:t>
      </w:r>
      <w:proofErr w:type="spellStart"/>
      <w:r w:rsidRPr="006717E3">
        <w:rPr>
          <w:rFonts w:ascii="Book Antiqua" w:eastAsia="宋体" w:hAnsi="Book Antiqua" w:cs="宋体"/>
          <w:i/>
          <w:sz w:val="24"/>
          <w:szCs w:val="24"/>
        </w:rPr>
        <w:t>Ther</w:t>
      </w:r>
      <w:proofErr w:type="spellEnd"/>
      <w:r w:rsidRPr="00443A23">
        <w:rPr>
          <w:rFonts w:ascii="Book Antiqua" w:eastAsia="宋体" w:hAnsi="Book Antiqua" w:cs="宋体"/>
          <w:i/>
          <w:sz w:val="24"/>
          <w:szCs w:val="24"/>
        </w:rPr>
        <w:t xml:space="preserve"> </w:t>
      </w:r>
      <w:r w:rsidRPr="00443A23">
        <w:rPr>
          <w:rFonts w:ascii="Book Antiqua" w:eastAsia="宋体" w:hAnsi="Book Antiqua" w:cs="宋体"/>
          <w:sz w:val="24"/>
          <w:szCs w:val="24"/>
        </w:rPr>
        <w:t>2007;</w:t>
      </w:r>
      <w:r w:rsidRPr="006717E3">
        <w:rPr>
          <w:rFonts w:ascii="Book Antiqua" w:eastAsia="宋体" w:hAnsi="Book Antiqua" w:cs="宋体"/>
          <w:sz w:val="24"/>
          <w:szCs w:val="24"/>
        </w:rPr>
        <w:t xml:space="preserve"> </w:t>
      </w:r>
      <w:r w:rsidRPr="006717E3">
        <w:rPr>
          <w:rFonts w:ascii="Book Antiqua" w:eastAsia="宋体" w:hAnsi="Book Antiqua" w:cs="宋体"/>
          <w:b/>
          <w:sz w:val="24"/>
          <w:szCs w:val="24"/>
        </w:rPr>
        <w:t>26</w:t>
      </w:r>
      <w:r w:rsidRPr="00443A23">
        <w:rPr>
          <w:rFonts w:ascii="Book Antiqua" w:eastAsia="宋体" w:hAnsi="Book Antiqua" w:cs="宋体"/>
          <w:sz w:val="24"/>
          <w:szCs w:val="24"/>
        </w:rPr>
        <w:t>: 545-553</w:t>
      </w:r>
      <w:r w:rsidRPr="006717E3">
        <w:rPr>
          <w:rFonts w:ascii="Book Antiqua" w:eastAsia="宋体" w:hAnsi="Book Antiqua" w:cs="宋体"/>
          <w:sz w:val="24"/>
          <w:szCs w:val="24"/>
        </w:rPr>
        <w:t xml:space="preserve"> </w:t>
      </w:r>
      <w:r w:rsidRPr="00443A23">
        <w:rPr>
          <w:rFonts w:ascii="Book Antiqua" w:eastAsia="宋体" w:hAnsi="Book Antiqua" w:cs="宋体"/>
          <w:sz w:val="24"/>
          <w:szCs w:val="24"/>
        </w:rPr>
        <w:t>[PMID: 17661758 DOI: 10.1111/j.1365-2036.2007.03407.x]</w:t>
      </w:r>
    </w:p>
    <w:p w14:paraId="192F9433"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30</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Turco</w:t>
      </w:r>
      <w:proofErr w:type="spellEnd"/>
      <w:r w:rsidRPr="006717E3">
        <w:rPr>
          <w:rFonts w:ascii="Book Antiqua" w:eastAsia="宋体" w:hAnsi="Book Antiqua" w:cs="宋体"/>
          <w:b/>
          <w:bCs/>
          <w:sz w:val="24"/>
          <w:szCs w:val="24"/>
        </w:rPr>
        <w:t xml:space="preserve"> R</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Martinelli</w:t>
      </w:r>
      <w:proofErr w:type="spellEnd"/>
      <w:r w:rsidRPr="006717E3">
        <w:rPr>
          <w:rFonts w:ascii="Book Antiqua" w:eastAsia="宋体" w:hAnsi="Book Antiqua" w:cs="宋体"/>
          <w:sz w:val="24"/>
          <w:szCs w:val="24"/>
        </w:rPr>
        <w:t xml:space="preserve"> M, </w:t>
      </w:r>
      <w:proofErr w:type="spellStart"/>
      <w:r w:rsidRPr="006717E3">
        <w:rPr>
          <w:rFonts w:ascii="Book Antiqua" w:eastAsia="宋体" w:hAnsi="Book Antiqua" w:cs="宋体"/>
          <w:sz w:val="24"/>
          <w:szCs w:val="24"/>
        </w:rPr>
        <w:t>Miele</w:t>
      </w:r>
      <w:proofErr w:type="spellEnd"/>
      <w:r w:rsidRPr="006717E3">
        <w:rPr>
          <w:rFonts w:ascii="Book Antiqua" w:eastAsia="宋体" w:hAnsi="Book Antiqua" w:cs="宋体"/>
          <w:sz w:val="24"/>
          <w:szCs w:val="24"/>
        </w:rPr>
        <w:t xml:space="preserve"> E, </w:t>
      </w:r>
      <w:proofErr w:type="spellStart"/>
      <w:r w:rsidRPr="006717E3">
        <w:rPr>
          <w:rFonts w:ascii="Book Antiqua" w:eastAsia="宋体" w:hAnsi="Book Antiqua" w:cs="宋体"/>
          <w:sz w:val="24"/>
          <w:szCs w:val="24"/>
        </w:rPr>
        <w:t>Roscetto</w:t>
      </w:r>
      <w:proofErr w:type="spellEnd"/>
      <w:r w:rsidRPr="006717E3">
        <w:rPr>
          <w:rFonts w:ascii="Book Antiqua" w:eastAsia="宋体" w:hAnsi="Book Antiqua" w:cs="宋体"/>
          <w:sz w:val="24"/>
          <w:szCs w:val="24"/>
        </w:rPr>
        <w:t xml:space="preserve"> E, Del </w:t>
      </w:r>
      <w:proofErr w:type="spellStart"/>
      <w:r w:rsidRPr="006717E3">
        <w:rPr>
          <w:rFonts w:ascii="Book Antiqua" w:eastAsia="宋体" w:hAnsi="Book Antiqua" w:cs="宋体"/>
          <w:sz w:val="24"/>
          <w:szCs w:val="24"/>
        </w:rPr>
        <w:t>Pezzo</w:t>
      </w:r>
      <w:proofErr w:type="spellEnd"/>
      <w:r w:rsidRPr="006717E3">
        <w:rPr>
          <w:rFonts w:ascii="Book Antiqua" w:eastAsia="宋体" w:hAnsi="Book Antiqua" w:cs="宋体"/>
          <w:sz w:val="24"/>
          <w:szCs w:val="24"/>
        </w:rPr>
        <w:t xml:space="preserve"> M, Greco L, </w:t>
      </w:r>
      <w:proofErr w:type="spellStart"/>
      <w:r w:rsidRPr="006717E3">
        <w:rPr>
          <w:rFonts w:ascii="Book Antiqua" w:eastAsia="宋体" w:hAnsi="Book Antiqua" w:cs="宋体"/>
          <w:sz w:val="24"/>
          <w:szCs w:val="24"/>
        </w:rPr>
        <w:t>Staiano</w:t>
      </w:r>
      <w:proofErr w:type="spellEnd"/>
      <w:r w:rsidRPr="006717E3">
        <w:rPr>
          <w:rFonts w:ascii="Book Antiqua" w:eastAsia="宋体" w:hAnsi="Book Antiqua" w:cs="宋体"/>
          <w:sz w:val="24"/>
          <w:szCs w:val="24"/>
        </w:rPr>
        <w:t xml:space="preserve"> A. Proton pump inhibitors as a risk factor for paediatric Clostridium </w:t>
      </w:r>
      <w:proofErr w:type="spellStart"/>
      <w:r w:rsidRPr="006717E3">
        <w:rPr>
          <w:rFonts w:ascii="Book Antiqua" w:eastAsia="宋体" w:hAnsi="Book Antiqua" w:cs="宋体"/>
          <w:sz w:val="24"/>
          <w:szCs w:val="24"/>
        </w:rPr>
        <w:t>difficile</w:t>
      </w:r>
      <w:proofErr w:type="spellEnd"/>
      <w:r w:rsidRPr="006717E3">
        <w:rPr>
          <w:rFonts w:ascii="Book Antiqua" w:eastAsia="宋体" w:hAnsi="Book Antiqua" w:cs="宋体"/>
          <w:sz w:val="24"/>
          <w:szCs w:val="24"/>
        </w:rPr>
        <w:t xml:space="preserve"> infection.</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Aliment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31</w:t>
      </w:r>
      <w:r w:rsidRPr="006717E3">
        <w:rPr>
          <w:rFonts w:ascii="Book Antiqua" w:eastAsia="宋体" w:hAnsi="Book Antiqua" w:cs="宋体"/>
          <w:sz w:val="24"/>
          <w:szCs w:val="24"/>
        </w:rPr>
        <w:t>: 754-759 [PMID: 20047577 DOI: 10.1111/j.1365-2036.2009.04229.x</w:t>
      </w:r>
      <w:r w:rsidRPr="00443A23">
        <w:rPr>
          <w:rFonts w:ascii="Book Antiqua" w:eastAsia="宋体" w:hAnsi="Book Antiqua" w:cs="宋体"/>
          <w:sz w:val="24"/>
          <w:szCs w:val="24"/>
        </w:rPr>
        <w:t>]</w:t>
      </w:r>
    </w:p>
    <w:p w14:paraId="51553242"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31</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Kanno</w:t>
      </w:r>
      <w:proofErr w:type="spellEnd"/>
      <w:r w:rsidRPr="006717E3">
        <w:rPr>
          <w:rFonts w:ascii="Book Antiqua" w:eastAsia="宋体" w:hAnsi="Book Antiqua" w:cs="宋体"/>
          <w:b/>
          <w:bCs/>
          <w:sz w:val="24"/>
          <w:szCs w:val="24"/>
        </w:rPr>
        <w:t xml:space="preserve"> T</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Matsuki</w:t>
      </w:r>
      <w:proofErr w:type="spellEnd"/>
      <w:r w:rsidRPr="006717E3">
        <w:rPr>
          <w:rFonts w:ascii="Book Antiqua" w:eastAsia="宋体" w:hAnsi="Book Antiqua" w:cs="宋体"/>
          <w:sz w:val="24"/>
          <w:szCs w:val="24"/>
        </w:rPr>
        <w:t xml:space="preserve"> T, Oka M, Utsunomiya H, Inada K, </w:t>
      </w:r>
      <w:proofErr w:type="spellStart"/>
      <w:r w:rsidRPr="006717E3">
        <w:rPr>
          <w:rFonts w:ascii="Book Antiqua" w:eastAsia="宋体" w:hAnsi="Book Antiqua" w:cs="宋体"/>
          <w:sz w:val="24"/>
          <w:szCs w:val="24"/>
        </w:rPr>
        <w:t>Magari</w:t>
      </w:r>
      <w:proofErr w:type="spellEnd"/>
      <w:r w:rsidRPr="006717E3">
        <w:rPr>
          <w:rFonts w:ascii="Book Antiqua" w:eastAsia="宋体" w:hAnsi="Book Antiqua" w:cs="宋体"/>
          <w:sz w:val="24"/>
          <w:szCs w:val="24"/>
        </w:rPr>
        <w:t xml:space="preserve"> H, Inoue I, </w:t>
      </w:r>
      <w:proofErr w:type="spellStart"/>
      <w:r w:rsidRPr="006717E3">
        <w:rPr>
          <w:rFonts w:ascii="Book Antiqua" w:eastAsia="宋体" w:hAnsi="Book Antiqua" w:cs="宋体"/>
          <w:sz w:val="24"/>
          <w:szCs w:val="24"/>
        </w:rPr>
        <w:t>Maekita</w:t>
      </w:r>
      <w:proofErr w:type="spellEnd"/>
      <w:r w:rsidRPr="006717E3">
        <w:rPr>
          <w:rFonts w:ascii="Book Antiqua" w:eastAsia="宋体" w:hAnsi="Book Antiqua" w:cs="宋体"/>
          <w:sz w:val="24"/>
          <w:szCs w:val="24"/>
        </w:rPr>
        <w:t xml:space="preserve"> T, Ueda K, </w:t>
      </w:r>
      <w:proofErr w:type="spellStart"/>
      <w:r w:rsidRPr="006717E3">
        <w:rPr>
          <w:rFonts w:ascii="Book Antiqua" w:eastAsia="宋体" w:hAnsi="Book Antiqua" w:cs="宋体"/>
          <w:sz w:val="24"/>
          <w:szCs w:val="24"/>
        </w:rPr>
        <w:t>Enomoto</w:t>
      </w:r>
      <w:proofErr w:type="spellEnd"/>
      <w:r w:rsidRPr="006717E3">
        <w:rPr>
          <w:rFonts w:ascii="Book Antiqua" w:eastAsia="宋体" w:hAnsi="Book Antiqua" w:cs="宋体"/>
          <w:sz w:val="24"/>
          <w:szCs w:val="24"/>
        </w:rPr>
        <w:t xml:space="preserve"> S, Iguchi M, </w:t>
      </w:r>
      <w:proofErr w:type="spellStart"/>
      <w:r w:rsidRPr="006717E3">
        <w:rPr>
          <w:rFonts w:ascii="Book Antiqua" w:eastAsia="宋体" w:hAnsi="Book Antiqua" w:cs="宋体"/>
          <w:sz w:val="24"/>
          <w:szCs w:val="24"/>
        </w:rPr>
        <w:t>Yanaoka</w:t>
      </w:r>
      <w:proofErr w:type="spellEnd"/>
      <w:r w:rsidRPr="006717E3">
        <w:rPr>
          <w:rFonts w:ascii="Book Antiqua" w:eastAsia="宋体" w:hAnsi="Book Antiqua" w:cs="宋体"/>
          <w:sz w:val="24"/>
          <w:szCs w:val="24"/>
        </w:rPr>
        <w:t xml:space="preserve"> K, </w:t>
      </w:r>
      <w:proofErr w:type="spellStart"/>
      <w:r w:rsidRPr="006717E3">
        <w:rPr>
          <w:rFonts w:ascii="Book Antiqua" w:eastAsia="宋体" w:hAnsi="Book Antiqua" w:cs="宋体"/>
          <w:sz w:val="24"/>
          <w:szCs w:val="24"/>
        </w:rPr>
        <w:t>Tamai</w:t>
      </w:r>
      <w:proofErr w:type="spellEnd"/>
      <w:r w:rsidRPr="006717E3">
        <w:rPr>
          <w:rFonts w:ascii="Book Antiqua" w:eastAsia="宋体" w:hAnsi="Book Antiqua" w:cs="宋体"/>
          <w:sz w:val="24"/>
          <w:szCs w:val="24"/>
        </w:rPr>
        <w:t xml:space="preserve"> H, Akimoto S, </w:t>
      </w:r>
      <w:proofErr w:type="spellStart"/>
      <w:r w:rsidRPr="006717E3">
        <w:rPr>
          <w:rFonts w:ascii="Book Antiqua" w:eastAsia="宋体" w:hAnsi="Book Antiqua" w:cs="宋体"/>
          <w:sz w:val="24"/>
          <w:szCs w:val="24"/>
        </w:rPr>
        <w:t>Nomoto</w:t>
      </w:r>
      <w:proofErr w:type="spellEnd"/>
      <w:r w:rsidRPr="006717E3">
        <w:rPr>
          <w:rFonts w:ascii="Book Antiqua" w:eastAsia="宋体" w:hAnsi="Book Antiqua" w:cs="宋体"/>
          <w:sz w:val="24"/>
          <w:szCs w:val="24"/>
        </w:rPr>
        <w:t xml:space="preserve"> K, Tanaka R, Ichinose M. Gastric acid reduction leads to an alteration in lower intestinal </w:t>
      </w:r>
      <w:proofErr w:type="spellStart"/>
      <w:r w:rsidRPr="006717E3">
        <w:rPr>
          <w:rFonts w:ascii="Book Antiqua" w:eastAsia="宋体" w:hAnsi="Book Antiqua" w:cs="宋体"/>
          <w:sz w:val="24"/>
          <w:szCs w:val="24"/>
        </w:rPr>
        <w:t>microflora</w:t>
      </w:r>
      <w:proofErr w:type="spellEnd"/>
      <w:r w:rsidRPr="006717E3">
        <w:rPr>
          <w:rFonts w:ascii="Book Antiqua" w:eastAsia="宋体" w:hAnsi="Book Antiqua" w:cs="宋体"/>
          <w:sz w:val="24"/>
          <w:szCs w:val="24"/>
        </w:rPr>
        <w:t>.</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Biochem</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Biophys</w:t>
      </w:r>
      <w:proofErr w:type="spellEnd"/>
      <w:r w:rsidRPr="006717E3">
        <w:rPr>
          <w:rFonts w:ascii="Book Antiqua" w:eastAsia="宋体" w:hAnsi="Book Antiqua" w:cs="宋体"/>
          <w:i/>
          <w:iCs/>
          <w:sz w:val="24"/>
          <w:szCs w:val="24"/>
        </w:rPr>
        <w:t xml:space="preserve"> Res </w:t>
      </w:r>
      <w:proofErr w:type="spellStart"/>
      <w:r w:rsidRPr="006717E3">
        <w:rPr>
          <w:rFonts w:ascii="Book Antiqua" w:eastAsia="宋体" w:hAnsi="Book Antiqua" w:cs="宋体"/>
          <w:i/>
          <w:iCs/>
          <w:sz w:val="24"/>
          <w:szCs w:val="24"/>
        </w:rPr>
        <w:t>Commun</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2009;</w:t>
      </w:r>
      <w:r w:rsidRPr="00443A23">
        <w:rPr>
          <w:rFonts w:ascii="Book Antiqua" w:eastAsia="宋体" w:hAnsi="Book Antiqua" w:cs="宋体"/>
          <w:sz w:val="24"/>
          <w:szCs w:val="24"/>
        </w:rPr>
        <w:t> </w:t>
      </w:r>
      <w:r w:rsidRPr="006717E3">
        <w:rPr>
          <w:rFonts w:ascii="Book Antiqua" w:eastAsia="宋体" w:hAnsi="Book Antiqua" w:cs="宋体"/>
          <w:b/>
          <w:bCs/>
          <w:sz w:val="24"/>
          <w:szCs w:val="24"/>
        </w:rPr>
        <w:t>381</w:t>
      </w:r>
      <w:r w:rsidRPr="006717E3">
        <w:rPr>
          <w:rFonts w:ascii="Book Antiqua" w:eastAsia="宋体" w:hAnsi="Book Antiqua" w:cs="宋体"/>
          <w:sz w:val="24"/>
          <w:szCs w:val="24"/>
        </w:rPr>
        <w:t>: 666-670 [PMID: 19248769 DOI: 10.1016/j.bbrc.2009.02.109]</w:t>
      </w:r>
    </w:p>
    <w:p w14:paraId="4C75DDA0"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32</w:t>
      </w:r>
      <w:r w:rsidRPr="00443A23">
        <w:rPr>
          <w:rFonts w:ascii="Book Antiqua" w:eastAsia="宋体" w:hAnsi="Book Antiqua" w:cs="宋体"/>
          <w:sz w:val="24"/>
          <w:szCs w:val="24"/>
        </w:rPr>
        <w:t> </w:t>
      </w:r>
      <w:r w:rsidRPr="006717E3">
        <w:rPr>
          <w:rFonts w:ascii="Book Antiqua" w:eastAsia="宋体" w:hAnsi="Book Antiqua" w:cs="宋体"/>
          <w:b/>
          <w:bCs/>
          <w:sz w:val="24"/>
          <w:szCs w:val="24"/>
        </w:rPr>
        <w:t>Rosen R</w:t>
      </w:r>
      <w:r w:rsidRPr="006717E3">
        <w:rPr>
          <w:rFonts w:ascii="Book Antiqua" w:eastAsia="宋体" w:hAnsi="Book Antiqua" w:cs="宋体"/>
          <w:sz w:val="24"/>
          <w:szCs w:val="24"/>
        </w:rPr>
        <w:t xml:space="preserve">, Hu L, </w:t>
      </w:r>
      <w:proofErr w:type="spellStart"/>
      <w:r w:rsidRPr="006717E3">
        <w:rPr>
          <w:rFonts w:ascii="Book Antiqua" w:eastAsia="宋体" w:hAnsi="Book Antiqua" w:cs="宋体"/>
          <w:sz w:val="24"/>
          <w:szCs w:val="24"/>
        </w:rPr>
        <w:t>Amirault</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Khatwa</w:t>
      </w:r>
      <w:proofErr w:type="spellEnd"/>
      <w:r w:rsidRPr="006717E3">
        <w:rPr>
          <w:rFonts w:ascii="Book Antiqua" w:eastAsia="宋体" w:hAnsi="Book Antiqua" w:cs="宋体"/>
          <w:sz w:val="24"/>
          <w:szCs w:val="24"/>
        </w:rPr>
        <w:t xml:space="preserve"> U, Ward DV, </w:t>
      </w:r>
      <w:proofErr w:type="spellStart"/>
      <w:r w:rsidRPr="006717E3">
        <w:rPr>
          <w:rFonts w:ascii="Book Antiqua" w:eastAsia="宋体" w:hAnsi="Book Antiqua" w:cs="宋体"/>
          <w:sz w:val="24"/>
          <w:szCs w:val="24"/>
        </w:rPr>
        <w:t>Onderdonk</w:t>
      </w:r>
      <w:proofErr w:type="spellEnd"/>
      <w:r w:rsidRPr="006717E3">
        <w:rPr>
          <w:rFonts w:ascii="Book Antiqua" w:eastAsia="宋体" w:hAnsi="Book Antiqua" w:cs="宋体"/>
          <w:sz w:val="24"/>
          <w:szCs w:val="24"/>
        </w:rPr>
        <w:t xml:space="preserve"> A. 16S community profiling identifies proton pump inhibitor related differences in gastric, lung, and </w:t>
      </w:r>
      <w:proofErr w:type="spellStart"/>
      <w:r w:rsidRPr="006717E3">
        <w:rPr>
          <w:rFonts w:ascii="Book Antiqua" w:eastAsia="宋体" w:hAnsi="Book Antiqua" w:cs="宋体"/>
          <w:sz w:val="24"/>
          <w:szCs w:val="24"/>
        </w:rPr>
        <w:t>oropharyngeal</w:t>
      </w:r>
      <w:proofErr w:type="spellEnd"/>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microflora</w:t>
      </w:r>
      <w:proofErr w:type="spellEnd"/>
      <w:r w:rsidRPr="006717E3">
        <w:rPr>
          <w:rFonts w:ascii="Book Antiqua" w:eastAsia="宋体" w:hAnsi="Book Antiqua" w:cs="宋体"/>
          <w:sz w:val="24"/>
          <w:szCs w:val="24"/>
        </w:rPr>
        <w:t>.</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2015;</w:t>
      </w:r>
      <w:r w:rsidRPr="00443A23">
        <w:rPr>
          <w:rFonts w:ascii="Book Antiqua" w:eastAsia="宋体" w:hAnsi="Book Antiqua" w:cs="宋体"/>
          <w:sz w:val="24"/>
          <w:szCs w:val="24"/>
        </w:rPr>
        <w:t> </w:t>
      </w:r>
      <w:r w:rsidRPr="006717E3">
        <w:rPr>
          <w:rFonts w:ascii="Book Antiqua" w:eastAsia="宋体" w:hAnsi="Book Antiqua" w:cs="宋体"/>
          <w:b/>
          <w:bCs/>
          <w:sz w:val="24"/>
          <w:szCs w:val="24"/>
        </w:rPr>
        <w:t>166</w:t>
      </w:r>
      <w:r w:rsidRPr="006717E3">
        <w:rPr>
          <w:rFonts w:ascii="Book Antiqua" w:eastAsia="宋体" w:hAnsi="Book Antiqua" w:cs="宋体"/>
          <w:sz w:val="24"/>
          <w:szCs w:val="24"/>
        </w:rPr>
        <w:t>: 917-923 [PMID: 25661411 DOI: 10.1016/j.jpeds.2014.12.067]</w:t>
      </w:r>
    </w:p>
    <w:p w14:paraId="60C4202F"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lastRenderedPageBreak/>
        <w:t>33</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Gagnière</w:t>
      </w:r>
      <w:proofErr w:type="spellEnd"/>
      <w:r w:rsidRPr="006717E3">
        <w:rPr>
          <w:rFonts w:ascii="Book Antiqua" w:eastAsia="宋体" w:hAnsi="Book Antiqua" w:cs="宋体"/>
          <w:b/>
          <w:bCs/>
          <w:sz w:val="24"/>
          <w:szCs w:val="24"/>
        </w:rPr>
        <w:t xml:space="preserve"> J</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Raisch</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Veziant</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Barnich</w:t>
      </w:r>
      <w:proofErr w:type="spellEnd"/>
      <w:r w:rsidRPr="006717E3">
        <w:rPr>
          <w:rFonts w:ascii="Book Antiqua" w:eastAsia="宋体" w:hAnsi="Book Antiqua" w:cs="宋体"/>
          <w:sz w:val="24"/>
          <w:szCs w:val="24"/>
        </w:rPr>
        <w:t xml:space="preserve"> N, Bonnet R, </w:t>
      </w:r>
      <w:proofErr w:type="spellStart"/>
      <w:r w:rsidRPr="006717E3">
        <w:rPr>
          <w:rFonts w:ascii="Book Antiqua" w:eastAsia="宋体" w:hAnsi="Book Antiqua" w:cs="宋体"/>
          <w:sz w:val="24"/>
          <w:szCs w:val="24"/>
        </w:rPr>
        <w:t>Buc</w:t>
      </w:r>
      <w:proofErr w:type="spellEnd"/>
      <w:r w:rsidRPr="006717E3">
        <w:rPr>
          <w:rFonts w:ascii="Book Antiqua" w:eastAsia="宋体" w:hAnsi="Book Antiqua" w:cs="宋体"/>
          <w:sz w:val="24"/>
          <w:szCs w:val="24"/>
        </w:rPr>
        <w:t xml:space="preserve"> E, Bringer MA, </w:t>
      </w:r>
      <w:proofErr w:type="spellStart"/>
      <w:r w:rsidRPr="006717E3">
        <w:rPr>
          <w:rFonts w:ascii="Book Antiqua" w:eastAsia="宋体" w:hAnsi="Book Antiqua" w:cs="宋体"/>
          <w:sz w:val="24"/>
          <w:szCs w:val="24"/>
        </w:rPr>
        <w:t>Pezet</w:t>
      </w:r>
      <w:proofErr w:type="spellEnd"/>
      <w:r w:rsidRPr="006717E3">
        <w:rPr>
          <w:rFonts w:ascii="Book Antiqua" w:eastAsia="宋体" w:hAnsi="Book Antiqua" w:cs="宋体"/>
          <w:sz w:val="24"/>
          <w:szCs w:val="24"/>
        </w:rPr>
        <w:t xml:space="preserve"> D, Bonnet M. Gut </w:t>
      </w:r>
      <w:proofErr w:type="spellStart"/>
      <w:r w:rsidRPr="006717E3">
        <w:rPr>
          <w:rFonts w:ascii="Book Antiqua" w:eastAsia="宋体" w:hAnsi="Book Antiqua" w:cs="宋体"/>
          <w:sz w:val="24"/>
          <w:szCs w:val="24"/>
        </w:rPr>
        <w:t>microbiota</w:t>
      </w:r>
      <w:proofErr w:type="spellEnd"/>
      <w:r w:rsidRPr="006717E3">
        <w:rPr>
          <w:rFonts w:ascii="Book Antiqua" w:eastAsia="宋体" w:hAnsi="Book Antiqua" w:cs="宋体"/>
          <w:sz w:val="24"/>
          <w:szCs w:val="24"/>
        </w:rPr>
        <w:t xml:space="preserve"> imbalance and colorectal cancer.</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World J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2016;</w:t>
      </w:r>
      <w:r w:rsidRPr="00443A23">
        <w:rPr>
          <w:rFonts w:ascii="Book Antiqua" w:eastAsia="宋体" w:hAnsi="Book Antiqua" w:cs="宋体"/>
          <w:sz w:val="24"/>
          <w:szCs w:val="24"/>
        </w:rPr>
        <w:t> </w:t>
      </w:r>
      <w:r w:rsidRPr="006717E3">
        <w:rPr>
          <w:rFonts w:ascii="Book Antiqua" w:eastAsia="宋体" w:hAnsi="Book Antiqua" w:cs="宋体"/>
          <w:b/>
          <w:bCs/>
          <w:sz w:val="24"/>
          <w:szCs w:val="24"/>
        </w:rPr>
        <w:t>22</w:t>
      </w:r>
      <w:r w:rsidRPr="006717E3">
        <w:rPr>
          <w:rFonts w:ascii="Book Antiqua" w:eastAsia="宋体" w:hAnsi="Book Antiqua" w:cs="宋体"/>
          <w:sz w:val="24"/>
          <w:szCs w:val="24"/>
        </w:rPr>
        <w:t>: 501-518 [PMID: 26811603 DOI: 10.3748/wjg.v22.i2.501</w:t>
      </w:r>
      <w:r w:rsidRPr="00443A23">
        <w:rPr>
          <w:rFonts w:ascii="Book Antiqua" w:eastAsia="宋体" w:hAnsi="Book Antiqua" w:cs="宋体"/>
          <w:sz w:val="24"/>
          <w:szCs w:val="24"/>
        </w:rPr>
        <w:t>]</w:t>
      </w:r>
    </w:p>
    <w:p w14:paraId="5F139BD7"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34</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Vakil</w:t>
      </w:r>
      <w:proofErr w:type="spellEnd"/>
      <w:r w:rsidRPr="006717E3">
        <w:rPr>
          <w:rFonts w:ascii="Book Antiqua" w:eastAsia="宋体" w:hAnsi="Book Antiqua" w:cs="宋体"/>
          <w:b/>
          <w:bCs/>
          <w:sz w:val="24"/>
          <w:szCs w:val="24"/>
        </w:rPr>
        <w:t xml:space="preserve"> N</w:t>
      </w:r>
      <w:r w:rsidRPr="006717E3">
        <w:rPr>
          <w:rFonts w:ascii="Book Antiqua" w:eastAsia="宋体" w:hAnsi="Book Antiqua" w:cs="宋体"/>
          <w:sz w:val="24"/>
          <w:szCs w:val="24"/>
        </w:rPr>
        <w:t>. Acid inhibition and infections outside the gastrointestinal tract.</w:t>
      </w:r>
      <w:proofErr w:type="gramEnd"/>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Am J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2009</w:t>
      </w:r>
      <w:proofErr w:type="gramStart"/>
      <w:r w:rsidRPr="006717E3">
        <w:rPr>
          <w:rFonts w:ascii="Book Antiqua" w:eastAsia="宋体" w:hAnsi="Book Antiqua" w:cs="宋体"/>
          <w:sz w:val="24"/>
          <w:szCs w:val="24"/>
        </w:rPr>
        <w:t>;</w:t>
      </w:r>
      <w:proofErr w:type="gramEnd"/>
      <w:r w:rsidRPr="00443A23">
        <w:rPr>
          <w:rFonts w:ascii="Book Antiqua" w:eastAsia="宋体" w:hAnsi="Book Antiqua" w:cs="宋体"/>
          <w:sz w:val="24"/>
          <w:szCs w:val="24"/>
        </w:rPr>
        <w:t> </w:t>
      </w:r>
      <w:r w:rsidRPr="006717E3">
        <w:rPr>
          <w:rFonts w:ascii="Book Antiqua" w:eastAsia="宋体" w:hAnsi="Book Antiqua" w:cs="宋体"/>
          <w:b/>
          <w:bCs/>
          <w:sz w:val="24"/>
          <w:szCs w:val="24"/>
        </w:rPr>
        <w:t xml:space="preserve">104 </w:t>
      </w:r>
      <w:proofErr w:type="spellStart"/>
      <w:r w:rsidRPr="006717E3">
        <w:rPr>
          <w:rFonts w:ascii="Book Antiqua" w:eastAsia="宋体" w:hAnsi="Book Antiqua" w:cs="宋体"/>
          <w:bCs/>
          <w:sz w:val="24"/>
          <w:szCs w:val="24"/>
        </w:rPr>
        <w:t>Suppl</w:t>
      </w:r>
      <w:proofErr w:type="spellEnd"/>
      <w:r w:rsidRPr="006717E3">
        <w:rPr>
          <w:rFonts w:ascii="Book Antiqua" w:eastAsia="宋体" w:hAnsi="Book Antiqua" w:cs="宋体"/>
          <w:bCs/>
          <w:sz w:val="24"/>
          <w:szCs w:val="24"/>
        </w:rPr>
        <w:t xml:space="preserve"> 2</w:t>
      </w:r>
      <w:r w:rsidRPr="006717E3">
        <w:rPr>
          <w:rFonts w:ascii="Book Antiqua" w:eastAsia="宋体" w:hAnsi="Book Antiqua" w:cs="宋体"/>
          <w:sz w:val="24"/>
          <w:szCs w:val="24"/>
        </w:rPr>
        <w:t>: S17-S20 [PMID: 19262541 DOI: 10.1038/ajg.2009.47]</w:t>
      </w:r>
    </w:p>
    <w:p w14:paraId="0E4E6F1C"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35</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Eom</w:t>
      </w:r>
      <w:proofErr w:type="spellEnd"/>
      <w:r w:rsidRPr="006717E3">
        <w:rPr>
          <w:rFonts w:ascii="Book Antiqua" w:eastAsia="宋体" w:hAnsi="Book Antiqua" w:cs="宋体"/>
          <w:b/>
          <w:bCs/>
          <w:sz w:val="24"/>
          <w:szCs w:val="24"/>
        </w:rPr>
        <w:t xml:space="preserve"> CS</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Jeon</w:t>
      </w:r>
      <w:proofErr w:type="spellEnd"/>
      <w:r w:rsidRPr="006717E3">
        <w:rPr>
          <w:rFonts w:ascii="Book Antiqua" w:eastAsia="宋体" w:hAnsi="Book Antiqua" w:cs="宋体"/>
          <w:sz w:val="24"/>
          <w:szCs w:val="24"/>
        </w:rPr>
        <w:t xml:space="preserve"> CY, Lim JW, Cho EG, Park SM, Lee KS.</w:t>
      </w:r>
      <w:proofErr w:type="gramEnd"/>
      <w:r w:rsidRPr="006717E3">
        <w:rPr>
          <w:rFonts w:ascii="Book Antiqua" w:eastAsia="宋体" w:hAnsi="Book Antiqua" w:cs="宋体"/>
          <w:sz w:val="24"/>
          <w:szCs w:val="24"/>
        </w:rPr>
        <w:t xml:space="preserve"> Use of acid-suppressive drugs and risk of pneumonia: a systematic review and meta-analysis.</w:t>
      </w:r>
      <w:r w:rsidRPr="00443A23">
        <w:rPr>
          <w:rFonts w:ascii="Book Antiqua" w:eastAsia="宋体" w:hAnsi="Book Antiqua" w:cs="宋体"/>
          <w:sz w:val="24"/>
          <w:szCs w:val="24"/>
        </w:rPr>
        <w:t> </w:t>
      </w:r>
      <w:r w:rsidRPr="006717E3">
        <w:rPr>
          <w:rFonts w:ascii="Book Antiqua" w:eastAsia="宋体" w:hAnsi="Book Antiqua" w:cs="宋体"/>
          <w:i/>
          <w:iCs/>
          <w:sz w:val="24"/>
          <w:szCs w:val="24"/>
        </w:rPr>
        <w:t>CMAJ</w:t>
      </w:r>
      <w:r w:rsidRPr="00443A23">
        <w:rPr>
          <w:rFonts w:ascii="Book Antiqua" w:eastAsia="宋体" w:hAnsi="Book Antiqua" w:cs="宋体"/>
          <w:sz w:val="24"/>
          <w:szCs w:val="24"/>
        </w:rPr>
        <w:t> </w:t>
      </w:r>
      <w:r w:rsidRPr="006717E3">
        <w:rPr>
          <w:rFonts w:ascii="Book Antiqua" w:eastAsia="宋体" w:hAnsi="Book Antiqua" w:cs="宋体"/>
          <w:sz w:val="24"/>
          <w:szCs w:val="24"/>
        </w:rPr>
        <w:t>2011;</w:t>
      </w:r>
      <w:r w:rsidRPr="00443A23">
        <w:rPr>
          <w:rFonts w:ascii="Book Antiqua" w:eastAsia="宋体" w:hAnsi="Book Antiqua" w:cs="宋体"/>
          <w:sz w:val="24"/>
          <w:szCs w:val="24"/>
        </w:rPr>
        <w:t> </w:t>
      </w:r>
      <w:r w:rsidRPr="006717E3">
        <w:rPr>
          <w:rFonts w:ascii="Book Antiqua" w:eastAsia="宋体" w:hAnsi="Book Antiqua" w:cs="宋体"/>
          <w:b/>
          <w:bCs/>
          <w:sz w:val="24"/>
          <w:szCs w:val="24"/>
        </w:rPr>
        <w:t>183</w:t>
      </w:r>
      <w:r w:rsidRPr="006717E3">
        <w:rPr>
          <w:rFonts w:ascii="Book Antiqua" w:eastAsia="宋体" w:hAnsi="Book Antiqua" w:cs="宋体"/>
          <w:sz w:val="24"/>
          <w:szCs w:val="24"/>
        </w:rPr>
        <w:t>: 310-319 [PMID: 21173070 DOI: 10.1503/cmaj.092129]</w:t>
      </w:r>
    </w:p>
    <w:p w14:paraId="72093D24"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36</w:t>
      </w:r>
      <w:r w:rsidRPr="00443A23">
        <w:rPr>
          <w:rFonts w:ascii="Book Antiqua" w:eastAsia="宋体" w:hAnsi="Book Antiqua" w:cs="宋体"/>
          <w:sz w:val="24"/>
          <w:szCs w:val="24"/>
        </w:rPr>
        <w:t> </w:t>
      </w:r>
      <w:r w:rsidRPr="006717E3">
        <w:rPr>
          <w:rFonts w:ascii="Book Antiqua" w:eastAsia="宋体" w:hAnsi="Book Antiqua" w:cs="宋体"/>
          <w:b/>
          <w:bCs/>
          <w:sz w:val="24"/>
          <w:szCs w:val="24"/>
        </w:rPr>
        <w:t>Leonard J</w:t>
      </w:r>
      <w:r w:rsidRPr="006717E3">
        <w:rPr>
          <w:rFonts w:ascii="Book Antiqua" w:eastAsia="宋体" w:hAnsi="Book Antiqua" w:cs="宋体"/>
          <w:sz w:val="24"/>
          <w:szCs w:val="24"/>
        </w:rPr>
        <w:t xml:space="preserve">, Marshall JK, </w:t>
      </w:r>
      <w:proofErr w:type="spellStart"/>
      <w:r w:rsidRPr="006717E3">
        <w:rPr>
          <w:rFonts w:ascii="Book Antiqua" w:eastAsia="宋体" w:hAnsi="Book Antiqua" w:cs="宋体"/>
          <w:sz w:val="24"/>
          <w:szCs w:val="24"/>
        </w:rPr>
        <w:t>Moayyedi</w:t>
      </w:r>
      <w:proofErr w:type="spellEnd"/>
      <w:r w:rsidRPr="006717E3">
        <w:rPr>
          <w:rFonts w:ascii="Book Antiqua" w:eastAsia="宋体" w:hAnsi="Book Antiqua" w:cs="宋体"/>
          <w:sz w:val="24"/>
          <w:szCs w:val="24"/>
        </w:rPr>
        <w:t xml:space="preserve"> P. Systematic review of the risk of enteric infection in patients taking acid suppression.</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Am J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2007;</w:t>
      </w:r>
      <w:r w:rsidRPr="00443A23">
        <w:rPr>
          <w:rFonts w:ascii="Book Antiqua" w:eastAsia="宋体" w:hAnsi="Book Antiqua" w:cs="宋体"/>
          <w:sz w:val="24"/>
          <w:szCs w:val="24"/>
        </w:rPr>
        <w:t> </w:t>
      </w:r>
      <w:r w:rsidRPr="006717E3">
        <w:rPr>
          <w:rFonts w:ascii="Book Antiqua" w:eastAsia="宋体" w:hAnsi="Book Antiqua" w:cs="宋体"/>
          <w:b/>
          <w:bCs/>
          <w:sz w:val="24"/>
          <w:szCs w:val="24"/>
        </w:rPr>
        <w:t>102</w:t>
      </w:r>
      <w:r w:rsidRPr="006717E3">
        <w:rPr>
          <w:rFonts w:ascii="Book Antiqua" w:eastAsia="宋体" w:hAnsi="Book Antiqua" w:cs="宋体"/>
          <w:sz w:val="24"/>
          <w:szCs w:val="24"/>
        </w:rPr>
        <w:t>: 2047-256</w:t>
      </w:r>
      <w:proofErr w:type="gramStart"/>
      <w:r w:rsidRPr="006717E3">
        <w:rPr>
          <w:rFonts w:ascii="Book Antiqua" w:eastAsia="宋体" w:hAnsi="Book Antiqua" w:cs="宋体"/>
          <w:sz w:val="24"/>
          <w:szCs w:val="24"/>
        </w:rPr>
        <w:t>;</w:t>
      </w:r>
      <w:proofErr w:type="gramEnd"/>
      <w:r w:rsidRPr="006717E3">
        <w:rPr>
          <w:rFonts w:ascii="Book Antiqua" w:eastAsia="宋体" w:hAnsi="Book Antiqua" w:cs="宋体"/>
          <w:sz w:val="24"/>
          <w:szCs w:val="24"/>
        </w:rPr>
        <w:t xml:space="preserve"> quiz 2057 [PMID: 17509031 DOI: 10.1111/j.1572-0241.2007.01275.x]</w:t>
      </w:r>
    </w:p>
    <w:p w14:paraId="677B8237"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37</w:t>
      </w:r>
      <w:r w:rsidRPr="00443A23">
        <w:rPr>
          <w:rFonts w:ascii="Book Antiqua" w:eastAsia="宋体" w:hAnsi="Book Antiqua" w:cs="宋体"/>
          <w:sz w:val="24"/>
          <w:szCs w:val="24"/>
        </w:rPr>
        <w:t> </w:t>
      </w:r>
      <w:r w:rsidRPr="006717E3">
        <w:rPr>
          <w:rFonts w:ascii="Book Antiqua" w:eastAsia="宋体" w:hAnsi="Book Antiqua" w:cs="宋体"/>
          <w:b/>
          <w:bCs/>
          <w:sz w:val="24"/>
          <w:szCs w:val="24"/>
        </w:rPr>
        <w:t>Kim JW</w:t>
      </w:r>
      <w:r w:rsidRPr="006717E3">
        <w:rPr>
          <w:rFonts w:ascii="Book Antiqua" w:eastAsia="宋体" w:hAnsi="Book Antiqua" w:cs="宋体"/>
          <w:sz w:val="24"/>
          <w:szCs w:val="24"/>
        </w:rPr>
        <w:t xml:space="preserve">, Lee KL, </w:t>
      </w:r>
      <w:proofErr w:type="spellStart"/>
      <w:r w:rsidRPr="006717E3">
        <w:rPr>
          <w:rFonts w:ascii="Book Antiqua" w:eastAsia="宋体" w:hAnsi="Book Antiqua" w:cs="宋体"/>
          <w:sz w:val="24"/>
          <w:szCs w:val="24"/>
        </w:rPr>
        <w:t>Jeong</w:t>
      </w:r>
      <w:proofErr w:type="spellEnd"/>
      <w:r w:rsidRPr="006717E3">
        <w:rPr>
          <w:rFonts w:ascii="Book Antiqua" w:eastAsia="宋体" w:hAnsi="Book Antiqua" w:cs="宋体"/>
          <w:sz w:val="24"/>
          <w:szCs w:val="24"/>
        </w:rPr>
        <w:t xml:space="preserve"> JB, Kim BG, Shin S, Kim JS, Jung HC, Song IS. </w:t>
      </w:r>
      <w:proofErr w:type="gramStart"/>
      <w:r w:rsidRPr="006717E3">
        <w:rPr>
          <w:rFonts w:ascii="Book Antiqua" w:eastAsia="宋体" w:hAnsi="Book Antiqua" w:cs="宋体"/>
          <w:sz w:val="24"/>
          <w:szCs w:val="24"/>
        </w:rPr>
        <w:t>Proton pump inhibitors as a risk factor for recurrence of Clostridium-</w:t>
      </w:r>
      <w:proofErr w:type="spellStart"/>
      <w:r w:rsidRPr="006717E3">
        <w:rPr>
          <w:rFonts w:ascii="Book Antiqua" w:eastAsia="宋体" w:hAnsi="Book Antiqua" w:cs="宋体"/>
          <w:sz w:val="24"/>
          <w:szCs w:val="24"/>
        </w:rPr>
        <w:t>difficile</w:t>
      </w:r>
      <w:proofErr w:type="spellEnd"/>
      <w:r w:rsidRPr="006717E3">
        <w:rPr>
          <w:rFonts w:ascii="Book Antiqua" w:eastAsia="宋体" w:hAnsi="Book Antiqua" w:cs="宋体"/>
          <w:sz w:val="24"/>
          <w:szCs w:val="24"/>
        </w:rPr>
        <w:t xml:space="preserve">-associated </w:t>
      </w:r>
      <w:proofErr w:type="spellStart"/>
      <w:r w:rsidRPr="006717E3">
        <w:rPr>
          <w:rFonts w:ascii="Book Antiqua" w:eastAsia="宋体" w:hAnsi="Book Antiqua" w:cs="宋体"/>
          <w:sz w:val="24"/>
          <w:szCs w:val="24"/>
        </w:rPr>
        <w:t>diarrhea</w:t>
      </w:r>
      <w:proofErr w:type="spellEnd"/>
      <w:r w:rsidRPr="006717E3">
        <w:rPr>
          <w:rFonts w:ascii="Book Antiqua" w:eastAsia="宋体" w:hAnsi="Book Antiqua" w:cs="宋体"/>
          <w:sz w:val="24"/>
          <w:szCs w:val="24"/>
        </w:rPr>
        <w:t>.</w:t>
      </w:r>
      <w:proofErr w:type="gramEnd"/>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World J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16</w:t>
      </w:r>
      <w:r w:rsidRPr="006717E3">
        <w:rPr>
          <w:rFonts w:ascii="Book Antiqua" w:eastAsia="宋体" w:hAnsi="Book Antiqua" w:cs="宋体"/>
          <w:sz w:val="24"/>
          <w:szCs w:val="24"/>
        </w:rPr>
        <w:t>: 3573-3577 [PMID: 20653067 DOI: 10.3748/wjg.v16.i28.3573]</w:t>
      </w:r>
    </w:p>
    <w:p w14:paraId="083F66A7"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38</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Saiman</w:t>
      </w:r>
      <w:proofErr w:type="spellEnd"/>
      <w:r w:rsidRPr="006717E3">
        <w:rPr>
          <w:rFonts w:ascii="Book Antiqua" w:eastAsia="宋体" w:hAnsi="Book Antiqua" w:cs="宋体"/>
          <w:b/>
          <w:bCs/>
          <w:sz w:val="24"/>
          <w:szCs w:val="24"/>
        </w:rPr>
        <w:t xml:space="preserve"> L</w:t>
      </w:r>
      <w:r w:rsidRPr="006717E3">
        <w:rPr>
          <w:rFonts w:ascii="Book Antiqua" w:eastAsia="宋体" w:hAnsi="Book Antiqua" w:cs="宋体"/>
          <w:sz w:val="24"/>
          <w:szCs w:val="24"/>
        </w:rPr>
        <w:t>, Ludington E, Dawson JD, Patterson JE, Rangel-</w:t>
      </w:r>
      <w:proofErr w:type="spellStart"/>
      <w:r w:rsidRPr="006717E3">
        <w:rPr>
          <w:rFonts w:ascii="Book Antiqua" w:eastAsia="宋体" w:hAnsi="Book Antiqua" w:cs="宋体"/>
          <w:sz w:val="24"/>
          <w:szCs w:val="24"/>
        </w:rPr>
        <w:t>Frausto</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Wiblin</w:t>
      </w:r>
      <w:proofErr w:type="spellEnd"/>
      <w:r w:rsidRPr="006717E3">
        <w:rPr>
          <w:rFonts w:ascii="Book Antiqua" w:eastAsia="宋体" w:hAnsi="Book Antiqua" w:cs="宋体"/>
          <w:sz w:val="24"/>
          <w:szCs w:val="24"/>
        </w:rPr>
        <w:t xml:space="preserve"> RT, Blumberg HM, </w:t>
      </w:r>
      <w:proofErr w:type="spellStart"/>
      <w:r w:rsidRPr="006717E3">
        <w:rPr>
          <w:rFonts w:ascii="Book Antiqua" w:eastAsia="宋体" w:hAnsi="Book Antiqua" w:cs="宋体"/>
          <w:sz w:val="24"/>
          <w:szCs w:val="24"/>
        </w:rPr>
        <w:t>Pfaller</w:t>
      </w:r>
      <w:proofErr w:type="spellEnd"/>
      <w:r w:rsidRPr="006717E3">
        <w:rPr>
          <w:rFonts w:ascii="Book Antiqua" w:eastAsia="宋体" w:hAnsi="Book Antiqua" w:cs="宋体"/>
          <w:sz w:val="24"/>
          <w:szCs w:val="24"/>
        </w:rPr>
        <w:t xml:space="preserve"> M, </w:t>
      </w:r>
      <w:proofErr w:type="spellStart"/>
      <w:r w:rsidRPr="006717E3">
        <w:rPr>
          <w:rFonts w:ascii="Book Antiqua" w:eastAsia="宋体" w:hAnsi="Book Antiqua" w:cs="宋体"/>
          <w:sz w:val="24"/>
          <w:szCs w:val="24"/>
        </w:rPr>
        <w:t>Rinaldi</w:t>
      </w:r>
      <w:proofErr w:type="spellEnd"/>
      <w:r w:rsidRPr="006717E3">
        <w:rPr>
          <w:rFonts w:ascii="Book Antiqua" w:eastAsia="宋体" w:hAnsi="Book Antiqua" w:cs="宋体"/>
          <w:sz w:val="24"/>
          <w:szCs w:val="24"/>
        </w:rPr>
        <w:t xml:space="preserve"> M, Edwards JE, Wenzel RP, Jarvis W. Risk factors for Candida species colonization of neonatal intensive care unit patients.</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Infect Dis J</w:t>
      </w:r>
      <w:r w:rsidRPr="00443A23">
        <w:rPr>
          <w:rFonts w:ascii="Book Antiqua" w:eastAsia="宋体" w:hAnsi="Book Antiqua" w:cs="宋体"/>
          <w:sz w:val="24"/>
          <w:szCs w:val="24"/>
        </w:rPr>
        <w:t> </w:t>
      </w:r>
      <w:r w:rsidRPr="006717E3">
        <w:rPr>
          <w:rFonts w:ascii="Book Antiqua" w:eastAsia="宋体" w:hAnsi="Book Antiqua" w:cs="宋体"/>
          <w:sz w:val="24"/>
          <w:szCs w:val="24"/>
        </w:rPr>
        <w:t>2001;</w:t>
      </w:r>
      <w:r w:rsidRPr="00443A23">
        <w:rPr>
          <w:rFonts w:ascii="Book Antiqua" w:eastAsia="宋体" w:hAnsi="Book Antiqua" w:cs="宋体"/>
          <w:sz w:val="24"/>
          <w:szCs w:val="24"/>
        </w:rPr>
        <w:t> </w:t>
      </w:r>
      <w:r w:rsidRPr="006717E3">
        <w:rPr>
          <w:rFonts w:ascii="Book Antiqua" w:eastAsia="宋体" w:hAnsi="Book Antiqua" w:cs="宋体"/>
          <w:b/>
          <w:bCs/>
          <w:sz w:val="24"/>
          <w:szCs w:val="24"/>
        </w:rPr>
        <w:t>20</w:t>
      </w:r>
      <w:r w:rsidRPr="006717E3">
        <w:rPr>
          <w:rFonts w:ascii="Book Antiqua" w:eastAsia="宋体" w:hAnsi="Book Antiqua" w:cs="宋体"/>
          <w:sz w:val="24"/>
          <w:szCs w:val="24"/>
        </w:rPr>
        <w:t>: 1119-1124 [PMID: 11740316 DOI: 10.1097/00006454-200112000-00005]</w:t>
      </w:r>
    </w:p>
    <w:p w14:paraId="0351D303"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39</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Saiman</w:t>
      </w:r>
      <w:proofErr w:type="spellEnd"/>
      <w:r w:rsidRPr="006717E3">
        <w:rPr>
          <w:rFonts w:ascii="Book Antiqua" w:eastAsia="宋体" w:hAnsi="Book Antiqua" w:cs="宋体"/>
          <w:b/>
          <w:bCs/>
          <w:sz w:val="24"/>
          <w:szCs w:val="24"/>
        </w:rPr>
        <w:t xml:space="preserve"> L</w:t>
      </w:r>
      <w:r w:rsidRPr="006717E3">
        <w:rPr>
          <w:rFonts w:ascii="Book Antiqua" w:eastAsia="宋体" w:hAnsi="Book Antiqua" w:cs="宋体"/>
          <w:sz w:val="24"/>
          <w:szCs w:val="24"/>
        </w:rPr>
        <w:t xml:space="preserve">, Ludington E, </w:t>
      </w:r>
      <w:proofErr w:type="spellStart"/>
      <w:r w:rsidRPr="006717E3">
        <w:rPr>
          <w:rFonts w:ascii="Book Antiqua" w:eastAsia="宋体" w:hAnsi="Book Antiqua" w:cs="宋体"/>
          <w:sz w:val="24"/>
          <w:szCs w:val="24"/>
        </w:rPr>
        <w:t>Pfaller</w:t>
      </w:r>
      <w:proofErr w:type="spellEnd"/>
      <w:r w:rsidRPr="006717E3">
        <w:rPr>
          <w:rFonts w:ascii="Book Antiqua" w:eastAsia="宋体" w:hAnsi="Book Antiqua" w:cs="宋体"/>
          <w:sz w:val="24"/>
          <w:szCs w:val="24"/>
        </w:rPr>
        <w:t xml:space="preserve"> M, Rangel-</w:t>
      </w:r>
      <w:proofErr w:type="spellStart"/>
      <w:r w:rsidRPr="006717E3">
        <w:rPr>
          <w:rFonts w:ascii="Book Antiqua" w:eastAsia="宋体" w:hAnsi="Book Antiqua" w:cs="宋体"/>
          <w:sz w:val="24"/>
          <w:szCs w:val="24"/>
        </w:rPr>
        <w:t>Frausto</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Wiblin</w:t>
      </w:r>
      <w:proofErr w:type="spellEnd"/>
      <w:r w:rsidRPr="006717E3">
        <w:rPr>
          <w:rFonts w:ascii="Book Antiqua" w:eastAsia="宋体" w:hAnsi="Book Antiqua" w:cs="宋体"/>
          <w:sz w:val="24"/>
          <w:szCs w:val="24"/>
        </w:rPr>
        <w:t xml:space="preserve"> RT, Dawson J, Blumberg HM, Patterson JE, </w:t>
      </w:r>
      <w:proofErr w:type="spellStart"/>
      <w:r w:rsidRPr="006717E3">
        <w:rPr>
          <w:rFonts w:ascii="Book Antiqua" w:eastAsia="宋体" w:hAnsi="Book Antiqua" w:cs="宋体"/>
          <w:sz w:val="24"/>
          <w:szCs w:val="24"/>
        </w:rPr>
        <w:t>Rinaldi</w:t>
      </w:r>
      <w:proofErr w:type="spellEnd"/>
      <w:r w:rsidRPr="006717E3">
        <w:rPr>
          <w:rFonts w:ascii="Book Antiqua" w:eastAsia="宋体" w:hAnsi="Book Antiqua" w:cs="宋体"/>
          <w:sz w:val="24"/>
          <w:szCs w:val="24"/>
        </w:rPr>
        <w:t xml:space="preserve"> M, Edwards JE, Wenzel RP, Jarvis W. Risk factors for </w:t>
      </w:r>
      <w:proofErr w:type="spellStart"/>
      <w:r w:rsidRPr="006717E3">
        <w:rPr>
          <w:rFonts w:ascii="Book Antiqua" w:eastAsia="宋体" w:hAnsi="Book Antiqua" w:cs="宋体"/>
          <w:sz w:val="24"/>
          <w:szCs w:val="24"/>
        </w:rPr>
        <w:t>candidemia</w:t>
      </w:r>
      <w:proofErr w:type="spellEnd"/>
      <w:r w:rsidRPr="006717E3">
        <w:rPr>
          <w:rFonts w:ascii="Book Antiqua" w:eastAsia="宋体" w:hAnsi="Book Antiqua" w:cs="宋体"/>
          <w:sz w:val="24"/>
          <w:szCs w:val="24"/>
        </w:rPr>
        <w:t xml:space="preserve"> in Neonatal Intensive Care Unit patients. </w:t>
      </w:r>
      <w:proofErr w:type="gramStart"/>
      <w:r w:rsidRPr="006717E3">
        <w:rPr>
          <w:rFonts w:ascii="Book Antiqua" w:eastAsia="宋体" w:hAnsi="Book Antiqua" w:cs="宋体"/>
          <w:sz w:val="24"/>
          <w:szCs w:val="24"/>
        </w:rPr>
        <w:t>The National Epidemiology of Mycosis Survey study group.</w:t>
      </w:r>
      <w:proofErr w:type="gramEnd"/>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Infect Dis J</w:t>
      </w:r>
      <w:r w:rsidRPr="00443A23">
        <w:rPr>
          <w:rFonts w:ascii="Book Antiqua" w:eastAsia="宋体" w:hAnsi="Book Antiqua" w:cs="宋体"/>
          <w:sz w:val="24"/>
          <w:szCs w:val="24"/>
        </w:rPr>
        <w:t> </w:t>
      </w:r>
      <w:r w:rsidRPr="006717E3">
        <w:rPr>
          <w:rFonts w:ascii="Book Antiqua" w:eastAsia="宋体" w:hAnsi="Book Antiqua" w:cs="宋体"/>
          <w:sz w:val="24"/>
          <w:szCs w:val="24"/>
        </w:rPr>
        <w:t>2000;</w:t>
      </w:r>
      <w:r w:rsidRPr="00443A23">
        <w:rPr>
          <w:rFonts w:ascii="Book Antiqua" w:eastAsia="宋体" w:hAnsi="Book Antiqua" w:cs="宋体"/>
          <w:sz w:val="24"/>
          <w:szCs w:val="24"/>
        </w:rPr>
        <w:t> </w:t>
      </w:r>
      <w:r w:rsidRPr="006717E3">
        <w:rPr>
          <w:rFonts w:ascii="Book Antiqua" w:eastAsia="宋体" w:hAnsi="Book Antiqua" w:cs="宋体"/>
          <w:b/>
          <w:bCs/>
          <w:sz w:val="24"/>
          <w:szCs w:val="24"/>
        </w:rPr>
        <w:t>19</w:t>
      </w:r>
      <w:r w:rsidRPr="006717E3">
        <w:rPr>
          <w:rFonts w:ascii="Book Antiqua" w:eastAsia="宋体" w:hAnsi="Book Antiqua" w:cs="宋体"/>
          <w:sz w:val="24"/>
          <w:szCs w:val="24"/>
        </w:rPr>
        <w:t>: 319-324 [PMID: 10783022 DOI: 10.1097/00006454-200004000-00011]</w:t>
      </w:r>
    </w:p>
    <w:p w14:paraId="7518D25C"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40</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Guillet</w:t>
      </w:r>
      <w:proofErr w:type="spellEnd"/>
      <w:r w:rsidRPr="006717E3">
        <w:rPr>
          <w:rFonts w:ascii="Book Antiqua" w:eastAsia="宋体" w:hAnsi="Book Antiqua" w:cs="宋体"/>
          <w:b/>
          <w:bCs/>
          <w:sz w:val="24"/>
          <w:szCs w:val="24"/>
        </w:rPr>
        <w:t xml:space="preserve"> R</w:t>
      </w:r>
      <w:r w:rsidRPr="006717E3">
        <w:rPr>
          <w:rFonts w:ascii="Book Antiqua" w:eastAsia="宋体" w:hAnsi="Book Antiqua" w:cs="宋体"/>
          <w:sz w:val="24"/>
          <w:szCs w:val="24"/>
        </w:rPr>
        <w:t xml:space="preserve">, Stoll BJ, </w:t>
      </w:r>
      <w:proofErr w:type="spellStart"/>
      <w:r w:rsidRPr="006717E3">
        <w:rPr>
          <w:rFonts w:ascii="Book Antiqua" w:eastAsia="宋体" w:hAnsi="Book Antiqua" w:cs="宋体"/>
          <w:sz w:val="24"/>
          <w:szCs w:val="24"/>
        </w:rPr>
        <w:t>Cotten</w:t>
      </w:r>
      <w:proofErr w:type="spellEnd"/>
      <w:r w:rsidRPr="006717E3">
        <w:rPr>
          <w:rFonts w:ascii="Book Antiqua" w:eastAsia="宋体" w:hAnsi="Book Antiqua" w:cs="宋体"/>
          <w:sz w:val="24"/>
          <w:szCs w:val="24"/>
        </w:rPr>
        <w:t xml:space="preserve"> CM, </w:t>
      </w:r>
      <w:proofErr w:type="spellStart"/>
      <w:r w:rsidRPr="006717E3">
        <w:rPr>
          <w:rFonts w:ascii="Book Antiqua" w:eastAsia="宋体" w:hAnsi="Book Antiqua" w:cs="宋体"/>
          <w:sz w:val="24"/>
          <w:szCs w:val="24"/>
        </w:rPr>
        <w:t>Gantz</w:t>
      </w:r>
      <w:proofErr w:type="spellEnd"/>
      <w:r w:rsidRPr="006717E3">
        <w:rPr>
          <w:rFonts w:ascii="Book Antiqua" w:eastAsia="宋体" w:hAnsi="Book Antiqua" w:cs="宋体"/>
          <w:sz w:val="24"/>
          <w:szCs w:val="24"/>
        </w:rPr>
        <w:t xml:space="preserve"> M, McDonald S, Poole WK, Phelps DL. </w:t>
      </w:r>
      <w:proofErr w:type="gramStart"/>
      <w:r w:rsidRPr="006717E3">
        <w:rPr>
          <w:rFonts w:ascii="Book Antiqua" w:eastAsia="宋体" w:hAnsi="Book Antiqua" w:cs="宋体"/>
          <w:sz w:val="24"/>
          <w:szCs w:val="24"/>
        </w:rPr>
        <w:t xml:space="preserve">Association of H2-blocker therapy and higher incidence of necrotizing </w:t>
      </w:r>
      <w:proofErr w:type="spellStart"/>
      <w:r w:rsidRPr="006717E3">
        <w:rPr>
          <w:rFonts w:ascii="Book Antiqua" w:eastAsia="宋体" w:hAnsi="Book Antiqua" w:cs="宋体"/>
          <w:sz w:val="24"/>
          <w:szCs w:val="24"/>
        </w:rPr>
        <w:t>enterocolitis</w:t>
      </w:r>
      <w:proofErr w:type="spellEnd"/>
      <w:r w:rsidRPr="006717E3">
        <w:rPr>
          <w:rFonts w:ascii="Book Antiqua" w:eastAsia="宋体" w:hAnsi="Book Antiqua" w:cs="宋体"/>
          <w:sz w:val="24"/>
          <w:szCs w:val="24"/>
        </w:rPr>
        <w:t xml:space="preserve"> in very low birth weight infants.</w:t>
      </w:r>
      <w:proofErr w:type="gramEnd"/>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Pediatrics</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2006;</w:t>
      </w:r>
      <w:r w:rsidRPr="00443A23">
        <w:rPr>
          <w:rFonts w:ascii="Book Antiqua" w:eastAsia="宋体" w:hAnsi="Book Antiqua" w:cs="宋体"/>
          <w:sz w:val="24"/>
          <w:szCs w:val="24"/>
        </w:rPr>
        <w:t> </w:t>
      </w:r>
      <w:r w:rsidRPr="006717E3">
        <w:rPr>
          <w:rFonts w:ascii="Book Antiqua" w:eastAsia="宋体" w:hAnsi="Book Antiqua" w:cs="宋体"/>
          <w:b/>
          <w:bCs/>
          <w:sz w:val="24"/>
          <w:szCs w:val="24"/>
        </w:rPr>
        <w:t>117</w:t>
      </w:r>
      <w:r w:rsidRPr="006717E3">
        <w:rPr>
          <w:rFonts w:ascii="Book Antiqua" w:eastAsia="宋体" w:hAnsi="Book Antiqua" w:cs="宋体"/>
          <w:sz w:val="24"/>
          <w:szCs w:val="24"/>
        </w:rPr>
        <w:t>: e137-e142 [PMID: 16390920 DOI: 10.1542/peds.2005-1543]</w:t>
      </w:r>
    </w:p>
    <w:p w14:paraId="544AFD12"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41</w:t>
      </w:r>
      <w:r w:rsidRPr="00443A23">
        <w:rPr>
          <w:rFonts w:ascii="Book Antiqua" w:eastAsia="宋体" w:hAnsi="Book Antiqua" w:cs="宋体"/>
          <w:sz w:val="24"/>
          <w:szCs w:val="24"/>
        </w:rPr>
        <w:t> </w:t>
      </w:r>
      <w:r w:rsidRPr="006717E3">
        <w:rPr>
          <w:rFonts w:ascii="Book Antiqua" w:eastAsia="宋体" w:hAnsi="Book Antiqua" w:cs="宋体"/>
          <w:b/>
          <w:bCs/>
          <w:sz w:val="24"/>
          <w:szCs w:val="24"/>
        </w:rPr>
        <w:t>Stoll BJ</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Temprosa</w:t>
      </w:r>
      <w:proofErr w:type="spellEnd"/>
      <w:r w:rsidRPr="006717E3">
        <w:rPr>
          <w:rFonts w:ascii="Book Antiqua" w:eastAsia="宋体" w:hAnsi="Book Antiqua" w:cs="宋体"/>
          <w:sz w:val="24"/>
          <w:szCs w:val="24"/>
        </w:rPr>
        <w:t xml:space="preserve"> M, Tyson JE, </w:t>
      </w:r>
      <w:proofErr w:type="spellStart"/>
      <w:r w:rsidRPr="006717E3">
        <w:rPr>
          <w:rFonts w:ascii="Book Antiqua" w:eastAsia="宋体" w:hAnsi="Book Antiqua" w:cs="宋体"/>
          <w:sz w:val="24"/>
          <w:szCs w:val="24"/>
        </w:rPr>
        <w:t>Papile</w:t>
      </w:r>
      <w:proofErr w:type="spellEnd"/>
      <w:r w:rsidRPr="006717E3">
        <w:rPr>
          <w:rFonts w:ascii="Book Antiqua" w:eastAsia="宋体" w:hAnsi="Book Antiqua" w:cs="宋体"/>
          <w:sz w:val="24"/>
          <w:szCs w:val="24"/>
        </w:rPr>
        <w:t xml:space="preserve"> LA, Wright LL, Bauer CR, Donovan EF, </w:t>
      </w:r>
      <w:proofErr w:type="spellStart"/>
      <w:r w:rsidRPr="006717E3">
        <w:rPr>
          <w:rFonts w:ascii="Book Antiqua" w:eastAsia="宋体" w:hAnsi="Book Antiqua" w:cs="宋体"/>
          <w:sz w:val="24"/>
          <w:szCs w:val="24"/>
        </w:rPr>
        <w:t>Korones</w:t>
      </w:r>
      <w:proofErr w:type="spellEnd"/>
      <w:r w:rsidRPr="006717E3">
        <w:rPr>
          <w:rFonts w:ascii="Book Antiqua" w:eastAsia="宋体" w:hAnsi="Book Antiqua" w:cs="宋体"/>
          <w:sz w:val="24"/>
          <w:szCs w:val="24"/>
        </w:rPr>
        <w:t xml:space="preserve"> SB, Lemons JA, </w:t>
      </w:r>
      <w:proofErr w:type="spellStart"/>
      <w:r w:rsidRPr="006717E3">
        <w:rPr>
          <w:rFonts w:ascii="Book Antiqua" w:eastAsia="宋体" w:hAnsi="Book Antiqua" w:cs="宋体"/>
          <w:sz w:val="24"/>
          <w:szCs w:val="24"/>
        </w:rPr>
        <w:t>Fanaroff</w:t>
      </w:r>
      <w:proofErr w:type="spellEnd"/>
      <w:r w:rsidRPr="006717E3">
        <w:rPr>
          <w:rFonts w:ascii="Book Antiqua" w:eastAsia="宋体" w:hAnsi="Book Antiqua" w:cs="宋体"/>
          <w:sz w:val="24"/>
          <w:szCs w:val="24"/>
        </w:rPr>
        <w:t xml:space="preserve"> AA, Stevenson DK, Oh W, </w:t>
      </w:r>
      <w:proofErr w:type="spellStart"/>
      <w:r w:rsidRPr="006717E3">
        <w:rPr>
          <w:rFonts w:ascii="Book Antiqua" w:eastAsia="宋体" w:hAnsi="Book Antiqua" w:cs="宋体"/>
          <w:sz w:val="24"/>
          <w:szCs w:val="24"/>
        </w:rPr>
        <w:t>Ehrenkranz</w:t>
      </w:r>
      <w:proofErr w:type="spellEnd"/>
      <w:r w:rsidRPr="006717E3">
        <w:rPr>
          <w:rFonts w:ascii="Book Antiqua" w:eastAsia="宋体" w:hAnsi="Book Antiqua" w:cs="宋体"/>
          <w:sz w:val="24"/>
          <w:szCs w:val="24"/>
        </w:rPr>
        <w:t xml:space="preserve"> RA, </w:t>
      </w:r>
      <w:proofErr w:type="spellStart"/>
      <w:r w:rsidRPr="006717E3">
        <w:rPr>
          <w:rFonts w:ascii="Book Antiqua" w:eastAsia="宋体" w:hAnsi="Book Antiqua" w:cs="宋体"/>
          <w:sz w:val="24"/>
          <w:szCs w:val="24"/>
        </w:rPr>
        <w:t>Shankaran</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Verter</w:t>
      </w:r>
      <w:proofErr w:type="spellEnd"/>
      <w:r w:rsidRPr="006717E3">
        <w:rPr>
          <w:rFonts w:ascii="Book Antiqua" w:eastAsia="宋体" w:hAnsi="Book Antiqua" w:cs="宋体"/>
          <w:sz w:val="24"/>
          <w:szCs w:val="24"/>
        </w:rPr>
        <w:t xml:space="preserve"> J. Dexamethasone therapy increases infection in very low birth </w:t>
      </w:r>
      <w:r w:rsidRPr="006717E3">
        <w:rPr>
          <w:rFonts w:ascii="Book Antiqua" w:eastAsia="宋体" w:hAnsi="Book Antiqua" w:cs="宋体"/>
          <w:sz w:val="24"/>
          <w:szCs w:val="24"/>
        </w:rPr>
        <w:lastRenderedPageBreak/>
        <w:t>weight infants.</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Pediatrics</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1999;</w:t>
      </w:r>
      <w:r w:rsidRPr="00443A23">
        <w:rPr>
          <w:rFonts w:ascii="Book Antiqua" w:eastAsia="宋体" w:hAnsi="Book Antiqua" w:cs="宋体"/>
          <w:sz w:val="24"/>
          <w:szCs w:val="24"/>
        </w:rPr>
        <w:t> </w:t>
      </w:r>
      <w:r w:rsidRPr="006717E3">
        <w:rPr>
          <w:rFonts w:ascii="Book Antiqua" w:eastAsia="宋体" w:hAnsi="Book Antiqua" w:cs="宋体"/>
          <w:b/>
          <w:bCs/>
          <w:sz w:val="24"/>
          <w:szCs w:val="24"/>
        </w:rPr>
        <w:t>104</w:t>
      </w:r>
      <w:r w:rsidRPr="006717E3">
        <w:rPr>
          <w:rFonts w:ascii="Book Antiqua" w:eastAsia="宋体" w:hAnsi="Book Antiqua" w:cs="宋体"/>
          <w:sz w:val="24"/>
          <w:szCs w:val="24"/>
        </w:rPr>
        <w:t>: e63 [PMID: 10545589 DOI: 10.1542/peds.104.5.e63]</w:t>
      </w:r>
    </w:p>
    <w:p w14:paraId="5BDB90A7"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42</w:t>
      </w:r>
      <w:r w:rsidRPr="00443A23">
        <w:rPr>
          <w:rFonts w:ascii="Book Antiqua" w:eastAsia="宋体" w:hAnsi="Book Antiqua" w:cs="宋体"/>
          <w:sz w:val="24"/>
          <w:szCs w:val="24"/>
        </w:rPr>
        <w:t> </w:t>
      </w:r>
      <w:r w:rsidRPr="006717E3">
        <w:rPr>
          <w:rFonts w:ascii="Book Antiqua" w:eastAsia="宋体" w:hAnsi="Book Antiqua" w:cs="宋体"/>
          <w:b/>
          <w:bCs/>
          <w:sz w:val="24"/>
          <w:szCs w:val="24"/>
        </w:rPr>
        <w:t>Beck-</w:t>
      </w:r>
      <w:proofErr w:type="spellStart"/>
      <w:r w:rsidRPr="006717E3">
        <w:rPr>
          <w:rFonts w:ascii="Book Antiqua" w:eastAsia="宋体" w:hAnsi="Book Antiqua" w:cs="宋体"/>
          <w:b/>
          <w:bCs/>
          <w:sz w:val="24"/>
          <w:szCs w:val="24"/>
        </w:rPr>
        <w:t>Sague</w:t>
      </w:r>
      <w:proofErr w:type="spellEnd"/>
      <w:r w:rsidRPr="006717E3">
        <w:rPr>
          <w:rFonts w:ascii="Book Antiqua" w:eastAsia="宋体" w:hAnsi="Book Antiqua" w:cs="宋体"/>
          <w:b/>
          <w:bCs/>
          <w:sz w:val="24"/>
          <w:szCs w:val="24"/>
        </w:rPr>
        <w:t xml:space="preserve"> CM</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Azimi</w:t>
      </w:r>
      <w:proofErr w:type="spellEnd"/>
      <w:r w:rsidRPr="006717E3">
        <w:rPr>
          <w:rFonts w:ascii="Book Antiqua" w:eastAsia="宋体" w:hAnsi="Book Antiqua" w:cs="宋体"/>
          <w:sz w:val="24"/>
          <w:szCs w:val="24"/>
        </w:rPr>
        <w:t xml:space="preserve"> P, Fonseca SN, Baltimore RS, Powell DA, Bland LA, </w:t>
      </w:r>
      <w:proofErr w:type="spellStart"/>
      <w:r w:rsidRPr="006717E3">
        <w:rPr>
          <w:rFonts w:ascii="Book Antiqua" w:eastAsia="宋体" w:hAnsi="Book Antiqua" w:cs="宋体"/>
          <w:sz w:val="24"/>
          <w:szCs w:val="24"/>
        </w:rPr>
        <w:t>Arduino</w:t>
      </w:r>
      <w:proofErr w:type="spellEnd"/>
      <w:r w:rsidRPr="006717E3">
        <w:rPr>
          <w:rFonts w:ascii="Book Antiqua" w:eastAsia="宋体" w:hAnsi="Book Antiqua" w:cs="宋体"/>
          <w:sz w:val="24"/>
          <w:szCs w:val="24"/>
        </w:rPr>
        <w:t xml:space="preserve"> MJ, McAllister SK, </w:t>
      </w:r>
      <w:proofErr w:type="spellStart"/>
      <w:r w:rsidRPr="006717E3">
        <w:rPr>
          <w:rFonts w:ascii="Book Antiqua" w:eastAsia="宋体" w:hAnsi="Book Antiqua" w:cs="宋体"/>
          <w:sz w:val="24"/>
          <w:szCs w:val="24"/>
        </w:rPr>
        <w:t>Huberman</w:t>
      </w:r>
      <w:proofErr w:type="spellEnd"/>
      <w:r w:rsidRPr="006717E3">
        <w:rPr>
          <w:rFonts w:ascii="Book Antiqua" w:eastAsia="宋体" w:hAnsi="Book Antiqua" w:cs="宋体"/>
          <w:sz w:val="24"/>
          <w:szCs w:val="24"/>
        </w:rPr>
        <w:t xml:space="preserve"> RS, </w:t>
      </w:r>
      <w:proofErr w:type="spellStart"/>
      <w:r w:rsidRPr="006717E3">
        <w:rPr>
          <w:rFonts w:ascii="Book Antiqua" w:eastAsia="宋体" w:hAnsi="Book Antiqua" w:cs="宋体"/>
          <w:sz w:val="24"/>
          <w:szCs w:val="24"/>
        </w:rPr>
        <w:t>Sinkowitz</w:t>
      </w:r>
      <w:proofErr w:type="spellEnd"/>
      <w:r w:rsidRPr="006717E3">
        <w:rPr>
          <w:rFonts w:ascii="Book Antiqua" w:eastAsia="宋体" w:hAnsi="Book Antiqua" w:cs="宋体"/>
          <w:sz w:val="24"/>
          <w:szCs w:val="24"/>
        </w:rPr>
        <w:t xml:space="preserve"> RL.</w:t>
      </w:r>
      <w:proofErr w:type="gramEnd"/>
      <w:r w:rsidRPr="006717E3">
        <w:rPr>
          <w:rFonts w:ascii="Book Antiqua" w:eastAsia="宋体" w:hAnsi="Book Antiqua" w:cs="宋体"/>
          <w:sz w:val="24"/>
          <w:szCs w:val="24"/>
        </w:rPr>
        <w:t xml:space="preserve"> Bloodstream infections in neonatal intensive care unit patients: results of a </w:t>
      </w:r>
      <w:proofErr w:type="spellStart"/>
      <w:r w:rsidRPr="006717E3">
        <w:rPr>
          <w:rFonts w:ascii="Book Antiqua" w:eastAsia="宋体" w:hAnsi="Book Antiqua" w:cs="宋体"/>
          <w:sz w:val="24"/>
          <w:szCs w:val="24"/>
        </w:rPr>
        <w:t>multicenter</w:t>
      </w:r>
      <w:proofErr w:type="spellEnd"/>
      <w:r w:rsidRPr="006717E3">
        <w:rPr>
          <w:rFonts w:ascii="Book Antiqua" w:eastAsia="宋体" w:hAnsi="Book Antiqua" w:cs="宋体"/>
          <w:sz w:val="24"/>
          <w:szCs w:val="24"/>
        </w:rPr>
        <w:t xml:space="preserve"> study.</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Infect Dis J</w:t>
      </w:r>
      <w:r w:rsidRPr="00443A23">
        <w:rPr>
          <w:rFonts w:ascii="Book Antiqua" w:eastAsia="宋体" w:hAnsi="Book Antiqua" w:cs="宋体"/>
          <w:sz w:val="24"/>
          <w:szCs w:val="24"/>
        </w:rPr>
        <w:t> </w:t>
      </w:r>
      <w:r w:rsidRPr="006717E3">
        <w:rPr>
          <w:rFonts w:ascii="Book Antiqua" w:eastAsia="宋体" w:hAnsi="Book Antiqua" w:cs="宋体"/>
          <w:sz w:val="24"/>
          <w:szCs w:val="24"/>
        </w:rPr>
        <w:t>1994;</w:t>
      </w:r>
      <w:r w:rsidRPr="00443A23">
        <w:rPr>
          <w:rFonts w:ascii="Book Antiqua" w:eastAsia="宋体" w:hAnsi="Book Antiqua" w:cs="宋体"/>
          <w:sz w:val="24"/>
          <w:szCs w:val="24"/>
        </w:rPr>
        <w:t> </w:t>
      </w:r>
      <w:r w:rsidRPr="006717E3">
        <w:rPr>
          <w:rFonts w:ascii="Book Antiqua" w:eastAsia="宋体" w:hAnsi="Book Antiqua" w:cs="宋体"/>
          <w:b/>
          <w:bCs/>
          <w:sz w:val="24"/>
          <w:szCs w:val="24"/>
        </w:rPr>
        <w:t>13</w:t>
      </w:r>
      <w:r w:rsidRPr="006717E3">
        <w:rPr>
          <w:rFonts w:ascii="Book Antiqua" w:eastAsia="宋体" w:hAnsi="Book Antiqua" w:cs="宋体"/>
          <w:sz w:val="24"/>
          <w:szCs w:val="24"/>
        </w:rPr>
        <w:t>: 1110-1116 [PMID: 7892080 DOI: 10.1097/00006454-199412000-00008]</w:t>
      </w:r>
    </w:p>
    <w:p w14:paraId="11492CD7"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43</w:t>
      </w:r>
      <w:r w:rsidRPr="00443A23">
        <w:rPr>
          <w:rFonts w:ascii="Book Antiqua" w:eastAsia="宋体" w:hAnsi="Book Antiqua" w:cs="宋体"/>
          <w:sz w:val="24"/>
          <w:szCs w:val="24"/>
        </w:rPr>
        <w:t> </w:t>
      </w:r>
      <w:r w:rsidRPr="006717E3">
        <w:rPr>
          <w:rFonts w:ascii="Book Antiqua" w:eastAsia="宋体" w:hAnsi="Book Antiqua" w:cs="宋体"/>
          <w:b/>
          <w:bCs/>
          <w:sz w:val="24"/>
          <w:szCs w:val="24"/>
        </w:rPr>
        <w:t>Carrion V</w:t>
      </w:r>
      <w:r w:rsidRPr="006717E3">
        <w:rPr>
          <w:rFonts w:ascii="Book Antiqua" w:eastAsia="宋体" w:hAnsi="Book Antiqua" w:cs="宋体"/>
          <w:sz w:val="24"/>
          <w:szCs w:val="24"/>
        </w:rPr>
        <w:t xml:space="preserve">, Egan EA. </w:t>
      </w:r>
      <w:proofErr w:type="gramStart"/>
      <w:r w:rsidRPr="006717E3">
        <w:rPr>
          <w:rFonts w:ascii="Book Antiqua" w:eastAsia="宋体" w:hAnsi="Book Antiqua" w:cs="宋体"/>
          <w:sz w:val="24"/>
          <w:szCs w:val="24"/>
        </w:rPr>
        <w:t xml:space="preserve">Prevention of neonatal necrotizing </w:t>
      </w:r>
      <w:proofErr w:type="spellStart"/>
      <w:r w:rsidRPr="006717E3">
        <w:rPr>
          <w:rFonts w:ascii="Book Antiqua" w:eastAsia="宋体" w:hAnsi="Book Antiqua" w:cs="宋体"/>
          <w:sz w:val="24"/>
          <w:szCs w:val="24"/>
        </w:rPr>
        <w:t>enterocolitis</w:t>
      </w:r>
      <w:proofErr w:type="spellEnd"/>
      <w:r w:rsidRPr="006717E3">
        <w:rPr>
          <w:rFonts w:ascii="Book Antiqua" w:eastAsia="宋体" w:hAnsi="Book Antiqua" w:cs="宋体"/>
          <w:sz w:val="24"/>
          <w:szCs w:val="24"/>
        </w:rPr>
        <w:t>.</w:t>
      </w:r>
      <w:proofErr w:type="gramEnd"/>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Pediatr</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Nutr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1990;</w:t>
      </w:r>
      <w:r w:rsidRPr="00443A23">
        <w:rPr>
          <w:rFonts w:ascii="Book Antiqua" w:eastAsia="宋体" w:hAnsi="Book Antiqua" w:cs="宋体"/>
          <w:sz w:val="24"/>
          <w:szCs w:val="24"/>
        </w:rPr>
        <w:t> </w:t>
      </w:r>
      <w:r w:rsidRPr="006717E3">
        <w:rPr>
          <w:rFonts w:ascii="Book Antiqua" w:eastAsia="宋体" w:hAnsi="Book Antiqua" w:cs="宋体"/>
          <w:b/>
          <w:bCs/>
          <w:sz w:val="24"/>
          <w:szCs w:val="24"/>
        </w:rPr>
        <w:t>11</w:t>
      </w:r>
      <w:r w:rsidRPr="006717E3">
        <w:rPr>
          <w:rFonts w:ascii="Book Antiqua" w:eastAsia="宋体" w:hAnsi="Book Antiqua" w:cs="宋体"/>
          <w:sz w:val="24"/>
          <w:szCs w:val="24"/>
        </w:rPr>
        <w:t>: 317-323 [PMID: 2246712 DOI: 10.1097/00005176-199010000-00006]</w:t>
      </w:r>
    </w:p>
    <w:p w14:paraId="3F49E33C"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44</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Schöll</w:t>
      </w:r>
      <w:proofErr w:type="spellEnd"/>
      <w:r w:rsidRPr="006717E3">
        <w:rPr>
          <w:rFonts w:ascii="Book Antiqua" w:eastAsia="宋体" w:hAnsi="Book Antiqua" w:cs="宋体"/>
          <w:b/>
          <w:bCs/>
          <w:sz w:val="24"/>
          <w:szCs w:val="24"/>
        </w:rPr>
        <w:t xml:space="preserve"> I</w:t>
      </w:r>
      <w:r w:rsidRPr="006717E3">
        <w:rPr>
          <w:rFonts w:ascii="Book Antiqua" w:eastAsia="宋体" w:hAnsi="Book Antiqua" w:cs="宋体"/>
          <w:sz w:val="24"/>
          <w:szCs w:val="24"/>
        </w:rPr>
        <w:t xml:space="preserve">, Ackermann U, </w:t>
      </w:r>
      <w:proofErr w:type="spellStart"/>
      <w:r w:rsidRPr="006717E3">
        <w:rPr>
          <w:rFonts w:ascii="Book Antiqua" w:eastAsia="宋体" w:hAnsi="Book Antiqua" w:cs="宋体"/>
          <w:sz w:val="24"/>
          <w:szCs w:val="24"/>
        </w:rPr>
        <w:t>Ozdemir</w:t>
      </w:r>
      <w:proofErr w:type="spellEnd"/>
      <w:r w:rsidRPr="006717E3">
        <w:rPr>
          <w:rFonts w:ascii="Book Antiqua" w:eastAsia="宋体" w:hAnsi="Book Antiqua" w:cs="宋体"/>
          <w:sz w:val="24"/>
          <w:szCs w:val="24"/>
        </w:rPr>
        <w:t xml:space="preserve"> C, </w:t>
      </w:r>
      <w:proofErr w:type="spellStart"/>
      <w:r w:rsidRPr="006717E3">
        <w:rPr>
          <w:rFonts w:ascii="Book Antiqua" w:eastAsia="宋体" w:hAnsi="Book Antiqua" w:cs="宋体"/>
          <w:sz w:val="24"/>
          <w:szCs w:val="24"/>
        </w:rPr>
        <w:t>Blümer</w:t>
      </w:r>
      <w:proofErr w:type="spellEnd"/>
      <w:r w:rsidRPr="006717E3">
        <w:rPr>
          <w:rFonts w:ascii="Book Antiqua" w:eastAsia="宋体" w:hAnsi="Book Antiqua" w:cs="宋体"/>
          <w:sz w:val="24"/>
          <w:szCs w:val="24"/>
        </w:rPr>
        <w:t xml:space="preserve"> N, </w:t>
      </w:r>
      <w:proofErr w:type="spellStart"/>
      <w:r w:rsidRPr="006717E3">
        <w:rPr>
          <w:rFonts w:ascii="Book Antiqua" w:eastAsia="宋体" w:hAnsi="Book Antiqua" w:cs="宋体"/>
          <w:sz w:val="24"/>
          <w:szCs w:val="24"/>
        </w:rPr>
        <w:t>Dicke</w:t>
      </w:r>
      <w:proofErr w:type="spellEnd"/>
      <w:r w:rsidRPr="006717E3">
        <w:rPr>
          <w:rFonts w:ascii="Book Antiqua" w:eastAsia="宋体" w:hAnsi="Book Antiqua" w:cs="宋体"/>
          <w:sz w:val="24"/>
          <w:szCs w:val="24"/>
        </w:rPr>
        <w:t xml:space="preserve"> T, </w:t>
      </w:r>
      <w:proofErr w:type="spellStart"/>
      <w:r w:rsidRPr="006717E3">
        <w:rPr>
          <w:rFonts w:ascii="Book Antiqua" w:eastAsia="宋体" w:hAnsi="Book Antiqua" w:cs="宋体"/>
          <w:sz w:val="24"/>
          <w:szCs w:val="24"/>
        </w:rPr>
        <w:t>Sel</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Sel</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Wegmann</w:t>
      </w:r>
      <w:proofErr w:type="spellEnd"/>
      <w:r w:rsidRPr="006717E3">
        <w:rPr>
          <w:rFonts w:ascii="Book Antiqua" w:eastAsia="宋体" w:hAnsi="Book Antiqua" w:cs="宋体"/>
          <w:sz w:val="24"/>
          <w:szCs w:val="24"/>
        </w:rPr>
        <w:t xml:space="preserve"> M, </w:t>
      </w:r>
      <w:proofErr w:type="spellStart"/>
      <w:r w:rsidRPr="006717E3">
        <w:rPr>
          <w:rFonts w:ascii="Book Antiqua" w:eastAsia="宋体" w:hAnsi="Book Antiqua" w:cs="宋体"/>
          <w:sz w:val="24"/>
          <w:szCs w:val="24"/>
        </w:rPr>
        <w:t>Szalai</w:t>
      </w:r>
      <w:proofErr w:type="spellEnd"/>
      <w:r w:rsidRPr="006717E3">
        <w:rPr>
          <w:rFonts w:ascii="Book Antiqua" w:eastAsia="宋体" w:hAnsi="Book Antiqua" w:cs="宋体"/>
          <w:sz w:val="24"/>
          <w:szCs w:val="24"/>
        </w:rPr>
        <w:t xml:space="preserve"> K, </w:t>
      </w:r>
      <w:proofErr w:type="spellStart"/>
      <w:r w:rsidRPr="006717E3">
        <w:rPr>
          <w:rFonts w:ascii="Book Antiqua" w:eastAsia="宋体" w:hAnsi="Book Antiqua" w:cs="宋体"/>
          <w:sz w:val="24"/>
          <w:szCs w:val="24"/>
        </w:rPr>
        <w:t>Knittelfelder</w:t>
      </w:r>
      <w:proofErr w:type="spellEnd"/>
      <w:r w:rsidRPr="006717E3">
        <w:rPr>
          <w:rFonts w:ascii="Book Antiqua" w:eastAsia="宋体" w:hAnsi="Book Antiqua" w:cs="宋体"/>
          <w:sz w:val="24"/>
          <w:szCs w:val="24"/>
        </w:rPr>
        <w:t xml:space="preserve"> R, </w:t>
      </w:r>
      <w:proofErr w:type="spellStart"/>
      <w:r w:rsidRPr="006717E3">
        <w:rPr>
          <w:rFonts w:ascii="Book Antiqua" w:eastAsia="宋体" w:hAnsi="Book Antiqua" w:cs="宋体"/>
          <w:sz w:val="24"/>
          <w:szCs w:val="24"/>
        </w:rPr>
        <w:t>Untersmayr</w:t>
      </w:r>
      <w:proofErr w:type="spellEnd"/>
      <w:r w:rsidRPr="006717E3">
        <w:rPr>
          <w:rFonts w:ascii="Book Antiqua" w:eastAsia="宋体" w:hAnsi="Book Antiqua" w:cs="宋体"/>
          <w:sz w:val="24"/>
          <w:szCs w:val="24"/>
        </w:rPr>
        <w:t xml:space="preserve"> E, </w:t>
      </w:r>
      <w:proofErr w:type="spellStart"/>
      <w:r w:rsidRPr="006717E3">
        <w:rPr>
          <w:rFonts w:ascii="Book Antiqua" w:eastAsia="宋体" w:hAnsi="Book Antiqua" w:cs="宋体"/>
          <w:sz w:val="24"/>
          <w:szCs w:val="24"/>
        </w:rPr>
        <w:t>Scheiner</w:t>
      </w:r>
      <w:proofErr w:type="spellEnd"/>
      <w:r w:rsidRPr="006717E3">
        <w:rPr>
          <w:rFonts w:ascii="Book Antiqua" w:eastAsia="宋体" w:hAnsi="Book Antiqua" w:cs="宋体"/>
          <w:sz w:val="24"/>
          <w:szCs w:val="24"/>
        </w:rPr>
        <w:t xml:space="preserve"> O, Garn H, Jensen-</w:t>
      </w:r>
      <w:proofErr w:type="spellStart"/>
      <w:r w:rsidRPr="006717E3">
        <w:rPr>
          <w:rFonts w:ascii="Book Antiqua" w:eastAsia="宋体" w:hAnsi="Book Antiqua" w:cs="宋体"/>
          <w:sz w:val="24"/>
          <w:szCs w:val="24"/>
        </w:rPr>
        <w:t>Jarolim</w:t>
      </w:r>
      <w:proofErr w:type="spellEnd"/>
      <w:r w:rsidRPr="006717E3">
        <w:rPr>
          <w:rFonts w:ascii="Book Antiqua" w:eastAsia="宋体" w:hAnsi="Book Antiqua" w:cs="宋体"/>
          <w:sz w:val="24"/>
          <w:szCs w:val="24"/>
        </w:rPr>
        <w:t xml:space="preserve"> E, </w:t>
      </w:r>
      <w:proofErr w:type="spellStart"/>
      <w:r w:rsidRPr="006717E3">
        <w:rPr>
          <w:rFonts w:ascii="Book Antiqua" w:eastAsia="宋体" w:hAnsi="Book Antiqua" w:cs="宋体"/>
          <w:sz w:val="24"/>
          <w:szCs w:val="24"/>
        </w:rPr>
        <w:t>Renz</w:t>
      </w:r>
      <w:proofErr w:type="spellEnd"/>
      <w:r w:rsidRPr="006717E3">
        <w:rPr>
          <w:rFonts w:ascii="Book Antiqua" w:eastAsia="宋体" w:hAnsi="Book Antiqua" w:cs="宋体"/>
          <w:sz w:val="24"/>
          <w:szCs w:val="24"/>
        </w:rPr>
        <w:t xml:space="preserve"> H. Anti-ulcer treatment during pregnancy induces food allergy in mouse mothers and a Th2-bias in their offspring.</w:t>
      </w:r>
      <w:r w:rsidRPr="00443A23">
        <w:rPr>
          <w:rFonts w:ascii="Book Antiqua" w:eastAsia="宋体" w:hAnsi="Book Antiqua" w:cs="宋体"/>
          <w:sz w:val="24"/>
          <w:szCs w:val="24"/>
        </w:rPr>
        <w:t> </w:t>
      </w:r>
      <w:r w:rsidRPr="006717E3">
        <w:rPr>
          <w:rFonts w:ascii="Book Antiqua" w:eastAsia="宋体" w:hAnsi="Book Antiqua" w:cs="宋体"/>
          <w:i/>
          <w:iCs/>
          <w:sz w:val="24"/>
          <w:szCs w:val="24"/>
        </w:rPr>
        <w:t>FASEB J</w:t>
      </w:r>
      <w:r w:rsidRPr="00443A23">
        <w:rPr>
          <w:rFonts w:ascii="Book Antiqua" w:eastAsia="宋体" w:hAnsi="Book Antiqua" w:cs="宋体"/>
          <w:sz w:val="24"/>
          <w:szCs w:val="24"/>
        </w:rPr>
        <w:t> </w:t>
      </w:r>
      <w:r w:rsidRPr="006717E3">
        <w:rPr>
          <w:rFonts w:ascii="Book Antiqua" w:eastAsia="宋体" w:hAnsi="Book Antiqua" w:cs="宋体"/>
          <w:sz w:val="24"/>
          <w:szCs w:val="24"/>
        </w:rPr>
        <w:t>2007;</w:t>
      </w:r>
      <w:r w:rsidRPr="00443A23">
        <w:rPr>
          <w:rFonts w:ascii="Book Antiqua" w:eastAsia="宋体" w:hAnsi="Book Antiqua" w:cs="宋体"/>
          <w:sz w:val="24"/>
          <w:szCs w:val="24"/>
        </w:rPr>
        <w:t> </w:t>
      </w:r>
      <w:r w:rsidRPr="006717E3">
        <w:rPr>
          <w:rFonts w:ascii="Book Antiqua" w:eastAsia="宋体" w:hAnsi="Book Antiqua" w:cs="宋体"/>
          <w:b/>
          <w:bCs/>
          <w:sz w:val="24"/>
          <w:szCs w:val="24"/>
        </w:rPr>
        <w:t>21</w:t>
      </w:r>
      <w:r w:rsidRPr="006717E3">
        <w:rPr>
          <w:rFonts w:ascii="Book Antiqua" w:eastAsia="宋体" w:hAnsi="Book Antiqua" w:cs="宋体"/>
          <w:sz w:val="24"/>
          <w:szCs w:val="24"/>
        </w:rPr>
        <w:t>: 1264-1270 [PMID: 17227952 DOI: 10.1096/fj.06-7223com]</w:t>
      </w:r>
    </w:p>
    <w:p w14:paraId="109F584E"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45</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Dehlink</w:t>
      </w:r>
      <w:proofErr w:type="spellEnd"/>
      <w:r w:rsidRPr="006717E3">
        <w:rPr>
          <w:rFonts w:ascii="Book Antiqua" w:eastAsia="宋体" w:hAnsi="Book Antiqua" w:cs="宋体"/>
          <w:b/>
          <w:bCs/>
          <w:sz w:val="24"/>
          <w:szCs w:val="24"/>
        </w:rPr>
        <w:t xml:space="preserve"> E</w:t>
      </w:r>
      <w:r w:rsidRPr="006717E3">
        <w:rPr>
          <w:rFonts w:ascii="Book Antiqua" w:eastAsia="宋体" w:hAnsi="Book Antiqua" w:cs="宋体"/>
          <w:sz w:val="24"/>
          <w:szCs w:val="24"/>
        </w:rPr>
        <w:t xml:space="preserve">, Yen E, </w:t>
      </w:r>
      <w:proofErr w:type="spellStart"/>
      <w:r w:rsidRPr="006717E3">
        <w:rPr>
          <w:rFonts w:ascii="Book Antiqua" w:eastAsia="宋体" w:hAnsi="Book Antiqua" w:cs="宋体"/>
          <w:sz w:val="24"/>
          <w:szCs w:val="24"/>
        </w:rPr>
        <w:t>Leichtner</w:t>
      </w:r>
      <w:proofErr w:type="spellEnd"/>
      <w:r w:rsidRPr="006717E3">
        <w:rPr>
          <w:rFonts w:ascii="Book Antiqua" w:eastAsia="宋体" w:hAnsi="Book Antiqua" w:cs="宋体"/>
          <w:sz w:val="24"/>
          <w:szCs w:val="24"/>
        </w:rPr>
        <w:t xml:space="preserve"> AM, </w:t>
      </w:r>
      <w:proofErr w:type="spellStart"/>
      <w:r w:rsidRPr="006717E3">
        <w:rPr>
          <w:rFonts w:ascii="Book Antiqua" w:eastAsia="宋体" w:hAnsi="Book Antiqua" w:cs="宋体"/>
          <w:sz w:val="24"/>
          <w:szCs w:val="24"/>
        </w:rPr>
        <w:t>Hait</w:t>
      </w:r>
      <w:proofErr w:type="spellEnd"/>
      <w:r w:rsidRPr="006717E3">
        <w:rPr>
          <w:rFonts w:ascii="Book Antiqua" w:eastAsia="宋体" w:hAnsi="Book Antiqua" w:cs="宋体"/>
          <w:sz w:val="24"/>
          <w:szCs w:val="24"/>
        </w:rPr>
        <w:t xml:space="preserve"> EJ, </w:t>
      </w:r>
      <w:proofErr w:type="spellStart"/>
      <w:r w:rsidRPr="006717E3">
        <w:rPr>
          <w:rFonts w:ascii="Book Antiqua" w:eastAsia="宋体" w:hAnsi="Book Antiqua" w:cs="宋体"/>
          <w:sz w:val="24"/>
          <w:szCs w:val="24"/>
        </w:rPr>
        <w:t>Fiebiger</w:t>
      </w:r>
      <w:proofErr w:type="spellEnd"/>
      <w:r w:rsidRPr="006717E3">
        <w:rPr>
          <w:rFonts w:ascii="Book Antiqua" w:eastAsia="宋体" w:hAnsi="Book Antiqua" w:cs="宋体"/>
          <w:sz w:val="24"/>
          <w:szCs w:val="24"/>
        </w:rPr>
        <w:t xml:space="preserve"> E.</w:t>
      </w:r>
      <w:proofErr w:type="gramEnd"/>
      <w:r w:rsidRPr="006717E3">
        <w:rPr>
          <w:rFonts w:ascii="Book Antiqua" w:eastAsia="宋体" w:hAnsi="Book Antiqua" w:cs="宋体"/>
          <w:sz w:val="24"/>
          <w:szCs w:val="24"/>
        </w:rPr>
        <w:t xml:space="preserve"> First evidence of a possible association between gastric acid suppression during pregnancy and childhood asthma: a population-based register study.</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Exp</w:t>
      </w:r>
      <w:proofErr w:type="spellEnd"/>
      <w:r w:rsidRPr="006717E3">
        <w:rPr>
          <w:rFonts w:ascii="Book Antiqua" w:eastAsia="宋体" w:hAnsi="Book Antiqua" w:cs="宋体"/>
          <w:i/>
          <w:iCs/>
          <w:sz w:val="24"/>
          <w:szCs w:val="24"/>
        </w:rPr>
        <w:t xml:space="preserve"> Allergy</w:t>
      </w:r>
      <w:r w:rsidRPr="00443A23">
        <w:rPr>
          <w:rFonts w:ascii="Book Antiqua" w:eastAsia="宋体" w:hAnsi="Book Antiqua" w:cs="宋体"/>
          <w:sz w:val="24"/>
          <w:szCs w:val="24"/>
        </w:rPr>
        <w:t> </w:t>
      </w:r>
      <w:r w:rsidRPr="006717E3">
        <w:rPr>
          <w:rFonts w:ascii="Book Antiqua" w:eastAsia="宋体" w:hAnsi="Book Antiqua" w:cs="宋体"/>
          <w:sz w:val="24"/>
          <w:szCs w:val="24"/>
        </w:rPr>
        <w:t>2009;</w:t>
      </w:r>
      <w:r w:rsidRPr="00443A23">
        <w:rPr>
          <w:rFonts w:ascii="Book Antiqua" w:eastAsia="宋体" w:hAnsi="Book Antiqua" w:cs="宋体"/>
          <w:sz w:val="24"/>
          <w:szCs w:val="24"/>
        </w:rPr>
        <w:t> </w:t>
      </w:r>
      <w:r w:rsidRPr="006717E3">
        <w:rPr>
          <w:rFonts w:ascii="Book Antiqua" w:eastAsia="宋体" w:hAnsi="Book Antiqua" w:cs="宋体"/>
          <w:b/>
          <w:bCs/>
          <w:sz w:val="24"/>
          <w:szCs w:val="24"/>
        </w:rPr>
        <w:t>39</w:t>
      </w:r>
      <w:r w:rsidRPr="006717E3">
        <w:rPr>
          <w:rFonts w:ascii="Book Antiqua" w:eastAsia="宋体" w:hAnsi="Book Antiqua" w:cs="宋体"/>
          <w:sz w:val="24"/>
          <w:szCs w:val="24"/>
        </w:rPr>
        <w:t>: 246-253 [PMID: 19134022 DOI: 10.1111/j.1365-2222.2008.03125.x</w:t>
      </w:r>
      <w:r w:rsidRPr="00443A23">
        <w:rPr>
          <w:rFonts w:ascii="Book Antiqua" w:eastAsia="宋体" w:hAnsi="Book Antiqua" w:cs="宋体"/>
          <w:sz w:val="24"/>
          <w:szCs w:val="24"/>
        </w:rPr>
        <w:t>]</w:t>
      </w:r>
    </w:p>
    <w:p w14:paraId="4C0B6434"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46</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Heidelbaugh</w:t>
      </w:r>
      <w:proofErr w:type="spellEnd"/>
      <w:r w:rsidRPr="006717E3">
        <w:rPr>
          <w:rFonts w:ascii="Book Antiqua" w:eastAsia="宋体" w:hAnsi="Book Antiqua" w:cs="宋体"/>
          <w:b/>
          <w:bCs/>
          <w:sz w:val="24"/>
          <w:szCs w:val="24"/>
        </w:rPr>
        <w:t xml:space="preserve"> JJ</w:t>
      </w:r>
      <w:r w:rsidRPr="006717E3">
        <w:rPr>
          <w:rFonts w:ascii="Book Antiqua" w:eastAsia="宋体" w:hAnsi="Book Antiqua" w:cs="宋体"/>
          <w:sz w:val="24"/>
          <w:szCs w:val="24"/>
        </w:rPr>
        <w:t>, Metz DC, Yang YX.</w:t>
      </w:r>
      <w:proofErr w:type="gramEnd"/>
      <w:r w:rsidRPr="006717E3">
        <w:rPr>
          <w:rFonts w:ascii="Book Antiqua" w:eastAsia="宋体" w:hAnsi="Book Antiqua" w:cs="宋体"/>
          <w:sz w:val="24"/>
          <w:szCs w:val="24"/>
        </w:rPr>
        <w:t xml:space="preserve"> Proton pump inhibitors: are they </w:t>
      </w:r>
      <w:proofErr w:type="spellStart"/>
      <w:r w:rsidRPr="006717E3">
        <w:rPr>
          <w:rFonts w:ascii="Book Antiqua" w:eastAsia="宋体" w:hAnsi="Book Antiqua" w:cs="宋体"/>
          <w:sz w:val="24"/>
          <w:szCs w:val="24"/>
        </w:rPr>
        <w:t>overutilised</w:t>
      </w:r>
      <w:proofErr w:type="spellEnd"/>
      <w:r w:rsidRPr="006717E3">
        <w:rPr>
          <w:rFonts w:ascii="Book Antiqua" w:eastAsia="宋体" w:hAnsi="Book Antiqua" w:cs="宋体"/>
          <w:sz w:val="24"/>
          <w:szCs w:val="24"/>
        </w:rPr>
        <w:t xml:space="preserve"> in clinical practice and do they pose significant risk?</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Int</w:t>
      </w:r>
      <w:proofErr w:type="spellEnd"/>
      <w:r w:rsidRPr="006717E3">
        <w:rPr>
          <w:rFonts w:ascii="Book Antiqua" w:eastAsia="宋体" w:hAnsi="Book Antiqua" w:cs="宋体"/>
          <w:i/>
          <w:iCs/>
          <w:sz w:val="24"/>
          <w:szCs w:val="24"/>
        </w:rPr>
        <w:t xml:space="preserve"> J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Pract</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66</w:t>
      </w:r>
      <w:r w:rsidRPr="006717E3">
        <w:rPr>
          <w:rFonts w:ascii="Book Antiqua" w:eastAsia="宋体" w:hAnsi="Book Antiqua" w:cs="宋体"/>
          <w:sz w:val="24"/>
          <w:szCs w:val="24"/>
        </w:rPr>
        <w:t>: 582-591 [PMID: 22607510 DOI: 10.1111/j.1742-1241.2012.02921.x]</w:t>
      </w:r>
    </w:p>
    <w:p w14:paraId="6C0FFDBF"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47</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Fiocca</w:t>
      </w:r>
      <w:proofErr w:type="spellEnd"/>
      <w:r w:rsidRPr="006717E3">
        <w:rPr>
          <w:rFonts w:ascii="Book Antiqua" w:eastAsia="宋体" w:hAnsi="Book Antiqua" w:cs="宋体"/>
          <w:b/>
          <w:bCs/>
          <w:sz w:val="24"/>
          <w:szCs w:val="24"/>
        </w:rPr>
        <w:t xml:space="preserve"> R</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Mastracci</w:t>
      </w:r>
      <w:proofErr w:type="spellEnd"/>
      <w:r w:rsidRPr="006717E3">
        <w:rPr>
          <w:rFonts w:ascii="Book Antiqua" w:eastAsia="宋体" w:hAnsi="Book Antiqua" w:cs="宋体"/>
          <w:sz w:val="24"/>
          <w:szCs w:val="24"/>
        </w:rPr>
        <w:t xml:space="preserve"> L, Attwood SE, Ell C, </w:t>
      </w:r>
      <w:proofErr w:type="spellStart"/>
      <w:r w:rsidRPr="006717E3">
        <w:rPr>
          <w:rFonts w:ascii="Book Antiqua" w:eastAsia="宋体" w:hAnsi="Book Antiqua" w:cs="宋体"/>
          <w:sz w:val="24"/>
          <w:szCs w:val="24"/>
        </w:rPr>
        <w:t>Galmiche</w:t>
      </w:r>
      <w:proofErr w:type="spellEnd"/>
      <w:r w:rsidRPr="006717E3">
        <w:rPr>
          <w:rFonts w:ascii="Book Antiqua" w:eastAsia="宋体" w:hAnsi="Book Antiqua" w:cs="宋体"/>
          <w:sz w:val="24"/>
          <w:szCs w:val="24"/>
        </w:rPr>
        <w:t xml:space="preserve"> JP, </w:t>
      </w:r>
      <w:proofErr w:type="spellStart"/>
      <w:r w:rsidRPr="006717E3">
        <w:rPr>
          <w:rFonts w:ascii="Book Antiqua" w:eastAsia="宋体" w:hAnsi="Book Antiqua" w:cs="宋体"/>
          <w:sz w:val="24"/>
          <w:szCs w:val="24"/>
        </w:rPr>
        <w:t>Hatlebakk</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Bärthel</w:t>
      </w:r>
      <w:proofErr w:type="spellEnd"/>
      <w:r w:rsidRPr="006717E3">
        <w:rPr>
          <w:rFonts w:ascii="Book Antiqua" w:eastAsia="宋体" w:hAnsi="Book Antiqua" w:cs="宋体"/>
          <w:sz w:val="24"/>
          <w:szCs w:val="24"/>
        </w:rPr>
        <w:t xml:space="preserve"> A, </w:t>
      </w:r>
      <w:proofErr w:type="spellStart"/>
      <w:r w:rsidRPr="006717E3">
        <w:rPr>
          <w:rFonts w:ascii="Book Antiqua" w:eastAsia="宋体" w:hAnsi="Book Antiqua" w:cs="宋体"/>
          <w:sz w:val="24"/>
          <w:szCs w:val="24"/>
        </w:rPr>
        <w:t>Långström</w:t>
      </w:r>
      <w:proofErr w:type="spellEnd"/>
      <w:r w:rsidRPr="006717E3">
        <w:rPr>
          <w:rFonts w:ascii="Book Antiqua" w:eastAsia="宋体" w:hAnsi="Book Antiqua" w:cs="宋体"/>
          <w:sz w:val="24"/>
          <w:szCs w:val="24"/>
        </w:rPr>
        <w:t xml:space="preserve"> G, Lind T, </w:t>
      </w:r>
      <w:proofErr w:type="spellStart"/>
      <w:r w:rsidRPr="006717E3">
        <w:rPr>
          <w:rFonts w:ascii="Book Antiqua" w:eastAsia="宋体" w:hAnsi="Book Antiqua" w:cs="宋体"/>
          <w:sz w:val="24"/>
          <w:szCs w:val="24"/>
        </w:rPr>
        <w:t>Lundell</w:t>
      </w:r>
      <w:proofErr w:type="spellEnd"/>
      <w:r w:rsidRPr="006717E3">
        <w:rPr>
          <w:rFonts w:ascii="Book Antiqua" w:eastAsia="宋体" w:hAnsi="Book Antiqua" w:cs="宋体"/>
          <w:sz w:val="24"/>
          <w:szCs w:val="24"/>
        </w:rPr>
        <w:t xml:space="preserve"> L. Gastric exocrine and endocrine cell morphology under prolonged acid inhibition therapy: results of a 5-year follow-up in the LOTUS trial.</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Aliment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36</w:t>
      </w:r>
      <w:r w:rsidRPr="006717E3">
        <w:rPr>
          <w:rFonts w:ascii="Book Antiqua" w:eastAsia="宋体" w:hAnsi="Book Antiqua" w:cs="宋体"/>
          <w:sz w:val="24"/>
          <w:szCs w:val="24"/>
        </w:rPr>
        <w:t>: 959-971 [PMID: 22998687 DOI: 10.1111/apt.12052]</w:t>
      </w:r>
    </w:p>
    <w:p w14:paraId="3C8686F1"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48</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Jalving</w:t>
      </w:r>
      <w:proofErr w:type="spellEnd"/>
      <w:r w:rsidRPr="006717E3">
        <w:rPr>
          <w:rFonts w:ascii="Book Antiqua" w:eastAsia="宋体" w:hAnsi="Book Antiqua" w:cs="宋体"/>
          <w:b/>
          <w:bCs/>
          <w:sz w:val="24"/>
          <w:szCs w:val="24"/>
        </w:rPr>
        <w:t xml:space="preserve"> M</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Koornstra</w:t>
      </w:r>
      <w:proofErr w:type="spellEnd"/>
      <w:r w:rsidRPr="006717E3">
        <w:rPr>
          <w:rFonts w:ascii="Book Antiqua" w:eastAsia="宋体" w:hAnsi="Book Antiqua" w:cs="宋体"/>
          <w:sz w:val="24"/>
          <w:szCs w:val="24"/>
        </w:rPr>
        <w:t xml:space="preserve"> JJ, </w:t>
      </w:r>
      <w:proofErr w:type="spellStart"/>
      <w:r w:rsidRPr="006717E3">
        <w:rPr>
          <w:rFonts w:ascii="Book Antiqua" w:eastAsia="宋体" w:hAnsi="Book Antiqua" w:cs="宋体"/>
          <w:sz w:val="24"/>
          <w:szCs w:val="24"/>
        </w:rPr>
        <w:t>Wesseling</w:t>
      </w:r>
      <w:proofErr w:type="spellEnd"/>
      <w:r w:rsidRPr="006717E3">
        <w:rPr>
          <w:rFonts w:ascii="Book Antiqua" w:eastAsia="宋体" w:hAnsi="Book Antiqua" w:cs="宋体"/>
          <w:sz w:val="24"/>
          <w:szCs w:val="24"/>
        </w:rPr>
        <w:t xml:space="preserve"> J, </w:t>
      </w:r>
      <w:proofErr w:type="spellStart"/>
      <w:r w:rsidRPr="006717E3">
        <w:rPr>
          <w:rFonts w:ascii="Book Antiqua" w:eastAsia="宋体" w:hAnsi="Book Antiqua" w:cs="宋体"/>
          <w:sz w:val="24"/>
          <w:szCs w:val="24"/>
        </w:rPr>
        <w:t>Boezen</w:t>
      </w:r>
      <w:proofErr w:type="spellEnd"/>
      <w:r w:rsidRPr="006717E3">
        <w:rPr>
          <w:rFonts w:ascii="Book Antiqua" w:eastAsia="宋体" w:hAnsi="Book Antiqua" w:cs="宋体"/>
          <w:sz w:val="24"/>
          <w:szCs w:val="24"/>
        </w:rPr>
        <w:t xml:space="preserve"> HM, DE Jong S, </w:t>
      </w:r>
      <w:proofErr w:type="spellStart"/>
      <w:r w:rsidRPr="006717E3">
        <w:rPr>
          <w:rFonts w:ascii="Book Antiqua" w:eastAsia="宋体" w:hAnsi="Book Antiqua" w:cs="宋体"/>
          <w:sz w:val="24"/>
          <w:szCs w:val="24"/>
        </w:rPr>
        <w:t>Kleibeuker</w:t>
      </w:r>
      <w:proofErr w:type="spellEnd"/>
      <w:r w:rsidRPr="006717E3">
        <w:rPr>
          <w:rFonts w:ascii="Book Antiqua" w:eastAsia="宋体" w:hAnsi="Book Antiqua" w:cs="宋体"/>
          <w:sz w:val="24"/>
          <w:szCs w:val="24"/>
        </w:rPr>
        <w:t xml:space="preserve"> JH. Increased </w:t>
      </w:r>
      <w:proofErr w:type="gramStart"/>
      <w:r w:rsidRPr="006717E3">
        <w:rPr>
          <w:rFonts w:ascii="Book Antiqua" w:eastAsia="宋体" w:hAnsi="Book Antiqua" w:cs="宋体"/>
          <w:sz w:val="24"/>
          <w:szCs w:val="24"/>
        </w:rPr>
        <w:t xml:space="preserve">risk of </w:t>
      </w:r>
      <w:proofErr w:type="spellStart"/>
      <w:r w:rsidRPr="006717E3">
        <w:rPr>
          <w:rFonts w:ascii="Book Antiqua" w:eastAsia="宋体" w:hAnsi="Book Antiqua" w:cs="宋体"/>
          <w:sz w:val="24"/>
          <w:szCs w:val="24"/>
        </w:rPr>
        <w:t>fundic</w:t>
      </w:r>
      <w:proofErr w:type="spellEnd"/>
      <w:r w:rsidRPr="006717E3">
        <w:rPr>
          <w:rFonts w:ascii="Book Antiqua" w:eastAsia="宋体" w:hAnsi="Book Antiqua" w:cs="宋体"/>
          <w:sz w:val="24"/>
          <w:szCs w:val="24"/>
        </w:rPr>
        <w:t xml:space="preserve"> gland polyps during long-term proton pump</w:t>
      </w:r>
      <w:proofErr w:type="gramEnd"/>
      <w:r w:rsidRPr="006717E3">
        <w:rPr>
          <w:rFonts w:ascii="Book Antiqua" w:eastAsia="宋体" w:hAnsi="Book Antiqua" w:cs="宋体"/>
          <w:sz w:val="24"/>
          <w:szCs w:val="24"/>
        </w:rPr>
        <w:t xml:space="preserve"> inhibitor therapy.</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Aliment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2006;</w:t>
      </w:r>
      <w:r w:rsidRPr="00443A23">
        <w:rPr>
          <w:rFonts w:ascii="Book Antiqua" w:eastAsia="宋体" w:hAnsi="Book Antiqua" w:cs="宋体"/>
          <w:sz w:val="24"/>
          <w:szCs w:val="24"/>
        </w:rPr>
        <w:t> </w:t>
      </w:r>
      <w:r w:rsidRPr="006717E3">
        <w:rPr>
          <w:rFonts w:ascii="Book Antiqua" w:eastAsia="宋体" w:hAnsi="Book Antiqua" w:cs="宋体"/>
          <w:b/>
          <w:bCs/>
          <w:sz w:val="24"/>
          <w:szCs w:val="24"/>
        </w:rPr>
        <w:t>24</w:t>
      </w:r>
      <w:r w:rsidRPr="006717E3">
        <w:rPr>
          <w:rFonts w:ascii="Book Antiqua" w:eastAsia="宋体" w:hAnsi="Book Antiqua" w:cs="宋体"/>
          <w:sz w:val="24"/>
          <w:szCs w:val="24"/>
        </w:rPr>
        <w:t>: 1341-1348 [PMID: 17059515 DOI: 10.1111/j.1365-2036.2006.03127.x]</w:t>
      </w:r>
    </w:p>
    <w:p w14:paraId="0FF39D73"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lastRenderedPageBreak/>
        <w:t>49</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Valuck</w:t>
      </w:r>
      <w:proofErr w:type="spellEnd"/>
      <w:r w:rsidRPr="006717E3">
        <w:rPr>
          <w:rFonts w:ascii="Book Antiqua" w:eastAsia="宋体" w:hAnsi="Book Antiqua" w:cs="宋体"/>
          <w:b/>
          <w:bCs/>
          <w:sz w:val="24"/>
          <w:szCs w:val="24"/>
        </w:rPr>
        <w:t xml:space="preserve"> RJ</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Ruscin</w:t>
      </w:r>
      <w:proofErr w:type="spellEnd"/>
      <w:r w:rsidRPr="006717E3">
        <w:rPr>
          <w:rFonts w:ascii="Book Antiqua" w:eastAsia="宋体" w:hAnsi="Book Antiqua" w:cs="宋体"/>
          <w:sz w:val="24"/>
          <w:szCs w:val="24"/>
        </w:rPr>
        <w:t xml:space="preserve"> JM.</w:t>
      </w:r>
      <w:proofErr w:type="gramEnd"/>
      <w:r w:rsidRPr="006717E3">
        <w:rPr>
          <w:rFonts w:ascii="Book Antiqua" w:eastAsia="宋体" w:hAnsi="Book Antiqua" w:cs="宋体"/>
          <w:sz w:val="24"/>
          <w:szCs w:val="24"/>
        </w:rPr>
        <w:t xml:space="preserve"> A case-control study on adverse effects: H2 blocker or </w:t>
      </w:r>
      <w:proofErr w:type="gramStart"/>
      <w:r w:rsidRPr="006717E3">
        <w:rPr>
          <w:rFonts w:ascii="Book Antiqua" w:eastAsia="宋体" w:hAnsi="Book Antiqua" w:cs="宋体"/>
          <w:sz w:val="24"/>
          <w:szCs w:val="24"/>
        </w:rPr>
        <w:t>proton pump</w:t>
      </w:r>
      <w:proofErr w:type="gramEnd"/>
      <w:r w:rsidRPr="006717E3">
        <w:rPr>
          <w:rFonts w:ascii="Book Antiqua" w:eastAsia="宋体" w:hAnsi="Book Antiqua" w:cs="宋体"/>
          <w:sz w:val="24"/>
          <w:szCs w:val="24"/>
        </w:rPr>
        <w:t xml:space="preserve"> inhibitor use and risk of vitamin B12 deficiency in older adults.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Epidemiol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2004;</w:t>
      </w:r>
      <w:r w:rsidRPr="00443A23">
        <w:rPr>
          <w:rFonts w:ascii="Book Antiqua" w:eastAsia="宋体" w:hAnsi="Book Antiqua" w:cs="宋体"/>
          <w:sz w:val="24"/>
          <w:szCs w:val="24"/>
        </w:rPr>
        <w:t> </w:t>
      </w:r>
      <w:r w:rsidRPr="006717E3">
        <w:rPr>
          <w:rFonts w:ascii="Book Antiqua" w:eastAsia="宋体" w:hAnsi="Book Antiqua" w:cs="宋体"/>
          <w:b/>
          <w:bCs/>
          <w:sz w:val="24"/>
          <w:szCs w:val="24"/>
        </w:rPr>
        <w:t>57</w:t>
      </w:r>
      <w:r w:rsidRPr="006717E3">
        <w:rPr>
          <w:rFonts w:ascii="Book Antiqua" w:eastAsia="宋体" w:hAnsi="Book Antiqua" w:cs="宋体"/>
          <w:sz w:val="24"/>
          <w:szCs w:val="24"/>
        </w:rPr>
        <w:t>: 422-428 [PMID: 15135846 DOI: 10.1016/j.jclinepi.2003.08.015]</w:t>
      </w:r>
    </w:p>
    <w:p w14:paraId="0FEC0CB6"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50</w:t>
      </w:r>
      <w:r w:rsidRPr="00443A23">
        <w:rPr>
          <w:rFonts w:ascii="Book Antiqua" w:eastAsia="宋体" w:hAnsi="Book Antiqua" w:cs="宋体"/>
          <w:sz w:val="24"/>
          <w:szCs w:val="24"/>
        </w:rPr>
        <w:t> </w:t>
      </w:r>
      <w:r w:rsidRPr="006717E3">
        <w:rPr>
          <w:rFonts w:ascii="Book Antiqua" w:eastAsia="宋体" w:hAnsi="Book Antiqua" w:cs="宋体"/>
          <w:b/>
          <w:bCs/>
          <w:sz w:val="24"/>
          <w:szCs w:val="24"/>
        </w:rPr>
        <w:t xml:space="preserve">den </w:t>
      </w:r>
      <w:proofErr w:type="spellStart"/>
      <w:r w:rsidRPr="006717E3">
        <w:rPr>
          <w:rFonts w:ascii="Book Antiqua" w:eastAsia="宋体" w:hAnsi="Book Antiqua" w:cs="宋体"/>
          <w:b/>
          <w:bCs/>
          <w:sz w:val="24"/>
          <w:szCs w:val="24"/>
        </w:rPr>
        <w:t>Elzen</w:t>
      </w:r>
      <w:proofErr w:type="spellEnd"/>
      <w:r w:rsidRPr="006717E3">
        <w:rPr>
          <w:rFonts w:ascii="Book Antiqua" w:eastAsia="宋体" w:hAnsi="Book Antiqua" w:cs="宋体"/>
          <w:b/>
          <w:bCs/>
          <w:sz w:val="24"/>
          <w:szCs w:val="24"/>
        </w:rPr>
        <w:t xml:space="preserve"> WP</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Groeneveld</w:t>
      </w:r>
      <w:proofErr w:type="spellEnd"/>
      <w:r w:rsidRPr="006717E3">
        <w:rPr>
          <w:rFonts w:ascii="Book Antiqua" w:eastAsia="宋体" w:hAnsi="Book Antiqua" w:cs="宋体"/>
          <w:sz w:val="24"/>
          <w:szCs w:val="24"/>
        </w:rPr>
        <w:t xml:space="preserve"> Y, de </w:t>
      </w:r>
      <w:proofErr w:type="spellStart"/>
      <w:r w:rsidRPr="006717E3">
        <w:rPr>
          <w:rFonts w:ascii="Book Antiqua" w:eastAsia="宋体" w:hAnsi="Book Antiqua" w:cs="宋体"/>
          <w:sz w:val="24"/>
          <w:szCs w:val="24"/>
        </w:rPr>
        <w:t>Ruijter</w:t>
      </w:r>
      <w:proofErr w:type="spellEnd"/>
      <w:r w:rsidRPr="006717E3">
        <w:rPr>
          <w:rFonts w:ascii="Book Antiqua" w:eastAsia="宋体" w:hAnsi="Book Antiqua" w:cs="宋体"/>
          <w:sz w:val="24"/>
          <w:szCs w:val="24"/>
        </w:rPr>
        <w:t xml:space="preserve"> W, </w:t>
      </w:r>
      <w:proofErr w:type="spellStart"/>
      <w:r w:rsidRPr="006717E3">
        <w:rPr>
          <w:rFonts w:ascii="Book Antiqua" w:eastAsia="宋体" w:hAnsi="Book Antiqua" w:cs="宋体"/>
          <w:sz w:val="24"/>
          <w:szCs w:val="24"/>
        </w:rPr>
        <w:t>Souverijn</w:t>
      </w:r>
      <w:proofErr w:type="spellEnd"/>
      <w:r w:rsidRPr="006717E3">
        <w:rPr>
          <w:rFonts w:ascii="Book Antiqua" w:eastAsia="宋体" w:hAnsi="Book Antiqua" w:cs="宋体"/>
          <w:sz w:val="24"/>
          <w:szCs w:val="24"/>
        </w:rPr>
        <w:t xml:space="preserve"> JH, le </w:t>
      </w:r>
      <w:proofErr w:type="spellStart"/>
      <w:r w:rsidRPr="006717E3">
        <w:rPr>
          <w:rFonts w:ascii="Book Antiqua" w:eastAsia="宋体" w:hAnsi="Book Antiqua" w:cs="宋体"/>
          <w:sz w:val="24"/>
          <w:szCs w:val="24"/>
        </w:rPr>
        <w:t>Cessie</w:t>
      </w:r>
      <w:proofErr w:type="spellEnd"/>
      <w:r w:rsidRPr="006717E3">
        <w:rPr>
          <w:rFonts w:ascii="Book Antiqua" w:eastAsia="宋体" w:hAnsi="Book Antiqua" w:cs="宋体"/>
          <w:sz w:val="24"/>
          <w:szCs w:val="24"/>
        </w:rPr>
        <w:t xml:space="preserve"> S, </w:t>
      </w:r>
      <w:proofErr w:type="spellStart"/>
      <w:r w:rsidRPr="006717E3">
        <w:rPr>
          <w:rFonts w:ascii="Book Antiqua" w:eastAsia="宋体" w:hAnsi="Book Antiqua" w:cs="宋体"/>
          <w:sz w:val="24"/>
          <w:szCs w:val="24"/>
        </w:rPr>
        <w:t>Assendelft</w:t>
      </w:r>
      <w:proofErr w:type="spellEnd"/>
      <w:r w:rsidRPr="006717E3">
        <w:rPr>
          <w:rFonts w:ascii="Book Antiqua" w:eastAsia="宋体" w:hAnsi="Book Antiqua" w:cs="宋体"/>
          <w:sz w:val="24"/>
          <w:szCs w:val="24"/>
        </w:rPr>
        <w:t xml:space="preserve"> WJ, </w:t>
      </w:r>
      <w:proofErr w:type="spellStart"/>
      <w:r w:rsidRPr="006717E3">
        <w:rPr>
          <w:rFonts w:ascii="Book Antiqua" w:eastAsia="宋体" w:hAnsi="Book Antiqua" w:cs="宋体"/>
          <w:sz w:val="24"/>
          <w:szCs w:val="24"/>
        </w:rPr>
        <w:t>Gussekloo</w:t>
      </w:r>
      <w:proofErr w:type="spellEnd"/>
      <w:r w:rsidRPr="006717E3">
        <w:rPr>
          <w:rFonts w:ascii="Book Antiqua" w:eastAsia="宋体" w:hAnsi="Book Antiqua" w:cs="宋体"/>
          <w:sz w:val="24"/>
          <w:szCs w:val="24"/>
        </w:rPr>
        <w:t xml:space="preserve"> J. Long-term use of proton pump inhibitors and vitamin B12 status in elderly individuals.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Aliment </w:t>
      </w:r>
      <w:proofErr w:type="spellStart"/>
      <w:r w:rsidRPr="006717E3">
        <w:rPr>
          <w:rFonts w:ascii="Book Antiqua" w:eastAsia="宋体" w:hAnsi="Book Antiqua" w:cs="宋体"/>
          <w:i/>
          <w:iCs/>
          <w:sz w:val="24"/>
          <w:szCs w:val="24"/>
        </w:rPr>
        <w:t>Pharmacol</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Ther</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2008;</w:t>
      </w:r>
      <w:r w:rsidRPr="00443A23">
        <w:rPr>
          <w:rFonts w:ascii="Book Antiqua" w:eastAsia="宋体" w:hAnsi="Book Antiqua" w:cs="宋体"/>
          <w:sz w:val="24"/>
          <w:szCs w:val="24"/>
        </w:rPr>
        <w:t> </w:t>
      </w:r>
      <w:r w:rsidRPr="006717E3">
        <w:rPr>
          <w:rFonts w:ascii="Book Antiqua" w:eastAsia="宋体" w:hAnsi="Book Antiqua" w:cs="宋体"/>
          <w:b/>
          <w:bCs/>
          <w:sz w:val="24"/>
          <w:szCs w:val="24"/>
        </w:rPr>
        <w:t>27</w:t>
      </w:r>
      <w:r w:rsidRPr="006717E3">
        <w:rPr>
          <w:rFonts w:ascii="Book Antiqua" w:eastAsia="宋体" w:hAnsi="Book Antiqua" w:cs="宋体"/>
          <w:sz w:val="24"/>
          <w:szCs w:val="24"/>
        </w:rPr>
        <w:t>: 491-497 [PMID: 18194503]</w:t>
      </w:r>
    </w:p>
    <w:p w14:paraId="6DB063FA" w14:textId="77777777" w:rsidR="00443A23" w:rsidRPr="006717E3" w:rsidRDefault="00443A23" w:rsidP="0002686E">
      <w:pPr>
        <w:spacing w:after="0" w:line="360" w:lineRule="auto"/>
        <w:jc w:val="both"/>
        <w:rPr>
          <w:rFonts w:ascii="Book Antiqua" w:eastAsia="宋体" w:hAnsi="Book Antiqua" w:cs="宋体"/>
          <w:sz w:val="24"/>
          <w:szCs w:val="24"/>
        </w:rPr>
      </w:pPr>
      <w:proofErr w:type="gramStart"/>
      <w:r w:rsidRPr="006717E3">
        <w:rPr>
          <w:rFonts w:ascii="Book Antiqua" w:eastAsia="宋体" w:hAnsi="Book Antiqua" w:cs="宋体"/>
          <w:sz w:val="24"/>
          <w:szCs w:val="24"/>
        </w:rPr>
        <w:t>51</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Insogna</w:t>
      </w:r>
      <w:proofErr w:type="spellEnd"/>
      <w:r w:rsidRPr="006717E3">
        <w:rPr>
          <w:rFonts w:ascii="Book Antiqua" w:eastAsia="宋体" w:hAnsi="Book Antiqua" w:cs="宋体"/>
          <w:b/>
          <w:bCs/>
          <w:sz w:val="24"/>
          <w:szCs w:val="24"/>
        </w:rPr>
        <w:t xml:space="preserve"> KL</w:t>
      </w:r>
      <w:r w:rsidRPr="006717E3">
        <w:rPr>
          <w:rFonts w:ascii="Book Antiqua" w:eastAsia="宋体" w:hAnsi="Book Antiqua" w:cs="宋体"/>
          <w:sz w:val="24"/>
          <w:szCs w:val="24"/>
        </w:rPr>
        <w:t>.</w:t>
      </w:r>
      <w:proofErr w:type="gramEnd"/>
      <w:r w:rsidRPr="006717E3">
        <w:rPr>
          <w:rFonts w:ascii="Book Antiqua" w:eastAsia="宋体" w:hAnsi="Book Antiqua" w:cs="宋体"/>
          <w:sz w:val="24"/>
          <w:szCs w:val="24"/>
        </w:rPr>
        <w:t xml:space="preserve"> </w:t>
      </w:r>
      <w:proofErr w:type="gramStart"/>
      <w:r w:rsidRPr="006717E3">
        <w:rPr>
          <w:rFonts w:ascii="Book Antiqua" w:eastAsia="宋体" w:hAnsi="Book Antiqua" w:cs="宋体"/>
          <w:sz w:val="24"/>
          <w:szCs w:val="24"/>
        </w:rPr>
        <w:t>The effect of proton pump-inhibiting drugs on mineral metabolism.</w:t>
      </w:r>
      <w:proofErr w:type="gramEnd"/>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Am J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2009</w:t>
      </w:r>
      <w:proofErr w:type="gramStart"/>
      <w:r w:rsidRPr="006717E3">
        <w:rPr>
          <w:rFonts w:ascii="Book Antiqua" w:eastAsia="宋体" w:hAnsi="Book Antiqua" w:cs="宋体"/>
          <w:sz w:val="24"/>
          <w:szCs w:val="24"/>
        </w:rPr>
        <w:t>;</w:t>
      </w:r>
      <w:proofErr w:type="gramEnd"/>
      <w:r w:rsidRPr="00443A23">
        <w:rPr>
          <w:rFonts w:ascii="Book Antiqua" w:eastAsia="宋体" w:hAnsi="Book Antiqua" w:cs="宋体"/>
          <w:sz w:val="24"/>
          <w:szCs w:val="24"/>
        </w:rPr>
        <w:t> </w:t>
      </w:r>
      <w:r w:rsidRPr="006717E3">
        <w:rPr>
          <w:rFonts w:ascii="Book Antiqua" w:eastAsia="宋体" w:hAnsi="Book Antiqua" w:cs="宋体"/>
          <w:b/>
          <w:bCs/>
          <w:sz w:val="24"/>
          <w:szCs w:val="24"/>
        </w:rPr>
        <w:t xml:space="preserve">104 </w:t>
      </w:r>
      <w:proofErr w:type="spellStart"/>
      <w:r w:rsidRPr="006717E3">
        <w:rPr>
          <w:rFonts w:ascii="Book Antiqua" w:eastAsia="宋体" w:hAnsi="Book Antiqua" w:cs="宋体"/>
          <w:bCs/>
          <w:sz w:val="24"/>
          <w:szCs w:val="24"/>
        </w:rPr>
        <w:t>Suppl</w:t>
      </w:r>
      <w:proofErr w:type="spellEnd"/>
      <w:r w:rsidRPr="006717E3">
        <w:rPr>
          <w:rFonts w:ascii="Book Antiqua" w:eastAsia="宋体" w:hAnsi="Book Antiqua" w:cs="宋体"/>
          <w:bCs/>
          <w:sz w:val="24"/>
          <w:szCs w:val="24"/>
        </w:rPr>
        <w:t xml:space="preserve"> 2</w:t>
      </w:r>
      <w:r w:rsidRPr="006717E3">
        <w:rPr>
          <w:rFonts w:ascii="Book Antiqua" w:eastAsia="宋体" w:hAnsi="Book Antiqua" w:cs="宋体"/>
          <w:sz w:val="24"/>
          <w:szCs w:val="24"/>
        </w:rPr>
        <w:t>: S2-S4 [PMID: 19262542]</w:t>
      </w:r>
    </w:p>
    <w:p w14:paraId="22F86110"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52</w:t>
      </w:r>
      <w:r w:rsidRPr="00443A23">
        <w:rPr>
          <w:rFonts w:ascii="Book Antiqua" w:eastAsia="宋体" w:hAnsi="Book Antiqua" w:cs="宋体"/>
          <w:sz w:val="24"/>
          <w:szCs w:val="24"/>
        </w:rPr>
        <w:t> </w:t>
      </w:r>
      <w:r w:rsidRPr="006717E3">
        <w:rPr>
          <w:rFonts w:ascii="Book Antiqua" w:eastAsia="宋体" w:hAnsi="Book Antiqua" w:cs="宋体"/>
          <w:b/>
          <w:bCs/>
          <w:sz w:val="24"/>
          <w:szCs w:val="24"/>
        </w:rPr>
        <w:t>Chen J</w:t>
      </w:r>
      <w:r w:rsidRPr="006717E3">
        <w:rPr>
          <w:rFonts w:ascii="Book Antiqua" w:eastAsia="宋体" w:hAnsi="Book Antiqua" w:cs="宋体"/>
          <w:sz w:val="24"/>
          <w:szCs w:val="24"/>
        </w:rPr>
        <w:t xml:space="preserve">, Yuan YC, </w:t>
      </w:r>
      <w:proofErr w:type="spellStart"/>
      <w:r w:rsidRPr="006717E3">
        <w:rPr>
          <w:rFonts w:ascii="Book Antiqua" w:eastAsia="宋体" w:hAnsi="Book Antiqua" w:cs="宋体"/>
          <w:sz w:val="24"/>
          <w:szCs w:val="24"/>
        </w:rPr>
        <w:t>Leontiadis</w:t>
      </w:r>
      <w:proofErr w:type="spellEnd"/>
      <w:r w:rsidRPr="006717E3">
        <w:rPr>
          <w:rFonts w:ascii="Book Antiqua" w:eastAsia="宋体" w:hAnsi="Book Antiqua" w:cs="宋体"/>
          <w:sz w:val="24"/>
          <w:szCs w:val="24"/>
        </w:rPr>
        <w:t xml:space="preserve"> GI, Howden CW. Recent safety concerns with proton pump inhibitors.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J </w:t>
      </w:r>
      <w:proofErr w:type="spellStart"/>
      <w:r w:rsidRPr="006717E3">
        <w:rPr>
          <w:rFonts w:ascii="Book Antiqua" w:eastAsia="宋体" w:hAnsi="Book Antiqua" w:cs="宋体"/>
          <w:i/>
          <w:iCs/>
          <w:sz w:val="24"/>
          <w:szCs w:val="24"/>
        </w:rPr>
        <w:t>Clin</w:t>
      </w:r>
      <w:proofErr w:type="spellEnd"/>
      <w:r w:rsidRPr="006717E3">
        <w:rPr>
          <w:rFonts w:ascii="Book Antiqua" w:eastAsia="宋体" w:hAnsi="Book Antiqua" w:cs="宋体"/>
          <w:i/>
          <w:iCs/>
          <w:sz w:val="24"/>
          <w:szCs w:val="24"/>
        </w:rPr>
        <w:t xml:space="preserve"> </w:t>
      </w:r>
      <w:proofErr w:type="spellStart"/>
      <w:r w:rsidRPr="006717E3">
        <w:rPr>
          <w:rFonts w:ascii="Book Antiqua" w:eastAsia="宋体" w:hAnsi="Book Antiqua" w:cs="宋体"/>
          <w:i/>
          <w:iCs/>
          <w:sz w:val="24"/>
          <w:szCs w:val="24"/>
        </w:rPr>
        <w:t>Gastroenterol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2012;</w:t>
      </w:r>
      <w:r w:rsidRPr="00443A23">
        <w:rPr>
          <w:rFonts w:ascii="Book Antiqua" w:eastAsia="宋体" w:hAnsi="Book Antiqua" w:cs="宋体"/>
          <w:sz w:val="24"/>
          <w:szCs w:val="24"/>
        </w:rPr>
        <w:t> </w:t>
      </w:r>
      <w:r w:rsidRPr="006717E3">
        <w:rPr>
          <w:rFonts w:ascii="Book Antiqua" w:eastAsia="宋体" w:hAnsi="Book Antiqua" w:cs="宋体"/>
          <w:b/>
          <w:bCs/>
          <w:sz w:val="24"/>
          <w:szCs w:val="24"/>
        </w:rPr>
        <w:t>46</w:t>
      </w:r>
      <w:r w:rsidRPr="006717E3">
        <w:rPr>
          <w:rFonts w:ascii="Book Antiqua" w:eastAsia="宋体" w:hAnsi="Book Antiqua" w:cs="宋体"/>
          <w:sz w:val="24"/>
          <w:szCs w:val="24"/>
        </w:rPr>
        <w:t>: 93-114 [PMID: 22227731]</w:t>
      </w:r>
    </w:p>
    <w:p w14:paraId="2DB0643A"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53</w:t>
      </w:r>
      <w:r w:rsidRPr="00443A23">
        <w:rPr>
          <w:rFonts w:ascii="Book Antiqua" w:eastAsia="宋体" w:hAnsi="Book Antiqua" w:cs="宋体"/>
          <w:sz w:val="24"/>
          <w:szCs w:val="24"/>
        </w:rPr>
        <w:t> </w:t>
      </w:r>
      <w:r w:rsidRPr="006717E3">
        <w:rPr>
          <w:rFonts w:ascii="Book Antiqua" w:eastAsia="宋体" w:hAnsi="Book Antiqua" w:cs="宋体"/>
          <w:b/>
          <w:bCs/>
          <w:sz w:val="24"/>
          <w:szCs w:val="24"/>
        </w:rPr>
        <w:t>Kaye JA</w:t>
      </w:r>
      <w:r w:rsidRPr="006717E3">
        <w:rPr>
          <w:rFonts w:ascii="Book Antiqua" w:eastAsia="宋体" w:hAnsi="Book Antiqua" w:cs="宋体"/>
          <w:sz w:val="24"/>
          <w:szCs w:val="24"/>
        </w:rPr>
        <w:t xml:space="preserve">, </w:t>
      </w:r>
      <w:proofErr w:type="spellStart"/>
      <w:r w:rsidRPr="006717E3">
        <w:rPr>
          <w:rFonts w:ascii="Book Antiqua" w:eastAsia="宋体" w:hAnsi="Book Antiqua" w:cs="宋体"/>
          <w:sz w:val="24"/>
          <w:szCs w:val="24"/>
        </w:rPr>
        <w:t>Jick</w:t>
      </w:r>
      <w:proofErr w:type="spellEnd"/>
      <w:r w:rsidRPr="006717E3">
        <w:rPr>
          <w:rFonts w:ascii="Book Antiqua" w:eastAsia="宋体" w:hAnsi="Book Antiqua" w:cs="宋体"/>
          <w:sz w:val="24"/>
          <w:szCs w:val="24"/>
        </w:rPr>
        <w:t xml:space="preserve"> H. Proton </w:t>
      </w:r>
      <w:proofErr w:type="gramStart"/>
      <w:r w:rsidRPr="006717E3">
        <w:rPr>
          <w:rFonts w:ascii="Book Antiqua" w:eastAsia="宋体" w:hAnsi="Book Antiqua" w:cs="宋体"/>
          <w:sz w:val="24"/>
          <w:szCs w:val="24"/>
        </w:rPr>
        <w:t>pump</w:t>
      </w:r>
      <w:proofErr w:type="gramEnd"/>
      <w:r w:rsidRPr="006717E3">
        <w:rPr>
          <w:rFonts w:ascii="Book Antiqua" w:eastAsia="宋体" w:hAnsi="Book Antiqua" w:cs="宋体"/>
          <w:sz w:val="24"/>
          <w:szCs w:val="24"/>
        </w:rPr>
        <w:t xml:space="preserve"> inhibitor use and risk of hip fractures in patients without major risk factors.</w:t>
      </w:r>
      <w:r w:rsidRPr="00443A23">
        <w:rPr>
          <w:rFonts w:ascii="Book Antiqua" w:eastAsia="宋体" w:hAnsi="Book Antiqua" w:cs="宋体"/>
          <w:sz w:val="24"/>
          <w:szCs w:val="24"/>
        </w:rPr>
        <w:t> </w:t>
      </w:r>
      <w:r w:rsidRPr="006717E3">
        <w:rPr>
          <w:rFonts w:ascii="Book Antiqua" w:eastAsia="宋体" w:hAnsi="Book Antiqua" w:cs="宋体"/>
          <w:i/>
          <w:iCs/>
          <w:sz w:val="24"/>
          <w:szCs w:val="24"/>
        </w:rPr>
        <w:t>Pharmacotherapy</w:t>
      </w:r>
      <w:r w:rsidRPr="00443A23">
        <w:rPr>
          <w:rFonts w:ascii="Book Antiqua" w:eastAsia="宋体" w:hAnsi="Book Antiqua" w:cs="宋体"/>
          <w:sz w:val="24"/>
          <w:szCs w:val="24"/>
        </w:rPr>
        <w:t> </w:t>
      </w:r>
      <w:r w:rsidRPr="006717E3">
        <w:rPr>
          <w:rFonts w:ascii="Book Antiqua" w:eastAsia="宋体" w:hAnsi="Book Antiqua" w:cs="宋体"/>
          <w:sz w:val="24"/>
          <w:szCs w:val="24"/>
        </w:rPr>
        <w:t>2008;</w:t>
      </w:r>
      <w:r w:rsidRPr="00443A23">
        <w:rPr>
          <w:rFonts w:ascii="Book Antiqua" w:eastAsia="宋体" w:hAnsi="Book Antiqua" w:cs="宋体"/>
          <w:sz w:val="24"/>
          <w:szCs w:val="24"/>
        </w:rPr>
        <w:t> </w:t>
      </w:r>
      <w:r w:rsidRPr="006717E3">
        <w:rPr>
          <w:rFonts w:ascii="Book Antiqua" w:eastAsia="宋体" w:hAnsi="Book Antiqua" w:cs="宋体"/>
          <w:b/>
          <w:bCs/>
          <w:sz w:val="24"/>
          <w:szCs w:val="24"/>
        </w:rPr>
        <w:t>28</w:t>
      </w:r>
      <w:r w:rsidRPr="006717E3">
        <w:rPr>
          <w:rFonts w:ascii="Book Antiqua" w:eastAsia="宋体" w:hAnsi="Book Antiqua" w:cs="宋体"/>
          <w:sz w:val="24"/>
          <w:szCs w:val="24"/>
        </w:rPr>
        <w:t>: 951-959 [PMID: 18657011 DOI: 10.1592/phco.28.8.951]</w:t>
      </w:r>
    </w:p>
    <w:p w14:paraId="6301CE80"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54</w:t>
      </w:r>
      <w:r w:rsidRPr="00443A23">
        <w:rPr>
          <w:rFonts w:ascii="Book Antiqua" w:eastAsia="宋体" w:hAnsi="Book Antiqua" w:cs="宋体"/>
          <w:sz w:val="24"/>
          <w:szCs w:val="24"/>
        </w:rPr>
        <w:t> </w:t>
      </w:r>
      <w:r w:rsidRPr="006717E3">
        <w:rPr>
          <w:rFonts w:ascii="Book Antiqua" w:eastAsia="宋体" w:hAnsi="Book Antiqua" w:cs="宋体"/>
          <w:b/>
          <w:bCs/>
          <w:sz w:val="24"/>
          <w:szCs w:val="24"/>
        </w:rPr>
        <w:t>Corley DA</w:t>
      </w:r>
      <w:r w:rsidRPr="006717E3">
        <w:rPr>
          <w:rFonts w:ascii="Book Antiqua" w:eastAsia="宋体" w:hAnsi="Book Antiqua" w:cs="宋体"/>
          <w:sz w:val="24"/>
          <w:szCs w:val="24"/>
        </w:rPr>
        <w:t xml:space="preserve">, Kubo A, Zhao W, </w:t>
      </w:r>
      <w:proofErr w:type="spellStart"/>
      <w:r w:rsidRPr="006717E3">
        <w:rPr>
          <w:rFonts w:ascii="Book Antiqua" w:eastAsia="宋体" w:hAnsi="Book Antiqua" w:cs="宋体"/>
          <w:sz w:val="24"/>
          <w:szCs w:val="24"/>
        </w:rPr>
        <w:t>Quesenberry</w:t>
      </w:r>
      <w:proofErr w:type="spellEnd"/>
      <w:r w:rsidRPr="006717E3">
        <w:rPr>
          <w:rFonts w:ascii="Book Antiqua" w:eastAsia="宋体" w:hAnsi="Book Antiqua" w:cs="宋体"/>
          <w:sz w:val="24"/>
          <w:szCs w:val="24"/>
        </w:rPr>
        <w:t xml:space="preserve"> C. Proton pump inhibitors and histamine-2 receptor antagonists are associated with hip fractures among at-risk patients.</w:t>
      </w:r>
      <w:r w:rsidRPr="00443A23">
        <w:rPr>
          <w:rFonts w:ascii="Book Antiqua" w:eastAsia="宋体" w:hAnsi="Book Antiqua" w:cs="宋体"/>
          <w:sz w:val="24"/>
          <w:szCs w:val="24"/>
        </w:rPr>
        <w:t> </w:t>
      </w:r>
      <w:r w:rsidRPr="006717E3">
        <w:rPr>
          <w:rFonts w:ascii="Book Antiqua" w:eastAsia="宋体" w:hAnsi="Book Antiqua" w:cs="宋体"/>
          <w:i/>
          <w:iCs/>
          <w:sz w:val="24"/>
          <w:szCs w:val="24"/>
        </w:rPr>
        <w:t>Gastroenterology</w:t>
      </w:r>
      <w:r w:rsidRPr="00443A23">
        <w:rPr>
          <w:rFonts w:ascii="Book Antiqua" w:eastAsia="宋体" w:hAnsi="Book Antiqua" w:cs="宋体"/>
          <w:sz w:val="24"/>
          <w:szCs w:val="24"/>
        </w:rPr>
        <w:t> </w:t>
      </w:r>
      <w:r w:rsidRPr="006717E3">
        <w:rPr>
          <w:rFonts w:ascii="Book Antiqua" w:eastAsia="宋体" w:hAnsi="Book Antiqua" w:cs="宋体"/>
          <w:sz w:val="24"/>
          <w:szCs w:val="24"/>
        </w:rPr>
        <w:t>2010;</w:t>
      </w:r>
      <w:r w:rsidRPr="00443A23">
        <w:rPr>
          <w:rFonts w:ascii="Book Antiqua" w:eastAsia="宋体" w:hAnsi="Book Antiqua" w:cs="宋体"/>
          <w:sz w:val="24"/>
          <w:szCs w:val="24"/>
        </w:rPr>
        <w:t> </w:t>
      </w:r>
      <w:r w:rsidRPr="006717E3">
        <w:rPr>
          <w:rFonts w:ascii="Book Antiqua" w:eastAsia="宋体" w:hAnsi="Book Antiqua" w:cs="宋体"/>
          <w:b/>
          <w:bCs/>
          <w:sz w:val="24"/>
          <w:szCs w:val="24"/>
        </w:rPr>
        <w:t>139</w:t>
      </w:r>
      <w:r w:rsidRPr="006717E3">
        <w:rPr>
          <w:rFonts w:ascii="Book Antiqua" w:eastAsia="宋体" w:hAnsi="Book Antiqua" w:cs="宋体"/>
          <w:sz w:val="24"/>
          <w:szCs w:val="24"/>
        </w:rPr>
        <w:t>: 93-101 [PMID: 20353792 DOI: 10.1053/j.gastro.2010.03.055</w:t>
      </w:r>
      <w:r w:rsidRPr="00443A23">
        <w:rPr>
          <w:rFonts w:ascii="Book Antiqua" w:eastAsia="宋体" w:hAnsi="Book Antiqua" w:cs="宋体"/>
          <w:sz w:val="24"/>
          <w:szCs w:val="24"/>
        </w:rPr>
        <w:t>]</w:t>
      </w:r>
    </w:p>
    <w:p w14:paraId="575BDEA3"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55</w:t>
      </w:r>
      <w:r w:rsidRPr="00443A23">
        <w:rPr>
          <w:rFonts w:ascii="Book Antiqua" w:eastAsia="宋体" w:hAnsi="Book Antiqua" w:cs="宋体"/>
          <w:sz w:val="24"/>
          <w:szCs w:val="24"/>
        </w:rPr>
        <w:t> </w:t>
      </w:r>
      <w:proofErr w:type="spellStart"/>
      <w:r w:rsidRPr="006717E3">
        <w:rPr>
          <w:rFonts w:ascii="Book Antiqua" w:eastAsia="宋体" w:hAnsi="Book Antiqua" w:cs="宋体"/>
          <w:b/>
          <w:bCs/>
          <w:sz w:val="24"/>
          <w:szCs w:val="24"/>
        </w:rPr>
        <w:t>Danziger</w:t>
      </w:r>
      <w:proofErr w:type="spellEnd"/>
      <w:r w:rsidRPr="006717E3">
        <w:rPr>
          <w:rFonts w:ascii="Book Antiqua" w:eastAsia="宋体" w:hAnsi="Book Antiqua" w:cs="宋体"/>
          <w:b/>
          <w:bCs/>
          <w:sz w:val="24"/>
          <w:szCs w:val="24"/>
        </w:rPr>
        <w:t xml:space="preserve"> J</w:t>
      </w:r>
      <w:r w:rsidRPr="006717E3">
        <w:rPr>
          <w:rFonts w:ascii="Book Antiqua" w:eastAsia="宋体" w:hAnsi="Book Antiqua" w:cs="宋体"/>
          <w:sz w:val="24"/>
          <w:szCs w:val="24"/>
        </w:rPr>
        <w:t xml:space="preserve">, William JH, Scott DJ, Lee J, Lehman LW, Mark RG, Howell MD, </w:t>
      </w:r>
      <w:proofErr w:type="spellStart"/>
      <w:r w:rsidRPr="006717E3">
        <w:rPr>
          <w:rFonts w:ascii="Book Antiqua" w:eastAsia="宋体" w:hAnsi="Book Antiqua" w:cs="宋体"/>
          <w:sz w:val="24"/>
          <w:szCs w:val="24"/>
        </w:rPr>
        <w:t>Celi</w:t>
      </w:r>
      <w:proofErr w:type="spellEnd"/>
      <w:r w:rsidRPr="006717E3">
        <w:rPr>
          <w:rFonts w:ascii="Book Antiqua" w:eastAsia="宋体" w:hAnsi="Book Antiqua" w:cs="宋体"/>
          <w:sz w:val="24"/>
          <w:szCs w:val="24"/>
        </w:rPr>
        <w:t xml:space="preserve"> LA, </w:t>
      </w:r>
      <w:proofErr w:type="spellStart"/>
      <w:r w:rsidRPr="006717E3">
        <w:rPr>
          <w:rFonts w:ascii="Book Antiqua" w:eastAsia="宋体" w:hAnsi="Book Antiqua" w:cs="宋体"/>
          <w:sz w:val="24"/>
          <w:szCs w:val="24"/>
        </w:rPr>
        <w:t>Mukamal</w:t>
      </w:r>
      <w:proofErr w:type="spellEnd"/>
      <w:r w:rsidRPr="006717E3">
        <w:rPr>
          <w:rFonts w:ascii="Book Antiqua" w:eastAsia="宋体" w:hAnsi="Book Antiqua" w:cs="宋体"/>
          <w:sz w:val="24"/>
          <w:szCs w:val="24"/>
        </w:rPr>
        <w:t xml:space="preserve"> KJ. Proton-pump inhibitor use is associated with low serum magnesium concentrations.</w:t>
      </w:r>
      <w:r w:rsidRPr="00443A23">
        <w:rPr>
          <w:rFonts w:ascii="Book Antiqua" w:eastAsia="宋体" w:hAnsi="Book Antiqua" w:cs="宋体"/>
          <w:sz w:val="24"/>
          <w:szCs w:val="24"/>
        </w:rPr>
        <w:t> </w:t>
      </w:r>
      <w:r w:rsidRPr="006717E3">
        <w:rPr>
          <w:rFonts w:ascii="Book Antiqua" w:eastAsia="宋体" w:hAnsi="Book Antiqua" w:cs="宋体"/>
          <w:i/>
          <w:iCs/>
          <w:sz w:val="24"/>
          <w:szCs w:val="24"/>
        </w:rPr>
        <w:t xml:space="preserve">Kidney </w:t>
      </w:r>
      <w:proofErr w:type="spellStart"/>
      <w:r w:rsidRPr="006717E3">
        <w:rPr>
          <w:rFonts w:ascii="Book Antiqua" w:eastAsia="宋体" w:hAnsi="Book Antiqua" w:cs="宋体"/>
          <w:i/>
          <w:iCs/>
          <w:sz w:val="24"/>
          <w:szCs w:val="24"/>
        </w:rPr>
        <w:t>Int</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2013;</w:t>
      </w:r>
      <w:r w:rsidRPr="00443A23">
        <w:rPr>
          <w:rFonts w:ascii="Book Antiqua" w:eastAsia="宋体" w:hAnsi="Book Antiqua" w:cs="宋体"/>
          <w:sz w:val="24"/>
          <w:szCs w:val="24"/>
        </w:rPr>
        <w:t> </w:t>
      </w:r>
      <w:r w:rsidRPr="006717E3">
        <w:rPr>
          <w:rFonts w:ascii="Book Antiqua" w:eastAsia="宋体" w:hAnsi="Book Antiqua" w:cs="宋体"/>
          <w:b/>
          <w:bCs/>
          <w:sz w:val="24"/>
          <w:szCs w:val="24"/>
        </w:rPr>
        <w:t>83</w:t>
      </w:r>
      <w:r w:rsidRPr="006717E3">
        <w:rPr>
          <w:rFonts w:ascii="Book Antiqua" w:eastAsia="宋体" w:hAnsi="Book Antiqua" w:cs="宋体"/>
          <w:sz w:val="24"/>
          <w:szCs w:val="24"/>
        </w:rPr>
        <w:t>: 692-699 [PMID: 23325090]</w:t>
      </w:r>
    </w:p>
    <w:p w14:paraId="7A7900C2" w14:textId="77777777" w:rsidR="00443A23" w:rsidRPr="006717E3" w:rsidRDefault="00443A23" w:rsidP="0002686E">
      <w:pPr>
        <w:spacing w:after="0" w:line="360" w:lineRule="auto"/>
        <w:jc w:val="both"/>
        <w:rPr>
          <w:rFonts w:ascii="Book Antiqua" w:eastAsia="宋体" w:hAnsi="Book Antiqua" w:cs="宋体"/>
          <w:sz w:val="24"/>
          <w:szCs w:val="24"/>
        </w:rPr>
      </w:pPr>
      <w:r w:rsidRPr="006717E3">
        <w:rPr>
          <w:rFonts w:ascii="Book Antiqua" w:eastAsia="宋体" w:hAnsi="Book Antiqua" w:cs="宋体"/>
          <w:sz w:val="24"/>
          <w:szCs w:val="24"/>
        </w:rPr>
        <w:t>56</w:t>
      </w:r>
      <w:r w:rsidRPr="00443A23">
        <w:rPr>
          <w:rFonts w:ascii="Book Antiqua" w:eastAsia="宋体" w:hAnsi="Book Antiqua" w:cs="宋体"/>
          <w:sz w:val="24"/>
          <w:szCs w:val="24"/>
        </w:rPr>
        <w:t> </w:t>
      </w:r>
      <w:r w:rsidRPr="006717E3">
        <w:rPr>
          <w:rFonts w:ascii="Book Antiqua" w:eastAsia="宋体" w:hAnsi="Book Antiqua" w:cs="宋体"/>
          <w:b/>
          <w:bCs/>
          <w:sz w:val="24"/>
          <w:szCs w:val="24"/>
        </w:rPr>
        <w:t>Shih CJ</w:t>
      </w:r>
      <w:r w:rsidRPr="006717E3">
        <w:rPr>
          <w:rFonts w:ascii="Book Antiqua" w:eastAsia="宋体" w:hAnsi="Book Antiqua" w:cs="宋体"/>
          <w:sz w:val="24"/>
          <w:szCs w:val="24"/>
        </w:rPr>
        <w:t xml:space="preserve">, Chen YT, </w:t>
      </w:r>
      <w:proofErr w:type="spellStart"/>
      <w:r w:rsidRPr="006717E3">
        <w:rPr>
          <w:rFonts w:ascii="Book Antiqua" w:eastAsia="宋体" w:hAnsi="Book Antiqua" w:cs="宋体"/>
          <w:sz w:val="24"/>
          <w:szCs w:val="24"/>
        </w:rPr>
        <w:t>Ou</w:t>
      </w:r>
      <w:proofErr w:type="spellEnd"/>
      <w:r w:rsidRPr="006717E3">
        <w:rPr>
          <w:rFonts w:ascii="Book Antiqua" w:eastAsia="宋体" w:hAnsi="Book Antiqua" w:cs="宋体"/>
          <w:sz w:val="24"/>
          <w:szCs w:val="24"/>
        </w:rPr>
        <w:t xml:space="preserve"> SM, Li SY, Chen TJ, Wang SJ. Proton pump inhibitor use represents an independent risk factor for myocardial infarction.</w:t>
      </w:r>
      <w:r w:rsidRPr="00443A23">
        <w:rPr>
          <w:rFonts w:ascii="Book Antiqua" w:eastAsia="宋体" w:hAnsi="Book Antiqua" w:cs="宋体"/>
          <w:sz w:val="24"/>
          <w:szCs w:val="24"/>
        </w:rPr>
        <w:t> </w:t>
      </w:r>
      <w:proofErr w:type="spellStart"/>
      <w:r w:rsidRPr="006717E3">
        <w:rPr>
          <w:rFonts w:ascii="Book Antiqua" w:eastAsia="宋体" w:hAnsi="Book Antiqua" w:cs="宋体"/>
          <w:i/>
          <w:iCs/>
          <w:sz w:val="24"/>
          <w:szCs w:val="24"/>
        </w:rPr>
        <w:t>Int</w:t>
      </w:r>
      <w:proofErr w:type="spellEnd"/>
      <w:r w:rsidRPr="006717E3">
        <w:rPr>
          <w:rFonts w:ascii="Book Antiqua" w:eastAsia="宋体" w:hAnsi="Book Antiqua" w:cs="宋体"/>
          <w:i/>
          <w:iCs/>
          <w:sz w:val="24"/>
          <w:szCs w:val="24"/>
        </w:rPr>
        <w:t xml:space="preserve"> J </w:t>
      </w:r>
      <w:proofErr w:type="spellStart"/>
      <w:r w:rsidRPr="006717E3">
        <w:rPr>
          <w:rFonts w:ascii="Book Antiqua" w:eastAsia="宋体" w:hAnsi="Book Antiqua" w:cs="宋体"/>
          <w:i/>
          <w:iCs/>
          <w:sz w:val="24"/>
          <w:szCs w:val="24"/>
        </w:rPr>
        <w:t>Cardiol</w:t>
      </w:r>
      <w:proofErr w:type="spellEnd"/>
      <w:r w:rsidRPr="00443A23">
        <w:rPr>
          <w:rFonts w:ascii="Book Antiqua" w:eastAsia="宋体" w:hAnsi="Book Antiqua" w:cs="宋体"/>
          <w:sz w:val="24"/>
          <w:szCs w:val="24"/>
        </w:rPr>
        <w:t> </w:t>
      </w:r>
      <w:r w:rsidRPr="006717E3">
        <w:rPr>
          <w:rFonts w:ascii="Book Antiqua" w:eastAsia="宋体" w:hAnsi="Book Antiqua" w:cs="宋体"/>
          <w:sz w:val="24"/>
          <w:szCs w:val="24"/>
        </w:rPr>
        <w:t>2014;</w:t>
      </w:r>
      <w:r w:rsidRPr="00443A23">
        <w:rPr>
          <w:rFonts w:ascii="Book Antiqua" w:eastAsia="宋体" w:hAnsi="Book Antiqua" w:cs="宋体"/>
          <w:sz w:val="24"/>
          <w:szCs w:val="24"/>
        </w:rPr>
        <w:t> </w:t>
      </w:r>
      <w:r w:rsidRPr="006717E3">
        <w:rPr>
          <w:rFonts w:ascii="Book Antiqua" w:eastAsia="宋体" w:hAnsi="Book Antiqua" w:cs="宋体"/>
          <w:b/>
          <w:bCs/>
          <w:sz w:val="24"/>
          <w:szCs w:val="24"/>
        </w:rPr>
        <w:t>177</w:t>
      </w:r>
      <w:r w:rsidRPr="006717E3">
        <w:rPr>
          <w:rFonts w:ascii="Book Antiqua" w:eastAsia="宋体" w:hAnsi="Book Antiqua" w:cs="宋体"/>
          <w:sz w:val="24"/>
          <w:szCs w:val="24"/>
        </w:rPr>
        <w:t>: 292-297 [PMID: 25499395 DOI: 10.1016/j.ijcard.2014.09.036</w:t>
      </w:r>
      <w:r w:rsidRPr="00443A23">
        <w:rPr>
          <w:rFonts w:ascii="Book Antiqua" w:eastAsia="宋体" w:hAnsi="Book Antiqua" w:cs="宋体"/>
          <w:sz w:val="24"/>
          <w:szCs w:val="24"/>
        </w:rPr>
        <w:t>]</w:t>
      </w:r>
    </w:p>
    <w:p w14:paraId="0F1F01C0" w14:textId="77777777" w:rsidR="00443A23" w:rsidRPr="00443A23" w:rsidRDefault="00443A23" w:rsidP="0002686E">
      <w:pPr>
        <w:spacing w:after="0" w:line="360" w:lineRule="auto"/>
        <w:jc w:val="both"/>
        <w:rPr>
          <w:rFonts w:ascii="Book Antiqua" w:hAnsi="Book Antiqua"/>
          <w:sz w:val="24"/>
          <w:szCs w:val="24"/>
        </w:rPr>
      </w:pPr>
    </w:p>
    <w:p w14:paraId="21B01213" w14:textId="5BAE3127" w:rsidR="00443A23" w:rsidRPr="00443A23" w:rsidRDefault="00443A23" w:rsidP="0002686E">
      <w:pPr>
        <w:pStyle w:val="ListParagraph"/>
        <w:spacing w:after="0" w:line="360" w:lineRule="auto"/>
        <w:ind w:left="360" w:right="120"/>
        <w:jc w:val="right"/>
        <w:rPr>
          <w:rFonts w:ascii="Book Antiqua" w:eastAsia="宋体" w:hAnsi="Book Antiqua"/>
          <w:b/>
          <w:bCs/>
          <w:sz w:val="24"/>
          <w:szCs w:val="24"/>
          <w:lang w:eastAsia="zh-CN"/>
        </w:rPr>
      </w:pPr>
      <w:bookmarkStart w:id="41" w:name="OLE_LINK427"/>
      <w:bookmarkStart w:id="42" w:name="OLE_LINK435"/>
      <w:bookmarkStart w:id="43" w:name="OLE_LINK516"/>
      <w:bookmarkStart w:id="44" w:name="OLE_LINK45"/>
      <w:bookmarkStart w:id="45" w:name="OLE_LINK132"/>
      <w:bookmarkStart w:id="46" w:name="OLE_LINK529"/>
      <w:bookmarkStart w:id="47" w:name="OLE_LINK541"/>
      <w:bookmarkStart w:id="48" w:name="OLE_LINK560"/>
      <w:bookmarkStart w:id="49" w:name="OLE_LINK558"/>
      <w:r w:rsidRPr="00443A23">
        <w:rPr>
          <w:rStyle w:val="Strong"/>
          <w:rFonts w:ascii="Book Antiqua" w:hAnsi="Book Antiqua" w:cs="Arial"/>
          <w:bCs w:val="0"/>
          <w:noProof/>
          <w:sz w:val="24"/>
          <w:szCs w:val="24"/>
        </w:rPr>
        <w:t>P-Reviewer</w:t>
      </w:r>
      <w:r w:rsidRPr="00443A23">
        <w:rPr>
          <w:rStyle w:val="Strong"/>
          <w:rFonts w:ascii="Book Antiqua" w:eastAsia="宋体" w:hAnsi="Book Antiqua" w:cs="Arial"/>
          <w:bCs w:val="0"/>
          <w:noProof/>
          <w:sz w:val="24"/>
          <w:szCs w:val="24"/>
          <w:lang w:eastAsia="zh-CN"/>
        </w:rPr>
        <w:t>:</w:t>
      </w:r>
      <w:r w:rsidRPr="00443A23">
        <w:rPr>
          <w:rFonts w:ascii="Book Antiqua" w:hAnsi="Book Antiqua"/>
          <w:bCs/>
          <w:sz w:val="24"/>
          <w:szCs w:val="24"/>
        </w:rPr>
        <w:t xml:space="preserve">  </w:t>
      </w:r>
      <w:proofErr w:type="spellStart"/>
      <w:r w:rsidR="00EC403F">
        <w:rPr>
          <w:rFonts w:ascii="Book Antiqua" w:hAnsi="Book Antiqua"/>
          <w:bCs/>
          <w:sz w:val="24"/>
          <w:szCs w:val="24"/>
        </w:rPr>
        <w:t>Hatta</w:t>
      </w:r>
      <w:proofErr w:type="spellEnd"/>
      <w:r w:rsidR="00EC403F" w:rsidRPr="00EC403F">
        <w:rPr>
          <w:rFonts w:ascii="Book Antiqua" w:hAnsi="Book Antiqua"/>
          <w:bCs/>
          <w:sz w:val="24"/>
          <w:szCs w:val="24"/>
        </w:rPr>
        <w:t xml:space="preserve"> W</w:t>
      </w:r>
      <w:r w:rsidR="00EC403F">
        <w:rPr>
          <w:rFonts w:ascii="Book Antiqua" w:hAnsi="Book Antiqua" w:hint="eastAsia"/>
          <w:bCs/>
          <w:sz w:val="24"/>
          <w:szCs w:val="24"/>
          <w:lang w:eastAsia="zh-CN"/>
        </w:rPr>
        <w:t>,</w:t>
      </w:r>
      <w:r w:rsidRPr="00443A23">
        <w:rPr>
          <w:rFonts w:ascii="Book Antiqua" w:hAnsi="Book Antiqua"/>
          <w:bCs/>
          <w:sz w:val="24"/>
          <w:szCs w:val="24"/>
        </w:rPr>
        <w:t xml:space="preserve"> </w:t>
      </w:r>
      <w:proofErr w:type="spellStart"/>
      <w:r w:rsidR="00EC403F">
        <w:rPr>
          <w:rFonts w:ascii="Book Antiqua" w:hAnsi="Book Antiqua"/>
          <w:bCs/>
          <w:sz w:val="24"/>
          <w:szCs w:val="24"/>
        </w:rPr>
        <w:t>Xu</w:t>
      </w:r>
      <w:proofErr w:type="spellEnd"/>
      <w:r w:rsidR="00EC403F" w:rsidRPr="00EC403F">
        <w:rPr>
          <w:rFonts w:ascii="Book Antiqua" w:hAnsi="Book Antiqua"/>
          <w:bCs/>
          <w:sz w:val="24"/>
          <w:szCs w:val="24"/>
        </w:rPr>
        <w:t xml:space="preserve"> AM </w:t>
      </w:r>
      <w:r w:rsidRPr="00443A23">
        <w:rPr>
          <w:rFonts w:ascii="Book Antiqua" w:hAnsi="Book Antiqua"/>
          <w:b/>
          <w:bCs/>
          <w:sz w:val="24"/>
          <w:szCs w:val="24"/>
        </w:rPr>
        <w:t>S-Editor</w:t>
      </w:r>
      <w:r w:rsidRPr="00443A23">
        <w:rPr>
          <w:rFonts w:ascii="Book Antiqua" w:eastAsia="宋体" w:hAnsi="Book Antiqua"/>
          <w:b/>
          <w:bCs/>
          <w:sz w:val="24"/>
          <w:szCs w:val="24"/>
          <w:lang w:eastAsia="zh-CN"/>
        </w:rPr>
        <w:t>:</w:t>
      </w:r>
      <w:r w:rsidRPr="00443A23">
        <w:rPr>
          <w:rFonts w:ascii="Book Antiqua" w:hAnsi="Book Antiqua"/>
          <w:bCs/>
          <w:sz w:val="24"/>
          <w:szCs w:val="24"/>
        </w:rPr>
        <w:t xml:space="preserve"> </w:t>
      </w:r>
      <w:r w:rsidRPr="00443A23">
        <w:rPr>
          <w:rFonts w:ascii="Book Antiqua" w:eastAsia="宋体" w:hAnsi="Book Antiqua"/>
          <w:bCs/>
          <w:sz w:val="24"/>
          <w:szCs w:val="24"/>
          <w:lang w:eastAsia="zh-CN"/>
        </w:rPr>
        <w:t>Qi Y</w:t>
      </w:r>
      <w:r w:rsidRPr="00443A23">
        <w:rPr>
          <w:rFonts w:ascii="Book Antiqua" w:hAnsi="Book Antiqua"/>
          <w:b/>
          <w:bCs/>
          <w:sz w:val="24"/>
          <w:szCs w:val="24"/>
        </w:rPr>
        <w:t xml:space="preserve">   L-Editor</w:t>
      </w:r>
      <w:proofErr w:type="gramStart"/>
      <w:r w:rsidRPr="00443A23">
        <w:rPr>
          <w:rFonts w:ascii="Book Antiqua" w:eastAsia="宋体" w:hAnsi="Book Antiqua"/>
          <w:b/>
          <w:bCs/>
          <w:sz w:val="24"/>
          <w:szCs w:val="24"/>
          <w:lang w:eastAsia="zh-CN"/>
        </w:rPr>
        <w:t>:</w:t>
      </w:r>
      <w:r w:rsidRPr="00443A23">
        <w:rPr>
          <w:rFonts w:ascii="Book Antiqua" w:hAnsi="Book Antiqua"/>
          <w:b/>
          <w:bCs/>
          <w:sz w:val="24"/>
          <w:szCs w:val="24"/>
        </w:rPr>
        <w:t xml:space="preserve">   E</w:t>
      </w:r>
      <w:proofErr w:type="gramEnd"/>
      <w:r w:rsidRPr="00443A23">
        <w:rPr>
          <w:rFonts w:ascii="Book Antiqua" w:hAnsi="Book Antiqua"/>
          <w:b/>
          <w:bCs/>
          <w:sz w:val="24"/>
          <w:szCs w:val="24"/>
        </w:rPr>
        <w:t>-Editor</w:t>
      </w:r>
      <w:r w:rsidRPr="00443A23">
        <w:rPr>
          <w:rFonts w:ascii="Book Antiqua" w:eastAsia="宋体" w:hAnsi="Book Antiqua"/>
          <w:b/>
          <w:bCs/>
          <w:sz w:val="24"/>
          <w:szCs w:val="24"/>
          <w:lang w:eastAsia="zh-CN"/>
        </w:rPr>
        <w:t>:</w:t>
      </w:r>
    </w:p>
    <w:bookmarkEnd w:id="41"/>
    <w:bookmarkEnd w:id="42"/>
    <w:bookmarkEnd w:id="43"/>
    <w:bookmarkEnd w:id="44"/>
    <w:bookmarkEnd w:id="45"/>
    <w:bookmarkEnd w:id="46"/>
    <w:bookmarkEnd w:id="47"/>
    <w:bookmarkEnd w:id="48"/>
    <w:bookmarkEnd w:id="49"/>
    <w:p w14:paraId="3E6BB95F" w14:textId="77777777" w:rsidR="00D03B6C" w:rsidRPr="00443A23" w:rsidRDefault="00D03B6C" w:rsidP="0002686E">
      <w:pPr>
        <w:spacing w:after="0" w:line="360" w:lineRule="auto"/>
        <w:jc w:val="both"/>
        <w:rPr>
          <w:rFonts w:ascii="Book Antiqua" w:hAnsi="Book Antiqua"/>
          <w:sz w:val="24"/>
          <w:szCs w:val="24"/>
          <w:lang w:eastAsia="zh-CN"/>
        </w:rPr>
      </w:pPr>
    </w:p>
    <w:p w14:paraId="10F4574C" w14:textId="77777777" w:rsidR="00443A23" w:rsidRPr="00443A23" w:rsidRDefault="00443A23" w:rsidP="0002686E">
      <w:pPr>
        <w:spacing w:after="0"/>
        <w:rPr>
          <w:rFonts w:ascii="Book Antiqua" w:hAnsi="Book Antiqua"/>
          <w:sz w:val="24"/>
          <w:szCs w:val="24"/>
          <w:lang w:eastAsia="zh-CN"/>
        </w:rPr>
      </w:pPr>
      <w:r w:rsidRPr="00443A23">
        <w:rPr>
          <w:rFonts w:ascii="Book Antiqua" w:hAnsi="Book Antiqua"/>
          <w:b/>
          <w:bCs/>
          <w:sz w:val="24"/>
          <w:szCs w:val="24"/>
          <w:lang w:eastAsia="zh-CN"/>
        </w:rPr>
        <w:br w:type="page"/>
      </w:r>
    </w:p>
    <w:p w14:paraId="4F689F50" w14:textId="5EE6D545" w:rsidR="00D03B6C" w:rsidRPr="00443A23" w:rsidRDefault="00D03B6C" w:rsidP="0002686E">
      <w:pPr>
        <w:pStyle w:val="Heading5"/>
        <w:spacing w:after="0"/>
        <w:jc w:val="both"/>
        <w:rPr>
          <w:rFonts w:ascii="Book Antiqua" w:hAnsi="Book Antiqua"/>
          <w:color w:val="auto"/>
          <w:sz w:val="24"/>
          <w:szCs w:val="24"/>
        </w:rPr>
      </w:pPr>
      <w:r w:rsidRPr="00443A23">
        <w:rPr>
          <w:rFonts w:ascii="Book Antiqua" w:hAnsi="Book Antiqua"/>
          <w:color w:val="auto"/>
          <w:sz w:val="24"/>
          <w:szCs w:val="24"/>
        </w:rPr>
        <w:lastRenderedPageBreak/>
        <w:t xml:space="preserve">Table </w:t>
      </w:r>
      <w:r w:rsidR="00F96E83" w:rsidRPr="00443A23">
        <w:rPr>
          <w:rFonts w:ascii="Book Antiqua" w:hAnsi="Book Antiqua"/>
          <w:color w:val="auto"/>
          <w:sz w:val="24"/>
          <w:szCs w:val="24"/>
        </w:rPr>
        <w:fldChar w:fldCharType="begin"/>
      </w:r>
      <w:r w:rsidR="00F96E83" w:rsidRPr="00443A23">
        <w:rPr>
          <w:rFonts w:ascii="Book Antiqua" w:hAnsi="Book Antiqua"/>
          <w:color w:val="auto"/>
          <w:sz w:val="24"/>
          <w:szCs w:val="24"/>
        </w:rPr>
        <w:instrText xml:space="preserve"> SEQ Table \* ARABIC </w:instrText>
      </w:r>
      <w:r w:rsidR="00F96E83" w:rsidRPr="00443A23">
        <w:rPr>
          <w:rFonts w:ascii="Book Antiqua" w:hAnsi="Book Antiqua"/>
          <w:color w:val="auto"/>
          <w:sz w:val="24"/>
          <w:szCs w:val="24"/>
        </w:rPr>
        <w:fldChar w:fldCharType="separate"/>
      </w:r>
      <w:r w:rsidRPr="00443A23">
        <w:rPr>
          <w:rFonts w:ascii="Book Antiqua" w:hAnsi="Book Antiqua"/>
          <w:noProof/>
          <w:color w:val="auto"/>
          <w:sz w:val="24"/>
          <w:szCs w:val="24"/>
        </w:rPr>
        <w:t>1</w:t>
      </w:r>
      <w:r w:rsidR="00F96E83" w:rsidRPr="00443A23">
        <w:rPr>
          <w:rFonts w:ascii="Book Antiqua" w:hAnsi="Book Antiqua"/>
          <w:noProof/>
          <w:color w:val="auto"/>
          <w:sz w:val="24"/>
          <w:szCs w:val="24"/>
        </w:rPr>
        <w:fldChar w:fldCharType="end"/>
      </w:r>
      <w:r w:rsidRPr="00443A23">
        <w:rPr>
          <w:rFonts w:ascii="Book Antiqua" w:hAnsi="Book Antiqua"/>
          <w:color w:val="auto"/>
          <w:sz w:val="24"/>
          <w:szCs w:val="24"/>
        </w:rPr>
        <w:t xml:space="preserve"> Summary </w:t>
      </w:r>
      <w:r w:rsidR="000B4B7D" w:rsidRPr="000B4B7D">
        <w:rPr>
          <w:rFonts w:ascii="Book Antiqua" w:hAnsi="Book Antiqua"/>
          <w:color w:val="auto"/>
          <w:sz w:val="24"/>
          <w:szCs w:val="24"/>
        </w:rPr>
        <w:t xml:space="preserve">randomised control trials </w:t>
      </w:r>
      <w:r w:rsidRPr="00443A23">
        <w:rPr>
          <w:rFonts w:ascii="Book Antiqua" w:hAnsi="Book Antiqua"/>
          <w:color w:val="auto"/>
          <w:sz w:val="24"/>
          <w:szCs w:val="24"/>
        </w:rPr>
        <w:t xml:space="preserve">examining </w:t>
      </w:r>
      <w:r w:rsidR="000B4B7D" w:rsidRPr="000B4B7D">
        <w:rPr>
          <w:rFonts w:ascii="Book Antiqua" w:hAnsi="Book Antiqua"/>
          <w:color w:val="auto"/>
          <w:sz w:val="24"/>
          <w:szCs w:val="24"/>
        </w:rPr>
        <w:t xml:space="preserve">proton pump inhibitors </w:t>
      </w:r>
      <w:r w:rsidRPr="00443A23">
        <w:rPr>
          <w:rFonts w:ascii="Book Antiqua" w:hAnsi="Book Antiqua"/>
          <w:color w:val="auto"/>
          <w:sz w:val="24"/>
          <w:szCs w:val="24"/>
        </w:rPr>
        <w:t>efficacy in reducing symptoms in infants with GORD</w:t>
      </w:r>
    </w:p>
    <w:tbl>
      <w:tblPr>
        <w:tblStyle w:val="LightList-Accent11"/>
        <w:tblW w:w="0" w:type="auto"/>
        <w:tblInd w:w="-1168" w:type="dxa"/>
        <w:tblBorders>
          <w:top w:val="single" w:sz="4" w:space="0" w:color="auto"/>
          <w:left w:val="none" w:sz="0" w:space="0" w:color="auto"/>
          <w:bottom w:val="single" w:sz="4" w:space="0" w:color="auto"/>
          <w:right w:val="none" w:sz="0" w:space="0" w:color="auto"/>
        </w:tblBorders>
        <w:tblCellMar>
          <w:top w:w="28" w:type="dxa"/>
          <w:bottom w:w="28" w:type="dxa"/>
        </w:tblCellMar>
        <w:tblLook w:val="04A0" w:firstRow="1" w:lastRow="0" w:firstColumn="1" w:lastColumn="0" w:noHBand="0" w:noVBand="1"/>
      </w:tblPr>
      <w:tblGrid>
        <w:gridCol w:w="63"/>
        <w:gridCol w:w="1234"/>
        <w:gridCol w:w="1422"/>
        <w:gridCol w:w="1277"/>
        <w:gridCol w:w="1278"/>
        <w:gridCol w:w="2038"/>
        <w:gridCol w:w="1648"/>
        <w:gridCol w:w="1450"/>
      </w:tblGrid>
      <w:tr w:rsidR="00443A23" w:rsidRPr="00443A23" w14:paraId="5C163AD9" w14:textId="77777777" w:rsidTr="00331EDC">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28" w:type="dxa"/>
            <w:gridSpan w:val="2"/>
            <w:tcBorders>
              <w:top w:val="single" w:sz="4" w:space="0" w:color="auto"/>
              <w:bottom w:val="single" w:sz="4" w:space="0" w:color="auto"/>
            </w:tcBorders>
            <w:shd w:val="clear" w:color="auto" w:fill="auto"/>
          </w:tcPr>
          <w:p w14:paraId="7BB49B06" w14:textId="77777777" w:rsidR="00D03B6C" w:rsidRPr="00443A23" w:rsidRDefault="00D03B6C" w:rsidP="0002686E">
            <w:pPr>
              <w:tabs>
                <w:tab w:val="left" w:pos="1290"/>
              </w:tabs>
              <w:spacing w:line="360" w:lineRule="auto"/>
              <w:jc w:val="both"/>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Parameter</w:t>
            </w:r>
          </w:p>
        </w:tc>
        <w:tc>
          <w:tcPr>
            <w:tcW w:w="1406" w:type="dxa"/>
            <w:tcBorders>
              <w:top w:val="single" w:sz="4" w:space="0" w:color="auto"/>
              <w:bottom w:val="single" w:sz="4" w:space="0" w:color="auto"/>
            </w:tcBorders>
            <w:shd w:val="clear" w:color="auto" w:fill="auto"/>
          </w:tcPr>
          <w:p w14:paraId="5AAC22A6"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Esomeprazole</w:t>
            </w:r>
          </w:p>
        </w:tc>
        <w:tc>
          <w:tcPr>
            <w:tcW w:w="0" w:type="auto"/>
            <w:tcBorders>
              <w:top w:val="single" w:sz="4" w:space="0" w:color="auto"/>
              <w:bottom w:val="single" w:sz="4" w:space="0" w:color="auto"/>
            </w:tcBorders>
            <w:shd w:val="clear" w:color="auto" w:fill="auto"/>
          </w:tcPr>
          <w:p w14:paraId="18BA22AF"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proofErr w:type="spellStart"/>
            <w:r w:rsidRPr="00443A23">
              <w:rPr>
                <w:rFonts w:ascii="Book Antiqua" w:eastAsia="Arial Unicode MS" w:hAnsi="Book Antiqua" w:cs="Arial"/>
                <w:color w:val="auto"/>
                <w:sz w:val="24"/>
                <w:szCs w:val="24"/>
              </w:rPr>
              <w:t>Lansoprazole</w:t>
            </w:r>
            <w:proofErr w:type="spellEnd"/>
          </w:p>
        </w:tc>
        <w:tc>
          <w:tcPr>
            <w:tcW w:w="0" w:type="auto"/>
            <w:tcBorders>
              <w:top w:val="single" w:sz="4" w:space="0" w:color="auto"/>
              <w:bottom w:val="single" w:sz="4" w:space="0" w:color="auto"/>
            </w:tcBorders>
            <w:shd w:val="clear" w:color="auto" w:fill="auto"/>
          </w:tcPr>
          <w:p w14:paraId="37D14806"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Pantoprazole</w:t>
            </w:r>
          </w:p>
        </w:tc>
        <w:tc>
          <w:tcPr>
            <w:tcW w:w="0" w:type="auto"/>
            <w:tcBorders>
              <w:top w:val="single" w:sz="4" w:space="0" w:color="auto"/>
              <w:bottom w:val="single" w:sz="4" w:space="0" w:color="auto"/>
            </w:tcBorders>
            <w:shd w:val="clear" w:color="auto" w:fill="auto"/>
          </w:tcPr>
          <w:p w14:paraId="72C4EDB6"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Omeprazole</w:t>
            </w:r>
          </w:p>
        </w:tc>
        <w:tc>
          <w:tcPr>
            <w:tcW w:w="0" w:type="auto"/>
            <w:tcBorders>
              <w:top w:val="single" w:sz="4" w:space="0" w:color="auto"/>
              <w:bottom w:val="single" w:sz="4" w:space="0" w:color="auto"/>
            </w:tcBorders>
            <w:shd w:val="clear" w:color="auto" w:fill="auto"/>
          </w:tcPr>
          <w:p w14:paraId="07E04FAA"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 xml:space="preserve">Omeprazole (Independent) </w:t>
            </w:r>
          </w:p>
        </w:tc>
        <w:tc>
          <w:tcPr>
            <w:tcW w:w="0" w:type="auto"/>
            <w:tcBorders>
              <w:top w:val="single" w:sz="4" w:space="0" w:color="auto"/>
              <w:bottom w:val="single" w:sz="4" w:space="0" w:color="auto"/>
            </w:tcBorders>
            <w:shd w:val="clear" w:color="auto" w:fill="auto"/>
            <w:vAlign w:val="center"/>
          </w:tcPr>
          <w:p w14:paraId="435CD9A4"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Arial"/>
                <w:color w:val="auto"/>
                <w:sz w:val="24"/>
                <w:szCs w:val="24"/>
              </w:rPr>
            </w:pPr>
            <w:r w:rsidRPr="00443A23">
              <w:rPr>
                <w:rFonts w:ascii="Book Antiqua" w:eastAsia="Arial Unicode MS" w:hAnsi="Book Antiqua" w:cs="Arial"/>
                <w:color w:val="auto"/>
                <w:sz w:val="24"/>
                <w:szCs w:val="24"/>
              </w:rPr>
              <w:t>Esomeprazole</w:t>
            </w:r>
          </w:p>
        </w:tc>
      </w:tr>
      <w:tr w:rsidR="00443A23" w:rsidRPr="00443A23" w14:paraId="1639C89F"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227"/>
        </w:trPr>
        <w:tc>
          <w:tcPr>
            <w:cnfStyle w:val="001000000000" w:firstRow="0" w:lastRow="0" w:firstColumn="1" w:lastColumn="0" w:oddVBand="0" w:evenVBand="0" w:oddHBand="0" w:evenHBand="0" w:firstRowFirstColumn="0" w:firstRowLastColumn="0" w:lastRowFirstColumn="0" w:lastRowLastColumn="0"/>
            <w:tcW w:w="1070" w:type="dxa"/>
            <w:tcBorders>
              <w:top w:val="single" w:sz="4" w:space="0" w:color="auto"/>
              <w:left w:val="none" w:sz="0" w:space="0" w:color="auto"/>
              <w:bottom w:val="none" w:sz="0" w:space="0" w:color="auto"/>
            </w:tcBorders>
            <w:shd w:val="clear" w:color="auto" w:fill="auto"/>
            <w:vAlign w:val="center"/>
          </w:tcPr>
          <w:p w14:paraId="5BDC819A"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Control Group</w:t>
            </w:r>
          </w:p>
        </w:tc>
        <w:tc>
          <w:tcPr>
            <w:tcW w:w="1406" w:type="dxa"/>
            <w:tcBorders>
              <w:top w:val="single" w:sz="4" w:space="0" w:color="auto"/>
              <w:bottom w:val="none" w:sz="0" w:space="0" w:color="auto"/>
            </w:tcBorders>
            <w:shd w:val="clear" w:color="auto" w:fill="auto"/>
            <w:vAlign w:val="center"/>
          </w:tcPr>
          <w:p w14:paraId="3564EAEE"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Placebo</w:t>
            </w:r>
          </w:p>
        </w:tc>
        <w:tc>
          <w:tcPr>
            <w:tcW w:w="0" w:type="auto"/>
            <w:tcBorders>
              <w:top w:val="single" w:sz="4" w:space="0" w:color="auto"/>
              <w:bottom w:val="none" w:sz="0" w:space="0" w:color="auto"/>
            </w:tcBorders>
            <w:shd w:val="clear" w:color="auto" w:fill="auto"/>
            <w:vAlign w:val="center"/>
          </w:tcPr>
          <w:p w14:paraId="7B957B3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Placebo</w:t>
            </w:r>
          </w:p>
        </w:tc>
        <w:tc>
          <w:tcPr>
            <w:tcW w:w="0" w:type="auto"/>
            <w:tcBorders>
              <w:top w:val="single" w:sz="4" w:space="0" w:color="auto"/>
              <w:bottom w:val="none" w:sz="0" w:space="0" w:color="auto"/>
            </w:tcBorders>
            <w:shd w:val="clear" w:color="auto" w:fill="auto"/>
            <w:vAlign w:val="center"/>
          </w:tcPr>
          <w:p w14:paraId="30A49CC9"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Placebo</w:t>
            </w:r>
          </w:p>
        </w:tc>
        <w:tc>
          <w:tcPr>
            <w:tcW w:w="0" w:type="auto"/>
            <w:tcBorders>
              <w:top w:val="single" w:sz="4" w:space="0" w:color="auto"/>
              <w:bottom w:val="none" w:sz="0" w:space="0" w:color="auto"/>
            </w:tcBorders>
            <w:shd w:val="clear" w:color="auto" w:fill="auto"/>
            <w:vAlign w:val="center"/>
          </w:tcPr>
          <w:p w14:paraId="361FA0AA"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Dosing Range</w:t>
            </w:r>
          </w:p>
        </w:tc>
        <w:tc>
          <w:tcPr>
            <w:tcW w:w="0" w:type="auto"/>
            <w:tcBorders>
              <w:top w:val="single" w:sz="4" w:space="0" w:color="auto"/>
              <w:bottom w:val="none" w:sz="0" w:space="0" w:color="auto"/>
            </w:tcBorders>
            <w:shd w:val="clear" w:color="auto" w:fill="auto"/>
            <w:vAlign w:val="center"/>
          </w:tcPr>
          <w:p w14:paraId="766364D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Placebo </w:t>
            </w:r>
          </w:p>
        </w:tc>
        <w:tc>
          <w:tcPr>
            <w:tcW w:w="0" w:type="auto"/>
            <w:tcBorders>
              <w:top w:val="single" w:sz="4" w:space="0" w:color="auto"/>
              <w:bottom w:val="none" w:sz="0" w:space="0" w:color="auto"/>
              <w:right w:val="none" w:sz="0" w:space="0" w:color="auto"/>
            </w:tcBorders>
            <w:shd w:val="clear" w:color="auto" w:fill="auto"/>
            <w:vAlign w:val="center"/>
          </w:tcPr>
          <w:p w14:paraId="5E203FBB"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Placebo</w:t>
            </w:r>
          </w:p>
        </w:tc>
      </w:tr>
      <w:tr w:rsidR="00443A23" w:rsidRPr="00443A23" w14:paraId="41D9572E" w14:textId="77777777" w:rsidTr="00331EDC">
        <w:trPr>
          <w:gridBefore w:val="1"/>
          <w:wBefore w:w="358" w:type="dxa"/>
          <w:trHeight w:val="227"/>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vAlign w:val="center"/>
          </w:tcPr>
          <w:p w14:paraId="41D22D84"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Blinding</w:t>
            </w:r>
          </w:p>
        </w:tc>
        <w:tc>
          <w:tcPr>
            <w:tcW w:w="1406" w:type="dxa"/>
            <w:shd w:val="clear" w:color="auto" w:fill="auto"/>
            <w:vAlign w:val="center"/>
          </w:tcPr>
          <w:p w14:paraId="3728EBCF"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Double</w:t>
            </w:r>
          </w:p>
        </w:tc>
        <w:tc>
          <w:tcPr>
            <w:tcW w:w="0" w:type="auto"/>
            <w:shd w:val="clear" w:color="auto" w:fill="auto"/>
            <w:vAlign w:val="center"/>
          </w:tcPr>
          <w:p w14:paraId="37EB2949"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Double </w:t>
            </w:r>
          </w:p>
        </w:tc>
        <w:tc>
          <w:tcPr>
            <w:tcW w:w="0" w:type="auto"/>
            <w:shd w:val="clear" w:color="auto" w:fill="auto"/>
            <w:vAlign w:val="center"/>
          </w:tcPr>
          <w:p w14:paraId="539B9B2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Double</w:t>
            </w:r>
          </w:p>
        </w:tc>
        <w:tc>
          <w:tcPr>
            <w:tcW w:w="0" w:type="auto"/>
            <w:shd w:val="clear" w:color="auto" w:fill="auto"/>
            <w:vAlign w:val="center"/>
          </w:tcPr>
          <w:p w14:paraId="139B1104"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Single</w:t>
            </w:r>
          </w:p>
        </w:tc>
        <w:tc>
          <w:tcPr>
            <w:tcW w:w="0" w:type="auto"/>
            <w:shd w:val="clear" w:color="auto" w:fill="auto"/>
            <w:vAlign w:val="center"/>
          </w:tcPr>
          <w:p w14:paraId="3EE879A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Double </w:t>
            </w:r>
          </w:p>
        </w:tc>
        <w:tc>
          <w:tcPr>
            <w:tcW w:w="0" w:type="auto"/>
            <w:shd w:val="clear" w:color="auto" w:fill="auto"/>
            <w:vAlign w:val="center"/>
          </w:tcPr>
          <w:p w14:paraId="778EF1A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Double</w:t>
            </w:r>
          </w:p>
        </w:tc>
      </w:tr>
      <w:tr w:rsidR="00443A23" w:rsidRPr="00443A23" w14:paraId="1539A7ED"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vAlign w:val="center"/>
          </w:tcPr>
          <w:p w14:paraId="49F24C83"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Trial of Conservative Measures</w:t>
            </w:r>
          </w:p>
        </w:tc>
        <w:tc>
          <w:tcPr>
            <w:tcW w:w="1406" w:type="dxa"/>
            <w:tcBorders>
              <w:top w:val="none" w:sz="0" w:space="0" w:color="auto"/>
              <w:bottom w:val="none" w:sz="0" w:space="0" w:color="auto"/>
            </w:tcBorders>
            <w:shd w:val="clear" w:color="auto" w:fill="auto"/>
            <w:vAlign w:val="center"/>
          </w:tcPr>
          <w:p w14:paraId="6F6E1E6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tcBorders>
              <w:top w:val="none" w:sz="0" w:space="0" w:color="auto"/>
              <w:bottom w:val="none" w:sz="0" w:space="0" w:color="auto"/>
            </w:tcBorders>
            <w:shd w:val="clear" w:color="auto" w:fill="auto"/>
            <w:vAlign w:val="center"/>
          </w:tcPr>
          <w:p w14:paraId="6E90FC9A"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tcBorders>
              <w:top w:val="none" w:sz="0" w:space="0" w:color="auto"/>
              <w:bottom w:val="none" w:sz="0" w:space="0" w:color="auto"/>
            </w:tcBorders>
            <w:shd w:val="clear" w:color="auto" w:fill="auto"/>
            <w:vAlign w:val="center"/>
          </w:tcPr>
          <w:p w14:paraId="4B37A026"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tcBorders>
              <w:top w:val="none" w:sz="0" w:space="0" w:color="auto"/>
              <w:bottom w:val="none" w:sz="0" w:space="0" w:color="auto"/>
            </w:tcBorders>
            <w:shd w:val="clear" w:color="auto" w:fill="auto"/>
            <w:vAlign w:val="center"/>
          </w:tcPr>
          <w:p w14:paraId="3007A38E"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tcBorders>
              <w:top w:val="none" w:sz="0" w:space="0" w:color="auto"/>
              <w:bottom w:val="none" w:sz="0" w:space="0" w:color="auto"/>
            </w:tcBorders>
            <w:shd w:val="clear" w:color="auto" w:fill="auto"/>
            <w:vAlign w:val="center"/>
          </w:tcPr>
          <w:p w14:paraId="301A3895" w14:textId="4AA0A869"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lang w:eastAsia="zh-CN"/>
              </w:rPr>
            </w:pPr>
            <w:r w:rsidRPr="00443A23">
              <w:rPr>
                <w:rFonts w:ascii="Book Antiqua" w:eastAsia="Arial Unicode MS" w:hAnsi="Book Antiqua" w:cs="Arial"/>
                <w:sz w:val="24"/>
                <w:szCs w:val="24"/>
              </w:rPr>
              <w:t>Yes</w:t>
            </w:r>
            <w:r w:rsidR="00443A23">
              <w:rPr>
                <w:rFonts w:ascii="Book Antiqua" w:eastAsia="Arial Unicode MS" w:hAnsi="Book Antiqua" w:cs="Arial" w:hint="eastAsia"/>
                <w:sz w:val="24"/>
                <w:szCs w:val="24"/>
                <w:vertAlign w:val="superscript"/>
                <w:lang w:eastAsia="zh-CN"/>
              </w:rPr>
              <w:t>1</w:t>
            </w:r>
          </w:p>
        </w:tc>
        <w:tc>
          <w:tcPr>
            <w:tcW w:w="0" w:type="auto"/>
            <w:tcBorders>
              <w:top w:val="none" w:sz="0" w:space="0" w:color="auto"/>
              <w:bottom w:val="none" w:sz="0" w:space="0" w:color="auto"/>
              <w:right w:val="none" w:sz="0" w:space="0" w:color="auto"/>
            </w:tcBorders>
            <w:shd w:val="clear" w:color="auto" w:fill="auto"/>
            <w:vAlign w:val="center"/>
          </w:tcPr>
          <w:p w14:paraId="78F9763B"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r>
      <w:tr w:rsidR="00443A23" w:rsidRPr="00443A23" w14:paraId="777DFA2C" w14:textId="77777777" w:rsidTr="00331EDC">
        <w:trPr>
          <w:gridBefore w:val="1"/>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vAlign w:val="center"/>
          </w:tcPr>
          <w:p w14:paraId="5FEBF78D"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Antacids allowed as rescue</w:t>
            </w:r>
          </w:p>
        </w:tc>
        <w:tc>
          <w:tcPr>
            <w:tcW w:w="1406" w:type="dxa"/>
            <w:shd w:val="clear" w:color="auto" w:fill="auto"/>
            <w:vAlign w:val="center"/>
          </w:tcPr>
          <w:p w14:paraId="7A84CEDC"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5400CAAD"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shd w:val="clear" w:color="auto" w:fill="auto"/>
            <w:vAlign w:val="center"/>
          </w:tcPr>
          <w:p w14:paraId="3D6C3952"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7BDFDCE5"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562A42CA"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No </w:t>
            </w:r>
          </w:p>
        </w:tc>
        <w:tc>
          <w:tcPr>
            <w:tcW w:w="0" w:type="auto"/>
            <w:shd w:val="clear" w:color="auto" w:fill="auto"/>
            <w:vAlign w:val="center"/>
          </w:tcPr>
          <w:p w14:paraId="2E51142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r>
      <w:tr w:rsidR="00443A23" w:rsidRPr="00443A23" w14:paraId="1899CD35"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vAlign w:val="center"/>
          </w:tcPr>
          <w:p w14:paraId="36F34F10"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 xml:space="preserve">Open-label phase to identify PPI responders </w:t>
            </w:r>
          </w:p>
        </w:tc>
        <w:tc>
          <w:tcPr>
            <w:tcW w:w="1406" w:type="dxa"/>
            <w:tcBorders>
              <w:top w:val="none" w:sz="0" w:space="0" w:color="auto"/>
              <w:bottom w:val="none" w:sz="0" w:space="0" w:color="auto"/>
            </w:tcBorders>
            <w:shd w:val="clear" w:color="auto" w:fill="auto"/>
            <w:vAlign w:val="center"/>
          </w:tcPr>
          <w:p w14:paraId="2F2CF40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 (2 weeks)</w:t>
            </w:r>
          </w:p>
        </w:tc>
        <w:tc>
          <w:tcPr>
            <w:tcW w:w="0" w:type="auto"/>
            <w:tcBorders>
              <w:top w:val="none" w:sz="0" w:space="0" w:color="auto"/>
              <w:bottom w:val="none" w:sz="0" w:space="0" w:color="auto"/>
            </w:tcBorders>
            <w:shd w:val="clear" w:color="auto" w:fill="auto"/>
            <w:vAlign w:val="center"/>
          </w:tcPr>
          <w:p w14:paraId="6A998002"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tcBorders>
              <w:top w:val="none" w:sz="0" w:space="0" w:color="auto"/>
              <w:bottom w:val="none" w:sz="0" w:space="0" w:color="auto"/>
            </w:tcBorders>
            <w:shd w:val="clear" w:color="auto" w:fill="auto"/>
            <w:vAlign w:val="center"/>
          </w:tcPr>
          <w:p w14:paraId="1DD0CF07"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 (4 weeks)</w:t>
            </w:r>
          </w:p>
        </w:tc>
        <w:tc>
          <w:tcPr>
            <w:tcW w:w="0" w:type="auto"/>
            <w:tcBorders>
              <w:top w:val="none" w:sz="0" w:space="0" w:color="auto"/>
              <w:bottom w:val="none" w:sz="0" w:space="0" w:color="auto"/>
            </w:tcBorders>
            <w:shd w:val="clear" w:color="auto" w:fill="auto"/>
            <w:vAlign w:val="center"/>
          </w:tcPr>
          <w:p w14:paraId="6EA31482"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tcBorders>
              <w:top w:val="none" w:sz="0" w:space="0" w:color="auto"/>
              <w:bottom w:val="none" w:sz="0" w:space="0" w:color="auto"/>
            </w:tcBorders>
            <w:shd w:val="clear" w:color="auto" w:fill="auto"/>
            <w:vAlign w:val="center"/>
          </w:tcPr>
          <w:p w14:paraId="0156BEAF"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No </w:t>
            </w:r>
          </w:p>
        </w:tc>
        <w:tc>
          <w:tcPr>
            <w:tcW w:w="0" w:type="auto"/>
            <w:tcBorders>
              <w:top w:val="none" w:sz="0" w:space="0" w:color="auto"/>
              <w:bottom w:val="none" w:sz="0" w:space="0" w:color="auto"/>
              <w:right w:val="none" w:sz="0" w:space="0" w:color="auto"/>
            </w:tcBorders>
            <w:shd w:val="clear" w:color="auto" w:fill="auto"/>
            <w:vAlign w:val="center"/>
          </w:tcPr>
          <w:p w14:paraId="77DDF1FF"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 (2 weeks)</w:t>
            </w:r>
          </w:p>
        </w:tc>
      </w:tr>
      <w:tr w:rsidR="00443A23" w:rsidRPr="00443A23" w14:paraId="4F859186" w14:textId="77777777" w:rsidTr="00331EDC">
        <w:trPr>
          <w:gridBefore w:val="1"/>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vAlign w:val="center"/>
          </w:tcPr>
          <w:p w14:paraId="5F623C26"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Randomised Withdrawal from PPI</w:t>
            </w:r>
          </w:p>
        </w:tc>
        <w:tc>
          <w:tcPr>
            <w:tcW w:w="1406" w:type="dxa"/>
            <w:shd w:val="clear" w:color="auto" w:fill="auto"/>
            <w:vAlign w:val="center"/>
          </w:tcPr>
          <w:p w14:paraId="56AA6C19"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6301E34E"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shd w:val="clear" w:color="auto" w:fill="auto"/>
            <w:vAlign w:val="center"/>
          </w:tcPr>
          <w:p w14:paraId="5A7A1A93"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195A612E"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w:t>
            </w:r>
          </w:p>
        </w:tc>
        <w:tc>
          <w:tcPr>
            <w:tcW w:w="0" w:type="auto"/>
            <w:shd w:val="clear" w:color="auto" w:fill="auto"/>
            <w:vAlign w:val="center"/>
          </w:tcPr>
          <w:p w14:paraId="3B4EEB24"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c>
          <w:tcPr>
            <w:tcW w:w="0" w:type="auto"/>
            <w:shd w:val="clear" w:color="auto" w:fill="auto"/>
            <w:vAlign w:val="center"/>
          </w:tcPr>
          <w:p w14:paraId="5D9F9E37"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Yes</w:t>
            </w:r>
          </w:p>
        </w:tc>
      </w:tr>
      <w:tr w:rsidR="00443A23" w:rsidRPr="00443A23" w14:paraId="469A2A53"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567"/>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vAlign w:val="center"/>
          </w:tcPr>
          <w:p w14:paraId="522CB0F3" w14:textId="4C28C6A4"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Length of Randomi</w:t>
            </w:r>
            <w:r w:rsidRPr="000B4B7D">
              <w:rPr>
                <w:rFonts w:ascii="Book Antiqua" w:eastAsia="Arial Unicode MS" w:hAnsi="Book Antiqua" w:cs="Arial"/>
                <w:b w:val="0"/>
                <w:sz w:val="24"/>
                <w:szCs w:val="24"/>
              </w:rPr>
              <w:lastRenderedPageBreak/>
              <w:t>sed phase (</w:t>
            </w:r>
            <w:proofErr w:type="spellStart"/>
            <w:r w:rsidR="00443A23" w:rsidRPr="000B4B7D">
              <w:rPr>
                <w:rFonts w:ascii="Book Antiqua" w:eastAsia="Arial Unicode MS" w:hAnsi="Book Antiqua" w:cs="Arial" w:hint="eastAsia"/>
                <w:b w:val="0"/>
                <w:sz w:val="24"/>
                <w:szCs w:val="24"/>
                <w:lang w:eastAsia="zh-CN"/>
              </w:rPr>
              <w:t>wk</w:t>
            </w:r>
            <w:proofErr w:type="spellEnd"/>
            <w:r w:rsidRPr="000B4B7D">
              <w:rPr>
                <w:rFonts w:ascii="Book Antiqua" w:eastAsia="Arial Unicode MS" w:hAnsi="Book Antiqua" w:cs="Arial"/>
                <w:b w:val="0"/>
                <w:sz w:val="24"/>
                <w:szCs w:val="24"/>
              </w:rPr>
              <w:t>)</w:t>
            </w:r>
          </w:p>
        </w:tc>
        <w:tc>
          <w:tcPr>
            <w:tcW w:w="1406" w:type="dxa"/>
            <w:tcBorders>
              <w:top w:val="none" w:sz="0" w:space="0" w:color="auto"/>
              <w:bottom w:val="none" w:sz="0" w:space="0" w:color="auto"/>
            </w:tcBorders>
            <w:shd w:val="clear" w:color="auto" w:fill="auto"/>
            <w:vAlign w:val="center"/>
          </w:tcPr>
          <w:p w14:paraId="178D2A01"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4</w:t>
            </w:r>
          </w:p>
        </w:tc>
        <w:tc>
          <w:tcPr>
            <w:tcW w:w="0" w:type="auto"/>
            <w:tcBorders>
              <w:top w:val="none" w:sz="0" w:space="0" w:color="auto"/>
              <w:bottom w:val="none" w:sz="0" w:space="0" w:color="auto"/>
            </w:tcBorders>
            <w:shd w:val="clear" w:color="auto" w:fill="auto"/>
            <w:vAlign w:val="center"/>
          </w:tcPr>
          <w:p w14:paraId="1D912608"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4</w:t>
            </w:r>
          </w:p>
        </w:tc>
        <w:tc>
          <w:tcPr>
            <w:tcW w:w="0" w:type="auto"/>
            <w:tcBorders>
              <w:top w:val="none" w:sz="0" w:space="0" w:color="auto"/>
              <w:bottom w:val="none" w:sz="0" w:space="0" w:color="auto"/>
            </w:tcBorders>
            <w:shd w:val="clear" w:color="auto" w:fill="auto"/>
            <w:vAlign w:val="center"/>
          </w:tcPr>
          <w:p w14:paraId="646CC73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4</w:t>
            </w:r>
          </w:p>
        </w:tc>
        <w:tc>
          <w:tcPr>
            <w:tcW w:w="0" w:type="auto"/>
            <w:tcBorders>
              <w:top w:val="none" w:sz="0" w:space="0" w:color="auto"/>
              <w:bottom w:val="none" w:sz="0" w:space="0" w:color="auto"/>
            </w:tcBorders>
            <w:shd w:val="clear" w:color="auto" w:fill="auto"/>
            <w:vAlign w:val="center"/>
          </w:tcPr>
          <w:p w14:paraId="3C2264D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8</w:t>
            </w:r>
          </w:p>
        </w:tc>
        <w:tc>
          <w:tcPr>
            <w:tcW w:w="0" w:type="auto"/>
            <w:tcBorders>
              <w:top w:val="none" w:sz="0" w:space="0" w:color="auto"/>
              <w:bottom w:val="none" w:sz="0" w:space="0" w:color="auto"/>
            </w:tcBorders>
            <w:shd w:val="clear" w:color="auto" w:fill="auto"/>
            <w:vAlign w:val="center"/>
          </w:tcPr>
          <w:p w14:paraId="0E825A61"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4 </w:t>
            </w:r>
          </w:p>
        </w:tc>
        <w:tc>
          <w:tcPr>
            <w:tcW w:w="0" w:type="auto"/>
            <w:tcBorders>
              <w:top w:val="none" w:sz="0" w:space="0" w:color="auto"/>
              <w:bottom w:val="none" w:sz="0" w:space="0" w:color="auto"/>
              <w:right w:val="none" w:sz="0" w:space="0" w:color="auto"/>
            </w:tcBorders>
            <w:shd w:val="clear" w:color="auto" w:fill="auto"/>
            <w:vAlign w:val="center"/>
          </w:tcPr>
          <w:p w14:paraId="39D1F469"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4</w:t>
            </w:r>
          </w:p>
        </w:tc>
      </w:tr>
      <w:tr w:rsidR="00443A23" w:rsidRPr="00443A23" w14:paraId="3EBA402A" w14:textId="77777777" w:rsidTr="00331EDC">
        <w:trPr>
          <w:gridBefore w:val="1"/>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vAlign w:val="center"/>
          </w:tcPr>
          <w:p w14:paraId="23568540"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lastRenderedPageBreak/>
              <w:t>Age in months</w:t>
            </w:r>
          </w:p>
        </w:tc>
        <w:tc>
          <w:tcPr>
            <w:tcW w:w="1406" w:type="dxa"/>
            <w:shd w:val="clear" w:color="auto" w:fill="auto"/>
            <w:vAlign w:val="center"/>
          </w:tcPr>
          <w:p w14:paraId="4942AC9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1-12</w:t>
            </w:r>
          </w:p>
        </w:tc>
        <w:tc>
          <w:tcPr>
            <w:tcW w:w="0" w:type="auto"/>
            <w:shd w:val="clear" w:color="auto" w:fill="auto"/>
            <w:vAlign w:val="center"/>
          </w:tcPr>
          <w:p w14:paraId="1DE3C325"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1-12</w:t>
            </w:r>
          </w:p>
        </w:tc>
        <w:tc>
          <w:tcPr>
            <w:tcW w:w="0" w:type="auto"/>
            <w:shd w:val="clear" w:color="auto" w:fill="auto"/>
            <w:vAlign w:val="center"/>
          </w:tcPr>
          <w:p w14:paraId="45C23550"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1-12</w:t>
            </w:r>
          </w:p>
        </w:tc>
        <w:tc>
          <w:tcPr>
            <w:tcW w:w="0" w:type="auto"/>
            <w:shd w:val="clear" w:color="auto" w:fill="auto"/>
            <w:vAlign w:val="center"/>
          </w:tcPr>
          <w:p w14:paraId="468413DB" w14:textId="07CAC9C4"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vertAlign w:val="superscript"/>
                <w:lang w:eastAsia="zh-CN"/>
              </w:rPr>
            </w:pPr>
            <w:r w:rsidRPr="00443A23">
              <w:rPr>
                <w:rFonts w:ascii="Book Antiqua" w:eastAsia="Arial Unicode MS" w:hAnsi="Book Antiqua" w:cs="Arial"/>
                <w:sz w:val="24"/>
                <w:szCs w:val="24"/>
              </w:rPr>
              <w:t>0-24</w:t>
            </w:r>
            <w:r w:rsidR="00443A23">
              <w:rPr>
                <w:rFonts w:ascii="Book Antiqua" w:hAnsi="Book Antiqua" w:cs="Arial" w:hint="eastAsia"/>
                <w:sz w:val="24"/>
                <w:szCs w:val="24"/>
                <w:shd w:val="clear" w:color="auto" w:fill="FFFFFF"/>
                <w:vertAlign w:val="superscript"/>
                <w:lang w:eastAsia="zh-CN"/>
              </w:rPr>
              <w:t>3</w:t>
            </w:r>
          </w:p>
        </w:tc>
        <w:tc>
          <w:tcPr>
            <w:tcW w:w="0" w:type="auto"/>
            <w:shd w:val="clear" w:color="auto" w:fill="auto"/>
            <w:vAlign w:val="center"/>
          </w:tcPr>
          <w:p w14:paraId="53FA9193"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3-12</w:t>
            </w:r>
          </w:p>
        </w:tc>
        <w:tc>
          <w:tcPr>
            <w:tcW w:w="0" w:type="auto"/>
            <w:shd w:val="clear" w:color="auto" w:fill="auto"/>
            <w:vAlign w:val="center"/>
          </w:tcPr>
          <w:p w14:paraId="4EAF862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1-11</w:t>
            </w:r>
          </w:p>
        </w:tc>
      </w:tr>
      <w:tr w:rsidR="00443A23" w:rsidRPr="00443A23" w14:paraId="5553F602"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vAlign w:val="center"/>
          </w:tcPr>
          <w:p w14:paraId="0A3C555E"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i/>
                <w:sz w:val="24"/>
                <w:szCs w:val="24"/>
              </w:rPr>
              <w:t>N</w:t>
            </w:r>
          </w:p>
        </w:tc>
        <w:tc>
          <w:tcPr>
            <w:tcW w:w="1406" w:type="dxa"/>
            <w:tcBorders>
              <w:top w:val="none" w:sz="0" w:space="0" w:color="auto"/>
              <w:bottom w:val="none" w:sz="0" w:space="0" w:color="auto"/>
            </w:tcBorders>
            <w:shd w:val="clear" w:color="auto" w:fill="auto"/>
            <w:vAlign w:val="center"/>
          </w:tcPr>
          <w:p w14:paraId="47A39CEA"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40</w:t>
            </w:r>
          </w:p>
        </w:tc>
        <w:tc>
          <w:tcPr>
            <w:tcW w:w="0" w:type="auto"/>
            <w:tcBorders>
              <w:top w:val="none" w:sz="0" w:space="0" w:color="auto"/>
              <w:bottom w:val="none" w:sz="0" w:space="0" w:color="auto"/>
            </w:tcBorders>
            <w:shd w:val="clear" w:color="auto" w:fill="auto"/>
            <w:vAlign w:val="center"/>
          </w:tcPr>
          <w:p w14:paraId="6AC78576"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81</w:t>
            </w:r>
          </w:p>
        </w:tc>
        <w:tc>
          <w:tcPr>
            <w:tcW w:w="0" w:type="auto"/>
            <w:tcBorders>
              <w:top w:val="none" w:sz="0" w:space="0" w:color="auto"/>
              <w:bottom w:val="none" w:sz="0" w:space="0" w:color="auto"/>
            </w:tcBorders>
            <w:shd w:val="clear" w:color="auto" w:fill="auto"/>
            <w:vAlign w:val="center"/>
          </w:tcPr>
          <w:p w14:paraId="0357F283"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50</w:t>
            </w:r>
          </w:p>
        </w:tc>
        <w:tc>
          <w:tcPr>
            <w:tcW w:w="0" w:type="auto"/>
            <w:tcBorders>
              <w:top w:val="none" w:sz="0" w:space="0" w:color="auto"/>
              <w:bottom w:val="none" w:sz="0" w:space="0" w:color="auto"/>
            </w:tcBorders>
            <w:shd w:val="clear" w:color="auto" w:fill="auto"/>
            <w:vAlign w:val="center"/>
          </w:tcPr>
          <w:p w14:paraId="5FFF3BC4"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35</w:t>
            </w:r>
          </w:p>
        </w:tc>
        <w:tc>
          <w:tcPr>
            <w:tcW w:w="0" w:type="auto"/>
            <w:tcBorders>
              <w:top w:val="none" w:sz="0" w:space="0" w:color="auto"/>
              <w:bottom w:val="none" w:sz="0" w:space="0" w:color="auto"/>
            </w:tcBorders>
            <w:shd w:val="clear" w:color="auto" w:fill="auto"/>
            <w:vAlign w:val="center"/>
          </w:tcPr>
          <w:p w14:paraId="5DA4C689"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30</w:t>
            </w:r>
          </w:p>
        </w:tc>
        <w:tc>
          <w:tcPr>
            <w:tcW w:w="0" w:type="auto"/>
            <w:tcBorders>
              <w:top w:val="none" w:sz="0" w:space="0" w:color="auto"/>
              <w:bottom w:val="none" w:sz="0" w:space="0" w:color="auto"/>
              <w:right w:val="none" w:sz="0" w:space="0" w:color="auto"/>
            </w:tcBorders>
            <w:shd w:val="clear" w:color="auto" w:fill="auto"/>
            <w:vAlign w:val="center"/>
          </w:tcPr>
          <w:p w14:paraId="15616B09"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80</w:t>
            </w:r>
          </w:p>
        </w:tc>
      </w:tr>
      <w:tr w:rsidR="00443A23" w:rsidRPr="00443A23" w14:paraId="0B32ADCD" w14:textId="77777777" w:rsidTr="00331EDC">
        <w:trPr>
          <w:gridBefore w:val="1"/>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tcPr>
          <w:p w14:paraId="11119E58"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GORD Symptoms for clinical diagnosis</w:t>
            </w:r>
          </w:p>
        </w:tc>
        <w:tc>
          <w:tcPr>
            <w:tcW w:w="1406" w:type="dxa"/>
            <w:shd w:val="clear" w:color="auto" w:fill="auto"/>
          </w:tcPr>
          <w:p w14:paraId="6BF453DB"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Vomiting</w:t>
            </w:r>
            <w:r w:rsidRPr="00443A23">
              <w:rPr>
                <w:rFonts w:ascii="Book Antiqua" w:eastAsia="Arial Unicode MS" w:hAnsi="Book Antiqua" w:cs="Arial"/>
                <w:sz w:val="24"/>
                <w:szCs w:val="24"/>
              </w:rPr>
              <w:br/>
              <w:t>Regurgitation</w:t>
            </w:r>
            <w:r w:rsidRPr="00443A23">
              <w:rPr>
                <w:rFonts w:ascii="Book Antiqua" w:eastAsia="Arial Unicode MS" w:hAnsi="Book Antiqua" w:cs="Arial"/>
                <w:sz w:val="24"/>
                <w:szCs w:val="24"/>
              </w:rPr>
              <w:br/>
              <w:t>Irritability</w:t>
            </w:r>
            <w:r w:rsidRPr="00443A23">
              <w:rPr>
                <w:rFonts w:ascii="Book Antiqua" w:eastAsia="Arial Unicode MS" w:hAnsi="Book Antiqua" w:cs="Arial"/>
                <w:sz w:val="24"/>
                <w:szCs w:val="24"/>
              </w:rPr>
              <w:br/>
              <w:t>Supra-oesophageal disturbances</w:t>
            </w:r>
            <w:r w:rsidRPr="00443A23">
              <w:rPr>
                <w:rFonts w:ascii="Book Antiqua" w:eastAsia="Arial Unicode MS" w:hAnsi="Book Antiqua" w:cs="Arial"/>
                <w:sz w:val="24"/>
                <w:szCs w:val="24"/>
              </w:rPr>
              <w:br/>
              <w:t>Respiratory Disturbance</w:t>
            </w:r>
            <w:r w:rsidRPr="00443A23">
              <w:rPr>
                <w:rFonts w:ascii="Book Antiqua" w:eastAsia="Arial Unicode MS" w:hAnsi="Book Antiqua" w:cs="Arial"/>
                <w:sz w:val="24"/>
                <w:szCs w:val="24"/>
              </w:rPr>
              <w:br/>
              <w:t>Feeding Difficulty</w:t>
            </w:r>
          </w:p>
        </w:tc>
        <w:tc>
          <w:tcPr>
            <w:tcW w:w="0" w:type="auto"/>
            <w:shd w:val="clear" w:color="auto" w:fill="auto"/>
          </w:tcPr>
          <w:p w14:paraId="1741FA1D"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Crying </w:t>
            </w:r>
          </w:p>
          <w:p w14:paraId="5924E042"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Fussiness</w:t>
            </w:r>
          </w:p>
          <w:p w14:paraId="76BC26E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Irritability</w:t>
            </w:r>
          </w:p>
        </w:tc>
        <w:tc>
          <w:tcPr>
            <w:tcW w:w="0" w:type="auto"/>
            <w:shd w:val="clear" w:color="auto" w:fill="auto"/>
          </w:tcPr>
          <w:p w14:paraId="2B2C7CF3"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Vomiting</w:t>
            </w:r>
            <w:r w:rsidRPr="00443A23">
              <w:rPr>
                <w:rFonts w:ascii="Book Antiqua" w:eastAsia="Arial Unicode MS" w:hAnsi="Book Antiqua" w:cs="Arial"/>
                <w:sz w:val="24"/>
                <w:szCs w:val="24"/>
              </w:rPr>
              <w:br/>
              <w:t>Regurgitation</w:t>
            </w:r>
          </w:p>
          <w:p w14:paraId="64C24FD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Spitting up</w:t>
            </w:r>
          </w:p>
          <w:p w14:paraId="0D7CE117"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Irritability</w:t>
            </w:r>
          </w:p>
          <w:p w14:paraId="0AD3F2DF"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Fussiness </w:t>
            </w:r>
          </w:p>
          <w:p w14:paraId="0018FB6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Feeding Refusal</w:t>
            </w:r>
          </w:p>
          <w:p w14:paraId="59706BB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Choking</w:t>
            </w:r>
          </w:p>
          <w:p w14:paraId="48E11D27"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Gagging</w:t>
            </w:r>
          </w:p>
        </w:tc>
        <w:tc>
          <w:tcPr>
            <w:tcW w:w="0" w:type="auto"/>
            <w:shd w:val="clear" w:color="auto" w:fill="auto"/>
          </w:tcPr>
          <w:p w14:paraId="7F28483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Vomiting </w:t>
            </w:r>
          </w:p>
          <w:p w14:paraId="476676A3"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Regurgitation</w:t>
            </w:r>
          </w:p>
        </w:tc>
        <w:tc>
          <w:tcPr>
            <w:tcW w:w="0" w:type="auto"/>
            <w:shd w:val="clear" w:color="auto" w:fill="auto"/>
          </w:tcPr>
          <w:p w14:paraId="40E2285A" w14:textId="0C631D5A"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Pr>
                <w:rFonts w:ascii="Book Antiqua" w:hAnsi="Book Antiqua" w:cs="Arial" w:hint="eastAsia"/>
                <w:sz w:val="24"/>
                <w:szCs w:val="24"/>
                <w:shd w:val="clear" w:color="auto" w:fill="FFFFFF"/>
                <w:vertAlign w:val="superscript"/>
                <w:lang w:eastAsia="zh-CN"/>
              </w:rPr>
              <w:t>4</w:t>
            </w:r>
            <w:r w:rsidR="00D03B6C" w:rsidRPr="00443A23">
              <w:rPr>
                <w:rFonts w:ascii="Book Antiqua" w:eastAsia="Arial Unicode MS" w:hAnsi="Book Antiqua" w:cs="Arial"/>
                <w:sz w:val="24"/>
                <w:szCs w:val="24"/>
              </w:rPr>
              <w:t>Frequent spilling</w:t>
            </w:r>
          </w:p>
          <w:p w14:paraId="3F32D611"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Irritability/Crying</w:t>
            </w:r>
          </w:p>
        </w:tc>
        <w:tc>
          <w:tcPr>
            <w:tcW w:w="0" w:type="auto"/>
            <w:shd w:val="clear" w:color="auto" w:fill="auto"/>
          </w:tcPr>
          <w:p w14:paraId="1C4B2E0F" w14:textId="506EE45E"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lang w:eastAsia="zh-CN"/>
              </w:rPr>
            </w:pPr>
            <w:r w:rsidRPr="00443A23">
              <w:rPr>
                <w:rFonts w:ascii="Book Antiqua" w:eastAsia="Arial Unicode MS" w:hAnsi="Book Antiqua" w:cs="Arial"/>
                <w:sz w:val="24"/>
                <w:szCs w:val="24"/>
              </w:rPr>
              <w:t xml:space="preserve">Vomiting, regurgitation, irritability, cough, wheezing, stridor, </w:t>
            </w:r>
            <w:proofErr w:type="spellStart"/>
            <w:r w:rsidRPr="00443A23">
              <w:rPr>
                <w:rFonts w:ascii="Book Antiqua" w:eastAsia="Arial Unicode MS" w:hAnsi="Book Antiqua" w:cs="Arial"/>
                <w:sz w:val="24"/>
                <w:szCs w:val="24"/>
              </w:rPr>
              <w:t>labored</w:t>
            </w:r>
            <w:proofErr w:type="spellEnd"/>
            <w:r w:rsidRPr="00443A23">
              <w:rPr>
                <w:rFonts w:ascii="Book Antiqua" w:eastAsia="Arial Unicode MS" w:hAnsi="Book Antiqua" w:cs="Arial"/>
                <w:sz w:val="24"/>
                <w:szCs w:val="24"/>
              </w:rPr>
              <w:t xml:space="preserve"> breathing, </w:t>
            </w:r>
            <w:proofErr w:type="spellStart"/>
            <w:r w:rsidRPr="00443A23">
              <w:rPr>
                <w:rFonts w:ascii="Book Antiqua" w:eastAsia="Arial Unicode MS" w:hAnsi="Book Antiqua" w:cs="Arial"/>
                <w:sz w:val="24"/>
                <w:szCs w:val="24"/>
              </w:rPr>
              <w:t>resp</w:t>
            </w:r>
            <w:proofErr w:type="spellEnd"/>
            <w:r w:rsidRPr="00443A23">
              <w:rPr>
                <w:rFonts w:ascii="Book Antiqua" w:eastAsia="Arial Unicode MS" w:hAnsi="Book Antiqua" w:cs="Arial"/>
                <w:sz w:val="24"/>
                <w:szCs w:val="24"/>
              </w:rPr>
              <w:t xml:space="preserve"> symptoms triggered by feeding, food refusal, gagging, choking, hiccups for &gt;</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1 hour/</w:t>
            </w:r>
            <w:r w:rsidR="00443A23">
              <w:rPr>
                <w:rFonts w:ascii="Book Antiqua" w:eastAsia="Arial Unicode MS" w:hAnsi="Book Antiqua" w:cs="Arial" w:hint="eastAsia"/>
                <w:sz w:val="24"/>
                <w:szCs w:val="24"/>
                <w:lang w:eastAsia="zh-CN"/>
              </w:rPr>
              <w:t>d</w:t>
            </w:r>
          </w:p>
        </w:tc>
      </w:tr>
      <w:tr w:rsidR="00443A23" w:rsidRPr="00443A23" w14:paraId="546A5255"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tcPr>
          <w:p w14:paraId="3242355D" w14:textId="77777777" w:rsidR="00D03B6C" w:rsidRPr="000B4B7D" w:rsidRDefault="00D03B6C" w:rsidP="0002686E">
            <w:pPr>
              <w:spacing w:line="360" w:lineRule="auto"/>
              <w:jc w:val="both"/>
              <w:rPr>
                <w:rFonts w:ascii="Book Antiqua" w:eastAsia="Arial Unicode MS" w:hAnsi="Book Antiqua" w:cs="Arial"/>
                <w:b w:val="0"/>
                <w:sz w:val="24"/>
                <w:szCs w:val="24"/>
              </w:rPr>
            </w:pPr>
            <w:r w:rsidRPr="000B4B7D">
              <w:rPr>
                <w:rFonts w:ascii="Book Antiqua" w:eastAsia="Arial Unicode MS" w:hAnsi="Book Antiqua" w:cs="Arial"/>
                <w:b w:val="0"/>
                <w:sz w:val="24"/>
                <w:szCs w:val="24"/>
              </w:rPr>
              <w:t>Primary Endpoints</w:t>
            </w:r>
          </w:p>
        </w:tc>
        <w:tc>
          <w:tcPr>
            <w:tcW w:w="1406" w:type="dxa"/>
            <w:tcBorders>
              <w:top w:val="none" w:sz="0" w:space="0" w:color="auto"/>
              <w:bottom w:val="none" w:sz="0" w:space="0" w:color="auto"/>
            </w:tcBorders>
            <w:shd w:val="clear" w:color="auto" w:fill="auto"/>
          </w:tcPr>
          <w:p w14:paraId="31060ADA"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Time from randomisation to discontinuation because of </w:t>
            </w:r>
            <w:r w:rsidRPr="00443A23">
              <w:rPr>
                <w:rFonts w:ascii="Book Antiqua" w:eastAsia="Arial Unicode MS" w:hAnsi="Book Antiqua" w:cs="Arial"/>
                <w:sz w:val="24"/>
                <w:szCs w:val="24"/>
              </w:rPr>
              <w:lastRenderedPageBreak/>
              <w:t xml:space="preserve">symptom worsening perceived by parent or physician on symptom severity scale </w:t>
            </w:r>
          </w:p>
        </w:tc>
        <w:tc>
          <w:tcPr>
            <w:tcW w:w="0" w:type="auto"/>
            <w:tcBorders>
              <w:top w:val="none" w:sz="0" w:space="0" w:color="auto"/>
              <w:bottom w:val="none" w:sz="0" w:space="0" w:color="auto"/>
            </w:tcBorders>
            <w:shd w:val="clear" w:color="auto" w:fill="auto"/>
          </w:tcPr>
          <w:p w14:paraId="4FDB0D69" w14:textId="493BB766"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Proportion with ≤</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50% reduction in PGA of symptom</w:t>
            </w:r>
            <w:r w:rsidRPr="00443A23">
              <w:rPr>
                <w:rFonts w:ascii="Book Antiqua" w:eastAsia="Arial Unicode MS" w:hAnsi="Book Antiqua" w:cs="Arial"/>
                <w:sz w:val="24"/>
                <w:szCs w:val="24"/>
              </w:rPr>
              <w:lastRenderedPageBreak/>
              <w:t>s</w:t>
            </w:r>
          </w:p>
        </w:tc>
        <w:tc>
          <w:tcPr>
            <w:tcW w:w="0" w:type="auto"/>
            <w:tcBorders>
              <w:top w:val="none" w:sz="0" w:space="0" w:color="auto"/>
              <w:bottom w:val="none" w:sz="0" w:space="0" w:color="auto"/>
            </w:tcBorders>
            <w:shd w:val="clear" w:color="auto" w:fill="auto"/>
          </w:tcPr>
          <w:p w14:paraId="219E422C" w14:textId="63C3314F"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 xml:space="preserve">Proportion of infants who withdrew due to </w:t>
            </w:r>
            <w:r w:rsidRPr="00443A23">
              <w:rPr>
                <w:rFonts w:ascii="Book Antiqua" w:eastAsia="Arial Unicode MS" w:hAnsi="Book Antiqua" w:cs="Arial"/>
                <w:sz w:val="24"/>
                <w:szCs w:val="24"/>
              </w:rPr>
              <w:lastRenderedPageBreak/>
              <w:t xml:space="preserve">the “lack of efficacy” including worsening of symptoms, and/or antacid use for 7 consecutive </w:t>
            </w:r>
            <w:r w:rsidR="002D44B1" w:rsidRPr="00443A23">
              <w:rPr>
                <w:rFonts w:ascii="Book Antiqua" w:eastAsia="Arial Unicode MS" w:hAnsi="Book Antiqua" w:cs="Arial"/>
                <w:sz w:val="24"/>
                <w:szCs w:val="24"/>
              </w:rPr>
              <w:t>days and</w:t>
            </w:r>
            <w:r w:rsidRPr="00443A23">
              <w:rPr>
                <w:rFonts w:ascii="Book Antiqua" w:eastAsia="Arial Unicode MS" w:hAnsi="Book Antiqua" w:cs="Arial"/>
                <w:sz w:val="24"/>
                <w:szCs w:val="24"/>
              </w:rPr>
              <w:t xml:space="preserve">/or </w:t>
            </w:r>
            <w:proofErr w:type="spellStart"/>
            <w:r w:rsidRPr="00443A23">
              <w:rPr>
                <w:rFonts w:ascii="Book Antiqua" w:eastAsia="Arial Unicode MS" w:hAnsi="Book Antiqua" w:cs="Arial"/>
                <w:sz w:val="24"/>
                <w:szCs w:val="24"/>
              </w:rPr>
              <w:t>oesophagitis</w:t>
            </w:r>
            <w:proofErr w:type="spellEnd"/>
            <w:r w:rsidRPr="00443A23">
              <w:rPr>
                <w:rFonts w:ascii="Book Antiqua" w:eastAsia="Arial Unicode MS" w:hAnsi="Book Antiqua" w:cs="Arial"/>
                <w:sz w:val="24"/>
                <w:szCs w:val="24"/>
              </w:rPr>
              <w:t xml:space="preserve"> and/or physician </w:t>
            </w:r>
            <w:proofErr w:type="gramStart"/>
            <w:r w:rsidRPr="00443A23">
              <w:rPr>
                <w:rFonts w:ascii="Book Antiqua" w:eastAsia="Arial Unicode MS" w:hAnsi="Book Antiqua" w:cs="Arial"/>
                <w:sz w:val="24"/>
                <w:szCs w:val="24"/>
              </w:rPr>
              <w:t xml:space="preserve">judgements  </w:t>
            </w:r>
            <w:proofErr w:type="gramEnd"/>
          </w:p>
        </w:tc>
        <w:tc>
          <w:tcPr>
            <w:tcW w:w="0" w:type="auto"/>
            <w:tcBorders>
              <w:top w:val="none" w:sz="0" w:space="0" w:color="auto"/>
              <w:bottom w:val="none" w:sz="0" w:space="0" w:color="auto"/>
            </w:tcBorders>
            <w:shd w:val="clear" w:color="auto" w:fill="auto"/>
          </w:tcPr>
          <w:p w14:paraId="4F5D615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 xml:space="preserve">Change from baseline in daily symptoms based on PGA and parent perception </w:t>
            </w:r>
          </w:p>
        </w:tc>
        <w:tc>
          <w:tcPr>
            <w:tcW w:w="0" w:type="auto"/>
            <w:tcBorders>
              <w:top w:val="none" w:sz="0" w:space="0" w:color="auto"/>
              <w:bottom w:val="none" w:sz="0" w:space="0" w:color="auto"/>
            </w:tcBorders>
            <w:shd w:val="clear" w:color="auto" w:fill="auto"/>
          </w:tcPr>
          <w:p w14:paraId="4C6BE16E" w14:textId="10811F64"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Reflux index from baseline </w:t>
            </w:r>
            <w:r w:rsidRPr="00443A23">
              <w:rPr>
                <w:rFonts w:ascii="Book Antiqua" w:eastAsia="Arial Unicode MS" w:hAnsi="Book Antiqua" w:cs="Arial"/>
                <w:sz w:val="24"/>
                <w:szCs w:val="24"/>
              </w:rPr>
              <w:br/>
            </w:r>
            <w:r w:rsidRPr="00443A23">
              <w:rPr>
                <w:rFonts w:ascii="Book Antiqua" w:eastAsia="Arial Unicode MS" w:hAnsi="Book Antiqua" w:cs="Arial"/>
                <w:sz w:val="24"/>
                <w:szCs w:val="24"/>
              </w:rPr>
              <w:br/>
              <w:t xml:space="preserve">Change from baseline of </w:t>
            </w:r>
            <w:r w:rsidRPr="00443A23">
              <w:rPr>
                <w:rFonts w:ascii="Book Antiqua" w:eastAsia="Arial Unicode MS" w:hAnsi="Book Antiqua" w:cs="Arial"/>
                <w:sz w:val="24"/>
                <w:szCs w:val="24"/>
              </w:rPr>
              <w:lastRenderedPageBreak/>
              <w:t xml:space="preserve">parent-recorded 24 </w:t>
            </w:r>
            <w:r w:rsidR="000B4B7D">
              <w:rPr>
                <w:rFonts w:ascii="Book Antiqua" w:eastAsia="Arial Unicode MS" w:hAnsi="Book Antiqua" w:cs="Arial" w:hint="eastAsia"/>
                <w:sz w:val="24"/>
                <w:szCs w:val="24"/>
                <w:lang w:eastAsia="zh-CN"/>
              </w:rPr>
              <w:t>h</w:t>
            </w:r>
            <w:r w:rsidRPr="00443A23">
              <w:rPr>
                <w:rFonts w:ascii="Book Antiqua" w:eastAsia="Arial Unicode MS" w:hAnsi="Book Antiqua" w:cs="Arial"/>
                <w:sz w:val="24"/>
                <w:szCs w:val="24"/>
              </w:rPr>
              <w:t xml:space="preserve"> crying and fussing time and visual analogue scores of parental impression of the intensity of irritability </w:t>
            </w:r>
          </w:p>
        </w:tc>
        <w:tc>
          <w:tcPr>
            <w:tcW w:w="0" w:type="auto"/>
            <w:tcBorders>
              <w:top w:val="none" w:sz="0" w:space="0" w:color="auto"/>
              <w:bottom w:val="none" w:sz="0" w:space="0" w:color="auto"/>
              <w:right w:val="none" w:sz="0" w:space="0" w:color="auto"/>
            </w:tcBorders>
            <w:shd w:val="clear" w:color="auto" w:fill="auto"/>
            <w:vAlign w:val="center"/>
          </w:tcPr>
          <w:p w14:paraId="61B413D9" w14:textId="32191702" w:rsidR="00D03B6C" w:rsidRPr="00443A23" w:rsidRDefault="002D44B1"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Time</w:t>
            </w:r>
            <w:r w:rsidR="00D03B6C" w:rsidRPr="00443A23">
              <w:rPr>
                <w:rFonts w:ascii="Book Antiqua" w:eastAsia="Arial Unicode MS" w:hAnsi="Book Antiqua" w:cs="Arial"/>
                <w:sz w:val="24"/>
                <w:szCs w:val="24"/>
              </w:rPr>
              <w:t xml:space="preserve"> from randomization to discontinuation owing to </w:t>
            </w:r>
            <w:r w:rsidR="00D03B6C" w:rsidRPr="00443A23">
              <w:rPr>
                <w:rFonts w:ascii="Book Antiqua" w:eastAsia="Arial Unicode MS" w:hAnsi="Book Antiqua" w:cs="Arial"/>
                <w:sz w:val="24"/>
                <w:szCs w:val="24"/>
              </w:rPr>
              <w:lastRenderedPageBreak/>
              <w:t>symptom worsening in the double-blind phase</w:t>
            </w:r>
          </w:p>
        </w:tc>
      </w:tr>
      <w:tr w:rsidR="00443A23" w:rsidRPr="00443A23" w14:paraId="2D59E5F2" w14:textId="77777777" w:rsidTr="00331EDC">
        <w:trPr>
          <w:gridBefore w:val="1"/>
          <w:wBefore w:w="358" w:type="dxa"/>
          <w:trHeight w:val="3232"/>
        </w:trPr>
        <w:tc>
          <w:tcPr>
            <w:cnfStyle w:val="001000000000" w:firstRow="0" w:lastRow="0" w:firstColumn="1" w:lastColumn="0" w:oddVBand="0" w:evenVBand="0" w:oddHBand="0" w:evenHBand="0" w:firstRowFirstColumn="0" w:firstRowLastColumn="0" w:lastRowFirstColumn="0" w:lastRowLastColumn="0"/>
            <w:tcW w:w="1070" w:type="dxa"/>
            <w:shd w:val="clear" w:color="auto" w:fill="auto"/>
          </w:tcPr>
          <w:p w14:paraId="0DE5734E" w14:textId="77777777" w:rsidR="00D03B6C" w:rsidRPr="00443A23" w:rsidRDefault="00D03B6C" w:rsidP="0002686E">
            <w:pPr>
              <w:spacing w:line="360" w:lineRule="auto"/>
              <w:jc w:val="both"/>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Primary end point efficacy result</w:t>
            </w:r>
          </w:p>
        </w:tc>
        <w:tc>
          <w:tcPr>
            <w:tcW w:w="1406" w:type="dxa"/>
            <w:shd w:val="clear" w:color="auto" w:fill="auto"/>
          </w:tcPr>
          <w:p w14:paraId="36852472"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Hazard Ratio</w:t>
            </w:r>
            <w:r w:rsidRPr="00443A23">
              <w:rPr>
                <w:rFonts w:ascii="Book Antiqua" w:eastAsia="Arial Unicode MS" w:hAnsi="Book Antiqua" w:cs="Arial"/>
                <w:sz w:val="24"/>
                <w:szCs w:val="24"/>
                <w:shd w:val="clear" w:color="auto" w:fill="FFFFFF"/>
                <w:vertAlign w:val="superscript"/>
              </w:rPr>
              <w:t xml:space="preserve"> </w:t>
            </w:r>
            <w:r w:rsidRPr="00443A23">
              <w:rPr>
                <w:rFonts w:ascii="Book Antiqua" w:eastAsia="Arial Unicode MS" w:hAnsi="Book Antiqua" w:cs="Arial"/>
                <w:sz w:val="24"/>
                <w:szCs w:val="24"/>
              </w:rPr>
              <w:t>= 0.69 (PPI/Placebo)</w:t>
            </w:r>
          </w:p>
          <w:p w14:paraId="2CD3EA3B" w14:textId="2401BBC7"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Pr>
                <w:rFonts w:ascii="Book Antiqua" w:eastAsia="Arial Unicode MS" w:hAnsi="Book Antiqua" w:cs="Arial"/>
                <w:sz w:val="24"/>
                <w:szCs w:val="24"/>
              </w:rPr>
              <w:t>95%CI</w:t>
            </w:r>
            <w:r>
              <w:rPr>
                <w:rFonts w:ascii="Book Antiqua" w:eastAsia="Arial Unicode MS" w:hAnsi="Book Antiqua" w:cs="Arial" w:hint="eastAsia"/>
                <w:sz w:val="24"/>
                <w:szCs w:val="24"/>
                <w:lang w:eastAsia="zh-CN"/>
              </w:rPr>
              <w:t xml:space="preserve">: </w:t>
            </w:r>
            <w:r w:rsidR="00D03B6C" w:rsidRPr="00443A23">
              <w:rPr>
                <w:rFonts w:ascii="Book Antiqua" w:eastAsia="Arial Unicode MS" w:hAnsi="Book Antiqua" w:cs="Arial"/>
                <w:sz w:val="24"/>
                <w:szCs w:val="24"/>
              </w:rPr>
              <w:t>0.35-1.35</w:t>
            </w:r>
          </w:p>
          <w:p w14:paraId="58CD917B" w14:textId="4200B9E3"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i/>
                <w:sz w:val="24"/>
                <w:szCs w:val="24"/>
              </w:rPr>
              <w:t>P</w:t>
            </w:r>
            <w:r w:rsidR="00443A23" w:rsidRPr="00443A23">
              <w:rPr>
                <w:rFonts w:ascii="Book Antiqua" w:eastAsia="Arial Unicode MS" w:hAnsi="Book Antiqua" w:cs="Arial" w:hint="eastAsia"/>
                <w:i/>
                <w:sz w:val="24"/>
                <w:szCs w:val="24"/>
                <w:lang w:eastAsia="zh-CN"/>
              </w:rPr>
              <w:t xml:space="preserve"> </w:t>
            </w:r>
            <w:r w:rsidRPr="00443A23">
              <w:rPr>
                <w:rFonts w:ascii="Book Antiqua" w:eastAsia="Arial Unicode MS" w:hAnsi="Book Antiqua" w:cs="Arial"/>
                <w:sz w:val="24"/>
                <w:szCs w:val="24"/>
              </w:rPr>
              <w:t>=</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0.275</w:t>
            </w:r>
          </w:p>
        </w:tc>
        <w:tc>
          <w:tcPr>
            <w:tcW w:w="0" w:type="auto"/>
            <w:shd w:val="clear" w:color="auto" w:fill="auto"/>
          </w:tcPr>
          <w:p w14:paraId="6152F06D" w14:textId="0FDB066E"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Responder rate:</w:t>
            </w:r>
            <w:r w:rsidRPr="00443A23">
              <w:rPr>
                <w:rFonts w:ascii="Book Antiqua" w:eastAsia="Arial Unicode MS" w:hAnsi="Book Antiqua" w:cs="Arial"/>
                <w:sz w:val="24"/>
                <w:szCs w:val="24"/>
              </w:rPr>
              <w:br/>
              <w:t xml:space="preserve">54% </w:t>
            </w:r>
            <w:r w:rsidR="00443A23">
              <w:rPr>
                <w:rFonts w:ascii="Book Antiqua" w:eastAsia="Arial Unicode MS" w:hAnsi="Book Antiqua" w:cs="Arial"/>
                <w:sz w:val="24"/>
                <w:szCs w:val="24"/>
              </w:rPr>
              <w:t xml:space="preserve">(44/81) PPI </w:t>
            </w:r>
            <w:proofErr w:type="spellStart"/>
            <w:r w:rsidR="00443A23" w:rsidRPr="00443A23">
              <w:rPr>
                <w:rFonts w:ascii="Book Antiqua" w:eastAsia="Arial Unicode MS" w:hAnsi="Book Antiqua" w:cs="Arial"/>
                <w:i/>
                <w:sz w:val="24"/>
                <w:szCs w:val="24"/>
              </w:rPr>
              <w:t>vs</w:t>
            </w:r>
            <w:proofErr w:type="spellEnd"/>
            <w:r w:rsidRPr="00443A23">
              <w:rPr>
                <w:rFonts w:ascii="Book Antiqua" w:eastAsia="Arial Unicode MS" w:hAnsi="Book Antiqua" w:cs="Arial"/>
                <w:sz w:val="24"/>
                <w:szCs w:val="24"/>
              </w:rPr>
              <w:t xml:space="preserve"> 54% (44/81) Placebo</w:t>
            </w:r>
          </w:p>
          <w:p w14:paraId="45DE7025" w14:textId="19A4AAC0"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i/>
                <w:sz w:val="24"/>
                <w:szCs w:val="24"/>
              </w:rPr>
              <w:t>P</w:t>
            </w:r>
            <w:r w:rsidRPr="00443A23">
              <w:rPr>
                <w:rFonts w:ascii="Book Antiqua" w:eastAsia="Arial Unicode MS" w:hAnsi="Book Antiqua" w:cs="Arial" w:hint="eastAsia"/>
                <w:i/>
                <w:sz w:val="24"/>
                <w:szCs w:val="24"/>
                <w:lang w:eastAsia="zh-CN"/>
              </w:rPr>
              <w:t xml:space="preserve"> </w:t>
            </w:r>
            <w:r w:rsidR="00D03B6C" w:rsidRPr="00443A23">
              <w:rPr>
                <w:rFonts w:ascii="Book Antiqua" w:eastAsia="Arial Unicode MS" w:hAnsi="Book Antiqua" w:cs="Arial"/>
                <w:sz w:val="24"/>
                <w:szCs w:val="24"/>
              </w:rPr>
              <w:t>=</w:t>
            </w:r>
            <w:r>
              <w:rPr>
                <w:rFonts w:ascii="Book Antiqua" w:eastAsia="Arial Unicode MS" w:hAnsi="Book Antiqua" w:cs="Arial" w:hint="eastAsia"/>
                <w:sz w:val="24"/>
                <w:szCs w:val="24"/>
                <w:lang w:eastAsia="zh-CN"/>
              </w:rPr>
              <w:t xml:space="preserve"> </w:t>
            </w:r>
            <w:r w:rsidR="00D03B6C" w:rsidRPr="00443A23">
              <w:rPr>
                <w:rFonts w:ascii="Book Antiqua" w:eastAsia="Arial Unicode MS" w:hAnsi="Book Antiqua" w:cs="Arial"/>
                <w:sz w:val="24"/>
                <w:szCs w:val="24"/>
              </w:rPr>
              <w:t xml:space="preserve">1.000 </w:t>
            </w:r>
          </w:p>
        </w:tc>
        <w:tc>
          <w:tcPr>
            <w:tcW w:w="0" w:type="auto"/>
            <w:shd w:val="clear" w:color="auto" w:fill="auto"/>
          </w:tcPr>
          <w:p w14:paraId="0181208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Responder rate: </w:t>
            </w:r>
          </w:p>
          <w:p w14:paraId="51C9696E" w14:textId="3F0DCDF1"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12% PPI </w:t>
            </w:r>
            <w:proofErr w:type="spellStart"/>
            <w:r w:rsidR="00443A23" w:rsidRPr="00443A23">
              <w:rPr>
                <w:rFonts w:ascii="Book Antiqua" w:eastAsia="Arial Unicode MS" w:hAnsi="Book Antiqua" w:cs="Arial"/>
                <w:i/>
                <w:sz w:val="24"/>
                <w:szCs w:val="24"/>
              </w:rPr>
              <w:t>vs</w:t>
            </w:r>
            <w:proofErr w:type="spellEnd"/>
            <w:r w:rsidRPr="00443A23">
              <w:rPr>
                <w:rFonts w:ascii="Book Antiqua" w:eastAsia="Arial Unicode MS" w:hAnsi="Book Antiqua" w:cs="Arial"/>
                <w:sz w:val="24"/>
                <w:szCs w:val="24"/>
              </w:rPr>
              <w:t xml:space="preserve"> </w:t>
            </w:r>
            <w:r w:rsidRPr="00443A23">
              <w:rPr>
                <w:rFonts w:ascii="Book Antiqua" w:eastAsia="Arial Unicode MS" w:hAnsi="Book Antiqua" w:cs="Arial"/>
                <w:sz w:val="24"/>
                <w:szCs w:val="24"/>
              </w:rPr>
              <w:br/>
              <w:t xml:space="preserve">11% Placebo </w:t>
            </w:r>
          </w:p>
          <w:p w14:paraId="36DE7602" w14:textId="2DB6916A"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i/>
                <w:sz w:val="24"/>
                <w:szCs w:val="24"/>
              </w:rPr>
              <w:t>P</w:t>
            </w:r>
            <w:r w:rsidRPr="00443A23">
              <w:rPr>
                <w:rFonts w:ascii="Book Antiqua" w:eastAsia="Arial Unicode MS" w:hAnsi="Book Antiqua" w:cs="Arial" w:hint="eastAsia"/>
                <w:i/>
                <w:sz w:val="24"/>
                <w:szCs w:val="24"/>
                <w:lang w:eastAsia="zh-CN"/>
              </w:rPr>
              <w:t xml:space="preserve"> </w:t>
            </w:r>
            <w:r w:rsidR="00D03B6C" w:rsidRPr="00443A23">
              <w:rPr>
                <w:rFonts w:ascii="Book Antiqua" w:eastAsia="Arial Unicode MS" w:hAnsi="Book Antiqua" w:cs="Arial"/>
                <w:sz w:val="24"/>
                <w:szCs w:val="24"/>
              </w:rPr>
              <w:t>= 1.000</w:t>
            </w:r>
          </w:p>
        </w:tc>
        <w:tc>
          <w:tcPr>
            <w:tcW w:w="0" w:type="auto"/>
            <w:shd w:val="clear" w:color="auto" w:fill="auto"/>
          </w:tcPr>
          <w:p w14:paraId="0F61EFE3" w14:textId="6F1DA226"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Mean daily vomiting/regurgitation episodes decreased by 4.34 /</w:t>
            </w:r>
            <w:r w:rsidR="00443A23">
              <w:rPr>
                <w:rFonts w:ascii="Book Antiqua" w:eastAsia="Arial Unicode MS" w:hAnsi="Book Antiqua" w:cs="Arial" w:hint="eastAsia"/>
                <w:sz w:val="24"/>
                <w:szCs w:val="24"/>
                <w:lang w:eastAsia="zh-CN"/>
              </w:rPr>
              <w:t>d</w:t>
            </w:r>
            <w:r w:rsidR="002D44B1">
              <w:rPr>
                <w:rFonts w:ascii="Book Antiqua" w:eastAsia="Arial Unicode MS" w:hAnsi="Book Antiqua" w:cs="Arial"/>
                <w:sz w:val="24"/>
                <w:szCs w:val="24"/>
              </w:rPr>
              <w:t xml:space="preserve"> (</w:t>
            </w:r>
            <w:r w:rsidRPr="00443A23">
              <w:rPr>
                <w:rFonts w:ascii="Book Antiqua" w:eastAsia="Arial Unicode MS" w:hAnsi="Book Antiqua" w:cs="Arial"/>
                <w:sz w:val="24"/>
                <w:szCs w:val="24"/>
              </w:rPr>
              <w:t>0.5</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mg/</w:t>
            </w:r>
            <w:r w:rsidR="00443A23" w:rsidRPr="00443A23">
              <w:rPr>
                <w:rFonts w:ascii="Book Antiqua" w:eastAsia="Arial Unicode MS" w:hAnsi="Book Antiqua" w:cs="Arial"/>
                <w:sz w:val="24"/>
                <w:szCs w:val="24"/>
              </w:rPr>
              <w:t>k</w:t>
            </w:r>
            <w:r w:rsidRPr="00443A23">
              <w:rPr>
                <w:rFonts w:ascii="Book Antiqua" w:eastAsia="Arial Unicode MS" w:hAnsi="Book Antiqua" w:cs="Arial"/>
                <w:sz w:val="24"/>
                <w:szCs w:val="24"/>
              </w:rPr>
              <w:t>g</w:t>
            </w:r>
          </w:p>
          <w:p w14:paraId="3B3CA40B" w14:textId="549FD2AA"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2.97/</w:t>
            </w:r>
            <w:r w:rsidR="00443A23">
              <w:rPr>
                <w:rFonts w:ascii="Book Antiqua" w:eastAsia="Arial Unicode MS" w:hAnsi="Book Antiqua" w:cs="Arial" w:hint="eastAsia"/>
                <w:sz w:val="24"/>
                <w:szCs w:val="24"/>
                <w:lang w:eastAsia="zh-CN"/>
              </w:rPr>
              <w:t>d</w:t>
            </w:r>
            <w:r w:rsidRPr="00443A23">
              <w:rPr>
                <w:rFonts w:ascii="Book Antiqua" w:eastAsia="Arial Unicode MS" w:hAnsi="Book Antiqua" w:cs="Arial"/>
                <w:sz w:val="24"/>
                <w:szCs w:val="24"/>
              </w:rPr>
              <w:t xml:space="preserve"> – 1.0 mg/</w:t>
            </w:r>
            <w:r w:rsidR="00443A23" w:rsidRPr="00443A23">
              <w:rPr>
                <w:rFonts w:ascii="Book Antiqua" w:eastAsia="Arial Unicode MS" w:hAnsi="Book Antiqua" w:cs="Arial"/>
                <w:sz w:val="24"/>
                <w:szCs w:val="24"/>
              </w:rPr>
              <w:t>k</w:t>
            </w:r>
            <w:r w:rsidRPr="00443A23">
              <w:rPr>
                <w:rFonts w:ascii="Book Antiqua" w:eastAsia="Arial Unicode MS" w:hAnsi="Book Antiqua" w:cs="Arial"/>
                <w:sz w:val="24"/>
                <w:szCs w:val="24"/>
              </w:rPr>
              <w:t>g</w:t>
            </w:r>
          </w:p>
          <w:p w14:paraId="206E05E7" w14:textId="46D353FF"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4.35/</w:t>
            </w:r>
            <w:r w:rsidR="00443A23">
              <w:rPr>
                <w:rFonts w:ascii="Book Antiqua" w:eastAsia="Arial Unicode MS" w:hAnsi="Book Antiqua" w:cs="Arial" w:hint="eastAsia"/>
                <w:sz w:val="24"/>
                <w:szCs w:val="24"/>
                <w:lang w:eastAsia="zh-CN"/>
              </w:rPr>
              <w:t>d</w:t>
            </w:r>
            <w:r w:rsidRPr="00443A23">
              <w:rPr>
                <w:rFonts w:ascii="Book Antiqua" w:eastAsia="Arial Unicode MS" w:hAnsi="Book Antiqua" w:cs="Arial"/>
                <w:sz w:val="24"/>
                <w:szCs w:val="24"/>
              </w:rPr>
              <w:t xml:space="preserve"> – 1.5</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mg/</w:t>
            </w:r>
            <w:r w:rsidR="00443A23" w:rsidRPr="00443A23">
              <w:rPr>
                <w:rFonts w:ascii="Book Antiqua" w:eastAsia="Arial Unicode MS" w:hAnsi="Book Antiqua" w:cs="Arial"/>
                <w:sz w:val="24"/>
                <w:szCs w:val="24"/>
              </w:rPr>
              <w:t>k</w:t>
            </w:r>
            <w:r w:rsidRPr="00443A23">
              <w:rPr>
                <w:rFonts w:ascii="Book Antiqua" w:eastAsia="Arial Unicode MS" w:hAnsi="Book Antiqua" w:cs="Arial"/>
                <w:sz w:val="24"/>
                <w:szCs w:val="24"/>
              </w:rPr>
              <w:t>g</w:t>
            </w:r>
          </w:p>
          <w:p w14:paraId="37E52278" w14:textId="1F056C12"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br/>
            </w:r>
            <w:r w:rsidRPr="00443A23">
              <w:rPr>
                <w:rFonts w:ascii="Book Antiqua" w:eastAsia="Arial Unicode MS" w:hAnsi="Book Antiqua" w:cs="Arial"/>
                <w:i/>
                <w:sz w:val="24"/>
                <w:szCs w:val="24"/>
              </w:rPr>
              <w:t>P</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&gt;</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 xml:space="preserve">0.50 in all </w:t>
            </w:r>
            <w:r w:rsidRPr="00443A23">
              <w:rPr>
                <w:rFonts w:ascii="Book Antiqua" w:eastAsia="Arial Unicode MS" w:hAnsi="Book Antiqua" w:cs="Arial"/>
                <w:sz w:val="24"/>
                <w:szCs w:val="24"/>
              </w:rPr>
              <w:lastRenderedPageBreak/>
              <w:t xml:space="preserve">group comparisons </w:t>
            </w:r>
          </w:p>
        </w:tc>
        <w:tc>
          <w:tcPr>
            <w:tcW w:w="0" w:type="auto"/>
            <w:shd w:val="clear" w:color="auto" w:fill="auto"/>
          </w:tcPr>
          <w:p w14:paraId="6C682E3B"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lastRenderedPageBreak/>
              <w:t xml:space="preserve">Reflux index </w:t>
            </w:r>
            <w:r w:rsidRPr="00443A23">
              <w:rPr>
                <w:rFonts w:ascii="Book Antiqua" w:hAnsi="Book Antiqua" w:cs="Arial"/>
                <w:sz w:val="24"/>
                <w:szCs w:val="24"/>
              </w:rPr>
              <w:br/>
              <w:t>-8.9 ± 5.6% PPI</w:t>
            </w:r>
          </w:p>
          <w:p w14:paraId="73C28910" w14:textId="794AF17E"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-1.9 ± 2.0% </w:t>
            </w:r>
            <w:proofErr w:type="gramStart"/>
            <w:r w:rsidRPr="00443A23">
              <w:rPr>
                <w:rFonts w:ascii="Book Antiqua" w:hAnsi="Book Antiqua" w:cs="Arial"/>
                <w:sz w:val="24"/>
                <w:szCs w:val="24"/>
              </w:rPr>
              <w:t xml:space="preserve">Placebo  </w:t>
            </w:r>
            <w:proofErr w:type="gramEnd"/>
            <w:r w:rsidRPr="00443A23">
              <w:rPr>
                <w:rFonts w:ascii="Book Antiqua" w:hAnsi="Book Antiqua" w:cs="Arial"/>
                <w:sz w:val="24"/>
                <w:szCs w:val="24"/>
              </w:rPr>
              <w:br/>
            </w:r>
            <w:r w:rsidRPr="00443A23">
              <w:rPr>
                <w:rFonts w:ascii="Book Antiqua" w:hAnsi="Book Antiqua" w:cs="Arial"/>
                <w:i/>
                <w:sz w:val="24"/>
                <w:szCs w:val="24"/>
              </w:rPr>
              <w:t>P</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&lt;</w:t>
            </w:r>
            <w:r w:rsidR="00443A23">
              <w:rPr>
                <w:rFonts w:ascii="Book Antiqua" w:hAnsi="Book Antiqua" w:cs="Arial" w:hint="eastAsia"/>
                <w:sz w:val="24"/>
                <w:szCs w:val="24"/>
                <w:lang w:eastAsia="zh-CN"/>
              </w:rPr>
              <w:t xml:space="preserve"> </w:t>
            </w:r>
            <w:r w:rsidR="00443A23">
              <w:rPr>
                <w:rFonts w:ascii="Book Antiqua" w:hAnsi="Book Antiqua" w:cs="Arial"/>
                <w:sz w:val="24"/>
                <w:szCs w:val="24"/>
              </w:rPr>
              <w:t>0.001</w:t>
            </w:r>
            <w:r w:rsidR="00443A23">
              <w:rPr>
                <w:rFonts w:ascii="Book Antiqua" w:hAnsi="Book Antiqua" w:cs="Arial"/>
                <w:sz w:val="24"/>
                <w:szCs w:val="24"/>
              </w:rPr>
              <w:br/>
            </w:r>
            <w:r w:rsidR="00443A23">
              <w:rPr>
                <w:rFonts w:ascii="Book Antiqua" w:hAnsi="Book Antiqua" w:cs="Arial"/>
                <w:sz w:val="24"/>
                <w:szCs w:val="24"/>
              </w:rPr>
              <w:br/>
              <w:t>Cry/fuss times (min/24 h</w:t>
            </w:r>
            <w:r w:rsidRPr="00443A23">
              <w:rPr>
                <w:rFonts w:ascii="Book Antiqua" w:hAnsi="Book Antiqua" w:cs="Arial"/>
                <w:sz w:val="24"/>
                <w:szCs w:val="24"/>
              </w:rPr>
              <w:t xml:space="preserve">) </w:t>
            </w:r>
          </w:p>
          <w:p w14:paraId="09111FEE" w14:textId="0D5EFC1C"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191</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120 (PPI)</w:t>
            </w:r>
          </w:p>
          <w:p w14:paraId="71029D56" w14:textId="236770E1"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lastRenderedPageBreak/>
              <w:t>201</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100 (Placebo)</w:t>
            </w:r>
            <w:r w:rsidRPr="00443A23">
              <w:rPr>
                <w:rFonts w:ascii="Book Antiqua" w:hAnsi="Book Antiqua" w:cs="Arial"/>
                <w:sz w:val="24"/>
                <w:szCs w:val="24"/>
              </w:rPr>
              <w:br/>
            </w:r>
            <w:r w:rsidRPr="00443A23">
              <w:rPr>
                <w:rFonts w:ascii="Book Antiqua" w:hAnsi="Book Antiqua" w:cs="Arial"/>
                <w:i/>
                <w:sz w:val="24"/>
                <w:szCs w:val="24"/>
              </w:rPr>
              <w:t>P</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0.400</w:t>
            </w:r>
          </w:p>
          <w:p w14:paraId="0C5AEF12"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p>
          <w:p w14:paraId="17923EB6" w14:textId="18C09E65"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lang w:eastAsia="zh-CN"/>
              </w:rPr>
            </w:pPr>
            <w:r w:rsidRPr="00443A23">
              <w:rPr>
                <w:rFonts w:ascii="Book Antiqua" w:eastAsia="Arial Unicode MS" w:hAnsi="Book Antiqua" w:cs="Arial"/>
                <w:sz w:val="24"/>
                <w:szCs w:val="24"/>
              </w:rPr>
              <w:t>Combined PPI and Placebo groups total cry fuss time</w:t>
            </w:r>
            <w:r w:rsidR="00443A23">
              <w:rPr>
                <w:rFonts w:ascii="Book Antiqua" w:eastAsia="Arial Unicode MS" w:hAnsi="Book Antiqua" w:cs="Arial" w:hint="eastAsia"/>
                <w:sz w:val="24"/>
                <w:szCs w:val="24"/>
                <w:vertAlign w:val="superscript"/>
                <w:lang w:eastAsia="zh-CN"/>
              </w:rPr>
              <w:t>2</w:t>
            </w:r>
          </w:p>
          <w:p w14:paraId="607C964B" w14:textId="004FB03B"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 xml:space="preserve">Baseline </w:t>
            </w:r>
            <w:proofErr w:type="spellStart"/>
            <w:r w:rsidR="00443A23" w:rsidRPr="00443A23">
              <w:rPr>
                <w:rFonts w:ascii="Book Antiqua" w:eastAsia="Arial Unicode MS" w:hAnsi="Book Antiqua" w:cs="Arial"/>
                <w:i/>
                <w:sz w:val="24"/>
                <w:szCs w:val="24"/>
              </w:rPr>
              <w:t>vs</w:t>
            </w:r>
            <w:proofErr w:type="spellEnd"/>
            <w:r w:rsidR="00443A23" w:rsidRPr="00443A23">
              <w:rPr>
                <w:rFonts w:ascii="Book Antiqua" w:eastAsia="Arial Unicode MS" w:hAnsi="Book Antiqua" w:cs="Arial"/>
                <w:sz w:val="24"/>
                <w:szCs w:val="24"/>
              </w:rPr>
              <w:t xml:space="preserve"> </w:t>
            </w:r>
            <w:r w:rsidRPr="00443A23">
              <w:rPr>
                <w:rFonts w:ascii="Book Antiqua" w:eastAsia="Arial Unicode MS" w:hAnsi="Book Antiqua" w:cs="Arial"/>
                <w:sz w:val="24"/>
                <w:szCs w:val="24"/>
              </w:rPr>
              <w:t xml:space="preserve">2 </w:t>
            </w:r>
            <w:proofErr w:type="spellStart"/>
            <w:r w:rsidR="00443A23">
              <w:rPr>
                <w:rFonts w:ascii="Book Antiqua" w:eastAsia="Arial Unicode MS" w:hAnsi="Book Antiqua" w:cs="Arial" w:hint="eastAsia"/>
                <w:sz w:val="24"/>
                <w:szCs w:val="24"/>
                <w:lang w:eastAsia="zh-CN"/>
              </w:rPr>
              <w:t>wk</w:t>
            </w:r>
            <w:proofErr w:type="spellEnd"/>
            <w:r w:rsidRPr="00443A23">
              <w:rPr>
                <w:rFonts w:ascii="Book Antiqua" w:eastAsia="Arial Unicode MS" w:hAnsi="Book Antiqua" w:cs="Arial"/>
                <w:sz w:val="24"/>
                <w:szCs w:val="24"/>
              </w:rPr>
              <w:t xml:space="preserve"> </w:t>
            </w:r>
            <w:r w:rsidR="00443A23" w:rsidRPr="00443A23">
              <w:rPr>
                <w:rFonts w:ascii="Book Antiqua" w:hAnsi="Book Antiqua" w:cs="Arial"/>
                <w:i/>
                <w:sz w:val="24"/>
                <w:szCs w:val="24"/>
              </w:rPr>
              <w:t xml:space="preserve">P </w:t>
            </w:r>
            <w:r w:rsidRPr="00443A23">
              <w:rPr>
                <w:rFonts w:ascii="Book Antiqua" w:eastAsia="Arial Unicode MS" w:hAnsi="Book Antiqua" w:cs="Arial"/>
                <w:sz w:val="24"/>
                <w:szCs w:val="24"/>
              </w:rPr>
              <w:t>=</w:t>
            </w:r>
            <w:r w:rsidR="00443A23">
              <w:rPr>
                <w:rFonts w:ascii="Book Antiqua" w:eastAsia="Arial Unicode MS" w:hAnsi="Book Antiqua" w:cs="Arial" w:hint="eastAsia"/>
                <w:sz w:val="24"/>
                <w:szCs w:val="24"/>
                <w:lang w:eastAsia="zh-CN"/>
              </w:rPr>
              <w:t xml:space="preserve"> </w:t>
            </w:r>
            <w:r w:rsidRPr="00443A23">
              <w:rPr>
                <w:rFonts w:ascii="Book Antiqua" w:eastAsia="Arial Unicode MS" w:hAnsi="Book Antiqua" w:cs="Arial"/>
                <w:sz w:val="24"/>
                <w:szCs w:val="24"/>
              </w:rPr>
              <w:t>0.040</w:t>
            </w:r>
          </w:p>
          <w:p w14:paraId="269EB4B5" w14:textId="6138CE43"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lang w:eastAsia="zh-CN"/>
              </w:rPr>
            </w:pPr>
            <w:r>
              <w:rPr>
                <w:rFonts w:ascii="Book Antiqua" w:eastAsia="Arial Unicode MS" w:hAnsi="Book Antiqua" w:cs="Arial"/>
                <w:sz w:val="24"/>
                <w:szCs w:val="24"/>
              </w:rPr>
              <w:t xml:space="preserve">Baseline </w:t>
            </w:r>
            <w:proofErr w:type="spellStart"/>
            <w:r w:rsidRPr="00443A23">
              <w:rPr>
                <w:rFonts w:ascii="Book Antiqua" w:eastAsia="Arial Unicode MS" w:hAnsi="Book Antiqua" w:cs="Arial"/>
                <w:i/>
                <w:sz w:val="24"/>
                <w:szCs w:val="24"/>
              </w:rPr>
              <w:t>vs</w:t>
            </w:r>
            <w:proofErr w:type="spellEnd"/>
            <w:r w:rsidR="00D03B6C" w:rsidRPr="00443A23">
              <w:rPr>
                <w:rFonts w:ascii="Book Antiqua" w:eastAsia="Arial Unicode MS" w:hAnsi="Book Antiqua" w:cs="Arial"/>
                <w:sz w:val="24"/>
                <w:szCs w:val="24"/>
              </w:rPr>
              <w:t xml:space="preserve"> 4 </w:t>
            </w:r>
            <w:proofErr w:type="spellStart"/>
            <w:r>
              <w:rPr>
                <w:rFonts w:ascii="Book Antiqua" w:eastAsia="Arial Unicode MS" w:hAnsi="Book Antiqua" w:cs="Arial" w:hint="eastAsia"/>
                <w:sz w:val="24"/>
                <w:szCs w:val="24"/>
                <w:lang w:eastAsia="zh-CN"/>
              </w:rPr>
              <w:t>wk</w:t>
            </w:r>
            <w:proofErr w:type="spellEnd"/>
          </w:p>
          <w:p w14:paraId="31874817" w14:textId="6634BFFF"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hAnsi="Book Antiqua" w:cs="Arial"/>
                <w:i/>
                <w:sz w:val="24"/>
                <w:szCs w:val="24"/>
              </w:rPr>
              <w:t>P</w:t>
            </w:r>
            <w:r w:rsidRPr="00443A23">
              <w:rPr>
                <w:rFonts w:ascii="Book Antiqua" w:eastAsia="Arial Unicode MS" w:hAnsi="Book Antiqua" w:cs="Arial"/>
                <w:sz w:val="24"/>
                <w:szCs w:val="24"/>
              </w:rPr>
              <w:t xml:space="preserve"> </w:t>
            </w:r>
            <w:r w:rsidR="00D03B6C" w:rsidRPr="00443A23">
              <w:rPr>
                <w:rFonts w:ascii="Book Antiqua" w:eastAsia="Arial Unicode MS" w:hAnsi="Book Antiqua" w:cs="Arial"/>
                <w:sz w:val="24"/>
                <w:szCs w:val="24"/>
              </w:rPr>
              <w:t>=</w:t>
            </w:r>
            <w:r>
              <w:rPr>
                <w:rFonts w:ascii="Book Antiqua" w:eastAsia="Arial Unicode MS" w:hAnsi="Book Antiqua" w:cs="Arial" w:hint="eastAsia"/>
                <w:sz w:val="24"/>
                <w:szCs w:val="24"/>
                <w:lang w:eastAsia="zh-CN"/>
              </w:rPr>
              <w:t xml:space="preserve"> </w:t>
            </w:r>
            <w:r w:rsidR="00D03B6C" w:rsidRPr="00443A23">
              <w:rPr>
                <w:rFonts w:ascii="Book Antiqua" w:eastAsia="Arial Unicode MS" w:hAnsi="Book Antiqua" w:cs="Arial"/>
                <w:sz w:val="24"/>
                <w:szCs w:val="24"/>
              </w:rPr>
              <w:t>0.008</w:t>
            </w:r>
          </w:p>
          <w:p w14:paraId="2DE56702"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p>
          <w:p w14:paraId="54AD8A99"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VA Score</w:t>
            </w:r>
          </w:p>
          <w:p w14:paraId="20AAE561" w14:textId="5472B443"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eastAsia="Arial Unicode MS" w:hAnsi="Book Antiqua" w:cs="Arial"/>
                <w:sz w:val="24"/>
                <w:szCs w:val="24"/>
              </w:rPr>
              <w:t>5.0</w:t>
            </w:r>
            <w:r w:rsidR="00443A23">
              <w:rPr>
                <w:rFonts w:ascii="Book Antiqua" w:eastAsia="Arial Unicode MS" w:hAnsi="Book Antiqua" w:cs="Arial" w:hint="eastAsia"/>
                <w:sz w:val="24"/>
                <w:szCs w:val="24"/>
                <w:lang w:eastAsia="zh-CN"/>
              </w:rPr>
              <w:t xml:space="preserve"> </w:t>
            </w:r>
            <w:r w:rsidRPr="00443A23">
              <w:rPr>
                <w:rFonts w:ascii="Book Antiqua" w:hAnsi="Book Antiqua" w:cs="Arial"/>
                <w:sz w:val="24"/>
                <w:szCs w:val="24"/>
              </w:rPr>
              <w:t>±</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3.1 (PPI)</w:t>
            </w:r>
          </w:p>
          <w:p w14:paraId="572E6CE4" w14:textId="2532103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5.9</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w:t>
            </w:r>
            <w:r w:rsidR="00443A23">
              <w:rPr>
                <w:rFonts w:ascii="Book Antiqua" w:hAnsi="Book Antiqua" w:cs="Arial" w:hint="eastAsia"/>
                <w:sz w:val="24"/>
                <w:szCs w:val="24"/>
                <w:lang w:eastAsia="zh-CN"/>
              </w:rPr>
              <w:t xml:space="preserve"> </w:t>
            </w:r>
            <w:r w:rsidRPr="00443A23">
              <w:rPr>
                <w:rFonts w:ascii="Book Antiqua" w:hAnsi="Book Antiqua" w:cs="Arial"/>
                <w:sz w:val="24"/>
                <w:szCs w:val="24"/>
              </w:rPr>
              <w:t xml:space="preserve">2.1 (Placebo) </w:t>
            </w:r>
          </w:p>
          <w:p w14:paraId="2B143894" w14:textId="7271DD30" w:rsidR="00D03B6C" w:rsidRPr="00443A23" w:rsidRDefault="00443A23"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cs="Arial"/>
                <w:sz w:val="24"/>
                <w:szCs w:val="24"/>
              </w:rPr>
            </w:pPr>
            <w:r w:rsidRPr="00443A23">
              <w:rPr>
                <w:rFonts w:ascii="Book Antiqua" w:hAnsi="Book Antiqua" w:cs="Arial"/>
                <w:i/>
                <w:sz w:val="24"/>
                <w:szCs w:val="24"/>
              </w:rPr>
              <w:t>P</w:t>
            </w:r>
            <w:r w:rsidRPr="00443A23">
              <w:rPr>
                <w:rFonts w:ascii="Book Antiqua" w:hAnsi="Book Antiqua" w:cs="Arial"/>
                <w:sz w:val="24"/>
                <w:szCs w:val="24"/>
              </w:rPr>
              <w:t xml:space="preserve"> </w:t>
            </w:r>
            <w:r w:rsidR="00D03B6C" w:rsidRPr="00443A23">
              <w:rPr>
                <w:rFonts w:ascii="Book Antiqua" w:hAnsi="Book Antiqua" w:cs="Arial"/>
                <w:sz w:val="24"/>
                <w:szCs w:val="24"/>
              </w:rPr>
              <w:t>=</w:t>
            </w:r>
            <w:r>
              <w:rPr>
                <w:rFonts w:ascii="Book Antiqua" w:hAnsi="Book Antiqua" w:cs="Arial" w:hint="eastAsia"/>
                <w:sz w:val="24"/>
                <w:szCs w:val="24"/>
                <w:lang w:eastAsia="zh-CN"/>
              </w:rPr>
              <w:t xml:space="preserve"> </w:t>
            </w:r>
            <w:r w:rsidR="00D03B6C" w:rsidRPr="00443A23">
              <w:rPr>
                <w:rFonts w:ascii="Book Antiqua" w:hAnsi="Book Antiqua" w:cs="Arial"/>
                <w:sz w:val="24"/>
                <w:szCs w:val="24"/>
              </w:rPr>
              <w:t>0.214</w:t>
            </w:r>
          </w:p>
        </w:tc>
        <w:tc>
          <w:tcPr>
            <w:tcW w:w="0" w:type="auto"/>
            <w:shd w:val="clear" w:color="auto" w:fill="auto"/>
          </w:tcPr>
          <w:p w14:paraId="41CB3FC3" w14:textId="1CB33CC8" w:rsidR="00D03B6C" w:rsidRPr="00443A23" w:rsidRDefault="002D44B1"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lastRenderedPageBreak/>
              <w:t>Discontinuation</w:t>
            </w:r>
            <w:r w:rsidR="00D03B6C" w:rsidRPr="00443A23">
              <w:rPr>
                <w:rFonts w:ascii="Book Antiqua" w:hAnsi="Book Antiqua" w:cs="Arial"/>
                <w:sz w:val="24"/>
                <w:szCs w:val="24"/>
              </w:rPr>
              <w:t xml:space="preserve"> rates owing to symptom worsening were 48.8% (20/41) for placebo-treated versus 38.5% (15/39) for </w:t>
            </w:r>
            <w:r w:rsidR="00D03B6C" w:rsidRPr="00443A23">
              <w:rPr>
                <w:rFonts w:ascii="Book Antiqua" w:hAnsi="Book Antiqua" w:cs="Arial"/>
                <w:sz w:val="24"/>
                <w:szCs w:val="24"/>
              </w:rPr>
              <w:lastRenderedPageBreak/>
              <w:t xml:space="preserve">esomeprazole-treated patients (hazard ratio 0.69; </w:t>
            </w:r>
            <w:r w:rsidR="00D03B6C" w:rsidRPr="00443A23">
              <w:rPr>
                <w:rFonts w:ascii="Book Antiqua" w:hAnsi="Book Antiqua" w:cs="Arial"/>
                <w:i/>
                <w:sz w:val="24"/>
                <w:szCs w:val="24"/>
              </w:rPr>
              <w:t xml:space="preserve">P </w:t>
            </w:r>
            <w:r w:rsidR="00D03B6C" w:rsidRPr="00443A23">
              <w:rPr>
                <w:rFonts w:ascii="Book Antiqua" w:hAnsi="Book Antiqua" w:cs="Arial"/>
                <w:sz w:val="24"/>
                <w:szCs w:val="24"/>
              </w:rPr>
              <w:t>= 0.28)</w:t>
            </w:r>
          </w:p>
        </w:tc>
      </w:tr>
      <w:tr w:rsidR="00443A23" w:rsidRPr="00443A23" w14:paraId="5EB86C71" w14:textId="77777777" w:rsidTr="00331EDC">
        <w:trPr>
          <w:gridBefore w:val="1"/>
          <w:cnfStyle w:val="000000100000" w:firstRow="0" w:lastRow="0" w:firstColumn="0" w:lastColumn="0" w:oddVBand="0" w:evenVBand="0" w:oddHBand="1" w:evenHBand="0" w:firstRowFirstColumn="0" w:firstRowLastColumn="0" w:lastRowFirstColumn="0" w:lastRowLastColumn="0"/>
          <w:wBefore w:w="358" w:type="dxa"/>
          <w:trHeight w:val="170"/>
        </w:trPr>
        <w:tc>
          <w:tcPr>
            <w:cnfStyle w:val="001000000000" w:firstRow="0" w:lastRow="0" w:firstColumn="1" w:lastColumn="0" w:oddVBand="0" w:evenVBand="0" w:oddHBand="0" w:evenHBand="0" w:firstRowFirstColumn="0" w:firstRowLastColumn="0" w:lastRowFirstColumn="0" w:lastRowLastColumn="0"/>
            <w:tcW w:w="1070" w:type="dxa"/>
            <w:tcBorders>
              <w:top w:val="none" w:sz="0" w:space="0" w:color="auto"/>
              <w:left w:val="none" w:sz="0" w:space="0" w:color="auto"/>
              <w:bottom w:val="none" w:sz="0" w:space="0" w:color="auto"/>
            </w:tcBorders>
            <w:shd w:val="clear" w:color="auto" w:fill="auto"/>
          </w:tcPr>
          <w:p w14:paraId="6CD7410A" w14:textId="77777777" w:rsidR="00D03B6C" w:rsidRPr="00443A23" w:rsidRDefault="00D03B6C" w:rsidP="0002686E">
            <w:pPr>
              <w:spacing w:line="360" w:lineRule="auto"/>
              <w:jc w:val="both"/>
              <w:rPr>
                <w:rFonts w:ascii="Book Antiqua" w:hAnsi="Book Antiqua" w:cs="Arial"/>
                <w:noProof/>
                <w:sz w:val="24"/>
                <w:szCs w:val="24"/>
                <w:lang w:val="en-US" w:eastAsia="zh-TW"/>
              </w:rPr>
            </w:pPr>
            <w:r w:rsidRPr="00443A23">
              <w:rPr>
                <w:rFonts w:ascii="Book Antiqua" w:hAnsi="Book Antiqua" w:cs="Arial"/>
                <w:noProof/>
                <w:sz w:val="24"/>
                <w:szCs w:val="24"/>
                <w:lang w:val="en-US" w:eastAsia="zh-TW"/>
              </w:rPr>
              <w:lastRenderedPageBreak/>
              <w:t>Limitations of studies</w:t>
            </w:r>
          </w:p>
        </w:tc>
        <w:tc>
          <w:tcPr>
            <w:tcW w:w="1406" w:type="dxa"/>
            <w:tcBorders>
              <w:top w:val="none" w:sz="0" w:space="0" w:color="auto"/>
              <w:bottom w:val="none" w:sz="0" w:space="0" w:color="auto"/>
            </w:tcBorders>
            <w:shd w:val="clear" w:color="auto" w:fill="auto"/>
          </w:tcPr>
          <w:p w14:paraId="18E70B74"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Small sample size</w:t>
            </w:r>
            <w:r w:rsidRPr="00443A23">
              <w:rPr>
                <w:rFonts w:ascii="Book Antiqua" w:eastAsia="Arial Unicode MS" w:hAnsi="Book Antiqua" w:cs="Arial"/>
                <w:sz w:val="24"/>
                <w:szCs w:val="24"/>
              </w:rPr>
              <w:br/>
              <w:t>Symptom-based diagnosis</w:t>
            </w:r>
          </w:p>
          <w:p w14:paraId="72AF2D7D"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assessment</w:t>
            </w:r>
          </w:p>
        </w:tc>
        <w:tc>
          <w:tcPr>
            <w:tcW w:w="0" w:type="auto"/>
            <w:tcBorders>
              <w:top w:val="none" w:sz="0" w:space="0" w:color="auto"/>
              <w:bottom w:val="none" w:sz="0" w:space="0" w:color="auto"/>
            </w:tcBorders>
            <w:shd w:val="clear" w:color="auto" w:fill="auto"/>
          </w:tcPr>
          <w:p w14:paraId="45711822"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Small sample size</w:t>
            </w:r>
            <w:r w:rsidRPr="00443A23">
              <w:rPr>
                <w:rFonts w:ascii="Book Antiqua" w:eastAsia="Arial Unicode MS" w:hAnsi="Book Antiqua" w:cs="Arial"/>
                <w:sz w:val="24"/>
                <w:szCs w:val="24"/>
              </w:rPr>
              <w:br/>
              <w:t>Symptom-based diagnosis</w:t>
            </w:r>
          </w:p>
          <w:p w14:paraId="1EB7B6C8"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w:t>
            </w:r>
            <w:r w:rsidRPr="00443A23">
              <w:rPr>
                <w:rFonts w:ascii="Book Antiqua" w:eastAsia="Arial Unicode MS" w:hAnsi="Book Antiqua" w:cs="Arial"/>
                <w:sz w:val="24"/>
                <w:szCs w:val="24"/>
              </w:rPr>
              <w:lastRenderedPageBreak/>
              <w:t>nt</w:t>
            </w:r>
          </w:p>
        </w:tc>
        <w:tc>
          <w:tcPr>
            <w:tcW w:w="0" w:type="auto"/>
            <w:tcBorders>
              <w:top w:val="none" w:sz="0" w:space="0" w:color="auto"/>
              <w:bottom w:val="none" w:sz="0" w:space="0" w:color="auto"/>
            </w:tcBorders>
            <w:shd w:val="clear" w:color="auto" w:fill="auto"/>
          </w:tcPr>
          <w:p w14:paraId="08EBD5C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Small sample size</w:t>
            </w:r>
            <w:r w:rsidRPr="00443A23">
              <w:rPr>
                <w:rFonts w:ascii="Book Antiqua" w:eastAsia="Arial Unicode MS" w:hAnsi="Book Antiqua" w:cs="Arial"/>
                <w:sz w:val="24"/>
                <w:szCs w:val="24"/>
              </w:rPr>
              <w:br/>
              <w:t>Symptom-based diagnosis</w:t>
            </w:r>
          </w:p>
          <w:p w14:paraId="5A73D7FA"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w:t>
            </w:r>
            <w:r w:rsidRPr="00443A23">
              <w:rPr>
                <w:rFonts w:ascii="Book Antiqua" w:eastAsia="Arial Unicode MS" w:hAnsi="Book Antiqua" w:cs="Arial"/>
                <w:sz w:val="24"/>
                <w:szCs w:val="24"/>
              </w:rPr>
              <w:lastRenderedPageBreak/>
              <w:t>nt</w:t>
            </w:r>
          </w:p>
        </w:tc>
        <w:tc>
          <w:tcPr>
            <w:tcW w:w="0" w:type="auto"/>
            <w:tcBorders>
              <w:top w:val="none" w:sz="0" w:space="0" w:color="auto"/>
              <w:bottom w:val="none" w:sz="0" w:space="0" w:color="auto"/>
            </w:tcBorders>
            <w:shd w:val="clear" w:color="auto" w:fill="auto"/>
          </w:tcPr>
          <w:p w14:paraId="293178A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 xml:space="preserve">Single blinded </w:t>
            </w:r>
          </w:p>
          <w:p w14:paraId="69ED4DB1"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Not placebo-controlled</w:t>
            </w:r>
          </w:p>
          <w:p w14:paraId="4FCA68A6"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Small sample size</w:t>
            </w:r>
            <w:r w:rsidRPr="00443A23">
              <w:rPr>
                <w:rFonts w:ascii="Book Antiqua" w:eastAsia="Arial Unicode MS" w:hAnsi="Book Antiqua" w:cs="Arial"/>
                <w:sz w:val="24"/>
                <w:szCs w:val="24"/>
              </w:rPr>
              <w:br/>
              <w:t>Symptom-based diagnosis</w:t>
            </w:r>
          </w:p>
          <w:p w14:paraId="231D90FB"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assessment</w:t>
            </w:r>
          </w:p>
          <w:p w14:paraId="404FBD82"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p>
        </w:tc>
        <w:tc>
          <w:tcPr>
            <w:tcW w:w="0" w:type="auto"/>
            <w:tcBorders>
              <w:top w:val="none" w:sz="0" w:space="0" w:color="auto"/>
              <w:bottom w:val="none" w:sz="0" w:space="0" w:color="auto"/>
            </w:tcBorders>
            <w:shd w:val="clear" w:color="auto" w:fill="auto"/>
          </w:tcPr>
          <w:p w14:paraId="4E25F346"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lastRenderedPageBreak/>
              <w:t xml:space="preserve">Small sample size </w:t>
            </w:r>
          </w:p>
          <w:p w14:paraId="20F2B679"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assessment</w:t>
            </w:r>
          </w:p>
        </w:tc>
        <w:tc>
          <w:tcPr>
            <w:tcW w:w="0" w:type="auto"/>
            <w:tcBorders>
              <w:top w:val="none" w:sz="0" w:space="0" w:color="auto"/>
              <w:bottom w:val="none" w:sz="0" w:space="0" w:color="auto"/>
              <w:right w:val="none" w:sz="0" w:space="0" w:color="auto"/>
            </w:tcBorders>
            <w:shd w:val="clear" w:color="auto" w:fill="auto"/>
          </w:tcPr>
          <w:p w14:paraId="1A4F04F8"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Small sample size</w:t>
            </w:r>
            <w:r w:rsidRPr="00443A23">
              <w:rPr>
                <w:rFonts w:ascii="Book Antiqua" w:eastAsia="Arial Unicode MS" w:hAnsi="Book Antiqua" w:cs="Arial"/>
                <w:sz w:val="24"/>
                <w:szCs w:val="24"/>
              </w:rPr>
              <w:br/>
              <w:t>Symptom-based diagnosis</w:t>
            </w:r>
          </w:p>
          <w:p w14:paraId="647E5CBB"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cs="Arial"/>
                <w:sz w:val="24"/>
                <w:szCs w:val="24"/>
              </w:rPr>
            </w:pPr>
            <w:r w:rsidRPr="00443A23">
              <w:rPr>
                <w:rFonts w:ascii="Book Antiqua" w:eastAsia="Arial Unicode MS" w:hAnsi="Book Antiqua" w:cs="Arial"/>
                <w:sz w:val="24"/>
                <w:szCs w:val="24"/>
              </w:rPr>
              <w:t>Subjective assessment</w:t>
            </w:r>
          </w:p>
        </w:tc>
      </w:tr>
    </w:tbl>
    <w:p w14:paraId="0BC792F3" w14:textId="042325F0" w:rsidR="00443A23" w:rsidRPr="00443A23" w:rsidRDefault="00443A23" w:rsidP="0002686E">
      <w:pPr>
        <w:pStyle w:val="Heading5"/>
        <w:spacing w:after="0"/>
        <w:jc w:val="both"/>
        <w:rPr>
          <w:rFonts w:ascii="Book Antiqua" w:hAnsi="Book Antiqua"/>
          <w:b w:val="0"/>
          <w:color w:val="auto"/>
          <w:sz w:val="24"/>
          <w:szCs w:val="24"/>
          <w:lang w:eastAsia="zh-CN"/>
        </w:rPr>
      </w:pPr>
      <w:r w:rsidRPr="00443A23">
        <w:rPr>
          <w:rFonts w:ascii="Book Antiqua" w:hAnsi="Book Antiqua" w:hint="eastAsia"/>
          <w:b w:val="0"/>
          <w:color w:val="auto"/>
          <w:sz w:val="24"/>
          <w:szCs w:val="24"/>
          <w:vertAlign w:val="superscript"/>
          <w:lang w:eastAsia="zh-CN"/>
        </w:rPr>
        <w:lastRenderedPageBreak/>
        <w:t>1</w:t>
      </w:r>
      <w:r w:rsidRPr="00443A23">
        <w:rPr>
          <w:rFonts w:ascii="Book Antiqua" w:hAnsi="Book Antiqua"/>
          <w:b w:val="0"/>
          <w:color w:val="auto"/>
          <w:sz w:val="24"/>
          <w:szCs w:val="24"/>
          <w:lang w:eastAsia="zh-CN"/>
        </w:rPr>
        <w:t xml:space="preserve">All infants were given empirical pharmacologic treatment (excluding PPIs) including </w:t>
      </w:r>
      <w:proofErr w:type="spellStart"/>
      <w:r w:rsidRPr="00443A23">
        <w:rPr>
          <w:rFonts w:ascii="Book Antiqua" w:hAnsi="Book Antiqua"/>
          <w:b w:val="0"/>
          <w:color w:val="auto"/>
          <w:sz w:val="24"/>
          <w:szCs w:val="24"/>
          <w:lang w:eastAsia="zh-CN"/>
        </w:rPr>
        <w:t>cisapride</w:t>
      </w:r>
      <w:proofErr w:type="spellEnd"/>
      <w:r w:rsidRPr="00443A23">
        <w:rPr>
          <w:rFonts w:ascii="Book Antiqua" w:hAnsi="Book Antiqua"/>
          <w:b w:val="0"/>
          <w:color w:val="auto"/>
          <w:sz w:val="24"/>
          <w:szCs w:val="24"/>
          <w:lang w:eastAsia="zh-CN"/>
        </w:rPr>
        <w:t xml:space="preserve"> (87%), H2 Receptor antagonists (73%), antacid (67%) and thickening agent (20%)</w:t>
      </w:r>
      <w:r w:rsidRPr="00443A23">
        <w:rPr>
          <w:rFonts w:ascii="Book Antiqua" w:hAnsi="Book Antiqua" w:hint="eastAsia"/>
          <w:b w:val="0"/>
          <w:color w:val="auto"/>
          <w:sz w:val="24"/>
          <w:szCs w:val="24"/>
          <w:lang w:eastAsia="zh-CN"/>
        </w:rPr>
        <w:t xml:space="preserve">; </w:t>
      </w:r>
      <w:r w:rsidRPr="00443A23">
        <w:rPr>
          <w:rFonts w:ascii="Book Antiqua" w:hAnsi="Book Antiqua" w:hint="eastAsia"/>
          <w:b w:val="0"/>
          <w:color w:val="auto"/>
          <w:sz w:val="24"/>
          <w:szCs w:val="24"/>
          <w:vertAlign w:val="superscript"/>
          <w:lang w:eastAsia="zh-CN"/>
        </w:rPr>
        <w:t>2</w:t>
      </w:r>
      <w:r w:rsidRPr="00443A23">
        <w:rPr>
          <w:rFonts w:ascii="Book Antiqua" w:hAnsi="Book Antiqua"/>
          <w:b w:val="0"/>
          <w:color w:val="auto"/>
          <w:sz w:val="24"/>
          <w:szCs w:val="24"/>
          <w:lang w:eastAsia="zh-CN"/>
        </w:rPr>
        <w:t>Significant decrease in cry-fuss time independent of treatment</w:t>
      </w:r>
      <w:r w:rsidRPr="00443A23">
        <w:rPr>
          <w:rFonts w:ascii="Book Antiqua" w:hAnsi="Book Antiqua" w:hint="eastAsia"/>
          <w:b w:val="0"/>
          <w:color w:val="auto"/>
          <w:sz w:val="24"/>
          <w:szCs w:val="24"/>
          <w:lang w:eastAsia="zh-CN"/>
        </w:rPr>
        <w:t xml:space="preserve">; </w:t>
      </w:r>
      <w:r w:rsidRPr="00443A23">
        <w:rPr>
          <w:rFonts w:ascii="Book Antiqua" w:hAnsi="Book Antiqua" w:hint="eastAsia"/>
          <w:b w:val="0"/>
          <w:color w:val="auto"/>
          <w:sz w:val="24"/>
          <w:szCs w:val="24"/>
          <w:vertAlign w:val="superscript"/>
          <w:lang w:eastAsia="zh-CN"/>
        </w:rPr>
        <w:t>3</w:t>
      </w:r>
      <w:r w:rsidRPr="00443A23">
        <w:rPr>
          <w:rFonts w:ascii="Book Antiqua" w:hAnsi="Book Antiqua"/>
          <w:b w:val="0"/>
          <w:color w:val="auto"/>
          <w:sz w:val="24"/>
          <w:szCs w:val="24"/>
          <w:lang w:eastAsia="zh-CN"/>
        </w:rPr>
        <w:t xml:space="preserve"> 90% of patients were younger than 12 </w:t>
      </w:r>
      <w:proofErr w:type="spellStart"/>
      <w:r w:rsidRPr="00443A23">
        <w:rPr>
          <w:rFonts w:ascii="Book Antiqua" w:hAnsi="Book Antiqua" w:hint="eastAsia"/>
          <w:b w:val="0"/>
          <w:color w:val="auto"/>
          <w:sz w:val="24"/>
          <w:szCs w:val="24"/>
          <w:lang w:eastAsia="zh-CN"/>
        </w:rPr>
        <w:t>mo</w:t>
      </w:r>
      <w:proofErr w:type="spellEnd"/>
      <w:r w:rsidRPr="00443A23">
        <w:rPr>
          <w:rFonts w:ascii="Book Antiqua" w:hAnsi="Book Antiqua" w:hint="eastAsia"/>
          <w:b w:val="0"/>
          <w:color w:val="auto"/>
          <w:sz w:val="24"/>
          <w:szCs w:val="24"/>
          <w:lang w:eastAsia="zh-CN"/>
        </w:rPr>
        <w:t xml:space="preserve">; </w:t>
      </w:r>
      <w:r w:rsidRPr="00443A23">
        <w:rPr>
          <w:rFonts w:ascii="Book Antiqua" w:hAnsi="Book Antiqua" w:hint="eastAsia"/>
          <w:b w:val="0"/>
          <w:color w:val="auto"/>
          <w:sz w:val="24"/>
          <w:szCs w:val="24"/>
          <w:vertAlign w:val="superscript"/>
          <w:lang w:eastAsia="zh-CN"/>
        </w:rPr>
        <w:t>4</w:t>
      </w:r>
      <w:r w:rsidRPr="00443A23">
        <w:rPr>
          <w:rFonts w:ascii="Book Antiqua" w:hAnsi="Book Antiqua"/>
          <w:b w:val="0"/>
          <w:color w:val="auto"/>
          <w:sz w:val="24"/>
          <w:szCs w:val="24"/>
          <w:lang w:eastAsia="zh-CN"/>
        </w:rPr>
        <w:t xml:space="preserve"> Entry into study required a reflux index of &gt;</w:t>
      </w:r>
      <w:r w:rsidRPr="00443A23">
        <w:rPr>
          <w:rFonts w:ascii="Book Antiqua" w:hAnsi="Book Antiqua" w:hint="eastAsia"/>
          <w:b w:val="0"/>
          <w:color w:val="auto"/>
          <w:sz w:val="24"/>
          <w:szCs w:val="24"/>
          <w:lang w:eastAsia="zh-CN"/>
        </w:rPr>
        <w:t xml:space="preserve"> </w:t>
      </w:r>
      <w:r w:rsidRPr="00443A23">
        <w:rPr>
          <w:rFonts w:ascii="Book Antiqua" w:hAnsi="Book Antiqua"/>
          <w:b w:val="0"/>
          <w:color w:val="auto"/>
          <w:sz w:val="24"/>
          <w:szCs w:val="24"/>
          <w:lang w:eastAsia="zh-CN"/>
        </w:rPr>
        <w:t xml:space="preserve">5% or endoscopic biopsy evidence of </w:t>
      </w:r>
      <w:proofErr w:type="spellStart"/>
      <w:r w:rsidRPr="00443A23">
        <w:rPr>
          <w:rFonts w:ascii="Book Antiqua" w:hAnsi="Book Antiqua"/>
          <w:b w:val="0"/>
          <w:color w:val="auto"/>
          <w:sz w:val="24"/>
          <w:szCs w:val="24"/>
          <w:lang w:eastAsia="zh-CN"/>
        </w:rPr>
        <w:t>oesophagitis</w:t>
      </w:r>
      <w:proofErr w:type="spellEnd"/>
      <w:r w:rsidRPr="00443A23">
        <w:rPr>
          <w:rFonts w:ascii="Book Antiqua" w:hAnsi="Book Antiqua"/>
          <w:b w:val="0"/>
          <w:color w:val="auto"/>
          <w:sz w:val="24"/>
          <w:szCs w:val="24"/>
          <w:lang w:eastAsia="zh-CN"/>
        </w:rPr>
        <w:t xml:space="preserve">. </w:t>
      </w:r>
      <w:r w:rsidRPr="00443A23">
        <w:rPr>
          <w:rFonts w:ascii="Book Antiqua" w:hAnsi="Book Antiqua"/>
          <w:b w:val="0"/>
          <w:color w:val="auto"/>
          <w:sz w:val="24"/>
          <w:szCs w:val="24"/>
        </w:rPr>
        <w:t xml:space="preserve">Data adapted from Chen </w:t>
      </w:r>
      <w:r w:rsidRPr="00443A23">
        <w:rPr>
          <w:rFonts w:ascii="Book Antiqua" w:hAnsi="Book Antiqua"/>
          <w:b w:val="0"/>
          <w:i/>
          <w:color w:val="auto"/>
          <w:sz w:val="24"/>
          <w:szCs w:val="24"/>
        </w:rPr>
        <w:t xml:space="preserve">et </w:t>
      </w:r>
      <w:proofErr w:type="gramStart"/>
      <w:r w:rsidRPr="00443A23">
        <w:rPr>
          <w:rFonts w:ascii="Book Antiqua" w:hAnsi="Book Antiqua"/>
          <w:b w:val="0"/>
          <w:i/>
          <w:color w:val="auto"/>
          <w:sz w:val="24"/>
          <w:szCs w:val="24"/>
        </w:rPr>
        <w:t>al</w:t>
      </w:r>
      <w:r w:rsidRPr="00443A23">
        <w:rPr>
          <w:rFonts w:ascii="Book Antiqua" w:hAnsi="Book Antiqua" w:hint="eastAsia"/>
          <w:b w:val="0"/>
          <w:color w:val="auto"/>
          <w:sz w:val="24"/>
          <w:szCs w:val="24"/>
          <w:vertAlign w:val="superscript"/>
          <w:lang w:eastAsia="zh-CN"/>
        </w:rPr>
        <w:t>[</w:t>
      </w:r>
      <w:proofErr w:type="gramEnd"/>
      <w:r w:rsidRPr="00443A23">
        <w:rPr>
          <w:rFonts w:ascii="Book Antiqua" w:hAnsi="Book Antiqua" w:hint="eastAsia"/>
          <w:b w:val="0"/>
          <w:color w:val="auto"/>
          <w:sz w:val="24"/>
          <w:szCs w:val="24"/>
          <w:vertAlign w:val="superscript"/>
          <w:lang w:eastAsia="zh-CN"/>
        </w:rPr>
        <w:t>23]</w:t>
      </w:r>
      <w:r w:rsidRPr="00443A23">
        <w:rPr>
          <w:rFonts w:ascii="Book Antiqua" w:hAnsi="Book Antiqua"/>
          <w:b w:val="0"/>
          <w:color w:val="auto"/>
          <w:sz w:val="24"/>
          <w:szCs w:val="24"/>
        </w:rPr>
        <w:t xml:space="preserve">; Moore </w:t>
      </w:r>
      <w:r w:rsidRPr="00443A23">
        <w:rPr>
          <w:rFonts w:ascii="Book Antiqua" w:hAnsi="Book Antiqua"/>
          <w:b w:val="0"/>
          <w:i/>
          <w:color w:val="auto"/>
          <w:sz w:val="24"/>
          <w:szCs w:val="24"/>
        </w:rPr>
        <w:t>et al</w:t>
      </w:r>
      <w:r w:rsidRPr="00443A23">
        <w:rPr>
          <w:rFonts w:ascii="Book Antiqua" w:hAnsi="Book Antiqua" w:hint="eastAsia"/>
          <w:b w:val="0"/>
          <w:color w:val="auto"/>
          <w:sz w:val="24"/>
          <w:szCs w:val="24"/>
          <w:vertAlign w:val="superscript"/>
          <w:lang w:eastAsia="zh-CN"/>
        </w:rPr>
        <w:t>[</w:t>
      </w:r>
      <w:r>
        <w:rPr>
          <w:rFonts w:ascii="Book Antiqua" w:hAnsi="Book Antiqua" w:hint="eastAsia"/>
          <w:b w:val="0"/>
          <w:color w:val="auto"/>
          <w:sz w:val="24"/>
          <w:szCs w:val="24"/>
          <w:vertAlign w:val="superscript"/>
          <w:lang w:eastAsia="zh-CN"/>
        </w:rPr>
        <w:t>24</w:t>
      </w:r>
      <w:r w:rsidRPr="00443A23">
        <w:rPr>
          <w:rFonts w:ascii="Book Antiqua" w:hAnsi="Book Antiqua" w:hint="eastAsia"/>
          <w:b w:val="0"/>
          <w:color w:val="auto"/>
          <w:sz w:val="24"/>
          <w:szCs w:val="24"/>
          <w:vertAlign w:val="superscript"/>
          <w:lang w:eastAsia="zh-CN"/>
        </w:rPr>
        <w:t>]</w:t>
      </w:r>
      <w:r w:rsidRPr="00443A23">
        <w:rPr>
          <w:rFonts w:ascii="Book Antiqua" w:hAnsi="Book Antiqua"/>
          <w:b w:val="0"/>
          <w:color w:val="auto"/>
          <w:sz w:val="24"/>
          <w:szCs w:val="24"/>
        </w:rPr>
        <w:t xml:space="preserve">; Orenstein </w:t>
      </w:r>
      <w:r w:rsidRPr="00443A23">
        <w:rPr>
          <w:rFonts w:ascii="Book Antiqua" w:hAnsi="Book Antiqua"/>
          <w:b w:val="0"/>
          <w:i/>
          <w:color w:val="auto"/>
          <w:sz w:val="24"/>
          <w:szCs w:val="24"/>
        </w:rPr>
        <w:t>et al</w:t>
      </w:r>
      <w:r w:rsidRPr="00443A23">
        <w:rPr>
          <w:rFonts w:ascii="Book Antiqua" w:hAnsi="Book Antiqua" w:hint="eastAsia"/>
          <w:b w:val="0"/>
          <w:color w:val="auto"/>
          <w:sz w:val="24"/>
          <w:szCs w:val="24"/>
          <w:vertAlign w:val="superscript"/>
          <w:lang w:eastAsia="zh-CN"/>
        </w:rPr>
        <w:t>[</w:t>
      </w:r>
      <w:r>
        <w:rPr>
          <w:rFonts w:ascii="Book Antiqua" w:hAnsi="Book Antiqua" w:hint="eastAsia"/>
          <w:b w:val="0"/>
          <w:color w:val="auto"/>
          <w:sz w:val="24"/>
          <w:szCs w:val="24"/>
          <w:vertAlign w:val="superscript"/>
          <w:lang w:eastAsia="zh-CN"/>
        </w:rPr>
        <w:t>27</w:t>
      </w:r>
      <w:r w:rsidRPr="00443A23">
        <w:rPr>
          <w:rFonts w:ascii="Book Antiqua" w:hAnsi="Book Antiqua" w:hint="eastAsia"/>
          <w:b w:val="0"/>
          <w:color w:val="auto"/>
          <w:sz w:val="24"/>
          <w:szCs w:val="24"/>
          <w:vertAlign w:val="superscript"/>
          <w:lang w:eastAsia="zh-CN"/>
        </w:rPr>
        <w:t>]</w:t>
      </w:r>
      <w:r w:rsidRPr="00443A23">
        <w:rPr>
          <w:rFonts w:ascii="Book Antiqua" w:hAnsi="Book Antiqua"/>
          <w:b w:val="0"/>
          <w:color w:val="auto"/>
          <w:sz w:val="24"/>
          <w:szCs w:val="24"/>
        </w:rPr>
        <w:t xml:space="preserve">; </w:t>
      </w:r>
      <w:proofErr w:type="spellStart"/>
      <w:r w:rsidRPr="00443A23">
        <w:rPr>
          <w:rFonts w:ascii="Book Antiqua" w:hAnsi="Book Antiqua"/>
          <w:b w:val="0"/>
          <w:color w:val="auto"/>
          <w:sz w:val="24"/>
          <w:szCs w:val="24"/>
        </w:rPr>
        <w:t>Shakhnovich</w:t>
      </w:r>
      <w:proofErr w:type="spellEnd"/>
      <w:r w:rsidRPr="00443A23">
        <w:rPr>
          <w:rFonts w:ascii="Book Antiqua" w:hAnsi="Book Antiqua"/>
          <w:b w:val="0"/>
          <w:i/>
          <w:color w:val="auto"/>
          <w:sz w:val="24"/>
          <w:szCs w:val="24"/>
        </w:rPr>
        <w:t xml:space="preserve"> et al</w:t>
      </w:r>
      <w:r w:rsidRPr="00443A23">
        <w:rPr>
          <w:rFonts w:ascii="Book Antiqua" w:hAnsi="Book Antiqua" w:hint="eastAsia"/>
          <w:b w:val="0"/>
          <w:color w:val="auto"/>
          <w:sz w:val="24"/>
          <w:szCs w:val="24"/>
          <w:vertAlign w:val="superscript"/>
          <w:lang w:eastAsia="zh-CN"/>
        </w:rPr>
        <w:t>[</w:t>
      </w:r>
      <w:r>
        <w:rPr>
          <w:rFonts w:ascii="Book Antiqua" w:hAnsi="Book Antiqua" w:hint="eastAsia"/>
          <w:b w:val="0"/>
          <w:color w:val="auto"/>
          <w:sz w:val="24"/>
          <w:szCs w:val="24"/>
          <w:vertAlign w:val="superscript"/>
          <w:lang w:eastAsia="zh-CN"/>
        </w:rPr>
        <w:t>28</w:t>
      </w:r>
      <w:r w:rsidRPr="00443A23">
        <w:rPr>
          <w:rFonts w:ascii="Book Antiqua" w:hAnsi="Book Antiqua" w:hint="eastAsia"/>
          <w:b w:val="0"/>
          <w:color w:val="auto"/>
          <w:sz w:val="24"/>
          <w:szCs w:val="24"/>
          <w:vertAlign w:val="superscript"/>
          <w:lang w:eastAsia="zh-CN"/>
        </w:rPr>
        <w:t>]</w:t>
      </w:r>
      <w:r>
        <w:rPr>
          <w:rFonts w:ascii="Book Antiqua" w:hAnsi="Book Antiqua"/>
          <w:b w:val="0"/>
          <w:color w:val="auto"/>
          <w:sz w:val="24"/>
          <w:szCs w:val="24"/>
        </w:rPr>
        <w:t>.</w:t>
      </w:r>
      <w:r>
        <w:rPr>
          <w:rFonts w:ascii="Book Antiqua" w:hAnsi="Book Antiqua" w:hint="eastAsia"/>
          <w:b w:val="0"/>
          <w:color w:val="auto"/>
          <w:sz w:val="24"/>
          <w:szCs w:val="24"/>
          <w:lang w:eastAsia="zh-CN"/>
        </w:rPr>
        <w:t xml:space="preserve"> </w:t>
      </w:r>
      <w:r w:rsidRPr="00443A23">
        <w:rPr>
          <w:rFonts w:ascii="Book Antiqua" w:hAnsi="Book Antiqua"/>
          <w:b w:val="0"/>
          <w:color w:val="auto"/>
          <w:sz w:val="24"/>
          <w:szCs w:val="24"/>
          <w:lang w:eastAsia="zh-CN"/>
        </w:rPr>
        <w:t>PPI</w:t>
      </w:r>
      <w:r w:rsidRPr="00443A23">
        <w:rPr>
          <w:rFonts w:ascii="Book Antiqua" w:hAnsi="Book Antiqua" w:hint="eastAsia"/>
          <w:b w:val="0"/>
          <w:color w:val="auto"/>
          <w:sz w:val="24"/>
          <w:szCs w:val="24"/>
          <w:lang w:eastAsia="zh-CN"/>
        </w:rPr>
        <w:t xml:space="preserve">: </w:t>
      </w:r>
      <w:r w:rsidRPr="00443A23">
        <w:rPr>
          <w:rFonts w:ascii="Book Antiqua" w:hAnsi="Book Antiqua"/>
          <w:b w:val="0"/>
          <w:color w:val="auto"/>
          <w:sz w:val="24"/>
          <w:szCs w:val="24"/>
          <w:lang w:eastAsia="zh-CN"/>
        </w:rPr>
        <w:t>Proton Pump Inhibitor; GORD</w:t>
      </w:r>
      <w:r w:rsidRPr="00443A23">
        <w:rPr>
          <w:rFonts w:ascii="Book Antiqua" w:hAnsi="Book Antiqua" w:hint="eastAsia"/>
          <w:b w:val="0"/>
          <w:color w:val="auto"/>
          <w:sz w:val="24"/>
          <w:szCs w:val="24"/>
          <w:lang w:eastAsia="zh-CN"/>
        </w:rPr>
        <w:t>:</w:t>
      </w:r>
      <w:r w:rsidRPr="00443A23">
        <w:rPr>
          <w:rFonts w:ascii="Book Antiqua" w:hAnsi="Book Antiqua"/>
          <w:b w:val="0"/>
          <w:color w:val="auto"/>
          <w:sz w:val="24"/>
          <w:szCs w:val="24"/>
          <w:lang w:eastAsia="zh-CN"/>
        </w:rPr>
        <w:t xml:space="preserve"> Gastro-oesophageal reflux disease; PGA</w:t>
      </w:r>
      <w:r w:rsidRPr="00443A23">
        <w:rPr>
          <w:rFonts w:ascii="Book Antiqua" w:hAnsi="Book Antiqua" w:hint="eastAsia"/>
          <w:b w:val="0"/>
          <w:color w:val="auto"/>
          <w:sz w:val="24"/>
          <w:szCs w:val="24"/>
          <w:lang w:eastAsia="zh-CN"/>
        </w:rPr>
        <w:t xml:space="preserve">: </w:t>
      </w:r>
      <w:r w:rsidRPr="00443A23">
        <w:rPr>
          <w:rFonts w:ascii="Book Antiqua" w:hAnsi="Book Antiqua"/>
          <w:b w:val="0"/>
          <w:color w:val="auto"/>
          <w:sz w:val="24"/>
          <w:szCs w:val="24"/>
          <w:lang w:eastAsia="zh-CN"/>
        </w:rPr>
        <w:t>Physician Global Assessment; VA</w:t>
      </w:r>
      <w:r w:rsidRPr="00443A23">
        <w:rPr>
          <w:rFonts w:ascii="Book Antiqua" w:hAnsi="Book Antiqua" w:hint="eastAsia"/>
          <w:b w:val="0"/>
          <w:color w:val="auto"/>
          <w:sz w:val="24"/>
          <w:szCs w:val="24"/>
          <w:lang w:eastAsia="zh-CN"/>
        </w:rPr>
        <w:t xml:space="preserve">: </w:t>
      </w:r>
      <w:r w:rsidRPr="00443A23">
        <w:rPr>
          <w:rFonts w:ascii="Book Antiqua" w:hAnsi="Book Antiqua"/>
          <w:b w:val="0"/>
          <w:color w:val="auto"/>
          <w:sz w:val="24"/>
          <w:szCs w:val="24"/>
          <w:lang w:eastAsia="zh-CN"/>
        </w:rPr>
        <w:t>Visual Analogue</w:t>
      </w:r>
      <w:r w:rsidRPr="00443A23">
        <w:rPr>
          <w:rFonts w:ascii="Book Antiqua" w:hAnsi="Book Antiqua" w:hint="eastAsia"/>
          <w:b w:val="0"/>
          <w:color w:val="auto"/>
          <w:sz w:val="24"/>
          <w:szCs w:val="24"/>
          <w:lang w:eastAsia="zh-CN"/>
        </w:rPr>
        <w:t>.</w:t>
      </w:r>
    </w:p>
    <w:p w14:paraId="5B162138" w14:textId="77777777" w:rsidR="00443A23" w:rsidRPr="00443A23" w:rsidRDefault="00443A23" w:rsidP="0002686E">
      <w:pPr>
        <w:pStyle w:val="Heading5"/>
        <w:spacing w:after="0"/>
        <w:jc w:val="both"/>
        <w:rPr>
          <w:rFonts w:ascii="Book Antiqua" w:hAnsi="Book Antiqua"/>
          <w:color w:val="auto"/>
          <w:sz w:val="24"/>
          <w:szCs w:val="24"/>
          <w:lang w:eastAsia="zh-CN"/>
        </w:rPr>
      </w:pPr>
    </w:p>
    <w:p w14:paraId="02BC91A4" w14:textId="77777777" w:rsidR="000B4B7D" w:rsidRDefault="000B4B7D" w:rsidP="0002686E">
      <w:pPr>
        <w:spacing w:after="0"/>
        <w:rPr>
          <w:rFonts w:ascii="Book Antiqua" w:hAnsi="Book Antiqua" w:cs="Times New Roman"/>
          <w:b/>
          <w:bCs/>
          <w:sz w:val="24"/>
          <w:szCs w:val="24"/>
        </w:rPr>
      </w:pPr>
      <w:r>
        <w:rPr>
          <w:rFonts w:ascii="Book Antiqua" w:hAnsi="Book Antiqua"/>
          <w:sz w:val="24"/>
          <w:szCs w:val="24"/>
        </w:rPr>
        <w:br w:type="page"/>
      </w:r>
    </w:p>
    <w:p w14:paraId="6E9891EC" w14:textId="178B8DCA" w:rsidR="00D03B6C" w:rsidRPr="00443A23" w:rsidRDefault="00D03B6C" w:rsidP="0002686E">
      <w:pPr>
        <w:pStyle w:val="Heading5"/>
        <w:spacing w:after="0"/>
        <w:jc w:val="both"/>
        <w:rPr>
          <w:rFonts w:ascii="Book Antiqua" w:hAnsi="Book Antiqua"/>
          <w:color w:val="auto"/>
          <w:sz w:val="24"/>
          <w:szCs w:val="24"/>
        </w:rPr>
      </w:pPr>
      <w:r w:rsidRPr="00443A23">
        <w:rPr>
          <w:rFonts w:ascii="Book Antiqua" w:hAnsi="Book Antiqua"/>
          <w:color w:val="auto"/>
          <w:sz w:val="24"/>
          <w:szCs w:val="24"/>
        </w:rPr>
        <w:lastRenderedPageBreak/>
        <w:t xml:space="preserve">Table </w:t>
      </w:r>
      <w:r w:rsidR="00F96E83" w:rsidRPr="00443A23">
        <w:rPr>
          <w:rFonts w:ascii="Book Antiqua" w:hAnsi="Book Antiqua"/>
          <w:color w:val="auto"/>
          <w:sz w:val="24"/>
          <w:szCs w:val="24"/>
        </w:rPr>
        <w:fldChar w:fldCharType="begin"/>
      </w:r>
      <w:r w:rsidR="00F96E83" w:rsidRPr="00443A23">
        <w:rPr>
          <w:rFonts w:ascii="Book Antiqua" w:hAnsi="Book Antiqua"/>
          <w:color w:val="auto"/>
          <w:sz w:val="24"/>
          <w:szCs w:val="24"/>
        </w:rPr>
        <w:instrText xml:space="preserve"> SEQ Table \* ARABIC </w:instrText>
      </w:r>
      <w:r w:rsidR="00F96E83" w:rsidRPr="00443A23">
        <w:rPr>
          <w:rFonts w:ascii="Book Antiqua" w:hAnsi="Book Antiqua"/>
          <w:color w:val="auto"/>
          <w:sz w:val="24"/>
          <w:szCs w:val="24"/>
        </w:rPr>
        <w:fldChar w:fldCharType="separate"/>
      </w:r>
      <w:r w:rsidRPr="00443A23">
        <w:rPr>
          <w:rFonts w:ascii="Book Antiqua" w:hAnsi="Book Antiqua"/>
          <w:noProof/>
          <w:color w:val="auto"/>
          <w:sz w:val="24"/>
          <w:szCs w:val="24"/>
        </w:rPr>
        <w:t>2</w:t>
      </w:r>
      <w:r w:rsidR="00F96E83" w:rsidRPr="00443A23">
        <w:rPr>
          <w:rFonts w:ascii="Book Antiqua" w:hAnsi="Book Antiqua"/>
          <w:noProof/>
          <w:color w:val="auto"/>
          <w:sz w:val="24"/>
          <w:szCs w:val="24"/>
        </w:rPr>
        <w:fldChar w:fldCharType="end"/>
      </w:r>
      <w:r w:rsidR="000B4B7D">
        <w:rPr>
          <w:rFonts w:ascii="Book Antiqua" w:hAnsi="Book Antiqua" w:hint="eastAsia"/>
          <w:color w:val="auto"/>
          <w:sz w:val="24"/>
          <w:szCs w:val="24"/>
          <w:lang w:eastAsia="zh-CN"/>
        </w:rPr>
        <w:t xml:space="preserve"> </w:t>
      </w:r>
      <w:r w:rsidRPr="00443A23">
        <w:rPr>
          <w:rFonts w:ascii="Book Antiqua" w:hAnsi="Book Antiqua"/>
          <w:color w:val="auto"/>
          <w:sz w:val="24"/>
          <w:szCs w:val="24"/>
        </w:rPr>
        <w:t xml:space="preserve">Outline of the proposed side effects associated with </w:t>
      </w:r>
      <w:r w:rsidR="000B4B7D" w:rsidRPr="000B4B7D">
        <w:rPr>
          <w:rFonts w:ascii="Book Antiqua" w:hAnsi="Book Antiqua"/>
          <w:color w:val="auto"/>
          <w:sz w:val="24"/>
          <w:szCs w:val="24"/>
        </w:rPr>
        <w:t xml:space="preserve">proton pump inhibitors </w:t>
      </w:r>
      <w:r w:rsidRPr="00443A23">
        <w:rPr>
          <w:rFonts w:ascii="Book Antiqua" w:hAnsi="Book Antiqua"/>
          <w:color w:val="auto"/>
          <w:sz w:val="24"/>
          <w:szCs w:val="24"/>
        </w:rPr>
        <w:t>use, and the evidence supporting the association</w:t>
      </w:r>
    </w:p>
    <w:tbl>
      <w:tblPr>
        <w:tblStyle w:val="LightList-Accent11"/>
        <w:tblW w:w="0" w:type="auto"/>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5501"/>
        <w:gridCol w:w="3741"/>
      </w:tblGrid>
      <w:tr w:rsidR="00443A23" w:rsidRPr="00443A23" w14:paraId="07BC6D79" w14:textId="77777777" w:rsidTr="000B4B7D">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5501" w:type="dxa"/>
            <w:tcBorders>
              <w:top w:val="single" w:sz="8" w:space="0" w:color="auto"/>
              <w:bottom w:val="single" w:sz="8" w:space="0" w:color="auto"/>
            </w:tcBorders>
            <w:shd w:val="clear" w:color="auto" w:fill="auto"/>
          </w:tcPr>
          <w:p w14:paraId="6E230132" w14:textId="77777777" w:rsidR="00D03B6C" w:rsidRPr="00443A23" w:rsidRDefault="00D03B6C" w:rsidP="0002686E">
            <w:pPr>
              <w:spacing w:line="360" w:lineRule="auto"/>
              <w:jc w:val="both"/>
              <w:rPr>
                <w:rFonts w:ascii="Book Antiqua" w:hAnsi="Book Antiqua" w:cs="Arial"/>
                <w:color w:val="auto"/>
                <w:sz w:val="24"/>
                <w:szCs w:val="24"/>
              </w:rPr>
            </w:pPr>
            <w:r w:rsidRPr="00443A23">
              <w:rPr>
                <w:rFonts w:ascii="Book Antiqua" w:hAnsi="Book Antiqua" w:cs="Arial"/>
                <w:color w:val="auto"/>
                <w:sz w:val="24"/>
                <w:szCs w:val="24"/>
              </w:rPr>
              <w:t>Potential side effects</w:t>
            </w:r>
          </w:p>
        </w:tc>
        <w:tc>
          <w:tcPr>
            <w:tcW w:w="3741" w:type="dxa"/>
            <w:tcBorders>
              <w:top w:val="single" w:sz="8" w:space="0" w:color="auto"/>
              <w:bottom w:val="single" w:sz="8" w:space="0" w:color="auto"/>
            </w:tcBorders>
            <w:shd w:val="clear" w:color="auto" w:fill="auto"/>
          </w:tcPr>
          <w:p w14:paraId="4FF1BBBF" w14:textId="77777777" w:rsidR="00D03B6C" w:rsidRPr="00443A23" w:rsidRDefault="00D03B6C" w:rsidP="0002686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43A23">
              <w:rPr>
                <w:rFonts w:ascii="Book Antiqua" w:hAnsi="Book Antiqua" w:cs="Arial"/>
                <w:color w:val="auto"/>
                <w:sz w:val="24"/>
                <w:szCs w:val="24"/>
              </w:rPr>
              <w:t xml:space="preserve">Level of Evidence showing an association with PPI use </w:t>
            </w:r>
          </w:p>
        </w:tc>
      </w:tr>
      <w:tr w:rsidR="00443A23" w:rsidRPr="00443A23" w14:paraId="34F482ED"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single" w:sz="8" w:space="0" w:color="auto"/>
              <w:left w:val="none" w:sz="0" w:space="0" w:color="auto"/>
              <w:bottom w:val="none" w:sz="0" w:space="0" w:color="auto"/>
            </w:tcBorders>
            <w:shd w:val="clear" w:color="auto" w:fill="auto"/>
            <w:vAlign w:val="center"/>
          </w:tcPr>
          <w:p w14:paraId="62C081B0"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Acute Interstitial Nephritis</w:t>
            </w:r>
          </w:p>
        </w:tc>
        <w:tc>
          <w:tcPr>
            <w:tcW w:w="3741" w:type="dxa"/>
            <w:tcBorders>
              <w:top w:val="single" w:sz="8" w:space="0" w:color="auto"/>
              <w:bottom w:val="none" w:sz="0" w:space="0" w:color="auto"/>
              <w:right w:val="none" w:sz="0" w:space="0" w:color="auto"/>
            </w:tcBorders>
            <w:shd w:val="clear" w:color="auto" w:fill="auto"/>
            <w:vAlign w:val="center"/>
          </w:tcPr>
          <w:p w14:paraId="0E3C28C3"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Level III </w:t>
            </w:r>
          </w:p>
        </w:tc>
      </w:tr>
      <w:tr w:rsidR="00443A23" w:rsidRPr="00443A23" w14:paraId="07B6E0BA"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234F9FE2"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Bacterial overgrowth in the stomach, small and large intestine</w:t>
            </w:r>
          </w:p>
        </w:tc>
        <w:tc>
          <w:tcPr>
            <w:tcW w:w="3741" w:type="dxa"/>
            <w:shd w:val="clear" w:color="auto" w:fill="auto"/>
            <w:vAlign w:val="center"/>
          </w:tcPr>
          <w:p w14:paraId="40B55627"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Murine models</w:t>
            </w:r>
          </w:p>
        </w:tc>
      </w:tr>
      <w:tr w:rsidR="00443A23" w:rsidRPr="00443A23" w14:paraId="728A6EFF" w14:textId="77777777" w:rsidTr="000B4B7D">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0DD7E8C9" w14:textId="77777777" w:rsidR="00D03B6C" w:rsidRPr="00443A23" w:rsidRDefault="00D03B6C" w:rsidP="0002686E">
            <w:pPr>
              <w:spacing w:line="360" w:lineRule="auto"/>
              <w:jc w:val="both"/>
              <w:rPr>
                <w:rFonts w:ascii="Book Antiqua" w:hAnsi="Book Antiqua" w:cs="Arial"/>
                <w:sz w:val="24"/>
                <w:szCs w:val="24"/>
              </w:rPr>
            </w:pPr>
            <w:r w:rsidRPr="00443A23">
              <w:rPr>
                <w:rFonts w:ascii="Book Antiqua" w:hAnsi="Book Antiqua" w:cs="Arial"/>
                <w:sz w:val="24"/>
                <w:szCs w:val="24"/>
              </w:rPr>
              <w:t>Bacterial enteric infections</w:t>
            </w:r>
          </w:p>
          <w:p w14:paraId="2F0A16C0"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Causative agents:  </w:t>
            </w:r>
          </w:p>
          <w:p w14:paraId="31179247" w14:textId="77777777" w:rsidR="00D03B6C" w:rsidRPr="00443A23" w:rsidRDefault="00D03B6C" w:rsidP="0002686E">
            <w:pPr>
              <w:spacing w:line="360" w:lineRule="auto"/>
              <w:jc w:val="both"/>
              <w:rPr>
                <w:rFonts w:ascii="Book Antiqua" w:hAnsi="Book Antiqua" w:cs="Arial"/>
                <w:b w:val="0"/>
                <w:i/>
                <w:sz w:val="24"/>
                <w:szCs w:val="24"/>
              </w:rPr>
            </w:pPr>
            <w:r w:rsidRPr="00443A23">
              <w:rPr>
                <w:rFonts w:ascii="Book Antiqua" w:hAnsi="Book Antiqua" w:cs="Arial"/>
                <w:b w:val="0"/>
                <w:i/>
                <w:sz w:val="24"/>
                <w:szCs w:val="24"/>
              </w:rPr>
              <w:t xml:space="preserve">Clostridium </w:t>
            </w:r>
            <w:proofErr w:type="spellStart"/>
            <w:r w:rsidRPr="00443A23">
              <w:rPr>
                <w:rFonts w:ascii="Book Antiqua" w:hAnsi="Book Antiqua" w:cs="Arial"/>
                <w:b w:val="0"/>
                <w:i/>
                <w:sz w:val="24"/>
                <w:szCs w:val="24"/>
              </w:rPr>
              <w:t>difficile</w:t>
            </w:r>
            <w:proofErr w:type="spellEnd"/>
          </w:p>
          <w:p w14:paraId="70536F0E"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i/>
                <w:sz w:val="24"/>
                <w:szCs w:val="24"/>
              </w:rPr>
              <w:t xml:space="preserve">Salmonella </w:t>
            </w:r>
            <w:r w:rsidRPr="00443A23">
              <w:rPr>
                <w:rFonts w:ascii="Book Antiqua" w:hAnsi="Book Antiqua" w:cs="Arial"/>
                <w:b w:val="0"/>
                <w:sz w:val="24"/>
                <w:szCs w:val="24"/>
              </w:rPr>
              <w:t>species</w:t>
            </w:r>
          </w:p>
          <w:p w14:paraId="4BD84DF1"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i/>
                <w:sz w:val="24"/>
                <w:szCs w:val="24"/>
              </w:rPr>
              <w:t xml:space="preserve">Campylobacter </w:t>
            </w:r>
            <w:r w:rsidRPr="00443A23">
              <w:rPr>
                <w:rFonts w:ascii="Book Antiqua" w:hAnsi="Book Antiqua" w:cs="Arial"/>
                <w:b w:val="0"/>
                <w:sz w:val="24"/>
                <w:szCs w:val="24"/>
              </w:rPr>
              <w:t xml:space="preserve">species </w:t>
            </w:r>
          </w:p>
        </w:tc>
        <w:tc>
          <w:tcPr>
            <w:tcW w:w="3741" w:type="dxa"/>
            <w:tcBorders>
              <w:top w:val="none" w:sz="0" w:space="0" w:color="auto"/>
              <w:bottom w:val="none" w:sz="0" w:space="0" w:color="auto"/>
              <w:right w:val="none" w:sz="0" w:space="0" w:color="auto"/>
            </w:tcBorders>
            <w:shd w:val="clear" w:color="auto" w:fill="auto"/>
            <w:vAlign w:val="center"/>
          </w:tcPr>
          <w:p w14:paraId="4432F91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w:t>
            </w:r>
          </w:p>
        </w:tc>
      </w:tr>
      <w:tr w:rsidR="00443A23" w:rsidRPr="00443A23" w14:paraId="6C074303"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43D11AB5"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Pneumonia (Community-acquired)</w:t>
            </w:r>
          </w:p>
        </w:tc>
        <w:tc>
          <w:tcPr>
            <w:tcW w:w="3741" w:type="dxa"/>
            <w:shd w:val="clear" w:color="auto" w:fill="auto"/>
            <w:vAlign w:val="center"/>
          </w:tcPr>
          <w:p w14:paraId="47FA6526"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Level I </w:t>
            </w:r>
          </w:p>
        </w:tc>
      </w:tr>
      <w:tr w:rsidR="00443A23" w:rsidRPr="00443A23" w14:paraId="6A0AD400"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6DA2AC9E"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Necrotizing </w:t>
            </w:r>
            <w:proofErr w:type="spellStart"/>
            <w:r w:rsidRPr="00443A23">
              <w:rPr>
                <w:rFonts w:ascii="Book Antiqua" w:hAnsi="Book Antiqua" w:cs="Arial"/>
                <w:b w:val="0"/>
                <w:sz w:val="24"/>
                <w:szCs w:val="24"/>
              </w:rPr>
              <w:t>enterocolitis</w:t>
            </w:r>
            <w:proofErr w:type="spellEnd"/>
            <w:r w:rsidRPr="00443A23">
              <w:rPr>
                <w:rFonts w:ascii="Book Antiqua" w:hAnsi="Book Antiqua" w:cs="Arial"/>
                <w:b w:val="0"/>
                <w:sz w:val="24"/>
                <w:szCs w:val="24"/>
              </w:rPr>
              <w:t xml:space="preserve"> </w:t>
            </w:r>
          </w:p>
        </w:tc>
        <w:tc>
          <w:tcPr>
            <w:tcW w:w="3741" w:type="dxa"/>
            <w:tcBorders>
              <w:top w:val="none" w:sz="0" w:space="0" w:color="auto"/>
              <w:bottom w:val="none" w:sz="0" w:space="0" w:color="auto"/>
              <w:right w:val="none" w:sz="0" w:space="0" w:color="auto"/>
            </w:tcBorders>
            <w:shd w:val="clear" w:color="auto" w:fill="auto"/>
            <w:vAlign w:val="center"/>
          </w:tcPr>
          <w:p w14:paraId="14C52435" w14:textId="1100F40B"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lang w:eastAsia="zh-CN"/>
              </w:rPr>
            </w:pPr>
            <w:r w:rsidRPr="00443A23">
              <w:rPr>
                <w:rFonts w:ascii="Book Antiqua" w:hAnsi="Book Antiqua" w:cs="Arial"/>
                <w:sz w:val="24"/>
                <w:szCs w:val="24"/>
              </w:rPr>
              <w:t>Level III</w:t>
            </w:r>
            <w:r w:rsidR="000B4B7D">
              <w:rPr>
                <w:rFonts w:ascii="Book Antiqua" w:hAnsi="Book Antiqua" w:cs="Arial" w:hint="eastAsia"/>
                <w:sz w:val="24"/>
                <w:szCs w:val="24"/>
                <w:vertAlign w:val="superscript"/>
                <w:lang w:eastAsia="zh-CN"/>
              </w:rPr>
              <w:t>1</w:t>
            </w:r>
          </w:p>
        </w:tc>
      </w:tr>
      <w:tr w:rsidR="00443A23" w:rsidRPr="00443A23" w14:paraId="7F57F90E"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3C740088"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Blood stream infections, including </w:t>
            </w:r>
            <w:proofErr w:type="spellStart"/>
            <w:r w:rsidRPr="00443A23">
              <w:rPr>
                <w:rFonts w:ascii="Book Antiqua" w:hAnsi="Book Antiqua" w:cs="Arial"/>
                <w:b w:val="0"/>
                <w:sz w:val="24"/>
                <w:szCs w:val="24"/>
              </w:rPr>
              <w:t>candidemia</w:t>
            </w:r>
            <w:proofErr w:type="spellEnd"/>
            <w:r w:rsidRPr="00443A23">
              <w:rPr>
                <w:rFonts w:ascii="Book Antiqua" w:hAnsi="Book Antiqua" w:cs="Arial"/>
                <w:b w:val="0"/>
                <w:sz w:val="24"/>
                <w:szCs w:val="24"/>
              </w:rPr>
              <w:t xml:space="preserve"> </w:t>
            </w:r>
          </w:p>
        </w:tc>
        <w:tc>
          <w:tcPr>
            <w:tcW w:w="3741" w:type="dxa"/>
            <w:shd w:val="clear" w:color="auto" w:fill="auto"/>
            <w:vAlign w:val="center"/>
          </w:tcPr>
          <w:p w14:paraId="494536E6" w14:textId="11313BD5"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III</w:t>
            </w:r>
            <w:r w:rsidR="000B4B7D">
              <w:rPr>
                <w:rFonts w:ascii="Book Antiqua" w:hAnsi="Book Antiqua" w:cs="Arial" w:hint="eastAsia"/>
                <w:sz w:val="24"/>
                <w:szCs w:val="24"/>
                <w:vertAlign w:val="superscript"/>
                <w:lang w:eastAsia="zh-CN"/>
              </w:rPr>
              <w:t>1</w:t>
            </w:r>
          </w:p>
        </w:tc>
      </w:tr>
      <w:tr w:rsidR="00443A23" w:rsidRPr="00443A23" w14:paraId="3BA21AAD"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6CFA96AE" w14:textId="77777777" w:rsidR="00D03B6C" w:rsidRPr="00443A23" w:rsidRDefault="00D03B6C" w:rsidP="0002686E">
            <w:pPr>
              <w:spacing w:line="360" w:lineRule="auto"/>
              <w:jc w:val="both"/>
              <w:rPr>
                <w:rFonts w:ascii="Book Antiqua" w:hAnsi="Book Antiqua" w:cs="Arial"/>
                <w:b w:val="0"/>
                <w:i/>
                <w:sz w:val="24"/>
                <w:szCs w:val="24"/>
              </w:rPr>
            </w:pPr>
            <w:r w:rsidRPr="00443A23">
              <w:rPr>
                <w:rFonts w:ascii="Book Antiqua" w:hAnsi="Book Antiqua" w:cs="Arial"/>
                <w:b w:val="0"/>
                <w:sz w:val="24"/>
                <w:szCs w:val="24"/>
              </w:rPr>
              <w:t xml:space="preserve">Allergic sensitization in adults and in children with </w:t>
            </w:r>
            <w:r w:rsidRPr="00443A23">
              <w:rPr>
                <w:rFonts w:ascii="Book Antiqua" w:hAnsi="Book Antiqua" w:cs="Arial"/>
                <w:b w:val="0"/>
                <w:i/>
                <w:sz w:val="24"/>
                <w:szCs w:val="24"/>
              </w:rPr>
              <w:t>in utero exposure</w:t>
            </w:r>
          </w:p>
        </w:tc>
        <w:tc>
          <w:tcPr>
            <w:tcW w:w="3741" w:type="dxa"/>
            <w:tcBorders>
              <w:top w:val="none" w:sz="0" w:space="0" w:color="auto"/>
              <w:bottom w:val="none" w:sz="0" w:space="0" w:color="auto"/>
              <w:right w:val="none" w:sz="0" w:space="0" w:color="auto"/>
            </w:tcBorders>
            <w:shd w:val="clear" w:color="auto" w:fill="auto"/>
            <w:vAlign w:val="center"/>
          </w:tcPr>
          <w:p w14:paraId="64737025"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Level III Study &amp; Murine Models </w:t>
            </w:r>
          </w:p>
        </w:tc>
      </w:tr>
      <w:tr w:rsidR="00443A23" w:rsidRPr="00443A23" w14:paraId="78C6749A"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54E63384"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Parietal and </w:t>
            </w:r>
            <w:proofErr w:type="spellStart"/>
            <w:r w:rsidRPr="00443A23">
              <w:rPr>
                <w:rFonts w:ascii="Book Antiqua" w:hAnsi="Book Antiqua" w:cs="Arial"/>
                <w:b w:val="0"/>
                <w:sz w:val="24"/>
                <w:szCs w:val="24"/>
              </w:rPr>
              <w:t>Enterochromaffin</w:t>
            </w:r>
            <w:proofErr w:type="spellEnd"/>
            <w:r w:rsidRPr="00443A23">
              <w:rPr>
                <w:rFonts w:ascii="Book Antiqua" w:hAnsi="Book Antiqua" w:cs="Arial"/>
                <w:b w:val="0"/>
                <w:sz w:val="24"/>
                <w:szCs w:val="24"/>
              </w:rPr>
              <w:t>-like cell hyperplasia</w:t>
            </w:r>
          </w:p>
        </w:tc>
        <w:tc>
          <w:tcPr>
            <w:tcW w:w="3741" w:type="dxa"/>
            <w:shd w:val="clear" w:color="auto" w:fill="auto"/>
            <w:vAlign w:val="center"/>
          </w:tcPr>
          <w:p w14:paraId="1E533289"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Level II </w:t>
            </w:r>
          </w:p>
        </w:tc>
      </w:tr>
      <w:tr w:rsidR="00443A23" w:rsidRPr="00443A23" w14:paraId="3C328758"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7074390B" w14:textId="77777777" w:rsidR="00D03B6C" w:rsidRPr="00443A23" w:rsidRDefault="00D03B6C" w:rsidP="0002686E">
            <w:pPr>
              <w:spacing w:line="360" w:lineRule="auto"/>
              <w:jc w:val="both"/>
              <w:rPr>
                <w:rFonts w:ascii="Book Antiqua" w:hAnsi="Book Antiqua" w:cs="Arial"/>
                <w:b w:val="0"/>
                <w:sz w:val="24"/>
                <w:szCs w:val="24"/>
              </w:rPr>
            </w:pPr>
            <w:proofErr w:type="spellStart"/>
            <w:r w:rsidRPr="00443A23">
              <w:rPr>
                <w:rFonts w:ascii="Book Antiqua" w:hAnsi="Book Antiqua" w:cs="Arial"/>
                <w:b w:val="0"/>
                <w:sz w:val="24"/>
                <w:szCs w:val="24"/>
              </w:rPr>
              <w:t>Fundic</w:t>
            </w:r>
            <w:proofErr w:type="spellEnd"/>
            <w:r w:rsidRPr="00443A23">
              <w:rPr>
                <w:rFonts w:ascii="Book Antiqua" w:hAnsi="Book Antiqua" w:cs="Arial"/>
                <w:b w:val="0"/>
                <w:sz w:val="24"/>
                <w:szCs w:val="24"/>
              </w:rPr>
              <w:t xml:space="preserve"> gland polyps</w:t>
            </w:r>
          </w:p>
        </w:tc>
        <w:tc>
          <w:tcPr>
            <w:tcW w:w="3741" w:type="dxa"/>
            <w:tcBorders>
              <w:top w:val="none" w:sz="0" w:space="0" w:color="auto"/>
              <w:bottom w:val="none" w:sz="0" w:space="0" w:color="auto"/>
              <w:right w:val="none" w:sz="0" w:space="0" w:color="auto"/>
            </w:tcBorders>
            <w:shd w:val="clear" w:color="auto" w:fill="auto"/>
            <w:vAlign w:val="center"/>
          </w:tcPr>
          <w:p w14:paraId="35BD5A00"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 xml:space="preserve">Level III </w:t>
            </w:r>
          </w:p>
        </w:tc>
      </w:tr>
      <w:tr w:rsidR="00443A23" w:rsidRPr="00443A23" w14:paraId="10BC22B6"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797F1089"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Vitamin B</w:t>
            </w:r>
            <w:r w:rsidRPr="00443A23">
              <w:rPr>
                <w:rFonts w:ascii="Book Antiqua" w:hAnsi="Book Antiqua" w:cs="Arial"/>
                <w:b w:val="0"/>
                <w:sz w:val="24"/>
                <w:szCs w:val="24"/>
                <w:vertAlign w:val="subscript"/>
              </w:rPr>
              <w:t>12</w:t>
            </w:r>
            <w:r w:rsidRPr="00443A23">
              <w:rPr>
                <w:rFonts w:ascii="Book Antiqua" w:hAnsi="Book Antiqua" w:cs="Arial"/>
                <w:b w:val="0"/>
                <w:sz w:val="24"/>
                <w:szCs w:val="24"/>
              </w:rPr>
              <w:t xml:space="preserve"> deficiency</w:t>
            </w:r>
          </w:p>
        </w:tc>
        <w:tc>
          <w:tcPr>
            <w:tcW w:w="3741" w:type="dxa"/>
            <w:shd w:val="clear" w:color="auto" w:fill="auto"/>
            <w:vAlign w:val="center"/>
          </w:tcPr>
          <w:p w14:paraId="1AAA423F"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III</w:t>
            </w:r>
          </w:p>
        </w:tc>
      </w:tr>
      <w:tr w:rsidR="00443A23" w:rsidRPr="00443A23" w14:paraId="4383A72D"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1C8C5FF5"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Fractures (osteoporotic and non-osteoporotic)</w:t>
            </w:r>
          </w:p>
        </w:tc>
        <w:tc>
          <w:tcPr>
            <w:tcW w:w="3741" w:type="dxa"/>
            <w:tcBorders>
              <w:top w:val="none" w:sz="0" w:space="0" w:color="auto"/>
              <w:bottom w:val="none" w:sz="0" w:space="0" w:color="auto"/>
              <w:right w:val="none" w:sz="0" w:space="0" w:color="auto"/>
            </w:tcBorders>
            <w:shd w:val="clear" w:color="auto" w:fill="auto"/>
            <w:vAlign w:val="center"/>
          </w:tcPr>
          <w:p w14:paraId="504A0A8D"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III</w:t>
            </w:r>
          </w:p>
        </w:tc>
      </w:tr>
      <w:tr w:rsidR="00443A23" w:rsidRPr="00443A23" w14:paraId="6BE21849"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2CB14F07" w14:textId="77777777" w:rsidR="00D03B6C" w:rsidRPr="00443A23" w:rsidRDefault="00D03B6C" w:rsidP="0002686E">
            <w:pPr>
              <w:spacing w:line="360" w:lineRule="auto"/>
              <w:jc w:val="both"/>
              <w:rPr>
                <w:rFonts w:ascii="Book Antiqua" w:hAnsi="Book Antiqua" w:cs="Arial"/>
                <w:b w:val="0"/>
                <w:sz w:val="24"/>
                <w:szCs w:val="24"/>
              </w:rPr>
            </w:pPr>
            <w:proofErr w:type="spellStart"/>
            <w:r w:rsidRPr="00443A23">
              <w:rPr>
                <w:rFonts w:ascii="Book Antiqua" w:hAnsi="Book Antiqua" w:cs="Arial"/>
                <w:b w:val="0"/>
                <w:sz w:val="24"/>
                <w:szCs w:val="24"/>
              </w:rPr>
              <w:t>Hypomagnesemia</w:t>
            </w:r>
            <w:proofErr w:type="spellEnd"/>
          </w:p>
        </w:tc>
        <w:tc>
          <w:tcPr>
            <w:tcW w:w="3741" w:type="dxa"/>
            <w:shd w:val="clear" w:color="auto" w:fill="auto"/>
            <w:vAlign w:val="center"/>
          </w:tcPr>
          <w:p w14:paraId="293185AD" w14:textId="77777777"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IV and one level III study</w:t>
            </w:r>
          </w:p>
        </w:tc>
      </w:tr>
      <w:tr w:rsidR="00443A23" w:rsidRPr="00443A23" w14:paraId="74917366" w14:textId="77777777" w:rsidTr="000B4B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501" w:type="dxa"/>
            <w:tcBorders>
              <w:top w:val="none" w:sz="0" w:space="0" w:color="auto"/>
              <w:left w:val="none" w:sz="0" w:space="0" w:color="auto"/>
              <w:bottom w:val="none" w:sz="0" w:space="0" w:color="auto"/>
            </w:tcBorders>
            <w:shd w:val="clear" w:color="auto" w:fill="auto"/>
            <w:vAlign w:val="center"/>
          </w:tcPr>
          <w:p w14:paraId="5BCA8B93"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Reduced Antiplatelet effect of </w:t>
            </w:r>
            <w:proofErr w:type="spellStart"/>
            <w:r w:rsidRPr="00443A23">
              <w:rPr>
                <w:rFonts w:ascii="Book Antiqua" w:hAnsi="Book Antiqua" w:cs="Arial"/>
                <w:b w:val="0"/>
                <w:sz w:val="24"/>
                <w:szCs w:val="24"/>
              </w:rPr>
              <w:t>Clopidogrel</w:t>
            </w:r>
            <w:proofErr w:type="spellEnd"/>
          </w:p>
        </w:tc>
        <w:tc>
          <w:tcPr>
            <w:tcW w:w="3741" w:type="dxa"/>
            <w:tcBorders>
              <w:top w:val="none" w:sz="0" w:space="0" w:color="auto"/>
              <w:bottom w:val="none" w:sz="0" w:space="0" w:color="auto"/>
              <w:right w:val="none" w:sz="0" w:space="0" w:color="auto"/>
            </w:tcBorders>
            <w:shd w:val="clear" w:color="auto" w:fill="auto"/>
            <w:vAlign w:val="center"/>
          </w:tcPr>
          <w:p w14:paraId="04596557" w14:textId="77777777" w:rsidR="00D03B6C" w:rsidRPr="00443A23" w:rsidRDefault="00D03B6C" w:rsidP="0002686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II</w:t>
            </w:r>
          </w:p>
        </w:tc>
      </w:tr>
      <w:tr w:rsidR="00443A23" w:rsidRPr="00443A23" w14:paraId="5C80E847" w14:textId="77777777" w:rsidTr="000B4B7D">
        <w:trPr>
          <w:trHeight w:val="283"/>
        </w:trPr>
        <w:tc>
          <w:tcPr>
            <w:cnfStyle w:val="001000000000" w:firstRow="0" w:lastRow="0" w:firstColumn="1" w:lastColumn="0" w:oddVBand="0" w:evenVBand="0" w:oddHBand="0" w:evenHBand="0" w:firstRowFirstColumn="0" w:firstRowLastColumn="0" w:lastRowFirstColumn="0" w:lastRowLastColumn="0"/>
            <w:tcW w:w="5501" w:type="dxa"/>
            <w:shd w:val="clear" w:color="auto" w:fill="auto"/>
            <w:vAlign w:val="center"/>
          </w:tcPr>
          <w:p w14:paraId="0B05041F" w14:textId="77777777" w:rsidR="00D03B6C" w:rsidRPr="00443A23" w:rsidRDefault="00D03B6C" w:rsidP="0002686E">
            <w:pPr>
              <w:spacing w:line="360" w:lineRule="auto"/>
              <w:jc w:val="both"/>
              <w:rPr>
                <w:rFonts w:ascii="Book Antiqua" w:hAnsi="Book Antiqua" w:cs="Arial"/>
                <w:b w:val="0"/>
                <w:sz w:val="24"/>
                <w:szCs w:val="24"/>
              </w:rPr>
            </w:pPr>
            <w:r w:rsidRPr="00443A23">
              <w:rPr>
                <w:rFonts w:ascii="Book Antiqua" w:hAnsi="Book Antiqua" w:cs="Arial"/>
                <w:b w:val="0"/>
                <w:sz w:val="24"/>
                <w:szCs w:val="24"/>
              </w:rPr>
              <w:t xml:space="preserve">Adverse Cardiovascular outcomes due to </w:t>
            </w:r>
            <w:proofErr w:type="spellStart"/>
            <w:r w:rsidRPr="00443A23">
              <w:rPr>
                <w:rFonts w:ascii="Book Antiqua" w:hAnsi="Book Antiqua" w:cs="Arial"/>
                <w:b w:val="0"/>
                <w:sz w:val="24"/>
                <w:szCs w:val="24"/>
              </w:rPr>
              <w:t>Clopidogrel</w:t>
            </w:r>
            <w:proofErr w:type="spellEnd"/>
            <w:r w:rsidRPr="00443A23">
              <w:rPr>
                <w:rFonts w:ascii="Book Antiqua" w:hAnsi="Book Antiqua" w:cs="Arial"/>
                <w:b w:val="0"/>
                <w:sz w:val="24"/>
                <w:szCs w:val="24"/>
              </w:rPr>
              <w:t xml:space="preserve"> interactions</w:t>
            </w:r>
          </w:p>
        </w:tc>
        <w:tc>
          <w:tcPr>
            <w:tcW w:w="3741" w:type="dxa"/>
            <w:shd w:val="clear" w:color="auto" w:fill="auto"/>
            <w:vAlign w:val="center"/>
          </w:tcPr>
          <w:p w14:paraId="5A7BDAAC" w14:textId="7A2B858F" w:rsidR="00D03B6C" w:rsidRPr="00443A23" w:rsidRDefault="00D03B6C" w:rsidP="0002686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43A23">
              <w:rPr>
                <w:rFonts w:ascii="Book Antiqua" w:hAnsi="Book Antiqua" w:cs="Arial"/>
                <w:sz w:val="24"/>
                <w:szCs w:val="24"/>
              </w:rPr>
              <w:t>Level III</w:t>
            </w:r>
            <w:r w:rsidR="000B4B7D">
              <w:rPr>
                <w:rFonts w:ascii="Book Antiqua" w:hAnsi="Book Antiqua" w:cs="Arial" w:hint="eastAsia"/>
                <w:sz w:val="24"/>
                <w:szCs w:val="24"/>
                <w:shd w:val="clear" w:color="auto" w:fill="FFFFFF"/>
                <w:vertAlign w:val="superscript"/>
                <w:lang w:eastAsia="zh-CN"/>
              </w:rPr>
              <w:t>2</w:t>
            </w:r>
            <w:r w:rsidRPr="00443A23">
              <w:rPr>
                <w:rFonts w:ascii="Book Antiqua" w:hAnsi="Book Antiqua" w:cs="Arial"/>
                <w:sz w:val="24"/>
                <w:szCs w:val="24"/>
              </w:rPr>
              <w:t xml:space="preserve"> </w:t>
            </w:r>
          </w:p>
        </w:tc>
      </w:tr>
    </w:tbl>
    <w:p w14:paraId="1263AD2D" w14:textId="5EE28FAD" w:rsidR="000B4B7D" w:rsidRPr="000B4B7D" w:rsidRDefault="000B4B7D" w:rsidP="0002686E">
      <w:pPr>
        <w:spacing w:after="0" w:line="360" w:lineRule="auto"/>
        <w:rPr>
          <w:rFonts w:ascii="Book Antiqua" w:hAnsi="Book Antiqua"/>
          <w:sz w:val="24"/>
          <w:szCs w:val="24"/>
        </w:rPr>
      </w:pPr>
      <w:r w:rsidRPr="000B4B7D">
        <w:rPr>
          <w:rFonts w:ascii="Book Antiqua" w:hAnsi="Book Antiqua"/>
          <w:sz w:val="24"/>
          <w:szCs w:val="24"/>
          <w:vertAlign w:val="superscript"/>
          <w:lang w:eastAsia="zh-CN"/>
        </w:rPr>
        <w:t>1</w:t>
      </w:r>
      <w:r w:rsidRPr="000B4B7D">
        <w:rPr>
          <w:rFonts w:ascii="Book Antiqua" w:hAnsi="Book Antiqua"/>
          <w:sz w:val="24"/>
          <w:szCs w:val="24"/>
        </w:rPr>
        <w:t xml:space="preserve"> Only single reports showing an association with acid inhibition induced by H</w:t>
      </w:r>
      <w:r w:rsidRPr="000B4B7D">
        <w:rPr>
          <w:rFonts w:ascii="Book Antiqua" w:hAnsi="Book Antiqua"/>
          <w:sz w:val="24"/>
          <w:szCs w:val="24"/>
          <w:vertAlign w:val="subscript"/>
        </w:rPr>
        <w:t>2</w:t>
      </w:r>
      <w:r w:rsidRPr="000B4B7D">
        <w:rPr>
          <w:rFonts w:ascii="Book Antiqua" w:hAnsi="Book Antiqua"/>
          <w:sz w:val="24"/>
          <w:szCs w:val="24"/>
        </w:rPr>
        <w:t>RA treatment</w:t>
      </w:r>
      <w:proofErr w:type="gramStart"/>
      <w:r>
        <w:rPr>
          <w:rFonts w:ascii="Book Antiqua" w:hAnsi="Book Antiqua" w:hint="eastAsia"/>
          <w:sz w:val="24"/>
          <w:szCs w:val="24"/>
          <w:lang w:eastAsia="zh-CN"/>
        </w:rPr>
        <w:t>;</w:t>
      </w:r>
      <w:proofErr w:type="gramEnd"/>
      <w:r>
        <w:rPr>
          <w:rFonts w:ascii="Book Antiqua" w:hAnsi="Book Antiqua" w:hint="eastAsia"/>
          <w:sz w:val="24"/>
          <w:szCs w:val="24"/>
          <w:lang w:eastAsia="zh-CN"/>
        </w:rPr>
        <w:t xml:space="preserve"> </w:t>
      </w:r>
      <w:bookmarkStart w:id="50" w:name="_GoBack"/>
      <w:bookmarkEnd w:id="50"/>
      <w:r w:rsidRPr="000B4B7D">
        <w:rPr>
          <w:rFonts w:ascii="Book Antiqua" w:hAnsi="Book Antiqua" w:cs="Arial"/>
          <w:color w:val="000000"/>
          <w:sz w:val="24"/>
          <w:szCs w:val="24"/>
          <w:shd w:val="clear" w:color="auto" w:fill="FFFFFF"/>
          <w:vertAlign w:val="superscript"/>
          <w:lang w:eastAsia="zh-CN"/>
        </w:rPr>
        <w:t>2</w:t>
      </w:r>
      <w:r w:rsidRPr="000B4B7D">
        <w:rPr>
          <w:rFonts w:ascii="Book Antiqua" w:hAnsi="Book Antiqua" w:cs="Arial"/>
          <w:color w:val="000000"/>
          <w:sz w:val="24"/>
          <w:szCs w:val="24"/>
          <w:shd w:val="clear" w:color="auto" w:fill="FFFFFF"/>
          <w:vertAlign w:val="superscript"/>
        </w:rPr>
        <w:t xml:space="preserve"> </w:t>
      </w:r>
      <w:r w:rsidRPr="000B4B7D">
        <w:rPr>
          <w:rFonts w:ascii="Book Antiqua" w:hAnsi="Book Antiqua"/>
          <w:sz w:val="24"/>
          <w:szCs w:val="24"/>
        </w:rPr>
        <w:t>RCTs (level II) not shown an increase risk of adverse outcomes</w:t>
      </w:r>
      <w:r>
        <w:rPr>
          <w:rFonts w:ascii="Book Antiqua" w:hAnsi="Book Antiqua" w:hint="eastAsia"/>
          <w:sz w:val="24"/>
          <w:szCs w:val="24"/>
          <w:lang w:eastAsia="zh-CN"/>
        </w:rPr>
        <w:t>.</w:t>
      </w:r>
      <w:r w:rsidRPr="000B4B7D">
        <w:rPr>
          <w:rFonts w:ascii="Book Antiqua" w:hAnsi="Book Antiqua"/>
          <w:sz w:val="24"/>
          <w:szCs w:val="24"/>
        </w:rPr>
        <w:t xml:space="preserve"> </w:t>
      </w:r>
    </w:p>
    <w:p w14:paraId="585BC5EE" w14:textId="0F4BC9E4" w:rsidR="00D03B6C" w:rsidRPr="000B4B7D" w:rsidRDefault="00D03B6C" w:rsidP="0002686E">
      <w:pPr>
        <w:spacing w:after="0"/>
        <w:jc w:val="both"/>
        <w:rPr>
          <w:rFonts w:ascii="Book Antiqua" w:hAnsi="Book Antiqua"/>
          <w:sz w:val="24"/>
          <w:szCs w:val="24"/>
        </w:rPr>
      </w:pPr>
    </w:p>
    <w:p w14:paraId="4C15E893" w14:textId="77777777" w:rsidR="00D03B6C" w:rsidRPr="000B4B7D" w:rsidRDefault="00D03B6C" w:rsidP="0002686E">
      <w:pPr>
        <w:spacing w:after="0" w:line="360" w:lineRule="auto"/>
        <w:jc w:val="both"/>
        <w:rPr>
          <w:rFonts w:ascii="Book Antiqua" w:hAnsi="Book Antiqua"/>
          <w:sz w:val="24"/>
          <w:szCs w:val="24"/>
          <w:lang w:eastAsia="zh-CN"/>
        </w:rPr>
      </w:pPr>
    </w:p>
    <w:sectPr w:rsidR="00D03B6C" w:rsidRPr="000B4B7D">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2D4F7D" w15:done="0"/>
  <w15:commentEx w15:paraId="12AFFEEA" w15:done="0"/>
  <w15:commentEx w15:paraId="3353BA08" w15:done="0"/>
  <w15:commentEx w15:paraId="52973530" w15:done="0"/>
  <w15:commentEx w15:paraId="24AE27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B1BC9" w14:textId="77777777" w:rsidR="000C2429" w:rsidRDefault="000C2429" w:rsidP="00D03B6C">
      <w:pPr>
        <w:spacing w:after="0" w:line="240" w:lineRule="auto"/>
      </w:pPr>
      <w:r>
        <w:separator/>
      </w:r>
    </w:p>
  </w:endnote>
  <w:endnote w:type="continuationSeparator" w:id="0">
    <w:p w14:paraId="2A352F70" w14:textId="77777777" w:rsidR="000C2429" w:rsidRDefault="000C2429" w:rsidP="00D0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8C90C" w14:textId="77777777" w:rsidR="000C2429" w:rsidRDefault="000C2429" w:rsidP="00D03B6C">
      <w:pPr>
        <w:spacing w:after="0" w:line="240" w:lineRule="auto"/>
      </w:pPr>
      <w:r>
        <w:separator/>
      </w:r>
    </w:p>
  </w:footnote>
  <w:footnote w:type="continuationSeparator" w:id="0">
    <w:p w14:paraId="716EA0A2" w14:textId="77777777" w:rsidR="000C2429" w:rsidRDefault="000C2429" w:rsidP="00D03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B1A"/>
    <w:multiLevelType w:val="hybridMultilevel"/>
    <w:tmpl w:val="4DFE6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Safe">
    <w15:presenceInfo w15:providerId="AD" w15:userId="S-1-5-21-68797724-3306027891-3422185373-6677"/>
  </w15:person>
  <w15:person w15:author="Mark Safe [2]">
    <w15:presenceInfo w15:providerId="Windows Live" w15:userId="552d91f8bdc1ab3d"/>
  </w15:person>
  <w15:person w15:author="theatre201-g">
    <w15:presenceInfo w15:providerId="AD" w15:userId="S-1-5-21-68797724-3306027891-3422185373-24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6F"/>
    <w:rsid w:val="0002686E"/>
    <w:rsid w:val="00032D20"/>
    <w:rsid w:val="00084B15"/>
    <w:rsid w:val="000B4B7D"/>
    <w:rsid w:val="000C2429"/>
    <w:rsid w:val="000F5232"/>
    <w:rsid w:val="00155C1B"/>
    <w:rsid w:val="0015656C"/>
    <w:rsid w:val="001E39BE"/>
    <w:rsid w:val="00212B36"/>
    <w:rsid w:val="00226BE6"/>
    <w:rsid w:val="00237562"/>
    <w:rsid w:val="002945DF"/>
    <w:rsid w:val="002A53E6"/>
    <w:rsid w:val="002B4F21"/>
    <w:rsid w:val="002D44B1"/>
    <w:rsid w:val="002E0E5D"/>
    <w:rsid w:val="002F7702"/>
    <w:rsid w:val="003032A8"/>
    <w:rsid w:val="00331EDC"/>
    <w:rsid w:val="003A1DE6"/>
    <w:rsid w:val="003E4073"/>
    <w:rsid w:val="0040507D"/>
    <w:rsid w:val="00441370"/>
    <w:rsid w:val="00443A23"/>
    <w:rsid w:val="004A4E6F"/>
    <w:rsid w:val="004D7431"/>
    <w:rsid w:val="004E11F0"/>
    <w:rsid w:val="004F5D39"/>
    <w:rsid w:val="005263C6"/>
    <w:rsid w:val="0054757F"/>
    <w:rsid w:val="00556DC7"/>
    <w:rsid w:val="005608B2"/>
    <w:rsid w:val="00562A68"/>
    <w:rsid w:val="00563948"/>
    <w:rsid w:val="00565997"/>
    <w:rsid w:val="00567506"/>
    <w:rsid w:val="00592011"/>
    <w:rsid w:val="005E3903"/>
    <w:rsid w:val="00634D09"/>
    <w:rsid w:val="00641C87"/>
    <w:rsid w:val="00691B4F"/>
    <w:rsid w:val="006A2741"/>
    <w:rsid w:val="006A6065"/>
    <w:rsid w:val="006C0D70"/>
    <w:rsid w:val="006D00F7"/>
    <w:rsid w:val="006D1B2B"/>
    <w:rsid w:val="00701877"/>
    <w:rsid w:val="00747467"/>
    <w:rsid w:val="00780C7C"/>
    <w:rsid w:val="0078420B"/>
    <w:rsid w:val="007C0D94"/>
    <w:rsid w:val="007D5CB7"/>
    <w:rsid w:val="007E77EB"/>
    <w:rsid w:val="00843218"/>
    <w:rsid w:val="008D7B72"/>
    <w:rsid w:val="008F01F7"/>
    <w:rsid w:val="009051AC"/>
    <w:rsid w:val="00924037"/>
    <w:rsid w:val="00927C8D"/>
    <w:rsid w:val="00954097"/>
    <w:rsid w:val="00992229"/>
    <w:rsid w:val="009C054C"/>
    <w:rsid w:val="009E2078"/>
    <w:rsid w:val="00A069C2"/>
    <w:rsid w:val="00A37A74"/>
    <w:rsid w:val="00A64D9C"/>
    <w:rsid w:val="00B03F93"/>
    <w:rsid w:val="00B25FA0"/>
    <w:rsid w:val="00B278AE"/>
    <w:rsid w:val="00B33CC3"/>
    <w:rsid w:val="00B35639"/>
    <w:rsid w:val="00B35684"/>
    <w:rsid w:val="00B37CC9"/>
    <w:rsid w:val="00B445D7"/>
    <w:rsid w:val="00B479DD"/>
    <w:rsid w:val="00B601FC"/>
    <w:rsid w:val="00BA3253"/>
    <w:rsid w:val="00BE62E5"/>
    <w:rsid w:val="00C92637"/>
    <w:rsid w:val="00CB3C0A"/>
    <w:rsid w:val="00CC75AE"/>
    <w:rsid w:val="00CE5696"/>
    <w:rsid w:val="00D0255B"/>
    <w:rsid w:val="00D03B6C"/>
    <w:rsid w:val="00D07EF5"/>
    <w:rsid w:val="00D563AD"/>
    <w:rsid w:val="00DA41DC"/>
    <w:rsid w:val="00DE59E6"/>
    <w:rsid w:val="00DF1E60"/>
    <w:rsid w:val="00E06010"/>
    <w:rsid w:val="00E103F9"/>
    <w:rsid w:val="00E162F6"/>
    <w:rsid w:val="00E5010F"/>
    <w:rsid w:val="00E539AC"/>
    <w:rsid w:val="00E61FA1"/>
    <w:rsid w:val="00E76E27"/>
    <w:rsid w:val="00EC403F"/>
    <w:rsid w:val="00ED0995"/>
    <w:rsid w:val="00F7381D"/>
    <w:rsid w:val="00F96E83"/>
    <w:rsid w:val="00FB5A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2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0E5D"/>
    <w:pPr>
      <w:spacing w:after="0" w:line="276" w:lineRule="auto"/>
      <w:outlineLvl w:val="1"/>
    </w:pPr>
    <w:rPr>
      <w:rFonts w:ascii="Times New Roman" w:hAnsi="Times New Roman" w:cs="Times New Roman"/>
      <w:b/>
      <w:bCs/>
      <w:color w:val="5B9BD5" w:themeColor="accent1"/>
      <w:sz w:val="40"/>
      <w:szCs w:val="40"/>
    </w:rPr>
  </w:style>
  <w:style w:type="paragraph" w:styleId="Heading3">
    <w:name w:val="heading 3"/>
    <w:basedOn w:val="Heading2"/>
    <w:next w:val="Normal"/>
    <w:link w:val="Heading3Char"/>
    <w:uiPriority w:val="9"/>
    <w:unhideWhenUsed/>
    <w:qFormat/>
    <w:rsid w:val="002E0E5D"/>
    <w:pPr>
      <w:outlineLvl w:val="2"/>
    </w:pPr>
    <w:rPr>
      <w:rFonts w:ascii="Arial" w:hAnsi="Arial" w:cs="Arial"/>
      <w:color w:val="auto"/>
      <w:sz w:val="28"/>
    </w:rPr>
  </w:style>
  <w:style w:type="paragraph" w:styleId="Heading5">
    <w:name w:val="heading 5"/>
    <w:aliases w:val="Figure Headings"/>
    <w:basedOn w:val="Caption"/>
    <w:next w:val="Normal"/>
    <w:link w:val="Heading5Char"/>
    <w:uiPriority w:val="9"/>
    <w:unhideWhenUsed/>
    <w:qFormat/>
    <w:rsid w:val="002E0E5D"/>
    <w:pPr>
      <w:spacing w:line="360" w:lineRule="auto"/>
      <w:outlineLvl w:val="4"/>
    </w:pPr>
    <w:rPr>
      <w:rFonts w:ascii="Times New Roman" w:hAnsi="Times New Roman" w:cs="Times New Roman"/>
      <w:b/>
      <w:bCs/>
      <w:i w:val="0"/>
      <w:iCs w:val="0"/>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BE"/>
    <w:pPr>
      <w:ind w:left="720"/>
      <w:contextualSpacing/>
    </w:pPr>
  </w:style>
  <w:style w:type="character" w:customStyle="1" w:styleId="Heading2Char">
    <w:name w:val="Heading 2 Char"/>
    <w:basedOn w:val="DefaultParagraphFont"/>
    <w:link w:val="Heading2"/>
    <w:uiPriority w:val="9"/>
    <w:rsid w:val="002E0E5D"/>
    <w:rPr>
      <w:rFonts w:ascii="Times New Roman" w:hAnsi="Times New Roman" w:cs="Times New Roman"/>
      <w:b/>
      <w:bCs/>
      <w:color w:val="5B9BD5" w:themeColor="accent1"/>
      <w:sz w:val="40"/>
      <w:szCs w:val="40"/>
    </w:rPr>
  </w:style>
  <w:style w:type="character" w:customStyle="1" w:styleId="Heading3Char">
    <w:name w:val="Heading 3 Char"/>
    <w:basedOn w:val="DefaultParagraphFont"/>
    <w:link w:val="Heading3"/>
    <w:uiPriority w:val="9"/>
    <w:rsid w:val="002E0E5D"/>
    <w:rPr>
      <w:rFonts w:ascii="Arial" w:hAnsi="Arial" w:cs="Arial"/>
      <w:b/>
      <w:bCs/>
      <w:sz w:val="28"/>
      <w:szCs w:val="40"/>
    </w:rPr>
  </w:style>
  <w:style w:type="character" w:customStyle="1" w:styleId="Heading5Char">
    <w:name w:val="Heading 5 Char"/>
    <w:aliases w:val="Figure Headings Char"/>
    <w:basedOn w:val="DefaultParagraphFont"/>
    <w:link w:val="Heading5"/>
    <w:uiPriority w:val="9"/>
    <w:rsid w:val="002E0E5D"/>
    <w:rPr>
      <w:rFonts w:ascii="Times New Roman" w:hAnsi="Times New Roman" w:cs="Times New Roman"/>
      <w:b/>
      <w:bCs/>
      <w:color w:val="5B9BD5" w:themeColor="accent1"/>
      <w:sz w:val="20"/>
      <w:szCs w:val="18"/>
    </w:rPr>
  </w:style>
  <w:style w:type="table" w:customStyle="1" w:styleId="LightList-Accent11">
    <w:name w:val="Light List - Accent 11"/>
    <w:basedOn w:val="TableNormal"/>
    <w:uiPriority w:val="61"/>
    <w:rsid w:val="002E0E5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35"/>
    <w:semiHidden/>
    <w:unhideWhenUsed/>
    <w:qFormat/>
    <w:rsid w:val="002E0E5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432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03B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3B6C"/>
    <w:rPr>
      <w:sz w:val="18"/>
      <w:szCs w:val="18"/>
    </w:rPr>
  </w:style>
  <w:style w:type="paragraph" w:styleId="Footer">
    <w:name w:val="footer"/>
    <w:basedOn w:val="Normal"/>
    <w:link w:val="FooterChar"/>
    <w:uiPriority w:val="99"/>
    <w:unhideWhenUsed/>
    <w:rsid w:val="00D03B6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3B6C"/>
    <w:rPr>
      <w:sz w:val="18"/>
      <w:szCs w:val="18"/>
    </w:rPr>
  </w:style>
  <w:style w:type="character" w:styleId="CommentReference">
    <w:name w:val="annotation reference"/>
    <w:basedOn w:val="DefaultParagraphFont"/>
    <w:unhideWhenUsed/>
    <w:rsid w:val="00E103F9"/>
    <w:rPr>
      <w:sz w:val="21"/>
      <w:szCs w:val="21"/>
    </w:rPr>
  </w:style>
  <w:style w:type="paragraph" w:styleId="CommentText">
    <w:name w:val="annotation text"/>
    <w:basedOn w:val="Normal"/>
    <w:link w:val="CommentTextChar"/>
    <w:unhideWhenUsed/>
    <w:rsid w:val="00E103F9"/>
  </w:style>
  <w:style w:type="character" w:customStyle="1" w:styleId="CommentTextChar">
    <w:name w:val="Comment Text Char"/>
    <w:basedOn w:val="DefaultParagraphFont"/>
    <w:link w:val="CommentText"/>
    <w:rsid w:val="00E103F9"/>
  </w:style>
  <w:style w:type="paragraph" w:styleId="CommentSubject">
    <w:name w:val="annotation subject"/>
    <w:basedOn w:val="CommentText"/>
    <w:next w:val="CommentText"/>
    <w:link w:val="CommentSubjectChar"/>
    <w:uiPriority w:val="99"/>
    <w:semiHidden/>
    <w:unhideWhenUsed/>
    <w:rsid w:val="00E103F9"/>
    <w:rPr>
      <w:b/>
      <w:bCs/>
    </w:rPr>
  </w:style>
  <w:style w:type="character" w:customStyle="1" w:styleId="CommentSubjectChar">
    <w:name w:val="Comment Subject Char"/>
    <w:basedOn w:val="CommentTextChar"/>
    <w:link w:val="CommentSubject"/>
    <w:uiPriority w:val="99"/>
    <w:semiHidden/>
    <w:rsid w:val="00E103F9"/>
    <w:rPr>
      <w:b/>
      <w:bCs/>
    </w:rPr>
  </w:style>
  <w:style w:type="paragraph" w:styleId="BalloonText">
    <w:name w:val="Balloon Text"/>
    <w:basedOn w:val="Normal"/>
    <w:link w:val="BalloonTextChar"/>
    <w:uiPriority w:val="99"/>
    <w:semiHidden/>
    <w:unhideWhenUsed/>
    <w:rsid w:val="00E103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03F9"/>
    <w:rPr>
      <w:sz w:val="18"/>
      <w:szCs w:val="18"/>
    </w:rPr>
  </w:style>
  <w:style w:type="paragraph" w:styleId="NormalWeb">
    <w:name w:val="Normal (Web)"/>
    <w:basedOn w:val="Normal"/>
    <w:uiPriority w:val="99"/>
    <w:unhideWhenUsed/>
    <w:rsid w:val="00E103F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103F9"/>
    <w:rPr>
      <w:b/>
      <w:bCs/>
    </w:rPr>
  </w:style>
  <w:style w:type="character" w:styleId="Hyperlink">
    <w:name w:val="Hyperlink"/>
    <w:rsid w:val="00E103F9"/>
    <w:rPr>
      <w:color w:val="0000FF"/>
      <w:u w:val="single"/>
    </w:rPr>
  </w:style>
  <w:style w:type="character" w:styleId="Emphasis">
    <w:name w:val="Emphasis"/>
    <w:qFormat/>
    <w:rsid w:val="002D44B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0E5D"/>
    <w:pPr>
      <w:spacing w:after="0" w:line="276" w:lineRule="auto"/>
      <w:outlineLvl w:val="1"/>
    </w:pPr>
    <w:rPr>
      <w:rFonts w:ascii="Times New Roman" w:hAnsi="Times New Roman" w:cs="Times New Roman"/>
      <w:b/>
      <w:bCs/>
      <w:color w:val="5B9BD5" w:themeColor="accent1"/>
      <w:sz w:val="40"/>
      <w:szCs w:val="40"/>
    </w:rPr>
  </w:style>
  <w:style w:type="paragraph" w:styleId="Heading3">
    <w:name w:val="heading 3"/>
    <w:basedOn w:val="Heading2"/>
    <w:next w:val="Normal"/>
    <w:link w:val="Heading3Char"/>
    <w:uiPriority w:val="9"/>
    <w:unhideWhenUsed/>
    <w:qFormat/>
    <w:rsid w:val="002E0E5D"/>
    <w:pPr>
      <w:outlineLvl w:val="2"/>
    </w:pPr>
    <w:rPr>
      <w:rFonts w:ascii="Arial" w:hAnsi="Arial" w:cs="Arial"/>
      <w:color w:val="auto"/>
      <w:sz w:val="28"/>
    </w:rPr>
  </w:style>
  <w:style w:type="paragraph" w:styleId="Heading5">
    <w:name w:val="heading 5"/>
    <w:aliases w:val="Figure Headings"/>
    <w:basedOn w:val="Caption"/>
    <w:next w:val="Normal"/>
    <w:link w:val="Heading5Char"/>
    <w:uiPriority w:val="9"/>
    <w:unhideWhenUsed/>
    <w:qFormat/>
    <w:rsid w:val="002E0E5D"/>
    <w:pPr>
      <w:spacing w:line="360" w:lineRule="auto"/>
      <w:outlineLvl w:val="4"/>
    </w:pPr>
    <w:rPr>
      <w:rFonts w:ascii="Times New Roman" w:hAnsi="Times New Roman" w:cs="Times New Roman"/>
      <w:b/>
      <w:bCs/>
      <w:i w:val="0"/>
      <w:iCs w:val="0"/>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BE"/>
    <w:pPr>
      <w:ind w:left="720"/>
      <w:contextualSpacing/>
    </w:pPr>
  </w:style>
  <w:style w:type="character" w:customStyle="1" w:styleId="Heading2Char">
    <w:name w:val="Heading 2 Char"/>
    <w:basedOn w:val="DefaultParagraphFont"/>
    <w:link w:val="Heading2"/>
    <w:uiPriority w:val="9"/>
    <w:rsid w:val="002E0E5D"/>
    <w:rPr>
      <w:rFonts w:ascii="Times New Roman" w:hAnsi="Times New Roman" w:cs="Times New Roman"/>
      <w:b/>
      <w:bCs/>
      <w:color w:val="5B9BD5" w:themeColor="accent1"/>
      <w:sz w:val="40"/>
      <w:szCs w:val="40"/>
    </w:rPr>
  </w:style>
  <w:style w:type="character" w:customStyle="1" w:styleId="Heading3Char">
    <w:name w:val="Heading 3 Char"/>
    <w:basedOn w:val="DefaultParagraphFont"/>
    <w:link w:val="Heading3"/>
    <w:uiPriority w:val="9"/>
    <w:rsid w:val="002E0E5D"/>
    <w:rPr>
      <w:rFonts w:ascii="Arial" w:hAnsi="Arial" w:cs="Arial"/>
      <w:b/>
      <w:bCs/>
      <w:sz w:val="28"/>
      <w:szCs w:val="40"/>
    </w:rPr>
  </w:style>
  <w:style w:type="character" w:customStyle="1" w:styleId="Heading5Char">
    <w:name w:val="Heading 5 Char"/>
    <w:aliases w:val="Figure Headings Char"/>
    <w:basedOn w:val="DefaultParagraphFont"/>
    <w:link w:val="Heading5"/>
    <w:uiPriority w:val="9"/>
    <w:rsid w:val="002E0E5D"/>
    <w:rPr>
      <w:rFonts w:ascii="Times New Roman" w:hAnsi="Times New Roman" w:cs="Times New Roman"/>
      <w:b/>
      <w:bCs/>
      <w:color w:val="5B9BD5" w:themeColor="accent1"/>
      <w:sz w:val="20"/>
      <w:szCs w:val="18"/>
    </w:rPr>
  </w:style>
  <w:style w:type="table" w:customStyle="1" w:styleId="LightList-Accent11">
    <w:name w:val="Light List - Accent 11"/>
    <w:basedOn w:val="TableNormal"/>
    <w:uiPriority w:val="61"/>
    <w:rsid w:val="002E0E5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Caption">
    <w:name w:val="caption"/>
    <w:basedOn w:val="Normal"/>
    <w:next w:val="Normal"/>
    <w:uiPriority w:val="35"/>
    <w:semiHidden/>
    <w:unhideWhenUsed/>
    <w:qFormat/>
    <w:rsid w:val="002E0E5D"/>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4321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03B6C"/>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03B6C"/>
    <w:rPr>
      <w:sz w:val="18"/>
      <w:szCs w:val="18"/>
    </w:rPr>
  </w:style>
  <w:style w:type="paragraph" w:styleId="Footer">
    <w:name w:val="footer"/>
    <w:basedOn w:val="Normal"/>
    <w:link w:val="FooterChar"/>
    <w:uiPriority w:val="99"/>
    <w:unhideWhenUsed/>
    <w:rsid w:val="00D03B6C"/>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03B6C"/>
    <w:rPr>
      <w:sz w:val="18"/>
      <w:szCs w:val="18"/>
    </w:rPr>
  </w:style>
  <w:style w:type="character" w:styleId="CommentReference">
    <w:name w:val="annotation reference"/>
    <w:basedOn w:val="DefaultParagraphFont"/>
    <w:unhideWhenUsed/>
    <w:rsid w:val="00E103F9"/>
    <w:rPr>
      <w:sz w:val="21"/>
      <w:szCs w:val="21"/>
    </w:rPr>
  </w:style>
  <w:style w:type="paragraph" w:styleId="CommentText">
    <w:name w:val="annotation text"/>
    <w:basedOn w:val="Normal"/>
    <w:link w:val="CommentTextChar"/>
    <w:unhideWhenUsed/>
    <w:rsid w:val="00E103F9"/>
  </w:style>
  <w:style w:type="character" w:customStyle="1" w:styleId="CommentTextChar">
    <w:name w:val="Comment Text Char"/>
    <w:basedOn w:val="DefaultParagraphFont"/>
    <w:link w:val="CommentText"/>
    <w:rsid w:val="00E103F9"/>
  </w:style>
  <w:style w:type="paragraph" w:styleId="CommentSubject">
    <w:name w:val="annotation subject"/>
    <w:basedOn w:val="CommentText"/>
    <w:next w:val="CommentText"/>
    <w:link w:val="CommentSubjectChar"/>
    <w:uiPriority w:val="99"/>
    <w:semiHidden/>
    <w:unhideWhenUsed/>
    <w:rsid w:val="00E103F9"/>
    <w:rPr>
      <w:b/>
      <w:bCs/>
    </w:rPr>
  </w:style>
  <w:style w:type="character" w:customStyle="1" w:styleId="CommentSubjectChar">
    <w:name w:val="Comment Subject Char"/>
    <w:basedOn w:val="CommentTextChar"/>
    <w:link w:val="CommentSubject"/>
    <w:uiPriority w:val="99"/>
    <w:semiHidden/>
    <w:rsid w:val="00E103F9"/>
    <w:rPr>
      <w:b/>
      <w:bCs/>
    </w:rPr>
  </w:style>
  <w:style w:type="paragraph" w:styleId="BalloonText">
    <w:name w:val="Balloon Text"/>
    <w:basedOn w:val="Normal"/>
    <w:link w:val="BalloonTextChar"/>
    <w:uiPriority w:val="99"/>
    <w:semiHidden/>
    <w:unhideWhenUsed/>
    <w:rsid w:val="00E103F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03F9"/>
    <w:rPr>
      <w:sz w:val="18"/>
      <w:szCs w:val="18"/>
    </w:rPr>
  </w:style>
  <w:style w:type="paragraph" w:styleId="NormalWeb">
    <w:name w:val="Normal (Web)"/>
    <w:basedOn w:val="Normal"/>
    <w:uiPriority w:val="99"/>
    <w:unhideWhenUsed/>
    <w:rsid w:val="00E103F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103F9"/>
    <w:rPr>
      <w:b/>
      <w:bCs/>
    </w:rPr>
  </w:style>
  <w:style w:type="character" w:styleId="Hyperlink">
    <w:name w:val="Hyperlink"/>
    <w:rsid w:val="00E103F9"/>
    <w:rPr>
      <w:color w:val="0000FF"/>
      <w:u w:val="single"/>
    </w:rPr>
  </w:style>
  <w:style w:type="character" w:styleId="Emphasis">
    <w:name w:val="Emphasis"/>
    <w:qFormat/>
    <w:rsid w:val="002D44B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488">
      <w:bodyDiv w:val="1"/>
      <w:marLeft w:val="0"/>
      <w:marRight w:val="0"/>
      <w:marTop w:val="0"/>
      <w:marBottom w:val="0"/>
      <w:divBdr>
        <w:top w:val="none" w:sz="0" w:space="0" w:color="auto"/>
        <w:left w:val="none" w:sz="0" w:space="0" w:color="auto"/>
        <w:bottom w:val="none" w:sz="0" w:space="0" w:color="auto"/>
        <w:right w:val="none" w:sz="0" w:space="0" w:color="auto"/>
      </w:divBdr>
    </w:div>
    <w:div w:id="103042239">
      <w:bodyDiv w:val="1"/>
      <w:marLeft w:val="0"/>
      <w:marRight w:val="0"/>
      <w:marTop w:val="0"/>
      <w:marBottom w:val="0"/>
      <w:divBdr>
        <w:top w:val="none" w:sz="0" w:space="0" w:color="auto"/>
        <w:left w:val="none" w:sz="0" w:space="0" w:color="auto"/>
        <w:bottom w:val="none" w:sz="0" w:space="0" w:color="auto"/>
        <w:right w:val="none" w:sz="0" w:space="0" w:color="auto"/>
      </w:divBdr>
    </w:div>
    <w:div w:id="186720914">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343673903">
      <w:bodyDiv w:val="1"/>
      <w:marLeft w:val="0"/>
      <w:marRight w:val="0"/>
      <w:marTop w:val="0"/>
      <w:marBottom w:val="0"/>
      <w:divBdr>
        <w:top w:val="none" w:sz="0" w:space="0" w:color="auto"/>
        <w:left w:val="none" w:sz="0" w:space="0" w:color="auto"/>
        <w:bottom w:val="none" w:sz="0" w:space="0" w:color="auto"/>
        <w:right w:val="none" w:sz="0" w:space="0" w:color="auto"/>
      </w:divBdr>
      <w:divsChild>
        <w:div w:id="1835611593">
          <w:marLeft w:val="0"/>
          <w:marRight w:val="0"/>
          <w:marTop w:val="34"/>
          <w:marBottom w:val="34"/>
          <w:divBdr>
            <w:top w:val="none" w:sz="0" w:space="0" w:color="auto"/>
            <w:left w:val="none" w:sz="0" w:space="0" w:color="auto"/>
            <w:bottom w:val="none" w:sz="0" w:space="0" w:color="auto"/>
            <w:right w:val="none" w:sz="0" w:space="0" w:color="auto"/>
          </w:divBdr>
        </w:div>
        <w:div w:id="2082099937">
          <w:marLeft w:val="0"/>
          <w:marRight w:val="0"/>
          <w:marTop w:val="0"/>
          <w:marBottom w:val="0"/>
          <w:divBdr>
            <w:top w:val="none" w:sz="0" w:space="0" w:color="auto"/>
            <w:left w:val="none" w:sz="0" w:space="0" w:color="auto"/>
            <w:bottom w:val="none" w:sz="0" w:space="0" w:color="auto"/>
            <w:right w:val="none" w:sz="0" w:space="0" w:color="auto"/>
          </w:divBdr>
        </w:div>
      </w:divsChild>
    </w:div>
    <w:div w:id="353926546">
      <w:bodyDiv w:val="1"/>
      <w:marLeft w:val="0"/>
      <w:marRight w:val="0"/>
      <w:marTop w:val="0"/>
      <w:marBottom w:val="0"/>
      <w:divBdr>
        <w:top w:val="none" w:sz="0" w:space="0" w:color="auto"/>
        <w:left w:val="none" w:sz="0" w:space="0" w:color="auto"/>
        <w:bottom w:val="none" w:sz="0" w:space="0" w:color="auto"/>
        <w:right w:val="none" w:sz="0" w:space="0" w:color="auto"/>
      </w:divBdr>
    </w:div>
    <w:div w:id="355352671">
      <w:bodyDiv w:val="1"/>
      <w:marLeft w:val="0"/>
      <w:marRight w:val="0"/>
      <w:marTop w:val="0"/>
      <w:marBottom w:val="0"/>
      <w:divBdr>
        <w:top w:val="none" w:sz="0" w:space="0" w:color="auto"/>
        <w:left w:val="none" w:sz="0" w:space="0" w:color="auto"/>
        <w:bottom w:val="none" w:sz="0" w:space="0" w:color="auto"/>
        <w:right w:val="none" w:sz="0" w:space="0" w:color="auto"/>
      </w:divBdr>
    </w:div>
    <w:div w:id="373895531">
      <w:bodyDiv w:val="1"/>
      <w:marLeft w:val="0"/>
      <w:marRight w:val="0"/>
      <w:marTop w:val="0"/>
      <w:marBottom w:val="0"/>
      <w:divBdr>
        <w:top w:val="none" w:sz="0" w:space="0" w:color="auto"/>
        <w:left w:val="none" w:sz="0" w:space="0" w:color="auto"/>
        <w:bottom w:val="none" w:sz="0" w:space="0" w:color="auto"/>
        <w:right w:val="none" w:sz="0" w:space="0" w:color="auto"/>
      </w:divBdr>
    </w:div>
    <w:div w:id="439643849">
      <w:bodyDiv w:val="1"/>
      <w:marLeft w:val="0"/>
      <w:marRight w:val="0"/>
      <w:marTop w:val="0"/>
      <w:marBottom w:val="0"/>
      <w:divBdr>
        <w:top w:val="none" w:sz="0" w:space="0" w:color="auto"/>
        <w:left w:val="none" w:sz="0" w:space="0" w:color="auto"/>
        <w:bottom w:val="none" w:sz="0" w:space="0" w:color="auto"/>
        <w:right w:val="none" w:sz="0" w:space="0" w:color="auto"/>
      </w:divBdr>
    </w:div>
    <w:div w:id="512230314">
      <w:bodyDiv w:val="1"/>
      <w:marLeft w:val="0"/>
      <w:marRight w:val="0"/>
      <w:marTop w:val="0"/>
      <w:marBottom w:val="0"/>
      <w:divBdr>
        <w:top w:val="none" w:sz="0" w:space="0" w:color="auto"/>
        <w:left w:val="none" w:sz="0" w:space="0" w:color="auto"/>
        <w:bottom w:val="none" w:sz="0" w:space="0" w:color="auto"/>
        <w:right w:val="none" w:sz="0" w:space="0" w:color="auto"/>
      </w:divBdr>
    </w:div>
    <w:div w:id="539241187">
      <w:bodyDiv w:val="1"/>
      <w:marLeft w:val="0"/>
      <w:marRight w:val="0"/>
      <w:marTop w:val="0"/>
      <w:marBottom w:val="0"/>
      <w:divBdr>
        <w:top w:val="none" w:sz="0" w:space="0" w:color="auto"/>
        <w:left w:val="none" w:sz="0" w:space="0" w:color="auto"/>
        <w:bottom w:val="none" w:sz="0" w:space="0" w:color="auto"/>
        <w:right w:val="none" w:sz="0" w:space="0" w:color="auto"/>
      </w:divBdr>
    </w:div>
    <w:div w:id="645083517">
      <w:bodyDiv w:val="1"/>
      <w:marLeft w:val="0"/>
      <w:marRight w:val="0"/>
      <w:marTop w:val="0"/>
      <w:marBottom w:val="0"/>
      <w:divBdr>
        <w:top w:val="none" w:sz="0" w:space="0" w:color="auto"/>
        <w:left w:val="none" w:sz="0" w:space="0" w:color="auto"/>
        <w:bottom w:val="none" w:sz="0" w:space="0" w:color="auto"/>
        <w:right w:val="none" w:sz="0" w:space="0" w:color="auto"/>
      </w:divBdr>
    </w:div>
    <w:div w:id="748580537">
      <w:bodyDiv w:val="1"/>
      <w:marLeft w:val="0"/>
      <w:marRight w:val="0"/>
      <w:marTop w:val="0"/>
      <w:marBottom w:val="0"/>
      <w:divBdr>
        <w:top w:val="none" w:sz="0" w:space="0" w:color="auto"/>
        <w:left w:val="none" w:sz="0" w:space="0" w:color="auto"/>
        <w:bottom w:val="none" w:sz="0" w:space="0" w:color="auto"/>
        <w:right w:val="none" w:sz="0" w:space="0" w:color="auto"/>
      </w:divBdr>
    </w:div>
    <w:div w:id="899561866">
      <w:bodyDiv w:val="1"/>
      <w:marLeft w:val="0"/>
      <w:marRight w:val="0"/>
      <w:marTop w:val="0"/>
      <w:marBottom w:val="0"/>
      <w:divBdr>
        <w:top w:val="none" w:sz="0" w:space="0" w:color="auto"/>
        <w:left w:val="none" w:sz="0" w:space="0" w:color="auto"/>
        <w:bottom w:val="none" w:sz="0" w:space="0" w:color="auto"/>
        <w:right w:val="none" w:sz="0" w:space="0" w:color="auto"/>
      </w:divBdr>
    </w:div>
    <w:div w:id="993488434">
      <w:bodyDiv w:val="1"/>
      <w:marLeft w:val="0"/>
      <w:marRight w:val="0"/>
      <w:marTop w:val="0"/>
      <w:marBottom w:val="0"/>
      <w:divBdr>
        <w:top w:val="none" w:sz="0" w:space="0" w:color="auto"/>
        <w:left w:val="none" w:sz="0" w:space="0" w:color="auto"/>
        <w:bottom w:val="none" w:sz="0" w:space="0" w:color="auto"/>
        <w:right w:val="none" w:sz="0" w:space="0" w:color="auto"/>
      </w:divBdr>
    </w:div>
    <w:div w:id="1014723530">
      <w:bodyDiv w:val="1"/>
      <w:marLeft w:val="0"/>
      <w:marRight w:val="0"/>
      <w:marTop w:val="0"/>
      <w:marBottom w:val="0"/>
      <w:divBdr>
        <w:top w:val="none" w:sz="0" w:space="0" w:color="auto"/>
        <w:left w:val="none" w:sz="0" w:space="0" w:color="auto"/>
        <w:bottom w:val="none" w:sz="0" w:space="0" w:color="auto"/>
        <w:right w:val="none" w:sz="0" w:space="0" w:color="auto"/>
      </w:divBdr>
    </w:div>
    <w:div w:id="1062143621">
      <w:bodyDiv w:val="1"/>
      <w:marLeft w:val="0"/>
      <w:marRight w:val="0"/>
      <w:marTop w:val="0"/>
      <w:marBottom w:val="0"/>
      <w:divBdr>
        <w:top w:val="none" w:sz="0" w:space="0" w:color="auto"/>
        <w:left w:val="none" w:sz="0" w:space="0" w:color="auto"/>
        <w:bottom w:val="none" w:sz="0" w:space="0" w:color="auto"/>
        <w:right w:val="none" w:sz="0" w:space="0" w:color="auto"/>
      </w:divBdr>
    </w:div>
    <w:div w:id="1062752550">
      <w:bodyDiv w:val="1"/>
      <w:marLeft w:val="0"/>
      <w:marRight w:val="0"/>
      <w:marTop w:val="0"/>
      <w:marBottom w:val="0"/>
      <w:divBdr>
        <w:top w:val="none" w:sz="0" w:space="0" w:color="auto"/>
        <w:left w:val="none" w:sz="0" w:space="0" w:color="auto"/>
        <w:bottom w:val="none" w:sz="0" w:space="0" w:color="auto"/>
        <w:right w:val="none" w:sz="0" w:space="0" w:color="auto"/>
      </w:divBdr>
      <w:divsChild>
        <w:div w:id="1819833924">
          <w:marLeft w:val="0"/>
          <w:marRight w:val="0"/>
          <w:marTop w:val="34"/>
          <w:marBottom w:val="34"/>
          <w:divBdr>
            <w:top w:val="none" w:sz="0" w:space="0" w:color="auto"/>
            <w:left w:val="none" w:sz="0" w:space="0" w:color="auto"/>
            <w:bottom w:val="none" w:sz="0" w:space="0" w:color="auto"/>
            <w:right w:val="none" w:sz="0" w:space="0" w:color="auto"/>
          </w:divBdr>
        </w:div>
      </w:divsChild>
    </w:div>
    <w:div w:id="1230847960">
      <w:bodyDiv w:val="1"/>
      <w:marLeft w:val="0"/>
      <w:marRight w:val="0"/>
      <w:marTop w:val="0"/>
      <w:marBottom w:val="0"/>
      <w:divBdr>
        <w:top w:val="none" w:sz="0" w:space="0" w:color="auto"/>
        <w:left w:val="none" w:sz="0" w:space="0" w:color="auto"/>
        <w:bottom w:val="none" w:sz="0" w:space="0" w:color="auto"/>
        <w:right w:val="none" w:sz="0" w:space="0" w:color="auto"/>
      </w:divBdr>
    </w:div>
    <w:div w:id="1285503116">
      <w:bodyDiv w:val="1"/>
      <w:marLeft w:val="0"/>
      <w:marRight w:val="0"/>
      <w:marTop w:val="0"/>
      <w:marBottom w:val="0"/>
      <w:divBdr>
        <w:top w:val="none" w:sz="0" w:space="0" w:color="auto"/>
        <w:left w:val="none" w:sz="0" w:space="0" w:color="auto"/>
        <w:bottom w:val="none" w:sz="0" w:space="0" w:color="auto"/>
        <w:right w:val="none" w:sz="0" w:space="0" w:color="auto"/>
      </w:divBdr>
    </w:div>
    <w:div w:id="1311523556">
      <w:bodyDiv w:val="1"/>
      <w:marLeft w:val="0"/>
      <w:marRight w:val="0"/>
      <w:marTop w:val="0"/>
      <w:marBottom w:val="0"/>
      <w:divBdr>
        <w:top w:val="none" w:sz="0" w:space="0" w:color="auto"/>
        <w:left w:val="none" w:sz="0" w:space="0" w:color="auto"/>
        <w:bottom w:val="none" w:sz="0" w:space="0" w:color="auto"/>
        <w:right w:val="none" w:sz="0" w:space="0" w:color="auto"/>
      </w:divBdr>
    </w:div>
    <w:div w:id="1362634935">
      <w:bodyDiv w:val="1"/>
      <w:marLeft w:val="0"/>
      <w:marRight w:val="0"/>
      <w:marTop w:val="0"/>
      <w:marBottom w:val="0"/>
      <w:divBdr>
        <w:top w:val="none" w:sz="0" w:space="0" w:color="auto"/>
        <w:left w:val="none" w:sz="0" w:space="0" w:color="auto"/>
        <w:bottom w:val="none" w:sz="0" w:space="0" w:color="auto"/>
        <w:right w:val="none" w:sz="0" w:space="0" w:color="auto"/>
      </w:divBdr>
    </w:div>
    <w:div w:id="1392312760">
      <w:bodyDiv w:val="1"/>
      <w:marLeft w:val="0"/>
      <w:marRight w:val="0"/>
      <w:marTop w:val="0"/>
      <w:marBottom w:val="0"/>
      <w:divBdr>
        <w:top w:val="none" w:sz="0" w:space="0" w:color="auto"/>
        <w:left w:val="none" w:sz="0" w:space="0" w:color="auto"/>
        <w:bottom w:val="none" w:sz="0" w:space="0" w:color="auto"/>
        <w:right w:val="none" w:sz="0" w:space="0" w:color="auto"/>
      </w:divBdr>
    </w:div>
    <w:div w:id="1494838729">
      <w:bodyDiv w:val="1"/>
      <w:marLeft w:val="0"/>
      <w:marRight w:val="0"/>
      <w:marTop w:val="0"/>
      <w:marBottom w:val="0"/>
      <w:divBdr>
        <w:top w:val="none" w:sz="0" w:space="0" w:color="auto"/>
        <w:left w:val="none" w:sz="0" w:space="0" w:color="auto"/>
        <w:bottom w:val="none" w:sz="0" w:space="0" w:color="auto"/>
        <w:right w:val="none" w:sz="0" w:space="0" w:color="auto"/>
      </w:divBdr>
    </w:div>
    <w:div w:id="1518500381">
      <w:bodyDiv w:val="1"/>
      <w:marLeft w:val="0"/>
      <w:marRight w:val="0"/>
      <w:marTop w:val="0"/>
      <w:marBottom w:val="0"/>
      <w:divBdr>
        <w:top w:val="none" w:sz="0" w:space="0" w:color="auto"/>
        <w:left w:val="none" w:sz="0" w:space="0" w:color="auto"/>
        <w:bottom w:val="none" w:sz="0" w:space="0" w:color="auto"/>
        <w:right w:val="none" w:sz="0" w:space="0" w:color="auto"/>
      </w:divBdr>
    </w:div>
    <w:div w:id="1618635458">
      <w:bodyDiv w:val="1"/>
      <w:marLeft w:val="0"/>
      <w:marRight w:val="0"/>
      <w:marTop w:val="0"/>
      <w:marBottom w:val="0"/>
      <w:divBdr>
        <w:top w:val="none" w:sz="0" w:space="0" w:color="auto"/>
        <w:left w:val="none" w:sz="0" w:space="0" w:color="auto"/>
        <w:bottom w:val="none" w:sz="0" w:space="0" w:color="auto"/>
        <w:right w:val="none" w:sz="0" w:space="0" w:color="auto"/>
      </w:divBdr>
    </w:div>
    <w:div w:id="1633710573">
      <w:bodyDiv w:val="1"/>
      <w:marLeft w:val="0"/>
      <w:marRight w:val="0"/>
      <w:marTop w:val="0"/>
      <w:marBottom w:val="0"/>
      <w:divBdr>
        <w:top w:val="none" w:sz="0" w:space="0" w:color="auto"/>
        <w:left w:val="none" w:sz="0" w:space="0" w:color="auto"/>
        <w:bottom w:val="none" w:sz="0" w:space="0" w:color="auto"/>
        <w:right w:val="none" w:sz="0" w:space="0" w:color="auto"/>
      </w:divBdr>
    </w:div>
    <w:div w:id="1659992821">
      <w:bodyDiv w:val="1"/>
      <w:marLeft w:val="0"/>
      <w:marRight w:val="0"/>
      <w:marTop w:val="0"/>
      <w:marBottom w:val="0"/>
      <w:divBdr>
        <w:top w:val="none" w:sz="0" w:space="0" w:color="auto"/>
        <w:left w:val="none" w:sz="0" w:space="0" w:color="auto"/>
        <w:bottom w:val="none" w:sz="0" w:space="0" w:color="auto"/>
        <w:right w:val="none" w:sz="0" w:space="0" w:color="auto"/>
      </w:divBdr>
    </w:div>
    <w:div w:id="1761024779">
      <w:bodyDiv w:val="1"/>
      <w:marLeft w:val="0"/>
      <w:marRight w:val="0"/>
      <w:marTop w:val="0"/>
      <w:marBottom w:val="0"/>
      <w:divBdr>
        <w:top w:val="none" w:sz="0" w:space="0" w:color="auto"/>
        <w:left w:val="none" w:sz="0" w:space="0" w:color="auto"/>
        <w:bottom w:val="none" w:sz="0" w:space="0" w:color="auto"/>
        <w:right w:val="none" w:sz="0" w:space="0" w:color="auto"/>
      </w:divBdr>
    </w:div>
    <w:div w:id="1860116489">
      <w:bodyDiv w:val="1"/>
      <w:marLeft w:val="0"/>
      <w:marRight w:val="0"/>
      <w:marTop w:val="0"/>
      <w:marBottom w:val="0"/>
      <w:divBdr>
        <w:top w:val="none" w:sz="0" w:space="0" w:color="auto"/>
        <w:left w:val="none" w:sz="0" w:space="0" w:color="auto"/>
        <w:bottom w:val="none" w:sz="0" w:space="0" w:color="auto"/>
        <w:right w:val="none" w:sz="0" w:space="0" w:color="auto"/>
      </w:divBdr>
    </w:div>
    <w:div w:id="1961373802">
      <w:bodyDiv w:val="1"/>
      <w:marLeft w:val="0"/>
      <w:marRight w:val="0"/>
      <w:marTop w:val="0"/>
      <w:marBottom w:val="0"/>
      <w:divBdr>
        <w:top w:val="none" w:sz="0" w:space="0" w:color="auto"/>
        <w:left w:val="none" w:sz="0" w:space="0" w:color="auto"/>
        <w:bottom w:val="none" w:sz="0" w:space="0" w:color="auto"/>
        <w:right w:val="none" w:sz="0" w:space="0" w:color="auto"/>
      </w:divBdr>
    </w:div>
    <w:div w:id="21251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6BD0-CD2E-DC46-9C80-74E60AD8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6826</Words>
  <Characters>38913</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RCH</Company>
  <LinksUpToDate>false</LinksUpToDate>
  <CharactersWithSpaces>45648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Safe</dc:creator>
  <cp:keywords/>
  <dc:description/>
  <cp:lastModifiedBy>Na Ma</cp:lastModifiedBy>
  <cp:revision>2</cp:revision>
  <dcterms:created xsi:type="dcterms:W3CDTF">2016-08-07T16:40:00Z</dcterms:created>
  <dcterms:modified xsi:type="dcterms:W3CDTF">2016-08-07T16:40:00Z</dcterms:modified>
</cp:coreProperties>
</file>