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9.xml" ContentType="application/vnd.openxmlformats-officedocument.drawingml.chartshapes+xml"/>
  <Override PartName="/word/charts/chart11.xml" ContentType="application/vnd.openxmlformats-officedocument.drawingml.chart+xml"/>
  <Override PartName="/word/drawings/drawing10.xml" ContentType="application/vnd.openxmlformats-officedocument.drawingml.chartshapes+xml"/>
  <Override PartName="/word/charts/chart12.xml" ContentType="application/vnd.openxmlformats-officedocument.drawingml.chart+xml"/>
  <Override PartName="/word/drawings/drawing1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F6" w:rsidRPr="00924A19" w:rsidRDefault="00A009F6" w:rsidP="0026366E">
      <w:pPr>
        <w:snapToGrid w:val="0"/>
        <w:spacing w:line="360" w:lineRule="auto"/>
        <w:jc w:val="both"/>
        <w:rPr>
          <w:rFonts w:ascii="Book Antiqua" w:hAnsi="Book Antiqua"/>
          <w:b/>
          <w:i/>
          <w:lang w:val="en-US"/>
        </w:rPr>
      </w:pPr>
      <w:r w:rsidRPr="00924A19">
        <w:rPr>
          <w:rFonts w:ascii="Book Antiqua" w:hAnsi="Book Antiqua"/>
          <w:b/>
          <w:lang w:val="en-US"/>
        </w:rPr>
        <w:t xml:space="preserve">Name of Journal: </w:t>
      </w:r>
      <w:r w:rsidRPr="00924A19">
        <w:rPr>
          <w:rFonts w:ascii="Book Antiqua" w:hAnsi="Book Antiqua"/>
          <w:b/>
          <w:i/>
          <w:lang w:val="en-US"/>
        </w:rPr>
        <w:t>World Journal of Gastroenterology</w:t>
      </w:r>
    </w:p>
    <w:p w:rsidR="0087765B" w:rsidRPr="00924A19" w:rsidRDefault="0087765B" w:rsidP="0026366E">
      <w:pPr>
        <w:snapToGrid w:val="0"/>
        <w:spacing w:line="360" w:lineRule="auto"/>
        <w:jc w:val="both"/>
        <w:rPr>
          <w:rFonts w:ascii="Book Antiqua" w:hAnsi="Book Antiqua"/>
          <w:b/>
          <w:lang w:val="en-US"/>
        </w:rPr>
      </w:pPr>
      <w:r w:rsidRPr="00924A19">
        <w:rPr>
          <w:rFonts w:ascii="Book Antiqua" w:hAnsi="Book Antiqua"/>
          <w:b/>
          <w:lang w:val="en-US"/>
        </w:rPr>
        <w:t>ESPS Manuscript No: 26551</w:t>
      </w:r>
    </w:p>
    <w:p w:rsidR="00A009F6" w:rsidRPr="00924A19" w:rsidRDefault="00A009F6" w:rsidP="0026366E">
      <w:pPr>
        <w:snapToGrid w:val="0"/>
        <w:spacing w:line="360" w:lineRule="auto"/>
        <w:jc w:val="both"/>
        <w:rPr>
          <w:rFonts w:ascii="Book Antiqua" w:hAnsi="Book Antiqua"/>
          <w:b/>
          <w:lang w:val="en-US"/>
        </w:rPr>
      </w:pPr>
      <w:r w:rsidRPr="00924A19">
        <w:rPr>
          <w:rFonts w:ascii="Book Antiqua" w:hAnsi="Book Antiqua"/>
          <w:b/>
          <w:lang w:val="en-US"/>
        </w:rPr>
        <w:t>Manuscript Type</w:t>
      </w:r>
      <w:r w:rsidRPr="00924A19">
        <w:rPr>
          <w:rFonts w:ascii="Book Antiqua" w:hAnsi="Book Antiqua"/>
          <w:b/>
          <w:i/>
          <w:lang w:val="en-US"/>
        </w:rPr>
        <w:t xml:space="preserve">: </w:t>
      </w:r>
      <w:r w:rsidR="005A0526" w:rsidRPr="00924A19">
        <w:rPr>
          <w:rFonts w:ascii="Book Antiqua" w:hAnsi="Book Antiqua"/>
          <w:b/>
          <w:lang w:val="en-US"/>
        </w:rPr>
        <w:t>SYSTEMATIC REVIEW</w:t>
      </w:r>
    </w:p>
    <w:p w:rsidR="00A009F6" w:rsidRPr="00924A19" w:rsidRDefault="00A009F6" w:rsidP="0026366E">
      <w:pPr>
        <w:snapToGrid w:val="0"/>
        <w:spacing w:line="360" w:lineRule="auto"/>
        <w:jc w:val="both"/>
        <w:rPr>
          <w:rFonts w:ascii="Book Antiqua" w:hAnsi="Book Antiqua"/>
          <w:b/>
          <w:lang w:val="en-US"/>
        </w:rPr>
      </w:pPr>
    </w:p>
    <w:p w:rsidR="00F622F9" w:rsidRPr="00924A19" w:rsidRDefault="007E76CB" w:rsidP="0026366E">
      <w:pPr>
        <w:snapToGrid w:val="0"/>
        <w:spacing w:line="360" w:lineRule="auto"/>
        <w:jc w:val="both"/>
        <w:rPr>
          <w:rFonts w:ascii="Book Antiqua" w:hAnsi="Book Antiqua"/>
          <w:b/>
          <w:lang w:val="en-US"/>
        </w:rPr>
      </w:pPr>
      <w:r w:rsidRPr="00924A19">
        <w:rPr>
          <w:rFonts w:ascii="Book Antiqua" w:hAnsi="Book Antiqua"/>
          <w:b/>
          <w:lang w:val="en-US"/>
        </w:rPr>
        <w:t xml:space="preserve">Global epidemiology of </w:t>
      </w:r>
      <w:r w:rsidR="00785507" w:rsidRPr="00924A19">
        <w:rPr>
          <w:rFonts w:ascii="Book Antiqua" w:hAnsi="Book Antiqua"/>
          <w:b/>
          <w:lang w:val="en-US"/>
        </w:rPr>
        <w:t>h</w:t>
      </w:r>
      <w:r w:rsidR="00F622F9" w:rsidRPr="00924A19">
        <w:rPr>
          <w:rFonts w:ascii="Book Antiqua" w:hAnsi="Book Antiqua"/>
          <w:b/>
          <w:lang w:val="en-US"/>
        </w:rPr>
        <w:t xml:space="preserve">epatitis C </w:t>
      </w:r>
      <w:r w:rsidR="00785507" w:rsidRPr="00924A19">
        <w:rPr>
          <w:rFonts w:ascii="Book Antiqua" w:hAnsi="Book Antiqua"/>
          <w:b/>
          <w:lang w:val="en-US"/>
        </w:rPr>
        <w:t>v</w:t>
      </w:r>
      <w:r w:rsidR="00F622F9" w:rsidRPr="00924A19">
        <w:rPr>
          <w:rFonts w:ascii="Book Antiqua" w:hAnsi="Book Antiqua"/>
          <w:b/>
          <w:lang w:val="en-US"/>
        </w:rPr>
        <w:t>irus</w:t>
      </w:r>
      <w:r w:rsidR="00CF613A" w:rsidRPr="00924A19">
        <w:rPr>
          <w:rFonts w:ascii="Book Antiqua" w:hAnsi="Book Antiqua" w:hint="eastAsia"/>
          <w:b/>
          <w:lang w:val="en-US"/>
        </w:rPr>
        <w:t xml:space="preserve"> </w:t>
      </w:r>
      <w:r w:rsidR="00F622F9" w:rsidRPr="00924A19">
        <w:rPr>
          <w:rFonts w:ascii="Book Antiqua" w:hAnsi="Book Antiqua"/>
          <w:b/>
          <w:lang w:val="en-US"/>
        </w:rPr>
        <w:t>infection:</w:t>
      </w:r>
      <w:r w:rsidR="006C324B" w:rsidRPr="00924A19">
        <w:rPr>
          <w:rFonts w:ascii="Book Antiqua" w:hAnsi="Book Antiqua"/>
          <w:b/>
          <w:lang w:val="en-US"/>
        </w:rPr>
        <w:t xml:space="preserve"> </w:t>
      </w:r>
      <w:r w:rsidR="006C324B" w:rsidRPr="00924A19">
        <w:rPr>
          <w:rFonts w:ascii="Book Antiqua" w:hAnsi="Book Antiqua"/>
          <w:b/>
          <w:caps/>
          <w:lang w:val="en-US"/>
        </w:rPr>
        <w:t>a</w:t>
      </w:r>
      <w:r w:rsidR="006C324B" w:rsidRPr="00924A19">
        <w:rPr>
          <w:rFonts w:ascii="Book Antiqua" w:hAnsi="Book Antiqua"/>
          <w:b/>
          <w:lang w:val="en-US"/>
        </w:rPr>
        <w:t xml:space="preserve">n </w:t>
      </w:r>
      <w:r w:rsidR="00F622F9" w:rsidRPr="00924A19">
        <w:rPr>
          <w:rFonts w:ascii="Book Antiqua" w:hAnsi="Book Antiqua"/>
          <w:b/>
          <w:lang w:val="en-US"/>
        </w:rPr>
        <w:t xml:space="preserve">up-date of the </w:t>
      </w:r>
      <w:r w:rsidR="00277C97" w:rsidRPr="00924A19">
        <w:rPr>
          <w:rFonts w:ascii="Book Antiqua" w:hAnsi="Book Antiqua"/>
          <w:b/>
          <w:lang w:val="en-US"/>
        </w:rPr>
        <w:t xml:space="preserve">distribution and </w:t>
      </w:r>
      <w:r w:rsidR="00F622F9" w:rsidRPr="00924A19">
        <w:rPr>
          <w:rFonts w:ascii="Book Antiqua" w:hAnsi="Book Antiqua"/>
          <w:b/>
          <w:lang w:val="en-US"/>
        </w:rPr>
        <w:t xml:space="preserve">circulation of </w:t>
      </w:r>
      <w:r w:rsidR="00785507" w:rsidRPr="00924A19">
        <w:rPr>
          <w:rFonts w:ascii="Book Antiqua" w:hAnsi="Book Antiqua"/>
          <w:b/>
          <w:lang w:val="en-US"/>
        </w:rPr>
        <w:t xml:space="preserve">hepatitis C virus </w:t>
      </w:r>
      <w:r w:rsidR="00F622F9" w:rsidRPr="00924A19">
        <w:rPr>
          <w:rFonts w:ascii="Book Antiqua" w:hAnsi="Book Antiqua"/>
          <w:b/>
          <w:lang w:val="en-US"/>
        </w:rPr>
        <w:t>genotypes</w:t>
      </w:r>
    </w:p>
    <w:p w:rsidR="00A009F6" w:rsidRPr="00924A19" w:rsidRDefault="00A009F6" w:rsidP="0026366E">
      <w:pPr>
        <w:snapToGrid w:val="0"/>
        <w:spacing w:line="360" w:lineRule="auto"/>
        <w:jc w:val="both"/>
        <w:rPr>
          <w:rFonts w:ascii="Book Antiqua" w:hAnsi="Book Antiqua"/>
          <w:b/>
          <w:lang w:val="en-US"/>
        </w:rPr>
      </w:pPr>
    </w:p>
    <w:p w:rsidR="00F622F9" w:rsidRPr="00924A19" w:rsidRDefault="00A009F6" w:rsidP="0026366E">
      <w:pPr>
        <w:snapToGrid w:val="0"/>
        <w:spacing w:line="360" w:lineRule="auto"/>
        <w:jc w:val="both"/>
        <w:rPr>
          <w:rFonts w:ascii="Book Antiqua" w:hAnsi="Book Antiqua"/>
        </w:rPr>
      </w:pPr>
      <w:r w:rsidRPr="00924A19">
        <w:rPr>
          <w:rFonts w:ascii="Book Antiqua" w:hAnsi="Book Antiqua"/>
        </w:rPr>
        <w:t>Petruzziello A</w:t>
      </w:r>
      <w:r w:rsidRPr="00924A19">
        <w:rPr>
          <w:rFonts w:ascii="Book Antiqua" w:hAnsi="Book Antiqua"/>
          <w:i/>
        </w:rPr>
        <w:t xml:space="preserve"> et al</w:t>
      </w:r>
      <w:r w:rsidR="00785507" w:rsidRPr="00924A19">
        <w:rPr>
          <w:rFonts w:ascii="Book Antiqua" w:hAnsi="Book Antiqua"/>
        </w:rPr>
        <w:t>.</w:t>
      </w:r>
      <w:r w:rsidR="00F622F9" w:rsidRPr="00924A19">
        <w:rPr>
          <w:rFonts w:ascii="Book Antiqua" w:hAnsi="Book Antiqua"/>
        </w:rPr>
        <w:t xml:space="preserve"> HCV genotypes epidemiology</w:t>
      </w:r>
    </w:p>
    <w:p w:rsidR="00EB2357" w:rsidRPr="00924A19" w:rsidRDefault="00EB2357" w:rsidP="0026366E">
      <w:pPr>
        <w:snapToGrid w:val="0"/>
        <w:spacing w:line="360" w:lineRule="auto"/>
        <w:jc w:val="both"/>
        <w:rPr>
          <w:rFonts w:ascii="Book Antiqua" w:hAnsi="Book Antiqua"/>
        </w:rPr>
      </w:pPr>
    </w:p>
    <w:p w:rsidR="00DA68BF" w:rsidRPr="00924A19" w:rsidRDefault="00DA68BF" w:rsidP="0026366E">
      <w:pPr>
        <w:snapToGrid w:val="0"/>
        <w:spacing w:line="360" w:lineRule="auto"/>
        <w:jc w:val="both"/>
        <w:rPr>
          <w:rFonts w:ascii="Book Antiqua" w:hAnsi="Book Antiqua"/>
          <w:b/>
        </w:rPr>
      </w:pPr>
      <w:r w:rsidRPr="00924A19">
        <w:rPr>
          <w:rFonts w:ascii="Book Antiqua" w:hAnsi="Book Antiqua"/>
          <w:b/>
        </w:rPr>
        <w:t>Arnolfo Petruzziello</w:t>
      </w:r>
      <w:r w:rsidR="00433123" w:rsidRPr="00924A19">
        <w:rPr>
          <w:rFonts w:ascii="Book Antiqua" w:hAnsi="Book Antiqua"/>
          <w:b/>
        </w:rPr>
        <w:t>,</w:t>
      </w:r>
      <w:r w:rsidR="00946DF3">
        <w:rPr>
          <w:rFonts w:ascii="Book Antiqua" w:hAnsi="Book Antiqua" w:hint="eastAsia"/>
          <w:b/>
        </w:rPr>
        <w:t xml:space="preserve"> </w:t>
      </w:r>
      <w:r w:rsidR="00433123" w:rsidRPr="00924A19">
        <w:rPr>
          <w:rFonts w:ascii="Book Antiqua" w:hAnsi="Book Antiqua"/>
          <w:b/>
        </w:rPr>
        <w:t>Samantha Marigliano, Giovanna Loquercio, Anna Cozzolino,</w:t>
      </w:r>
      <w:r w:rsidR="00946DF3">
        <w:rPr>
          <w:rFonts w:ascii="Book Antiqua" w:hAnsi="Book Antiqua" w:hint="eastAsia"/>
          <w:b/>
        </w:rPr>
        <w:t xml:space="preserve"> </w:t>
      </w:r>
      <w:r w:rsidR="00433123" w:rsidRPr="00924A19">
        <w:rPr>
          <w:rFonts w:ascii="Book Antiqua" w:hAnsi="Book Antiqua"/>
          <w:b/>
        </w:rPr>
        <w:t>Carmela Cacciapuoti</w:t>
      </w:r>
    </w:p>
    <w:p w:rsidR="00971BC4" w:rsidRPr="00924A19" w:rsidRDefault="00971BC4" w:rsidP="0026366E">
      <w:pPr>
        <w:snapToGrid w:val="0"/>
        <w:spacing w:line="360" w:lineRule="auto"/>
        <w:jc w:val="both"/>
        <w:rPr>
          <w:rFonts w:ascii="Book Antiqua" w:hAnsi="Book Antiqua"/>
          <w:b/>
        </w:rPr>
      </w:pPr>
    </w:p>
    <w:p w:rsidR="00763567" w:rsidRPr="00924A19" w:rsidRDefault="00785507" w:rsidP="0026366E">
      <w:pPr>
        <w:snapToGrid w:val="0"/>
        <w:spacing w:line="360" w:lineRule="auto"/>
        <w:jc w:val="both"/>
        <w:rPr>
          <w:rFonts w:ascii="Book Antiqua" w:hAnsi="Book Antiqua"/>
          <w:b/>
        </w:rPr>
      </w:pPr>
      <w:r w:rsidRPr="00924A19">
        <w:rPr>
          <w:rFonts w:ascii="Book Antiqua" w:hAnsi="Book Antiqua"/>
          <w:b/>
        </w:rPr>
        <w:t xml:space="preserve">Arnolfo Petruzziello, Samantha Marigliano, Giovanna Loquercio, Anna Cozzolino, Carmela Cacciapuoti, </w:t>
      </w:r>
      <w:r w:rsidR="00763567" w:rsidRPr="00924A19">
        <w:rPr>
          <w:rFonts w:ascii="Book Antiqua" w:hAnsi="Book Antiqua"/>
        </w:rPr>
        <w:t>Laboratory of Virology and M</w:t>
      </w:r>
      <w:r w:rsidR="00A009F6" w:rsidRPr="00924A19">
        <w:rPr>
          <w:rFonts w:ascii="Book Antiqua" w:hAnsi="Book Antiqua"/>
        </w:rPr>
        <w:t>olecular Biology “V. Tridente”</w:t>
      </w:r>
      <w:r w:rsidR="00763567" w:rsidRPr="00924A19">
        <w:rPr>
          <w:rFonts w:ascii="Book Antiqua" w:hAnsi="Book Antiqua"/>
        </w:rPr>
        <w:t>, Istituto Nazionale T</w:t>
      </w:r>
      <w:r w:rsidRPr="00924A19">
        <w:rPr>
          <w:rFonts w:ascii="Book Antiqua" w:hAnsi="Book Antiqua"/>
        </w:rPr>
        <w:t>umori - Fondazione “G. Pascale”</w:t>
      </w:r>
      <w:r w:rsidR="00763567" w:rsidRPr="00924A19">
        <w:rPr>
          <w:rFonts w:ascii="Book Antiqua" w:hAnsi="Book Antiqua"/>
        </w:rPr>
        <w:t xml:space="preserve">, IRCCS, </w:t>
      </w:r>
      <w:r w:rsidRPr="00924A19">
        <w:rPr>
          <w:rFonts w:ascii="Book Antiqua" w:hAnsi="Book Antiqua"/>
        </w:rPr>
        <w:t xml:space="preserve">80131 </w:t>
      </w:r>
      <w:r w:rsidR="00763567" w:rsidRPr="00924A19">
        <w:rPr>
          <w:rFonts w:ascii="Book Antiqua" w:hAnsi="Book Antiqua"/>
        </w:rPr>
        <w:t>Naples, Italy</w:t>
      </w:r>
    </w:p>
    <w:p w:rsidR="00433123" w:rsidRPr="00924A19" w:rsidRDefault="00433123" w:rsidP="0026366E">
      <w:pPr>
        <w:autoSpaceDE w:val="0"/>
        <w:autoSpaceDN w:val="0"/>
        <w:adjustRightInd w:val="0"/>
        <w:snapToGrid w:val="0"/>
        <w:spacing w:line="360" w:lineRule="auto"/>
        <w:jc w:val="both"/>
        <w:rPr>
          <w:rFonts w:ascii="Book Antiqua" w:eastAsia="Times New Roman" w:hAnsi="Book Antiqua" w:cs="Tahoma"/>
          <w:lang w:eastAsia="it-IT"/>
        </w:rPr>
      </w:pPr>
    </w:p>
    <w:p w:rsidR="00433123" w:rsidRPr="00924A19" w:rsidRDefault="00433123" w:rsidP="0026366E">
      <w:pPr>
        <w:autoSpaceDE w:val="0"/>
        <w:autoSpaceDN w:val="0"/>
        <w:adjustRightInd w:val="0"/>
        <w:snapToGrid w:val="0"/>
        <w:spacing w:line="360" w:lineRule="auto"/>
        <w:jc w:val="both"/>
        <w:rPr>
          <w:rFonts w:ascii="Book Antiqua" w:eastAsia="Times New Roman" w:hAnsi="Book Antiqua" w:cs="TimesNewRomanPSMT"/>
          <w:lang w:val="en-US" w:eastAsia="it-IT"/>
        </w:rPr>
      </w:pPr>
      <w:r w:rsidRPr="00924A19">
        <w:rPr>
          <w:rFonts w:ascii="Book Antiqua" w:eastAsia="Times New Roman" w:hAnsi="Book Antiqua" w:cs="Tahoma"/>
          <w:b/>
          <w:lang w:val="en-US" w:eastAsia="it-IT"/>
        </w:rPr>
        <w:t>Author contributions</w:t>
      </w:r>
      <w:r w:rsidRPr="00924A19">
        <w:rPr>
          <w:rFonts w:ascii="Book Antiqua" w:eastAsia="Times New Roman" w:hAnsi="Book Antiqua" w:cs="Tahoma"/>
          <w:lang w:val="en-US" w:eastAsia="it-IT"/>
        </w:rPr>
        <w:t xml:space="preserve">: </w:t>
      </w:r>
      <w:r w:rsidRPr="00924A19">
        <w:rPr>
          <w:rFonts w:ascii="Book Antiqua" w:eastAsia="Times New Roman" w:hAnsi="Book Antiqua" w:cs="TimesNewRomanPSMT"/>
          <w:lang w:val="en-US" w:eastAsia="it-IT"/>
        </w:rPr>
        <w:t xml:space="preserve">Petruzziello A, Marigliano </w:t>
      </w:r>
      <w:r w:rsidR="009F0ED6" w:rsidRPr="00924A19">
        <w:rPr>
          <w:rFonts w:ascii="Book Antiqua" w:eastAsia="Times New Roman" w:hAnsi="Book Antiqua" w:cs="TimesNewRomanPSMT"/>
          <w:lang w:val="en-US" w:eastAsia="it-IT"/>
        </w:rPr>
        <w:t>S</w:t>
      </w:r>
      <w:r w:rsidRPr="00924A19">
        <w:rPr>
          <w:rFonts w:ascii="Book Antiqua" w:eastAsia="Times New Roman" w:hAnsi="Book Antiqua" w:cs="TimesNewRomanPSMT"/>
          <w:lang w:val="en-US" w:eastAsia="it-IT"/>
        </w:rPr>
        <w:t>, Loquercio G and Cozzolino A acquired the data; Petruzziello A drafted the article and contr</w:t>
      </w:r>
      <w:r w:rsidR="00266522" w:rsidRPr="00924A19">
        <w:rPr>
          <w:rFonts w:ascii="Book Antiqua" w:eastAsia="Times New Roman" w:hAnsi="Book Antiqua" w:cs="TimesNewRomanPSMT"/>
          <w:lang w:val="en-US" w:eastAsia="it-IT"/>
        </w:rPr>
        <w:t>ibuted to conception and design; Cacciapuoti C contributed to</w:t>
      </w:r>
      <w:r w:rsidRPr="00924A19">
        <w:rPr>
          <w:rFonts w:ascii="Book Antiqua" w:eastAsia="Times New Roman" w:hAnsi="Book Antiqua" w:cs="TimesNewRomanPSMT"/>
          <w:lang w:val="en-US" w:eastAsia="it-IT"/>
        </w:rPr>
        <w:t xml:space="preserve"> critical revision for important intellectual content; all authors approved the final version to be published.</w:t>
      </w:r>
    </w:p>
    <w:p w:rsidR="00ED2A1D" w:rsidRPr="00924A19" w:rsidRDefault="00ED2A1D" w:rsidP="0026366E">
      <w:pPr>
        <w:snapToGrid w:val="0"/>
        <w:spacing w:line="360" w:lineRule="auto"/>
        <w:jc w:val="both"/>
        <w:rPr>
          <w:rFonts w:ascii="Book Antiqua" w:hAnsi="Book Antiqua"/>
          <w:lang w:val="en-US"/>
        </w:rPr>
      </w:pPr>
    </w:p>
    <w:p w:rsidR="00A009F6" w:rsidRPr="00924A19" w:rsidRDefault="00A009F6" w:rsidP="0026366E">
      <w:pPr>
        <w:autoSpaceDE w:val="0"/>
        <w:autoSpaceDN w:val="0"/>
        <w:adjustRightInd w:val="0"/>
        <w:snapToGrid w:val="0"/>
        <w:spacing w:line="360" w:lineRule="auto"/>
        <w:jc w:val="both"/>
        <w:rPr>
          <w:rFonts w:ascii="Book Antiqua" w:eastAsia="Times New Roman" w:hAnsi="Book Antiqua" w:cs="TimesNewRomanPSMT"/>
          <w:lang w:val="en-US" w:eastAsia="it-IT"/>
        </w:rPr>
      </w:pPr>
      <w:r w:rsidRPr="00924A19">
        <w:rPr>
          <w:rFonts w:ascii="Book Antiqua" w:eastAsia="Times New Roman" w:hAnsi="Book Antiqua" w:cs="Tahoma"/>
          <w:b/>
          <w:lang w:val="en-US" w:eastAsia="it-IT"/>
        </w:rPr>
        <w:t>Conflict-of-interest statement</w:t>
      </w:r>
      <w:r w:rsidRPr="00924A19">
        <w:rPr>
          <w:rFonts w:ascii="Book Antiqua" w:eastAsia="Times New Roman" w:hAnsi="Book Antiqua" w:cs="Tahoma"/>
          <w:lang w:val="en-US" w:eastAsia="it-IT"/>
        </w:rPr>
        <w:t>:</w:t>
      </w:r>
      <w:r w:rsidR="00CF613A" w:rsidRPr="00924A19">
        <w:rPr>
          <w:rFonts w:ascii="Book Antiqua" w:eastAsiaTheme="minorEastAsia" w:hAnsi="Book Antiqua" w:cs="Tahoma" w:hint="eastAsia"/>
          <w:lang w:val="en-US"/>
        </w:rPr>
        <w:t xml:space="preserve"> </w:t>
      </w:r>
      <w:r w:rsidRPr="00924A19">
        <w:rPr>
          <w:rFonts w:ascii="Book Antiqua" w:eastAsia="Times New Roman" w:hAnsi="Book Antiqua" w:cs="TimesNewRomanPSMT"/>
          <w:lang w:val="en-US" w:eastAsia="it-IT"/>
        </w:rPr>
        <w:t>Authors declare no conflict of interest for this article.</w:t>
      </w:r>
    </w:p>
    <w:p w:rsidR="00A009F6" w:rsidRPr="00924A19" w:rsidRDefault="00A009F6" w:rsidP="0026366E">
      <w:pPr>
        <w:snapToGrid w:val="0"/>
        <w:spacing w:line="360" w:lineRule="auto"/>
        <w:jc w:val="both"/>
        <w:rPr>
          <w:rFonts w:ascii="Book Antiqua" w:hAnsi="Book Antiqua"/>
          <w:b/>
          <w:lang w:val="en-US"/>
        </w:rPr>
      </w:pPr>
    </w:p>
    <w:p w:rsidR="006C324B" w:rsidRPr="00924A19" w:rsidRDefault="0090526F" w:rsidP="0026366E">
      <w:pPr>
        <w:autoSpaceDE w:val="0"/>
        <w:autoSpaceDN w:val="0"/>
        <w:adjustRightInd w:val="0"/>
        <w:spacing w:line="360" w:lineRule="auto"/>
        <w:jc w:val="both"/>
        <w:rPr>
          <w:rFonts w:ascii="Book Antiqua" w:eastAsia="Times New Roman" w:hAnsi="Book Antiqua" w:cs="TimesNewRomanPSMT"/>
          <w:b/>
          <w:bCs/>
          <w:iCs/>
          <w:lang w:val="en-US" w:eastAsia="it-IT"/>
        </w:rPr>
      </w:pPr>
      <w:r w:rsidRPr="00924A19">
        <w:rPr>
          <w:rFonts w:ascii="Book Antiqua" w:eastAsia="Times New Roman" w:hAnsi="Book Antiqua" w:cs="TimesNewRomanPSMT"/>
          <w:b/>
          <w:bCs/>
          <w:iCs/>
          <w:lang w:val="en-US" w:eastAsia="it-IT"/>
        </w:rPr>
        <w:t>Data sharing statement</w:t>
      </w:r>
      <w:r w:rsidRPr="00924A19">
        <w:rPr>
          <w:rFonts w:ascii="Book Antiqua" w:eastAsia="Times New Roman" w:hAnsi="Book Antiqua" w:cs="TimesNewRomanPSMT" w:hint="eastAsia"/>
          <w:b/>
          <w:bCs/>
          <w:iCs/>
          <w:lang w:val="en-US" w:eastAsia="it-IT"/>
        </w:rPr>
        <w:t>:</w:t>
      </w:r>
      <w:r w:rsidR="00CF613A" w:rsidRPr="00924A19">
        <w:rPr>
          <w:rFonts w:ascii="Book Antiqua" w:eastAsiaTheme="minorEastAsia" w:hAnsi="Book Antiqua" w:cs="TimesNewRomanPSMT" w:hint="eastAsia"/>
          <w:b/>
          <w:bCs/>
          <w:iCs/>
          <w:lang w:val="en-US"/>
        </w:rPr>
        <w:t xml:space="preserve"> </w:t>
      </w:r>
      <w:r w:rsidR="006C324B" w:rsidRPr="00924A19">
        <w:rPr>
          <w:rFonts w:ascii="Book Antiqua" w:eastAsia="Times New Roman" w:hAnsi="Book Antiqua" w:cs="TimesNewRomanPSMT"/>
          <w:lang w:val="en-US" w:eastAsia="it-IT"/>
        </w:rPr>
        <w:t>Participants gave informed consent for data sharing.</w:t>
      </w:r>
    </w:p>
    <w:p w:rsidR="00A53BE5" w:rsidRPr="00924A19" w:rsidRDefault="00A53BE5" w:rsidP="0026366E">
      <w:pPr>
        <w:snapToGrid w:val="0"/>
        <w:spacing w:line="360" w:lineRule="auto"/>
        <w:jc w:val="both"/>
        <w:rPr>
          <w:rFonts w:ascii="Book Antiqua" w:hAnsi="Book Antiqua"/>
          <w:b/>
          <w:lang w:val="en-US"/>
        </w:rPr>
      </w:pPr>
    </w:p>
    <w:p w:rsidR="00785507" w:rsidRPr="00924A19" w:rsidRDefault="00785507" w:rsidP="0026366E">
      <w:pPr>
        <w:pStyle w:val="10"/>
        <w:snapToGrid w:val="0"/>
        <w:spacing w:line="360" w:lineRule="auto"/>
        <w:jc w:val="both"/>
        <w:rPr>
          <w:rFonts w:ascii="Book Antiqua" w:hAnsi="Book Antiqua" w:cs="Times New Roman"/>
          <w:bCs/>
          <w:color w:val="auto"/>
          <w:sz w:val="24"/>
          <w:szCs w:val="24"/>
          <w:lang w:val="en-US"/>
        </w:rPr>
      </w:pPr>
      <w:bookmarkStart w:id="0" w:name="OLE_LINK734"/>
      <w:bookmarkStart w:id="1" w:name="OLE_LINK441"/>
      <w:bookmarkStart w:id="2" w:name="OLE_LINK442"/>
      <w:bookmarkStart w:id="3" w:name="OLE_LINK1032"/>
      <w:bookmarkStart w:id="4" w:name="OLE_LINK1232"/>
      <w:bookmarkStart w:id="5" w:name="OLE_LINK559"/>
      <w:r w:rsidRPr="00924A19">
        <w:rPr>
          <w:rFonts w:ascii="Book Antiqua" w:hAnsi="Book Antiqua" w:cs="Times New Roman"/>
          <w:b/>
          <w:bCs/>
          <w:color w:val="auto"/>
          <w:sz w:val="24"/>
          <w:szCs w:val="24"/>
          <w:lang w:val="en-US"/>
        </w:rPr>
        <w:lastRenderedPageBreak/>
        <w:t>Open-Access:</w:t>
      </w:r>
      <w:bookmarkStart w:id="6" w:name="OLE_LINK479"/>
      <w:bookmarkStart w:id="7" w:name="OLE_LINK496"/>
      <w:bookmarkStart w:id="8" w:name="OLE_LINK506"/>
      <w:bookmarkStart w:id="9" w:name="OLE_LINK507"/>
      <w:r w:rsidR="00CF613A" w:rsidRPr="00924A19">
        <w:rPr>
          <w:rFonts w:ascii="Book Antiqua" w:hAnsi="Book Antiqua" w:cs="Times New Roman" w:hint="eastAsia"/>
          <w:b/>
          <w:bCs/>
          <w:color w:val="auto"/>
          <w:sz w:val="24"/>
          <w:szCs w:val="24"/>
          <w:lang w:val="en-US" w:eastAsia="zh-CN"/>
        </w:rPr>
        <w:t xml:space="preserve"> </w:t>
      </w:r>
      <w:r w:rsidRPr="00924A19">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00CF613A" w:rsidRPr="00924A19">
        <w:rPr>
          <w:rFonts w:ascii="Book Antiqua" w:hAnsi="Book Antiqua" w:cs="Times New Roman" w:hint="eastAsia"/>
          <w:bCs/>
          <w:color w:val="auto"/>
          <w:sz w:val="24"/>
          <w:szCs w:val="24"/>
          <w:lang w:val="en-US" w:eastAsia="zh-CN"/>
        </w:rPr>
        <w:t xml:space="preserve"> </w:t>
      </w:r>
      <w:r w:rsidRPr="00924A19">
        <w:rPr>
          <w:rFonts w:ascii="Book Antiqua" w:hAnsi="Book Antiqua" w:cs="Times New Roman"/>
          <w:bCs/>
          <w:color w:val="auto"/>
          <w:sz w:val="24"/>
          <w:szCs w:val="24"/>
          <w:lang w:val="en-US"/>
        </w:rPr>
        <w:t>in</w:t>
      </w:r>
      <w:r w:rsidR="00CF613A" w:rsidRPr="00924A19">
        <w:rPr>
          <w:rFonts w:ascii="Book Antiqua" w:hAnsi="Book Antiqua" w:cs="Times New Roman" w:hint="eastAsia"/>
          <w:bCs/>
          <w:color w:val="auto"/>
          <w:sz w:val="24"/>
          <w:szCs w:val="24"/>
          <w:lang w:val="en-US" w:eastAsia="zh-CN"/>
        </w:rPr>
        <w:t xml:space="preserve"> </w:t>
      </w:r>
      <w:r w:rsidRPr="00924A19">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24A19">
          <w:rPr>
            <w:rStyle w:val="Hyperlink"/>
            <w:rFonts w:ascii="Book Antiqua" w:hAnsi="Book Antiqua" w:cs="Times New Roman"/>
            <w:bCs/>
            <w:color w:val="auto"/>
            <w:sz w:val="24"/>
            <w:szCs w:val="24"/>
            <w:lang w:val="en-US"/>
          </w:rPr>
          <w:t>http://creativecommons.org/licenses/by-nc/4.0/</w:t>
        </w:r>
      </w:hyperlink>
      <w:bookmarkEnd w:id="0"/>
      <w:bookmarkEnd w:id="6"/>
      <w:bookmarkEnd w:id="7"/>
      <w:bookmarkEnd w:id="8"/>
      <w:bookmarkEnd w:id="9"/>
    </w:p>
    <w:bookmarkEnd w:id="1"/>
    <w:bookmarkEnd w:id="2"/>
    <w:bookmarkEnd w:id="3"/>
    <w:bookmarkEnd w:id="4"/>
    <w:bookmarkEnd w:id="5"/>
    <w:p w:rsidR="00785507" w:rsidRPr="00924A19" w:rsidRDefault="00785507" w:rsidP="0026366E">
      <w:pPr>
        <w:pStyle w:val="10"/>
        <w:snapToGrid w:val="0"/>
        <w:spacing w:line="360" w:lineRule="auto"/>
        <w:rPr>
          <w:rFonts w:ascii="Book Antiqua" w:hAnsi="Book Antiqua" w:cs="Times New Roman"/>
          <w:b/>
          <w:bCs/>
          <w:color w:val="FF0000"/>
          <w:sz w:val="24"/>
          <w:szCs w:val="24"/>
          <w:lang w:val="en-US" w:eastAsia="zh-CN"/>
        </w:rPr>
      </w:pPr>
    </w:p>
    <w:p w:rsidR="00785507" w:rsidRPr="00924A19" w:rsidRDefault="00785507" w:rsidP="0026366E">
      <w:pPr>
        <w:snapToGrid w:val="0"/>
        <w:spacing w:line="360" w:lineRule="auto"/>
        <w:jc w:val="both"/>
        <w:rPr>
          <w:rFonts w:ascii="Book Antiqua" w:hAnsi="Book Antiqua"/>
          <w:bCs/>
          <w:lang w:val="en-US"/>
        </w:rPr>
      </w:pPr>
      <w:r w:rsidRPr="00924A19">
        <w:rPr>
          <w:rFonts w:ascii="Book Antiqua" w:hAnsi="Book Antiqua"/>
          <w:b/>
          <w:bCs/>
          <w:lang w:val="en-US"/>
        </w:rPr>
        <w:t xml:space="preserve">Manuscript source: </w:t>
      </w:r>
      <w:r w:rsidRPr="00924A19">
        <w:rPr>
          <w:rFonts w:ascii="Book Antiqua" w:hAnsi="Book Antiqua"/>
          <w:bCs/>
          <w:lang w:val="en-US"/>
        </w:rPr>
        <w:t>Invited manuscript</w:t>
      </w:r>
    </w:p>
    <w:p w:rsidR="00785507" w:rsidRPr="00924A19" w:rsidRDefault="00785507" w:rsidP="0026366E">
      <w:pPr>
        <w:snapToGrid w:val="0"/>
        <w:spacing w:line="360" w:lineRule="auto"/>
        <w:jc w:val="both"/>
        <w:rPr>
          <w:rFonts w:ascii="Book Antiqua" w:hAnsi="Book Antiqua"/>
          <w:b/>
          <w:lang w:val="en-US"/>
        </w:rPr>
      </w:pPr>
    </w:p>
    <w:p w:rsidR="00ED2A1D" w:rsidRPr="00924A19" w:rsidRDefault="00785507" w:rsidP="0026366E">
      <w:pPr>
        <w:snapToGrid w:val="0"/>
        <w:spacing w:line="360" w:lineRule="auto"/>
        <w:jc w:val="both"/>
        <w:rPr>
          <w:rFonts w:ascii="Book Antiqua" w:hAnsi="Book Antiqua"/>
        </w:rPr>
      </w:pPr>
      <w:bookmarkStart w:id="10" w:name="OLE_LINK294"/>
      <w:bookmarkStart w:id="11" w:name="OLE_LINK295"/>
      <w:r w:rsidRPr="00924A19">
        <w:rPr>
          <w:rFonts w:ascii="Book Antiqua" w:hAnsi="Book Antiqua"/>
          <w:b/>
          <w:bCs/>
        </w:rPr>
        <w:t>Correspondence to:</w:t>
      </w:r>
      <w:bookmarkEnd w:id="10"/>
      <w:bookmarkEnd w:id="11"/>
      <w:r w:rsidR="002E4018">
        <w:rPr>
          <w:rFonts w:ascii="Book Antiqua" w:hAnsi="Book Antiqua" w:hint="eastAsia"/>
          <w:b/>
          <w:bCs/>
        </w:rPr>
        <w:t xml:space="preserve"> </w:t>
      </w:r>
      <w:r w:rsidR="00ED2A1D" w:rsidRPr="00924A19">
        <w:rPr>
          <w:rFonts w:ascii="Book Antiqua" w:hAnsi="Book Antiqua"/>
          <w:b/>
        </w:rPr>
        <w:t>Arnolfo Petruzziello</w:t>
      </w:r>
      <w:r w:rsidR="004551F2" w:rsidRPr="00924A19">
        <w:rPr>
          <w:rFonts w:ascii="Book Antiqua" w:hAnsi="Book Antiqua"/>
          <w:b/>
        </w:rPr>
        <w:t>, PhD,</w:t>
      </w:r>
      <w:r w:rsidR="00E45D1D">
        <w:rPr>
          <w:rFonts w:ascii="Book Antiqua" w:hAnsi="Book Antiqua" w:hint="eastAsia"/>
          <w:b/>
        </w:rPr>
        <w:t xml:space="preserve"> </w:t>
      </w:r>
      <w:r w:rsidRPr="00924A19">
        <w:rPr>
          <w:rFonts w:ascii="Book Antiqua" w:hAnsi="Book Antiqua"/>
        </w:rPr>
        <w:t xml:space="preserve">Laboratory of Virology and Molecular Biology “V. Tridente”, </w:t>
      </w:r>
      <w:r w:rsidR="00910437" w:rsidRPr="00924A19">
        <w:rPr>
          <w:rFonts w:ascii="Book Antiqua" w:hAnsi="Book Antiqua"/>
        </w:rPr>
        <w:t xml:space="preserve">IRCCS, </w:t>
      </w:r>
      <w:r w:rsidR="00ED2A1D" w:rsidRPr="00924A19">
        <w:rPr>
          <w:rFonts w:ascii="Book Antiqua" w:hAnsi="Book Antiqua"/>
        </w:rPr>
        <w:t>Istituto Nazionale Tumori</w:t>
      </w:r>
      <w:r w:rsidR="00A22436" w:rsidRPr="00924A19">
        <w:rPr>
          <w:rFonts w:ascii="Book Antiqua" w:hAnsi="Book Antiqua"/>
        </w:rPr>
        <w:t xml:space="preserve">, </w:t>
      </w:r>
      <w:r w:rsidR="00ED2A1D" w:rsidRPr="00924A19">
        <w:rPr>
          <w:rFonts w:ascii="Book Antiqua" w:hAnsi="Book Antiqua"/>
        </w:rPr>
        <w:t xml:space="preserve">Fondazione </w:t>
      </w:r>
      <w:r w:rsidR="00A22436" w:rsidRPr="00924A19">
        <w:rPr>
          <w:rFonts w:ascii="Book Antiqua" w:hAnsi="Book Antiqua"/>
        </w:rPr>
        <w:t>“</w:t>
      </w:r>
      <w:r w:rsidR="00ED2A1D" w:rsidRPr="00924A19">
        <w:rPr>
          <w:rFonts w:ascii="Book Antiqua" w:hAnsi="Book Antiqua"/>
        </w:rPr>
        <w:t>G. Pascale</w:t>
      </w:r>
      <w:r w:rsidR="00A22436" w:rsidRPr="00924A19">
        <w:rPr>
          <w:rFonts w:ascii="Book Antiqua" w:hAnsi="Book Antiqua"/>
        </w:rPr>
        <w:t>”,</w:t>
      </w:r>
      <w:r w:rsidR="00320AF1">
        <w:rPr>
          <w:rFonts w:ascii="Book Antiqua" w:hAnsi="Book Antiqua" w:hint="eastAsia"/>
        </w:rPr>
        <w:t xml:space="preserve"> </w:t>
      </w:r>
      <w:r w:rsidR="00ED2A1D" w:rsidRPr="00924A19">
        <w:rPr>
          <w:rFonts w:ascii="Book Antiqua" w:hAnsi="Book Antiqua"/>
        </w:rPr>
        <w:t>Via Mariano Semmola</w:t>
      </w:r>
      <w:r w:rsidR="004551F2" w:rsidRPr="00924A19">
        <w:rPr>
          <w:rFonts w:ascii="Book Antiqua" w:hAnsi="Book Antiqua"/>
        </w:rPr>
        <w:t xml:space="preserve">, </w:t>
      </w:r>
      <w:r w:rsidR="00A22436" w:rsidRPr="00924A19">
        <w:rPr>
          <w:rFonts w:ascii="Book Antiqua" w:hAnsi="Book Antiqua"/>
        </w:rPr>
        <w:t>80131 Naples</w:t>
      </w:r>
      <w:r w:rsidR="00ED2A1D" w:rsidRPr="00924A19">
        <w:rPr>
          <w:rFonts w:ascii="Book Antiqua" w:hAnsi="Book Antiqua"/>
        </w:rPr>
        <w:t>, Italy</w:t>
      </w:r>
      <w:r w:rsidR="004E17F3">
        <w:rPr>
          <w:rFonts w:ascii="Book Antiqua" w:hAnsi="Book Antiqua" w:hint="eastAsia"/>
        </w:rPr>
        <w:t xml:space="preserve">. </w:t>
      </w:r>
      <w:r w:rsidR="00ED2A1D" w:rsidRPr="00924A19">
        <w:rPr>
          <w:rFonts w:ascii="Book Antiqua" w:hAnsi="Book Antiqua"/>
        </w:rPr>
        <w:t>a.petruzziello@istitutotumori.na.it</w:t>
      </w:r>
    </w:p>
    <w:p w:rsidR="00A009F6" w:rsidRPr="00924A19" w:rsidRDefault="00785507" w:rsidP="0026366E">
      <w:pPr>
        <w:snapToGrid w:val="0"/>
        <w:spacing w:line="360" w:lineRule="auto"/>
        <w:jc w:val="both"/>
        <w:rPr>
          <w:rFonts w:ascii="Book Antiqua" w:hAnsi="Book Antiqua"/>
          <w:lang w:val="en-US"/>
        </w:rPr>
      </w:pPr>
      <w:r w:rsidRPr="00924A19">
        <w:rPr>
          <w:rFonts w:ascii="Book Antiqua" w:hAnsi="Book Antiqua"/>
          <w:b/>
          <w:lang w:val="en-US"/>
        </w:rPr>
        <w:t xml:space="preserve">Telephone: </w:t>
      </w:r>
      <w:r w:rsidRPr="00924A19">
        <w:rPr>
          <w:rFonts w:ascii="Book Antiqua" w:hAnsi="Book Antiqua"/>
          <w:lang w:val="en-US"/>
        </w:rPr>
        <w:t>+39-81-5903433</w:t>
      </w:r>
    </w:p>
    <w:p w:rsidR="00313607" w:rsidRPr="00924A19" w:rsidRDefault="00433123" w:rsidP="0026366E">
      <w:pPr>
        <w:snapToGrid w:val="0"/>
        <w:spacing w:line="360" w:lineRule="auto"/>
        <w:jc w:val="both"/>
        <w:rPr>
          <w:rFonts w:ascii="Book Antiqua" w:hAnsi="Book Antiqua"/>
          <w:lang w:val="en-US"/>
        </w:rPr>
      </w:pPr>
      <w:r w:rsidRPr="00924A19">
        <w:rPr>
          <w:rFonts w:ascii="Book Antiqua" w:hAnsi="Book Antiqua"/>
          <w:b/>
          <w:lang w:val="en-US"/>
        </w:rPr>
        <w:t>Fax</w:t>
      </w:r>
      <w:r w:rsidR="00785507" w:rsidRPr="00924A19">
        <w:rPr>
          <w:rFonts w:ascii="Book Antiqua" w:hAnsi="Book Antiqua"/>
          <w:b/>
          <w:lang w:val="en-US"/>
        </w:rPr>
        <w:t>:</w:t>
      </w:r>
      <w:r w:rsidR="00785507" w:rsidRPr="00924A19">
        <w:rPr>
          <w:rFonts w:ascii="Book Antiqua" w:hAnsi="Book Antiqua"/>
          <w:lang w:val="en-US"/>
        </w:rPr>
        <w:t xml:space="preserve"> +39-81-5453854</w:t>
      </w:r>
    </w:p>
    <w:p w:rsidR="00433123" w:rsidRPr="00924A19" w:rsidRDefault="00433123" w:rsidP="0026366E">
      <w:pPr>
        <w:snapToGrid w:val="0"/>
        <w:spacing w:line="360" w:lineRule="auto"/>
        <w:jc w:val="both"/>
        <w:rPr>
          <w:rFonts w:ascii="Book Antiqua" w:hAnsi="Book Antiqua"/>
          <w:b/>
          <w:lang w:val="en-US"/>
        </w:rPr>
      </w:pPr>
    </w:p>
    <w:p w:rsidR="00785507" w:rsidRPr="00924A19" w:rsidRDefault="00785507" w:rsidP="0026366E">
      <w:pPr>
        <w:snapToGrid w:val="0"/>
        <w:spacing w:line="360" w:lineRule="auto"/>
        <w:jc w:val="both"/>
        <w:rPr>
          <w:rFonts w:ascii="Book Antiqua" w:hAnsi="Book Antiqua"/>
          <w:b/>
          <w:lang w:val="en-US"/>
        </w:rPr>
      </w:pPr>
      <w:r w:rsidRPr="00924A19">
        <w:rPr>
          <w:rFonts w:ascii="Book Antiqua" w:hAnsi="Book Antiqua"/>
          <w:b/>
          <w:lang w:val="en-US"/>
        </w:rPr>
        <w:t>Received:</w:t>
      </w:r>
      <w:r w:rsidRPr="00924A19">
        <w:rPr>
          <w:rFonts w:ascii="Book Antiqua" w:hAnsi="Book Antiqua"/>
          <w:lang w:val="en-US"/>
        </w:rPr>
        <w:t xml:space="preserve"> April 15, 2016</w:t>
      </w:r>
    </w:p>
    <w:p w:rsidR="00785507" w:rsidRPr="00924A19" w:rsidRDefault="00785507" w:rsidP="0026366E">
      <w:pPr>
        <w:snapToGrid w:val="0"/>
        <w:spacing w:line="360" w:lineRule="auto"/>
        <w:jc w:val="both"/>
        <w:rPr>
          <w:rFonts w:ascii="Book Antiqua" w:hAnsi="Book Antiqua"/>
          <w:b/>
          <w:lang w:val="en-US"/>
        </w:rPr>
      </w:pPr>
      <w:r w:rsidRPr="00924A19">
        <w:rPr>
          <w:rFonts w:ascii="Book Antiqua" w:hAnsi="Book Antiqua"/>
          <w:b/>
          <w:lang w:val="en-US"/>
        </w:rPr>
        <w:t xml:space="preserve">Peer-review started: </w:t>
      </w:r>
      <w:r w:rsidRPr="00924A19">
        <w:rPr>
          <w:rFonts w:ascii="Book Antiqua" w:hAnsi="Book Antiqua"/>
          <w:lang w:val="en-US"/>
        </w:rPr>
        <w:t>April 18, 2016</w:t>
      </w:r>
    </w:p>
    <w:p w:rsidR="00785507" w:rsidRPr="00924A19" w:rsidRDefault="00785507" w:rsidP="0026366E">
      <w:pPr>
        <w:snapToGrid w:val="0"/>
        <w:spacing w:line="360" w:lineRule="auto"/>
        <w:jc w:val="both"/>
        <w:rPr>
          <w:rFonts w:ascii="Book Antiqua" w:hAnsi="Book Antiqua"/>
          <w:b/>
          <w:lang w:val="en-US"/>
        </w:rPr>
      </w:pPr>
      <w:r w:rsidRPr="00924A19">
        <w:rPr>
          <w:rFonts w:ascii="Book Antiqua" w:hAnsi="Book Antiqua"/>
          <w:b/>
          <w:lang w:val="en-US"/>
        </w:rPr>
        <w:t xml:space="preserve">First decision: </w:t>
      </w:r>
      <w:r w:rsidRPr="00924A19">
        <w:rPr>
          <w:rFonts w:ascii="Book Antiqua" w:hAnsi="Book Antiqua"/>
          <w:lang w:val="en-US"/>
        </w:rPr>
        <w:t>May 12, 2016</w:t>
      </w:r>
    </w:p>
    <w:p w:rsidR="00785507" w:rsidRPr="00924A19" w:rsidRDefault="00785507" w:rsidP="0026366E">
      <w:pPr>
        <w:snapToGrid w:val="0"/>
        <w:spacing w:line="360" w:lineRule="auto"/>
        <w:jc w:val="both"/>
        <w:rPr>
          <w:rFonts w:ascii="Book Antiqua" w:hAnsi="Book Antiqua"/>
          <w:b/>
          <w:lang w:val="en-US"/>
        </w:rPr>
      </w:pPr>
      <w:r w:rsidRPr="00924A19">
        <w:rPr>
          <w:rFonts w:ascii="Book Antiqua" w:hAnsi="Book Antiqua"/>
          <w:b/>
          <w:lang w:val="en-US"/>
        </w:rPr>
        <w:t>Revised:</w:t>
      </w:r>
      <w:r w:rsidRPr="00924A19">
        <w:rPr>
          <w:rFonts w:ascii="Book Antiqua" w:hAnsi="Book Antiqua"/>
          <w:lang w:val="en-US"/>
        </w:rPr>
        <w:t xml:space="preserve"> June 28, 2016</w:t>
      </w:r>
    </w:p>
    <w:p w:rsidR="00785507" w:rsidRPr="00BB11E9" w:rsidRDefault="00785507" w:rsidP="00BB11E9">
      <w:pPr>
        <w:spacing w:line="360" w:lineRule="auto"/>
        <w:rPr>
          <w:rFonts w:ascii="Book Antiqua" w:hAnsi="Book Antiqua"/>
          <w:color w:val="000000"/>
        </w:rPr>
      </w:pPr>
      <w:r w:rsidRPr="00924A19">
        <w:rPr>
          <w:rFonts w:ascii="Book Antiqua" w:hAnsi="Book Antiqua"/>
          <w:b/>
          <w:lang w:val="en-US"/>
        </w:rPr>
        <w:t>Accepted:</w:t>
      </w:r>
      <w:r w:rsidR="00BB11E9" w:rsidRPr="00BB11E9">
        <w:rPr>
          <w:rFonts w:ascii="Book Antiqua" w:hAnsi="Book Antiqua"/>
          <w:color w:val="000000"/>
        </w:rPr>
        <w:t xml:space="preserve"> </w:t>
      </w:r>
      <w:r w:rsidR="00BB11E9">
        <w:rPr>
          <w:rFonts w:ascii="Book Antiqua" w:hAnsi="Book Antiqua"/>
          <w:color w:val="000000"/>
        </w:rPr>
        <w:t>August 8, 2016</w:t>
      </w:r>
      <w:bookmarkStart w:id="12" w:name="_GoBack"/>
      <w:bookmarkEnd w:id="12"/>
    </w:p>
    <w:p w:rsidR="00785507" w:rsidRPr="00924A19" w:rsidRDefault="00785507" w:rsidP="0026366E">
      <w:pPr>
        <w:snapToGrid w:val="0"/>
        <w:spacing w:line="360" w:lineRule="auto"/>
        <w:jc w:val="both"/>
        <w:rPr>
          <w:rFonts w:ascii="Book Antiqua" w:hAnsi="Book Antiqua"/>
          <w:b/>
          <w:lang w:val="en-US"/>
        </w:rPr>
      </w:pPr>
      <w:r w:rsidRPr="00924A19">
        <w:rPr>
          <w:rFonts w:ascii="Book Antiqua" w:hAnsi="Book Antiqua"/>
          <w:b/>
          <w:lang w:val="en-US"/>
        </w:rPr>
        <w:t>Article in press:</w:t>
      </w:r>
    </w:p>
    <w:p w:rsidR="00785507" w:rsidRPr="00924A19" w:rsidRDefault="00785507" w:rsidP="0026366E">
      <w:pPr>
        <w:snapToGrid w:val="0"/>
        <w:spacing w:line="360" w:lineRule="auto"/>
        <w:jc w:val="both"/>
        <w:rPr>
          <w:rFonts w:ascii="Book Antiqua" w:hAnsi="Book Antiqua"/>
          <w:b/>
          <w:lang w:val="pl-PL"/>
        </w:rPr>
      </w:pPr>
      <w:r w:rsidRPr="00924A19">
        <w:rPr>
          <w:rFonts w:ascii="Book Antiqua" w:hAnsi="Book Antiqua"/>
          <w:b/>
          <w:lang w:val="pl-PL"/>
        </w:rPr>
        <w:t>Published online:</w:t>
      </w:r>
    </w:p>
    <w:p w:rsidR="00785507" w:rsidRPr="00924A19" w:rsidRDefault="00785507" w:rsidP="0026366E">
      <w:pPr>
        <w:snapToGrid w:val="0"/>
        <w:spacing w:line="360" w:lineRule="auto"/>
        <w:jc w:val="both"/>
        <w:rPr>
          <w:rFonts w:ascii="Book Antiqua" w:hAnsi="Book Antiqua"/>
          <w:b/>
          <w:lang w:val="en-US"/>
        </w:rPr>
      </w:pPr>
    </w:p>
    <w:p w:rsidR="00505104" w:rsidRPr="00924A19" w:rsidRDefault="00785507" w:rsidP="0026366E">
      <w:pPr>
        <w:snapToGrid w:val="0"/>
        <w:spacing w:line="360" w:lineRule="auto"/>
        <w:rPr>
          <w:rFonts w:ascii="Book Antiqua" w:hAnsi="Book Antiqua"/>
          <w:b/>
          <w:lang w:val="en-US"/>
        </w:rPr>
      </w:pPr>
      <w:r w:rsidRPr="00924A19">
        <w:rPr>
          <w:rFonts w:ascii="Book Antiqua" w:hAnsi="Book Antiqua"/>
          <w:b/>
          <w:lang w:val="en-US"/>
        </w:rPr>
        <w:br w:type="page"/>
      </w:r>
    </w:p>
    <w:p w:rsidR="00005C02" w:rsidRPr="00924A19" w:rsidRDefault="00763567" w:rsidP="0026366E">
      <w:pPr>
        <w:snapToGrid w:val="0"/>
        <w:spacing w:line="360" w:lineRule="auto"/>
        <w:jc w:val="both"/>
        <w:rPr>
          <w:rFonts w:ascii="Book Antiqua" w:hAnsi="Book Antiqua"/>
          <w:b/>
          <w:lang w:val="en-GB"/>
        </w:rPr>
      </w:pPr>
      <w:r w:rsidRPr="00924A19">
        <w:rPr>
          <w:rFonts w:ascii="Book Antiqua" w:hAnsi="Book Antiqua"/>
          <w:b/>
          <w:lang w:val="en-GB"/>
        </w:rPr>
        <w:lastRenderedPageBreak/>
        <w:t>A</w:t>
      </w:r>
      <w:r w:rsidR="00785507" w:rsidRPr="00924A19">
        <w:rPr>
          <w:rFonts w:ascii="Book Antiqua" w:hAnsi="Book Antiqua"/>
          <w:b/>
          <w:lang w:val="en-GB"/>
        </w:rPr>
        <w:t>bstract</w:t>
      </w:r>
    </w:p>
    <w:p w:rsidR="006C324B" w:rsidRPr="00924A19" w:rsidRDefault="006C324B" w:rsidP="0026366E">
      <w:pPr>
        <w:autoSpaceDE w:val="0"/>
        <w:autoSpaceDN w:val="0"/>
        <w:adjustRightInd w:val="0"/>
        <w:spacing w:line="360" w:lineRule="auto"/>
        <w:jc w:val="both"/>
        <w:rPr>
          <w:rFonts w:ascii="Book Antiqua" w:eastAsia="Times New Roman" w:hAnsi="Book Antiqua" w:cs="AdvPSPH-R"/>
          <w:lang w:val="en-US" w:eastAsia="it-IT"/>
        </w:rPr>
      </w:pPr>
      <w:r w:rsidRPr="00924A19">
        <w:rPr>
          <w:rFonts w:ascii="Book Antiqua" w:eastAsia="Times New Roman" w:hAnsi="Book Antiqua" w:cs="AdvPSPH-R"/>
          <w:b/>
          <w:lang w:val="en-US" w:eastAsia="it-IT"/>
        </w:rPr>
        <w:t>AIM</w:t>
      </w:r>
      <w:r w:rsidRPr="00924A19">
        <w:rPr>
          <w:rFonts w:ascii="Book Antiqua" w:eastAsia="Times New Roman" w:hAnsi="Book Antiqua" w:cs="AdvPSPH-R"/>
          <w:lang w:val="en-US" w:eastAsia="it-IT"/>
        </w:rPr>
        <w:t>: To review Hepatitis C virus (HCV) prevalence and genotypes distribution worldwide.</w:t>
      </w:r>
    </w:p>
    <w:p w:rsidR="00785507" w:rsidRPr="00924A19" w:rsidRDefault="00785507" w:rsidP="0026366E">
      <w:pPr>
        <w:autoSpaceDE w:val="0"/>
        <w:autoSpaceDN w:val="0"/>
        <w:adjustRightInd w:val="0"/>
        <w:snapToGrid w:val="0"/>
        <w:spacing w:line="360" w:lineRule="auto"/>
        <w:jc w:val="both"/>
        <w:rPr>
          <w:rFonts w:ascii="Book Antiqua" w:eastAsiaTheme="minorEastAsia" w:hAnsi="Book Antiqua" w:cs="AdvPSPH-R"/>
          <w:b/>
          <w:lang w:val="en-US"/>
        </w:rPr>
      </w:pPr>
    </w:p>
    <w:p w:rsidR="006C324B" w:rsidRPr="00924A19" w:rsidRDefault="006C324B" w:rsidP="0026366E">
      <w:pPr>
        <w:autoSpaceDE w:val="0"/>
        <w:autoSpaceDN w:val="0"/>
        <w:adjustRightInd w:val="0"/>
        <w:spacing w:line="360" w:lineRule="auto"/>
        <w:jc w:val="both"/>
        <w:rPr>
          <w:rFonts w:ascii="Book Antiqua" w:eastAsia="Times New Roman" w:hAnsi="Book Antiqua" w:cs="AdvPSPH-R"/>
          <w:lang w:val="en-US" w:eastAsia="it-IT"/>
        </w:rPr>
      </w:pPr>
      <w:r w:rsidRPr="00924A19">
        <w:rPr>
          <w:rFonts w:ascii="Book Antiqua" w:eastAsia="Times New Roman" w:hAnsi="Book Antiqua" w:cs="AdvPSPH-R"/>
          <w:b/>
          <w:lang w:val="en-US" w:eastAsia="it-IT"/>
        </w:rPr>
        <w:t>METHODS</w:t>
      </w:r>
      <w:r w:rsidRPr="00924A19">
        <w:rPr>
          <w:rFonts w:ascii="Book Antiqua" w:eastAsia="Times New Roman" w:hAnsi="Book Antiqua" w:cs="AdvPSPH-R"/>
          <w:lang w:val="en-US" w:eastAsia="it-IT"/>
        </w:rPr>
        <w:t xml:space="preserve">: We conducted a systematic study which represents one of the most comprehensive effort to quantify global HCV epidemiology, using the best available published data between 2000 and 2015 from 138 countries (about 90% of the global population), grouped in 20 geographical areas (with the exclusion of Oceania), as defined by the Global Burden of Diseases project (GBD). Countries for which we were unable to obtain HCV genotype prevalence data were excluded from calculations of regional proportions, although their populations were included in the total population size of each region when generating regional genotype prevalence estimates. </w:t>
      </w:r>
    </w:p>
    <w:p w:rsidR="00785507" w:rsidRPr="00924A19" w:rsidRDefault="00785507" w:rsidP="0026366E">
      <w:pPr>
        <w:autoSpaceDE w:val="0"/>
        <w:autoSpaceDN w:val="0"/>
        <w:adjustRightInd w:val="0"/>
        <w:snapToGrid w:val="0"/>
        <w:spacing w:line="360" w:lineRule="auto"/>
        <w:jc w:val="both"/>
        <w:rPr>
          <w:rFonts w:ascii="Book Antiqua" w:eastAsiaTheme="minorEastAsia" w:hAnsi="Book Antiqua" w:cs="AdvPSPH-R"/>
          <w:b/>
          <w:lang w:val="en-US"/>
        </w:rPr>
      </w:pPr>
    </w:p>
    <w:p w:rsidR="006C324B" w:rsidRPr="00924A19" w:rsidRDefault="006C324B" w:rsidP="0026366E">
      <w:pPr>
        <w:autoSpaceDE w:val="0"/>
        <w:autoSpaceDN w:val="0"/>
        <w:adjustRightInd w:val="0"/>
        <w:spacing w:line="360" w:lineRule="auto"/>
        <w:jc w:val="both"/>
        <w:rPr>
          <w:rFonts w:ascii="Book Antiqua" w:eastAsia="Times New Roman" w:hAnsi="Book Antiqua" w:cs="AdvPSPH-R"/>
          <w:lang w:val="en-US" w:eastAsia="it-IT"/>
        </w:rPr>
      </w:pPr>
      <w:r w:rsidRPr="00924A19">
        <w:rPr>
          <w:rFonts w:ascii="Book Antiqua" w:eastAsia="Times New Roman" w:hAnsi="Book Antiqua" w:cs="AdvPSPH-R"/>
          <w:b/>
          <w:lang w:val="en-US" w:eastAsia="it-IT"/>
        </w:rPr>
        <w:t xml:space="preserve">RESULTS: </w:t>
      </w:r>
      <w:r w:rsidRPr="00924A19">
        <w:rPr>
          <w:rFonts w:ascii="Book Antiqua" w:eastAsia="Times New Roman" w:hAnsi="Book Antiqua" w:cs="AdvPSPH-R"/>
          <w:lang w:val="en-US" w:eastAsia="it-IT"/>
        </w:rPr>
        <w:t>Total global HCV prevalence is estimated at 2.5% (177</w:t>
      </w:r>
      <w:r w:rsidR="00CF613A" w:rsidRPr="00924A19">
        <w:rPr>
          <w:rFonts w:ascii="Book Antiqua" w:eastAsiaTheme="minorEastAsia" w:hAnsi="Book Antiqua" w:cs="AdvPSPH-R" w:hint="eastAsia"/>
          <w:lang w:val="en-US"/>
        </w:rPr>
        <w:t>.</w:t>
      </w:r>
      <w:r w:rsidRPr="00924A19">
        <w:rPr>
          <w:rFonts w:ascii="Book Antiqua" w:eastAsia="Times New Roman" w:hAnsi="Book Antiqua" w:cs="AdvPSPH-R"/>
          <w:lang w:val="en-US" w:eastAsia="it-IT"/>
        </w:rPr>
        <w:t xml:space="preserve">5 </w:t>
      </w:r>
      <w:r w:rsidR="00516180" w:rsidRPr="00924A19">
        <w:rPr>
          <w:rFonts w:ascii="Book Antiqua" w:eastAsia="Times New Roman" w:hAnsi="Book Antiqua" w:cs="AdvPSPH-R"/>
          <w:lang w:val="en-US" w:eastAsia="it-IT"/>
        </w:rPr>
        <w:t>million</w:t>
      </w:r>
      <w:r w:rsidRPr="00924A19">
        <w:rPr>
          <w:rFonts w:ascii="Book Antiqua" w:eastAsia="Times New Roman" w:hAnsi="Book Antiqua" w:cs="AdvPSPH-R"/>
          <w:lang w:val="en-US" w:eastAsia="it-IT"/>
        </w:rPr>
        <w:t xml:space="preserve"> of HCV infected adults), ranging from 2.9% in Africa and 1.3% in Americas, with a global viraemic rate of 67% (118.9 </w:t>
      </w:r>
      <w:r w:rsidR="00516180" w:rsidRPr="00924A19">
        <w:rPr>
          <w:rFonts w:ascii="Book Antiqua" w:eastAsia="Times New Roman" w:hAnsi="Book Antiqua" w:cs="AdvPSPH-R"/>
          <w:lang w:val="en-US" w:eastAsia="it-IT"/>
        </w:rPr>
        <w:t>million</w:t>
      </w:r>
      <w:r w:rsidRPr="00924A19">
        <w:rPr>
          <w:rFonts w:ascii="Book Antiqua" w:eastAsia="Times New Roman" w:hAnsi="Book Antiqua" w:cs="AdvPSPH-R"/>
          <w:lang w:val="en-US" w:eastAsia="it-IT"/>
        </w:rPr>
        <w:t xml:space="preserve"> of HCV RNA positive cases), varying from 64.4% in Asia to 74</w:t>
      </w:r>
      <w:r w:rsidR="00CF613A" w:rsidRPr="00924A19">
        <w:rPr>
          <w:rFonts w:ascii="Book Antiqua" w:eastAsiaTheme="minorEastAsia" w:hAnsi="Book Antiqua" w:cs="AdvPSPH-R" w:hint="eastAsia"/>
          <w:lang w:val="en-US"/>
        </w:rPr>
        <w:t>.</w:t>
      </w:r>
      <w:r w:rsidRPr="00924A19">
        <w:rPr>
          <w:rFonts w:ascii="Book Antiqua" w:eastAsia="Times New Roman" w:hAnsi="Book Antiqua" w:cs="AdvPSPH-R"/>
          <w:lang w:val="en-US" w:eastAsia="it-IT"/>
        </w:rPr>
        <w:t>8% in Australasia.</w:t>
      </w:r>
      <w:r w:rsidR="00CF613A" w:rsidRPr="00924A19">
        <w:rPr>
          <w:rFonts w:ascii="Book Antiqua" w:eastAsiaTheme="minorEastAsia" w:hAnsi="Book Antiqua" w:cs="AdvPSPH-R" w:hint="eastAsia"/>
          <w:lang w:val="en-US"/>
        </w:rPr>
        <w:t xml:space="preserve"> </w:t>
      </w:r>
      <w:r w:rsidRPr="00924A19">
        <w:rPr>
          <w:rFonts w:ascii="Book Antiqua" w:eastAsia="Times New Roman" w:hAnsi="Book Antiqua" w:cs="AdvPSPH-R"/>
          <w:lang w:val="en-US" w:eastAsia="it-IT"/>
        </w:rPr>
        <w:t>HCV genotype 1 is the</w:t>
      </w:r>
      <w:r w:rsidR="00CF613A" w:rsidRPr="00924A19">
        <w:rPr>
          <w:rFonts w:ascii="Book Antiqua" w:eastAsia="Times New Roman" w:hAnsi="Book Antiqua" w:cs="AdvPSPH-R"/>
          <w:lang w:val="en-US" w:eastAsia="it-IT"/>
        </w:rPr>
        <w:t xml:space="preserve"> most prevalent worldwide (49.1</w:t>
      </w:r>
      <w:r w:rsidRPr="00924A19">
        <w:rPr>
          <w:rFonts w:ascii="Book Antiqua" w:eastAsia="Times New Roman" w:hAnsi="Book Antiqua" w:cs="AdvPSPH-R"/>
          <w:lang w:val="en-US" w:eastAsia="it-IT"/>
        </w:rPr>
        <w:t>%), followed by genotype 3 (17.9%), 4 (16.8%) and 2 (11.0%). Genotypes 5 and 6 are responsible for the remaining &lt; 5%. While genotypes 1 and 3 are common worldwide, the largest proportion of genotypes 4 and 5 is in lower-income countries.</w:t>
      </w:r>
      <w:r w:rsidR="00CF613A" w:rsidRPr="00924A19">
        <w:rPr>
          <w:rFonts w:ascii="Book Antiqua" w:eastAsiaTheme="minorEastAsia" w:hAnsi="Book Antiqua" w:cs="AdvPSPH-R" w:hint="eastAsia"/>
          <w:lang w:val="en-US"/>
        </w:rPr>
        <w:t xml:space="preserve"> </w:t>
      </w:r>
      <w:r w:rsidRPr="00924A19">
        <w:rPr>
          <w:rFonts w:ascii="Book Antiqua" w:eastAsia="AdvAGaramond-R" w:hAnsi="Book Antiqua" w:cs="AdvAGaramond-R"/>
          <w:color w:val="231F20"/>
          <w:lang w:val="en-US" w:eastAsia="it-IT"/>
        </w:rPr>
        <w:t>Although HCV G1 and G3 infections are the most prevalent globally (67.0% if considered together), other genotypes are found more commonly in lower-income countries where still account for a significant proportion of HCV cases.</w:t>
      </w:r>
    </w:p>
    <w:p w:rsidR="00785507" w:rsidRPr="00924A19" w:rsidRDefault="00785507" w:rsidP="0026366E">
      <w:pPr>
        <w:autoSpaceDE w:val="0"/>
        <w:autoSpaceDN w:val="0"/>
        <w:adjustRightInd w:val="0"/>
        <w:snapToGrid w:val="0"/>
        <w:spacing w:line="360" w:lineRule="auto"/>
        <w:jc w:val="both"/>
        <w:rPr>
          <w:rFonts w:ascii="Book Antiqua" w:eastAsiaTheme="minorEastAsia" w:hAnsi="Book Antiqua" w:cs="AdvPSPH-R"/>
          <w:b/>
          <w:lang w:val="en-US"/>
        </w:rPr>
      </w:pPr>
    </w:p>
    <w:p w:rsidR="001E03BC" w:rsidRPr="00924A19" w:rsidRDefault="00A009F6" w:rsidP="0026366E">
      <w:pPr>
        <w:autoSpaceDE w:val="0"/>
        <w:autoSpaceDN w:val="0"/>
        <w:adjustRightInd w:val="0"/>
        <w:snapToGrid w:val="0"/>
        <w:spacing w:line="360" w:lineRule="auto"/>
        <w:jc w:val="both"/>
        <w:rPr>
          <w:rFonts w:ascii="Book Antiqua" w:eastAsia="Times New Roman" w:hAnsi="Book Antiqua" w:cs="AdvAGaramond-B"/>
          <w:color w:val="231F20"/>
          <w:lang w:val="en-US" w:eastAsia="it-IT"/>
        </w:rPr>
      </w:pPr>
      <w:r w:rsidRPr="00924A19">
        <w:rPr>
          <w:rFonts w:ascii="Book Antiqua" w:eastAsia="Times New Roman" w:hAnsi="Book Antiqua" w:cs="AdvPSPH-R"/>
          <w:b/>
          <w:lang w:val="en-US" w:eastAsia="it-IT"/>
        </w:rPr>
        <w:lastRenderedPageBreak/>
        <w:t>CONCLUSION</w:t>
      </w:r>
      <w:r w:rsidRPr="00924A19">
        <w:rPr>
          <w:rFonts w:ascii="Book Antiqua" w:eastAsia="Times New Roman" w:hAnsi="Book Antiqua" w:cs="AdvPSPH-R"/>
          <w:lang w:val="en-US" w:eastAsia="it-IT"/>
        </w:rPr>
        <w:t xml:space="preserve">: </w:t>
      </w:r>
      <w:r w:rsidR="00DA42D8" w:rsidRPr="00924A19">
        <w:rPr>
          <w:rFonts w:ascii="Book Antiqua" w:eastAsia="Times New Roman" w:hAnsi="Book Antiqua" w:cs="AdvPSPH-R"/>
          <w:lang w:val="en-US" w:eastAsia="it-IT"/>
        </w:rPr>
        <w:t>A more precise knowledge of HCV genotype distribution will be helpful to best inform national healthcare models to improve access to new treatments.</w:t>
      </w:r>
    </w:p>
    <w:p w:rsidR="001E03BC" w:rsidRPr="00924A19" w:rsidRDefault="001E03BC" w:rsidP="0026366E">
      <w:pPr>
        <w:autoSpaceDE w:val="0"/>
        <w:autoSpaceDN w:val="0"/>
        <w:adjustRightInd w:val="0"/>
        <w:snapToGrid w:val="0"/>
        <w:spacing w:line="360" w:lineRule="auto"/>
        <w:jc w:val="both"/>
        <w:rPr>
          <w:rFonts w:ascii="Book Antiqua" w:eastAsia="Times New Roman" w:hAnsi="Book Antiqua" w:cs="AdvAGaramond-B"/>
          <w:color w:val="231F20"/>
          <w:lang w:val="en-US" w:eastAsia="it-IT"/>
        </w:rPr>
      </w:pPr>
    </w:p>
    <w:p w:rsidR="00885273" w:rsidRPr="00924A19" w:rsidRDefault="004551F2" w:rsidP="0026366E">
      <w:pPr>
        <w:snapToGrid w:val="0"/>
        <w:spacing w:line="360" w:lineRule="auto"/>
        <w:jc w:val="both"/>
        <w:rPr>
          <w:rFonts w:ascii="Book Antiqua" w:eastAsia="Times New Roman" w:hAnsi="Book Antiqua" w:cs="AdvGulliv-R"/>
          <w:lang w:val="en-US" w:eastAsia="it-IT"/>
        </w:rPr>
      </w:pPr>
      <w:r w:rsidRPr="00924A19">
        <w:rPr>
          <w:rFonts w:ascii="Book Antiqua" w:eastAsia="Times New Roman" w:hAnsi="Book Antiqua" w:cs="AdvGulliv-R"/>
          <w:b/>
          <w:lang w:val="en-US" w:eastAsia="it-IT"/>
        </w:rPr>
        <w:t>Keywords</w:t>
      </w:r>
      <w:r w:rsidRPr="00924A19">
        <w:rPr>
          <w:rFonts w:ascii="Book Antiqua" w:eastAsia="Times New Roman" w:hAnsi="Book Antiqua" w:cs="AdvGulliv-R"/>
          <w:lang w:val="en-US" w:eastAsia="it-IT"/>
        </w:rPr>
        <w:t xml:space="preserve">: </w:t>
      </w:r>
      <w:r w:rsidR="000621DD" w:rsidRPr="00924A19">
        <w:rPr>
          <w:rFonts w:ascii="Book Antiqua" w:eastAsia="Times New Roman" w:hAnsi="Book Antiqua" w:cs="AdvGulliv-R"/>
          <w:lang w:val="en-US" w:eastAsia="it-IT"/>
        </w:rPr>
        <w:t>Hepatitis C virus</w:t>
      </w:r>
      <w:r w:rsidR="00CF613A" w:rsidRPr="00924A19">
        <w:rPr>
          <w:rFonts w:ascii="Book Antiqua" w:eastAsiaTheme="minorEastAsia" w:hAnsi="Book Antiqua" w:cs="AdvGulliv-R" w:hint="eastAsia"/>
          <w:lang w:val="en-US"/>
        </w:rPr>
        <w:t xml:space="preserve"> </w:t>
      </w:r>
      <w:r w:rsidR="000621DD" w:rsidRPr="00924A19">
        <w:rPr>
          <w:rFonts w:ascii="Book Antiqua" w:eastAsia="Times New Roman" w:hAnsi="Book Antiqua" w:cs="AdvGulliv-R"/>
          <w:lang w:val="en-US" w:eastAsia="it-IT"/>
        </w:rPr>
        <w:t>g</w:t>
      </w:r>
      <w:r w:rsidRPr="00924A19">
        <w:rPr>
          <w:rFonts w:ascii="Book Antiqua" w:eastAsia="Times New Roman" w:hAnsi="Book Antiqua" w:cs="AdvGulliv-R"/>
          <w:lang w:val="en-US" w:eastAsia="it-IT"/>
        </w:rPr>
        <w:t>enotype; Epidemiology; Hepatitis C</w:t>
      </w:r>
      <w:r w:rsidR="00266522" w:rsidRPr="00924A19">
        <w:rPr>
          <w:rFonts w:ascii="Book Antiqua" w:eastAsia="Times New Roman" w:hAnsi="Book Antiqua" w:cs="AdvGulliv-R"/>
          <w:lang w:val="en-US" w:eastAsia="it-IT"/>
        </w:rPr>
        <w:t xml:space="preserve"> virus</w:t>
      </w:r>
      <w:r w:rsidRPr="00924A19">
        <w:rPr>
          <w:rFonts w:ascii="Book Antiqua" w:eastAsia="Times New Roman" w:hAnsi="Book Antiqua" w:cs="AdvGulliv-R"/>
          <w:lang w:val="en-US" w:eastAsia="it-IT"/>
        </w:rPr>
        <w:t xml:space="preserve">; </w:t>
      </w:r>
      <w:r w:rsidR="000621DD" w:rsidRPr="00924A19">
        <w:rPr>
          <w:rFonts w:ascii="Book Antiqua" w:eastAsia="Times New Roman" w:hAnsi="Book Antiqua" w:cs="AdvGulliv-R"/>
          <w:lang w:val="en-US" w:eastAsia="it-IT"/>
        </w:rPr>
        <w:t>Hepatitis C virus</w:t>
      </w:r>
      <w:r w:rsidR="00CF613A" w:rsidRPr="00924A19">
        <w:rPr>
          <w:rFonts w:ascii="Book Antiqua" w:eastAsiaTheme="minorEastAsia" w:hAnsi="Book Antiqua" w:cs="AdvGulliv-R" w:hint="eastAsia"/>
          <w:lang w:val="en-US"/>
        </w:rPr>
        <w:t xml:space="preserve"> </w:t>
      </w:r>
      <w:r w:rsidR="00266522" w:rsidRPr="00924A19">
        <w:rPr>
          <w:rFonts w:ascii="Book Antiqua" w:eastAsia="Times New Roman" w:hAnsi="Book Antiqua" w:cs="AdvGulliv-R"/>
          <w:lang w:val="en-US" w:eastAsia="it-IT"/>
        </w:rPr>
        <w:t>p</w:t>
      </w:r>
      <w:r w:rsidRPr="00924A19">
        <w:rPr>
          <w:rFonts w:ascii="Book Antiqua" w:eastAsia="Times New Roman" w:hAnsi="Book Antiqua" w:cs="AdvGulliv-R"/>
          <w:lang w:val="en-US" w:eastAsia="it-IT"/>
        </w:rPr>
        <w:t>revalence;</w:t>
      </w:r>
      <w:r w:rsidR="00CF613A" w:rsidRPr="00924A19">
        <w:rPr>
          <w:rFonts w:ascii="Book Antiqua" w:eastAsiaTheme="minorEastAsia" w:hAnsi="Book Antiqua" w:cs="AdvGulliv-R" w:hint="eastAsia"/>
          <w:lang w:val="en-US"/>
        </w:rPr>
        <w:t xml:space="preserve"> </w:t>
      </w:r>
      <w:r w:rsidR="00266522" w:rsidRPr="00924A19">
        <w:rPr>
          <w:rFonts w:ascii="Book Antiqua" w:eastAsia="Times New Roman" w:hAnsi="Book Antiqua" w:cs="AdvGulliv-R"/>
          <w:caps/>
          <w:lang w:val="en-US" w:eastAsia="it-IT"/>
        </w:rPr>
        <w:t>v</w:t>
      </w:r>
      <w:r w:rsidR="00266522" w:rsidRPr="00924A19">
        <w:rPr>
          <w:rFonts w:ascii="Book Antiqua" w:eastAsia="Times New Roman" w:hAnsi="Book Antiqua" w:cs="AdvGulliv-R"/>
          <w:lang w:val="en-US" w:eastAsia="it-IT"/>
        </w:rPr>
        <w:t>iraemia</w:t>
      </w:r>
      <w:r w:rsidR="000621DD" w:rsidRPr="00924A19">
        <w:rPr>
          <w:rFonts w:ascii="Book Antiqua" w:eastAsia="Times New Roman" w:hAnsi="Book Antiqua" w:cs="AdvGulliv-R"/>
          <w:lang w:val="en-US" w:eastAsia="it-IT"/>
        </w:rPr>
        <w:t>;</w:t>
      </w:r>
      <w:r w:rsidR="00CF613A" w:rsidRPr="00924A19">
        <w:rPr>
          <w:rFonts w:ascii="Book Antiqua" w:eastAsiaTheme="minorEastAsia" w:hAnsi="Book Antiqua" w:cs="AdvGulliv-R" w:hint="eastAsia"/>
          <w:lang w:val="en-US"/>
        </w:rPr>
        <w:t xml:space="preserve"> </w:t>
      </w:r>
      <w:r w:rsidR="000621DD" w:rsidRPr="00924A19">
        <w:rPr>
          <w:rFonts w:ascii="Book Antiqua" w:eastAsia="Times New Roman" w:hAnsi="Book Antiqua" w:cs="AdvGulliv-R"/>
          <w:lang w:val="en-US" w:eastAsia="it-IT"/>
        </w:rPr>
        <w:t>Hepatitis C virus</w:t>
      </w:r>
      <w:r w:rsidRPr="00924A19">
        <w:rPr>
          <w:rFonts w:ascii="Book Antiqua" w:eastAsia="Times New Roman" w:hAnsi="Book Antiqua" w:cs="AdvGulliv-R"/>
          <w:lang w:val="en-US" w:eastAsia="it-IT"/>
        </w:rPr>
        <w:t xml:space="preserve"> infections</w:t>
      </w:r>
    </w:p>
    <w:p w:rsidR="00B26D78" w:rsidRPr="00924A19" w:rsidRDefault="00B26D78" w:rsidP="0026366E">
      <w:pPr>
        <w:snapToGrid w:val="0"/>
        <w:spacing w:line="360" w:lineRule="auto"/>
        <w:jc w:val="both"/>
        <w:rPr>
          <w:rFonts w:ascii="Book Antiqua" w:eastAsia="Times New Roman" w:hAnsi="Book Antiqua" w:cs="AdvGulliv-R"/>
          <w:lang w:val="en-US" w:eastAsia="it-IT"/>
        </w:rPr>
      </w:pPr>
    </w:p>
    <w:p w:rsidR="00697BB7" w:rsidRPr="00924A19" w:rsidRDefault="00697BB7" w:rsidP="0026366E">
      <w:pPr>
        <w:snapToGrid w:val="0"/>
        <w:spacing w:line="360" w:lineRule="auto"/>
        <w:jc w:val="both"/>
        <w:rPr>
          <w:rFonts w:ascii="Book Antiqua" w:eastAsia="Times New Roman" w:hAnsi="Book Antiqua" w:cs="AdvGulliv-R"/>
          <w:lang w:val="en-US" w:eastAsia="it-IT"/>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r w:rsidRPr="00924A19">
        <w:rPr>
          <w:rFonts w:ascii="Book Antiqua" w:eastAsia="Times New Roman" w:hAnsi="Book Antiqua" w:cs="AdvGulliv-R"/>
          <w:b/>
          <w:lang w:val="en-US" w:eastAsia="it-IT"/>
        </w:rPr>
        <w:t>© The Author(s) 2016.</w:t>
      </w:r>
      <w:r w:rsidR="000A77BC">
        <w:rPr>
          <w:rFonts w:ascii="Book Antiqua" w:eastAsiaTheme="minorEastAsia" w:hAnsi="Book Antiqua" w:cs="AdvGulliv-R" w:hint="eastAsia"/>
          <w:b/>
          <w:lang w:val="en-US"/>
        </w:rPr>
        <w:t xml:space="preserve"> </w:t>
      </w:r>
      <w:r w:rsidRPr="00924A19">
        <w:rPr>
          <w:rFonts w:ascii="Book Antiqua" w:eastAsia="Times New Roman" w:hAnsi="Book Antiqua" w:cs="AdvGulliv-R"/>
          <w:lang w:val="en-US" w:eastAsia="it-IT"/>
        </w:rPr>
        <w:t>Published by Baishideng Publishing Group Inc. All rights reserved.</w:t>
      </w:r>
    </w:p>
    <w:bookmarkEnd w:id="13"/>
    <w:bookmarkEnd w:id="14"/>
    <w:bookmarkEnd w:id="15"/>
    <w:bookmarkEnd w:id="16"/>
    <w:bookmarkEnd w:id="17"/>
    <w:bookmarkEnd w:id="18"/>
    <w:bookmarkEnd w:id="19"/>
    <w:bookmarkEnd w:id="20"/>
    <w:p w:rsidR="00B26D78" w:rsidRPr="00924A19" w:rsidRDefault="00B26D78" w:rsidP="0026366E">
      <w:pPr>
        <w:snapToGrid w:val="0"/>
        <w:spacing w:line="360" w:lineRule="auto"/>
        <w:jc w:val="both"/>
        <w:rPr>
          <w:rFonts w:ascii="Book Antiqua" w:eastAsia="Times New Roman" w:hAnsi="Book Antiqua" w:cs="AdvGulliv-R"/>
          <w:lang w:val="en-US" w:eastAsia="it-IT"/>
        </w:rPr>
      </w:pPr>
    </w:p>
    <w:p w:rsidR="001E2199" w:rsidRPr="00924A19" w:rsidRDefault="00B26D78" w:rsidP="0026366E">
      <w:pPr>
        <w:snapToGrid w:val="0"/>
        <w:spacing w:line="360" w:lineRule="auto"/>
        <w:jc w:val="both"/>
        <w:rPr>
          <w:rFonts w:ascii="Book Antiqua" w:eastAsia="Times New Roman" w:hAnsi="Book Antiqua" w:cs="AdvGulliv-R"/>
          <w:b/>
          <w:lang w:val="en-US" w:eastAsia="it-IT"/>
        </w:rPr>
      </w:pPr>
      <w:r w:rsidRPr="00924A19">
        <w:rPr>
          <w:rFonts w:ascii="Book Antiqua" w:eastAsia="Times New Roman" w:hAnsi="Book Antiqua" w:cs="AdvGulliv-R"/>
          <w:b/>
          <w:lang w:val="en-US" w:eastAsia="it-IT"/>
        </w:rPr>
        <w:t>C</w:t>
      </w:r>
      <w:r w:rsidR="00785507" w:rsidRPr="00924A19">
        <w:rPr>
          <w:rFonts w:ascii="Book Antiqua" w:eastAsia="Times New Roman" w:hAnsi="Book Antiqua" w:cs="AdvGulliv-R"/>
          <w:b/>
          <w:lang w:val="en-US" w:eastAsia="it-IT"/>
        </w:rPr>
        <w:t>ore tip</w:t>
      </w:r>
      <w:r w:rsidRPr="00924A19">
        <w:rPr>
          <w:rFonts w:ascii="Book Antiqua" w:eastAsia="Times New Roman" w:hAnsi="Book Antiqua" w:cs="AdvGulliv-R"/>
          <w:b/>
          <w:lang w:val="en-US" w:eastAsia="it-IT"/>
        </w:rPr>
        <w:t xml:space="preserve">: </w:t>
      </w:r>
      <w:r w:rsidR="001E03BC" w:rsidRPr="00924A19">
        <w:rPr>
          <w:rFonts w:ascii="Book Antiqua" w:eastAsia="Times New Roman" w:hAnsi="Book Antiqua" w:cs="AdvPSPH-R"/>
          <w:lang w:val="en-US" w:eastAsia="it-IT"/>
        </w:rPr>
        <w:t>Hepatitis C virus (HCV) infection is a global public health burden, causing an increasing level of liver-related morbidity and mortality due to the disease progression. Unfortunately, in many countries, there is a lack of robust epidemiological data, especially HCV genotypes distribution, upon which to base country-specific prevention, diagnosis and treatment strategies in order to reduce the disease burden represented by HCV.</w:t>
      </w:r>
      <w:r w:rsidR="00CF613A" w:rsidRPr="00924A19">
        <w:rPr>
          <w:rFonts w:ascii="Book Antiqua" w:eastAsiaTheme="minorEastAsia" w:hAnsi="Book Antiqua" w:cs="AdvPSPH-R" w:hint="eastAsia"/>
          <w:lang w:val="en-US"/>
        </w:rPr>
        <w:t xml:space="preserve"> </w:t>
      </w:r>
      <w:r w:rsidR="001E03BC" w:rsidRPr="00924A19">
        <w:rPr>
          <w:rFonts w:ascii="Book Antiqua" w:eastAsia="Times New Roman" w:hAnsi="Book Antiqua" w:cs="AdvPSPH-R"/>
          <w:lang w:val="en-US" w:eastAsia="it-IT"/>
        </w:rPr>
        <w:t>Stratification by viral genotypes at national and regional level, and a better understanding of viral diversity within target populations, might also critically inform the rational design and testing of future HCV vaccines</w:t>
      </w:r>
      <w:r w:rsidR="001E2199" w:rsidRPr="00924A19">
        <w:rPr>
          <w:rFonts w:ascii="Book Antiqua" w:eastAsia="AdvAGaramond-R" w:hAnsi="Book Antiqua" w:cs="AdvAGaramond-R"/>
          <w:color w:val="231F20"/>
          <w:lang w:val="en-US" w:eastAsia="it-IT"/>
        </w:rPr>
        <w:t>.</w:t>
      </w:r>
    </w:p>
    <w:p w:rsidR="00B26D78" w:rsidRPr="00924A19" w:rsidRDefault="00B26D78" w:rsidP="0026366E">
      <w:pPr>
        <w:snapToGrid w:val="0"/>
        <w:spacing w:line="360" w:lineRule="auto"/>
        <w:jc w:val="both"/>
        <w:rPr>
          <w:rFonts w:ascii="Book Antiqua" w:hAnsi="Book Antiqua"/>
          <w:b/>
          <w:lang w:val="en-US"/>
        </w:rPr>
      </w:pPr>
    </w:p>
    <w:p w:rsidR="00633008" w:rsidRPr="00924A19" w:rsidRDefault="00633008" w:rsidP="0026366E">
      <w:pPr>
        <w:snapToGrid w:val="0"/>
        <w:spacing w:line="360" w:lineRule="auto"/>
        <w:jc w:val="both"/>
        <w:rPr>
          <w:rFonts w:ascii="Book Antiqua" w:hAnsi="Book Antiqua"/>
          <w:lang w:val="en-US"/>
        </w:rPr>
      </w:pPr>
      <w:bookmarkStart w:id="21" w:name="OLE_LINK47"/>
      <w:bookmarkStart w:id="22" w:name="OLE_LINK48"/>
      <w:r w:rsidRPr="00924A19">
        <w:rPr>
          <w:rFonts w:ascii="Book Antiqua" w:hAnsi="Book Antiqua"/>
          <w:lang w:val="en-US"/>
        </w:rPr>
        <w:t xml:space="preserve">Petruzziello A, Marigliano S, Loquercio G, Cozzolino A, Cacciapuoti C. </w:t>
      </w:r>
      <w:r w:rsidR="00A009F6" w:rsidRPr="00924A19">
        <w:rPr>
          <w:rFonts w:ascii="Book Antiqua" w:hAnsi="Book Antiqua"/>
          <w:lang w:val="en-US"/>
        </w:rPr>
        <w:t xml:space="preserve">Global epidemiology of Hepatitis C </w:t>
      </w:r>
      <w:r w:rsidR="00697BB7" w:rsidRPr="00924A19">
        <w:rPr>
          <w:rFonts w:ascii="Book Antiqua" w:hAnsi="Book Antiqua"/>
          <w:lang w:val="en-US"/>
        </w:rPr>
        <w:t>v</w:t>
      </w:r>
      <w:r w:rsidR="00A009F6" w:rsidRPr="00924A19">
        <w:rPr>
          <w:rFonts w:ascii="Book Antiqua" w:hAnsi="Book Antiqua"/>
          <w:lang w:val="en-US"/>
        </w:rPr>
        <w:t>irus</w:t>
      </w:r>
      <w:r w:rsidR="00CF613A" w:rsidRPr="00924A19">
        <w:rPr>
          <w:rFonts w:ascii="Book Antiqua" w:hAnsi="Book Antiqua" w:hint="eastAsia"/>
          <w:lang w:val="en-US"/>
        </w:rPr>
        <w:t xml:space="preserve"> </w:t>
      </w:r>
      <w:r w:rsidR="00A009F6" w:rsidRPr="00924A19">
        <w:rPr>
          <w:rFonts w:ascii="Book Antiqua" w:hAnsi="Book Antiqua"/>
          <w:lang w:val="en-US"/>
        </w:rPr>
        <w:t xml:space="preserve">infection: </w:t>
      </w:r>
      <w:r w:rsidR="00A009F6" w:rsidRPr="00924A19">
        <w:rPr>
          <w:rFonts w:ascii="Book Antiqua" w:hAnsi="Book Antiqua"/>
          <w:caps/>
          <w:lang w:val="en-US"/>
        </w:rPr>
        <w:t>a</w:t>
      </w:r>
      <w:r w:rsidR="00A009F6" w:rsidRPr="00924A19">
        <w:rPr>
          <w:rFonts w:ascii="Book Antiqua" w:hAnsi="Book Antiqua"/>
          <w:lang w:val="en-US"/>
        </w:rPr>
        <w:t xml:space="preserve">n up-date of the distribution and circulation of </w:t>
      </w:r>
      <w:r w:rsidR="00697BB7" w:rsidRPr="00924A19">
        <w:rPr>
          <w:rFonts w:ascii="Book Antiqua" w:hAnsi="Book Antiqua"/>
          <w:lang w:val="en-US"/>
        </w:rPr>
        <w:t>Hepatitis C virus</w:t>
      </w:r>
      <w:r w:rsidR="00A009F6" w:rsidRPr="00924A19">
        <w:rPr>
          <w:rFonts w:ascii="Book Antiqua" w:hAnsi="Book Antiqua"/>
          <w:lang w:val="en-US"/>
        </w:rPr>
        <w:t xml:space="preserve"> genotypes</w:t>
      </w:r>
      <w:r w:rsidRPr="00924A19">
        <w:rPr>
          <w:rFonts w:ascii="Book Antiqua" w:hAnsi="Book Antiqua"/>
          <w:lang w:val="en-US"/>
        </w:rPr>
        <w:t xml:space="preserve">. </w:t>
      </w:r>
      <w:r w:rsidRPr="00924A19">
        <w:rPr>
          <w:rFonts w:ascii="Book Antiqua" w:hAnsi="Book Antiqua"/>
          <w:i/>
          <w:lang w:val="en-US"/>
        </w:rPr>
        <w:t xml:space="preserve">World J Gastroenterol </w:t>
      </w:r>
      <w:r w:rsidRPr="00924A19">
        <w:rPr>
          <w:rFonts w:ascii="Book Antiqua" w:hAnsi="Book Antiqua"/>
          <w:lang w:val="en-US"/>
        </w:rPr>
        <w:t>2016;</w:t>
      </w:r>
      <w:r w:rsidR="00CF613A" w:rsidRPr="00924A19">
        <w:rPr>
          <w:rFonts w:ascii="Book Antiqua" w:hAnsi="Book Antiqua" w:hint="eastAsia"/>
          <w:lang w:val="en-US"/>
        </w:rPr>
        <w:t xml:space="preserve"> </w:t>
      </w:r>
      <w:r w:rsidRPr="00924A19">
        <w:rPr>
          <w:rFonts w:ascii="Book Antiqua" w:hAnsi="Book Antiqua"/>
          <w:lang w:val="en-US"/>
        </w:rPr>
        <w:t>In press</w:t>
      </w:r>
      <w:bookmarkEnd w:id="21"/>
      <w:bookmarkEnd w:id="22"/>
    </w:p>
    <w:p w:rsidR="008322C1" w:rsidRPr="00924A19" w:rsidRDefault="00663104" w:rsidP="0026366E">
      <w:pPr>
        <w:snapToGrid w:val="0"/>
        <w:spacing w:line="360" w:lineRule="auto"/>
        <w:jc w:val="both"/>
        <w:rPr>
          <w:rFonts w:ascii="Book Antiqua" w:hAnsi="Book Antiqua"/>
          <w:b/>
          <w:lang w:val="en-GB"/>
        </w:rPr>
      </w:pPr>
      <w:r w:rsidRPr="00924A19">
        <w:rPr>
          <w:rFonts w:ascii="Book Antiqua" w:hAnsi="Book Antiqua"/>
          <w:b/>
          <w:lang w:val="en-GB"/>
        </w:rPr>
        <w:br w:type="page"/>
      </w:r>
      <w:r w:rsidR="008322C1" w:rsidRPr="00924A19">
        <w:rPr>
          <w:rFonts w:ascii="Book Antiqua" w:hAnsi="Book Antiqua"/>
          <w:b/>
          <w:lang w:val="en-GB"/>
        </w:rPr>
        <w:lastRenderedPageBreak/>
        <w:t>INTRODUCTION</w:t>
      </w:r>
    </w:p>
    <w:p w:rsidR="006C324B" w:rsidRPr="00924A19" w:rsidRDefault="006C324B" w:rsidP="0026366E">
      <w:pPr>
        <w:autoSpaceDE w:val="0"/>
        <w:autoSpaceDN w:val="0"/>
        <w:adjustRightInd w:val="0"/>
        <w:spacing w:line="360" w:lineRule="auto"/>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t>Hepatitis C virus (HCV) is one of the major globally cause of death and morbidity</w:t>
      </w:r>
      <w:r w:rsidRPr="00924A19">
        <w:rPr>
          <w:rFonts w:ascii="Book Antiqua" w:eastAsia="AdvAGaramond-R" w:hAnsi="Book Antiqua" w:cs="AdvAGaramond-R"/>
          <w:color w:val="231F20"/>
          <w:vertAlign w:val="superscript"/>
          <w:lang w:val="en-US" w:eastAsia="it-IT"/>
        </w:rPr>
        <w:t>[1]</w:t>
      </w:r>
      <w:r w:rsidRPr="00924A19">
        <w:rPr>
          <w:rFonts w:ascii="Book Antiqua" w:eastAsia="AdvAGaramond-R" w:hAnsi="Book Antiqua" w:cs="AdvAGaramond-R"/>
          <w:color w:val="231F20"/>
          <w:lang w:val="en-US" w:eastAsia="it-IT"/>
        </w:rPr>
        <w:t xml:space="preserve"> and recent estimates showed an increase in its seroprevalence over the last decade to 2.8%, corresponding to &gt;185 million infections worldwide</w:t>
      </w:r>
      <w:r w:rsidRPr="00924A19">
        <w:rPr>
          <w:rFonts w:ascii="Book Antiqua" w:eastAsia="AdvAGaramond-R" w:hAnsi="Book Antiqua" w:cs="AdvAGaramond-R"/>
          <w:color w:val="231F20"/>
          <w:vertAlign w:val="superscript"/>
          <w:lang w:val="en-US" w:eastAsia="it-IT"/>
        </w:rPr>
        <w:t>[2]</w:t>
      </w:r>
      <w:r w:rsidRPr="00924A19">
        <w:rPr>
          <w:rFonts w:ascii="Book Antiqua" w:eastAsia="AdvAGaramond-R" w:hAnsi="Book Antiqua" w:cs="AdvAGaramond-R"/>
          <w:color w:val="231F20"/>
          <w:vertAlign w:val="subscript"/>
          <w:lang w:val="en-US" w:eastAsia="it-IT"/>
        </w:rPr>
        <w:t>.</w:t>
      </w:r>
    </w:p>
    <w:p w:rsidR="006C324B" w:rsidRPr="00924A19" w:rsidRDefault="006C324B" w:rsidP="0026366E">
      <w:pPr>
        <w:autoSpaceDE w:val="0"/>
        <w:autoSpaceDN w:val="0"/>
        <w:adjustRightIn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t>Chronic HCV infection is often associated with the development of liver cirrhosis, hepatocellular cancer, liver failure, and death</w:t>
      </w:r>
      <w:r w:rsidRPr="00924A19">
        <w:rPr>
          <w:rFonts w:ascii="Book Antiqua" w:eastAsia="AdvAGaramond-R" w:hAnsi="Book Antiqua" w:cs="AdvAGaramond-R"/>
          <w:color w:val="231F20"/>
          <w:vertAlign w:val="superscript"/>
          <w:lang w:val="en-US" w:eastAsia="it-IT"/>
        </w:rPr>
        <w:t>[3]</w:t>
      </w:r>
      <w:r w:rsidRPr="00924A19">
        <w:rPr>
          <w:rFonts w:ascii="Book Antiqua" w:eastAsia="AdvAGaramond-R" w:hAnsi="Book Antiqua" w:cs="AdvAGaramond-R"/>
          <w:color w:val="231F20"/>
          <w:lang w:val="en-US" w:eastAsia="it-IT"/>
        </w:rPr>
        <w:t xml:space="preserve"> especially in HIV-positive patients during active antiretroviral therapy</w:t>
      </w:r>
      <w:r w:rsidRPr="00924A19">
        <w:rPr>
          <w:rFonts w:ascii="Book Antiqua" w:eastAsia="AdvAGaramond-R" w:hAnsi="Book Antiqua" w:cs="AdvAGaramond-R"/>
          <w:color w:val="231F20"/>
          <w:vertAlign w:val="superscript"/>
          <w:lang w:val="en-US" w:eastAsia="it-IT"/>
        </w:rPr>
        <w:t>[4]</w:t>
      </w:r>
      <w:r w:rsidRPr="00924A19">
        <w:rPr>
          <w:rFonts w:ascii="Book Antiqua" w:eastAsia="AdvAGaramond-R" w:hAnsi="Book Antiqua" w:cs="AdvAGaramond-R"/>
          <w:color w:val="231F20"/>
          <w:lang w:val="en-US" w:eastAsia="it-IT"/>
        </w:rPr>
        <w:t>. It has been estimated that while the incidence of HCV infection seems to decrease in the developed world, mortality secondary related to HCV infection will continue to increase over the next 20 years</w:t>
      </w:r>
      <w:r w:rsidRPr="00924A19">
        <w:rPr>
          <w:rFonts w:ascii="Book Antiqua" w:eastAsia="AdvAGaramond-R" w:hAnsi="Book Antiqua" w:cs="AdvAGaramond-R"/>
          <w:color w:val="231F20"/>
          <w:vertAlign w:val="superscript"/>
          <w:lang w:val="en-US" w:eastAsia="it-IT"/>
        </w:rPr>
        <w:t>[5]</w:t>
      </w:r>
      <w:r w:rsidRPr="00924A19">
        <w:rPr>
          <w:rFonts w:ascii="Book Antiqua" w:eastAsia="AdvAGaramond-R" w:hAnsi="Book Antiqua" w:cs="AdvAGaramond-R"/>
          <w:color w:val="231F20"/>
          <w:lang w:val="en-US" w:eastAsia="it-IT"/>
        </w:rPr>
        <w:t>. So, although many data suggest that HCV infection could be eliminated in the next 15</w:t>
      </w:r>
      <w:r w:rsidR="0026366E" w:rsidRPr="00924A19">
        <w:rPr>
          <w:rFonts w:ascii="Book Antiqua" w:eastAsiaTheme="minorEastAsia" w:hAnsi="Book Antiqua" w:cs="AdvAGaramond-R" w:hint="eastAsia"/>
          <w:color w:val="231F20"/>
          <w:lang w:val="en-US"/>
        </w:rPr>
        <w:t>-</w:t>
      </w:r>
      <w:r w:rsidRPr="00924A19">
        <w:rPr>
          <w:rFonts w:ascii="Book Antiqua" w:eastAsia="AdvAGaramond-R" w:hAnsi="Book Antiqua" w:cs="AdvAGaramond-R"/>
          <w:color w:val="231F20"/>
          <w:lang w:val="en-US" w:eastAsia="it-IT"/>
        </w:rPr>
        <w:t>20 years with focused therapeutic strategies</w:t>
      </w:r>
      <w:r w:rsidRPr="00924A19">
        <w:rPr>
          <w:rFonts w:ascii="Book Antiqua" w:eastAsia="AdvAGaramond-R" w:hAnsi="Book Antiqua" w:cs="AdvAGaramond-R"/>
          <w:color w:val="231F20"/>
          <w:vertAlign w:val="superscript"/>
          <w:lang w:val="en-US" w:eastAsia="it-IT"/>
        </w:rPr>
        <w:t>[6,7]</w:t>
      </w:r>
      <w:r w:rsidRPr="00924A19">
        <w:rPr>
          <w:rFonts w:ascii="Book Antiqua" w:eastAsia="AdvAGaramond-R" w:hAnsi="Book Antiqua" w:cs="AdvAGaramond-R"/>
          <w:color w:val="231F20"/>
          <w:lang w:val="en-US" w:eastAsia="it-IT"/>
        </w:rPr>
        <w:t>, a good understanding of HCV infections should be required to develop strategies to prevent new infections.</w:t>
      </w:r>
    </w:p>
    <w:p w:rsidR="006C324B" w:rsidRPr="00924A19" w:rsidRDefault="006C324B" w:rsidP="0026366E">
      <w:pPr>
        <w:autoSpaceDE w:val="0"/>
        <w:autoSpaceDN w:val="0"/>
        <w:adjustRightIn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Times New Roman" w:hAnsi="Book Antiqua" w:cs="AdvGulliv-R"/>
          <w:color w:val="000000"/>
          <w:lang w:val="en-US" w:eastAsia="it-IT"/>
        </w:rPr>
        <w:t>Previous and more recent studies have reported regional prevalence estimates, but always considering a limited number of countries</w:t>
      </w:r>
      <w:r w:rsidR="00F25212">
        <w:rPr>
          <w:rFonts w:ascii="Book Antiqua" w:eastAsia="Times New Roman" w:hAnsi="Book Antiqua" w:cs="AdvGulliv-R"/>
          <w:color w:val="000000"/>
          <w:vertAlign w:val="superscript"/>
          <w:lang w:val="en-US" w:eastAsia="it-IT"/>
        </w:rPr>
        <w:t>[6,</w:t>
      </w:r>
      <w:r w:rsidR="001870F4" w:rsidRPr="00924A19">
        <w:rPr>
          <w:rFonts w:ascii="Book Antiqua" w:eastAsia="Times New Roman" w:hAnsi="Book Antiqua" w:cs="AdvGulliv-R"/>
          <w:color w:val="000000"/>
          <w:vertAlign w:val="superscript"/>
          <w:lang w:val="en-US" w:eastAsia="it-IT"/>
        </w:rPr>
        <w:t>8-</w:t>
      </w:r>
      <w:r w:rsidRPr="00924A19">
        <w:rPr>
          <w:rFonts w:ascii="Book Antiqua" w:eastAsia="Times New Roman" w:hAnsi="Book Antiqua" w:cs="AdvGulliv-R"/>
          <w:color w:val="000000"/>
          <w:vertAlign w:val="superscript"/>
          <w:lang w:val="en-US" w:eastAsia="it-IT"/>
        </w:rPr>
        <w:t>13]</w:t>
      </w:r>
      <w:r w:rsidRPr="00924A19">
        <w:rPr>
          <w:rFonts w:ascii="Book Antiqua" w:eastAsia="Times New Roman" w:hAnsi="Book Antiqua" w:cs="AdvGulliv-R"/>
          <w:color w:val="000000"/>
          <w:lang w:val="en-US" w:eastAsia="it-IT"/>
        </w:rPr>
        <w:t>. A more recent analysis, instead, estimates a global HCV prevalence, but provides only regional estimates</w:t>
      </w:r>
      <w:r w:rsidRPr="00924A19">
        <w:rPr>
          <w:rFonts w:ascii="Book Antiqua" w:eastAsia="Times New Roman" w:hAnsi="Book Antiqua" w:cs="AdvGulliv-R"/>
          <w:color w:val="000000"/>
          <w:vertAlign w:val="superscript"/>
          <w:lang w:val="en-US" w:eastAsia="it-IT"/>
        </w:rPr>
        <w:t>[2]</w:t>
      </w:r>
      <w:r w:rsidRPr="00924A19">
        <w:rPr>
          <w:rFonts w:ascii="Book Antiqua" w:eastAsia="Times New Roman" w:hAnsi="Book Antiqua" w:cs="AdvGulliv-R"/>
          <w:color w:val="000000"/>
          <w:vertAlign w:val="subscript"/>
          <w:lang w:val="en-US" w:eastAsia="it-IT"/>
        </w:rPr>
        <w:t>.</w:t>
      </w:r>
      <w:r w:rsidRPr="00924A19">
        <w:rPr>
          <w:rFonts w:ascii="Book Antiqua" w:eastAsia="Times New Roman" w:hAnsi="Book Antiqua" w:cs="AdvGulliv-R"/>
          <w:color w:val="000000"/>
          <w:lang w:val="en-US" w:eastAsia="it-IT"/>
        </w:rPr>
        <w:t xml:space="preserve"> In all the case, studies focused only on the presence of HCV antibodies generally overestimate the disease burden because they include also patients healed spontaneously or through treatments. So, although antibodies to HCV (anti-HCV) are at present the most commonly available marker of HCV infection, used both to estimate its prevalence and to compare HCV infection levels globally, the most important indicator of HCV diffusion seems to be its classification into different genetic variants. </w:t>
      </w:r>
      <w:r w:rsidRPr="00924A19">
        <w:rPr>
          <w:rFonts w:ascii="Book Antiqua" w:eastAsia="AdvAGaramond-R" w:hAnsi="Book Antiqua" w:cs="AdvAGaramond-R"/>
          <w:color w:val="231F20"/>
          <w:lang w:val="en-US" w:eastAsia="it-IT"/>
        </w:rPr>
        <w:t>At present, in fact, the length of the therapy and the opportunity to associate interferon and/or ribavirin with the new direct-acting antiviral (DAA) therapies still remain partially dependent on HCV genotype. A detailed understanding of the regional HCV genotype distribution might led to the development of specific national treatment strategies.</w:t>
      </w:r>
    </w:p>
    <w:p w:rsidR="006C324B" w:rsidRPr="00924A19" w:rsidRDefault="006C324B" w:rsidP="0026366E">
      <w:pPr>
        <w:autoSpaceDE w:val="0"/>
        <w:autoSpaceDN w:val="0"/>
        <w:adjustRightIn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lastRenderedPageBreak/>
        <w:t>Up to now, HCV is classified into seven recognized genotypes</w:t>
      </w:r>
      <w:r w:rsidRPr="00924A19">
        <w:rPr>
          <w:rFonts w:ascii="Book Antiqua" w:eastAsia="AdvAGaramond-R" w:hAnsi="Book Antiqua" w:cs="AdvAGaramond-R"/>
          <w:color w:val="231F20"/>
          <w:vertAlign w:val="superscript"/>
          <w:lang w:val="en-US" w:eastAsia="it-IT"/>
        </w:rPr>
        <w:t>[1-5,14</w:t>
      </w:r>
      <w:r w:rsidR="0026366E" w:rsidRPr="00924A19">
        <w:rPr>
          <w:rFonts w:ascii="Book Antiqua" w:eastAsiaTheme="minorEastAsia" w:hAnsi="Book Antiqua" w:cs="AdvAGaramond-R" w:hint="eastAsia"/>
          <w:color w:val="231F20"/>
          <w:vertAlign w:val="superscript"/>
          <w:lang w:val="en-US"/>
        </w:rPr>
        <w:t>-</w:t>
      </w:r>
      <w:r w:rsidRPr="00924A19">
        <w:rPr>
          <w:rFonts w:ascii="Book Antiqua" w:eastAsia="AdvAGaramond-R" w:hAnsi="Book Antiqua" w:cs="AdvAGaramond-R"/>
          <w:color w:val="231F20"/>
          <w:vertAlign w:val="superscript"/>
          <w:lang w:val="en-US" w:eastAsia="it-IT"/>
        </w:rPr>
        <w:t>16]</w:t>
      </w:r>
      <w:r w:rsidR="00F25212">
        <w:rPr>
          <w:rFonts w:ascii="Book Antiqua" w:eastAsiaTheme="minorEastAsia" w:hAnsi="Book Antiqua" w:cs="AdvAGaramond-R" w:hint="eastAsia"/>
          <w:color w:val="231F20"/>
          <w:vertAlign w:val="superscript"/>
          <w:lang w:val="en-US"/>
        </w:rPr>
        <w:t xml:space="preserve"> </w:t>
      </w:r>
      <w:r w:rsidRPr="00924A19">
        <w:rPr>
          <w:rFonts w:ascii="Book Antiqua" w:eastAsia="AdvAGaramond-R" w:hAnsi="Book Antiqua" w:cs="AdvAGaramond-R"/>
          <w:color w:val="231F20"/>
          <w:lang w:val="en-US" w:eastAsia="it-IT"/>
        </w:rPr>
        <w:t>on the basis of sequence of the viral genome</w:t>
      </w:r>
      <w:r w:rsidRPr="00924A19">
        <w:rPr>
          <w:rFonts w:ascii="Book Antiqua" w:eastAsia="AdvAGaramond-R" w:hAnsi="Book Antiqua" w:cs="AdvAGaramond-R"/>
          <w:color w:val="231F20"/>
          <w:vertAlign w:val="superscript"/>
          <w:lang w:val="en-US" w:eastAsia="it-IT"/>
        </w:rPr>
        <w:t>[17]</w:t>
      </w:r>
      <w:r w:rsidRPr="00924A19">
        <w:rPr>
          <w:rFonts w:ascii="Book Antiqua" w:eastAsia="AdvAGaramond-R" w:hAnsi="Book Antiqua" w:cs="AdvAGaramond-R"/>
          <w:color w:val="231F20"/>
          <w:lang w:val="en-US" w:eastAsia="it-IT"/>
        </w:rPr>
        <w:t>, each differing at 30</w:t>
      </w:r>
      <w:r w:rsidR="0026366E" w:rsidRPr="00924A19">
        <w:rPr>
          <w:rFonts w:ascii="Book Antiqua" w:eastAsia="AdvAGaramond-R" w:hAnsi="Book Antiqua" w:cs="AdvAGaramond-R"/>
          <w:color w:val="231F20"/>
          <w:lang w:val="en-US" w:eastAsia="it-IT"/>
        </w:rPr>
        <w:t>%</w:t>
      </w:r>
      <w:r w:rsidR="0026366E" w:rsidRPr="00924A19">
        <w:rPr>
          <w:rFonts w:ascii="Book Antiqua" w:eastAsiaTheme="minorEastAsia" w:hAnsi="Book Antiqua" w:cs="AdvAGaramond-R" w:hint="eastAsia"/>
          <w:color w:val="231F20"/>
          <w:lang w:val="en-US"/>
        </w:rPr>
        <w:t>-</w:t>
      </w:r>
      <w:r w:rsidRPr="00924A19">
        <w:rPr>
          <w:rFonts w:ascii="Book Antiqua" w:eastAsia="AdvAGaramond-R" w:hAnsi="Book Antiqua" w:cs="AdvAGaramond-R"/>
          <w:color w:val="231F20"/>
          <w:lang w:val="en-US" w:eastAsia="it-IT"/>
        </w:rPr>
        <w:t xml:space="preserve">35% of nucleotide sites and into 67 confirmed and 20 provisional subtypes, differing at </w:t>
      </w:r>
      <w:r w:rsidRPr="00924A19">
        <w:rPr>
          <w:rFonts w:ascii="Book Antiqua" w:eastAsia="AdvAGaramond-R" w:hAnsi="Book Antiqua" w:cs="AdvP4C4E51"/>
          <w:color w:val="231F20"/>
          <w:lang w:val="en-US" w:eastAsia="it-IT"/>
        </w:rPr>
        <w:t>&lt;</w:t>
      </w:r>
      <w:r w:rsidR="00F25212">
        <w:rPr>
          <w:rFonts w:ascii="Book Antiqua" w:eastAsiaTheme="minorEastAsia" w:hAnsi="Book Antiqua" w:cs="AdvP4C4E51" w:hint="eastAsia"/>
          <w:color w:val="231F20"/>
          <w:lang w:val="en-US"/>
        </w:rPr>
        <w:t xml:space="preserve"> </w:t>
      </w:r>
      <w:r w:rsidRPr="00924A19">
        <w:rPr>
          <w:rFonts w:ascii="Book Antiqua" w:eastAsia="AdvAGaramond-R" w:hAnsi="Book Antiqua" w:cs="AdvAGaramond-R"/>
          <w:color w:val="231F20"/>
          <w:lang w:val="en-US" w:eastAsia="it-IT"/>
        </w:rPr>
        <w:t>15% of nucleotide sites</w:t>
      </w:r>
      <w:r w:rsidRPr="00924A19">
        <w:rPr>
          <w:rFonts w:ascii="Book Antiqua" w:eastAsia="AdvAGaramond-R" w:hAnsi="Book Antiqua" w:cs="AdvAGaramond-R"/>
          <w:color w:val="231F20"/>
          <w:vertAlign w:val="superscript"/>
          <w:lang w:val="en-US" w:eastAsia="it-IT"/>
        </w:rPr>
        <w:t>[18]</w:t>
      </w:r>
      <w:r w:rsidRPr="00924A19">
        <w:rPr>
          <w:rFonts w:ascii="Book Antiqua" w:eastAsia="AdvAGaramond-R" w:hAnsi="Book Antiqua" w:cs="AdvAGaramond-R"/>
          <w:color w:val="231F20"/>
          <w:lang w:val="en-US" w:eastAsia="it-IT"/>
        </w:rPr>
        <w:t xml:space="preserve">. </w:t>
      </w:r>
    </w:p>
    <w:p w:rsidR="006C324B" w:rsidRPr="00924A19" w:rsidRDefault="006C324B" w:rsidP="0026366E">
      <w:pPr>
        <w:autoSpaceDE w:val="0"/>
        <w:autoSpaceDN w:val="0"/>
        <w:adjustRightIn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t>There are several methods used to determine HCV genotypes, all using the direct sequencing of specific pol</w:t>
      </w:r>
      <w:r w:rsidRPr="00924A19">
        <w:rPr>
          <w:rFonts w:ascii="Book Antiqua" w:eastAsia="AdvAGaramond-R" w:hAnsi="Book Antiqua" w:cs="AdvAGaramond-R" w:hint="eastAsia"/>
          <w:color w:val="231F20"/>
          <w:lang w:val="en-US" w:eastAsia="it-IT"/>
        </w:rPr>
        <w:t>ymerase chain reaction (PCR)-amplified portion</w:t>
      </w:r>
      <w:r w:rsidRPr="00924A19">
        <w:rPr>
          <w:rFonts w:ascii="Book Antiqua" w:eastAsia="AdvAGaramond-R" w:hAnsi="Book Antiqua" w:cs="AdvAGaramond-R"/>
          <w:color w:val="231F20"/>
          <w:lang w:val="en-US" w:eastAsia="it-IT"/>
        </w:rPr>
        <w:t>s</w:t>
      </w:r>
      <w:r w:rsidRPr="00924A19">
        <w:rPr>
          <w:rFonts w:ascii="Book Antiqua" w:eastAsia="AdvAGaramond-R" w:hAnsi="Book Antiqua" w:cs="AdvAGaramond-R" w:hint="eastAsia"/>
          <w:color w:val="231F20"/>
          <w:lang w:val="en-US" w:eastAsia="it-IT"/>
        </w:rPr>
        <w:t xml:space="preserve"> of the </w:t>
      </w:r>
      <w:r w:rsidRPr="00924A19">
        <w:rPr>
          <w:rFonts w:ascii="Book Antiqua" w:eastAsia="AdvAGaramond-R" w:hAnsi="Book Antiqua" w:cs="AdvAGaramond-R"/>
          <w:color w:val="231F20"/>
          <w:lang w:val="en-US" w:eastAsia="it-IT"/>
        </w:rPr>
        <w:t xml:space="preserve">virus </w:t>
      </w:r>
      <w:r w:rsidRPr="00924A19">
        <w:rPr>
          <w:rFonts w:ascii="Book Antiqua" w:eastAsia="AdvAGaramond-R" w:hAnsi="Book Antiqua" w:cs="AdvAGaramond-R" w:hint="eastAsia"/>
          <w:color w:val="231F20"/>
          <w:lang w:val="en-US" w:eastAsia="it-IT"/>
        </w:rPr>
        <w:t>(NS5, core, E1 and 5</w:t>
      </w:r>
      <w:r w:rsidRPr="00924A19">
        <w:rPr>
          <w:rFonts w:ascii="Book Antiqua" w:eastAsia="AdvAGaramond-R" w:hAnsi="Book Antiqua" w:cs="AdvAGaramond-R" w:hint="eastAsia"/>
          <w:color w:val="231F20"/>
          <w:lang w:val="en-US" w:eastAsia="it-IT"/>
        </w:rPr>
        <w:t>′</w:t>
      </w:r>
      <w:r w:rsidRPr="00924A19">
        <w:rPr>
          <w:rFonts w:ascii="Book Antiqua" w:eastAsia="AdvAGaramond-R" w:hAnsi="Book Antiqua" w:cs="AdvAGaramond-R" w:hint="eastAsia"/>
          <w:color w:val="231F20"/>
          <w:lang w:val="en-US" w:eastAsia="it-IT"/>
        </w:rPr>
        <w:t xml:space="preserve"> UTR regions)</w:t>
      </w:r>
      <w:r w:rsidRPr="00924A19">
        <w:rPr>
          <w:rFonts w:ascii="Book Antiqua" w:eastAsia="AdvAGaramond-R" w:hAnsi="Book Antiqua" w:cs="AdvAGaramond-R" w:hint="eastAsia"/>
          <w:color w:val="231F20"/>
          <w:vertAlign w:val="superscript"/>
          <w:lang w:val="en-US" w:eastAsia="it-IT"/>
        </w:rPr>
        <w:t>[18</w:t>
      </w:r>
      <w:r w:rsidR="00F25212">
        <w:rPr>
          <w:rFonts w:ascii="Book Antiqua" w:eastAsia="AdvAGaramond-R" w:hAnsi="Book Antiqua" w:cs="AdvAGaramond-R"/>
          <w:color w:val="231F20"/>
          <w:vertAlign w:val="superscript"/>
          <w:lang w:val="en-US" w:eastAsia="it-IT"/>
        </w:rPr>
        <w:t>,</w:t>
      </w:r>
      <w:r w:rsidR="001870F4" w:rsidRPr="00924A19">
        <w:rPr>
          <w:rFonts w:ascii="Book Antiqua" w:eastAsia="AdvAGaramond-R" w:hAnsi="Book Antiqua" w:cs="AdvAGaramond-R"/>
          <w:color w:val="231F20"/>
          <w:vertAlign w:val="superscript"/>
          <w:lang w:val="en-US" w:eastAsia="it-IT"/>
        </w:rPr>
        <w:t>19</w:t>
      </w:r>
      <w:r w:rsidR="0026366E" w:rsidRPr="00924A19">
        <w:rPr>
          <w:rFonts w:ascii="Book Antiqua" w:eastAsiaTheme="minorEastAsia" w:hAnsi="Book Antiqua" w:cs="AdvAGaramond-R" w:hint="eastAsia"/>
          <w:color w:val="231F20"/>
          <w:vertAlign w:val="superscript"/>
          <w:lang w:val="en-US"/>
        </w:rPr>
        <w:t>-</w:t>
      </w:r>
      <w:r w:rsidRPr="00924A19">
        <w:rPr>
          <w:rFonts w:ascii="Book Antiqua" w:eastAsia="AdvAGaramond-R" w:hAnsi="Book Antiqua" w:cs="AdvAGaramond-R"/>
          <w:color w:val="231F20"/>
          <w:vertAlign w:val="superscript"/>
          <w:lang w:val="en-US" w:eastAsia="it-IT"/>
        </w:rPr>
        <w:t>21</w:t>
      </w:r>
      <w:r w:rsidRPr="00924A19">
        <w:rPr>
          <w:rFonts w:ascii="Book Antiqua" w:eastAsia="AdvAGaramond-R" w:hAnsi="Book Antiqua" w:cs="AdvAGaramond-R" w:hint="eastAsia"/>
          <w:color w:val="231F20"/>
          <w:vertAlign w:val="superscript"/>
          <w:lang w:val="en-US" w:eastAsia="it-IT"/>
        </w:rPr>
        <w:t>]</w:t>
      </w:r>
      <w:r w:rsidRPr="00924A19">
        <w:rPr>
          <w:rFonts w:ascii="Book Antiqua" w:eastAsia="AdvAGaramond-R" w:hAnsi="Book Antiqua" w:cs="AdvAGaramond-R"/>
          <w:color w:val="231F20"/>
          <w:lang w:val="en-US" w:eastAsia="it-IT"/>
        </w:rPr>
        <w:t xml:space="preserve">, often </w:t>
      </w:r>
      <w:r w:rsidRPr="00924A19">
        <w:rPr>
          <w:rFonts w:ascii="Book Antiqua" w:eastAsia="AdvAGaramond-R" w:hAnsi="Book Antiqua" w:cs="AdvAGaramond-R" w:hint="eastAsia"/>
          <w:color w:val="231F20"/>
          <w:lang w:val="en-US" w:eastAsia="it-IT"/>
        </w:rPr>
        <w:t>in combination w</w:t>
      </w:r>
      <w:r w:rsidRPr="00924A19">
        <w:rPr>
          <w:rFonts w:ascii="Book Antiqua" w:eastAsia="AdvAGaramond-R" w:hAnsi="Book Antiqua" w:cs="AdvAGaramond-R"/>
          <w:color w:val="231F20"/>
          <w:lang w:val="en-US" w:eastAsia="it-IT"/>
        </w:rPr>
        <w:t>ith the phylogenetic analysis</w:t>
      </w:r>
      <w:r w:rsidR="001870F4" w:rsidRPr="00924A19">
        <w:rPr>
          <w:rFonts w:ascii="Book Antiqua" w:eastAsia="AdvAGaramond-R" w:hAnsi="Book Antiqua" w:cs="AdvAGaramond-R"/>
          <w:color w:val="231F20"/>
          <w:vertAlign w:val="superscript"/>
          <w:lang w:val="en-US" w:eastAsia="it-IT"/>
        </w:rPr>
        <w:t>[17</w:t>
      </w:r>
      <w:r w:rsidRPr="00924A19">
        <w:rPr>
          <w:rFonts w:ascii="Book Antiqua" w:eastAsia="AdvAGaramond-R" w:hAnsi="Book Antiqua" w:cs="AdvAGaramond-R"/>
          <w:color w:val="231F20"/>
          <w:vertAlign w:val="superscript"/>
          <w:lang w:val="en-US" w:eastAsia="it-IT"/>
        </w:rPr>
        <w:t>]</w:t>
      </w:r>
      <w:r w:rsidRPr="00924A19">
        <w:rPr>
          <w:rFonts w:ascii="Book Antiqua" w:eastAsia="AdvAGaramond-R" w:hAnsi="Book Antiqua" w:cs="AdvAGaramond-R"/>
          <w:color w:val="231F20"/>
          <w:lang w:val="en-US" w:eastAsia="it-IT"/>
        </w:rPr>
        <w:t>. Apart from the Restriction fragment length polymorphisms (RFLP), in which restriction enzymes are able to recognize genotype-specific cleavage sites in a PCR-amplified DNA fragments</w:t>
      </w:r>
      <w:r w:rsidRPr="00924A19">
        <w:rPr>
          <w:rFonts w:ascii="Book Antiqua" w:eastAsia="AdvAGaramond-R" w:hAnsi="Book Antiqua" w:cs="AdvAGaramond-R"/>
          <w:color w:val="231F20"/>
          <w:vertAlign w:val="superscript"/>
          <w:lang w:val="en-US" w:eastAsia="it-IT"/>
        </w:rPr>
        <w:t>[22]</w:t>
      </w:r>
      <w:r w:rsidRPr="00924A19">
        <w:rPr>
          <w:rFonts w:ascii="Book Antiqua" w:eastAsia="AdvAGaramond-R" w:hAnsi="Book Antiqua" w:cs="AdvAGaramond-R"/>
          <w:color w:val="231F20"/>
          <w:lang w:val="en-US" w:eastAsia="it-IT"/>
        </w:rPr>
        <w:t xml:space="preserve"> but whose sensitivity and specificity seems to need further investigations</w:t>
      </w:r>
      <w:r w:rsidRPr="00924A19">
        <w:rPr>
          <w:rFonts w:ascii="Book Antiqua" w:eastAsia="AdvAGaramond-R" w:hAnsi="Book Antiqua" w:cs="AdvAGaramond-R"/>
          <w:color w:val="231F20"/>
          <w:vertAlign w:val="superscript"/>
          <w:lang w:val="en-US" w:eastAsia="it-IT"/>
        </w:rPr>
        <w:t>[23]</w:t>
      </w:r>
      <w:r w:rsidRPr="00924A19">
        <w:rPr>
          <w:rFonts w:ascii="Book Antiqua" w:eastAsia="AdvAGaramond-R" w:hAnsi="Book Antiqua" w:cs="AdvAGaramond-R"/>
          <w:color w:val="231F20"/>
          <w:lang w:val="en-US" w:eastAsia="it-IT"/>
        </w:rPr>
        <w:t xml:space="preserve"> and Kinetic amplification</w:t>
      </w:r>
      <w:r w:rsidRPr="00924A19">
        <w:rPr>
          <w:rFonts w:ascii="Book Antiqua" w:eastAsia="AdvAGaramond-R" w:hAnsi="Book Antiqua" w:cs="AdvAGaramond-R"/>
          <w:color w:val="231F20"/>
          <w:vertAlign w:val="superscript"/>
          <w:lang w:val="en-US" w:eastAsia="it-IT"/>
        </w:rPr>
        <w:t>[24</w:t>
      </w:r>
      <w:r w:rsidR="0026366E" w:rsidRPr="00924A19">
        <w:rPr>
          <w:rFonts w:ascii="Book Antiqua" w:eastAsiaTheme="minorEastAsia" w:hAnsi="Book Antiqua" w:cs="AdvAGaramond-R" w:hint="eastAsia"/>
          <w:color w:val="231F20"/>
          <w:vertAlign w:val="superscript"/>
          <w:lang w:val="en-US"/>
        </w:rPr>
        <w:t>,</w:t>
      </w:r>
      <w:r w:rsidRPr="00924A19">
        <w:rPr>
          <w:rFonts w:ascii="Book Antiqua" w:eastAsia="AdvAGaramond-R" w:hAnsi="Book Antiqua" w:cs="AdvAGaramond-R"/>
          <w:color w:val="231F20"/>
          <w:vertAlign w:val="superscript"/>
          <w:lang w:val="en-US" w:eastAsia="it-IT"/>
        </w:rPr>
        <w:t>25]</w:t>
      </w:r>
      <w:r w:rsidRPr="00924A19">
        <w:rPr>
          <w:rFonts w:ascii="Book Antiqua" w:eastAsia="AdvAGaramond-R" w:hAnsi="Book Antiqua" w:cs="AdvAGaramond-R"/>
          <w:color w:val="231F20"/>
          <w:lang w:val="en-US" w:eastAsia="it-IT"/>
        </w:rPr>
        <w:t>, whose reproducibility will need surely more investigations in the future, the most common method for its simple interpretation is surely Line probe assays (LiPA)</w:t>
      </w:r>
      <w:r w:rsidRPr="00924A19">
        <w:rPr>
          <w:rFonts w:ascii="Book Antiqua" w:eastAsia="AdvAGaramond-R" w:hAnsi="Book Antiqua" w:cs="AdvAGaramond-R"/>
          <w:color w:val="231F20"/>
          <w:vertAlign w:val="superscript"/>
          <w:lang w:val="en-US" w:eastAsia="it-IT"/>
        </w:rPr>
        <w:t>[14–16]</w:t>
      </w:r>
      <w:r w:rsidRPr="00924A19">
        <w:rPr>
          <w:rFonts w:ascii="Book Antiqua" w:eastAsia="AdvAGaramond-R" w:hAnsi="Book Antiqua" w:cs="AdvAGaramond-R"/>
          <w:color w:val="231F20"/>
          <w:lang w:val="en-US" w:eastAsia="it-IT"/>
        </w:rPr>
        <w:t xml:space="preserve">, in which PCR amplified fragments are able to hybridize to genotype-specific probes immobilized on nitrocellulose strips. </w:t>
      </w:r>
    </w:p>
    <w:p w:rsidR="006C324B" w:rsidRPr="00924A19" w:rsidRDefault="006C324B" w:rsidP="0026366E">
      <w:pPr>
        <w:autoSpaceDE w:val="0"/>
        <w:autoSpaceDN w:val="0"/>
        <w:adjustRightIn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t>Genotype-specific antibodies able to recognize the NS4 region of HCV have also been exploited</w:t>
      </w:r>
      <w:r w:rsidRPr="00924A19">
        <w:rPr>
          <w:rFonts w:ascii="Book Antiqua" w:eastAsia="AdvAGaramond-R" w:hAnsi="Book Antiqua" w:cs="AdvAGaramond-R"/>
          <w:color w:val="231F20"/>
          <w:vertAlign w:val="superscript"/>
          <w:lang w:val="en-US" w:eastAsia="it-IT"/>
        </w:rPr>
        <w:t>[20]</w:t>
      </w:r>
      <w:r w:rsidRPr="00924A19">
        <w:rPr>
          <w:rFonts w:ascii="Book Antiqua" w:eastAsia="AdvAGaramond-R" w:hAnsi="Book Antiqua" w:cs="AdvAGaramond-R"/>
          <w:color w:val="231F20"/>
          <w:lang w:val="en-US" w:eastAsia="it-IT"/>
        </w:rPr>
        <w:t>, even if this type of serological genotyping still lacks specificity and sensitivity with huge limits of its clinical applications.</w:t>
      </w:r>
    </w:p>
    <w:p w:rsidR="006C324B" w:rsidRPr="00924A19" w:rsidRDefault="006C324B" w:rsidP="0026366E">
      <w:pPr>
        <w:autoSpaceDE w:val="0"/>
        <w:autoSpaceDN w:val="0"/>
        <w:adjustRightIn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t>The geographic distribution of HCV genotypes is rather complex. The so called “epidemic subtypes” —specifically 1a, 1b, 2a, and 3a— are widely distributed worldwide and account for a great proportion of the totality of HCV cases, especially in high income countries. They were probably spread in the 70’s and 80’s, before HCV sequencing, through transfusion, blood products and drug abusers</w:t>
      </w:r>
      <w:r w:rsidRPr="00924A19">
        <w:rPr>
          <w:rFonts w:ascii="Book Antiqua" w:eastAsia="AdvAGaramond-R" w:hAnsi="Book Antiqua" w:cs="AdvAGaramond-R"/>
          <w:color w:val="231F20"/>
          <w:vertAlign w:val="superscript"/>
          <w:lang w:val="en-US" w:eastAsia="it-IT"/>
        </w:rPr>
        <w:t>[26-29]</w:t>
      </w:r>
      <w:r w:rsidRPr="00924A19">
        <w:rPr>
          <w:rFonts w:ascii="Book Antiqua" w:eastAsia="AdvAGaramond-R" w:hAnsi="Book Antiqua" w:cs="AdvAGaramond-R"/>
          <w:color w:val="231F20"/>
          <w:lang w:val="en-US" w:eastAsia="it-IT"/>
        </w:rPr>
        <w:t xml:space="preserve">. </w:t>
      </w:r>
    </w:p>
    <w:p w:rsidR="006C324B" w:rsidRPr="00924A19" w:rsidRDefault="006C324B" w:rsidP="0026366E">
      <w:pPr>
        <w:autoSpaceDE w:val="0"/>
        <w:autoSpaceDN w:val="0"/>
        <w:adjustRightIn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t xml:space="preserve">The so called “endemic” strains, instead, are comparatively more rare and have been restricted for long time in specific regions, as West Africa, Southern Asia, </w:t>
      </w:r>
      <w:r w:rsidRPr="00924A19">
        <w:rPr>
          <w:rFonts w:ascii="Book Antiqua" w:eastAsia="AdvAGaramond-R" w:hAnsi="Book Antiqua" w:cs="AdvAGaramond-R"/>
          <w:color w:val="231F20"/>
          <w:lang w:val="en-US" w:eastAsia="it-IT"/>
        </w:rPr>
        <w:lastRenderedPageBreak/>
        <w:t>Central Africa and South Eastern Asia</w:t>
      </w:r>
      <w:r w:rsidRPr="00924A19">
        <w:rPr>
          <w:rFonts w:ascii="Book Antiqua" w:eastAsia="AdvAGaramond-R" w:hAnsi="Book Antiqua" w:cs="AdvAGaramond-R"/>
          <w:color w:val="231F20"/>
          <w:vertAlign w:val="superscript"/>
          <w:lang w:val="en-US" w:eastAsia="it-IT"/>
        </w:rPr>
        <w:t>[26,30,31]</w:t>
      </w:r>
      <w:r w:rsidRPr="00924A19">
        <w:rPr>
          <w:rFonts w:ascii="Book Antiqua" w:eastAsia="AdvAGaramond-R" w:hAnsi="Book Antiqua" w:cs="AdvAGaramond-R"/>
          <w:color w:val="231F20"/>
          <w:lang w:val="en-US" w:eastAsia="it-IT"/>
        </w:rPr>
        <w:t>.</w:t>
      </w:r>
      <w:r w:rsidR="00F25212">
        <w:rPr>
          <w:rFonts w:ascii="Book Antiqua" w:eastAsiaTheme="minorEastAsia" w:hAnsi="Book Antiqua" w:cs="AdvAGaramond-R" w:hint="eastAsia"/>
          <w:color w:val="231F20"/>
          <w:lang w:val="en-US"/>
        </w:rPr>
        <w:t xml:space="preserve"> </w:t>
      </w:r>
      <w:r w:rsidRPr="00924A19">
        <w:rPr>
          <w:rFonts w:ascii="Book Antiqua" w:eastAsia="AdvAGaramond-R" w:hAnsi="Book Antiqua" w:cs="AdvAGaramond-R"/>
          <w:color w:val="231F20"/>
          <w:lang w:val="en-US" w:eastAsia="it-IT"/>
        </w:rPr>
        <w:t>At present, only one genotype 7 infection has been reported from a Central African immigrant in Canada</w:t>
      </w:r>
      <w:r w:rsidRPr="00924A19">
        <w:rPr>
          <w:rFonts w:ascii="Book Antiqua" w:eastAsia="AdvAGaramond-R" w:hAnsi="Book Antiqua" w:cs="AdvAGaramond-R"/>
          <w:color w:val="231F20"/>
          <w:vertAlign w:val="superscript"/>
          <w:lang w:val="en-US" w:eastAsia="it-IT"/>
        </w:rPr>
        <w:t>[32]</w:t>
      </w:r>
      <w:r w:rsidRPr="00924A19">
        <w:rPr>
          <w:rFonts w:ascii="Book Antiqua" w:eastAsia="AdvAGaramond-R" w:hAnsi="Book Antiqua" w:cs="AdvAGaramond-R"/>
          <w:color w:val="231F20"/>
          <w:lang w:val="en-US" w:eastAsia="it-IT"/>
        </w:rPr>
        <w:t xml:space="preserve">. </w:t>
      </w:r>
    </w:p>
    <w:p w:rsidR="006C324B" w:rsidRPr="00924A19" w:rsidRDefault="006C324B" w:rsidP="0026366E">
      <w:pPr>
        <w:autoSpaceDE w:val="0"/>
        <w:autoSpaceDN w:val="0"/>
        <w:adjustRightIn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t>The present global distribution of HCV genotypes has undoubtedly been influenced by historical events (for example the trans- Atlantic slave trade) or by the contemporary human migration trends</w:t>
      </w:r>
      <w:r w:rsidRPr="00924A19">
        <w:rPr>
          <w:rFonts w:ascii="Book Antiqua" w:eastAsia="AdvAGaramond-R" w:hAnsi="Book Antiqua" w:cs="AdvAGaramond-R"/>
          <w:color w:val="231F20"/>
          <w:vertAlign w:val="superscript"/>
          <w:lang w:val="en-US" w:eastAsia="it-IT"/>
        </w:rPr>
        <w:t>[33]</w:t>
      </w:r>
      <w:r w:rsidRPr="00924A19">
        <w:rPr>
          <w:rFonts w:ascii="Book Antiqua" w:eastAsia="AdvAGaramond-R" w:hAnsi="Book Antiqua" w:cs="AdvAGaramond-R"/>
          <w:color w:val="231F20"/>
          <w:lang w:val="en-US" w:eastAsia="it-IT"/>
        </w:rPr>
        <w:t>.</w:t>
      </w:r>
    </w:p>
    <w:p w:rsidR="006C324B" w:rsidRPr="00924A19" w:rsidRDefault="006C324B" w:rsidP="0026366E">
      <w:pPr>
        <w:autoSpaceDE w:val="0"/>
        <w:autoSpaceDN w:val="0"/>
        <w:adjustRightInd w:val="0"/>
        <w:spacing w:line="360" w:lineRule="auto"/>
        <w:ind w:firstLineChars="100" w:firstLine="240"/>
        <w:jc w:val="both"/>
        <w:rPr>
          <w:rFonts w:ascii="Book Antiqua" w:eastAsia="Times New Roman" w:hAnsi="Book Antiqua" w:cs="AdvGulliv-R"/>
          <w:lang w:val="en-US" w:eastAsia="it-IT"/>
        </w:rPr>
      </w:pPr>
      <w:r w:rsidRPr="00924A19">
        <w:rPr>
          <w:rFonts w:ascii="Book Antiqua" w:eastAsia="Times New Roman" w:hAnsi="Book Antiqua" w:cs="AdvGulliv-R"/>
          <w:lang w:val="en-US" w:eastAsia="it-IT"/>
        </w:rPr>
        <w:t>Since the duration and the cost of clinical treatments useful to fight HCV infection are still mostly impacted by the different clinical evolution that each HCV subtype seems to have, especially until pan-genotypic therapies will not able to reach the global market,</w:t>
      </w:r>
      <w:r w:rsidR="001870F4" w:rsidRPr="00924A19">
        <w:rPr>
          <w:rFonts w:ascii="Book Antiqua" w:eastAsia="Times New Roman" w:hAnsi="Book Antiqua" w:cs="AdvGulliv-R"/>
          <w:lang w:val="en-US" w:eastAsia="it-IT"/>
        </w:rPr>
        <w:t xml:space="preserve"> </w:t>
      </w:r>
      <w:r w:rsidRPr="00924A19">
        <w:rPr>
          <w:rFonts w:ascii="Book Antiqua" w:eastAsia="Times New Roman" w:hAnsi="Book Antiqua" w:cs="AdvGulliv-R"/>
          <w:lang w:val="en-US" w:eastAsia="it-IT"/>
        </w:rPr>
        <w:t>a correct knowledge of the HCV distribution is surely crucial to contain this global burden disease. At the present, however, more than half of the countries in the world do not have robust studies of the HCV infected population.</w:t>
      </w:r>
    </w:p>
    <w:p w:rsidR="006C324B" w:rsidRPr="00924A19" w:rsidRDefault="006C324B" w:rsidP="0026366E">
      <w:pPr>
        <w:autoSpaceDE w:val="0"/>
        <w:autoSpaceDN w:val="0"/>
        <w:adjustRightInd w:val="0"/>
        <w:spacing w:line="360" w:lineRule="auto"/>
        <w:ind w:firstLineChars="100" w:firstLine="240"/>
        <w:jc w:val="both"/>
        <w:rPr>
          <w:rFonts w:ascii="Book Antiqua" w:eastAsia="Times New Roman" w:hAnsi="Book Antiqua" w:cs="AdvGulliv-R"/>
          <w:lang w:val="en-US" w:eastAsia="it-IT"/>
        </w:rPr>
      </w:pPr>
      <w:r w:rsidRPr="00924A19">
        <w:rPr>
          <w:rFonts w:ascii="Book Antiqua" w:eastAsia="Times New Roman" w:hAnsi="Book Antiqua" w:cs="AdvGulliv-R"/>
          <w:lang w:val="en-US" w:eastAsia="it-IT"/>
        </w:rPr>
        <w:t>The purpose of this study was to conduct a comprehensive review of recently published literature to estimate anti- HCV prevalence, the viraemic rate (HCV- RNA positive) and genotype distribution to generate a global estimate of HCV disease burden.</w:t>
      </w:r>
    </w:p>
    <w:p w:rsidR="00EA11FE" w:rsidRPr="00924A19" w:rsidRDefault="00EA11FE" w:rsidP="0026366E">
      <w:pPr>
        <w:autoSpaceDE w:val="0"/>
        <w:autoSpaceDN w:val="0"/>
        <w:adjustRightInd w:val="0"/>
        <w:snapToGrid w:val="0"/>
        <w:spacing w:line="360" w:lineRule="auto"/>
        <w:jc w:val="both"/>
        <w:rPr>
          <w:rFonts w:ascii="Book Antiqua" w:eastAsia="Times New Roman" w:hAnsi="Book Antiqua" w:cs="AdvGulliv-R"/>
          <w:lang w:val="en-US" w:eastAsia="it-IT"/>
        </w:rPr>
      </w:pPr>
    </w:p>
    <w:p w:rsidR="0026366E" w:rsidRPr="00924A19" w:rsidRDefault="00697BB7" w:rsidP="0026366E">
      <w:pPr>
        <w:autoSpaceDE w:val="0"/>
        <w:autoSpaceDN w:val="0"/>
        <w:adjustRightInd w:val="0"/>
        <w:snapToGrid w:val="0"/>
        <w:spacing w:line="360" w:lineRule="auto"/>
        <w:jc w:val="both"/>
        <w:rPr>
          <w:rFonts w:ascii="Book Antiqua" w:eastAsiaTheme="minorEastAsia" w:hAnsi="Book Antiqua" w:cs="AdvMinionNormal_Rm"/>
          <w:lang w:val="en-US"/>
        </w:rPr>
      </w:pPr>
      <w:r w:rsidRPr="00924A19">
        <w:rPr>
          <w:rFonts w:ascii="Book Antiqua" w:hAnsi="Book Antiqua"/>
          <w:b/>
          <w:caps/>
          <w:lang w:val="en-US"/>
        </w:rPr>
        <w:t>Materials and methods</w:t>
      </w:r>
    </w:p>
    <w:p w:rsidR="00BD635D" w:rsidRPr="00924A19" w:rsidRDefault="00730593" w:rsidP="0026366E">
      <w:pPr>
        <w:autoSpaceDE w:val="0"/>
        <w:autoSpaceDN w:val="0"/>
        <w:adjustRightInd w:val="0"/>
        <w:snapToGrid w:val="0"/>
        <w:spacing w:line="360" w:lineRule="auto"/>
        <w:jc w:val="both"/>
        <w:rPr>
          <w:rFonts w:ascii="Book Antiqua" w:eastAsia="Times New Roman" w:hAnsi="Book Antiqua" w:cs="AdvMinionNormal_Rm"/>
          <w:lang w:val="en-US" w:eastAsia="it-IT"/>
        </w:rPr>
      </w:pPr>
      <w:r w:rsidRPr="00924A19">
        <w:rPr>
          <w:rFonts w:ascii="Book Antiqua" w:eastAsia="Times New Roman" w:hAnsi="Book Antiqua" w:cs="AdvMinionNormal_Rm"/>
          <w:lang w:val="en-US" w:eastAsia="it-IT"/>
        </w:rPr>
        <w:t xml:space="preserve">A comprehensive review of the literature </w:t>
      </w:r>
      <w:r w:rsidR="008E171D" w:rsidRPr="00924A19">
        <w:rPr>
          <w:rFonts w:ascii="Book Antiqua" w:eastAsia="Times New Roman" w:hAnsi="Book Antiqua" w:cs="AdvMinionNormal_Rm"/>
          <w:lang w:val="en-US" w:eastAsia="it-IT"/>
        </w:rPr>
        <w:t xml:space="preserve">from 2000 to 2015 </w:t>
      </w:r>
      <w:r w:rsidRPr="00924A19">
        <w:rPr>
          <w:rFonts w:ascii="Book Antiqua" w:eastAsia="Times New Roman" w:hAnsi="Book Antiqua" w:cs="AdvMinionNormal_Rm"/>
          <w:lang w:val="en-US" w:eastAsia="it-IT"/>
        </w:rPr>
        <w:t>was used to gather country-specific data on prevalence, number of diagnosed individuals and genotype distribution.</w:t>
      </w:r>
      <w:r w:rsidR="00BD635D" w:rsidRPr="00924A19">
        <w:rPr>
          <w:rFonts w:ascii="Book Antiqua" w:eastAsia="Times New Roman" w:hAnsi="Book Antiqua" w:cs="AdvMinionNormal_Rm"/>
          <w:lang w:val="en-US" w:eastAsia="it-IT"/>
        </w:rPr>
        <w:t xml:space="preserve"> References were identified through two sources: indexed journals and non-indexed sources. Indexed articles were found by searching PubMed and regional databases using the following terms: </w:t>
      </w:r>
      <w:r w:rsidR="00BD635D" w:rsidRPr="00924A19">
        <w:rPr>
          <w:rFonts w:ascii="Book Antiqua" w:eastAsia="Times New Roman" w:hAnsi="Book Antiqua" w:cs="AdvGulliv-R"/>
          <w:color w:val="000000"/>
          <w:lang w:val="en-US" w:eastAsia="it-IT"/>
        </w:rPr>
        <w:t xml:space="preserve">‘‘[Country Name] and [hepatitis c or </w:t>
      </w:r>
      <w:r w:rsidR="00D50026" w:rsidRPr="00924A19">
        <w:rPr>
          <w:rFonts w:ascii="Book Antiqua" w:eastAsia="Times New Roman" w:hAnsi="Book Antiqua" w:cs="AdvGulliv-R"/>
          <w:color w:val="000000"/>
          <w:lang w:val="en-US" w:eastAsia="it-IT"/>
        </w:rPr>
        <w:t>HCV</w:t>
      </w:r>
      <w:r w:rsidR="00BD635D" w:rsidRPr="00924A19">
        <w:rPr>
          <w:rFonts w:ascii="Book Antiqua" w:eastAsia="Times New Roman" w:hAnsi="Book Antiqua" w:cs="AdvGulliv-R"/>
          <w:color w:val="000000"/>
          <w:lang w:val="en-US" w:eastAsia="it-IT"/>
        </w:rPr>
        <w:t>] and [prevalence]’’ or [genotypes]</w:t>
      </w:r>
      <w:r w:rsidR="00184665" w:rsidRPr="00924A19">
        <w:rPr>
          <w:rFonts w:ascii="Book Antiqua" w:eastAsiaTheme="minorEastAsia" w:hAnsi="Book Antiqua" w:cs="AdvGulliv-R" w:hint="eastAsia"/>
          <w:color w:val="000000"/>
          <w:lang w:val="en-US"/>
        </w:rPr>
        <w:t xml:space="preserve"> </w:t>
      </w:r>
      <w:r w:rsidR="00BD635D" w:rsidRPr="00924A19">
        <w:rPr>
          <w:rFonts w:ascii="Book Antiqua" w:eastAsia="Times New Roman" w:hAnsi="Book Antiqua" w:cs="AdvGulliv-R"/>
          <w:color w:val="000000"/>
          <w:lang w:val="en-US" w:eastAsia="it-IT"/>
        </w:rPr>
        <w:t xml:space="preserve">or [viraemia]’’. </w:t>
      </w:r>
      <w:r w:rsidR="00BD635D" w:rsidRPr="00924A19">
        <w:rPr>
          <w:rFonts w:ascii="Book Antiqua" w:eastAsia="Times New Roman" w:hAnsi="Book Antiqua" w:cs="AdvMinionNormal_Rm"/>
          <w:lang w:val="en-US" w:eastAsia="it-IT"/>
        </w:rPr>
        <w:t xml:space="preserve">Furthermore, references cited within the articles were used. </w:t>
      </w:r>
    </w:p>
    <w:p w:rsidR="0073194D" w:rsidRPr="00924A19" w:rsidRDefault="00EA11FE" w:rsidP="0026366E">
      <w:pPr>
        <w:autoSpaceDE w:val="0"/>
        <w:autoSpaceDN w:val="0"/>
        <w:adjustRightInd w:val="0"/>
        <w:snapToGri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Times New Roman" w:hAnsi="Book Antiqua" w:cs="AdvGulliv-R"/>
          <w:color w:val="000000"/>
          <w:lang w:val="en-US" w:eastAsia="it-IT"/>
        </w:rPr>
        <w:t>Regions included in the analysis were those defined by the Global Burden of Diseases, Injuries, and Risk Factors 2010 (GBD) study</w:t>
      </w:r>
      <w:r w:rsidR="00F33BEA" w:rsidRPr="00924A19">
        <w:rPr>
          <w:rFonts w:ascii="Book Antiqua" w:eastAsia="AdvAGaramond-R" w:hAnsi="Book Antiqua" w:cs="AdvAGaramond-R"/>
          <w:color w:val="231F20"/>
          <w:vertAlign w:val="superscript"/>
          <w:lang w:val="en-US" w:eastAsia="it-IT"/>
        </w:rPr>
        <w:t>[</w:t>
      </w:r>
      <w:r w:rsidR="00FF0FF3" w:rsidRPr="00924A19">
        <w:rPr>
          <w:rFonts w:ascii="Book Antiqua" w:eastAsia="AdvAGaramond-R" w:hAnsi="Book Antiqua" w:cs="AdvAGaramond-R"/>
          <w:color w:val="231F20"/>
          <w:vertAlign w:val="superscript"/>
          <w:lang w:val="en-US" w:eastAsia="it-IT"/>
        </w:rPr>
        <w:t>34</w:t>
      </w:r>
      <w:r w:rsidR="00F33BEA" w:rsidRPr="00924A19">
        <w:rPr>
          <w:rFonts w:ascii="Book Antiqua" w:eastAsia="AdvAGaramond-R" w:hAnsi="Book Antiqua" w:cs="AdvAGaramond-R"/>
          <w:color w:val="231F20"/>
          <w:vertAlign w:val="superscript"/>
          <w:lang w:val="en-US" w:eastAsia="it-IT"/>
        </w:rPr>
        <w:t>,</w:t>
      </w:r>
      <w:r w:rsidR="00FF0FF3" w:rsidRPr="00924A19">
        <w:rPr>
          <w:rFonts w:ascii="Book Antiqua" w:eastAsia="AdvAGaramond-R" w:hAnsi="Book Antiqua" w:cs="AdvAGaramond-R"/>
          <w:color w:val="231F20"/>
          <w:vertAlign w:val="superscript"/>
          <w:lang w:val="en-US" w:eastAsia="it-IT"/>
        </w:rPr>
        <w:t>35</w:t>
      </w:r>
      <w:r w:rsidR="00F33BEA" w:rsidRPr="00924A19">
        <w:rPr>
          <w:rFonts w:ascii="Book Antiqua" w:eastAsia="AdvAGaramond-R" w:hAnsi="Book Antiqua" w:cs="AdvAGaramond-R"/>
          <w:color w:val="231F20"/>
          <w:vertAlign w:val="superscript"/>
          <w:lang w:val="en-US" w:eastAsia="it-IT"/>
        </w:rPr>
        <w:t>]</w:t>
      </w:r>
      <w:r w:rsidRPr="00924A19">
        <w:rPr>
          <w:rFonts w:ascii="Book Antiqua" w:eastAsia="Times New Roman" w:hAnsi="Book Antiqua" w:cs="AdvGulliv-R"/>
          <w:color w:val="000000"/>
          <w:lang w:val="en-US" w:eastAsia="it-IT"/>
        </w:rPr>
        <w:t>.</w:t>
      </w:r>
      <w:r w:rsidR="00184665" w:rsidRPr="00924A19">
        <w:rPr>
          <w:rFonts w:ascii="Book Antiqua" w:eastAsiaTheme="minorEastAsia" w:hAnsi="Book Antiqua" w:cs="AdvGulliv-R" w:hint="eastAsia"/>
          <w:color w:val="000000"/>
          <w:lang w:val="en-US"/>
        </w:rPr>
        <w:t xml:space="preserve"> </w:t>
      </w:r>
      <w:r w:rsidR="00173A9F" w:rsidRPr="00924A19">
        <w:rPr>
          <w:rFonts w:ascii="Book Antiqua" w:eastAsia="AdvAGaramond-R" w:hAnsi="Book Antiqua" w:cs="AdvAGaramond-R"/>
          <w:color w:val="231F20"/>
          <w:lang w:val="en-US" w:eastAsia="it-IT"/>
        </w:rPr>
        <w:t xml:space="preserve">This study defined 21 </w:t>
      </w:r>
      <w:r w:rsidR="00173A9F" w:rsidRPr="00924A19">
        <w:rPr>
          <w:rFonts w:ascii="Book Antiqua" w:eastAsia="AdvAGaramond-R" w:hAnsi="Book Antiqua" w:cs="AdvAGaramond-R"/>
          <w:color w:val="231F20"/>
          <w:lang w:val="en-US" w:eastAsia="it-IT"/>
        </w:rPr>
        <w:lastRenderedPageBreak/>
        <w:t>regions that were ‘‘epidemiologically homogenous as possible so that information from detailed studies in one country can plausibly be extrapolated to other countries in the region to create burden estimates that are useful to individual countries in planning</w:t>
      </w:r>
      <w:r w:rsidR="00F33CDD" w:rsidRPr="00924A19">
        <w:rPr>
          <w:rFonts w:ascii="Book Antiqua" w:eastAsia="AdvAGaramond-R" w:hAnsi="Book Antiqua" w:cs="AdvAGaramond-R"/>
          <w:color w:val="231F20"/>
          <w:lang w:val="en-US" w:eastAsia="it-IT"/>
        </w:rPr>
        <w:t xml:space="preserve"> for health sector activities”</w:t>
      </w:r>
      <w:r w:rsidR="00F33BEA" w:rsidRPr="00924A19">
        <w:rPr>
          <w:rFonts w:ascii="Book Antiqua" w:eastAsia="AdvAGaramond-R" w:hAnsi="Book Antiqua" w:cs="AdvAGaramond-R"/>
          <w:color w:val="231F20"/>
          <w:vertAlign w:val="superscript"/>
          <w:lang w:val="en-US" w:eastAsia="it-IT"/>
        </w:rPr>
        <w:t>[</w:t>
      </w:r>
      <w:r w:rsidR="00FF0FF3" w:rsidRPr="00924A19">
        <w:rPr>
          <w:rFonts w:ascii="Book Antiqua" w:eastAsia="AdvAGaramond-R" w:hAnsi="Book Antiqua" w:cs="AdvAGaramond-R"/>
          <w:color w:val="231F20"/>
          <w:vertAlign w:val="superscript"/>
          <w:lang w:val="en-US" w:eastAsia="it-IT"/>
        </w:rPr>
        <w:t>36</w:t>
      </w:r>
      <w:r w:rsidR="00F33BEA" w:rsidRPr="00924A19">
        <w:rPr>
          <w:rFonts w:ascii="Book Antiqua" w:eastAsia="AdvAGaramond-R" w:hAnsi="Book Antiqua" w:cs="AdvAGaramond-R"/>
          <w:color w:val="231F20"/>
          <w:vertAlign w:val="superscript"/>
          <w:lang w:val="en-US" w:eastAsia="it-IT"/>
        </w:rPr>
        <w:t>]</w:t>
      </w:r>
      <w:r w:rsidR="00F33CDD" w:rsidRPr="00924A19">
        <w:rPr>
          <w:rFonts w:ascii="Book Antiqua" w:eastAsia="AdvAGaramond-R" w:hAnsi="Book Antiqua" w:cs="AdvAGaramond-R"/>
          <w:color w:val="231F20"/>
          <w:lang w:val="en-US" w:eastAsia="it-IT"/>
        </w:rPr>
        <w:t>.</w:t>
      </w:r>
    </w:p>
    <w:p w:rsidR="003931C6" w:rsidRPr="00924A19" w:rsidRDefault="003931C6" w:rsidP="0026366E">
      <w:pPr>
        <w:autoSpaceDE w:val="0"/>
        <w:autoSpaceDN w:val="0"/>
        <w:adjustRightInd w:val="0"/>
        <w:snapToGri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t>The average HCV prevalence for each continent was calculated by dividing the sum of data reported from each region to the total number of countries within the region. The first- and second generation immunoassay tests which usually provide false-positive results overestimating the total infected population</w:t>
      </w:r>
      <w:r w:rsidRPr="00924A19">
        <w:rPr>
          <w:rFonts w:ascii="Book Antiqua" w:eastAsia="AdvAGaramond-R" w:hAnsi="Book Antiqua" w:cs="AdvAGaramond-R"/>
          <w:color w:val="231F20"/>
          <w:vertAlign w:val="superscript"/>
          <w:lang w:val="en-US" w:eastAsia="it-IT"/>
        </w:rPr>
        <w:t xml:space="preserve">[37,38] </w:t>
      </w:r>
      <w:r w:rsidRPr="00924A19">
        <w:rPr>
          <w:rFonts w:ascii="Book Antiqua" w:eastAsia="AdvAGaramond-R" w:hAnsi="Book Antiqua" w:cs="AdvAGaramond-R"/>
          <w:color w:val="231F20"/>
          <w:lang w:val="en-US" w:eastAsia="it-IT"/>
        </w:rPr>
        <w:t xml:space="preserve">were not used to estimate the country’s HCV prevalence, selecting only studies in which it was used a third generation test. Similarly, the </w:t>
      </w:r>
      <w:r w:rsidR="002F76D7" w:rsidRPr="00924A19">
        <w:rPr>
          <w:rFonts w:ascii="Book Antiqua" w:eastAsia="AdvAGaramond-R" w:hAnsi="Book Antiqua" w:cs="AdvAGaramond-R"/>
          <w:color w:val="231F20"/>
          <w:lang w:val="en-US" w:eastAsia="it-IT"/>
        </w:rPr>
        <w:t xml:space="preserve">genotyping and the </w:t>
      </w:r>
      <w:r w:rsidRPr="00924A19">
        <w:rPr>
          <w:rFonts w:ascii="Book Antiqua" w:eastAsia="AdvAGaramond-R" w:hAnsi="Book Antiqua" w:cs="AdvAGaramond-R"/>
          <w:color w:val="231F20"/>
          <w:lang w:val="en-US" w:eastAsia="it-IT"/>
        </w:rPr>
        <w:t xml:space="preserve">viraemic rate was obtained only by </w:t>
      </w:r>
      <w:r w:rsidR="004742CA" w:rsidRPr="00924A19">
        <w:rPr>
          <w:rFonts w:ascii="Book Antiqua" w:eastAsia="AdvAGaramond-R" w:hAnsi="Book Antiqua" w:cs="AdvAGaramond-R"/>
          <w:color w:val="231F20"/>
          <w:lang w:val="en-US" w:eastAsia="it-IT"/>
        </w:rPr>
        <w:t xml:space="preserve">considering </w:t>
      </w:r>
      <w:r w:rsidRPr="00924A19">
        <w:rPr>
          <w:rFonts w:ascii="Book Antiqua" w:eastAsia="AdvAGaramond-R" w:hAnsi="Book Antiqua" w:cs="AdvAGaramond-R"/>
          <w:color w:val="231F20"/>
          <w:lang w:val="en-US" w:eastAsia="it-IT"/>
        </w:rPr>
        <w:t xml:space="preserve">studies in which </w:t>
      </w:r>
      <w:r w:rsidR="002F76D7" w:rsidRPr="00924A19">
        <w:rPr>
          <w:rFonts w:ascii="Book Antiqua" w:eastAsia="AdvAGaramond-R" w:hAnsi="Book Antiqua" w:cs="AdvAGaramond-R"/>
          <w:color w:val="231F20"/>
          <w:lang w:val="en-US" w:eastAsia="it-IT"/>
        </w:rPr>
        <w:t xml:space="preserve">LiPa test and </w:t>
      </w:r>
      <w:r w:rsidRPr="00924A19">
        <w:rPr>
          <w:rFonts w:ascii="Book Antiqua" w:eastAsia="AdvAGaramond-R" w:hAnsi="Book Antiqua" w:cs="AdvAGaramond-R"/>
          <w:color w:val="231F20"/>
          <w:lang w:val="en-US" w:eastAsia="it-IT"/>
        </w:rPr>
        <w:t>a well described PCR RT system</w:t>
      </w:r>
      <w:r w:rsidR="004742CA" w:rsidRPr="00924A19">
        <w:rPr>
          <w:rFonts w:ascii="Book Antiqua" w:eastAsia="AdvAGaramond-R" w:hAnsi="Book Antiqua" w:cs="AdvAGaramond-R"/>
          <w:color w:val="231F20"/>
          <w:lang w:val="en-US" w:eastAsia="it-IT"/>
        </w:rPr>
        <w:t xml:space="preserve"> (range of sensitivity and linearity)</w:t>
      </w:r>
      <w:r w:rsidRPr="00924A19">
        <w:rPr>
          <w:rFonts w:ascii="Book Antiqua" w:eastAsia="AdvAGaramond-R" w:hAnsi="Book Antiqua" w:cs="AdvAGaramond-R"/>
          <w:color w:val="231F20"/>
          <w:lang w:val="en-US" w:eastAsia="it-IT"/>
        </w:rPr>
        <w:t>was used.</w:t>
      </w:r>
    </w:p>
    <w:p w:rsidR="004742CA" w:rsidRPr="00924A19" w:rsidRDefault="00EA11FE" w:rsidP="0026366E">
      <w:pPr>
        <w:autoSpaceDE w:val="0"/>
        <w:autoSpaceDN w:val="0"/>
        <w:adjustRightInd w:val="0"/>
        <w:snapToGrid w:val="0"/>
        <w:spacing w:line="360" w:lineRule="auto"/>
        <w:ind w:firstLineChars="100" w:firstLine="240"/>
        <w:jc w:val="both"/>
        <w:rPr>
          <w:rFonts w:ascii="Book Antiqua" w:eastAsia="Times New Roman" w:hAnsi="Book Antiqua" w:cs="AdvGulliv-R"/>
          <w:color w:val="000000"/>
          <w:lang w:val="en-US" w:eastAsia="it-IT"/>
        </w:rPr>
      </w:pPr>
      <w:r w:rsidRPr="00924A19">
        <w:rPr>
          <w:rFonts w:ascii="Book Antiqua" w:eastAsia="Times New Roman" w:hAnsi="Book Antiqua" w:cs="AdvGulliv-R"/>
          <w:color w:val="000000"/>
          <w:lang w:val="en-US" w:eastAsia="it-IT"/>
        </w:rPr>
        <w:t>Article titles and abstracts were reviewed for relevance and the following data were extracted from full articles or abstracts: anti-HCV prevalence, viraemic prevalence</w:t>
      </w:r>
      <w:r w:rsidR="00977E3D" w:rsidRPr="00924A19">
        <w:rPr>
          <w:rFonts w:ascii="Book Antiqua" w:eastAsia="Times New Roman" w:hAnsi="Book Antiqua" w:cs="AdvGulliv-R"/>
          <w:color w:val="000000"/>
          <w:lang w:val="en-US" w:eastAsia="it-IT"/>
        </w:rPr>
        <w:t xml:space="preserve">, </w:t>
      </w:r>
      <w:r w:rsidR="005E5784" w:rsidRPr="00924A19">
        <w:rPr>
          <w:rFonts w:ascii="Book Antiqua" w:eastAsia="Times New Roman" w:hAnsi="Book Antiqua" w:cs="AdvGulliv-R"/>
          <w:color w:val="000000"/>
          <w:lang w:val="en-US" w:eastAsia="it-IT"/>
        </w:rPr>
        <w:t>viraemic rate</w:t>
      </w:r>
      <w:r w:rsidR="00977E3D" w:rsidRPr="00924A19">
        <w:rPr>
          <w:rFonts w:ascii="Book Antiqua" w:eastAsia="Times New Roman" w:hAnsi="Book Antiqua" w:cs="AdvGulliv-R"/>
          <w:color w:val="000000"/>
          <w:lang w:val="en-US" w:eastAsia="it-IT"/>
        </w:rPr>
        <w:t xml:space="preserve"> and genotypes distribution</w:t>
      </w:r>
      <w:r w:rsidR="005E5784" w:rsidRPr="00924A19">
        <w:rPr>
          <w:rFonts w:ascii="Book Antiqua" w:eastAsia="Times New Roman" w:hAnsi="Book Antiqua" w:cs="AdvGulliv-R"/>
          <w:color w:val="000000"/>
          <w:lang w:val="en-US" w:eastAsia="it-IT"/>
        </w:rPr>
        <w:t xml:space="preserve">. </w:t>
      </w:r>
    </w:p>
    <w:p w:rsidR="00EA11FE" w:rsidRPr="00924A19" w:rsidRDefault="004742CA" w:rsidP="0026366E">
      <w:pPr>
        <w:autoSpaceDE w:val="0"/>
        <w:autoSpaceDN w:val="0"/>
        <w:adjustRightInd w:val="0"/>
        <w:snapToGrid w:val="0"/>
        <w:spacing w:line="360" w:lineRule="auto"/>
        <w:ind w:firstLineChars="100" w:firstLine="240"/>
        <w:jc w:val="both"/>
        <w:rPr>
          <w:rFonts w:ascii="Book Antiqua" w:eastAsia="Times New Roman" w:hAnsi="Book Antiqua" w:cs="AdvGulliv-R"/>
          <w:color w:val="000000"/>
          <w:lang w:val="en-US" w:eastAsia="it-IT"/>
        </w:rPr>
      </w:pPr>
      <w:r w:rsidRPr="00924A19">
        <w:rPr>
          <w:rFonts w:ascii="Book Antiqua" w:eastAsia="Times New Roman" w:hAnsi="Book Antiqua" w:cs="AdvGulliv-R"/>
          <w:color w:val="000000"/>
          <w:lang w:val="en-US" w:eastAsia="it-IT"/>
        </w:rPr>
        <w:t>The infected general population was composed of high-risk groups [</w:t>
      </w:r>
      <w:r w:rsidRPr="00924A19">
        <w:rPr>
          <w:rFonts w:ascii="Book Antiqua" w:eastAsia="Times New Roman" w:hAnsi="Book Antiqua" w:cs="AdvGulliv-R"/>
          <w:i/>
          <w:color w:val="000000"/>
          <w:lang w:val="en-US" w:eastAsia="it-IT"/>
        </w:rPr>
        <w:t>e.g.</w:t>
      </w:r>
      <w:r w:rsidR="0026366E" w:rsidRPr="00924A19">
        <w:rPr>
          <w:rFonts w:ascii="Book Antiqua" w:eastAsiaTheme="minorEastAsia" w:hAnsi="Book Antiqua" w:cs="AdvGulliv-R" w:hint="eastAsia"/>
          <w:i/>
          <w:color w:val="000000"/>
          <w:lang w:val="en-US"/>
        </w:rPr>
        <w:t xml:space="preserve">, </w:t>
      </w:r>
      <w:r w:rsidRPr="00924A19">
        <w:rPr>
          <w:rFonts w:ascii="Book Antiqua" w:eastAsia="Times New Roman" w:hAnsi="Book Antiqua" w:cs="AdvGulliv-R"/>
          <w:lang w:val="en-US" w:eastAsia="it-IT"/>
        </w:rPr>
        <w:t xml:space="preserve">people who inject drugs (PWID’s), </w:t>
      </w:r>
      <w:r w:rsidRPr="00924A19">
        <w:rPr>
          <w:rFonts w:ascii="Book Antiqua" w:eastAsia="Times New Roman" w:hAnsi="Book Antiqua" w:cs="AdvGulliv-R"/>
          <w:color w:val="000000"/>
          <w:lang w:val="en-US" w:eastAsia="it-IT"/>
        </w:rPr>
        <w:t xml:space="preserve">dialysis patients, </w:t>
      </w:r>
      <w:r w:rsidRPr="00924A19">
        <w:rPr>
          <w:rFonts w:ascii="Book Antiqua" w:eastAsia="Times New Roman" w:hAnsi="Book Antiqua" w:cs="AdvGulliv-R"/>
          <w:lang w:val="en-US" w:eastAsia="it-IT"/>
        </w:rPr>
        <w:t>haemophiliacs, minority ethnic groups</w:t>
      </w:r>
      <w:r w:rsidRPr="00924A19">
        <w:rPr>
          <w:rFonts w:ascii="Book Antiqua" w:eastAsia="Times New Roman" w:hAnsi="Book Antiqua" w:cs="AdvGulliv-R"/>
          <w:color w:val="000000"/>
          <w:lang w:val="en-US" w:eastAsia="it-IT"/>
        </w:rPr>
        <w:t xml:space="preserve">, </w:t>
      </w:r>
      <w:r w:rsidRPr="00924A19">
        <w:rPr>
          <w:rFonts w:ascii="Book Antiqua" w:eastAsia="Times New Roman" w:hAnsi="Book Antiqua" w:cs="AdvGulliv-R"/>
          <w:i/>
          <w:color w:val="000000"/>
          <w:lang w:val="en-US" w:eastAsia="it-IT"/>
        </w:rPr>
        <w:t>etc</w:t>
      </w:r>
      <w:r w:rsidR="005B0FA3" w:rsidRPr="00924A19">
        <w:rPr>
          <w:rFonts w:ascii="Book Antiqua" w:eastAsia="Times New Roman" w:hAnsi="Book Antiqua" w:cs="AdvGulliv-R"/>
          <w:i/>
          <w:color w:val="000000"/>
          <w:lang w:val="en-US" w:eastAsia="it-IT"/>
        </w:rPr>
        <w:t>.</w:t>
      </w:r>
      <w:r w:rsidRPr="00924A19">
        <w:rPr>
          <w:rFonts w:ascii="Book Antiqua" w:eastAsia="Times New Roman" w:hAnsi="Book Antiqua" w:cs="AdvGulliv-R"/>
          <w:color w:val="000000"/>
          <w:lang w:val="en-US" w:eastAsia="it-IT"/>
        </w:rPr>
        <w:t>] as well as non-high-risk groups that contracted the disease through contact with infected blood (</w:t>
      </w:r>
      <w:r w:rsidRPr="00924A19">
        <w:rPr>
          <w:rFonts w:ascii="Book Antiqua" w:eastAsia="Times New Roman" w:hAnsi="Book Antiqua" w:cs="AdvGulliv-R"/>
          <w:i/>
          <w:color w:val="000000"/>
          <w:lang w:val="en-US" w:eastAsia="it-IT"/>
        </w:rPr>
        <w:t>e.g.</w:t>
      </w:r>
      <w:r w:rsidRPr="00924A19">
        <w:rPr>
          <w:rFonts w:ascii="Book Antiqua" w:eastAsia="Times New Roman" w:hAnsi="Book Antiqua" w:cs="AdvGulliv-R"/>
          <w:color w:val="000000"/>
          <w:lang w:val="en-US" w:eastAsia="it-IT"/>
        </w:rPr>
        <w:t xml:space="preserve"> nosocomial infections, dental procedures, </w:t>
      </w:r>
      <w:r w:rsidRPr="00924A19">
        <w:rPr>
          <w:rFonts w:ascii="Book Antiqua" w:eastAsia="Times New Roman" w:hAnsi="Book Antiqua" w:cs="AdvGulliv-R"/>
          <w:i/>
          <w:color w:val="000000"/>
          <w:lang w:val="en-US" w:eastAsia="it-IT"/>
        </w:rPr>
        <w:t>etc.</w:t>
      </w:r>
      <w:r w:rsidRPr="00924A19">
        <w:rPr>
          <w:rFonts w:ascii="Book Antiqua" w:eastAsia="Times New Roman" w:hAnsi="Book Antiqua" w:cs="AdvGulliv-R"/>
          <w:color w:val="000000"/>
          <w:lang w:val="en-US" w:eastAsia="it-IT"/>
        </w:rPr>
        <w:t xml:space="preserve">). </w:t>
      </w:r>
      <w:r w:rsidR="005E5784" w:rsidRPr="00924A19">
        <w:rPr>
          <w:rFonts w:ascii="Book Antiqua" w:eastAsia="Times New Roman" w:hAnsi="Book Antiqua" w:cs="AdvGulliv-R"/>
          <w:lang w:val="en-US" w:eastAsia="it-IT"/>
        </w:rPr>
        <w:t xml:space="preserve">Studies with a sample size of less than 1000 and studies published prior to 2000 </w:t>
      </w:r>
      <w:r w:rsidR="008B0930" w:rsidRPr="00924A19">
        <w:rPr>
          <w:rFonts w:ascii="Book Antiqua" w:eastAsia="Times New Roman" w:hAnsi="Book Antiqua" w:cs="AdvGulliv-R"/>
          <w:lang w:val="en-US" w:eastAsia="it-IT"/>
        </w:rPr>
        <w:t xml:space="preserve">or not in English </w:t>
      </w:r>
      <w:r w:rsidR="005E5784" w:rsidRPr="00924A19">
        <w:rPr>
          <w:rFonts w:ascii="Book Antiqua" w:eastAsia="Times New Roman" w:hAnsi="Book Antiqua" w:cs="AdvGulliv-R"/>
          <w:lang w:val="en-US" w:eastAsia="it-IT"/>
        </w:rPr>
        <w:t>were excluded from the analysis.</w:t>
      </w:r>
    </w:p>
    <w:p w:rsidR="00F030EC" w:rsidRPr="00924A19" w:rsidRDefault="004E7EA3" w:rsidP="0026366E">
      <w:pPr>
        <w:autoSpaceDE w:val="0"/>
        <w:autoSpaceDN w:val="0"/>
        <w:adjustRightInd w:val="0"/>
        <w:snapToGrid w:val="0"/>
        <w:spacing w:line="360" w:lineRule="auto"/>
        <w:ind w:firstLineChars="100" w:firstLine="240"/>
        <w:jc w:val="both"/>
        <w:rPr>
          <w:rFonts w:ascii="Book Antiqua" w:eastAsia="Times New Roman" w:hAnsi="Book Antiqua" w:cs="AdvAGaramond-B"/>
          <w:color w:val="231F20"/>
          <w:lang w:val="en-US" w:eastAsia="it-IT"/>
        </w:rPr>
      </w:pPr>
      <w:r w:rsidRPr="00924A19">
        <w:rPr>
          <w:rFonts w:ascii="Book Antiqua" w:eastAsia="Times New Roman" w:hAnsi="Book Antiqua" w:cs="AdvAGaramond-B"/>
          <w:caps/>
          <w:color w:val="231F20"/>
          <w:lang w:val="en-US" w:eastAsia="it-IT"/>
        </w:rPr>
        <w:t>f</w:t>
      </w:r>
      <w:r w:rsidRPr="00924A19">
        <w:rPr>
          <w:rFonts w:ascii="Book Antiqua" w:eastAsia="Times New Roman" w:hAnsi="Book Antiqua" w:cs="AdvAGaramond-B"/>
          <w:color w:val="231F20"/>
          <w:lang w:val="en-US" w:eastAsia="it-IT"/>
        </w:rPr>
        <w:t>ive hundred and fifty-seven</w:t>
      </w:r>
      <w:r w:rsidR="00692737" w:rsidRPr="00924A19">
        <w:rPr>
          <w:rFonts w:ascii="Book Antiqua" w:eastAsia="Times New Roman" w:hAnsi="Book Antiqua" w:cs="AdvAGaramond-B"/>
          <w:color w:val="231F20"/>
          <w:lang w:val="en-US" w:eastAsia="it-IT"/>
        </w:rPr>
        <w:t xml:space="preserve"> </w:t>
      </w:r>
      <w:r w:rsidR="006E714D" w:rsidRPr="00924A19">
        <w:rPr>
          <w:rFonts w:ascii="Book Antiqua" w:eastAsia="Times New Roman" w:hAnsi="Book Antiqua" w:cs="AdvMinionNormal_Rm"/>
          <w:lang w:val="en-US" w:eastAsia="it-IT"/>
        </w:rPr>
        <w:t>articles were selected based on relevance. In addition, non-indexed sources were identified through searches</w:t>
      </w:r>
      <w:r w:rsidR="00692737" w:rsidRPr="00924A19">
        <w:rPr>
          <w:rFonts w:ascii="Book Antiqua" w:eastAsia="Times New Roman" w:hAnsi="Book Antiqua" w:cs="AdvMinionNormal_Rm"/>
          <w:lang w:val="en-US" w:eastAsia="it-IT"/>
        </w:rPr>
        <w:t xml:space="preserve"> </w:t>
      </w:r>
      <w:r w:rsidR="006E714D" w:rsidRPr="00924A19">
        <w:rPr>
          <w:rFonts w:ascii="Book Antiqua" w:eastAsia="Times New Roman" w:hAnsi="Book Antiqua" w:cs="AdvMinionNormal_Rm"/>
          <w:lang w:val="en-US" w:eastAsia="it-IT"/>
        </w:rPr>
        <w:t>of individual country’s Ministry of Health’s websites and</w:t>
      </w:r>
      <w:r w:rsidR="00692737" w:rsidRPr="00924A19">
        <w:rPr>
          <w:rFonts w:ascii="Book Antiqua" w:eastAsia="Times New Roman" w:hAnsi="Book Antiqua" w:cs="AdvMinionNormal_Rm"/>
          <w:lang w:val="en-US" w:eastAsia="it-IT"/>
        </w:rPr>
        <w:t xml:space="preserve"> </w:t>
      </w:r>
      <w:r w:rsidR="006E714D" w:rsidRPr="00924A19">
        <w:rPr>
          <w:rFonts w:ascii="Book Antiqua" w:eastAsia="Times New Roman" w:hAnsi="Book Antiqua" w:cs="AdvMinionNormal_Rm"/>
          <w:lang w:val="en-US" w:eastAsia="it-IT"/>
        </w:rPr>
        <w:t>international health agency reports.</w:t>
      </w:r>
      <w:r w:rsidR="00692737" w:rsidRPr="00924A19">
        <w:rPr>
          <w:rFonts w:ascii="Book Antiqua" w:eastAsia="Times New Roman" w:hAnsi="Book Antiqua" w:cs="AdvMinionNormal_Rm"/>
          <w:lang w:val="en-US" w:eastAsia="it-IT"/>
        </w:rPr>
        <w:t xml:space="preserve"> </w:t>
      </w:r>
      <w:r w:rsidR="00F030EC" w:rsidRPr="00924A19">
        <w:rPr>
          <w:rFonts w:ascii="Book Antiqua" w:eastAsia="AdvAGaramond-R" w:hAnsi="Book Antiqua" w:cs="AdvAGaramond-R"/>
          <w:color w:val="231F20"/>
          <w:lang w:val="en-US" w:eastAsia="it-IT"/>
        </w:rPr>
        <w:t xml:space="preserve">If articles contained the same patient cohort then this cohort was only counted once. </w:t>
      </w:r>
    </w:p>
    <w:p w:rsidR="008B0930" w:rsidRPr="00924A19" w:rsidRDefault="008B0930" w:rsidP="0026366E">
      <w:pPr>
        <w:autoSpaceDE w:val="0"/>
        <w:autoSpaceDN w:val="0"/>
        <w:adjustRightInd w:val="0"/>
        <w:snapToGrid w:val="0"/>
        <w:spacing w:line="360" w:lineRule="auto"/>
        <w:ind w:firstLineChars="100" w:firstLine="240"/>
        <w:jc w:val="both"/>
        <w:rPr>
          <w:rFonts w:ascii="Book Antiqua" w:eastAsia="Times New Roman" w:hAnsi="Book Antiqua" w:cs="AdvMinionNormal_Rm"/>
          <w:lang w:val="en-US" w:eastAsia="it-IT"/>
        </w:rPr>
      </w:pPr>
      <w:r w:rsidRPr="00924A19">
        <w:rPr>
          <w:rFonts w:ascii="Book Antiqua" w:eastAsia="Times New Roman" w:hAnsi="Book Antiqua" w:cs="AdvMinionNormal_Rm"/>
          <w:lang w:val="en-US" w:eastAsia="it-IT"/>
        </w:rPr>
        <w:t>Because the first- and second generation immunoassay tests may provide false-posit</w:t>
      </w:r>
      <w:r w:rsidR="0036290F" w:rsidRPr="00924A19">
        <w:rPr>
          <w:rFonts w:ascii="Book Antiqua" w:eastAsia="Times New Roman" w:hAnsi="Book Antiqua" w:cs="AdvMinionNormal_Rm"/>
          <w:lang w:val="en-US" w:eastAsia="it-IT"/>
        </w:rPr>
        <w:t>ive results, which can overestimate</w:t>
      </w:r>
      <w:r w:rsidRPr="00924A19">
        <w:rPr>
          <w:rFonts w:ascii="Book Antiqua" w:eastAsia="Times New Roman" w:hAnsi="Book Antiqua" w:cs="AdvMinionNormal_Rm"/>
          <w:lang w:val="en-US" w:eastAsia="it-IT"/>
        </w:rPr>
        <w:t xml:space="preserve"> the total </w:t>
      </w:r>
      <w:r w:rsidR="0036290F" w:rsidRPr="00924A19">
        <w:rPr>
          <w:rFonts w:ascii="Book Antiqua" w:eastAsia="Times New Roman" w:hAnsi="Book Antiqua" w:cs="AdvMinionNormal_Rm"/>
          <w:lang w:val="en-US" w:eastAsia="it-IT"/>
        </w:rPr>
        <w:t xml:space="preserve">infected population, </w:t>
      </w:r>
      <w:r w:rsidRPr="00924A19">
        <w:rPr>
          <w:rFonts w:ascii="Book Antiqua" w:eastAsia="Times New Roman" w:hAnsi="Book Antiqua" w:cs="AdvMinionNormal_Rm"/>
          <w:lang w:val="en-US" w:eastAsia="it-IT"/>
        </w:rPr>
        <w:t xml:space="preserve">care was </w:t>
      </w:r>
      <w:r w:rsidRPr="00924A19">
        <w:rPr>
          <w:rFonts w:ascii="Book Antiqua" w:eastAsia="Times New Roman" w:hAnsi="Book Antiqua" w:cs="AdvMinionNormal_Rm"/>
          <w:lang w:val="en-US" w:eastAsia="it-IT"/>
        </w:rPr>
        <w:lastRenderedPageBreak/>
        <w:t>taken to use only studies that used the latest generation tests to estimate the country’s prevalence.</w:t>
      </w:r>
    </w:p>
    <w:p w:rsidR="00F030EC" w:rsidRPr="00924A19" w:rsidRDefault="00F030EC" w:rsidP="0026366E">
      <w:pPr>
        <w:autoSpaceDE w:val="0"/>
        <w:autoSpaceDN w:val="0"/>
        <w:adjustRightInd w:val="0"/>
        <w:snapToGrid w:val="0"/>
        <w:spacing w:line="360" w:lineRule="auto"/>
        <w:ind w:firstLineChars="100" w:firstLine="240"/>
        <w:jc w:val="both"/>
        <w:rPr>
          <w:rFonts w:ascii="Book Antiqua" w:eastAsia="Times New Roman" w:hAnsi="Book Antiqua" w:cs="AdvMinionNormal_Rm"/>
          <w:lang w:val="en-US" w:eastAsia="it-IT"/>
        </w:rPr>
      </w:pPr>
      <w:r w:rsidRPr="00924A19">
        <w:rPr>
          <w:rFonts w:ascii="Book Antiqua" w:eastAsia="AdvAGaramond-R" w:hAnsi="Book Antiqua" w:cs="AdvAGaramond-R"/>
          <w:color w:val="231F20"/>
          <w:lang w:val="en-US" w:eastAsia="it-IT"/>
        </w:rPr>
        <w:t xml:space="preserve">In the majority of studies HCV cases were classified </w:t>
      </w:r>
      <w:r w:rsidR="00FF0FF3" w:rsidRPr="00924A19">
        <w:rPr>
          <w:rFonts w:ascii="Book Antiqua" w:eastAsia="AdvAGaramond-R" w:hAnsi="Book Antiqua" w:cs="AdvAGaramond-R"/>
          <w:color w:val="231F20"/>
          <w:lang w:val="en-US" w:eastAsia="it-IT"/>
        </w:rPr>
        <w:t>by LiPa Method</w:t>
      </w:r>
      <w:r w:rsidR="00692737" w:rsidRPr="00924A19">
        <w:rPr>
          <w:rFonts w:ascii="Book Antiqua" w:eastAsia="AdvAGaramond-R" w:hAnsi="Book Antiqua" w:cs="AdvAGaramond-R"/>
          <w:color w:val="231F20"/>
          <w:lang w:val="en-US" w:eastAsia="it-IT"/>
        </w:rPr>
        <w:t xml:space="preserve"> </w:t>
      </w:r>
      <w:r w:rsidRPr="00924A19">
        <w:rPr>
          <w:rFonts w:ascii="Book Antiqua" w:eastAsia="AdvAGaramond-R" w:hAnsi="Book Antiqua" w:cs="AdvAGaramond-R"/>
          <w:color w:val="231F20"/>
          <w:lang w:val="en-US" w:eastAsia="it-IT"/>
        </w:rPr>
        <w:t>at the genotype level, but not at the subtype level, so we decided to use only genotype classification</w:t>
      </w:r>
      <w:r w:rsidR="00692737" w:rsidRPr="00924A19">
        <w:rPr>
          <w:rFonts w:ascii="Book Antiqua" w:eastAsia="AdvAGaramond-R" w:hAnsi="Book Antiqua" w:cs="AdvAGaramond-R"/>
          <w:color w:val="231F20"/>
          <w:lang w:val="en-US" w:eastAsia="it-IT"/>
        </w:rPr>
        <w:t xml:space="preserve"> </w:t>
      </w:r>
      <w:r w:rsidRPr="00924A19">
        <w:rPr>
          <w:rFonts w:ascii="Book Antiqua" w:eastAsia="AdvAGaramond-R" w:hAnsi="Book Antiqua" w:cs="AdvAGaramond-R"/>
          <w:color w:val="231F20"/>
          <w:lang w:val="en-US" w:eastAsia="it-IT"/>
        </w:rPr>
        <w:t>using as general method that</w:t>
      </w:r>
      <w:r w:rsidR="00692737" w:rsidRPr="00924A19">
        <w:rPr>
          <w:rFonts w:ascii="Book Antiqua" w:eastAsia="AdvAGaramond-R" w:hAnsi="Book Antiqua" w:cs="AdvAGaramond-R"/>
          <w:color w:val="231F20"/>
          <w:lang w:val="en-US" w:eastAsia="it-IT"/>
        </w:rPr>
        <w:t xml:space="preserve"> </w:t>
      </w:r>
      <w:r w:rsidRPr="00924A19">
        <w:rPr>
          <w:rFonts w:ascii="Book Antiqua" w:eastAsia="AdvAGaramond-R" w:hAnsi="Book Antiqua" w:cs="AdvAGaramond-R"/>
          <w:color w:val="231F20"/>
          <w:lang w:val="en-US" w:eastAsia="it-IT"/>
        </w:rPr>
        <w:t xml:space="preserve">proposed by Simmonds </w:t>
      </w:r>
      <w:r w:rsidRPr="00924A19">
        <w:rPr>
          <w:rFonts w:ascii="Book Antiqua" w:eastAsia="AdvAGaramond-R" w:hAnsi="Book Antiqua" w:cs="AdvAGaramond-R"/>
          <w:i/>
          <w:color w:val="231F20"/>
          <w:lang w:val="en-US" w:eastAsia="it-IT"/>
        </w:rPr>
        <w:t>et al</w:t>
      </w:r>
      <w:r w:rsidR="00F33BEA" w:rsidRPr="00924A19">
        <w:rPr>
          <w:rFonts w:ascii="Book Antiqua" w:eastAsia="AdvAGaramond-R" w:hAnsi="Book Antiqua" w:cs="AdvAGaramond-R"/>
          <w:color w:val="231F20"/>
          <w:vertAlign w:val="superscript"/>
          <w:lang w:val="en-US" w:eastAsia="it-IT"/>
        </w:rPr>
        <w:t>[1</w:t>
      </w:r>
      <w:r w:rsidR="002356AF" w:rsidRPr="00924A19">
        <w:rPr>
          <w:rFonts w:ascii="Book Antiqua" w:eastAsia="AdvAGaramond-R" w:hAnsi="Book Antiqua" w:cs="AdvAGaramond-R"/>
          <w:color w:val="231F20"/>
          <w:vertAlign w:val="superscript"/>
          <w:lang w:val="en-US" w:eastAsia="it-IT"/>
        </w:rPr>
        <w:t>7</w:t>
      </w:r>
      <w:r w:rsidR="00F33BEA" w:rsidRPr="00924A19">
        <w:rPr>
          <w:rFonts w:ascii="Book Antiqua" w:eastAsia="AdvAGaramond-R" w:hAnsi="Book Antiqua" w:cs="AdvAGaramond-R"/>
          <w:color w:val="231F20"/>
          <w:vertAlign w:val="superscript"/>
          <w:lang w:val="en-US" w:eastAsia="it-IT"/>
        </w:rPr>
        <w:t>]</w:t>
      </w:r>
      <w:r w:rsidRPr="00924A19">
        <w:rPr>
          <w:rFonts w:ascii="Book Antiqua" w:eastAsia="AdvAGaramond-R" w:hAnsi="Book Antiqua" w:cs="AdvAGaramond-R"/>
          <w:color w:val="231F20"/>
          <w:lang w:val="en-US" w:eastAsia="it-IT"/>
        </w:rPr>
        <w:t xml:space="preserve">. </w:t>
      </w:r>
      <w:r w:rsidR="009B3ADE" w:rsidRPr="00924A19">
        <w:rPr>
          <w:rFonts w:ascii="Book Antiqua" w:eastAsia="AdvAGaramond-R" w:hAnsi="Book Antiqua" w:cs="AdvAGaramond-R"/>
          <w:color w:val="231F20"/>
          <w:lang w:val="en-US" w:eastAsia="it-IT"/>
        </w:rPr>
        <w:t>In case of one or more genotypes identified in the same patient, we classified it as “mixed”</w:t>
      </w:r>
      <w:r w:rsidRPr="00924A19">
        <w:rPr>
          <w:rFonts w:ascii="Book Antiqua" w:eastAsia="AdvAGaramond-R" w:hAnsi="Book Antiqua" w:cs="AdvAGaramond-R"/>
          <w:color w:val="231F20"/>
          <w:lang w:val="en-US" w:eastAsia="it-IT"/>
        </w:rPr>
        <w:t>. We did not include genotype 7 in the analysis.</w:t>
      </w:r>
    </w:p>
    <w:p w:rsidR="007728B5" w:rsidRPr="00924A19" w:rsidRDefault="007728B5" w:rsidP="0026366E">
      <w:pPr>
        <w:autoSpaceDE w:val="0"/>
        <w:autoSpaceDN w:val="0"/>
        <w:adjustRightInd w:val="0"/>
        <w:snapToGri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t xml:space="preserve">Countries for which we were unable to obtain HCV genotype prevalence data were excluded from calculations of regional proportions, although their populations were included in the total population size of each region when generating regional genotype prevalence estimates. </w:t>
      </w:r>
    </w:p>
    <w:p w:rsidR="008C444C" w:rsidRPr="00924A19" w:rsidRDefault="008C444C" w:rsidP="0026366E">
      <w:pPr>
        <w:snapToGrid w:val="0"/>
        <w:spacing w:line="360" w:lineRule="auto"/>
        <w:jc w:val="both"/>
        <w:rPr>
          <w:rFonts w:ascii="Book Antiqua" w:hAnsi="Book Antiqua"/>
          <w:b/>
          <w:lang w:val="en-GB"/>
        </w:rPr>
      </w:pPr>
    </w:p>
    <w:p w:rsidR="004E7EA3" w:rsidRPr="00924A19" w:rsidRDefault="004E7EA3" w:rsidP="0026366E">
      <w:pPr>
        <w:snapToGrid w:val="0"/>
        <w:spacing w:line="360" w:lineRule="auto"/>
        <w:ind w:left="120" w:hangingChars="50" w:hanging="120"/>
        <w:rPr>
          <w:rFonts w:ascii="Book Antiqua" w:hAnsi="Book Antiqua"/>
          <w:b/>
          <w:caps/>
          <w:lang w:val="en-US"/>
        </w:rPr>
      </w:pPr>
      <w:r w:rsidRPr="00924A19">
        <w:rPr>
          <w:rFonts w:ascii="Book Antiqua" w:hAnsi="Book Antiqua"/>
          <w:b/>
          <w:caps/>
          <w:lang w:val="en-US"/>
        </w:rPr>
        <w:t>Results</w:t>
      </w:r>
    </w:p>
    <w:p w:rsidR="006D79AB" w:rsidRPr="00924A19" w:rsidRDefault="006D79AB" w:rsidP="0026366E">
      <w:pPr>
        <w:snapToGrid w:val="0"/>
        <w:spacing w:line="360" w:lineRule="auto"/>
        <w:jc w:val="both"/>
        <w:rPr>
          <w:rFonts w:ascii="Book Antiqua" w:hAnsi="Book Antiqua"/>
          <w:b/>
          <w:i/>
          <w:lang w:val="en-GB"/>
        </w:rPr>
      </w:pPr>
      <w:r w:rsidRPr="00924A19">
        <w:rPr>
          <w:rFonts w:ascii="Book Antiqua" w:hAnsi="Book Antiqua"/>
          <w:b/>
          <w:i/>
          <w:lang w:val="en-GB"/>
        </w:rPr>
        <w:t>A</w:t>
      </w:r>
      <w:r w:rsidR="004E7EA3" w:rsidRPr="00924A19">
        <w:rPr>
          <w:rFonts w:ascii="Book Antiqua" w:hAnsi="Book Antiqua"/>
          <w:b/>
          <w:i/>
          <w:lang w:val="en-GB"/>
        </w:rPr>
        <w:t>frica</w:t>
      </w:r>
    </w:p>
    <w:p w:rsidR="006D79AB" w:rsidRPr="00924A19" w:rsidRDefault="006D79AB" w:rsidP="0026366E">
      <w:pPr>
        <w:snapToGrid w:val="0"/>
        <w:spacing w:line="360" w:lineRule="auto"/>
        <w:jc w:val="both"/>
        <w:rPr>
          <w:rFonts w:ascii="Book Antiqua" w:eastAsia="Times New Roman" w:hAnsi="Book Antiqua" w:cs="AdvGulliv-R"/>
          <w:color w:val="000000"/>
          <w:lang w:val="en-US" w:eastAsia="it-IT"/>
        </w:rPr>
      </w:pPr>
      <w:r w:rsidRPr="00924A19">
        <w:rPr>
          <w:rFonts w:ascii="Book Antiqua" w:eastAsia="Times New Roman" w:hAnsi="Book Antiqua" w:cs="AdvGulliv-R"/>
          <w:color w:val="000000"/>
          <w:lang w:val="en-US" w:eastAsia="it-IT"/>
        </w:rPr>
        <w:t xml:space="preserve">The Global Burden of Diseases, Injuries and Risk Factors study </w:t>
      </w:r>
      <w:r w:rsidR="00584731" w:rsidRPr="00924A19">
        <w:rPr>
          <w:rFonts w:ascii="Book Antiqua" w:eastAsia="Times New Roman" w:hAnsi="Book Antiqua" w:cs="AdvGulliv-R"/>
          <w:color w:val="000000"/>
          <w:lang w:val="en-US" w:eastAsia="it-IT"/>
        </w:rPr>
        <w:t xml:space="preserve">(GBD) </w:t>
      </w:r>
      <w:r w:rsidRPr="00924A19">
        <w:rPr>
          <w:rFonts w:ascii="Book Antiqua" w:eastAsia="Times New Roman" w:hAnsi="Book Antiqua" w:cs="AdvGulliv-R"/>
          <w:color w:val="000000"/>
          <w:lang w:val="en-US" w:eastAsia="it-IT"/>
        </w:rPr>
        <w:t xml:space="preserve">subdivides the African continent into 4 </w:t>
      </w:r>
      <w:r w:rsidR="00814F3B" w:rsidRPr="00924A19">
        <w:rPr>
          <w:rFonts w:ascii="Book Antiqua" w:eastAsia="Times New Roman" w:hAnsi="Book Antiqua" w:cs="AdvGulliv-R"/>
          <w:color w:val="000000"/>
          <w:lang w:val="en-US" w:eastAsia="it-IT"/>
        </w:rPr>
        <w:t xml:space="preserve">macro </w:t>
      </w:r>
      <w:r w:rsidRPr="00924A19">
        <w:rPr>
          <w:rFonts w:ascii="Book Antiqua" w:eastAsia="Times New Roman" w:hAnsi="Book Antiqua" w:cs="AdvGulliv-R"/>
          <w:color w:val="000000"/>
          <w:lang w:val="en-US" w:eastAsia="it-IT"/>
        </w:rPr>
        <w:t xml:space="preserve">areas: </w:t>
      </w:r>
      <w:r w:rsidR="0036290F" w:rsidRPr="00924A19">
        <w:rPr>
          <w:rFonts w:ascii="Book Antiqua" w:eastAsia="Times New Roman" w:hAnsi="Book Antiqua" w:cs="AdvGulliv-R"/>
          <w:color w:val="000000"/>
          <w:lang w:val="en-US" w:eastAsia="it-IT"/>
        </w:rPr>
        <w:t>Central</w:t>
      </w:r>
      <w:r w:rsidRPr="00924A19">
        <w:rPr>
          <w:rFonts w:ascii="Book Antiqua" w:eastAsia="Times New Roman" w:hAnsi="Book Antiqua" w:cs="AdvGulliv-R"/>
          <w:color w:val="000000"/>
          <w:lang w:val="en-US" w:eastAsia="it-IT"/>
        </w:rPr>
        <w:t>, East, West and Southern</w:t>
      </w:r>
      <w:r w:rsidR="00F45448" w:rsidRPr="00924A19">
        <w:rPr>
          <w:rFonts w:ascii="Book Antiqua" w:eastAsia="Times New Roman" w:hAnsi="Book Antiqua" w:cs="AdvGulliv-R"/>
          <w:color w:val="000000"/>
          <w:lang w:val="en-US" w:eastAsia="it-IT"/>
        </w:rPr>
        <w:t>,</w:t>
      </w:r>
      <w:r w:rsidRPr="00924A19">
        <w:rPr>
          <w:rFonts w:ascii="Book Antiqua" w:eastAsia="Times New Roman" w:hAnsi="Book Antiqua" w:cs="AdvGulliv-R"/>
          <w:color w:val="000000"/>
          <w:lang w:val="en-US" w:eastAsia="it-IT"/>
        </w:rPr>
        <w:t xml:space="preserve"> whereas </w:t>
      </w:r>
      <w:r w:rsidR="000B11B9" w:rsidRPr="00924A19">
        <w:rPr>
          <w:rFonts w:ascii="Book Antiqua" w:eastAsia="Times New Roman" w:hAnsi="Book Antiqua" w:cs="AdvGulliv-R"/>
          <w:color w:val="000000"/>
          <w:lang w:val="en-US" w:eastAsia="it-IT"/>
        </w:rPr>
        <w:t>the Sahar</w:t>
      </w:r>
      <w:r w:rsidR="00173DBA" w:rsidRPr="00924A19">
        <w:rPr>
          <w:rFonts w:ascii="Book Antiqua" w:eastAsia="Times New Roman" w:hAnsi="Book Antiqua" w:cs="AdvGulliv-R"/>
          <w:color w:val="000000"/>
          <w:lang w:val="en-US" w:eastAsia="it-IT"/>
        </w:rPr>
        <w:t xml:space="preserve">an area (North Africa) is generally </w:t>
      </w:r>
      <w:r w:rsidR="00F45448" w:rsidRPr="00924A19">
        <w:rPr>
          <w:rFonts w:ascii="Book Antiqua" w:eastAsia="Times New Roman" w:hAnsi="Book Antiqua" w:cs="AdvGulliv-R"/>
          <w:color w:val="000000"/>
          <w:lang w:val="en-US" w:eastAsia="it-IT"/>
        </w:rPr>
        <w:t>associated</w:t>
      </w:r>
      <w:r w:rsidR="00173DBA" w:rsidRPr="00924A19">
        <w:rPr>
          <w:rFonts w:ascii="Book Antiqua" w:eastAsia="Times New Roman" w:hAnsi="Book Antiqua" w:cs="AdvGulliv-R"/>
          <w:color w:val="000000"/>
          <w:lang w:val="en-US" w:eastAsia="it-IT"/>
        </w:rPr>
        <w:t xml:space="preserve"> with Middle East countries.</w:t>
      </w:r>
    </w:p>
    <w:p w:rsidR="005A70E2" w:rsidRPr="00924A19" w:rsidRDefault="00EF1131"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estimated prevalence of </w:t>
      </w:r>
      <w:r w:rsidR="00D15AAB" w:rsidRPr="00924A19">
        <w:rPr>
          <w:rFonts w:ascii="Book Antiqua" w:hAnsi="Book Antiqua"/>
          <w:lang w:val="en-US"/>
        </w:rPr>
        <w:t>anti-</w:t>
      </w:r>
      <w:r w:rsidRPr="00924A19">
        <w:rPr>
          <w:rFonts w:ascii="Book Antiqua" w:hAnsi="Book Antiqua"/>
          <w:lang w:val="en-US"/>
        </w:rPr>
        <w:t xml:space="preserve">HCV in </w:t>
      </w:r>
      <w:r w:rsidR="00584731" w:rsidRPr="00924A19">
        <w:rPr>
          <w:rFonts w:ascii="Book Antiqua" w:hAnsi="Book Antiqua"/>
          <w:lang w:val="en-US"/>
        </w:rPr>
        <w:t xml:space="preserve">the whole </w:t>
      </w:r>
      <w:r w:rsidR="000B11B9" w:rsidRPr="00924A19">
        <w:rPr>
          <w:rFonts w:ascii="Book Antiqua" w:hAnsi="Book Antiqua"/>
          <w:lang w:val="en-US"/>
        </w:rPr>
        <w:t xml:space="preserve">Sub- Saharan </w:t>
      </w:r>
      <w:r w:rsidRPr="00924A19">
        <w:rPr>
          <w:rFonts w:ascii="Book Antiqua" w:hAnsi="Book Antiqua"/>
          <w:lang w:val="en-US"/>
        </w:rPr>
        <w:t xml:space="preserve">Africa is </w:t>
      </w:r>
      <w:r w:rsidR="003F5D50" w:rsidRPr="00924A19">
        <w:rPr>
          <w:rFonts w:ascii="Book Antiqua" w:hAnsi="Book Antiqua"/>
          <w:lang w:val="en-US"/>
        </w:rPr>
        <w:t>2.9</w:t>
      </w:r>
      <w:r w:rsidRPr="00924A19">
        <w:rPr>
          <w:rFonts w:ascii="Book Antiqua" w:hAnsi="Book Antiqua"/>
          <w:lang w:val="en-US"/>
        </w:rPr>
        <w:t>%</w:t>
      </w:r>
      <w:r w:rsidR="00584731" w:rsidRPr="00924A19">
        <w:rPr>
          <w:rFonts w:ascii="Book Antiqua" w:hAnsi="Book Antiqua"/>
          <w:lang w:val="en-US"/>
        </w:rPr>
        <w:t xml:space="preserve">with an estimated 26.9 </w:t>
      </w:r>
      <w:r w:rsidR="00516180" w:rsidRPr="00924A19">
        <w:rPr>
          <w:rFonts w:ascii="Book Antiqua" w:hAnsi="Book Antiqua"/>
          <w:lang w:val="en-US"/>
        </w:rPr>
        <w:t>million</w:t>
      </w:r>
      <w:r w:rsidR="00584731" w:rsidRPr="00924A19">
        <w:rPr>
          <w:rFonts w:ascii="Book Antiqua" w:hAnsi="Book Antiqua"/>
          <w:lang w:val="en-US"/>
        </w:rPr>
        <w:t xml:space="preserve"> of cases</w:t>
      </w:r>
      <w:r w:rsidR="005A70E2" w:rsidRPr="00924A19">
        <w:rPr>
          <w:rFonts w:ascii="Book Antiqua" w:hAnsi="Book Antiqua"/>
          <w:lang w:val="en-US"/>
        </w:rPr>
        <w:t xml:space="preserve"> (Table 1), ranging from 6.0% in the Central area and 0.9% in the Southern countries (Table 2).</w:t>
      </w:r>
    </w:p>
    <w:p w:rsidR="00EF1131" w:rsidRPr="00924A19" w:rsidRDefault="000C1657"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viraemic rate is estimated at 70.5%, </w:t>
      </w:r>
      <w:r w:rsidR="005A70E2" w:rsidRPr="00924A19">
        <w:rPr>
          <w:rFonts w:ascii="Book Antiqua" w:hAnsi="Book Antiqua"/>
          <w:lang w:val="en-US"/>
        </w:rPr>
        <w:t xml:space="preserve">with a peak of 79.6% in the Western Africa (Table 2), </w:t>
      </w:r>
      <w:r w:rsidRPr="00924A19">
        <w:rPr>
          <w:rFonts w:ascii="Book Antiqua" w:hAnsi="Book Antiqua"/>
          <w:lang w:val="en-US"/>
        </w:rPr>
        <w:t>accounting almost 20.0millions of active HCV replication cases (Table 1).</w:t>
      </w:r>
    </w:p>
    <w:p w:rsidR="006560C7" w:rsidRPr="00924A19" w:rsidRDefault="007220DC"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most representative </w:t>
      </w:r>
      <w:r w:rsidR="006560C7" w:rsidRPr="00924A19">
        <w:rPr>
          <w:rFonts w:ascii="Book Antiqua" w:hAnsi="Book Antiqua"/>
          <w:lang w:val="en-US"/>
        </w:rPr>
        <w:t xml:space="preserve">genotype </w:t>
      </w:r>
      <w:r w:rsidRPr="00924A19">
        <w:rPr>
          <w:rFonts w:ascii="Book Antiqua" w:hAnsi="Book Antiqua"/>
          <w:lang w:val="en-US"/>
        </w:rPr>
        <w:t>is the genotype 4</w:t>
      </w:r>
      <w:r w:rsidR="0051063D" w:rsidRPr="00924A19">
        <w:rPr>
          <w:rFonts w:ascii="Book Antiqua" w:hAnsi="Book Antiqua"/>
          <w:lang w:val="en-US"/>
        </w:rPr>
        <w:t xml:space="preserve"> (G4) (</w:t>
      </w:r>
      <w:r w:rsidR="00146832" w:rsidRPr="00924A19">
        <w:rPr>
          <w:rFonts w:ascii="Book Antiqua" w:hAnsi="Book Antiqua"/>
          <w:lang w:val="en-US"/>
        </w:rPr>
        <w:t>28.1</w:t>
      </w:r>
      <w:r w:rsidRPr="00924A19">
        <w:rPr>
          <w:rFonts w:ascii="Book Antiqua" w:hAnsi="Book Antiqua"/>
          <w:lang w:val="en-US"/>
        </w:rPr>
        <w:t>%), followed by genotype</w:t>
      </w:r>
      <w:r w:rsidR="00E8370E" w:rsidRPr="00924A19">
        <w:rPr>
          <w:rFonts w:ascii="Book Antiqua" w:hAnsi="Book Antiqua"/>
          <w:lang w:val="en-US"/>
        </w:rPr>
        <w:t>s</w:t>
      </w:r>
      <w:r w:rsidRPr="00924A19">
        <w:rPr>
          <w:rFonts w:ascii="Book Antiqua" w:hAnsi="Book Antiqua"/>
          <w:lang w:val="en-US"/>
        </w:rPr>
        <w:t xml:space="preserve"> 1</w:t>
      </w:r>
      <w:r w:rsidR="0051063D" w:rsidRPr="00924A19">
        <w:rPr>
          <w:rFonts w:ascii="Book Antiqua" w:hAnsi="Book Antiqua"/>
          <w:lang w:val="en-US"/>
        </w:rPr>
        <w:t xml:space="preserve"> (G1)</w:t>
      </w:r>
      <w:r w:rsidRPr="00924A19">
        <w:rPr>
          <w:rFonts w:ascii="Book Antiqua" w:hAnsi="Book Antiqua"/>
          <w:lang w:val="en-US"/>
        </w:rPr>
        <w:t xml:space="preserve"> (</w:t>
      </w:r>
      <w:r w:rsidR="00146832" w:rsidRPr="00924A19">
        <w:rPr>
          <w:rFonts w:ascii="Book Antiqua" w:hAnsi="Book Antiqua"/>
          <w:lang w:val="en-US"/>
        </w:rPr>
        <w:t>26.3</w:t>
      </w:r>
      <w:r w:rsidRPr="00924A19">
        <w:rPr>
          <w:rFonts w:ascii="Book Antiqua" w:hAnsi="Book Antiqua"/>
          <w:lang w:val="en-US"/>
        </w:rPr>
        <w:t xml:space="preserve">%), </w:t>
      </w:r>
      <w:r w:rsidR="0051063D" w:rsidRPr="00924A19">
        <w:rPr>
          <w:rFonts w:ascii="Book Antiqua" w:hAnsi="Book Antiqua"/>
          <w:lang w:val="en-US"/>
        </w:rPr>
        <w:t xml:space="preserve">genotype </w:t>
      </w:r>
      <w:r w:rsidRPr="00924A19">
        <w:rPr>
          <w:rFonts w:ascii="Book Antiqua" w:hAnsi="Book Antiqua"/>
          <w:lang w:val="en-US"/>
        </w:rPr>
        <w:t>2</w:t>
      </w:r>
      <w:r w:rsidR="0051063D" w:rsidRPr="00924A19">
        <w:rPr>
          <w:rFonts w:ascii="Book Antiqua" w:hAnsi="Book Antiqua"/>
          <w:lang w:val="en-US"/>
        </w:rPr>
        <w:t xml:space="preserve"> (G2)</w:t>
      </w:r>
      <w:r w:rsidRPr="00924A19">
        <w:rPr>
          <w:rFonts w:ascii="Book Antiqua" w:hAnsi="Book Antiqua"/>
          <w:lang w:val="en-US"/>
        </w:rPr>
        <w:t xml:space="preserve"> (</w:t>
      </w:r>
      <w:r w:rsidR="00146832" w:rsidRPr="00924A19">
        <w:rPr>
          <w:rFonts w:ascii="Book Antiqua" w:hAnsi="Book Antiqua"/>
          <w:lang w:val="en-US"/>
        </w:rPr>
        <w:t xml:space="preserve">23.7%), </w:t>
      </w:r>
      <w:r w:rsidR="0051063D" w:rsidRPr="00924A19">
        <w:rPr>
          <w:rFonts w:ascii="Book Antiqua" w:hAnsi="Book Antiqua"/>
          <w:lang w:val="en-US"/>
        </w:rPr>
        <w:t xml:space="preserve">genotype </w:t>
      </w:r>
      <w:r w:rsidR="00146832" w:rsidRPr="00924A19">
        <w:rPr>
          <w:rFonts w:ascii="Book Antiqua" w:hAnsi="Book Antiqua"/>
          <w:lang w:val="en-US"/>
        </w:rPr>
        <w:t>5</w:t>
      </w:r>
      <w:r w:rsidR="0051063D" w:rsidRPr="00924A19">
        <w:rPr>
          <w:rFonts w:ascii="Book Antiqua" w:hAnsi="Book Antiqua"/>
          <w:lang w:val="en-US"/>
        </w:rPr>
        <w:t xml:space="preserve"> (G5)</w:t>
      </w:r>
      <w:r w:rsidR="00146832" w:rsidRPr="00924A19">
        <w:rPr>
          <w:rFonts w:ascii="Book Antiqua" w:hAnsi="Book Antiqua"/>
          <w:lang w:val="en-US"/>
        </w:rPr>
        <w:t xml:space="preserve"> (12.2%), </w:t>
      </w:r>
      <w:r w:rsidRPr="00924A19">
        <w:rPr>
          <w:rFonts w:ascii="Book Antiqua" w:hAnsi="Book Antiqua"/>
          <w:lang w:val="en-US"/>
        </w:rPr>
        <w:t xml:space="preserve">and </w:t>
      </w:r>
      <w:r w:rsidR="0051063D" w:rsidRPr="00924A19">
        <w:rPr>
          <w:rFonts w:ascii="Book Antiqua" w:hAnsi="Book Antiqua"/>
          <w:lang w:val="en-US"/>
        </w:rPr>
        <w:t xml:space="preserve">genotype </w:t>
      </w:r>
      <w:r w:rsidRPr="00924A19">
        <w:rPr>
          <w:rFonts w:ascii="Book Antiqua" w:hAnsi="Book Antiqua"/>
          <w:lang w:val="en-US"/>
        </w:rPr>
        <w:t>3</w:t>
      </w:r>
      <w:r w:rsidR="0051063D" w:rsidRPr="00924A19">
        <w:rPr>
          <w:rFonts w:ascii="Book Antiqua" w:hAnsi="Book Antiqua"/>
          <w:lang w:val="en-US"/>
        </w:rPr>
        <w:t xml:space="preserve"> (G3)</w:t>
      </w:r>
      <w:r w:rsidRPr="00924A19">
        <w:rPr>
          <w:rFonts w:ascii="Book Antiqua" w:hAnsi="Book Antiqua"/>
          <w:lang w:val="en-US"/>
        </w:rPr>
        <w:t xml:space="preserve"> (</w:t>
      </w:r>
      <w:r w:rsidR="00146832" w:rsidRPr="00924A19">
        <w:rPr>
          <w:rFonts w:ascii="Book Antiqua" w:hAnsi="Book Antiqua"/>
          <w:lang w:val="en-US"/>
        </w:rPr>
        <w:t>6.3</w:t>
      </w:r>
      <w:r w:rsidRPr="00924A19">
        <w:rPr>
          <w:rFonts w:ascii="Book Antiqua" w:hAnsi="Book Antiqua"/>
          <w:lang w:val="en-US"/>
        </w:rPr>
        <w:t>%). No cases of genotype 6</w:t>
      </w:r>
      <w:r w:rsidR="0051063D" w:rsidRPr="00924A19">
        <w:rPr>
          <w:rFonts w:ascii="Book Antiqua" w:hAnsi="Book Antiqua"/>
          <w:lang w:val="en-US"/>
        </w:rPr>
        <w:t xml:space="preserve"> (G6)</w:t>
      </w:r>
      <w:r w:rsidR="00146832" w:rsidRPr="00924A19">
        <w:rPr>
          <w:rFonts w:ascii="Book Antiqua" w:hAnsi="Book Antiqua"/>
          <w:lang w:val="en-US"/>
        </w:rPr>
        <w:t xml:space="preserve">and only a small percentage of </w:t>
      </w:r>
      <w:r w:rsidR="00473AF6" w:rsidRPr="00924A19">
        <w:rPr>
          <w:rFonts w:ascii="Book Antiqua" w:hAnsi="Book Antiqua"/>
          <w:lang w:val="en-US"/>
        </w:rPr>
        <w:lastRenderedPageBreak/>
        <w:t>mixed</w:t>
      </w:r>
      <w:r w:rsidR="00184665" w:rsidRPr="00924A19">
        <w:rPr>
          <w:rFonts w:ascii="Book Antiqua" w:hAnsi="Book Antiqua" w:hint="eastAsia"/>
          <w:lang w:val="en-US"/>
        </w:rPr>
        <w:t xml:space="preserve"> </w:t>
      </w:r>
      <w:r w:rsidR="00146832" w:rsidRPr="00924A19">
        <w:rPr>
          <w:rFonts w:ascii="Book Antiqua" w:hAnsi="Book Antiqua"/>
          <w:lang w:val="en-US"/>
        </w:rPr>
        <w:t xml:space="preserve">genotypes </w:t>
      </w:r>
      <w:r w:rsidR="00473AF6" w:rsidRPr="00924A19">
        <w:rPr>
          <w:rFonts w:ascii="Book Antiqua" w:hAnsi="Book Antiqua"/>
          <w:lang w:val="en-US"/>
        </w:rPr>
        <w:t xml:space="preserve">were reported </w:t>
      </w:r>
      <w:r w:rsidRPr="00924A19">
        <w:rPr>
          <w:rFonts w:ascii="Book Antiqua" w:hAnsi="Book Antiqua"/>
          <w:lang w:val="en-US"/>
        </w:rPr>
        <w:t xml:space="preserve">(Table </w:t>
      </w:r>
      <w:r w:rsidR="00C206FC" w:rsidRPr="00924A19">
        <w:rPr>
          <w:rFonts w:ascii="Book Antiqua" w:hAnsi="Book Antiqua"/>
          <w:lang w:val="en-US"/>
        </w:rPr>
        <w:t>3</w:t>
      </w:r>
      <w:r w:rsidRPr="00924A19">
        <w:rPr>
          <w:rFonts w:ascii="Book Antiqua" w:hAnsi="Book Antiqua"/>
          <w:lang w:val="en-US"/>
        </w:rPr>
        <w:t xml:space="preserve">). </w:t>
      </w:r>
      <w:r w:rsidR="00B01A0B" w:rsidRPr="00924A19">
        <w:rPr>
          <w:rFonts w:ascii="Book Antiqua" w:hAnsi="Book Antiqua"/>
          <w:lang w:val="en-US"/>
        </w:rPr>
        <w:t>The</w:t>
      </w:r>
      <w:r w:rsidR="00184665" w:rsidRPr="00924A19">
        <w:rPr>
          <w:rFonts w:ascii="Book Antiqua" w:hAnsi="Book Antiqua" w:hint="eastAsia"/>
          <w:lang w:val="en-US"/>
        </w:rPr>
        <w:t xml:space="preserve"> </w:t>
      </w:r>
      <w:r w:rsidR="00B01A0B" w:rsidRPr="00924A19">
        <w:rPr>
          <w:rFonts w:ascii="Book Antiqua" w:hAnsi="Book Antiqua"/>
          <w:lang w:val="en-US"/>
        </w:rPr>
        <w:t>genotype distribution show</w:t>
      </w:r>
      <w:r w:rsidR="006560C7" w:rsidRPr="00924A19">
        <w:rPr>
          <w:rFonts w:ascii="Book Antiqua" w:hAnsi="Book Antiqua"/>
          <w:lang w:val="en-US"/>
        </w:rPr>
        <w:t xml:space="preserve"> high variability among the four macro-areas</w:t>
      </w:r>
      <w:r w:rsidR="00E8370E" w:rsidRPr="00924A19">
        <w:rPr>
          <w:rFonts w:ascii="Book Antiqua" w:hAnsi="Book Antiqua"/>
          <w:lang w:val="en-US"/>
        </w:rPr>
        <w:t xml:space="preserve"> studied</w:t>
      </w:r>
      <w:r w:rsidRPr="00924A19">
        <w:rPr>
          <w:rFonts w:ascii="Book Antiqua" w:hAnsi="Book Antiqua"/>
          <w:lang w:val="en-US"/>
        </w:rPr>
        <w:t xml:space="preserve">, ranging between </w:t>
      </w:r>
      <w:r w:rsidR="005420B9" w:rsidRPr="00924A19">
        <w:rPr>
          <w:rFonts w:ascii="Book Antiqua" w:hAnsi="Book Antiqua"/>
          <w:lang w:val="en-US"/>
        </w:rPr>
        <w:t>82.9</w:t>
      </w:r>
      <w:r w:rsidRPr="00924A19">
        <w:rPr>
          <w:rFonts w:ascii="Book Antiqua" w:hAnsi="Book Antiqua"/>
          <w:lang w:val="en-US"/>
        </w:rPr>
        <w:t xml:space="preserve">% (Central Africa) and </w:t>
      </w:r>
      <w:r w:rsidR="00B01A0B" w:rsidRPr="00924A19">
        <w:rPr>
          <w:rFonts w:ascii="Book Antiqua" w:hAnsi="Book Antiqua"/>
          <w:lang w:val="en-US"/>
        </w:rPr>
        <w:t>0.6</w:t>
      </w:r>
      <w:r w:rsidRPr="00924A19">
        <w:rPr>
          <w:rFonts w:ascii="Book Antiqua" w:hAnsi="Book Antiqua"/>
          <w:lang w:val="en-US"/>
        </w:rPr>
        <w:t>%(</w:t>
      </w:r>
      <w:r w:rsidR="00B01A0B" w:rsidRPr="00924A19">
        <w:rPr>
          <w:rFonts w:ascii="Book Antiqua" w:hAnsi="Book Antiqua"/>
          <w:lang w:val="en-US"/>
        </w:rPr>
        <w:t>West</w:t>
      </w:r>
      <w:r w:rsidRPr="00924A19">
        <w:rPr>
          <w:rFonts w:ascii="Book Antiqua" w:hAnsi="Book Antiqua"/>
          <w:lang w:val="en-US"/>
        </w:rPr>
        <w:t xml:space="preserve"> Africa) for </w:t>
      </w:r>
      <w:r w:rsidR="00FC1645" w:rsidRPr="00924A19">
        <w:rPr>
          <w:rFonts w:ascii="Book Antiqua" w:hAnsi="Book Antiqua"/>
          <w:lang w:val="en-US"/>
        </w:rPr>
        <w:t>G</w:t>
      </w:r>
      <w:r w:rsidRPr="00924A19">
        <w:rPr>
          <w:rFonts w:ascii="Book Antiqua" w:hAnsi="Book Antiqua"/>
          <w:lang w:val="en-US"/>
        </w:rPr>
        <w:t xml:space="preserve">4, </w:t>
      </w:r>
      <w:r w:rsidR="00B01A0B" w:rsidRPr="00924A19">
        <w:rPr>
          <w:rFonts w:ascii="Book Antiqua" w:hAnsi="Book Antiqua"/>
          <w:lang w:val="en-US"/>
        </w:rPr>
        <w:t>35.7</w:t>
      </w:r>
      <w:r w:rsidRPr="00924A19">
        <w:rPr>
          <w:rFonts w:ascii="Book Antiqua" w:hAnsi="Book Antiqua"/>
          <w:lang w:val="en-US"/>
        </w:rPr>
        <w:t>% (Southern Africa) and 0% (</w:t>
      </w:r>
      <w:r w:rsidR="00B01A0B" w:rsidRPr="00924A19">
        <w:rPr>
          <w:rFonts w:ascii="Book Antiqua" w:hAnsi="Book Antiqua"/>
          <w:lang w:val="en-US"/>
        </w:rPr>
        <w:t xml:space="preserve">West and </w:t>
      </w:r>
      <w:r w:rsidRPr="00924A19">
        <w:rPr>
          <w:rFonts w:ascii="Book Antiqua" w:hAnsi="Book Antiqua"/>
          <w:lang w:val="en-US"/>
        </w:rPr>
        <w:t xml:space="preserve">Central Africa) for </w:t>
      </w:r>
      <w:r w:rsidR="00FC1645" w:rsidRPr="00924A19">
        <w:rPr>
          <w:rFonts w:ascii="Book Antiqua" w:hAnsi="Book Antiqua"/>
          <w:lang w:val="en-US"/>
        </w:rPr>
        <w:t>G</w:t>
      </w:r>
      <w:r w:rsidRPr="00924A19">
        <w:rPr>
          <w:rFonts w:ascii="Book Antiqua" w:hAnsi="Book Antiqua"/>
          <w:lang w:val="en-US"/>
        </w:rPr>
        <w:t xml:space="preserve">5, </w:t>
      </w:r>
      <w:r w:rsidR="00B01A0B" w:rsidRPr="00924A19">
        <w:rPr>
          <w:rFonts w:ascii="Book Antiqua" w:hAnsi="Book Antiqua"/>
          <w:lang w:val="en-US"/>
        </w:rPr>
        <w:t>62.9</w:t>
      </w:r>
      <w:r w:rsidRPr="00924A19">
        <w:rPr>
          <w:rFonts w:ascii="Book Antiqua" w:hAnsi="Book Antiqua"/>
          <w:lang w:val="en-US"/>
        </w:rPr>
        <w:t>% (West Africa) an</w:t>
      </w:r>
      <w:r w:rsidR="00074BCD" w:rsidRPr="00924A19">
        <w:rPr>
          <w:rFonts w:ascii="Book Antiqua" w:hAnsi="Book Antiqua"/>
          <w:lang w:val="en-US"/>
        </w:rPr>
        <w:t>d 1.2</w:t>
      </w:r>
      <w:r w:rsidRPr="00924A19">
        <w:rPr>
          <w:rFonts w:ascii="Book Antiqua" w:hAnsi="Book Antiqua"/>
          <w:lang w:val="en-US"/>
        </w:rPr>
        <w:t>% (</w:t>
      </w:r>
      <w:r w:rsidR="00074BCD" w:rsidRPr="00924A19">
        <w:rPr>
          <w:rFonts w:ascii="Book Antiqua" w:hAnsi="Book Antiqua"/>
          <w:lang w:val="en-US"/>
        </w:rPr>
        <w:t xml:space="preserve">Southern </w:t>
      </w:r>
      <w:r w:rsidRPr="00924A19">
        <w:rPr>
          <w:rFonts w:ascii="Book Antiqua" w:hAnsi="Book Antiqua"/>
          <w:lang w:val="en-US"/>
        </w:rPr>
        <w:t xml:space="preserve">Africa) for </w:t>
      </w:r>
      <w:r w:rsidR="00FC1645" w:rsidRPr="00924A19">
        <w:rPr>
          <w:rFonts w:ascii="Book Antiqua" w:hAnsi="Book Antiqua"/>
          <w:lang w:val="en-US"/>
        </w:rPr>
        <w:t>G</w:t>
      </w:r>
      <w:r w:rsidRPr="00924A19">
        <w:rPr>
          <w:rFonts w:ascii="Book Antiqua" w:hAnsi="Book Antiqua"/>
          <w:lang w:val="en-US"/>
        </w:rPr>
        <w:t xml:space="preserve">2 and </w:t>
      </w:r>
      <w:r w:rsidR="00B01A0B" w:rsidRPr="00924A19">
        <w:rPr>
          <w:rFonts w:ascii="Book Antiqua" w:hAnsi="Book Antiqua"/>
          <w:lang w:val="en-US"/>
        </w:rPr>
        <w:t>7.4</w:t>
      </w:r>
      <w:r w:rsidRPr="00924A19">
        <w:rPr>
          <w:rFonts w:ascii="Book Antiqua" w:hAnsi="Book Antiqua"/>
          <w:lang w:val="en-US"/>
        </w:rPr>
        <w:t xml:space="preserve"> (East Africa) and 0</w:t>
      </w:r>
      <w:r w:rsidR="00B01A0B" w:rsidRPr="00924A19">
        <w:rPr>
          <w:rFonts w:ascii="Book Antiqua" w:hAnsi="Book Antiqua"/>
          <w:lang w:val="en-US"/>
        </w:rPr>
        <w:t>.8</w:t>
      </w:r>
      <w:r w:rsidRPr="00924A19">
        <w:rPr>
          <w:rFonts w:ascii="Book Antiqua" w:hAnsi="Book Antiqua"/>
          <w:lang w:val="en-US"/>
        </w:rPr>
        <w:t xml:space="preserve">% (Central Africa) for </w:t>
      </w:r>
      <w:r w:rsidR="00FC1645" w:rsidRPr="00924A19">
        <w:rPr>
          <w:rFonts w:ascii="Book Antiqua" w:hAnsi="Book Antiqua"/>
          <w:lang w:val="en-US"/>
        </w:rPr>
        <w:t>G</w:t>
      </w:r>
      <w:r w:rsidRPr="00924A19">
        <w:rPr>
          <w:rFonts w:ascii="Book Antiqua" w:hAnsi="Book Antiqua"/>
          <w:lang w:val="en-US"/>
        </w:rPr>
        <w:t>3</w:t>
      </w:r>
      <w:r w:rsidR="00B01A0B" w:rsidRPr="00924A19">
        <w:rPr>
          <w:rFonts w:ascii="Book Antiqua" w:hAnsi="Book Antiqua"/>
          <w:lang w:val="en-US"/>
        </w:rPr>
        <w:t xml:space="preserve">. No high variability was observed for </w:t>
      </w:r>
      <w:r w:rsidR="00FC1645" w:rsidRPr="00924A19">
        <w:rPr>
          <w:rFonts w:ascii="Book Antiqua" w:hAnsi="Book Antiqua"/>
          <w:lang w:val="en-US"/>
        </w:rPr>
        <w:t>G</w:t>
      </w:r>
      <w:r w:rsidR="00B01A0B" w:rsidRPr="00924A19">
        <w:rPr>
          <w:rFonts w:ascii="Book Antiqua" w:hAnsi="Book Antiqua"/>
          <w:lang w:val="en-US"/>
        </w:rPr>
        <w:t>1 (36.2, 31.4 and 25.5% in East, Southern and West Africa respectively), except for Central Africa (12.3%) (Table 4).</w:t>
      </w:r>
    </w:p>
    <w:p w:rsidR="00FC1645" w:rsidRPr="00924A19" w:rsidRDefault="00FC1645" w:rsidP="0026366E">
      <w:pPr>
        <w:snapToGrid w:val="0"/>
        <w:spacing w:line="360" w:lineRule="auto"/>
        <w:jc w:val="both"/>
        <w:rPr>
          <w:rFonts w:ascii="Book Antiqua" w:eastAsia="Times New Roman" w:hAnsi="Book Antiqua" w:cs="AdvGulliv-R"/>
          <w:color w:val="000000"/>
          <w:lang w:val="en-US" w:eastAsia="it-IT"/>
        </w:rPr>
      </w:pPr>
    </w:p>
    <w:p w:rsidR="00DE6733" w:rsidRPr="00924A19" w:rsidRDefault="007C1CD8"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t xml:space="preserve">Central </w:t>
      </w:r>
      <w:r w:rsidR="004E7EA3" w:rsidRPr="00924A19">
        <w:rPr>
          <w:rFonts w:ascii="Book Antiqua" w:eastAsia="Times New Roman" w:hAnsi="Book Antiqua" w:cs="AdvGulliv-R"/>
          <w:b/>
          <w:color w:val="000000"/>
          <w:lang w:val="en-US" w:eastAsia="it-IT"/>
        </w:rPr>
        <w:t>Sub-</w:t>
      </w:r>
      <w:r w:rsidR="000B11B9" w:rsidRPr="00924A19">
        <w:rPr>
          <w:rFonts w:ascii="Book Antiqua" w:eastAsia="Times New Roman" w:hAnsi="Book Antiqua" w:cs="AdvGulliv-R"/>
          <w:b/>
          <w:color w:val="000000"/>
          <w:lang w:val="en-US" w:eastAsia="it-IT"/>
        </w:rPr>
        <w:t>Sahar</w:t>
      </w:r>
      <w:r w:rsidRPr="00924A19">
        <w:rPr>
          <w:rFonts w:ascii="Book Antiqua" w:eastAsia="Times New Roman" w:hAnsi="Book Antiqua" w:cs="AdvGulliv-R"/>
          <w:b/>
          <w:color w:val="000000"/>
          <w:lang w:val="en-US" w:eastAsia="it-IT"/>
        </w:rPr>
        <w:t>an Africa</w:t>
      </w:r>
      <w:r w:rsidR="004E7EA3" w:rsidRPr="00924A19">
        <w:rPr>
          <w:rFonts w:ascii="Book Antiqua" w:eastAsia="Times New Roman" w:hAnsi="Book Antiqua" w:cs="AdvGulliv-R"/>
          <w:b/>
          <w:color w:val="000000"/>
          <w:lang w:val="en-US" w:eastAsia="it-IT"/>
        </w:rPr>
        <w:t xml:space="preserve">: </w:t>
      </w:r>
      <w:r w:rsidR="00DE6733" w:rsidRPr="00924A19">
        <w:rPr>
          <w:rFonts w:ascii="Book Antiqua" w:eastAsia="Times New Roman" w:hAnsi="Book Antiqua" w:cs="AdvMinionNormal_Rm"/>
          <w:lang w:val="en-US" w:eastAsia="it-IT"/>
        </w:rPr>
        <w:t xml:space="preserve">The countries studied in this area </w:t>
      </w:r>
      <w:r w:rsidR="00B96E17" w:rsidRPr="00924A19">
        <w:rPr>
          <w:rFonts w:ascii="Book Antiqua" w:eastAsia="Times New Roman" w:hAnsi="Book Antiqua" w:cs="AdvMinionNormal_Rm"/>
          <w:lang w:val="en-US" w:eastAsia="it-IT"/>
        </w:rPr>
        <w:t>are</w:t>
      </w:r>
      <w:r w:rsidR="00184665" w:rsidRPr="00924A19">
        <w:rPr>
          <w:rFonts w:ascii="Book Antiqua" w:eastAsiaTheme="minorEastAsia" w:hAnsi="Book Antiqua" w:cs="AdvMinionNormal_Rm" w:hint="eastAsia"/>
          <w:lang w:val="en-US"/>
        </w:rPr>
        <w:t xml:space="preserve"> </w:t>
      </w:r>
      <w:r w:rsidR="00895DD8" w:rsidRPr="00924A19">
        <w:rPr>
          <w:rFonts w:ascii="Book Antiqua" w:eastAsia="Times New Roman" w:hAnsi="Book Antiqua" w:cs="AdvMinionNormal_Rm"/>
          <w:lang w:val="en-US" w:eastAsia="it-IT"/>
        </w:rPr>
        <w:t>Burundi, Cameroon, Central African Republic</w:t>
      </w:r>
      <w:r w:rsidR="00074BCD" w:rsidRPr="00924A19">
        <w:rPr>
          <w:rFonts w:ascii="Book Antiqua" w:eastAsia="Times New Roman" w:hAnsi="Book Antiqua" w:cs="AdvMinionNormal_Rm"/>
          <w:lang w:val="en-US" w:eastAsia="it-IT"/>
        </w:rPr>
        <w:t xml:space="preserve"> (CAR)</w:t>
      </w:r>
      <w:r w:rsidR="00895DD8" w:rsidRPr="00924A19">
        <w:rPr>
          <w:rFonts w:ascii="Book Antiqua" w:eastAsia="Times New Roman" w:hAnsi="Book Antiqua" w:cs="AdvMinionNormal_Rm"/>
          <w:lang w:val="en-US" w:eastAsia="it-IT"/>
        </w:rPr>
        <w:t>, Chad, Congo, Democratic Republic of Congo</w:t>
      </w:r>
      <w:r w:rsidR="00074BCD" w:rsidRPr="00924A19">
        <w:rPr>
          <w:rFonts w:ascii="Book Antiqua" w:eastAsia="Times New Roman" w:hAnsi="Book Antiqua" w:cs="AdvMinionNormal_Rm"/>
          <w:lang w:val="en-US" w:eastAsia="it-IT"/>
        </w:rPr>
        <w:t xml:space="preserve"> (DRC)</w:t>
      </w:r>
      <w:r w:rsidR="00895DD8" w:rsidRPr="00924A19">
        <w:rPr>
          <w:rFonts w:ascii="Book Antiqua" w:eastAsia="Times New Roman" w:hAnsi="Book Antiqua" w:cs="AdvMinionNormal_Rm"/>
          <w:lang w:val="en-US" w:eastAsia="it-IT"/>
        </w:rPr>
        <w:t>, Equatorial Guinea, Gabon, Rwanda, Sudan and Uganda</w:t>
      </w:r>
      <w:r w:rsidR="000B11B9" w:rsidRPr="00924A19">
        <w:rPr>
          <w:rFonts w:ascii="Book Antiqua" w:eastAsia="Times New Roman" w:hAnsi="Book Antiqua" w:cs="AdvMinionNormal_Rm"/>
          <w:lang w:val="en-US" w:eastAsia="it-IT"/>
        </w:rPr>
        <w:t>.</w:t>
      </w:r>
    </w:p>
    <w:p w:rsidR="000B11B9" w:rsidRPr="00924A19" w:rsidRDefault="000B11B9" w:rsidP="0026366E">
      <w:pPr>
        <w:autoSpaceDE w:val="0"/>
        <w:autoSpaceDN w:val="0"/>
        <w:adjustRightInd w:val="0"/>
        <w:snapToGrid w:val="0"/>
        <w:spacing w:line="360" w:lineRule="auto"/>
        <w:ind w:firstLineChars="100" w:firstLine="240"/>
        <w:jc w:val="both"/>
        <w:rPr>
          <w:rFonts w:ascii="Book Antiqua" w:hAnsi="Book Antiqua"/>
          <w:lang w:val="en-US"/>
        </w:rPr>
      </w:pPr>
      <w:r w:rsidRPr="00924A19">
        <w:rPr>
          <w:rFonts w:ascii="Book Antiqua" w:hAnsi="Book Antiqua"/>
          <w:lang w:val="en-US"/>
        </w:rPr>
        <w:t>The prevalence of</w:t>
      </w:r>
      <w:r w:rsidR="007A35C7" w:rsidRPr="00924A19">
        <w:rPr>
          <w:rFonts w:ascii="Book Antiqua" w:hAnsi="Book Antiqua"/>
          <w:lang w:val="en-US"/>
        </w:rPr>
        <w:t xml:space="preserve"> HCV in the general population</w:t>
      </w:r>
      <w:r w:rsidR="00184665" w:rsidRPr="00924A19">
        <w:rPr>
          <w:rFonts w:ascii="Book Antiqua" w:hAnsi="Book Antiqua" w:hint="eastAsia"/>
          <w:lang w:val="en-US"/>
        </w:rPr>
        <w:t xml:space="preserve"> </w:t>
      </w:r>
      <w:r w:rsidR="00300A63" w:rsidRPr="00924A19">
        <w:rPr>
          <w:rFonts w:ascii="Book Antiqua" w:hAnsi="Book Antiqua"/>
          <w:lang w:val="en-US"/>
        </w:rPr>
        <w:t xml:space="preserve">is 6.0%, </w:t>
      </w:r>
      <w:r w:rsidRPr="00924A19">
        <w:rPr>
          <w:rFonts w:ascii="Book Antiqua" w:hAnsi="Book Antiqua"/>
          <w:lang w:val="en-US"/>
        </w:rPr>
        <w:t>rang</w:t>
      </w:r>
      <w:r w:rsidR="00300A63" w:rsidRPr="00924A19">
        <w:rPr>
          <w:rFonts w:ascii="Book Antiqua" w:hAnsi="Book Antiqua"/>
          <w:lang w:val="en-US"/>
        </w:rPr>
        <w:t>ing</w:t>
      </w:r>
      <w:r w:rsidRPr="00924A19">
        <w:rPr>
          <w:rFonts w:ascii="Book Antiqua" w:hAnsi="Book Antiqua"/>
          <w:lang w:val="en-US"/>
        </w:rPr>
        <w:t xml:space="preserve"> between 1</w:t>
      </w:r>
      <w:r w:rsidR="00184665" w:rsidRPr="00924A19">
        <w:rPr>
          <w:rFonts w:ascii="Book Antiqua" w:hAnsi="Book Antiqua" w:hint="eastAsia"/>
          <w:lang w:val="en-US"/>
        </w:rPr>
        <w:t>.</w:t>
      </w:r>
      <w:r w:rsidRPr="00924A19">
        <w:rPr>
          <w:rFonts w:ascii="Book Antiqua" w:hAnsi="Book Antiqua"/>
          <w:lang w:val="en-US"/>
        </w:rPr>
        <w:t>7% and 13,8%, depending on the country</w:t>
      </w:r>
      <w:r w:rsidR="006D64FC" w:rsidRPr="00924A19">
        <w:rPr>
          <w:rFonts w:ascii="Book Antiqua" w:hAnsi="Book Antiqua"/>
          <w:lang w:val="en-US"/>
        </w:rPr>
        <w:t>, with a</w:t>
      </w:r>
      <w:r w:rsidR="008F5C6C" w:rsidRPr="00924A19">
        <w:rPr>
          <w:rFonts w:ascii="Book Antiqua" w:hAnsi="Book Antiqua"/>
          <w:lang w:val="en-US"/>
        </w:rPr>
        <w:t>n average</w:t>
      </w:r>
      <w:r w:rsidR="006D64FC" w:rsidRPr="00924A19">
        <w:rPr>
          <w:rFonts w:ascii="Book Antiqua" w:hAnsi="Book Antiqua"/>
          <w:lang w:val="en-US"/>
        </w:rPr>
        <w:t xml:space="preserve"> viraemic rate estimated at 68.5%</w:t>
      </w:r>
      <w:r w:rsidR="00C206FC" w:rsidRPr="00924A19">
        <w:rPr>
          <w:rFonts w:ascii="Book Antiqua" w:hAnsi="Book Antiqua"/>
          <w:lang w:val="en-US"/>
        </w:rPr>
        <w:t>(Table2).</w:t>
      </w:r>
      <w:r w:rsidRPr="00924A19">
        <w:rPr>
          <w:rFonts w:ascii="Book Antiqua" w:hAnsi="Book Antiqua"/>
          <w:lang w:val="en-US"/>
        </w:rPr>
        <w:t xml:space="preserve">The countries with the highest prevalence include Cameroon (13.8%), Burundi (11.3%) and Gabon (9.2%). The countries with the lowest prevalence Equatorial Guinea (1.7%), </w:t>
      </w:r>
      <w:r w:rsidR="00E8370E" w:rsidRPr="00924A19">
        <w:rPr>
          <w:rFonts w:ascii="Book Antiqua" w:hAnsi="Book Antiqua"/>
          <w:lang w:val="en-US"/>
        </w:rPr>
        <w:t>CAR</w:t>
      </w:r>
      <w:r w:rsidRPr="00924A19">
        <w:rPr>
          <w:rFonts w:ascii="Book Antiqua" w:hAnsi="Book Antiqua"/>
          <w:lang w:val="en-US"/>
        </w:rPr>
        <w:t xml:space="preserve"> (2.4%) and Sudan (2.8%)</w:t>
      </w:r>
      <w:r w:rsidR="005A70E2" w:rsidRPr="00924A19">
        <w:rPr>
          <w:rFonts w:ascii="Book Antiqua" w:hAnsi="Book Antiqua"/>
          <w:lang w:val="en-US"/>
        </w:rPr>
        <w:t>(Figure 1</w:t>
      </w:r>
      <w:r w:rsidR="00C220FF" w:rsidRPr="00924A19">
        <w:rPr>
          <w:rFonts w:ascii="Book Antiqua" w:hAnsi="Book Antiqua"/>
          <w:lang w:val="en-US"/>
        </w:rPr>
        <w:t>A</w:t>
      </w:r>
      <w:r w:rsidR="005A70E2" w:rsidRPr="00924A19">
        <w:rPr>
          <w:rFonts w:ascii="Book Antiqua" w:hAnsi="Book Antiqua"/>
          <w:lang w:val="en-US"/>
        </w:rPr>
        <w:t>).</w:t>
      </w:r>
    </w:p>
    <w:p w:rsidR="00B622BC" w:rsidRPr="00924A19" w:rsidRDefault="00FC1645" w:rsidP="0026366E">
      <w:pPr>
        <w:autoSpaceDE w:val="0"/>
        <w:autoSpaceDN w:val="0"/>
        <w:adjustRightInd w:val="0"/>
        <w:snapToGrid w:val="0"/>
        <w:spacing w:line="360" w:lineRule="auto"/>
        <w:jc w:val="both"/>
        <w:rPr>
          <w:rFonts w:ascii="Book Antiqua" w:hAnsi="Book Antiqua"/>
          <w:lang w:val="en-US"/>
        </w:rPr>
      </w:pPr>
      <w:r w:rsidRPr="00924A19">
        <w:rPr>
          <w:rFonts w:ascii="Book Antiqua" w:hAnsi="Book Antiqua"/>
          <w:lang w:val="en-US"/>
        </w:rPr>
        <w:t>The predominant genotype is G</w:t>
      </w:r>
      <w:r w:rsidR="006C6B96" w:rsidRPr="00924A19">
        <w:rPr>
          <w:rFonts w:ascii="Book Antiqua" w:hAnsi="Book Antiqua"/>
          <w:lang w:val="en-US"/>
        </w:rPr>
        <w:t>4 (</w:t>
      </w:r>
      <w:r w:rsidR="00074BCD" w:rsidRPr="00924A19">
        <w:rPr>
          <w:rFonts w:ascii="Book Antiqua" w:hAnsi="Book Antiqua"/>
          <w:lang w:val="en-US"/>
        </w:rPr>
        <w:t>82.9</w:t>
      </w:r>
      <w:r w:rsidR="006C6B96" w:rsidRPr="00924A19">
        <w:rPr>
          <w:rFonts w:ascii="Book Antiqua" w:hAnsi="Book Antiqua"/>
          <w:lang w:val="en-US"/>
        </w:rPr>
        <w:t>%)</w:t>
      </w:r>
      <w:r w:rsidR="00074BCD" w:rsidRPr="00924A19">
        <w:rPr>
          <w:rFonts w:ascii="Book Antiqua" w:hAnsi="Book Antiqua"/>
          <w:lang w:val="en-US"/>
        </w:rPr>
        <w:t xml:space="preserve">, followed by </w:t>
      </w:r>
      <w:r w:rsidRPr="00924A19">
        <w:rPr>
          <w:rFonts w:ascii="Book Antiqua" w:hAnsi="Book Antiqua"/>
          <w:lang w:val="en-US"/>
        </w:rPr>
        <w:t>G</w:t>
      </w:r>
      <w:r w:rsidR="00074BCD" w:rsidRPr="00924A19">
        <w:rPr>
          <w:rFonts w:ascii="Book Antiqua" w:hAnsi="Book Antiqua"/>
          <w:lang w:val="en-US"/>
        </w:rPr>
        <w:t xml:space="preserve">1 (12.3%), </w:t>
      </w:r>
      <w:r w:rsidRPr="00924A19">
        <w:rPr>
          <w:rFonts w:ascii="Book Antiqua" w:hAnsi="Book Antiqua"/>
          <w:lang w:val="en-US"/>
        </w:rPr>
        <w:t>G</w:t>
      </w:r>
      <w:r w:rsidR="00074BCD" w:rsidRPr="00924A19">
        <w:rPr>
          <w:rFonts w:ascii="Book Antiqua" w:hAnsi="Book Antiqua"/>
          <w:lang w:val="en-US"/>
        </w:rPr>
        <w:t xml:space="preserve">2 (4.0%) and </w:t>
      </w:r>
      <w:r w:rsidRPr="00924A19">
        <w:rPr>
          <w:rFonts w:ascii="Book Antiqua" w:hAnsi="Book Antiqua"/>
          <w:lang w:val="en-US"/>
        </w:rPr>
        <w:t>G</w:t>
      </w:r>
      <w:r w:rsidR="00074BCD" w:rsidRPr="00924A19">
        <w:rPr>
          <w:rFonts w:ascii="Book Antiqua" w:hAnsi="Book Antiqua"/>
          <w:lang w:val="en-US"/>
        </w:rPr>
        <w:t xml:space="preserve">3 (0.8%). No cases of </w:t>
      </w:r>
      <w:r w:rsidRPr="00924A19">
        <w:rPr>
          <w:rFonts w:ascii="Book Antiqua" w:hAnsi="Book Antiqua"/>
          <w:lang w:val="en-US"/>
        </w:rPr>
        <w:t>G</w:t>
      </w:r>
      <w:r w:rsidR="00074BCD" w:rsidRPr="00924A19">
        <w:rPr>
          <w:rFonts w:ascii="Book Antiqua" w:hAnsi="Book Antiqua"/>
          <w:lang w:val="en-US"/>
        </w:rPr>
        <w:t xml:space="preserve">5 and </w:t>
      </w:r>
      <w:r w:rsidRPr="00924A19">
        <w:rPr>
          <w:rFonts w:ascii="Book Antiqua" w:hAnsi="Book Antiqua"/>
          <w:lang w:val="en-US"/>
        </w:rPr>
        <w:t>G</w:t>
      </w:r>
      <w:r w:rsidR="00074BCD" w:rsidRPr="00924A19">
        <w:rPr>
          <w:rFonts w:ascii="Book Antiqua" w:hAnsi="Book Antiqua"/>
          <w:lang w:val="en-US"/>
        </w:rPr>
        <w:t>6 were reporte</w:t>
      </w:r>
      <w:r w:rsidR="008F5C6C" w:rsidRPr="00924A19">
        <w:rPr>
          <w:rFonts w:ascii="Book Antiqua" w:hAnsi="Book Antiqua"/>
          <w:lang w:val="en-US"/>
        </w:rPr>
        <w:t>d (Table 4).</w:t>
      </w:r>
      <w:r w:rsidR="00074BCD" w:rsidRPr="00924A19">
        <w:rPr>
          <w:rFonts w:ascii="Book Antiqua" w:hAnsi="Book Antiqua"/>
          <w:lang w:val="en-US"/>
        </w:rPr>
        <w:t>In some countries</w:t>
      </w:r>
      <w:r w:rsidR="00DF678D" w:rsidRPr="00924A19">
        <w:rPr>
          <w:rFonts w:ascii="Book Antiqua" w:hAnsi="Book Antiqua"/>
          <w:lang w:val="en-US"/>
        </w:rPr>
        <w:t>,</w:t>
      </w:r>
      <w:r w:rsidR="00074BCD" w:rsidRPr="00924A19">
        <w:rPr>
          <w:rFonts w:ascii="Book Antiqua" w:hAnsi="Book Antiqua"/>
          <w:lang w:val="en-US"/>
        </w:rPr>
        <w:t xml:space="preserve"> like DRC and Gabon, </w:t>
      </w:r>
      <w:r w:rsidRPr="00924A19">
        <w:rPr>
          <w:rFonts w:ascii="Book Antiqua" w:hAnsi="Book Antiqua"/>
          <w:lang w:val="en-US"/>
        </w:rPr>
        <w:t>G</w:t>
      </w:r>
      <w:r w:rsidR="00074BCD" w:rsidRPr="00924A19">
        <w:rPr>
          <w:rFonts w:ascii="Book Antiqua" w:hAnsi="Book Antiqua"/>
          <w:lang w:val="en-US"/>
        </w:rPr>
        <w:t xml:space="preserve">4 is </w:t>
      </w:r>
      <w:r w:rsidRPr="00924A19">
        <w:rPr>
          <w:rFonts w:ascii="Book Antiqua" w:hAnsi="Book Antiqua"/>
          <w:lang w:val="en-US"/>
        </w:rPr>
        <w:t xml:space="preserve">quite </w:t>
      </w:r>
      <w:r w:rsidR="00074BCD" w:rsidRPr="00924A19">
        <w:rPr>
          <w:rFonts w:ascii="Book Antiqua" w:hAnsi="Book Antiqua"/>
          <w:lang w:val="en-US"/>
        </w:rPr>
        <w:t xml:space="preserve">the only </w:t>
      </w:r>
      <w:r w:rsidRPr="00924A19">
        <w:rPr>
          <w:rFonts w:ascii="Book Antiqua" w:hAnsi="Book Antiqua"/>
          <w:lang w:val="en-US"/>
        </w:rPr>
        <w:t xml:space="preserve">genotype </w:t>
      </w:r>
      <w:r w:rsidR="00074BCD" w:rsidRPr="00924A19">
        <w:rPr>
          <w:rFonts w:ascii="Book Antiqua" w:hAnsi="Book Antiqua"/>
          <w:lang w:val="en-US"/>
        </w:rPr>
        <w:t>observed (96.8% and 91.9%, res</w:t>
      </w:r>
      <w:r w:rsidR="00DF678D" w:rsidRPr="00924A19">
        <w:rPr>
          <w:rFonts w:ascii="Book Antiqua" w:hAnsi="Book Antiqua"/>
          <w:lang w:val="en-US"/>
        </w:rPr>
        <w:t>pectively</w:t>
      </w:r>
      <w:r w:rsidR="00074BCD" w:rsidRPr="00924A19">
        <w:rPr>
          <w:rFonts w:ascii="Book Antiqua" w:hAnsi="Book Antiqua"/>
          <w:lang w:val="en-US"/>
        </w:rPr>
        <w:t>)</w:t>
      </w:r>
      <w:r w:rsidR="00DF678D" w:rsidRPr="00924A19">
        <w:rPr>
          <w:rFonts w:ascii="Book Antiqua" w:hAnsi="Book Antiqua"/>
          <w:lang w:val="en-US"/>
        </w:rPr>
        <w:t xml:space="preserve">, whereas in others, </w:t>
      </w:r>
      <w:r w:rsidR="00814F3B" w:rsidRPr="00924A19">
        <w:rPr>
          <w:rFonts w:ascii="Book Antiqua" w:hAnsi="Book Antiqua"/>
          <w:lang w:val="en-US"/>
        </w:rPr>
        <w:t>as</w:t>
      </w:r>
      <w:r w:rsidR="00DF678D" w:rsidRPr="00924A19">
        <w:rPr>
          <w:rFonts w:ascii="Book Antiqua" w:hAnsi="Book Antiqua"/>
          <w:lang w:val="en-US"/>
        </w:rPr>
        <w:t xml:space="preserve"> Equatorial Guinea, it has been detected an increasing percentage of </w:t>
      </w:r>
      <w:r w:rsidRPr="00924A19">
        <w:rPr>
          <w:rFonts w:ascii="Book Antiqua" w:hAnsi="Book Antiqua"/>
          <w:lang w:val="en-US"/>
        </w:rPr>
        <w:t>G</w:t>
      </w:r>
      <w:r w:rsidR="00DF678D" w:rsidRPr="00924A19">
        <w:rPr>
          <w:rFonts w:ascii="Book Antiqua" w:hAnsi="Book Antiqua"/>
          <w:lang w:val="en-US"/>
        </w:rPr>
        <w:t>1 (35.0%)</w:t>
      </w:r>
      <w:r w:rsidRPr="00924A19">
        <w:rPr>
          <w:rFonts w:ascii="Book Antiqua" w:hAnsi="Book Antiqua"/>
          <w:lang w:val="en-US"/>
        </w:rPr>
        <w:t>(Figure</w:t>
      </w:r>
      <w:r w:rsidR="00C220FF" w:rsidRPr="00924A19">
        <w:rPr>
          <w:rFonts w:ascii="Book Antiqua" w:hAnsi="Book Antiqua"/>
          <w:lang w:val="en-US"/>
        </w:rPr>
        <w:t>1B</w:t>
      </w:r>
      <w:r w:rsidRPr="00924A19">
        <w:rPr>
          <w:rFonts w:ascii="Book Antiqua" w:hAnsi="Book Antiqua"/>
          <w:lang w:val="en-US"/>
        </w:rPr>
        <w:t>).</w:t>
      </w:r>
      <w:r w:rsidR="00B622BC" w:rsidRPr="00924A19">
        <w:rPr>
          <w:rFonts w:ascii="Book Antiqua" w:hAnsi="Book Antiqua"/>
          <w:lang w:val="en-US"/>
        </w:rPr>
        <w:t xml:space="preserve">No genotypes distribution data </w:t>
      </w:r>
      <w:r w:rsidR="00B074FE" w:rsidRPr="00924A19">
        <w:rPr>
          <w:rFonts w:ascii="Book Antiqua" w:hAnsi="Book Antiqua"/>
          <w:lang w:val="en-US"/>
        </w:rPr>
        <w:t>are</w:t>
      </w:r>
      <w:r w:rsidR="00B622BC" w:rsidRPr="00924A19">
        <w:rPr>
          <w:rFonts w:ascii="Book Antiqua" w:hAnsi="Book Antiqua"/>
          <w:lang w:val="en-US"/>
        </w:rPr>
        <w:t xml:space="preserve"> available from Burundi,</w:t>
      </w:r>
      <w:r w:rsidR="00516180">
        <w:rPr>
          <w:rFonts w:ascii="Book Antiqua" w:hAnsi="Book Antiqua" w:hint="eastAsia"/>
          <w:lang w:val="en-US"/>
        </w:rPr>
        <w:t xml:space="preserve"> </w:t>
      </w:r>
      <w:r w:rsidR="00D37A09" w:rsidRPr="00924A19">
        <w:rPr>
          <w:rFonts w:ascii="Book Antiqua" w:hAnsi="Book Antiqua"/>
          <w:lang w:val="en-US"/>
        </w:rPr>
        <w:t xml:space="preserve">Cameroon, </w:t>
      </w:r>
      <w:r w:rsidR="005A70E2" w:rsidRPr="00924A19">
        <w:rPr>
          <w:rFonts w:ascii="Book Antiqua" w:hAnsi="Book Antiqua"/>
          <w:lang w:val="en-US"/>
        </w:rPr>
        <w:t xml:space="preserve">Chad, </w:t>
      </w:r>
      <w:r w:rsidR="00F00C57" w:rsidRPr="00924A19">
        <w:rPr>
          <w:rFonts w:ascii="Book Antiqua" w:hAnsi="Book Antiqua"/>
          <w:lang w:val="en-US"/>
        </w:rPr>
        <w:t xml:space="preserve">Congo, </w:t>
      </w:r>
      <w:r w:rsidR="005A70E2" w:rsidRPr="00924A19">
        <w:rPr>
          <w:rFonts w:ascii="Book Antiqua" w:hAnsi="Book Antiqua"/>
          <w:lang w:val="en-US"/>
        </w:rPr>
        <w:t xml:space="preserve">Rwanda, Sudan and Uganda </w:t>
      </w:r>
    </w:p>
    <w:p w:rsidR="00DE6733" w:rsidRPr="00516180" w:rsidRDefault="00DE6733" w:rsidP="0026366E">
      <w:pPr>
        <w:autoSpaceDE w:val="0"/>
        <w:autoSpaceDN w:val="0"/>
        <w:adjustRightInd w:val="0"/>
        <w:snapToGrid w:val="0"/>
        <w:spacing w:line="360" w:lineRule="auto"/>
        <w:jc w:val="both"/>
        <w:rPr>
          <w:rFonts w:ascii="Book Antiqua" w:eastAsia="Times New Roman" w:hAnsi="Book Antiqua" w:cs="AdvGulliv-R"/>
          <w:b/>
          <w:color w:val="000000"/>
          <w:lang w:val="en-US" w:eastAsia="it-IT"/>
        </w:rPr>
      </w:pPr>
    </w:p>
    <w:p w:rsidR="00DF678D" w:rsidRPr="00924A19" w:rsidRDefault="007C1CD8"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t xml:space="preserve">East </w:t>
      </w:r>
      <w:r w:rsidR="004E7EA3" w:rsidRPr="00924A19">
        <w:rPr>
          <w:rFonts w:ascii="Book Antiqua" w:eastAsia="Times New Roman" w:hAnsi="Book Antiqua" w:cs="AdvGulliv-R"/>
          <w:b/>
          <w:color w:val="000000"/>
          <w:lang w:val="en-US" w:eastAsia="it-IT"/>
        </w:rPr>
        <w:t>Sub-</w:t>
      </w:r>
      <w:r w:rsidR="000B11B9" w:rsidRPr="00924A19">
        <w:rPr>
          <w:rFonts w:ascii="Book Antiqua" w:eastAsia="Times New Roman" w:hAnsi="Book Antiqua" w:cs="AdvGulliv-R"/>
          <w:b/>
          <w:color w:val="000000"/>
          <w:lang w:val="en-US" w:eastAsia="it-IT"/>
        </w:rPr>
        <w:t>Sahar</w:t>
      </w:r>
      <w:r w:rsidR="00DE6733" w:rsidRPr="00924A19">
        <w:rPr>
          <w:rFonts w:ascii="Book Antiqua" w:eastAsia="Times New Roman" w:hAnsi="Book Antiqua" w:cs="AdvGulliv-R"/>
          <w:b/>
          <w:color w:val="000000"/>
          <w:lang w:val="en-US" w:eastAsia="it-IT"/>
        </w:rPr>
        <w:t>an Africa</w:t>
      </w:r>
      <w:r w:rsidR="004E7EA3" w:rsidRPr="00924A19">
        <w:rPr>
          <w:rFonts w:ascii="Book Antiqua" w:eastAsia="Times New Roman" w:hAnsi="Book Antiqua" w:cs="AdvGulliv-R"/>
          <w:b/>
          <w:color w:val="000000"/>
          <w:lang w:val="en-US" w:eastAsia="it-IT"/>
        </w:rPr>
        <w:t xml:space="preserve">: </w:t>
      </w:r>
      <w:r w:rsidR="00814F3B" w:rsidRPr="00924A19">
        <w:rPr>
          <w:rFonts w:ascii="Book Antiqua" w:eastAsia="Times New Roman" w:hAnsi="Book Antiqua" w:cs="AdvMinionNormal_Rm"/>
          <w:lang w:val="en-US" w:eastAsia="it-IT"/>
        </w:rPr>
        <w:t>Analysis of this area include studies from</w:t>
      </w:r>
      <w:r w:rsidR="00184665" w:rsidRPr="00924A19">
        <w:rPr>
          <w:rFonts w:ascii="Book Antiqua" w:eastAsiaTheme="minorEastAsia" w:hAnsi="Book Antiqua" w:cs="AdvMinionNormal_Rm" w:hint="eastAsia"/>
          <w:lang w:val="en-US"/>
        </w:rPr>
        <w:t xml:space="preserve"> </w:t>
      </w:r>
      <w:r w:rsidR="000B11B9" w:rsidRPr="00924A19">
        <w:rPr>
          <w:rFonts w:ascii="Book Antiqua" w:eastAsia="Times New Roman" w:hAnsi="Book Antiqua" w:cs="AdvMinionNormal_Rm"/>
          <w:lang w:val="en-US" w:eastAsia="it-IT"/>
        </w:rPr>
        <w:t>Eritrea, Ethiopia, Kenya, Madagascar, Mozambique, Somalia a</w:t>
      </w:r>
      <w:r w:rsidR="00106E7C" w:rsidRPr="00924A19">
        <w:rPr>
          <w:rFonts w:ascii="Book Antiqua" w:eastAsia="Times New Roman" w:hAnsi="Book Antiqua" w:cs="AdvMinionNormal_Rm"/>
          <w:lang w:val="en-US" w:eastAsia="it-IT"/>
        </w:rPr>
        <w:t xml:space="preserve">nd Tanzania and shows </w:t>
      </w:r>
      <w:r w:rsidR="007A35C7" w:rsidRPr="00924A19">
        <w:rPr>
          <w:rFonts w:ascii="Book Antiqua" w:eastAsia="Times New Roman" w:hAnsi="Book Antiqua" w:cs="AdvMinionNormal_Rm"/>
          <w:lang w:val="en-US" w:eastAsia="it-IT"/>
        </w:rPr>
        <w:t>a</w:t>
      </w:r>
      <w:r w:rsidR="00814F3B" w:rsidRPr="00924A19">
        <w:rPr>
          <w:rFonts w:ascii="Book Antiqua" w:eastAsia="Times New Roman" w:hAnsi="Book Antiqua" w:cs="AdvMinionNormal_Rm"/>
          <w:lang w:val="en-US" w:eastAsia="it-IT"/>
        </w:rPr>
        <w:t>n average</w:t>
      </w:r>
      <w:r w:rsidR="00184665" w:rsidRPr="00924A19">
        <w:rPr>
          <w:rFonts w:ascii="Book Antiqua" w:eastAsiaTheme="minorEastAsia" w:hAnsi="Book Antiqua" w:cs="AdvMinionNormal_Rm" w:hint="eastAsia"/>
          <w:lang w:val="en-US"/>
        </w:rPr>
        <w:t xml:space="preserve"> </w:t>
      </w:r>
      <w:r w:rsidR="00DF678D" w:rsidRPr="00924A19">
        <w:rPr>
          <w:rFonts w:ascii="Book Antiqua" w:hAnsi="Book Antiqua"/>
          <w:lang w:val="en-US"/>
        </w:rPr>
        <w:t xml:space="preserve">prevalence of HCV </w:t>
      </w:r>
      <w:r w:rsidR="00106E7C" w:rsidRPr="00924A19">
        <w:rPr>
          <w:rFonts w:ascii="Book Antiqua" w:hAnsi="Book Antiqua"/>
          <w:lang w:val="en-US"/>
        </w:rPr>
        <w:t xml:space="preserve">infection of 2.4%, ranging </w:t>
      </w:r>
      <w:r w:rsidR="00DF678D" w:rsidRPr="00924A19">
        <w:rPr>
          <w:rFonts w:ascii="Book Antiqua" w:hAnsi="Book Antiqua"/>
          <w:lang w:val="en-US"/>
        </w:rPr>
        <w:t>between 0.9% and 3.2</w:t>
      </w:r>
      <w:r w:rsidR="006D64FC" w:rsidRPr="00924A19">
        <w:rPr>
          <w:rFonts w:ascii="Book Antiqua" w:hAnsi="Book Antiqua"/>
          <w:lang w:val="en-US"/>
        </w:rPr>
        <w:t>%, depending on the country,</w:t>
      </w:r>
      <w:r w:rsidR="007A35C7" w:rsidRPr="00924A19">
        <w:rPr>
          <w:rFonts w:ascii="Book Antiqua" w:hAnsi="Book Antiqua"/>
          <w:lang w:val="en-US"/>
        </w:rPr>
        <w:t xml:space="preserve"> and </w:t>
      </w:r>
      <w:r w:rsidR="006D64FC" w:rsidRPr="00924A19">
        <w:rPr>
          <w:rFonts w:ascii="Book Antiqua" w:hAnsi="Book Antiqua"/>
          <w:lang w:val="en-US"/>
        </w:rPr>
        <w:t>the lowe</w:t>
      </w:r>
      <w:r w:rsidR="007A35C7" w:rsidRPr="00924A19">
        <w:rPr>
          <w:rFonts w:ascii="Book Antiqua" w:hAnsi="Book Antiqua"/>
          <w:lang w:val="en-US"/>
        </w:rPr>
        <w:t>st</w:t>
      </w:r>
      <w:r w:rsidR="006D64FC" w:rsidRPr="00924A19">
        <w:rPr>
          <w:rFonts w:ascii="Book Antiqua" w:hAnsi="Book Antiqua"/>
          <w:lang w:val="en-US"/>
        </w:rPr>
        <w:t xml:space="preserve"> viraemic rate of the</w:t>
      </w:r>
      <w:r w:rsidR="00106E7C" w:rsidRPr="00924A19">
        <w:rPr>
          <w:rFonts w:ascii="Book Antiqua" w:hAnsi="Book Antiqua"/>
          <w:lang w:val="en-US"/>
        </w:rPr>
        <w:t xml:space="preserve"> whole</w:t>
      </w:r>
      <w:r w:rsidR="006D64FC" w:rsidRPr="00924A19">
        <w:rPr>
          <w:rFonts w:ascii="Book Antiqua" w:hAnsi="Book Antiqua"/>
          <w:lang w:val="en-US"/>
        </w:rPr>
        <w:t xml:space="preserve"> African </w:t>
      </w:r>
      <w:r w:rsidR="006D64FC" w:rsidRPr="00924A19">
        <w:rPr>
          <w:rFonts w:ascii="Book Antiqua" w:hAnsi="Book Antiqua"/>
          <w:lang w:val="en-US"/>
        </w:rPr>
        <w:lastRenderedPageBreak/>
        <w:t>continent (65.0%)</w:t>
      </w:r>
      <w:r w:rsidR="00C206FC" w:rsidRPr="00924A19">
        <w:rPr>
          <w:rFonts w:ascii="Book Antiqua" w:hAnsi="Book Antiqua"/>
          <w:lang w:val="en-US"/>
        </w:rPr>
        <w:t>(Table2).</w:t>
      </w:r>
      <w:r w:rsidR="00DF678D" w:rsidRPr="00924A19">
        <w:rPr>
          <w:rFonts w:ascii="Book Antiqua" w:hAnsi="Book Antiqua"/>
          <w:lang w:val="en-US"/>
        </w:rPr>
        <w:t xml:space="preserve">The countries with the highest prevalence </w:t>
      </w:r>
      <w:r w:rsidR="00106E7C" w:rsidRPr="00924A19">
        <w:rPr>
          <w:rFonts w:ascii="Book Antiqua" w:hAnsi="Book Antiqua"/>
          <w:lang w:val="en-US"/>
        </w:rPr>
        <w:t>are</w:t>
      </w:r>
      <w:r w:rsidR="00DF678D" w:rsidRPr="00924A19">
        <w:rPr>
          <w:rFonts w:ascii="Book Antiqua" w:hAnsi="Book Antiqua"/>
          <w:lang w:val="en-US"/>
        </w:rPr>
        <w:t xml:space="preserve"> Tanzania (3.2%) and Mozambique (2.8%)</w:t>
      </w:r>
      <w:r w:rsidR="007A35C7" w:rsidRPr="00924A19">
        <w:rPr>
          <w:rFonts w:ascii="Book Antiqua" w:hAnsi="Book Antiqua"/>
          <w:lang w:val="en-US"/>
        </w:rPr>
        <w:t xml:space="preserve">, those </w:t>
      </w:r>
      <w:r w:rsidR="00DF678D" w:rsidRPr="00924A19">
        <w:rPr>
          <w:rFonts w:ascii="Book Antiqua" w:hAnsi="Book Antiqua"/>
          <w:lang w:val="en-US"/>
        </w:rPr>
        <w:t>with the lowest Kenya (0.9%) and Somalia (1.5%)</w:t>
      </w:r>
      <w:r w:rsidR="00377BB7" w:rsidRPr="00924A19">
        <w:rPr>
          <w:rFonts w:ascii="Book Antiqua" w:hAnsi="Book Antiqua"/>
          <w:lang w:val="en-US"/>
        </w:rPr>
        <w:t>(Figure 1</w:t>
      </w:r>
      <w:r w:rsidR="00C220FF" w:rsidRPr="00924A19">
        <w:rPr>
          <w:rFonts w:ascii="Book Antiqua" w:hAnsi="Book Antiqua"/>
          <w:lang w:val="en-US"/>
        </w:rPr>
        <w:t>A</w:t>
      </w:r>
      <w:r w:rsidR="00377BB7" w:rsidRPr="00924A19">
        <w:rPr>
          <w:rFonts w:ascii="Book Antiqua" w:hAnsi="Book Antiqua"/>
          <w:lang w:val="en-US"/>
        </w:rPr>
        <w:t>).</w:t>
      </w:r>
    </w:p>
    <w:p w:rsidR="00B622BC" w:rsidRPr="00924A19" w:rsidRDefault="00E5520B" w:rsidP="0026366E">
      <w:pPr>
        <w:autoSpaceDE w:val="0"/>
        <w:autoSpaceDN w:val="0"/>
        <w:adjustRightInd w:val="0"/>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predominant genotype in this area is </w:t>
      </w:r>
      <w:r w:rsidR="00FC1645" w:rsidRPr="00924A19">
        <w:rPr>
          <w:rFonts w:ascii="Book Antiqua" w:hAnsi="Book Antiqua"/>
          <w:lang w:val="en-US"/>
        </w:rPr>
        <w:t>G</w:t>
      </w:r>
      <w:r w:rsidRPr="00924A19">
        <w:rPr>
          <w:rFonts w:ascii="Book Antiqua" w:hAnsi="Book Antiqua"/>
          <w:lang w:val="en-US"/>
        </w:rPr>
        <w:t>1 (36.2%), f</w:t>
      </w:r>
      <w:r w:rsidR="007A35C7" w:rsidRPr="00924A19">
        <w:rPr>
          <w:rFonts w:ascii="Book Antiqua" w:hAnsi="Book Antiqua"/>
          <w:lang w:val="en-US"/>
        </w:rPr>
        <w:t xml:space="preserve">ollowed by </w:t>
      </w:r>
      <w:r w:rsidR="00FC1645" w:rsidRPr="00924A19">
        <w:rPr>
          <w:rFonts w:ascii="Book Antiqua" w:hAnsi="Book Antiqua"/>
          <w:lang w:val="en-US"/>
        </w:rPr>
        <w:t>G</w:t>
      </w:r>
      <w:r w:rsidR="007A35C7" w:rsidRPr="00924A19">
        <w:rPr>
          <w:rFonts w:ascii="Book Antiqua" w:hAnsi="Book Antiqua"/>
          <w:lang w:val="en-US"/>
        </w:rPr>
        <w:t xml:space="preserve">2 (26.8%), </w:t>
      </w:r>
      <w:r w:rsidR="006E148D" w:rsidRPr="00924A19">
        <w:rPr>
          <w:rFonts w:ascii="Book Antiqua" w:hAnsi="Book Antiqua"/>
          <w:lang w:val="en-US"/>
        </w:rPr>
        <w:t>G</w:t>
      </w:r>
      <w:r w:rsidR="007A35C7" w:rsidRPr="00924A19">
        <w:rPr>
          <w:rFonts w:ascii="Book Antiqua" w:hAnsi="Book Antiqua"/>
          <w:lang w:val="en-US"/>
        </w:rPr>
        <w:t>4 (16.6%)</w:t>
      </w:r>
      <w:r w:rsidRPr="00924A19">
        <w:rPr>
          <w:rFonts w:ascii="Book Antiqua" w:hAnsi="Book Antiqua"/>
          <w:lang w:val="en-US"/>
        </w:rPr>
        <w:t xml:space="preserve">, </w:t>
      </w:r>
      <w:r w:rsidR="006E148D" w:rsidRPr="00924A19">
        <w:rPr>
          <w:rFonts w:ascii="Book Antiqua" w:hAnsi="Book Antiqua"/>
          <w:lang w:val="en-US"/>
        </w:rPr>
        <w:t>G</w:t>
      </w:r>
      <w:r w:rsidRPr="00924A19">
        <w:rPr>
          <w:rFonts w:ascii="Book Antiqua" w:hAnsi="Book Antiqua"/>
          <w:lang w:val="en-US"/>
        </w:rPr>
        <w:t xml:space="preserve">5 (13.0%) and </w:t>
      </w:r>
      <w:r w:rsidR="006E148D" w:rsidRPr="00924A19">
        <w:rPr>
          <w:rFonts w:ascii="Book Antiqua" w:hAnsi="Book Antiqua"/>
          <w:lang w:val="en-US"/>
        </w:rPr>
        <w:t>G</w:t>
      </w:r>
      <w:r w:rsidR="004E7EA3" w:rsidRPr="00924A19">
        <w:rPr>
          <w:rFonts w:ascii="Book Antiqua" w:hAnsi="Book Antiqua"/>
          <w:lang w:val="en-US"/>
        </w:rPr>
        <w:t>3 (7.4%)</w:t>
      </w:r>
      <w:r w:rsidRPr="00924A19">
        <w:rPr>
          <w:rFonts w:ascii="Book Antiqua" w:hAnsi="Book Antiqua"/>
          <w:lang w:val="en-US"/>
        </w:rPr>
        <w:t>. No ca</w:t>
      </w:r>
      <w:r w:rsidR="008F5C6C" w:rsidRPr="00924A19">
        <w:rPr>
          <w:rFonts w:ascii="Book Antiqua" w:hAnsi="Book Antiqua"/>
          <w:lang w:val="en-US"/>
        </w:rPr>
        <w:t xml:space="preserve">ses of </w:t>
      </w:r>
      <w:r w:rsidR="006E148D" w:rsidRPr="00924A19">
        <w:rPr>
          <w:rFonts w:ascii="Book Antiqua" w:hAnsi="Book Antiqua"/>
          <w:lang w:val="en-US"/>
        </w:rPr>
        <w:t>G</w:t>
      </w:r>
      <w:r w:rsidR="008F5C6C" w:rsidRPr="00924A19">
        <w:rPr>
          <w:rFonts w:ascii="Book Antiqua" w:hAnsi="Book Antiqua"/>
          <w:lang w:val="en-US"/>
        </w:rPr>
        <w:t>6 were reported (Table 4).</w:t>
      </w:r>
      <w:r w:rsidRPr="00924A19">
        <w:rPr>
          <w:rFonts w:ascii="Book Antiqua" w:hAnsi="Book Antiqua"/>
          <w:lang w:val="en-US"/>
        </w:rPr>
        <w:t>Except f</w:t>
      </w:r>
      <w:r w:rsidR="007A35C7" w:rsidRPr="00924A19">
        <w:rPr>
          <w:rFonts w:ascii="Book Antiqua" w:hAnsi="Book Antiqua"/>
          <w:lang w:val="en-US"/>
        </w:rPr>
        <w:t>or</w:t>
      </w:r>
      <w:r w:rsidRPr="00924A19">
        <w:rPr>
          <w:rFonts w:ascii="Book Antiqua" w:hAnsi="Book Antiqua"/>
          <w:lang w:val="en-US"/>
        </w:rPr>
        <w:t xml:space="preserve"> Ethiopia, where </w:t>
      </w:r>
      <w:r w:rsidR="006E148D" w:rsidRPr="00924A19">
        <w:rPr>
          <w:rFonts w:ascii="Book Antiqua" w:hAnsi="Book Antiqua"/>
          <w:lang w:val="en-US"/>
        </w:rPr>
        <w:t>G</w:t>
      </w:r>
      <w:r w:rsidRPr="00924A19">
        <w:rPr>
          <w:rFonts w:ascii="Book Antiqua" w:hAnsi="Book Antiqua"/>
          <w:lang w:val="en-US"/>
        </w:rPr>
        <w:t xml:space="preserve">4 </w:t>
      </w:r>
      <w:r w:rsidR="006E148D" w:rsidRPr="00924A19">
        <w:rPr>
          <w:rFonts w:ascii="Book Antiqua" w:hAnsi="Book Antiqua"/>
          <w:lang w:val="en-US"/>
        </w:rPr>
        <w:t>represents</w:t>
      </w:r>
      <w:r w:rsidR="00184665" w:rsidRPr="00924A19">
        <w:rPr>
          <w:rFonts w:ascii="Book Antiqua" w:hAnsi="Book Antiqua" w:hint="eastAsia"/>
          <w:lang w:val="en-US"/>
        </w:rPr>
        <w:t xml:space="preserve"> </w:t>
      </w:r>
      <w:r w:rsidR="007A35C7" w:rsidRPr="00924A19">
        <w:rPr>
          <w:rFonts w:ascii="Book Antiqua" w:hAnsi="Book Antiqua"/>
          <w:lang w:val="en-US"/>
        </w:rPr>
        <w:t xml:space="preserve">about </w:t>
      </w:r>
      <w:r w:rsidRPr="00924A19">
        <w:rPr>
          <w:rFonts w:ascii="Book Antiqua" w:hAnsi="Book Antiqua"/>
          <w:lang w:val="en-US"/>
        </w:rPr>
        <w:t>the hal</w:t>
      </w:r>
      <w:r w:rsidR="00B622BC" w:rsidRPr="00924A19">
        <w:rPr>
          <w:rFonts w:ascii="Book Antiqua" w:hAnsi="Book Antiqua"/>
          <w:lang w:val="en-US"/>
        </w:rPr>
        <w:t xml:space="preserve">f of all the genotypes </w:t>
      </w:r>
      <w:r w:rsidR="007A35C7" w:rsidRPr="00924A19">
        <w:rPr>
          <w:rFonts w:ascii="Book Antiqua" w:hAnsi="Book Antiqua"/>
          <w:lang w:val="en-US"/>
        </w:rPr>
        <w:t>described</w:t>
      </w:r>
      <w:r w:rsidR="00B622BC" w:rsidRPr="00924A19">
        <w:rPr>
          <w:rFonts w:ascii="Book Antiqua" w:hAnsi="Book Antiqua"/>
          <w:lang w:val="en-US"/>
        </w:rPr>
        <w:t xml:space="preserve"> and Madagascar, where the only two genotypes </w:t>
      </w:r>
      <w:r w:rsidR="007A35C7" w:rsidRPr="00924A19">
        <w:rPr>
          <w:rFonts w:ascii="Book Antiqua" w:hAnsi="Book Antiqua"/>
          <w:lang w:val="en-US"/>
        </w:rPr>
        <w:t>found</w:t>
      </w:r>
      <w:r w:rsidR="00B622BC" w:rsidRPr="00924A19">
        <w:rPr>
          <w:rFonts w:ascii="Book Antiqua" w:hAnsi="Book Antiqua"/>
          <w:lang w:val="en-US"/>
        </w:rPr>
        <w:t xml:space="preserve"> are </w:t>
      </w:r>
      <w:r w:rsidR="006E148D" w:rsidRPr="00924A19">
        <w:rPr>
          <w:rFonts w:ascii="Book Antiqua" w:hAnsi="Book Antiqua"/>
          <w:lang w:val="en-US"/>
        </w:rPr>
        <w:t>G</w:t>
      </w:r>
      <w:r w:rsidR="00B622BC" w:rsidRPr="00924A19">
        <w:rPr>
          <w:rFonts w:ascii="Book Antiqua" w:hAnsi="Book Antiqua"/>
          <w:lang w:val="en-US"/>
        </w:rPr>
        <w:t xml:space="preserve">1 (52.9%) and </w:t>
      </w:r>
      <w:r w:rsidR="006E148D" w:rsidRPr="00924A19">
        <w:rPr>
          <w:rFonts w:ascii="Book Antiqua" w:hAnsi="Book Antiqua"/>
          <w:lang w:val="en-US"/>
        </w:rPr>
        <w:t>G</w:t>
      </w:r>
      <w:r w:rsidR="00B622BC" w:rsidRPr="00924A19">
        <w:rPr>
          <w:rFonts w:ascii="Book Antiqua" w:hAnsi="Book Antiqua"/>
          <w:lang w:val="en-US"/>
        </w:rPr>
        <w:t xml:space="preserve">4 (47.1%), </w:t>
      </w:r>
      <w:r w:rsidRPr="00924A19">
        <w:rPr>
          <w:rFonts w:ascii="Book Antiqua" w:hAnsi="Book Antiqua"/>
          <w:lang w:val="en-US"/>
        </w:rPr>
        <w:t>in other countries</w:t>
      </w:r>
      <w:r w:rsidR="00B622BC" w:rsidRPr="00924A19">
        <w:rPr>
          <w:rFonts w:ascii="Book Antiqua" w:hAnsi="Book Antiqua"/>
          <w:lang w:val="en-US"/>
        </w:rPr>
        <w:t xml:space="preserve"> all the genotypes are equally present</w:t>
      </w:r>
      <w:r w:rsidR="006E148D" w:rsidRPr="00924A19">
        <w:rPr>
          <w:rFonts w:ascii="Book Antiqua" w:hAnsi="Book Antiqua"/>
          <w:lang w:val="en-US"/>
        </w:rPr>
        <w:t xml:space="preserve"> (Figure </w:t>
      </w:r>
      <w:r w:rsidR="00C220FF" w:rsidRPr="00924A19">
        <w:rPr>
          <w:rFonts w:ascii="Book Antiqua" w:hAnsi="Book Antiqua"/>
          <w:lang w:val="en-US"/>
        </w:rPr>
        <w:t>1B</w:t>
      </w:r>
      <w:r w:rsidR="006E148D" w:rsidRPr="00924A19">
        <w:rPr>
          <w:rFonts w:ascii="Book Antiqua" w:hAnsi="Book Antiqua"/>
          <w:lang w:val="en-US"/>
        </w:rPr>
        <w:t>).</w:t>
      </w:r>
      <w:r w:rsidR="00B622BC" w:rsidRPr="00924A19">
        <w:rPr>
          <w:rFonts w:ascii="Book Antiqua" w:hAnsi="Book Antiqua"/>
          <w:lang w:val="en-US"/>
        </w:rPr>
        <w:t>No genotypes distribution data are available from Eritrea, Kenya</w:t>
      </w:r>
      <w:r w:rsidR="00DF0A3A" w:rsidRPr="00924A19">
        <w:rPr>
          <w:rFonts w:ascii="Book Antiqua" w:hAnsi="Book Antiqua"/>
          <w:lang w:val="en-US"/>
        </w:rPr>
        <w:t>, Somalia</w:t>
      </w:r>
      <w:r w:rsidR="00516180">
        <w:rPr>
          <w:rFonts w:ascii="Book Antiqua" w:hAnsi="Book Antiqua" w:hint="eastAsia"/>
          <w:lang w:val="en-US"/>
        </w:rPr>
        <w:t xml:space="preserve"> </w:t>
      </w:r>
      <w:r w:rsidR="00377BB7" w:rsidRPr="00924A19">
        <w:rPr>
          <w:rFonts w:ascii="Book Antiqua" w:hAnsi="Book Antiqua"/>
          <w:lang w:val="en-US"/>
        </w:rPr>
        <w:t xml:space="preserve">and </w:t>
      </w:r>
      <w:r w:rsidR="006E148D" w:rsidRPr="00924A19">
        <w:rPr>
          <w:rFonts w:ascii="Book Antiqua" w:hAnsi="Book Antiqua"/>
          <w:lang w:val="en-US"/>
        </w:rPr>
        <w:t>Tanzania.</w:t>
      </w:r>
    </w:p>
    <w:p w:rsidR="00DE6733" w:rsidRPr="00924A19" w:rsidRDefault="00DE6733" w:rsidP="0026366E">
      <w:pPr>
        <w:snapToGrid w:val="0"/>
        <w:spacing w:line="360" w:lineRule="auto"/>
        <w:jc w:val="both"/>
        <w:rPr>
          <w:rFonts w:ascii="Book Antiqua" w:eastAsia="Times New Roman" w:hAnsi="Book Antiqua" w:cs="AdvGulliv-R"/>
          <w:b/>
          <w:color w:val="000000"/>
          <w:lang w:val="en-US" w:eastAsia="it-IT"/>
        </w:rPr>
      </w:pPr>
    </w:p>
    <w:p w:rsidR="005C0C44" w:rsidRPr="00924A19" w:rsidRDefault="007C1CD8" w:rsidP="0026366E">
      <w:pPr>
        <w:snapToGrid w:val="0"/>
        <w:spacing w:line="360" w:lineRule="auto"/>
        <w:jc w:val="both"/>
        <w:rPr>
          <w:rFonts w:ascii="Book Antiqua" w:hAnsi="Book Antiqua"/>
          <w:lang w:val="en-US"/>
        </w:rPr>
      </w:pPr>
      <w:r w:rsidRPr="00924A19">
        <w:rPr>
          <w:rFonts w:ascii="Book Antiqua" w:eastAsia="Times New Roman" w:hAnsi="Book Antiqua" w:cs="AdvGulliv-R"/>
          <w:b/>
          <w:color w:val="000000"/>
          <w:lang w:val="en-US" w:eastAsia="it-IT"/>
        </w:rPr>
        <w:t xml:space="preserve">Southern </w:t>
      </w:r>
      <w:r w:rsidR="004E7EA3" w:rsidRPr="00924A19">
        <w:rPr>
          <w:rFonts w:ascii="Book Antiqua" w:eastAsia="Times New Roman" w:hAnsi="Book Antiqua" w:cs="AdvGulliv-R"/>
          <w:b/>
          <w:color w:val="000000"/>
          <w:lang w:val="en-US" w:eastAsia="it-IT"/>
        </w:rPr>
        <w:t>Sub-</w:t>
      </w:r>
      <w:r w:rsidR="005C0C44" w:rsidRPr="00924A19">
        <w:rPr>
          <w:rFonts w:ascii="Book Antiqua" w:eastAsia="Times New Roman" w:hAnsi="Book Antiqua" w:cs="AdvGulliv-R"/>
          <w:b/>
          <w:color w:val="000000"/>
          <w:lang w:val="en-US" w:eastAsia="it-IT"/>
        </w:rPr>
        <w:t>Saharan Africa</w:t>
      </w:r>
      <w:r w:rsidR="004E7EA3" w:rsidRPr="00924A19">
        <w:rPr>
          <w:rFonts w:ascii="Book Antiqua" w:eastAsia="Times New Roman" w:hAnsi="Book Antiqua" w:cs="AdvGulliv-R"/>
          <w:b/>
          <w:color w:val="000000"/>
          <w:lang w:val="en-US" w:eastAsia="it-IT"/>
        </w:rPr>
        <w:t xml:space="preserve">: </w:t>
      </w:r>
      <w:r w:rsidR="00106E7C" w:rsidRPr="00924A19">
        <w:rPr>
          <w:rFonts w:ascii="Book Antiqua" w:eastAsia="Times New Roman" w:hAnsi="Book Antiqua" w:cs="AdvMinionNormal_Rm"/>
          <w:lang w:val="en-US" w:eastAsia="it-IT"/>
        </w:rPr>
        <w:t xml:space="preserve">Data concerning </w:t>
      </w:r>
      <w:r w:rsidR="005C0C44" w:rsidRPr="00924A19">
        <w:rPr>
          <w:rFonts w:ascii="Book Antiqua" w:eastAsia="Times New Roman" w:hAnsi="Book Antiqua" w:cs="AdvMinionNormal_Rm"/>
          <w:lang w:val="en-US" w:eastAsia="it-IT"/>
        </w:rPr>
        <w:t xml:space="preserve">this </w:t>
      </w:r>
      <w:r w:rsidR="00106E7C" w:rsidRPr="00924A19">
        <w:rPr>
          <w:rFonts w:ascii="Book Antiqua" w:eastAsia="Times New Roman" w:hAnsi="Book Antiqua" w:cs="AdvMinionNormal_Rm"/>
          <w:lang w:val="en-US" w:eastAsia="it-IT"/>
        </w:rPr>
        <w:t>macro area</w:t>
      </w:r>
      <w:r w:rsidR="008F26D9" w:rsidRPr="00924A19">
        <w:rPr>
          <w:rFonts w:ascii="Book Antiqua" w:eastAsia="Times New Roman" w:hAnsi="Book Antiqua" w:cs="AdvMinionNormal_Rm"/>
          <w:lang w:val="en-US" w:eastAsia="it-IT"/>
        </w:rPr>
        <w:t xml:space="preserve"> are</w:t>
      </w:r>
      <w:r w:rsidR="00106E7C" w:rsidRPr="00924A19">
        <w:rPr>
          <w:rFonts w:ascii="Book Antiqua" w:eastAsia="Times New Roman" w:hAnsi="Book Antiqua" w:cs="AdvMinionNormal_Rm"/>
          <w:lang w:val="en-US" w:eastAsia="it-IT"/>
        </w:rPr>
        <w:t xml:space="preserve"> reported from </w:t>
      </w:r>
      <w:r w:rsidR="005C0C44" w:rsidRPr="00924A19">
        <w:rPr>
          <w:rFonts w:ascii="Book Antiqua" w:eastAsia="Times New Roman" w:hAnsi="Book Antiqua" w:cs="AdvMinionNormal_Rm"/>
          <w:lang w:val="en-US" w:eastAsia="it-IT"/>
        </w:rPr>
        <w:t>Malawi, South Africa,</w:t>
      </w:r>
      <w:r w:rsidR="008F26D9" w:rsidRPr="00924A19">
        <w:rPr>
          <w:rFonts w:ascii="Book Antiqua" w:eastAsia="Times New Roman" w:hAnsi="Book Antiqua" w:cs="AdvMinionNormal_Rm"/>
          <w:lang w:val="en-US" w:eastAsia="it-IT"/>
        </w:rPr>
        <w:t xml:space="preserve"> Swaziland, Zambia and Zimbabwe and show</w:t>
      </w:r>
      <w:r w:rsidR="00B96E17" w:rsidRPr="00924A19">
        <w:rPr>
          <w:rFonts w:ascii="Book Antiqua" w:eastAsia="Times New Roman" w:hAnsi="Book Antiqua" w:cs="AdvMinionNormal_Rm"/>
          <w:lang w:val="en-US" w:eastAsia="it-IT"/>
        </w:rPr>
        <w:t xml:space="preserve"> an </w:t>
      </w:r>
      <w:r w:rsidR="00B96E17" w:rsidRPr="00924A19">
        <w:rPr>
          <w:rFonts w:ascii="Book Antiqua" w:hAnsi="Book Antiqua"/>
          <w:lang w:val="en-US"/>
        </w:rPr>
        <w:t xml:space="preserve">average HCV prevalence of 0.9% and </w:t>
      </w:r>
      <w:r w:rsidR="005C0C44" w:rsidRPr="00924A19">
        <w:rPr>
          <w:rFonts w:ascii="Book Antiqua" w:hAnsi="Book Antiqua"/>
          <w:lang w:val="en-US"/>
        </w:rPr>
        <w:t xml:space="preserve">a viraemic rate estimated at 69.0% (Table 2).The countries with the highest prevalence </w:t>
      </w:r>
      <w:r w:rsidR="00B96E17" w:rsidRPr="00924A19">
        <w:rPr>
          <w:rFonts w:ascii="Book Antiqua" w:hAnsi="Book Antiqua"/>
          <w:lang w:val="en-US"/>
        </w:rPr>
        <w:t xml:space="preserve">are </w:t>
      </w:r>
      <w:r w:rsidR="005C0C44" w:rsidRPr="00924A19">
        <w:rPr>
          <w:rFonts w:ascii="Book Antiqua" w:hAnsi="Book Antiqua"/>
          <w:lang w:val="en-US"/>
        </w:rPr>
        <w:t>Zimbabwe (2.0%) and Swaziland (1.5</w:t>
      </w:r>
      <w:r w:rsidR="00B96E17" w:rsidRPr="00924A19">
        <w:rPr>
          <w:rFonts w:ascii="Book Antiqua" w:hAnsi="Book Antiqua"/>
          <w:lang w:val="en-US"/>
        </w:rPr>
        <w:t xml:space="preserve">%), whereas </w:t>
      </w:r>
      <w:r w:rsidR="005C0C44" w:rsidRPr="00924A19">
        <w:rPr>
          <w:rFonts w:ascii="Book Antiqua" w:hAnsi="Book Antiqua"/>
          <w:lang w:val="en-US"/>
        </w:rPr>
        <w:t>South A</w:t>
      </w:r>
      <w:r w:rsidR="006E148D" w:rsidRPr="00924A19">
        <w:rPr>
          <w:rFonts w:ascii="Book Antiqua" w:hAnsi="Book Antiqua"/>
          <w:lang w:val="en-US"/>
        </w:rPr>
        <w:t xml:space="preserve">frica and </w:t>
      </w:r>
      <w:r w:rsidR="00377BB7" w:rsidRPr="00924A19">
        <w:rPr>
          <w:rFonts w:ascii="Book Antiqua" w:hAnsi="Book Antiqua"/>
          <w:lang w:val="en-US"/>
        </w:rPr>
        <w:t xml:space="preserve">Zambia </w:t>
      </w:r>
      <w:r w:rsidR="00B96E17" w:rsidRPr="00924A19">
        <w:rPr>
          <w:rFonts w:ascii="Book Antiqua" w:hAnsi="Book Antiqua"/>
          <w:lang w:val="en-US"/>
        </w:rPr>
        <w:t>show the lowest prevalence</w:t>
      </w:r>
      <w:r w:rsidR="00184665" w:rsidRPr="00924A19">
        <w:rPr>
          <w:rFonts w:ascii="Book Antiqua" w:hAnsi="Book Antiqua" w:hint="eastAsia"/>
          <w:lang w:val="en-US"/>
        </w:rPr>
        <w:t xml:space="preserve"> </w:t>
      </w:r>
      <w:r w:rsidR="00B96E17" w:rsidRPr="00924A19">
        <w:rPr>
          <w:rFonts w:ascii="Book Antiqua" w:hAnsi="Book Antiqua"/>
          <w:lang w:val="en-US"/>
        </w:rPr>
        <w:t>(0.1% and 0.2%, respectively)</w:t>
      </w:r>
      <w:r w:rsidR="00184665" w:rsidRPr="00924A19">
        <w:rPr>
          <w:rFonts w:ascii="Book Antiqua" w:hAnsi="Book Antiqua" w:hint="eastAsia"/>
          <w:lang w:val="en-US"/>
        </w:rPr>
        <w:t xml:space="preserve"> </w:t>
      </w:r>
      <w:r w:rsidR="00377BB7" w:rsidRPr="00924A19">
        <w:rPr>
          <w:rFonts w:ascii="Book Antiqua" w:hAnsi="Book Antiqua"/>
          <w:lang w:val="en-US"/>
        </w:rPr>
        <w:t>(Figure 1</w:t>
      </w:r>
      <w:r w:rsidR="00C220FF" w:rsidRPr="00924A19">
        <w:rPr>
          <w:rFonts w:ascii="Book Antiqua" w:hAnsi="Book Antiqua"/>
          <w:lang w:val="en-US"/>
        </w:rPr>
        <w:t>A</w:t>
      </w:r>
      <w:r w:rsidR="00377BB7" w:rsidRPr="00924A19">
        <w:rPr>
          <w:rFonts w:ascii="Book Antiqua" w:hAnsi="Book Antiqua"/>
          <w:lang w:val="en-US"/>
        </w:rPr>
        <w:t>).</w:t>
      </w:r>
    </w:p>
    <w:p w:rsidR="00DF0A3A" w:rsidRPr="00924A19" w:rsidRDefault="005C0C44" w:rsidP="0026366E">
      <w:pPr>
        <w:autoSpaceDE w:val="0"/>
        <w:autoSpaceDN w:val="0"/>
        <w:adjustRightInd w:val="0"/>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more common genotype is the </w:t>
      </w:r>
      <w:r w:rsidR="006E148D" w:rsidRPr="00924A19">
        <w:rPr>
          <w:rFonts w:ascii="Book Antiqua" w:hAnsi="Book Antiqua"/>
          <w:lang w:val="en-US"/>
        </w:rPr>
        <w:t>G</w:t>
      </w:r>
      <w:r w:rsidRPr="00924A19">
        <w:rPr>
          <w:rFonts w:ascii="Book Antiqua" w:hAnsi="Book Antiqua"/>
          <w:lang w:val="en-US"/>
        </w:rPr>
        <w:t xml:space="preserve">5 (35.7%), as reported from the only </w:t>
      </w:r>
      <w:r w:rsidR="006E148D" w:rsidRPr="00924A19">
        <w:rPr>
          <w:rFonts w:ascii="Book Antiqua" w:hAnsi="Book Antiqua"/>
          <w:lang w:val="en-US"/>
        </w:rPr>
        <w:t xml:space="preserve">country </w:t>
      </w:r>
      <w:r w:rsidRPr="00924A19">
        <w:rPr>
          <w:rFonts w:ascii="Book Antiqua" w:hAnsi="Book Antiqua"/>
          <w:lang w:val="en-US"/>
        </w:rPr>
        <w:t xml:space="preserve">where </w:t>
      </w:r>
      <w:r w:rsidR="006E148D" w:rsidRPr="00924A19">
        <w:rPr>
          <w:rFonts w:ascii="Book Antiqua" w:hAnsi="Book Antiqua"/>
          <w:lang w:val="en-US"/>
        </w:rPr>
        <w:t>genotypes prevalence</w:t>
      </w:r>
      <w:r w:rsidRPr="00924A19">
        <w:rPr>
          <w:rFonts w:ascii="Book Antiqua" w:hAnsi="Book Antiqua"/>
          <w:lang w:val="en-US"/>
        </w:rPr>
        <w:t xml:space="preserve"> has been studied</w:t>
      </w:r>
      <w:r w:rsidR="006E148D" w:rsidRPr="00924A19">
        <w:rPr>
          <w:rFonts w:ascii="Book Antiqua" w:hAnsi="Book Antiqua"/>
          <w:lang w:val="en-US"/>
        </w:rPr>
        <w:t xml:space="preserve"> (South Africa)</w:t>
      </w:r>
      <w:r w:rsidRPr="00924A19">
        <w:rPr>
          <w:rFonts w:ascii="Book Antiqua" w:hAnsi="Book Antiqua"/>
          <w:lang w:val="en-US"/>
        </w:rPr>
        <w:t xml:space="preserve">, followed by </w:t>
      </w:r>
      <w:r w:rsidR="006E148D" w:rsidRPr="00924A19">
        <w:rPr>
          <w:rFonts w:ascii="Book Antiqua" w:hAnsi="Book Antiqua"/>
          <w:lang w:val="en-US"/>
        </w:rPr>
        <w:t>G</w:t>
      </w:r>
      <w:r w:rsidRPr="00924A19">
        <w:rPr>
          <w:rFonts w:ascii="Book Antiqua" w:hAnsi="Book Antiqua"/>
          <w:lang w:val="en-US"/>
        </w:rPr>
        <w:t>1 (</w:t>
      </w:r>
      <w:r w:rsidR="00377BB7" w:rsidRPr="00924A19">
        <w:rPr>
          <w:rFonts w:ascii="Book Antiqua" w:hAnsi="Book Antiqua"/>
          <w:lang w:val="en-US"/>
        </w:rPr>
        <w:t xml:space="preserve">31.4%), </w:t>
      </w:r>
      <w:r w:rsidR="006E148D" w:rsidRPr="00924A19">
        <w:rPr>
          <w:rFonts w:ascii="Book Antiqua" w:hAnsi="Book Antiqua"/>
          <w:lang w:val="en-US"/>
        </w:rPr>
        <w:t>G</w:t>
      </w:r>
      <w:r w:rsidR="00377BB7" w:rsidRPr="00924A19">
        <w:rPr>
          <w:rFonts w:ascii="Book Antiqua" w:hAnsi="Book Antiqua"/>
          <w:lang w:val="en-US"/>
        </w:rPr>
        <w:t xml:space="preserve">3 (12.6%) and </w:t>
      </w:r>
      <w:r w:rsidR="008F26D9" w:rsidRPr="00924A19">
        <w:rPr>
          <w:rFonts w:ascii="Book Antiqua" w:hAnsi="Book Antiqua"/>
          <w:lang w:val="en-US"/>
        </w:rPr>
        <w:t xml:space="preserve">G4 (12.4%). </w:t>
      </w:r>
      <w:r w:rsidRPr="00924A19">
        <w:rPr>
          <w:rFonts w:ascii="Book Antiqua" w:hAnsi="Book Antiqua"/>
          <w:lang w:val="en-US"/>
        </w:rPr>
        <w:t xml:space="preserve">No cases of </w:t>
      </w:r>
      <w:r w:rsidR="006E148D" w:rsidRPr="00924A19">
        <w:rPr>
          <w:rFonts w:ascii="Book Antiqua" w:hAnsi="Book Antiqua"/>
          <w:lang w:val="en-US"/>
        </w:rPr>
        <w:t>G</w:t>
      </w:r>
      <w:r w:rsidRPr="00924A19">
        <w:rPr>
          <w:rFonts w:ascii="Book Antiqua" w:hAnsi="Book Antiqua"/>
          <w:lang w:val="en-US"/>
        </w:rPr>
        <w:t>6 were reported and only a small percent</w:t>
      </w:r>
      <w:r w:rsidR="00377BB7" w:rsidRPr="00924A19">
        <w:rPr>
          <w:rFonts w:ascii="Book Antiqua" w:hAnsi="Book Antiqua"/>
          <w:lang w:val="en-US"/>
        </w:rPr>
        <w:t xml:space="preserve">age of </w:t>
      </w:r>
      <w:r w:rsidR="006E148D" w:rsidRPr="00924A19">
        <w:rPr>
          <w:rFonts w:ascii="Book Antiqua" w:hAnsi="Book Antiqua"/>
          <w:lang w:val="en-US"/>
        </w:rPr>
        <w:t>G</w:t>
      </w:r>
      <w:r w:rsidR="00377BB7" w:rsidRPr="00924A19">
        <w:rPr>
          <w:rFonts w:ascii="Book Antiqua" w:hAnsi="Book Antiqua"/>
          <w:lang w:val="en-US"/>
        </w:rPr>
        <w:t xml:space="preserve">2 </w:t>
      </w:r>
      <w:r w:rsidR="008F26D9" w:rsidRPr="00924A19">
        <w:rPr>
          <w:rFonts w:ascii="Book Antiqua" w:hAnsi="Book Antiqua"/>
          <w:lang w:val="en-US"/>
        </w:rPr>
        <w:t>is</w:t>
      </w:r>
      <w:r w:rsidR="00377BB7" w:rsidRPr="00924A19">
        <w:rPr>
          <w:rFonts w:ascii="Book Antiqua" w:hAnsi="Book Antiqua"/>
          <w:lang w:val="en-US"/>
        </w:rPr>
        <w:t xml:space="preserve"> described</w:t>
      </w:r>
      <w:r w:rsidR="006E148D" w:rsidRPr="00924A19">
        <w:rPr>
          <w:rFonts w:ascii="Book Antiqua" w:hAnsi="Book Antiqua"/>
          <w:lang w:val="en-US"/>
        </w:rPr>
        <w:t xml:space="preserve"> (Figure </w:t>
      </w:r>
      <w:r w:rsidR="00C220FF" w:rsidRPr="00924A19">
        <w:rPr>
          <w:rFonts w:ascii="Book Antiqua" w:hAnsi="Book Antiqua"/>
          <w:lang w:val="en-US"/>
        </w:rPr>
        <w:t>1B</w:t>
      </w:r>
      <w:r w:rsidR="006E148D" w:rsidRPr="00924A19">
        <w:rPr>
          <w:rFonts w:ascii="Book Antiqua" w:hAnsi="Book Antiqua"/>
          <w:lang w:val="en-US"/>
        </w:rPr>
        <w:t>)</w:t>
      </w:r>
      <w:r w:rsidR="00377BB7" w:rsidRPr="00924A19">
        <w:rPr>
          <w:rFonts w:ascii="Book Antiqua" w:hAnsi="Book Antiqua"/>
          <w:lang w:val="en-US"/>
        </w:rPr>
        <w:t>.</w:t>
      </w:r>
      <w:r w:rsidR="00184665" w:rsidRPr="00924A19">
        <w:rPr>
          <w:rFonts w:ascii="Book Antiqua" w:hAnsi="Book Antiqua" w:hint="eastAsia"/>
          <w:lang w:val="en-US"/>
        </w:rPr>
        <w:t xml:space="preserve"> </w:t>
      </w:r>
      <w:r w:rsidR="00DF0A3A" w:rsidRPr="00924A19">
        <w:rPr>
          <w:rFonts w:ascii="Book Antiqua" w:hAnsi="Book Antiqua"/>
          <w:lang w:val="en-US"/>
        </w:rPr>
        <w:t>No genotypes distribution data are available from Malawi, Swaziland, Zambia and Zimbabwe.</w:t>
      </w:r>
    </w:p>
    <w:p w:rsidR="005C0C44" w:rsidRPr="00924A19" w:rsidRDefault="005C0C44" w:rsidP="0026366E">
      <w:pPr>
        <w:snapToGrid w:val="0"/>
        <w:spacing w:line="360" w:lineRule="auto"/>
        <w:jc w:val="both"/>
        <w:rPr>
          <w:rFonts w:ascii="Book Antiqua" w:eastAsia="Times New Roman" w:hAnsi="Book Antiqua" w:cs="AdvGulliv-R"/>
          <w:b/>
          <w:color w:val="000000"/>
          <w:lang w:val="en-US" w:eastAsia="it-IT"/>
        </w:rPr>
      </w:pPr>
    </w:p>
    <w:p w:rsidR="00DF678D" w:rsidRPr="00924A19" w:rsidRDefault="007C1CD8"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t xml:space="preserve">West </w:t>
      </w:r>
      <w:r w:rsidR="004E7EA3" w:rsidRPr="00924A19">
        <w:rPr>
          <w:rFonts w:ascii="Book Antiqua" w:eastAsia="Times New Roman" w:hAnsi="Book Antiqua" w:cs="AdvGulliv-R"/>
          <w:b/>
          <w:color w:val="000000"/>
          <w:lang w:val="en-US" w:eastAsia="it-IT"/>
        </w:rPr>
        <w:t>Sub-</w:t>
      </w:r>
      <w:r w:rsidR="000B11B9" w:rsidRPr="00924A19">
        <w:rPr>
          <w:rFonts w:ascii="Book Antiqua" w:eastAsia="Times New Roman" w:hAnsi="Book Antiqua" w:cs="AdvGulliv-R"/>
          <w:b/>
          <w:color w:val="000000"/>
          <w:lang w:val="en-US" w:eastAsia="it-IT"/>
        </w:rPr>
        <w:t>Sahar</w:t>
      </w:r>
      <w:r w:rsidR="00DE6733" w:rsidRPr="00924A19">
        <w:rPr>
          <w:rFonts w:ascii="Book Antiqua" w:eastAsia="Times New Roman" w:hAnsi="Book Antiqua" w:cs="AdvGulliv-R"/>
          <w:b/>
          <w:color w:val="000000"/>
          <w:lang w:val="en-US" w:eastAsia="it-IT"/>
        </w:rPr>
        <w:t>an Afri</w:t>
      </w:r>
      <w:r w:rsidRPr="00924A19">
        <w:rPr>
          <w:rFonts w:ascii="Book Antiqua" w:eastAsia="Times New Roman" w:hAnsi="Book Antiqua" w:cs="AdvGulliv-R"/>
          <w:b/>
          <w:color w:val="000000"/>
          <w:lang w:val="en-US" w:eastAsia="it-IT"/>
        </w:rPr>
        <w:t>ca</w:t>
      </w:r>
      <w:r w:rsidR="004E7EA3" w:rsidRPr="00924A19">
        <w:rPr>
          <w:rFonts w:ascii="Book Antiqua" w:eastAsia="Times New Roman" w:hAnsi="Book Antiqua" w:cs="AdvGulliv-R"/>
          <w:b/>
          <w:color w:val="000000"/>
          <w:lang w:val="en-US" w:eastAsia="it-IT"/>
        </w:rPr>
        <w:t xml:space="preserve">: </w:t>
      </w:r>
      <w:r w:rsidR="00DE6733" w:rsidRPr="00924A19">
        <w:rPr>
          <w:rFonts w:ascii="Book Antiqua" w:eastAsia="Times New Roman" w:hAnsi="Book Antiqua" w:cs="AdvMinionNormal_Rm"/>
          <w:lang w:val="en-US" w:eastAsia="it-IT"/>
        </w:rPr>
        <w:t xml:space="preserve">The countries studied in this area </w:t>
      </w:r>
      <w:r w:rsidR="00B96E17" w:rsidRPr="00924A19">
        <w:rPr>
          <w:rFonts w:ascii="Book Antiqua" w:eastAsia="Times New Roman" w:hAnsi="Book Antiqua" w:cs="AdvMinionNormal_Rm"/>
          <w:lang w:val="en-US" w:eastAsia="it-IT"/>
        </w:rPr>
        <w:t>are</w:t>
      </w:r>
      <w:r w:rsidR="00184665" w:rsidRPr="00924A19">
        <w:rPr>
          <w:rFonts w:ascii="Book Antiqua" w:eastAsiaTheme="minorEastAsia" w:hAnsi="Book Antiqua" w:cs="AdvMinionNormal_Rm" w:hint="eastAsia"/>
          <w:lang w:val="en-US"/>
        </w:rPr>
        <w:t xml:space="preserve"> </w:t>
      </w:r>
      <w:r w:rsidR="000B11B9" w:rsidRPr="00924A19">
        <w:rPr>
          <w:rFonts w:ascii="Book Antiqua" w:eastAsia="Times New Roman" w:hAnsi="Book Antiqua" w:cs="AdvMinionNormal_Rm"/>
          <w:lang w:val="en-US" w:eastAsia="it-IT"/>
        </w:rPr>
        <w:t>Benin, Burkina Faso, Cote d’Ivoire, Gambia, Ghana, Guinea</w:t>
      </w:r>
      <w:r w:rsidR="00B96E17" w:rsidRPr="00924A19">
        <w:rPr>
          <w:rFonts w:ascii="Book Antiqua" w:eastAsia="Times New Roman" w:hAnsi="Book Antiqua" w:cs="AdvMinionNormal_Rm"/>
          <w:lang w:val="en-US" w:eastAsia="it-IT"/>
        </w:rPr>
        <w:t xml:space="preserve"> Bissau</w:t>
      </w:r>
      <w:r w:rsidR="000B11B9" w:rsidRPr="00924A19">
        <w:rPr>
          <w:rFonts w:ascii="Book Antiqua" w:eastAsia="Times New Roman" w:hAnsi="Book Antiqua" w:cs="AdvMinionNormal_Rm"/>
          <w:lang w:val="en-US" w:eastAsia="it-IT"/>
        </w:rPr>
        <w:t>, Mauritania, Niger, Nigeria, Senegal and Togo.</w:t>
      </w:r>
      <w:r w:rsidR="00184665" w:rsidRPr="00924A19">
        <w:rPr>
          <w:rFonts w:ascii="Book Antiqua" w:eastAsiaTheme="minorEastAsia" w:hAnsi="Book Antiqua" w:cs="AdvMinionNormal_Rm" w:hint="eastAsia"/>
          <w:lang w:val="en-US"/>
        </w:rPr>
        <w:t xml:space="preserve"> </w:t>
      </w:r>
      <w:r w:rsidR="00DF678D" w:rsidRPr="00924A19">
        <w:rPr>
          <w:rFonts w:ascii="Book Antiqua" w:hAnsi="Book Antiqua"/>
          <w:lang w:val="en-US"/>
        </w:rPr>
        <w:t>The prevalence of HCV is 2.4%, ranging between 1.1% and 5.5</w:t>
      </w:r>
      <w:r w:rsidR="006D64FC" w:rsidRPr="00924A19">
        <w:rPr>
          <w:rFonts w:ascii="Book Antiqua" w:hAnsi="Book Antiqua"/>
          <w:lang w:val="en-US"/>
        </w:rPr>
        <w:t xml:space="preserve">%, depending on the country, with the higher viraemic rate of all the African </w:t>
      </w:r>
      <w:r w:rsidR="006D64FC" w:rsidRPr="00924A19">
        <w:rPr>
          <w:rFonts w:ascii="Book Antiqua" w:hAnsi="Book Antiqua"/>
          <w:lang w:val="en-US"/>
        </w:rPr>
        <w:lastRenderedPageBreak/>
        <w:t>continent (79.6%)</w:t>
      </w:r>
      <w:r w:rsidR="00184665" w:rsidRPr="00924A19">
        <w:rPr>
          <w:rFonts w:ascii="Book Antiqua" w:hAnsi="Book Antiqua" w:hint="eastAsia"/>
          <w:lang w:val="en-US"/>
        </w:rPr>
        <w:t xml:space="preserve"> </w:t>
      </w:r>
      <w:r w:rsidR="00C206FC" w:rsidRPr="00924A19">
        <w:rPr>
          <w:rFonts w:ascii="Book Antiqua" w:hAnsi="Book Antiqua"/>
          <w:lang w:val="en-US"/>
        </w:rPr>
        <w:t>(Table 2).</w:t>
      </w:r>
      <w:r w:rsidR="00DF678D" w:rsidRPr="00924A19">
        <w:rPr>
          <w:rFonts w:ascii="Book Antiqua" w:hAnsi="Book Antiqua"/>
          <w:lang w:val="en-US"/>
        </w:rPr>
        <w:t>The countries with the highest prevalence include Guinea</w:t>
      </w:r>
      <w:r w:rsidR="00B96E17" w:rsidRPr="00924A19">
        <w:rPr>
          <w:rFonts w:ascii="Book Antiqua" w:hAnsi="Book Antiqua"/>
          <w:lang w:val="en-US"/>
        </w:rPr>
        <w:t xml:space="preserve"> Bissau</w:t>
      </w:r>
      <w:r w:rsidR="00DF678D" w:rsidRPr="00924A19">
        <w:rPr>
          <w:rFonts w:ascii="Book Antiqua" w:hAnsi="Book Antiqua"/>
          <w:lang w:val="en-US"/>
        </w:rPr>
        <w:t xml:space="preserve"> (5.5%) and Burkina Faso (4.9%)</w:t>
      </w:r>
      <w:r w:rsidR="00B96E17" w:rsidRPr="00924A19">
        <w:rPr>
          <w:rFonts w:ascii="Book Antiqua" w:hAnsi="Book Antiqua"/>
          <w:lang w:val="en-US"/>
        </w:rPr>
        <w:t xml:space="preserve">, those </w:t>
      </w:r>
      <w:r w:rsidR="00DF678D" w:rsidRPr="00924A19">
        <w:rPr>
          <w:rFonts w:ascii="Book Antiqua" w:hAnsi="Book Antiqua"/>
          <w:lang w:val="en-US"/>
        </w:rPr>
        <w:t>with the lowest Mauritania (1.1%) and Benin (1.6%)</w:t>
      </w:r>
      <w:r w:rsidR="00184665" w:rsidRPr="00924A19">
        <w:rPr>
          <w:rFonts w:ascii="Book Antiqua" w:hAnsi="Book Antiqua" w:hint="eastAsia"/>
          <w:lang w:val="en-US"/>
        </w:rPr>
        <w:t xml:space="preserve"> </w:t>
      </w:r>
      <w:r w:rsidR="00377BB7" w:rsidRPr="00924A19">
        <w:rPr>
          <w:rFonts w:ascii="Book Antiqua" w:hAnsi="Book Antiqua"/>
          <w:lang w:val="en-US"/>
        </w:rPr>
        <w:t>(Figure 1</w:t>
      </w:r>
      <w:r w:rsidR="00C220FF" w:rsidRPr="00924A19">
        <w:rPr>
          <w:rFonts w:ascii="Book Antiqua" w:hAnsi="Book Antiqua"/>
          <w:lang w:val="en-US"/>
        </w:rPr>
        <w:t>A</w:t>
      </w:r>
      <w:r w:rsidR="00377BB7" w:rsidRPr="00924A19">
        <w:rPr>
          <w:rFonts w:ascii="Book Antiqua" w:hAnsi="Book Antiqua"/>
          <w:lang w:val="en-US"/>
        </w:rPr>
        <w:t>).</w:t>
      </w:r>
    </w:p>
    <w:p w:rsidR="00F360A9" w:rsidRPr="00924A19" w:rsidRDefault="00B622BC" w:rsidP="0026366E">
      <w:pPr>
        <w:autoSpaceDE w:val="0"/>
        <w:autoSpaceDN w:val="0"/>
        <w:adjustRightInd w:val="0"/>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predominant genotype is </w:t>
      </w:r>
      <w:r w:rsidR="006E148D" w:rsidRPr="00924A19">
        <w:rPr>
          <w:rFonts w:ascii="Book Antiqua" w:hAnsi="Book Antiqua"/>
          <w:lang w:val="en-US"/>
        </w:rPr>
        <w:t>G</w:t>
      </w:r>
      <w:r w:rsidRPr="00924A19">
        <w:rPr>
          <w:rFonts w:ascii="Book Antiqua" w:hAnsi="Book Antiqua"/>
          <w:lang w:val="en-US"/>
        </w:rPr>
        <w:t xml:space="preserve">2 (62.9%), followed by </w:t>
      </w:r>
      <w:r w:rsidR="006E148D" w:rsidRPr="00924A19">
        <w:rPr>
          <w:rFonts w:ascii="Book Antiqua" w:hAnsi="Book Antiqua"/>
          <w:lang w:val="en-US"/>
        </w:rPr>
        <w:t>G</w:t>
      </w:r>
      <w:r w:rsidRPr="00924A19">
        <w:rPr>
          <w:rFonts w:ascii="Book Antiqua" w:hAnsi="Book Antiqua"/>
          <w:lang w:val="en-US"/>
        </w:rPr>
        <w:t xml:space="preserve">1 (25.5%) and </w:t>
      </w:r>
      <w:r w:rsidR="006E148D" w:rsidRPr="00924A19">
        <w:rPr>
          <w:rFonts w:ascii="Book Antiqua" w:hAnsi="Book Antiqua"/>
          <w:lang w:val="en-US"/>
        </w:rPr>
        <w:t>G</w:t>
      </w:r>
      <w:r w:rsidR="00072C08" w:rsidRPr="00924A19">
        <w:rPr>
          <w:rFonts w:ascii="Book Antiqua" w:hAnsi="Book Antiqua"/>
          <w:lang w:val="en-US"/>
        </w:rPr>
        <w:t>3 (4.4%)(Table 4).</w:t>
      </w:r>
      <w:r w:rsidRPr="00924A19">
        <w:rPr>
          <w:rFonts w:ascii="Book Antiqua" w:hAnsi="Book Antiqua"/>
          <w:lang w:val="en-US"/>
        </w:rPr>
        <w:t xml:space="preserve">No cases of </w:t>
      </w:r>
      <w:r w:rsidR="006E148D" w:rsidRPr="00924A19">
        <w:rPr>
          <w:rFonts w:ascii="Book Antiqua" w:hAnsi="Book Antiqua"/>
          <w:lang w:val="en-US"/>
        </w:rPr>
        <w:t>G</w:t>
      </w:r>
      <w:r w:rsidRPr="00924A19">
        <w:rPr>
          <w:rFonts w:ascii="Book Antiqua" w:hAnsi="Book Antiqua"/>
          <w:lang w:val="en-US"/>
        </w:rPr>
        <w:t xml:space="preserve">5 and </w:t>
      </w:r>
      <w:r w:rsidR="006E148D" w:rsidRPr="00924A19">
        <w:rPr>
          <w:rFonts w:ascii="Book Antiqua" w:hAnsi="Book Antiqua"/>
          <w:lang w:val="en-US"/>
        </w:rPr>
        <w:t>G</w:t>
      </w:r>
      <w:r w:rsidR="00F360A9" w:rsidRPr="00924A19">
        <w:rPr>
          <w:rFonts w:ascii="Book Antiqua" w:hAnsi="Book Antiqua"/>
          <w:lang w:val="en-US"/>
        </w:rPr>
        <w:t xml:space="preserve">6 were reported and only a small percentage of </w:t>
      </w:r>
      <w:r w:rsidR="006E148D" w:rsidRPr="00924A19">
        <w:rPr>
          <w:rFonts w:ascii="Book Antiqua" w:hAnsi="Book Antiqua"/>
          <w:lang w:val="en-US"/>
        </w:rPr>
        <w:t xml:space="preserve">G4 was described from </w:t>
      </w:r>
      <w:r w:rsidR="008F26D9" w:rsidRPr="00924A19">
        <w:rPr>
          <w:rFonts w:ascii="Book Antiqua" w:hAnsi="Book Antiqua"/>
          <w:lang w:val="en-US"/>
        </w:rPr>
        <w:t xml:space="preserve">Burkina Faso. </w:t>
      </w:r>
      <w:r w:rsidR="00F360A9" w:rsidRPr="00924A19">
        <w:rPr>
          <w:rFonts w:ascii="Book Antiqua" w:hAnsi="Book Antiqua"/>
          <w:lang w:val="en-US"/>
        </w:rPr>
        <w:t>Th</w:t>
      </w:r>
      <w:r w:rsidR="000C403E" w:rsidRPr="00924A19">
        <w:rPr>
          <w:rFonts w:ascii="Book Antiqua" w:hAnsi="Book Antiqua"/>
          <w:lang w:val="en-US"/>
        </w:rPr>
        <w:t>e genotype distribution shows a</w:t>
      </w:r>
      <w:r w:rsidR="00184665" w:rsidRPr="00924A19">
        <w:rPr>
          <w:rFonts w:ascii="Book Antiqua" w:hAnsi="Book Antiqua" w:hint="eastAsia"/>
          <w:lang w:val="en-US"/>
        </w:rPr>
        <w:t xml:space="preserve"> </w:t>
      </w:r>
      <w:r w:rsidR="000C403E" w:rsidRPr="00924A19">
        <w:rPr>
          <w:rFonts w:ascii="Book Antiqua" w:hAnsi="Book Antiqua"/>
          <w:lang w:val="en-US"/>
        </w:rPr>
        <w:t>great</w:t>
      </w:r>
      <w:r w:rsidR="00F360A9" w:rsidRPr="00924A19">
        <w:rPr>
          <w:rFonts w:ascii="Book Antiqua" w:hAnsi="Book Antiqua"/>
          <w:lang w:val="en-US"/>
        </w:rPr>
        <w:t xml:space="preserve"> heterogeneity from country to country. If </w:t>
      </w:r>
      <w:r w:rsidR="00072C08" w:rsidRPr="00924A19">
        <w:rPr>
          <w:rFonts w:ascii="Book Antiqua" w:hAnsi="Book Antiqua"/>
          <w:lang w:val="en-US"/>
        </w:rPr>
        <w:t>G</w:t>
      </w:r>
      <w:r w:rsidR="00F360A9" w:rsidRPr="00924A19">
        <w:rPr>
          <w:rFonts w:ascii="Book Antiqua" w:hAnsi="Book Antiqua"/>
          <w:lang w:val="en-US"/>
        </w:rPr>
        <w:t xml:space="preserve">2 accounts </w:t>
      </w:r>
      <w:r w:rsidR="000C403E" w:rsidRPr="00924A19">
        <w:rPr>
          <w:rFonts w:ascii="Book Antiqua" w:hAnsi="Book Antiqua"/>
          <w:lang w:val="en-US"/>
        </w:rPr>
        <w:t>nearly</w:t>
      </w:r>
      <w:r w:rsidR="00F360A9" w:rsidRPr="00924A19">
        <w:rPr>
          <w:rFonts w:ascii="Book Antiqua" w:hAnsi="Book Antiqua"/>
          <w:lang w:val="en-US"/>
        </w:rPr>
        <w:t xml:space="preserve"> the totality of genotyped cas</w:t>
      </w:r>
      <w:r w:rsidR="001D5D97" w:rsidRPr="00924A19">
        <w:rPr>
          <w:rFonts w:ascii="Book Antiqua" w:hAnsi="Book Antiqua"/>
          <w:lang w:val="en-US"/>
        </w:rPr>
        <w:t xml:space="preserve">es from </w:t>
      </w:r>
      <w:r w:rsidR="00072C08" w:rsidRPr="00924A19">
        <w:rPr>
          <w:rFonts w:ascii="Book Antiqua" w:hAnsi="Book Antiqua"/>
          <w:lang w:val="en-US"/>
        </w:rPr>
        <w:t xml:space="preserve">Guinea Bissau (98.2%) and </w:t>
      </w:r>
      <w:r w:rsidR="001D5D97" w:rsidRPr="00924A19">
        <w:rPr>
          <w:rFonts w:ascii="Book Antiqua" w:hAnsi="Book Antiqua"/>
          <w:lang w:val="en-US"/>
        </w:rPr>
        <w:t>Ghana (</w:t>
      </w:r>
      <w:r w:rsidR="00072C08" w:rsidRPr="00924A19">
        <w:rPr>
          <w:rFonts w:ascii="Book Antiqua" w:hAnsi="Book Antiqua"/>
          <w:lang w:val="en-US"/>
        </w:rPr>
        <w:t xml:space="preserve">87.0%), </w:t>
      </w:r>
      <w:r w:rsidR="00F360A9" w:rsidRPr="00924A19">
        <w:rPr>
          <w:rFonts w:ascii="Book Antiqua" w:hAnsi="Book Antiqua"/>
          <w:lang w:val="en-US"/>
        </w:rPr>
        <w:t xml:space="preserve">Nigeria shows a prevalent circulation of </w:t>
      </w:r>
      <w:r w:rsidR="00072C08" w:rsidRPr="00924A19">
        <w:rPr>
          <w:rFonts w:ascii="Book Antiqua" w:hAnsi="Book Antiqua"/>
          <w:lang w:val="en-US"/>
        </w:rPr>
        <w:t>G1 (85.0%)</w:t>
      </w:r>
      <w:r w:rsidR="00184665" w:rsidRPr="00924A19">
        <w:rPr>
          <w:rFonts w:ascii="Book Antiqua" w:hAnsi="Book Antiqua" w:hint="eastAsia"/>
          <w:lang w:val="en-US"/>
        </w:rPr>
        <w:t xml:space="preserve"> </w:t>
      </w:r>
      <w:r w:rsidR="00072C08" w:rsidRPr="00924A19">
        <w:rPr>
          <w:rFonts w:ascii="Book Antiqua" w:hAnsi="Book Antiqua"/>
          <w:lang w:val="en-US"/>
        </w:rPr>
        <w:t>(Figure</w:t>
      </w:r>
      <w:r w:rsidR="00C220FF" w:rsidRPr="00924A19">
        <w:rPr>
          <w:rFonts w:ascii="Book Antiqua" w:hAnsi="Book Antiqua"/>
          <w:lang w:val="en-US"/>
        </w:rPr>
        <w:t>1B</w:t>
      </w:r>
      <w:r w:rsidR="00072C08" w:rsidRPr="00924A19">
        <w:rPr>
          <w:rFonts w:ascii="Book Antiqua" w:hAnsi="Book Antiqua"/>
          <w:lang w:val="en-US"/>
        </w:rPr>
        <w:t>).</w:t>
      </w:r>
      <w:r w:rsidR="00184665" w:rsidRPr="00924A19">
        <w:rPr>
          <w:rFonts w:ascii="Book Antiqua" w:hAnsi="Book Antiqua" w:hint="eastAsia"/>
          <w:lang w:val="en-US"/>
        </w:rPr>
        <w:t xml:space="preserve"> </w:t>
      </w:r>
      <w:r w:rsidR="00F360A9" w:rsidRPr="00924A19">
        <w:rPr>
          <w:rFonts w:ascii="Book Antiqua" w:hAnsi="Book Antiqua"/>
          <w:lang w:val="en-US"/>
        </w:rPr>
        <w:t xml:space="preserve">No genotypes distribution data are available from Benin, </w:t>
      </w:r>
      <w:r w:rsidR="00F360A9" w:rsidRPr="00924A19">
        <w:rPr>
          <w:rFonts w:ascii="Book Antiqua" w:eastAsia="Times New Roman" w:hAnsi="Book Antiqua" w:cs="AdvMinionNormal_Rm"/>
          <w:lang w:val="en-US" w:eastAsia="it-IT"/>
        </w:rPr>
        <w:t>Cote d’Ivoire,</w:t>
      </w:r>
      <w:r w:rsidR="00184665" w:rsidRPr="00924A19">
        <w:rPr>
          <w:rFonts w:ascii="Book Antiqua" w:eastAsiaTheme="minorEastAsia" w:hAnsi="Book Antiqua" w:cs="AdvMinionNormal_Rm" w:hint="eastAsia"/>
          <w:lang w:val="en-US"/>
        </w:rPr>
        <w:t xml:space="preserve"> </w:t>
      </w:r>
      <w:r w:rsidR="00F360A9" w:rsidRPr="00924A19">
        <w:rPr>
          <w:rFonts w:ascii="Book Antiqua" w:eastAsia="Times New Roman" w:hAnsi="Book Antiqua" w:cs="AdvMinionNormal_Rm"/>
          <w:lang w:val="en-US" w:eastAsia="it-IT"/>
        </w:rPr>
        <w:t>Maur</w:t>
      </w:r>
      <w:r w:rsidR="00377BB7" w:rsidRPr="00924A19">
        <w:rPr>
          <w:rFonts w:ascii="Book Antiqua" w:eastAsia="Times New Roman" w:hAnsi="Book Antiqua" w:cs="AdvMinionNormal_Rm"/>
          <w:lang w:val="en-US" w:eastAsia="it-IT"/>
        </w:rPr>
        <w:t xml:space="preserve">itania, Niger, Senegal and Togo </w:t>
      </w:r>
    </w:p>
    <w:p w:rsidR="000269AB" w:rsidRPr="00924A19" w:rsidRDefault="000269AB" w:rsidP="0026366E">
      <w:pPr>
        <w:autoSpaceDE w:val="0"/>
        <w:autoSpaceDN w:val="0"/>
        <w:adjustRightInd w:val="0"/>
        <w:snapToGrid w:val="0"/>
        <w:spacing w:line="360" w:lineRule="auto"/>
        <w:jc w:val="both"/>
        <w:rPr>
          <w:rFonts w:ascii="Book Antiqua" w:hAnsi="Book Antiqua"/>
          <w:lang w:val="en-US"/>
        </w:rPr>
      </w:pPr>
    </w:p>
    <w:p w:rsidR="000269AB" w:rsidRPr="00924A19" w:rsidRDefault="000269AB" w:rsidP="0026366E">
      <w:pPr>
        <w:snapToGrid w:val="0"/>
        <w:spacing w:line="360" w:lineRule="auto"/>
        <w:jc w:val="both"/>
        <w:rPr>
          <w:rFonts w:ascii="Book Antiqua" w:hAnsi="Book Antiqua"/>
          <w:b/>
          <w:i/>
          <w:lang w:val="en-GB"/>
        </w:rPr>
      </w:pPr>
      <w:r w:rsidRPr="00924A19">
        <w:rPr>
          <w:rFonts w:ascii="Book Antiqua" w:hAnsi="Book Antiqua"/>
          <w:b/>
          <w:i/>
          <w:lang w:val="en-GB"/>
        </w:rPr>
        <w:t>N</w:t>
      </w:r>
      <w:r w:rsidR="004E7EA3" w:rsidRPr="00924A19">
        <w:rPr>
          <w:rFonts w:ascii="Book Antiqua" w:hAnsi="Book Antiqua"/>
          <w:b/>
          <w:i/>
          <w:lang w:val="en-GB"/>
        </w:rPr>
        <w:t xml:space="preserve">orth </w:t>
      </w:r>
      <w:r w:rsidR="004E7EA3" w:rsidRPr="00924A19">
        <w:rPr>
          <w:rFonts w:ascii="Book Antiqua" w:hAnsi="Book Antiqua"/>
          <w:b/>
          <w:i/>
          <w:caps/>
          <w:lang w:val="en-GB"/>
        </w:rPr>
        <w:t>a</w:t>
      </w:r>
      <w:r w:rsidR="004E7EA3" w:rsidRPr="00924A19">
        <w:rPr>
          <w:rFonts w:ascii="Book Antiqua" w:hAnsi="Book Antiqua"/>
          <w:b/>
          <w:i/>
          <w:lang w:val="en-GB"/>
        </w:rPr>
        <w:t>frica</w:t>
      </w:r>
      <w:r w:rsidRPr="00924A19">
        <w:rPr>
          <w:rFonts w:ascii="Book Antiqua" w:hAnsi="Book Antiqua"/>
          <w:b/>
          <w:i/>
          <w:lang w:val="en-GB"/>
        </w:rPr>
        <w:t>/ M</w:t>
      </w:r>
      <w:r w:rsidR="004E7EA3" w:rsidRPr="00924A19">
        <w:rPr>
          <w:rFonts w:ascii="Book Antiqua" w:hAnsi="Book Antiqua"/>
          <w:b/>
          <w:i/>
          <w:lang w:val="en-GB"/>
        </w:rPr>
        <w:t xml:space="preserve">iddle </w:t>
      </w:r>
      <w:r w:rsidR="004E7EA3" w:rsidRPr="00924A19">
        <w:rPr>
          <w:rFonts w:ascii="Book Antiqua" w:hAnsi="Book Antiqua"/>
          <w:b/>
          <w:i/>
          <w:caps/>
          <w:lang w:val="en-GB"/>
        </w:rPr>
        <w:t>e</w:t>
      </w:r>
      <w:r w:rsidR="004E7EA3" w:rsidRPr="00924A19">
        <w:rPr>
          <w:rFonts w:ascii="Book Antiqua" w:hAnsi="Book Antiqua"/>
          <w:b/>
          <w:i/>
          <w:lang w:val="en-GB"/>
        </w:rPr>
        <w:t>ast</w:t>
      </w:r>
    </w:p>
    <w:p w:rsidR="004E7EA3" w:rsidRPr="00924A19" w:rsidRDefault="008F26D9" w:rsidP="0026366E">
      <w:pPr>
        <w:autoSpaceDE w:val="0"/>
        <w:autoSpaceDN w:val="0"/>
        <w:adjustRightInd w:val="0"/>
        <w:snapToGrid w:val="0"/>
        <w:spacing w:line="360" w:lineRule="auto"/>
        <w:jc w:val="both"/>
        <w:rPr>
          <w:rFonts w:ascii="Book Antiqua" w:eastAsia="Times New Roman" w:hAnsi="Book Antiqua" w:cs="AdvMinionNormal_Rm"/>
          <w:lang w:val="en-US" w:eastAsia="it-IT"/>
        </w:rPr>
      </w:pPr>
      <w:r w:rsidRPr="00924A19">
        <w:rPr>
          <w:rFonts w:ascii="Book Antiqua" w:eastAsia="Times New Roman" w:hAnsi="Book Antiqua" w:cs="AdvMinionNormal_Rm"/>
          <w:lang w:val="en-US" w:eastAsia="it-IT"/>
        </w:rPr>
        <w:t>This region includes</w:t>
      </w:r>
      <w:r w:rsidR="000269AB" w:rsidRPr="00924A19">
        <w:rPr>
          <w:rFonts w:ascii="Book Antiqua" w:eastAsia="Times New Roman" w:hAnsi="Book Antiqua" w:cs="AdvMinionNormal_Rm"/>
          <w:lang w:val="en-US" w:eastAsia="it-IT"/>
        </w:rPr>
        <w:t xml:space="preserve"> Algeria, Egypt, Iran, Iraq, Israel, Jordan, Kuwait, Lebanon, Lib</w:t>
      </w:r>
      <w:r w:rsidR="004E53AC" w:rsidRPr="00924A19">
        <w:rPr>
          <w:rFonts w:ascii="Book Antiqua" w:eastAsia="Times New Roman" w:hAnsi="Book Antiqua" w:cs="AdvMinionNormal_Rm"/>
          <w:lang w:val="en-US" w:eastAsia="it-IT"/>
        </w:rPr>
        <w:t>ya, Morocco, Oman, Palestine, Q</w:t>
      </w:r>
      <w:r w:rsidR="000269AB" w:rsidRPr="00924A19">
        <w:rPr>
          <w:rFonts w:ascii="Book Antiqua" w:eastAsia="Times New Roman" w:hAnsi="Book Antiqua" w:cs="AdvMinionNormal_Rm"/>
          <w:lang w:val="en-US" w:eastAsia="it-IT"/>
        </w:rPr>
        <w:t xml:space="preserve">atar, Saudi Arabia, Syria, Tunisia, Turkey, United Arab </w:t>
      </w:r>
      <w:r w:rsidRPr="00924A19">
        <w:rPr>
          <w:rFonts w:ascii="Book Antiqua" w:eastAsia="Times New Roman" w:hAnsi="Book Antiqua" w:cs="AdvMinionNormal_Rm"/>
          <w:lang w:val="en-US" w:eastAsia="it-IT"/>
        </w:rPr>
        <w:t xml:space="preserve">Emirates and Yemen with an </w:t>
      </w:r>
      <w:r w:rsidR="000269AB" w:rsidRPr="00924A19">
        <w:rPr>
          <w:rFonts w:ascii="Book Antiqua" w:hAnsi="Book Antiqua"/>
          <w:lang w:val="en-US"/>
        </w:rPr>
        <w:t xml:space="preserve">estimated prevalence of HCV in </w:t>
      </w:r>
      <w:r w:rsidR="004E53AC" w:rsidRPr="00924A19">
        <w:rPr>
          <w:rFonts w:ascii="Book Antiqua" w:hAnsi="Book Antiqua"/>
          <w:lang w:val="en-US"/>
        </w:rPr>
        <w:t xml:space="preserve">the general population </w:t>
      </w:r>
      <w:r w:rsidRPr="00924A19">
        <w:rPr>
          <w:rFonts w:ascii="Book Antiqua" w:hAnsi="Book Antiqua"/>
          <w:lang w:val="en-US"/>
        </w:rPr>
        <w:t>of</w:t>
      </w:r>
      <w:r w:rsidR="004E53AC" w:rsidRPr="00924A19">
        <w:rPr>
          <w:rFonts w:ascii="Book Antiqua" w:hAnsi="Book Antiqua"/>
          <w:lang w:val="en-US"/>
        </w:rPr>
        <w:t>2.7</w:t>
      </w:r>
      <w:r w:rsidR="000269AB" w:rsidRPr="00924A19">
        <w:rPr>
          <w:rFonts w:ascii="Book Antiqua" w:hAnsi="Book Antiqua"/>
          <w:lang w:val="en-US"/>
        </w:rPr>
        <w:t>%</w:t>
      </w:r>
      <w:r w:rsidRPr="00924A19">
        <w:rPr>
          <w:rFonts w:ascii="Book Antiqua" w:hAnsi="Book Antiqua"/>
          <w:lang w:val="en-US"/>
        </w:rPr>
        <w:t>, corresponding to</w:t>
      </w:r>
      <w:r w:rsidR="00DB3E71" w:rsidRPr="00924A19">
        <w:rPr>
          <w:rFonts w:ascii="Book Antiqua" w:hAnsi="Book Antiqua"/>
          <w:lang w:val="en-US"/>
        </w:rPr>
        <w:t xml:space="preserve"> an estimated 12.7 </w:t>
      </w:r>
      <w:r w:rsidR="00516180" w:rsidRPr="00924A19">
        <w:rPr>
          <w:rFonts w:ascii="Book Antiqua" w:hAnsi="Book Antiqua"/>
          <w:lang w:val="en-US"/>
        </w:rPr>
        <w:t>million</w:t>
      </w:r>
      <w:r w:rsidR="00DB3E71" w:rsidRPr="00924A19">
        <w:rPr>
          <w:rFonts w:ascii="Book Antiqua" w:hAnsi="Book Antiqua"/>
          <w:lang w:val="en-US"/>
        </w:rPr>
        <w:t xml:space="preserve"> of cases</w:t>
      </w:r>
      <w:r w:rsidR="00377BB7" w:rsidRPr="00924A19">
        <w:rPr>
          <w:rFonts w:ascii="Book Antiqua" w:hAnsi="Book Antiqua"/>
          <w:b/>
          <w:lang w:val="en-US"/>
        </w:rPr>
        <w:t>.</w:t>
      </w:r>
      <w:r w:rsidR="00692737" w:rsidRPr="00924A19">
        <w:rPr>
          <w:rFonts w:ascii="Book Antiqua" w:hAnsi="Book Antiqua"/>
          <w:b/>
          <w:lang w:val="en-US"/>
        </w:rPr>
        <w:t xml:space="preserve"> </w:t>
      </w:r>
      <w:r w:rsidR="000C1657" w:rsidRPr="00924A19">
        <w:rPr>
          <w:rFonts w:ascii="Book Antiqua" w:hAnsi="Book Antiqua"/>
          <w:lang w:val="en-US"/>
        </w:rPr>
        <w:t>The HCV viraemic rate is estimated at 68.8%, accounting over 8millions of active HCV replication cases (Table 1).</w:t>
      </w:r>
      <w:r w:rsidR="00D047A2" w:rsidRPr="00924A19">
        <w:rPr>
          <w:rFonts w:ascii="Book Antiqua" w:hAnsi="Book Antiqua"/>
          <w:lang w:val="en-US"/>
        </w:rPr>
        <w:t xml:space="preserve"> No adult HCV prevalence and/or viraemic data </w:t>
      </w:r>
      <w:r w:rsidR="00C34E03" w:rsidRPr="00924A19">
        <w:rPr>
          <w:rFonts w:ascii="Book Antiqua" w:hAnsi="Book Antiqua"/>
          <w:lang w:val="en-US"/>
        </w:rPr>
        <w:t>are</w:t>
      </w:r>
      <w:r w:rsidR="00D047A2" w:rsidRPr="00924A19">
        <w:rPr>
          <w:rFonts w:ascii="Book Antiqua" w:hAnsi="Book Antiqua"/>
          <w:lang w:val="en-US"/>
        </w:rPr>
        <w:t xml:space="preserve"> available from Jordan, Kuwait, Lebanon, Oman</w:t>
      </w:r>
      <w:r w:rsidR="00FB5F83" w:rsidRPr="00924A19">
        <w:rPr>
          <w:rFonts w:ascii="Book Antiqua" w:hAnsi="Book Antiqua"/>
          <w:lang w:val="en-US"/>
        </w:rPr>
        <w:t>,</w:t>
      </w:r>
      <w:r w:rsidR="00D047A2" w:rsidRPr="00924A19">
        <w:rPr>
          <w:rFonts w:ascii="Book Antiqua" w:hAnsi="Book Antiqua"/>
          <w:lang w:val="en-US"/>
        </w:rPr>
        <w:t xml:space="preserve"> Palestine</w:t>
      </w:r>
      <w:r w:rsidR="00FB5F83" w:rsidRPr="00924A19">
        <w:rPr>
          <w:rFonts w:ascii="Book Antiqua" w:hAnsi="Book Antiqua"/>
          <w:lang w:val="en-US"/>
        </w:rPr>
        <w:t>, Syria</w:t>
      </w:r>
      <w:r w:rsidR="00692737" w:rsidRPr="00924A19">
        <w:rPr>
          <w:rFonts w:ascii="Book Antiqua" w:hAnsi="Book Antiqua"/>
          <w:lang w:val="en-US"/>
        </w:rPr>
        <w:t xml:space="preserve"> </w:t>
      </w:r>
      <w:r w:rsidR="00FB5F83" w:rsidRPr="00924A19">
        <w:rPr>
          <w:rFonts w:ascii="Book Antiqua" w:eastAsia="Times New Roman" w:hAnsi="Book Antiqua" w:cs="AdvMinionNormal_Rm"/>
          <w:lang w:val="en-US" w:eastAsia="it-IT"/>
        </w:rPr>
        <w:t>and United Arab Emirates</w:t>
      </w:r>
      <w:r w:rsidR="00FB5F83" w:rsidRPr="00924A19">
        <w:rPr>
          <w:rFonts w:ascii="Book Antiqua" w:hAnsi="Book Antiqua"/>
          <w:lang w:val="en-US"/>
        </w:rPr>
        <w:t>.</w:t>
      </w:r>
      <w:r w:rsidR="00692737" w:rsidRPr="00924A19">
        <w:rPr>
          <w:rFonts w:ascii="Book Antiqua" w:hAnsi="Book Antiqua"/>
          <w:lang w:val="en-US"/>
        </w:rPr>
        <w:t xml:space="preserve"> </w:t>
      </w:r>
      <w:r w:rsidR="004E53AC" w:rsidRPr="00924A19">
        <w:rPr>
          <w:rFonts w:ascii="Book Antiqua" w:hAnsi="Book Antiqua"/>
          <w:lang w:val="en-US"/>
        </w:rPr>
        <w:t>The countries with the highest prevalence include, over Egypt</w:t>
      </w:r>
      <w:r w:rsidR="00BF11D2" w:rsidRPr="00924A19">
        <w:rPr>
          <w:rFonts w:ascii="Book Antiqua" w:hAnsi="Book Antiqua"/>
          <w:lang w:val="en-US"/>
        </w:rPr>
        <w:t xml:space="preserve"> (14.7%)</w:t>
      </w:r>
      <w:r w:rsidR="004E53AC" w:rsidRPr="00924A19">
        <w:rPr>
          <w:rFonts w:ascii="Book Antiqua" w:hAnsi="Book Antiqua"/>
          <w:lang w:val="en-US"/>
        </w:rPr>
        <w:t>,</w:t>
      </w:r>
      <w:r w:rsidR="00184665" w:rsidRPr="00924A19">
        <w:rPr>
          <w:rFonts w:ascii="Book Antiqua" w:hAnsi="Book Antiqua" w:hint="eastAsia"/>
          <w:lang w:val="en-US"/>
        </w:rPr>
        <w:t xml:space="preserve"> </w:t>
      </w:r>
      <w:r w:rsidR="004E53AC" w:rsidRPr="00924A19">
        <w:rPr>
          <w:rFonts w:ascii="Book Antiqua" w:hAnsi="Book Antiqua"/>
          <w:lang w:val="en-US"/>
        </w:rPr>
        <w:t>Iraq (3.2%) and Yemen (2.2%). The countries with the lowest Qatar (0.9%) and Turkey (1.0%)</w:t>
      </w:r>
      <w:r w:rsidR="00184665" w:rsidRPr="00924A19">
        <w:rPr>
          <w:rFonts w:ascii="Book Antiqua" w:hAnsi="Book Antiqua" w:hint="eastAsia"/>
          <w:lang w:val="en-US"/>
        </w:rPr>
        <w:t xml:space="preserve"> </w:t>
      </w:r>
      <w:r w:rsidR="00377BB7" w:rsidRPr="00924A19">
        <w:rPr>
          <w:rFonts w:ascii="Book Antiqua" w:hAnsi="Book Antiqua"/>
          <w:lang w:val="en-US"/>
        </w:rPr>
        <w:t>(Figure</w:t>
      </w:r>
      <w:r w:rsidR="00C220FF" w:rsidRPr="00924A19">
        <w:rPr>
          <w:rFonts w:ascii="Book Antiqua" w:hAnsi="Book Antiqua"/>
          <w:lang w:val="en-US"/>
        </w:rPr>
        <w:t>2A</w:t>
      </w:r>
      <w:r w:rsidR="00377BB7" w:rsidRPr="00924A19">
        <w:rPr>
          <w:rFonts w:ascii="Book Antiqua" w:hAnsi="Book Antiqua"/>
          <w:lang w:val="en-US"/>
        </w:rPr>
        <w:t>).</w:t>
      </w:r>
    </w:p>
    <w:p w:rsidR="004E53AC" w:rsidRPr="00924A19" w:rsidRDefault="004E53AC" w:rsidP="0026366E">
      <w:pPr>
        <w:autoSpaceDE w:val="0"/>
        <w:autoSpaceDN w:val="0"/>
        <w:adjustRightInd w:val="0"/>
        <w:snapToGrid w:val="0"/>
        <w:spacing w:line="360" w:lineRule="auto"/>
        <w:ind w:firstLineChars="100" w:firstLine="240"/>
        <w:jc w:val="both"/>
        <w:rPr>
          <w:rFonts w:ascii="Book Antiqua" w:eastAsia="Times New Roman" w:hAnsi="Book Antiqua" w:cs="AdvMinionNormal_Rm"/>
          <w:lang w:val="en-US" w:eastAsia="it-IT"/>
        </w:rPr>
      </w:pPr>
      <w:r w:rsidRPr="00924A19">
        <w:rPr>
          <w:rFonts w:ascii="Book Antiqua" w:hAnsi="Book Antiqua"/>
          <w:lang w:val="en-US"/>
        </w:rPr>
        <w:t xml:space="preserve">The predominant genotype is the genotype </w:t>
      </w:r>
      <w:r w:rsidR="004E178F" w:rsidRPr="00924A19">
        <w:rPr>
          <w:rFonts w:ascii="Book Antiqua" w:hAnsi="Book Antiqua"/>
          <w:lang w:val="en-US"/>
        </w:rPr>
        <w:t>4</w:t>
      </w:r>
      <w:r w:rsidRPr="00924A19">
        <w:rPr>
          <w:rFonts w:ascii="Book Antiqua" w:hAnsi="Book Antiqua"/>
          <w:lang w:val="en-US"/>
        </w:rPr>
        <w:t xml:space="preserve"> (</w:t>
      </w:r>
      <w:r w:rsidR="004E178F" w:rsidRPr="00924A19">
        <w:rPr>
          <w:rFonts w:ascii="Book Antiqua" w:hAnsi="Book Antiqua"/>
          <w:lang w:val="en-US"/>
        </w:rPr>
        <w:t>65.3</w:t>
      </w:r>
      <w:r w:rsidRPr="00924A19">
        <w:rPr>
          <w:rFonts w:ascii="Book Antiqua" w:hAnsi="Book Antiqua"/>
          <w:lang w:val="en-US"/>
        </w:rPr>
        <w:t xml:space="preserve">%), followed by </w:t>
      </w:r>
      <w:r w:rsidR="004E178F" w:rsidRPr="00924A19">
        <w:rPr>
          <w:rFonts w:ascii="Book Antiqua" w:hAnsi="Book Antiqua"/>
          <w:lang w:val="en-US"/>
        </w:rPr>
        <w:t>1</w:t>
      </w:r>
      <w:r w:rsidRPr="00924A19">
        <w:rPr>
          <w:rFonts w:ascii="Book Antiqua" w:hAnsi="Book Antiqua"/>
          <w:lang w:val="en-US"/>
        </w:rPr>
        <w:t xml:space="preserve"> (</w:t>
      </w:r>
      <w:r w:rsidR="004E178F" w:rsidRPr="00924A19">
        <w:rPr>
          <w:rFonts w:ascii="Book Antiqua" w:hAnsi="Book Antiqua"/>
          <w:lang w:val="en-US"/>
        </w:rPr>
        <w:t>27</w:t>
      </w:r>
      <w:r w:rsidR="00176329" w:rsidRPr="00924A19">
        <w:rPr>
          <w:rFonts w:ascii="Book Antiqua" w:hAnsi="Book Antiqua"/>
          <w:lang w:val="en-US"/>
        </w:rPr>
        <w:t>.</w:t>
      </w:r>
      <w:r w:rsidR="007D48F2" w:rsidRPr="00924A19">
        <w:rPr>
          <w:rFonts w:ascii="Book Antiqua" w:hAnsi="Book Antiqua"/>
          <w:lang w:val="en-US"/>
        </w:rPr>
        <w:t xml:space="preserve">3%), </w:t>
      </w:r>
      <w:r w:rsidRPr="00924A19">
        <w:rPr>
          <w:rFonts w:ascii="Book Antiqua" w:hAnsi="Book Antiqua"/>
          <w:lang w:val="en-US"/>
        </w:rPr>
        <w:t>3 (</w:t>
      </w:r>
      <w:r w:rsidR="004E178F" w:rsidRPr="00924A19">
        <w:rPr>
          <w:rFonts w:ascii="Book Antiqua" w:hAnsi="Book Antiqua"/>
          <w:lang w:val="en-US"/>
        </w:rPr>
        <w:t>6.3</w:t>
      </w:r>
      <w:r w:rsidRPr="00924A19">
        <w:rPr>
          <w:rFonts w:ascii="Book Antiqua" w:hAnsi="Book Antiqua"/>
          <w:lang w:val="en-US"/>
        </w:rPr>
        <w:t>%)</w:t>
      </w:r>
      <w:r w:rsidR="004E178F" w:rsidRPr="00924A19">
        <w:rPr>
          <w:rFonts w:ascii="Book Antiqua" w:hAnsi="Book Antiqua"/>
          <w:lang w:val="en-US"/>
        </w:rPr>
        <w:t xml:space="preserve">. </w:t>
      </w:r>
      <w:r w:rsidR="007D48F2" w:rsidRPr="00924A19">
        <w:rPr>
          <w:rFonts w:ascii="Book Antiqua" w:hAnsi="Book Antiqua"/>
          <w:lang w:val="en-US"/>
        </w:rPr>
        <w:t>O</w:t>
      </w:r>
      <w:r w:rsidR="004E178F" w:rsidRPr="00924A19">
        <w:rPr>
          <w:rFonts w:ascii="Book Antiqua" w:hAnsi="Book Antiqua"/>
          <w:lang w:val="en-US"/>
        </w:rPr>
        <w:t xml:space="preserve">nly </w:t>
      </w:r>
      <w:r w:rsidRPr="00924A19">
        <w:rPr>
          <w:rFonts w:ascii="Book Antiqua" w:hAnsi="Book Antiqua"/>
          <w:lang w:val="en-US"/>
        </w:rPr>
        <w:t>small percentage</w:t>
      </w:r>
      <w:r w:rsidR="004E178F" w:rsidRPr="00924A19">
        <w:rPr>
          <w:rFonts w:ascii="Book Antiqua" w:hAnsi="Book Antiqua"/>
          <w:lang w:val="en-US"/>
        </w:rPr>
        <w:t>s</w:t>
      </w:r>
      <w:r w:rsidRPr="00924A19">
        <w:rPr>
          <w:rFonts w:ascii="Book Antiqua" w:hAnsi="Book Antiqua"/>
          <w:lang w:val="en-US"/>
        </w:rPr>
        <w:t xml:space="preserve"> of genotype </w:t>
      </w:r>
      <w:r w:rsidR="004E178F" w:rsidRPr="00924A19">
        <w:rPr>
          <w:rFonts w:ascii="Book Antiqua" w:hAnsi="Book Antiqua"/>
          <w:lang w:val="en-US"/>
        </w:rPr>
        <w:t xml:space="preserve">2 and </w:t>
      </w:r>
      <w:r w:rsidR="007D48F2" w:rsidRPr="00924A19">
        <w:rPr>
          <w:rFonts w:ascii="Book Antiqua" w:hAnsi="Book Antiqua"/>
          <w:lang w:val="en-US"/>
        </w:rPr>
        <w:t xml:space="preserve">5 and </w:t>
      </w:r>
      <w:r w:rsidR="004E178F" w:rsidRPr="00924A19">
        <w:rPr>
          <w:rFonts w:ascii="Book Antiqua" w:hAnsi="Book Antiqua"/>
          <w:lang w:val="en-US"/>
        </w:rPr>
        <w:t xml:space="preserve">no genotype </w:t>
      </w:r>
      <w:r w:rsidR="007D48F2" w:rsidRPr="00924A19">
        <w:rPr>
          <w:rFonts w:ascii="Book Antiqua" w:hAnsi="Book Antiqua"/>
          <w:lang w:val="en-US"/>
        </w:rPr>
        <w:t>6were reported</w:t>
      </w:r>
      <w:r w:rsidR="001D5D97" w:rsidRPr="00924A19">
        <w:rPr>
          <w:rFonts w:ascii="Book Antiqua" w:hAnsi="Book Antiqua"/>
          <w:lang w:val="en-US"/>
        </w:rPr>
        <w:t xml:space="preserve"> (Table 3).</w:t>
      </w:r>
    </w:p>
    <w:p w:rsidR="000269AB" w:rsidRPr="00924A19" w:rsidRDefault="000C403E" w:rsidP="0026366E">
      <w:pPr>
        <w:autoSpaceDE w:val="0"/>
        <w:autoSpaceDN w:val="0"/>
        <w:adjustRightInd w:val="0"/>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In this area genotypes distribution is highly heterogenic. If genotype 4 accounts almost the totality of genotyped cases from Egypt (93.1%) and over the half of the </w:t>
      </w:r>
      <w:r w:rsidRPr="00924A19">
        <w:rPr>
          <w:rFonts w:ascii="Book Antiqua" w:hAnsi="Book Antiqua"/>
          <w:lang w:val="en-US"/>
        </w:rPr>
        <w:lastRenderedPageBreak/>
        <w:t>total cases in Iraq, Kuwait , Palestine, Saudi Arabia and Syria ( 52.9%, 54.2%, 64.1% , 60.0% and 59.0%), Turkey, Tunisia, Jordan and Morocco show a prevalent circulation of genotype 1 (91.8, 84.0%, 77.3% and 75.9%, respectively). The majority of cases of genotype 3 are described in Iran and United Arab Emirates (27.5% and 23.8%), whereas in Libya all the genotypes are equally distributed. No data of genotypes distribution are available from Israel, Oman, Qatar, and Yemen</w:t>
      </w:r>
      <w:r w:rsidR="00184665" w:rsidRPr="00924A19">
        <w:rPr>
          <w:rFonts w:ascii="Book Antiqua" w:hAnsi="Book Antiqua" w:hint="eastAsia"/>
          <w:lang w:val="en-US"/>
        </w:rPr>
        <w:t xml:space="preserve"> </w:t>
      </w:r>
      <w:r w:rsidRPr="00924A19">
        <w:rPr>
          <w:rFonts w:ascii="Book Antiqua" w:hAnsi="Book Antiqua"/>
          <w:lang w:val="en-US"/>
        </w:rPr>
        <w:t xml:space="preserve">(Figure </w:t>
      </w:r>
      <w:r w:rsidR="00C220FF" w:rsidRPr="00924A19">
        <w:rPr>
          <w:rFonts w:ascii="Book Antiqua" w:hAnsi="Book Antiqua"/>
          <w:lang w:val="en-US"/>
        </w:rPr>
        <w:t>2B</w:t>
      </w:r>
      <w:r w:rsidRPr="00924A19">
        <w:rPr>
          <w:rFonts w:ascii="Book Antiqua" w:hAnsi="Book Antiqua"/>
          <w:lang w:val="en-US"/>
        </w:rPr>
        <w:t>).</w:t>
      </w:r>
    </w:p>
    <w:p w:rsidR="006D79AB" w:rsidRPr="00924A19" w:rsidRDefault="006D79AB" w:rsidP="0026366E">
      <w:pPr>
        <w:snapToGrid w:val="0"/>
        <w:spacing w:line="360" w:lineRule="auto"/>
        <w:jc w:val="both"/>
        <w:rPr>
          <w:rFonts w:ascii="Book Antiqua" w:hAnsi="Book Antiqua"/>
          <w:b/>
          <w:lang w:val="en-GB"/>
        </w:rPr>
      </w:pPr>
    </w:p>
    <w:p w:rsidR="006D79AB" w:rsidRPr="00924A19" w:rsidRDefault="006D79AB" w:rsidP="0026366E">
      <w:pPr>
        <w:snapToGrid w:val="0"/>
        <w:spacing w:line="360" w:lineRule="auto"/>
        <w:jc w:val="both"/>
        <w:rPr>
          <w:rFonts w:ascii="Book Antiqua" w:hAnsi="Book Antiqua"/>
          <w:b/>
          <w:i/>
          <w:lang w:val="en-GB"/>
        </w:rPr>
      </w:pPr>
      <w:r w:rsidRPr="00924A19">
        <w:rPr>
          <w:rFonts w:ascii="Book Antiqua" w:hAnsi="Book Antiqua"/>
          <w:b/>
          <w:i/>
          <w:lang w:val="en-GB"/>
        </w:rPr>
        <w:t>A</w:t>
      </w:r>
      <w:r w:rsidR="004E7EA3" w:rsidRPr="00924A19">
        <w:rPr>
          <w:rFonts w:ascii="Book Antiqua" w:hAnsi="Book Antiqua"/>
          <w:b/>
          <w:i/>
          <w:lang w:val="en-GB"/>
        </w:rPr>
        <w:t>mericas</w:t>
      </w:r>
    </w:p>
    <w:p w:rsidR="00173DBA" w:rsidRPr="00924A19" w:rsidRDefault="00173DBA" w:rsidP="0026366E">
      <w:pPr>
        <w:snapToGrid w:val="0"/>
        <w:spacing w:line="360" w:lineRule="auto"/>
        <w:jc w:val="both"/>
        <w:rPr>
          <w:rFonts w:ascii="Book Antiqua" w:eastAsia="Times New Roman" w:hAnsi="Book Antiqua" w:cs="AdvGulliv-R"/>
          <w:color w:val="000000"/>
          <w:lang w:val="en-US" w:eastAsia="it-IT"/>
        </w:rPr>
      </w:pPr>
      <w:r w:rsidRPr="00924A19">
        <w:rPr>
          <w:rFonts w:ascii="Book Antiqua" w:eastAsia="Times New Roman" w:hAnsi="Book Antiqua" w:cs="AdvGulliv-R"/>
          <w:color w:val="000000"/>
          <w:lang w:val="en-US" w:eastAsia="it-IT"/>
        </w:rPr>
        <w:t xml:space="preserve">The GBD subdivides </w:t>
      </w:r>
      <w:r w:rsidR="000C403E" w:rsidRPr="00924A19">
        <w:rPr>
          <w:rFonts w:ascii="Book Antiqua" w:eastAsia="Times New Roman" w:hAnsi="Book Antiqua" w:cs="AdvGulliv-R"/>
          <w:color w:val="000000"/>
          <w:lang w:val="en-US" w:eastAsia="it-IT"/>
        </w:rPr>
        <w:t xml:space="preserve">the </w:t>
      </w:r>
      <w:r w:rsidRPr="00924A19">
        <w:rPr>
          <w:rFonts w:ascii="Book Antiqua" w:eastAsia="Times New Roman" w:hAnsi="Book Antiqua" w:cs="AdvGulliv-R"/>
          <w:color w:val="000000"/>
          <w:lang w:val="en-US" w:eastAsia="it-IT"/>
        </w:rPr>
        <w:t>America</w:t>
      </w:r>
      <w:r w:rsidR="000C403E" w:rsidRPr="00924A19">
        <w:rPr>
          <w:rFonts w:ascii="Book Antiqua" w:eastAsia="Times New Roman" w:hAnsi="Book Antiqua" w:cs="AdvGulliv-R"/>
          <w:color w:val="000000"/>
          <w:lang w:val="en-US" w:eastAsia="it-IT"/>
        </w:rPr>
        <w:t xml:space="preserve">n continent </w:t>
      </w:r>
      <w:r w:rsidRPr="00924A19">
        <w:rPr>
          <w:rFonts w:ascii="Book Antiqua" w:eastAsia="Times New Roman" w:hAnsi="Book Antiqua" w:cs="AdvGulliv-R"/>
          <w:color w:val="000000"/>
          <w:lang w:val="en-US" w:eastAsia="it-IT"/>
        </w:rPr>
        <w:t xml:space="preserve">in three macro areas: North America, Caribbean and Latin America. </w:t>
      </w:r>
    </w:p>
    <w:p w:rsidR="000C1657" w:rsidRPr="00924A19" w:rsidRDefault="00CB46E0"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estimated prevalence of HCV </w:t>
      </w:r>
      <w:r w:rsidR="009327D7" w:rsidRPr="00924A19">
        <w:rPr>
          <w:rFonts w:ascii="Book Antiqua" w:hAnsi="Book Antiqua"/>
          <w:lang w:val="en-US"/>
        </w:rPr>
        <w:t xml:space="preserve">in </w:t>
      </w:r>
      <w:r w:rsidRPr="00924A19">
        <w:rPr>
          <w:rFonts w:ascii="Book Antiqua" w:hAnsi="Book Antiqua"/>
          <w:lang w:val="en-US"/>
        </w:rPr>
        <w:t xml:space="preserve">the </w:t>
      </w:r>
      <w:r w:rsidR="008E171D" w:rsidRPr="00924A19">
        <w:rPr>
          <w:rFonts w:ascii="Book Antiqua" w:hAnsi="Book Antiqua"/>
          <w:lang w:val="en-US"/>
        </w:rPr>
        <w:t>whole</w:t>
      </w:r>
      <w:r w:rsidRPr="00924A19">
        <w:rPr>
          <w:rFonts w:ascii="Book Antiqua" w:hAnsi="Book Antiqua"/>
          <w:lang w:val="en-US"/>
        </w:rPr>
        <w:t xml:space="preserve"> continent is 1.</w:t>
      </w:r>
      <w:r w:rsidR="008847C3" w:rsidRPr="00924A19">
        <w:rPr>
          <w:rFonts w:ascii="Book Antiqua" w:hAnsi="Book Antiqua"/>
          <w:lang w:val="en-US"/>
        </w:rPr>
        <w:t>3</w:t>
      </w:r>
      <w:r w:rsidRPr="00924A19">
        <w:rPr>
          <w:rFonts w:ascii="Book Antiqua" w:hAnsi="Book Antiqua"/>
          <w:lang w:val="en-US"/>
        </w:rPr>
        <w:t>%</w:t>
      </w:r>
      <w:r w:rsidR="00DB3E71" w:rsidRPr="00924A19">
        <w:rPr>
          <w:rFonts w:ascii="Book Antiqua" w:hAnsi="Book Antiqua"/>
          <w:lang w:val="en-US"/>
        </w:rPr>
        <w:t xml:space="preserve">, with more than 12 </w:t>
      </w:r>
      <w:r w:rsidR="00516180" w:rsidRPr="00924A19">
        <w:rPr>
          <w:rFonts w:ascii="Book Antiqua" w:hAnsi="Book Antiqua"/>
          <w:lang w:val="en-US"/>
        </w:rPr>
        <w:t>million</w:t>
      </w:r>
      <w:r w:rsidR="00DB3E71" w:rsidRPr="00924A19">
        <w:rPr>
          <w:rFonts w:ascii="Book Antiqua" w:hAnsi="Book Antiqua"/>
          <w:lang w:val="en-US"/>
        </w:rPr>
        <w:t xml:space="preserve"> of estimated cases</w:t>
      </w:r>
      <w:r w:rsidR="000C403E" w:rsidRPr="00924A19">
        <w:rPr>
          <w:rFonts w:ascii="Book Antiqua" w:hAnsi="Book Antiqua"/>
          <w:lang w:val="en-US"/>
        </w:rPr>
        <w:t xml:space="preserve">, while the </w:t>
      </w:r>
      <w:r w:rsidR="000C1657" w:rsidRPr="00924A19">
        <w:rPr>
          <w:rFonts w:ascii="Book Antiqua" w:hAnsi="Book Antiqua"/>
          <w:lang w:val="en-US"/>
        </w:rPr>
        <w:t xml:space="preserve">viraemic rate is 74.0%, accounting over </w:t>
      </w:r>
      <w:r w:rsidR="00DB3E71" w:rsidRPr="00924A19">
        <w:rPr>
          <w:rFonts w:ascii="Book Antiqua" w:hAnsi="Book Antiqua"/>
          <w:lang w:val="en-US"/>
        </w:rPr>
        <w:t>9</w:t>
      </w:r>
      <w:r w:rsidR="000C1657" w:rsidRPr="00924A19">
        <w:rPr>
          <w:rFonts w:ascii="Book Antiqua" w:hAnsi="Book Antiqua"/>
          <w:lang w:val="en-US"/>
        </w:rPr>
        <w:t xml:space="preserve"> </w:t>
      </w:r>
      <w:r w:rsidR="00516180" w:rsidRPr="00924A19">
        <w:rPr>
          <w:rFonts w:ascii="Book Antiqua" w:hAnsi="Book Antiqua"/>
          <w:lang w:val="en-US"/>
        </w:rPr>
        <w:t>million</w:t>
      </w:r>
      <w:r w:rsidR="000C1657" w:rsidRPr="00924A19">
        <w:rPr>
          <w:rFonts w:ascii="Book Antiqua" w:hAnsi="Book Antiqua"/>
          <w:lang w:val="en-US"/>
        </w:rPr>
        <w:t xml:space="preserve"> of </w:t>
      </w:r>
      <w:r w:rsidR="000C403E" w:rsidRPr="00924A19">
        <w:rPr>
          <w:rFonts w:ascii="Book Antiqua" w:hAnsi="Book Antiqua"/>
          <w:lang w:val="en-US"/>
        </w:rPr>
        <w:t xml:space="preserve">cases with </w:t>
      </w:r>
      <w:r w:rsidR="000C1657" w:rsidRPr="00924A19">
        <w:rPr>
          <w:rFonts w:ascii="Book Antiqua" w:hAnsi="Book Antiqua"/>
          <w:lang w:val="en-US"/>
        </w:rPr>
        <w:t>active HCV replication (Table 1).</w:t>
      </w:r>
    </w:p>
    <w:p w:rsidR="009327D7" w:rsidRPr="00924A19" w:rsidRDefault="00CB46E0"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The most</w:t>
      </w:r>
      <w:r w:rsidR="00D551AC" w:rsidRPr="00924A19">
        <w:rPr>
          <w:rFonts w:ascii="Book Antiqua" w:hAnsi="Book Antiqua"/>
          <w:lang w:val="en-US"/>
        </w:rPr>
        <w:t xml:space="preserve"> representative genotype is G</w:t>
      </w:r>
      <w:r w:rsidR="009327D7" w:rsidRPr="00924A19">
        <w:rPr>
          <w:rFonts w:ascii="Book Antiqua" w:hAnsi="Book Antiqua"/>
          <w:lang w:val="en-US"/>
        </w:rPr>
        <w:t>1</w:t>
      </w:r>
      <w:r w:rsidRPr="00924A19">
        <w:rPr>
          <w:rFonts w:ascii="Book Antiqua" w:hAnsi="Book Antiqua"/>
          <w:lang w:val="en-US"/>
        </w:rPr>
        <w:t xml:space="preserve"> (</w:t>
      </w:r>
      <w:r w:rsidR="009327D7" w:rsidRPr="00924A19">
        <w:rPr>
          <w:rFonts w:ascii="Book Antiqua" w:hAnsi="Book Antiqua"/>
          <w:lang w:val="en-US"/>
        </w:rPr>
        <w:t>7</w:t>
      </w:r>
      <w:r w:rsidR="000526CD" w:rsidRPr="00924A19">
        <w:rPr>
          <w:rFonts w:ascii="Book Antiqua" w:hAnsi="Book Antiqua"/>
          <w:lang w:val="en-US"/>
        </w:rPr>
        <w:t>4</w:t>
      </w:r>
      <w:r w:rsidR="009327D7" w:rsidRPr="00924A19">
        <w:rPr>
          <w:rFonts w:ascii="Book Antiqua" w:hAnsi="Book Antiqua"/>
          <w:lang w:val="en-US"/>
        </w:rPr>
        <w:t>.5</w:t>
      </w:r>
      <w:r w:rsidRPr="00924A19">
        <w:rPr>
          <w:rFonts w:ascii="Book Antiqua" w:hAnsi="Book Antiqua"/>
          <w:lang w:val="en-US"/>
        </w:rPr>
        <w:t xml:space="preserve">%), followed by </w:t>
      </w:r>
      <w:r w:rsidR="00D551AC" w:rsidRPr="00924A19">
        <w:rPr>
          <w:rFonts w:ascii="Book Antiqua" w:hAnsi="Book Antiqua"/>
          <w:lang w:val="en-US"/>
        </w:rPr>
        <w:t>G</w:t>
      </w:r>
      <w:r w:rsidR="000526CD" w:rsidRPr="00924A19">
        <w:rPr>
          <w:rFonts w:ascii="Book Antiqua" w:hAnsi="Book Antiqua"/>
          <w:lang w:val="en-US"/>
        </w:rPr>
        <w:t>3</w:t>
      </w:r>
      <w:r w:rsidRPr="00924A19">
        <w:rPr>
          <w:rFonts w:ascii="Book Antiqua" w:hAnsi="Book Antiqua"/>
          <w:lang w:val="en-US"/>
        </w:rPr>
        <w:t xml:space="preserve"> (</w:t>
      </w:r>
      <w:r w:rsidR="000526CD" w:rsidRPr="00924A19">
        <w:rPr>
          <w:rFonts w:ascii="Book Antiqua" w:hAnsi="Book Antiqua"/>
          <w:lang w:val="en-US"/>
        </w:rPr>
        <w:t>10.6</w:t>
      </w:r>
      <w:r w:rsidR="00643369" w:rsidRPr="00924A19">
        <w:rPr>
          <w:rFonts w:ascii="Book Antiqua" w:hAnsi="Book Antiqua"/>
          <w:lang w:val="en-US"/>
        </w:rPr>
        <w:t>%),</w:t>
      </w:r>
      <w:r w:rsidR="000526CD" w:rsidRPr="00924A19">
        <w:rPr>
          <w:rFonts w:ascii="Book Antiqua" w:hAnsi="Book Antiqua"/>
          <w:lang w:val="en-US"/>
        </w:rPr>
        <w:t xml:space="preserve"> 2</w:t>
      </w:r>
      <w:r w:rsidRPr="00924A19">
        <w:rPr>
          <w:rFonts w:ascii="Book Antiqua" w:hAnsi="Book Antiqua"/>
          <w:lang w:val="en-US"/>
        </w:rPr>
        <w:t xml:space="preserve"> (</w:t>
      </w:r>
      <w:r w:rsidR="000526CD" w:rsidRPr="00924A19">
        <w:rPr>
          <w:rFonts w:ascii="Book Antiqua" w:hAnsi="Book Antiqua"/>
          <w:lang w:val="en-US"/>
        </w:rPr>
        <w:t>10.2</w:t>
      </w:r>
      <w:r w:rsidR="00643369" w:rsidRPr="00924A19">
        <w:rPr>
          <w:rFonts w:ascii="Book Antiqua" w:hAnsi="Book Antiqua"/>
          <w:lang w:val="en-US"/>
        </w:rPr>
        <w:t xml:space="preserve">%) and </w:t>
      </w:r>
      <w:r w:rsidR="00D551AC" w:rsidRPr="00924A19">
        <w:rPr>
          <w:rFonts w:ascii="Book Antiqua" w:hAnsi="Book Antiqua"/>
          <w:lang w:val="en-US"/>
        </w:rPr>
        <w:t>G</w:t>
      </w:r>
      <w:r w:rsidR="00643369" w:rsidRPr="00924A19">
        <w:rPr>
          <w:rFonts w:ascii="Book Antiqua" w:hAnsi="Book Antiqua"/>
          <w:lang w:val="en-US"/>
        </w:rPr>
        <w:t xml:space="preserve">4 (1.7%). </w:t>
      </w:r>
      <w:r w:rsidR="009327D7" w:rsidRPr="00924A19">
        <w:rPr>
          <w:rFonts w:ascii="Book Antiqua" w:hAnsi="Book Antiqua"/>
          <w:lang w:val="en-US"/>
        </w:rPr>
        <w:t>Only small percentage</w:t>
      </w:r>
      <w:r w:rsidR="008E171D" w:rsidRPr="00924A19">
        <w:rPr>
          <w:rFonts w:ascii="Book Antiqua" w:hAnsi="Book Antiqua"/>
          <w:lang w:val="en-US"/>
        </w:rPr>
        <w:t>s</w:t>
      </w:r>
      <w:r w:rsidR="009327D7" w:rsidRPr="00924A19">
        <w:rPr>
          <w:rFonts w:ascii="Book Antiqua" w:hAnsi="Book Antiqua"/>
          <w:lang w:val="en-US"/>
        </w:rPr>
        <w:t xml:space="preserve"> of </w:t>
      </w:r>
      <w:r w:rsidR="00D551AC" w:rsidRPr="00924A19">
        <w:rPr>
          <w:rFonts w:ascii="Book Antiqua" w:hAnsi="Book Antiqua"/>
          <w:lang w:val="en-US"/>
        </w:rPr>
        <w:t>G</w:t>
      </w:r>
      <w:r w:rsidR="000526CD" w:rsidRPr="00924A19">
        <w:rPr>
          <w:rFonts w:ascii="Book Antiqua" w:hAnsi="Book Antiqua"/>
          <w:lang w:val="en-US"/>
        </w:rPr>
        <w:t xml:space="preserve">5, </w:t>
      </w:r>
      <w:r w:rsidR="00D551AC" w:rsidRPr="00924A19">
        <w:rPr>
          <w:rFonts w:ascii="Book Antiqua" w:hAnsi="Book Antiqua"/>
          <w:lang w:val="en-US"/>
        </w:rPr>
        <w:t>G</w:t>
      </w:r>
      <w:r w:rsidR="00643369" w:rsidRPr="00924A19">
        <w:rPr>
          <w:rFonts w:ascii="Book Antiqua" w:hAnsi="Book Antiqua"/>
          <w:lang w:val="en-US"/>
        </w:rPr>
        <w:t xml:space="preserve">6 </w:t>
      </w:r>
      <w:r w:rsidR="000526CD" w:rsidRPr="00924A19">
        <w:rPr>
          <w:rFonts w:ascii="Book Antiqua" w:hAnsi="Book Antiqua"/>
          <w:lang w:val="en-US"/>
        </w:rPr>
        <w:t xml:space="preserve">and not well classified </w:t>
      </w:r>
      <w:r w:rsidR="00D551AC" w:rsidRPr="00924A19">
        <w:rPr>
          <w:rFonts w:ascii="Book Antiqua" w:hAnsi="Book Antiqua"/>
          <w:lang w:val="en-US"/>
        </w:rPr>
        <w:t>are</w:t>
      </w:r>
      <w:r w:rsidR="00692737" w:rsidRPr="00924A19">
        <w:rPr>
          <w:rFonts w:ascii="Book Antiqua" w:hAnsi="Book Antiqua"/>
          <w:lang w:val="en-US"/>
        </w:rPr>
        <w:t xml:space="preserve"> </w:t>
      </w:r>
      <w:r w:rsidRPr="00924A19">
        <w:rPr>
          <w:rFonts w:ascii="Book Antiqua" w:hAnsi="Book Antiqua"/>
          <w:lang w:val="en-US"/>
        </w:rPr>
        <w:t xml:space="preserve">reported (Table </w:t>
      </w:r>
      <w:r w:rsidR="00C206FC" w:rsidRPr="00924A19">
        <w:rPr>
          <w:rFonts w:ascii="Book Antiqua" w:hAnsi="Book Antiqua"/>
          <w:lang w:val="en-US"/>
        </w:rPr>
        <w:t>3</w:t>
      </w:r>
      <w:r w:rsidRPr="00924A19">
        <w:rPr>
          <w:rFonts w:ascii="Book Antiqua" w:hAnsi="Book Antiqua"/>
          <w:lang w:val="en-US"/>
        </w:rPr>
        <w:t>).</w:t>
      </w:r>
      <w:r w:rsidR="008E171D" w:rsidRPr="00924A19">
        <w:rPr>
          <w:rFonts w:ascii="Book Antiqua" w:hAnsi="Book Antiqua"/>
          <w:lang w:val="en-US"/>
        </w:rPr>
        <w:t>Genotype</w:t>
      </w:r>
      <w:r w:rsidR="009327D7" w:rsidRPr="00924A19">
        <w:rPr>
          <w:rFonts w:ascii="Book Antiqua" w:hAnsi="Book Antiqua"/>
          <w:lang w:val="en-US"/>
        </w:rPr>
        <w:t xml:space="preserve"> distribution shows high variability among the three macro-areas st</w:t>
      </w:r>
      <w:r w:rsidR="004E58B7" w:rsidRPr="00924A19">
        <w:rPr>
          <w:rFonts w:ascii="Book Antiqua" w:hAnsi="Book Antiqua"/>
          <w:lang w:val="en-US"/>
        </w:rPr>
        <w:t xml:space="preserve">udied, ranging between 83.0%% of the </w:t>
      </w:r>
      <w:r w:rsidR="009327D7" w:rsidRPr="00924A19">
        <w:rPr>
          <w:rFonts w:ascii="Book Antiqua" w:hAnsi="Book Antiqua"/>
          <w:lang w:val="en-US"/>
        </w:rPr>
        <w:t>Caribbean area</w:t>
      </w:r>
      <w:r w:rsidR="004E58B7" w:rsidRPr="00924A19">
        <w:rPr>
          <w:rFonts w:ascii="Book Antiqua" w:hAnsi="Book Antiqua"/>
          <w:lang w:val="en-US"/>
        </w:rPr>
        <w:t xml:space="preserve"> and 66.3% in Northern America</w:t>
      </w:r>
      <w:r w:rsidR="009327D7" w:rsidRPr="00924A19">
        <w:rPr>
          <w:rFonts w:ascii="Book Antiqua" w:hAnsi="Book Antiqua"/>
          <w:lang w:val="en-US"/>
        </w:rPr>
        <w:t xml:space="preserve"> for </w:t>
      </w:r>
      <w:r w:rsidR="00D551AC" w:rsidRPr="00924A19">
        <w:rPr>
          <w:rFonts w:ascii="Book Antiqua" w:hAnsi="Book Antiqua"/>
          <w:lang w:val="en-US"/>
        </w:rPr>
        <w:t>G</w:t>
      </w:r>
      <w:r w:rsidR="009327D7" w:rsidRPr="00924A19">
        <w:rPr>
          <w:rFonts w:ascii="Book Antiqua" w:hAnsi="Book Antiqua"/>
          <w:lang w:val="en-US"/>
        </w:rPr>
        <w:t xml:space="preserve">1, 14.0% (Latin America) and 7.2% (Caribbean) for </w:t>
      </w:r>
      <w:r w:rsidR="00D551AC" w:rsidRPr="00924A19">
        <w:rPr>
          <w:rFonts w:ascii="Book Antiqua" w:hAnsi="Book Antiqua"/>
          <w:lang w:val="en-US"/>
        </w:rPr>
        <w:t>G</w:t>
      </w:r>
      <w:r w:rsidR="009327D7" w:rsidRPr="00924A19">
        <w:rPr>
          <w:rFonts w:ascii="Book Antiqua" w:hAnsi="Book Antiqua"/>
          <w:lang w:val="en-US"/>
        </w:rPr>
        <w:t xml:space="preserve">2, 15.7% (Northern America) and 2.1% (Caribbean) for </w:t>
      </w:r>
      <w:r w:rsidR="00D551AC" w:rsidRPr="00924A19">
        <w:rPr>
          <w:rFonts w:ascii="Book Antiqua" w:hAnsi="Book Antiqua"/>
          <w:lang w:val="en-US"/>
        </w:rPr>
        <w:t>G</w:t>
      </w:r>
      <w:r w:rsidR="009327D7" w:rsidRPr="00924A19">
        <w:rPr>
          <w:rFonts w:ascii="Book Antiqua" w:hAnsi="Book Antiqua"/>
          <w:lang w:val="en-US"/>
        </w:rPr>
        <w:t xml:space="preserve">3 (Table </w:t>
      </w:r>
      <w:r w:rsidR="004E58B7" w:rsidRPr="00924A19">
        <w:rPr>
          <w:rFonts w:ascii="Book Antiqua" w:hAnsi="Book Antiqua"/>
          <w:lang w:val="en-US"/>
        </w:rPr>
        <w:t>4</w:t>
      </w:r>
      <w:r w:rsidR="009327D7" w:rsidRPr="00924A19">
        <w:rPr>
          <w:rFonts w:ascii="Book Antiqua" w:hAnsi="Book Antiqua"/>
          <w:lang w:val="en-US"/>
        </w:rPr>
        <w:t>).</w:t>
      </w:r>
    </w:p>
    <w:p w:rsidR="00E67A22" w:rsidRPr="00924A19" w:rsidRDefault="00E67A22" w:rsidP="0026366E">
      <w:pPr>
        <w:snapToGrid w:val="0"/>
        <w:spacing w:line="360" w:lineRule="auto"/>
        <w:jc w:val="both"/>
        <w:rPr>
          <w:rFonts w:ascii="Book Antiqua" w:hAnsi="Book Antiqua"/>
          <w:b/>
          <w:lang w:val="en-US"/>
        </w:rPr>
      </w:pPr>
    </w:p>
    <w:p w:rsidR="00A06756" w:rsidRPr="00924A19" w:rsidRDefault="006D64FC"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t xml:space="preserve">North </w:t>
      </w:r>
      <w:r w:rsidR="009327D7" w:rsidRPr="00924A19">
        <w:rPr>
          <w:rFonts w:ascii="Book Antiqua" w:eastAsia="Times New Roman" w:hAnsi="Book Antiqua" w:cs="AdvGulliv-R"/>
          <w:b/>
          <w:color w:val="000000"/>
          <w:lang w:val="en-US" w:eastAsia="it-IT"/>
        </w:rPr>
        <w:t>America</w:t>
      </w:r>
      <w:r w:rsidRPr="00924A19">
        <w:rPr>
          <w:rFonts w:ascii="Book Antiqua" w:eastAsia="Times New Roman" w:hAnsi="Book Antiqua" w:cs="AdvGulliv-R"/>
          <w:b/>
          <w:color w:val="000000"/>
          <w:lang w:val="en-US" w:eastAsia="it-IT"/>
        </w:rPr>
        <w:t>, High Income</w:t>
      </w:r>
      <w:r w:rsidR="004E7EA3" w:rsidRPr="00924A19">
        <w:rPr>
          <w:rFonts w:ascii="Book Antiqua" w:eastAsia="Times New Roman" w:hAnsi="Book Antiqua" w:cs="AdvGulliv-R"/>
          <w:b/>
          <w:color w:val="000000"/>
          <w:lang w:val="en-US" w:eastAsia="it-IT"/>
        </w:rPr>
        <w:t xml:space="preserve">: </w:t>
      </w:r>
      <w:r w:rsidR="009327D7" w:rsidRPr="00924A19">
        <w:rPr>
          <w:rFonts w:ascii="Book Antiqua" w:eastAsia="Times New Roman" w:hAnsi="Book Antiqua" w:cs="AdvMinionNormal_Rm"/>
          <w:lang w:val="en-US" w:eastAsia="it-IT"/>
        </w:rPr>
        <w:t xml:space="preserve">The countries studied in this area </w:t>
      </w:r>
      <w:r w:rsidR="00FB2E07" w:rsidRPr="00924A19">
        <w:rPr>
          <w:rFonts w:ascii="Book Antiqua" w:eastAsia="Times New Roman" w:hAnsi="Book Antiqua" w:cs="AdvMinionNormal_Rm"/>
          <w:lang w:val="en-US" w:eastAsia="it-IT"/>
        </w:rPr>
        <w:t>are</w:t>
      </w:r>
      <w:r w:rsidR="009327D7" w:rsidRPr="00924A19">
        <w:rPr>
          <w:rFonts w:ascii="Book Antiqua" w:eastAsia="Times New Roman" w:hAnsi="Book Antiqua" w:cs="AdvMinionNormal_Rm"/>
          <w:lang w:val="en-US" w:eastAsia="it-IT"/>
        </w:rPr>
        <w:t xml:space="preserve"> Canada and United States</w:t>
      </w:r>
      <w:r w:rsidR="00FB2E07" w:rsidRPr="00924A19">
        <w:rPr>
          <w:rFonts w:ascii="Book Antiqua" w:eastAsia="Times New Roman" w:hAnsi="Book Antiqua" w:cs="AdvMinionNormal_Rm"/>
          <w:lang w:val="en-US" w:eastAsia="it-IT"/>
        </w:rPr>
        <w:t xml:space="preserve">, with </w:t>
      </w:r>
      <w:r w:rsidR="00FB2E07" w:rsidRPr="00924A19">
        <w:rPr>
          <w:rFonts w:ascii="Book Antiqua" w:hAnsi="Book Antiqua"/>
          <w:lang w:val="en-US"/>
        </w:rPr>
        <w:t xml:space="preserve">an average </w:t>
      </w:r>
      <w:r w:rsidR="00A06756" w:rsidRPr="00924A19">
        <w:rPr>
          <w:rFonts w:ascii="Book Antiqua" w:hAnsi="Book Antiqua"/>
          <w:lang w:val="en-US"/>
        </w:rPr>
        <w:t>prevalence o</w:t>
      </w:r>
      <w:r w:rsidR="00E67A22" w:rsidRPr="00924A19">
        <w:rPr>
          <w:rFonts w:ascii="Book Antiqua" w:hAnsi="Book Antiqua"/>
          <w:lang w:val="en-US"/>
        </w:rPr>
        <w:t xml:space="preserve">f HCV in the general population </w:t>
      </w:r>
      <w:r w:rsidR="00FB2E07" w:rsidRPr="00924A19">
        <w:rPr>
          <w:rFonts w:ascii="Book Antiqua" w:hAnsi="Book Antiqua"/>
          <w:lang w:val="en-US"/>
        </w:rPr>
        <w:t>of</w:t>
      </w:r>
      <w:r w:rsidR="008847C3" w:rsidRPr="00924A19">
        <w:rPr>
          <w:rFonts w:ascii="Book Antiqua" w:hAnsi="Book Antiqua"/>
          <w:lang w:val="en-US"/>
        </w:rPr>
        <w:t>1.2</w:t>
      </w:r>
      <w:r w:rsidR="00A06756" w:rsidRPr="00924A19">
        <w:rPr>
          <w:rFonts w:ascii="Book Antiqua" w:hAnsi="Book Antiqua"/>
          <w:lang w:val="en-US"/>
        </w:rPr>
        <w:t>%, ranging between 1.1%</w:t>
      </w:r>
      <w:r w:rsidR="008847C3" w:rsidRPr="00924A19">
        <w:rPr>
          <w:rFonts w:ascii="Book Antiqua" w:hAnsi="Book Antiqua"/>
          <w:lang w:val="en-US"/>
        </w:rPr>
        <w:t xml:space="preserve"> in Canada</w:t>
      </w:r>
      <w:r w:rsidR="00A06756" w:rsidRPr="00924A19">
        <w:rPr>
          <w:rFonts w:ascii="Book Antiqua" w:hAnsi="Book Antiqua"/>
          <w:lang w:val="en-US"/>
        </w:rPr>
        <w:t xml:space="preserve"> and </w:t>
      </w:r>
      <w:r w:rsidR="00C206FC" w:rsidRPr="00924A19">
        <w:rPr>
          <w:rFonts w:ascii="Book Antiqua" w:hAnsi="Book Antiqua"/>
          <w:lang w:val="en-US"/>
        </w:rPr>
        <w:t>1.3% in the United States,</w:t>
      </w:r>
      <w:r w:rsidR="00184665" w:rsidRPr="00924A19">
        <w:rPr>
          <w:rFonts w:ascii="Book Antiqua" w:hAnsi="Book Antiqua" w:hint="eastAsia"/>
          <w:lang w:val="en-US"/>
        </w:rPr>
        <w:t xml:space="preserve"> </w:t>
      </w:r>
      <w:r w:rsidR="00FB2E07" w:rsidRPr="00924A19">
        <w:rPr>
          <w:rFonts w:ascii="Book Antiqua" w:hAnsi="Book Antiqua"/>
          <w:lang w:val="en-US"/>
        </w:rPr>
        <w:t>and</w:t>
      </w:r>
      <w:r w:rsidR="00C206FC" w:rsidRPr="00924A19">
        <w:rPr>
          <w:rFonts w:ascii="Book Antiqua" w:hAnsi="Book Antiqua"/>
          <w:lang w:val="en-US"/>
        </w:rPr>
        <w:t xml:space="preserve"> a viraemic rate estimated at 75.7% </w:t>
      </w:r>
      <w:r w:rsidR="00A06756" w:rsidRPr="00924A19">
        <w:rPr>
          <w:rFonts w:ascii="Book Antiqua" w:hAnsi="Book Antiqua"/>
          <w:lang w:val="en-US"/>
        </w:rPr>
        <w:t>(</w:t>
      </w:r>
      <w:r w:rsidR="00BF11D2" w:rsidRPr="00924A19">
        <w:rPr>
          <w:rFonts w:ascii="Book Antiqua" w:hAnsi="Book Antiqua"/>
          <w:bCs/>
          <w:lang w:val="en-US"/>
        </w:rPr>
        <w:t xml:space="preserve">Figure </w:t>
      </w:r>
      <w:r w:rsidR="00C220FF" w:rsidRPr="00924A19">
        <w:rPr>
          <w:rFonts w:ascii="Book Antiqua" w:hAnsi="Book Antiqua"/>
          <w:bCs/>
          <w:lang w:val="en-US"/>
        </w:rPr>
        <w:t>3A</w:t>
      </w:r>
      <w:r w:rsidR="00A06756" w:rsidRPr="00924A19">
        <w:rPr>
          <w:rFonts w:ascii="Book Antiqua" w:hAnsi="Book Antiqua"/>
          <w:bCs/>
          <w:lang w:val="en-US"/>
        </w:rPr>
        <w:t>)</w:t>
      </w:r>
      <w:r w:rsidR="00A06756" w:rsidRPr="00924A19">
        <w:rPr>
          <w:rFonts w:ascii="Book Antiqua" w:hAnsi="Book Antiqua"/>
          <w:lang w:val="en-US"/>
        </w:rPr>
        <w:t>.</w:t>
      </w:r>
    </w:p>
    <w:p w:rsidR="009327D7" w:rsidRPr="00924A19" w:rsidRDefault="00FB2E07"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predominant genotype is </w:t>
      </w:r>
      <w:r w:rsidR="00D551AC" w:rsidRPr="00924A19">
        <w:rPr>
          <w:rFonts w:ascii="Book Antiqua" w:hAnsi="Book Antiqua"/>
          <w:lang w:val="en-US"/>
        </w:rPr>
        <w:t>G</w:t>
      </w:r>
      <w:r w:rsidRPr="00924A19">
        <w:rPr>
          <w:rFonts w:ascii="Book Antiqua" w:hAnsi="Book Antiqua"/>
          <w:lang w:val="en-US"/>
        </w:rPr>
        <w:t xml:space="preserve">1 (66.3%), followed by </w:t>
      </w:r>
      <w:r w:rsidR="00D551AC" w:rsidRPr="00924A19">
        <w:rPr>
          <w:rFonts w:ascii="Book Antiqua" w:hAnsi="Book Antiqua"/>
          <w:lang w:val="en-US"/>
        </w:rPr>
        <w:t>G</w:t>
      </w:r>
      <w:r w:rsidRPr="00924A19">
        <w:rPr>
          <w:rFonts w:ascii="Book Antiqua" w:hAnsi="Book Antiqua"/>
          <w:lang w:val="en-US"/>
        </w:rPr>
        <w:t xml:space="preserve">3 (15.7%), </w:t>
      </w:r>
      <w:r w:rsidR="00D551AC" w:rsidRPr="00924A19">
        <w:rPr>
          <w:rFonts w:ascii="Book Antiqua" w:hAnsi="Book Antiqua"/>
          <w:lang w:val="en-US"/>
        </w:rPr>
        <w:t>G</w:t>
      </w:r>
      <w:r w:rsidRPr="00924A19">
        <w:rPr>
          <w:rFonts w:ascii="Book Antiqua" w:hAnsi="Book Antiqua"/>
          <w:lang w:val="en-US"/>
        </w:rPr>
        <w:t xml:space="preserve">2 (13.1%) and </w:t>
      </w:r>
      <w:r w:rsidR="00D551AC" w:rsidRPr="00924A19">
        <w:rPr>
          <w:rFonts w:ascii="Book Antiqua" w:hAnsi="Book Antiqua"/>
          <w:lang w:val="en-US"/>
        </w:rPr>
        <w:t>G</w:t>
      </w:r>
      <w:r w:rsidRPr="00924A19">
        <w:rPr>
          <w:rFonts w:ascii="Book Antiqua" w:hAnsi="Book Antiqua"/>
          <w:lang w:val="en-US"/>
        </w:rPr>
        <w:t xml:space="preserve">4 (4.3%). No cases of </w:t>
      </w:r>
      <w:r w:rsidR="00D551AC" w:rsidRPr="00924A19">
        <w:rPr>
          <w:rFonts w:ascii="Book Antiqua" w:hAnsi="Book Antiqua"/>
          <w:lang w:val="en-US"/>
        </w:rPr>
        <w:t>G</w:t>
      </w:r>
      <w:r w:rsidRPr="00924A19">
        <w:rPr>
          <w:rFonts w:ascii="Book Antiqua" w:hAnsi="Book Antiqua"/>
          <w:lang w:val="en-US"/>
        </w:rPr>
        <w:t>5 and only a small percentage of</w:t>
      </w:r>
      <w:r w:rsidR="00D551AC" w:rsidRPr="00924A19">
        <w:rPr>
          <w:rFonts w:ascii="Book Antiqua" w:hAnsi="Book Antiqua"/>
          <w:lang w:val="en-US"/>
        </w:rPr>
        <w:t xml:space="preserve"> G</w:t>
      </w:r>
      <w:r w:rsidRPr="00924A19">
        <w:rPr>
          <w:rFonts w:ascii="Book Antiqua" w:hAnsi="Book Antiqua"/>
          <w:lang w:val="en-US"/>
        </w:rPr>
        <w:t xml:space="preserve">6 has been </w:t>
      </w:r>
      <w:r w:rsidRPr="00924A19">
        <w:rPr>
          <w:rFonts w:ascii="Book Antiqua" w:hAnsi="Book Antiqua"/>
          <w:lang w:val="en-US"/>
        </w:rPr>
        <w:lastRenderedPageBreak/>
        <w:t xml:space="preserve">reported (Table 4).In </w:t>
      </w:r>
      <w:r w:rsidR="008F26D9" w:rsidRPr="00924A19">
        <w:rPr>
          <w:rFonts w:ascii="Book Antiqua" w:hAnsi="Book Antiqua"/>
          <w:lang w:val="en-US"/>
        </w:rPr>
        <w:t xml:space="preserve">both the two countries studied, </w:t>
      </w:r>
      <w:r w:rsidR="00D551AC" w:rsidRPr="00924A19">
        <w:rPr>
          <w:rFonts w:ascii="Book Antiqua" w:hAnsi="Book Antiqua"/>
          <w:lang w:val="en-US"/>
        </w:rPr>
        <w:t>G1</w:t>
      </w:r>
      <w:r w:rsidRPr="00924A19">
        <w:rPr>
          <w:rFonts w:ascii="Book Antiqua" w:hAnsi="Book Antiqua"/>
          <w:lang w:val="en-US"/>
        </w:rPr>
        <w:t xml:space="preserve"> represents over the half of all genotypes observed (60.0% and 72.5%, respectively), whereas </w:t>
      </w:r>
      <w:r w:rsidR="00D551AC" w:rsidRPr="00924A19">
        <w:rPr>
          <w:rFonts w:ascii="Book Antiqua" w:hAnsi="Book Antiqua"/>
          <w:lang w:val="en-US"/>
        </w:rPr>
        <w:t>G</w:t>
      </w:r>
      <w:r w:rsidRPr="00924A19">
        <w:rPr>
          <w:rFonts w:ascii="Book Antiqua" w:hAnsi="Book Antiqua"/>
          <w:lang w:val="en-US"/>
        </w:rPr>
        <w:t>3 is more frequent in Canada (22.3%), if compared to the United States (8.9%)</w:t>
      </w:r>
      <w:r w:rsidR="00184665" w:rsidRPr="00924A19">
        <w:rPr>
          <w:rFonts w:ascii="Book Antiqua" w:hAnsi="Book Antiqua" w:hint="eastAsia"/>
          <w:lang w:val="en-US"/>
        </w:rPr>
        <w:t xml:space="preserve"> </w:t>
      </w:r>
      <w:r w:rsidRPr="00924A19">
        <w:rPr>
          <w:rFonts w:ascii="Book Antiqua" w:hAnsi="Book Antiqua"/>
          <w:lang w:val="en-US"/>
        </w:rPr>
        <w:t xml:space="preserve">(Figure </w:t>
      </w:r>
      <w:r w:rsidR="00C220FF" w:rsidRPr="00924A19">
        <w:rPr>
          <w:rFonts w:ascii="Book Antiqua" w:hAnsi="Book Antiqua"/>
          <w:lang w:val="en-US"/>
        </w:rPr>
        <w:t>3B</w:t>
      </w:r>
      <w:r w:rsidRPr="00924A19">
        <w:rPr>
          <w:rFonts w:ascii="Book Antiqua" w:hAnsi="Book Antiqua"/>
          <w:lang w:val="en-US"/>
        </w:rPr>
        <w:t>).</w:t>
      </w:r>
    </w:p>
    <w:p w:rsidR="00FB2E07" w:rsidRPr="00924A19" w:rsidRDefault="00FB2E07" w:rsidP="0026366E">
      <w:pPr>
        <w:snapToGrid w:val="0"/>
        <w:spacing w:line="360" w:lineRule="auto"/>
        <w:jc w:val="both"/>
        <w:rPr>
          <w:rFonts w:ascii="Book Antiqua" w:eastAsia="Times New Roman" w:hAnsi="Book Antiqua" w:cs="AdvGulliv-R"/>
          <w:b/>
          <w:color w:val="000000"/>
          <w:lang w:val="en-US" w:eastAsia="it-IT"/>
        </w:rPr>
      </w:pPr>
    </w:p>
    <w:p w:rsidR="00FB2E07" w:rsidRPr="00924A19" w:rsidRDefault="009327D7"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t>Caribbean</w:t>
      </w:r>
      <w:r w:rsidR="004E7EA3" w:rsidRPr="00924A19">
        <w:rPr>
          <w:rFonts w:ascii="Book Antiqua" w:eastAsia="Times New Roman" w:hAnsi="Book Antiqua" w:cs="AdvGulliv-R"/>
          <w:b/>
          <w:color w:val="000000"/>
          <w:lang w:val="en-US" w:eastAsia="it-IT"/>
        </w:rPr>
        <w:t xml:space="preserve">: </w:t>
      </w:r>
      <w:r w:rsidR="00FB2E07" w:rsidRPr="00924A19">
        <w:rPr>
          <w:rFonts w:ascii="Book Antiqua" w:eastAsia="Times New Roman" w:hAnsi="Book Antiqua" w:cs="AdvMinionNormal_Rm"/>
          <w:lang w:val="en-US" w:eastAsia="it-IT"/>
        </w:rPr>
        <w:t xml:space="preserve">In this area, studies responding to the selected </w:t>
      </w:r>
      <w:r w:rsidR="00E019EE" w:rsidRPr="00924A19">
        <w:rPr>
          <w:rFonts w:ascii="Book Antiqua" w:eastAsia="Times New Roman" w:hAnsi="Book Antiqua" w:cs="AdvMinionNormal_Rm"/>
          <w:lang w:val="en-US" w:eastAsia="it-IT"/>
        </w:rPr>
        <w:t>parameters</w:t>
      </w:r>
      <w:r w:rsidR="00FB2E07" w:rsidRPr="00924A19">
        <w:rPr>
          <w:rFonts w:ascii="Book Antiqua" w:eastAsia="Times New Roman" w:hAnsi="Book Antiqua" w:cs="AdvMinionNormal_Rm"/>
          <w:lang w:val="en-US" w:eastAsia="it-IT"/>
        </w:rPr>
        <w:t xml:space="preserve"> are available only from Cuba, Dominican Republic and Puerto Rico.</w:t>
      </w:r>
    </w:p>
    <w:p w:rsidR="00C206FC" w:rsidRPr="00924A19" w:rsidRDefault="00E67A22" w:rsidP="0026366E">
      <w:pPr>
        <w:autoSpaceDE w:val="0"/>
        <w:autoSpaceDN w:val="0"/>
        <w:adjustRightInd w:val="0"/>
        <w:snapToGrid w:val="0"/>
        <w:spacing w:line="360" w:lineRule="auto"/>
        <w:ind w:firstLineChars="100" w:firstLine="240"/>
        <w:jc w:val="both"/>
        <w:rPr>
          <w:rFonts w:ascii="Book Antiqua" w:hAnsi="Book Antiqua"/>
          <w:lang w:val="en-US"/>
        </w:rPr>
      </w:pPr>
      <w:r w:rsidRPr="00924A19">
        <w:rPr>
          <w:rFonts w:ascii="Book Antiqua" w:hAnsi="Book Antiqua"/>
          <w:lang w:val="en-US"/>
        </w:rPr>
        <w:t>The prevalence o</w:t>
      </w:r>
      <w:r w:rsidR="00BF11D2" w:rsidRPr="00924A19">
        <w:rPr>
          <w:rFonts w:ascii="Book Antiqua" w:hAnsi="Book Antiqua"/>
          <w:lang w:val="en-US"/>
        </w:rPr>
        <w:t>f HCV is 1.5%</w:t>
      </w:r>
      <w:r w:rsidR="00FB2E07" w:rsidRPr="00924A19">
        <w:rPr>
          <w:rFonts w:ascii="Book Antiqua" w:hAnsi="Book Antiqua"/>
          <w:lang w:val="en-US"/>
        </w:rPr>
        <w:t>,</w:t>
      </w:r>
      <w:r w:rsidR="00184665" w:rsidRPr="00924A19">
        <w:rPr>
          <w:rFonts w:ascii="Book Antiqua" w:hAnsi="Book Antiqua" w:hint="eastAsia"/>
          <w:lang w:val="en-US"/>
        </w:rPr>
        <w:t xml:space="preserve"> </w:t>
      </w:r>
      <w:r w:rsidRPr="00924A19">
        <w:rPr>
          <w:rFonts w:ascii="Book Antiqua" w:hAnsi="Book Antiqua"/>
          <w:lang w:val="en-US"/>
        </w:rPr>
        <w:t>ranging between 0.8% in Cuba and 2.3% in Puerto</w:t>
      </w:r>
      <w:r w:rsidR="009C6868" w:rsidRPr="00924A19">
        <w:rPr>
          <w:rFonts w:ascii="Book Antiqua" w:hAnsi="Book Antiqua"/>
          <w:lang w:val="en-US"/>
        </w:rPr>
        <w:t xml:space="preserve"> R</w:t>
      </w:r>
      <w:r w:rsidRPr="00924A19">
        <w:rPr>
          <w:rFonts w:ascii="Book Antiqua" w:hAnsi="Book Antiqua"/>
          <w:lang w:val="en-US"/>
        </w:rPr>
        <w:t>ico</w:t>
      </w:r>
      <w:r w:rsidR="00C206FC" w:rsidRPr="00924A19">
        <w:rPr>
          <w:rFonts w:ascii="Book Antiqua" w:hAnsi="Book Antiqua"/>
          <w:lang w:val="en-US"/>
        </w:rPr>
        <w:t xml:space="preserve"> (</w:t>
      </w:r>
      <w:r w:rsidR="00BF11D2" w:rsidRPr="00924A19">
        <w:rPr>
          <w:rFonts w:ascii="Book Antiqua" w:hAnsi="Book Antiqua"/>
          <w:bCs/>
          <w:lang w:val="en-US"/>
        </w:rPr>
        <w:t xml:space="preserve">Figure </w:t>
      </w:r>
      <w:r w:rsidR="00C220FF" w:rsidRPr="00924A19">
        <w:rPr>
          <w:rFonts w:ascii="Book Antiqua" w:hAnsi="Book Antiqua"/>
          <w:bCs/>
          <w:lang w:val="en-US"/>
        </w:rPr>
        <w:t>3A</w:t>
      </w:r>
      <w:r w:rsidR="00C206FC" w:rsidRPr="00924A19">
        <w:rPr>
          <w:rFonts w:ascii="Book Antiqua" w:hAnsi="Book Antiqua"/>
          <w:bCs/>
          <w:lang w:val="en-US"/>
        </w:rPr>
        <w:t>)</w:t>
      </w:r>
      <w:r w:rsidR="00FB2E07" w:rsidRPr="00924A19">
        <w:rPr>
          <w:rFonts w:ascii="Book Antiqua" w:hAnsi="Book Antiqua"/>
          <w:lang w:val="en-US"/>
        </w:rPr>
        <w:t>, with a viraemic rate estimated at 70.0% (Table 2)</w:t>
      </w:r>
      <w:r w:rsidR="00C206FC" w:rsidRPr="00924A19">
        <w:rPr>
          <w:rFonts w:ascii="Book Antiqua" w:hAnsi="Book Antiqua"/>
          <w:lang w:val="en-US"/>
        </w:rPr>
        <w:t>.</w:t>
      </w:r>
      <w:r w:rsidR="00956F61" w:rsidRPr="00924A19">
        <w:rPr>
          <w:rFonts w:ascii="Book Antiqua" w:hAnsi="Book Antiqua"/>
          <w:lang w:val="en-US"/>
        </w:rPr>
        <w:t xml:space="preserve"> No adult HCV prevalence and/or viraemic data </w:t>
      </w:r>
      <w:r w:rsidR="00527CF7" w:rsidRPr="00924A19">
        <w:rPr>
          <w:rFonts w:ascii="Book Antiqua" w:hAnsi="Book Antiqua"/>
          <w:lang w:val="en-US"/>
        </w:rPr>
        <w:t>are</w:t>
      </w:r>
      <w:r w:rsidR="00956F61" w:rsidRPr="00924A19">
        <w:rPr>
          <w:rFonts w:ascii="Book Antiqua" w:hAnsi="Book Antiqua"/>
          <w:lang w:val="en-US"/>
        </w:rPr>
        <w:t xml:space="preserve"> available from</w:t>
      </w:r>
      <w:r w:rsidR="00956F61" w:rsidRPr="00924A19">
        <w:rPr>
          <w:rFonts w:ascii="Book Antiqua" w:eastAsia="Times New Roman" w:hAnsi="Book Antiqua" w:cs="AdvMinionNormal_Rm"/>
          <w:lang w:val="en-US" w:eastAsia="it-IT"/>
        </w:rPr>
        <w:t xml:space="preserve"> Cuba and Dominican Republic.</w:t>
      </w:r>
    </w:p>
    <w:p w:rsidR="009C6868" w:rsidRPr="00924A19" w:rsidRDefault="00FB2E07"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predominant genotype in this area is </w:t>
      </w:r>
      <w:r w:rsidR="00D551AC" w:rsidRPr="00924A19">
        <w:rPr>
          <w:rFonts w:ascii="Book Antiqua" w:hAnsi="Book Antiqua"/>
          <w:lang w:val="en-US"/>
        </w:rPr>
        <w:t>G</w:t>
      </w:r>
      <w:r w:rsidRPr="00924A19">
        <w:rPr>
          <w:rFonts w:ascii="Book Antiqua" w:hAnsi="Book Antiqua"/>
          <w:lang w:val="en-US"/>
        </w:rPr>
        <w:t xml:space="preserve"> 1 (83.0%), followed by </w:t>
      </w:r>
      <w:r w:rsidR="00D551AC" w:rsidRPr="00924A19">
        <w:rPr>
          <w:rFonts w:ascii="Book Antiqua" w:hAnsi="Book Antiqua"/>
          <w:lang w:val="en-US"/>
        </w:rPr>
        <w:t>G</w:t>
      </w:r>
      <w:r w:rsidRPr="00924A19">
        <w:rPr>
          <w:rFonts w:ascii="Book Antiqua" w:hAnsi="Book Antiqua"/>
          <w:lang w:val="en-US"/>
        </w:rPr>
        <w:t xml:space="preserve">2 (7.2%), </w:t>
      </w:r>
      <w:r w:rsidR="00D551AC" w:rsidRPr="00924A19">
        <w:rPr>
          <w:rFonts w:ascii="Book Antiqua" w:hAnsi="Book Antiqua"/>
          <w:lang w:val="en-US"/>
        </w:rPr>
        <w:t>G</w:t>
      </w:r>
      <w:r w:rsidRPr="00924A19">
        <w:rPr>
          <w:rFonts w:ascii="Book Antiqua" w:hAnsi="Book Antiqua"/>
          <w:lang w:val="en-US"/>
        </w:rPr>
        <w:t xml:space="preserve">3 (2.1%). No cases of </w:t>
      </w:r>
      <w:r w:rsidR="00D551AC" w:rsidRPr="00924A19">
        <w:rPr>
          <w:rFonts w:ascii="Book Antiqua" w:hAnsi="Book Antiqua"/>
          <w:lang w:val="en-US"/>
        </w:rPr>
        <w:t>G</w:t>
      </w:r>
      <w:r w:rsidRPr="00924A19">
        <w:rPr>
          <w:rFonts w:ascii="Book Antiqua" w:hAnsi="Book Antiqua"/>
          <w:lang w:val="en-US"/>
        </w:rPr>
        <w:t xml:space="preserve">5 and only a small percentage of </w:t>
      </w:r>
      <w:r w:rsidR="00D551AC" w:rsidRPr="00924A19">
        <w:rPr>
          <w:rFonts w:ascii="Book Antiqua" w:hAnsi="Book Antiqua"/>
          <w:lang w:val="en-US"/>
        </w:rPr>
        <w:t>G</w:t>
      </w:r>
      <w:r w:rsidRPr="00924A19">
        <w:rPr>
          <w:rFonts w:ascii="Book Antiqua" w:hAnsi="Book Antiqua"/>
          <w:lang w:val="en-US"/>
        </w:rPr>
        <w:t xml:space="preserve">4 and </w:t>
      </w:r>
      <w:r w:rsidR="00D551AC" w:rsidRPr="00924A19">
        <w:rPr>
          <w:rFonts w:ascii="Book Antiqua" w:hAnsi="Book Antiqua"/>
          <w:lang w:val="en-US"/>
        </w:rPr>
        <w:t>G</w:t>
      </w:r>
      <w:r w:rsidRPr="00924A19">
        <w:rPr>
          <w:rFonts w:ascii="Book Antiqua" w:hAnsi="Book Antiqua"/>
          <w:lang w:val="en-US"/>
        </w:rPr>
        <w:t xml:space="preserve">6 </w:t>
      </w:r>
      <w:r w:rsidR="00527CF7" w:rsidRPr="00924A19">
        <w:rPr>
          <w:rFonts w:ascii="Book Antiqua" w:hAnsi="Book Antiqua"/>
          <w:lang w:val="en-US"/>
        </w:rPr>
        <w:t>are</w:t>
      </w:r>
      <w:r w:rsidRPr="00924A19">
        <w:rPr>
          <w:rFonts w:ascii="Book Antiqua" w:hAnsi="Book Antiqua"/>
          <w:lang w:val="en-US"/>
        </w:rPr>
        <w:t xml:space="preserve"> reported (Table 4).In all the </w:t>
      </w:r>
      <w:r w:rsidR="008F26D9" w:rsidRPr="00924A19">
        <w:rPr>
          <w:rFonts w:ascii="Book Antiqua" w:hAnsi="Book Antiqua"/>
          <w:lang w:val="en-US"/>
        </w:rPr>
        <w:t xml:space="preserve">studied </w:t>
      </w:r>
      <w:r w:rsidRPr="00924A19">
        <w:rPr>
          <w:rFonts w:ascii="Book Antiqua" w:hAnsi="Book Antiqua"/>
          <w:lang w:val="en-US"/>
        </w:rPr>
        <w:t xml:space="preserve">countries (Cuba, Dominican Republic and Puerto Rico), </w:t>
      </w:r>
      <w:r w:rsidR="00527CF7" w:rsidRPr="00924A19">
        <w:rPr>
          <w:rFonts w:ascii="Book Antiqua" w:hAnsi="Book Antiqua"/>
          <w:lang w:val="en-US"/>
        </w:rPr>
        <w:t>G</w:t>
      </w:r>
      <w:r w:rsidRPr="00924A19">
        <w:rPr>
          <w:rFonts w:ascii="Book Antiqua" w:hAnsi="Book Antiqua"/>
          <w:lang w:val="en-US"/>
        </w:rPr>
        <w:t>1 is almost the only observed (98</w:t>
      </w:r>
      <w:r w:rsidR="004E7EA3" w:rsidRPr="00924A19">
        <w:rPr>
          <w:rFonts w:ascii="Book Antiqua" w:hAnsi="Book Antiqua"/>
          <w:lang w:val="en-US"/>
        </w:rPr>
        <w:t>.</w:t>
      </w:r>
      <w:r w:rsidRPr="00924A19">
        <w:rPr>
          <w:rFonts w:ascii="Book Antiqua" w:hAnsi="Book Antiqua"/>
          <w:lang w:val="en-US"/>
        </w:rPr>
        <w:t>0%, 62</w:t>
      </w:r>
      <w:r w:rsidR="004E7EA3" w:rsidRPr="00924A19">
        <w:rPr>
          <w:rFonts w:ascii="Book Antiqua" w:hAnsi="Book Antiqua"/>
          <w:lang w:val="en-US"/>
        </w:rPr>
        <w:t>.</w:t>
      </w:r>
      <w:r w:rsidRPr="00924A19">
        <w:rPr>
          <w:rFonts w:ascii="Book Antiqua" w:hAnsi="Book Antiqua"/>
          <w:lang w:val="en-US"/>
        </w:rPr>
        <w:t>6% and 82.1%, respectively).</w:t>
      </w:r>
      <w:r w:rsidR="00184665" w:rsidRPr="00924A19">
        <w:rPr>
          <w:rFonts w:ascii="Book Antiqua" w:hAnsi="Book Antiqua" w:hint="eastAsia"/>
          <w:lang w:val="en-US"/>
        </w:rPr>
        <w:t xml:space="preserve"> </w:t>
      </w:r>
      <w:r w:rsidRPr="00924A19">
        <w:rPr>
          <w:rFonts w:ascii="Book Antiqua" w:hAnsi="Book Antiqua"/>
          <w:lang w:val="en-US"/>
        </w:rPr>
        <w:t xml:space="preserve">Genotypes distribution data are not available from Suriname and Martinique (Figure </w:t>
      </w:r>
      <w:r w:rsidR="00C220FF" w:rsidRPr="00924A19">
        <w:rPr>
          <w:rFonts w:ascii="Book Antiqua" w:hAnsi="Book Antiqua"/>
          <w:lang w:val="en-US"/>
        </w:rPr>
        <w:t>3B</w:t>
      </w:r>
      <w:r w:rsidRPr="00924A19">
        <w:rPr>
          <w:rFonts w:ascii="Book Antiqua" w:hAnsi="Book Antiqua"/>
          <w:lang w:val="en-US"/>
        </w:rPr>
        <w:t>).</w:t>
      </w:r>
    </w:p>
    <w:p w:rsidR="00C34E03" w:rsidRPr="00924A19" w:rsidRDefault="00C34E03" w:rsidP="0026366E">
      <w:pPr>
        <w:snapToGrid w:val="0"/>
        <w:spacing w:line="360" w:lineRule="auto"/>
        <w:jc w:val="both"/>
        <w:rPr>
          <w:rFonts w:ascii="Book Antiqua" w:eastAsia="Times New Roman" w:hAnsi="Book Antiqua" w:cs="AdvGulliv-R"/>
          <w:b/>
          <w:color w:val="000000"/>
          <w:lang w:val="en-US" w:eastAsia="it-IT"/>
        </w:rPr>
      </w:pPr>
    </w:p>
    <w:p w:rsidR="00E019EE" w:rsidRPr="00924A19" w:rsidRDefault="009327D7"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t>Latin America</w:t>
      </w:r>
      <w:r w:rsidR="004E7EA3" w:rsidRPr="00924A19">
        <w:rPr>
          <w:rFonts w:ascii="Book Antiqua" w:eastAsia="Times New Roman" w:hAnsi="Book Antiqua" w:cs="AdvGulliv-R"/>
          <w:b/>
          <w:color w:val="000000"/>
          <w:lang w:val="en-US" w:eastAsia="it-IT"/>
        </w:rPr>
        <w:t xml:space="preserve">: </w:t>
      </w:r>
      <w:r w:rsidR="00E019EE" w:rsidRPr="00924A19">
        <w:rPr>
          <w:rFonts w:ascii="Book Antiqua" w:eastAsia="Times New Roman" w:hAnsi="Book Antiqua" w:cs="AdvMinionNormal_Rm"/>
          <w:lang w:val="en-US" w:eastAsia="it-IT"/>
        </w:rPr>
        <w:t>GBD sub divides Latin America in four different areas: Andean, which includes Bolivia and Peru, Central, formed by Colombia, Mexico and Venezuela,</w:t>
      </w:r>
      <w:r w:rsidR="00692737" w:rsidRPr="00924A19">
        <w:rPr>
          <w:rFonts w:ascii="Book Antiqua" w:eastAsia="Times New Roman" w:hAnsi="Book Antiqua" w:cs="AdvMinionNormal_Rm"/>
          <w:lang w:val="en-US" w:eastAsia="it-IT"/>
        </w:rPr>
        <w:t xml:space="preserve"> </w:t>
      </w:r>
      <w:r w:rsidR="00E019EE" w:rsidRPr="00924A19">
        <w:rPr>
          <w:rFonts w:ascii="Book Antiqua" w:eastAsia="Times New Roman" w:hAnsi="Book Antiqua" w:cs="AdvMinionNormal_Rm"/>
          <w:lang w:val="en-US" w:eastAsia="it-IT"/>
        </w:rPr>
        <w:t>Southern, represented by Argentina, Chile and Uruguay and Tropical that includes only Brazil.</w:t>
      </w:r>
    </w:p>
    <w:p w:rsidR="00C52461" w:rsidRPr="00924A19" w:rsidRDefault="00E67A22" w:rsidP="0026366E">
      <w:pPr>
        <w:autoSpaceDE w:val="0"/>
        <w:autoSpaceDN w:val="0"/>
        <w:adjustRightInd w:val="0"/>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w:t>
      </w:r>
      <w:r w:rsidR="00527CF7" w:rsidRPr="00924A19">
        <w:rPr>
          <w:rFonts w:ascii="Book Antiqua" w:hAnsi="Book Antiqua"/>
          <w:lang w:val="en-US"/>
        </w:rPr>
        <w:t xml:space="preserve">HCV </w:t>
      </w:r>
      <w:r w:rsidRPr="00924A19">
        <w:rPr>
          <w:rFonts w:ascii="Book Antiqua" w:hAnsi="Book Antiqua"/>
          <w:lang w:val="en-US"/>
        </w:rPr>
        <w:t xml:space="preserve">prevalence is 1.4%, ranging between 1.2% </w:t>
      </w:r>
      <w:r w:rsidR="00300A63" w:rsidRPr="00924A19">
        <w:rPr>
          <w:rFonts w:ascii="Book Antiqua" w:hAnsi="Book Antiqua"/>
          <w:lang w:val="en-US"/>
        </w:rPr>
        <w:t xml:space="preserve">in </w:t>
      </w:r>
      <w:r w:rsidRPr="00924A19">
        <w:rPr>
          <w:rFonts w:ascii="Book Antiqua" w:hAnsi="Book Antiqua"/>
          <w:lang w:val="en-US"/>
        </w:rPr>
        <w:t xml:space="preserve">the Andean area and </w:t>
      </w:r>
      <w:r w:rsidR="00C52461" w:rsidRPr="00924A19">
        <w:rPr>
          <w:rFonts w:ascii="Book Antiqua" w:hAnsi="Book Antiqua"/>
          <w:lang w:val="en-US"/>
        </w:rPr>
        <w:t>1.6% in the Tropical zone,</w:t>
      </w:r>
      <w:r w:rsidR="00692737" w:rsidRPr="00924A19">
        <w:rPr>
          <w:rFonts w:ascii="Book Antiqua" w:hAnsi="Book Antiqua"/>
          <w:lang w:val="en-US"/>
        </w:rPr>
        <w:t xml:space="preserve"> </w:t>
      </w:r>
      <w:r w:rsidR="00C52461" w:rsidRPr="00924A19">
        <w:rPr>
          <w:rFonts w:ascii="Book Antiqua" w:hAnsi="Book Antiqua"/>
          <w:lang w:val="en-US"/>
        </w:rPr>
        <w:t xml:space="preserve">with a viraemic rate </w:t>
      </w:r>
      <w:r w:rsidR="00FB2E07" w:rsidRPr="00924A19">
        <w:rPr>
          <w:rFonts w:ascii="Book Antiqua" w:hAnsi="Book Antiqua"/>
          <w:lang w:val="en-US"/>
        </w:rPr>
        <w:t>of</w:t>
      </w:r>
      <w:r w:rsidR="00C52461" w:rsidRPr="00924A19">
        <w:rPr>
          <w:rFonts w:ascii="Book Antiqua" w:hAnsi="Book Antiqua"/>
          <w:lang w:val="en-US"/>
        </w:rPr>
        <w:t xml:space="preserve"> 76.4% (</w:t>
      </w:r>
      <w:r w:rsidR="00C52461" w:rsidRPr="00924A19">
        <w:rPr>
          <w:rFonts w:ascii="Book Antiqua" w:hAnsi="Book Antiqua"/>
          <w:bCs/>
          <w:lang w:val="en-US"/>
        </w:rPr>
        <w:t>Table 2)</w:t>
      </w:r>
      <w:r w:rsidR="00C52461" w:rsidRPr="00924A19">
        <w:rPr>
          <w:rFonts w:ascii="Book Antiqua" w:hAnsi="Book Antiqua"/>
          <w:lang w:val="en-US"/>
        </w:rPr>
        <w:t>.</w:t>
      </w:r>
    </w:p>
    <w:p w:rsidR="00BF11D2" w:rsidRPr="00924A19" w:rsidRDefault="00E67A22" w:rsidP="0026366E">
      <w:pPr>
        <w:snapToGrid w:val="0"/>
        <w:spacing w:line="360" w:lineRule="auto"/>
        <w:ind w:firstLineChars="100" w:firstLine="240"/>
        <w:jc w:val="both"/>
        <w:rPr>
          <w:rFonts w:ascii="Book Antiqua" w:hAnsi="Book Antiqua"/>
          <w:b/>
          <w:lang w:val="en-US"/>
        </w:rPr>
      </w:pPr>
      <w:r w:rsidRPr="00924A19">
        <w:rPr>
          <w:rFonts w:ascii="Book Antiqua" w:hAnsi="Book Antiqua"/>
          <w:lang w:val="en-US"/>
        </w:rPr>
        <w:t xml:space="preserve">All the countries in the 4 macro areas show almost the same </w:t>
      </w:r>
      <w:r w:rsidR="00E019EE" w:rsidRPr="00924A19">
        <w:rPr>
          <w:rFonts w:ascii="Book Antiqua" w:hAnsi="Book Antiqua"/>
          <w:lang w:val="en-US"/>
        </w:rPr>
        <w:t>HCV prevalence</w:t>
      </w:r>
      <w:r w:rsidRPr="00924A19">
        <w:rPr>
          <w:rFonts w:ascii="Book Antiqua" w:hAnsi="Book Antiqua"/>
          <w:lang w:val="en-US"/>
        </w:rPr>
        <w:t xml:space="preserve">: Brazil (1.6%), Argentina and Venezuela (1.5%), Mexico (1.4%) and Peru (1.2%) </w:t>
      </w:r>
      <w:r w:rsidR="00BF11D2" w:rsidRPr="00924A19">
        <w:rPr>
          <w:rFonts w:ascii="Book Antiqua" w:hAnsi="Book Antiqua"/>
          <w:lang w:val="en-US"/>
        </w:rPr>
        <w:t>(</w:t>
      </w:r>
      <w:r w:rsidR="00BF11D2" w:rsidRPr="00924A19">
        <w:rPr>
          <w:rFonts w:ascii="Book Antiqua" w:hAnsi="Book Antiqua"/>
          <w:bCs/>
          <w:lang w:val="en-US"/>
        </w:rPr>
        <w:t>Figure</w:t>
      </w:r>
      <w:r w:rsidR="00C220FF" w:rsidRPr="00924A19">
        <w:rPr>
          <w:rFonts w:ascii="Book Antiqua" w:hAnsi="Book Antiqua"/>
          <w:bCs/>
          <w:lang w:val="en-US"/>
        </w:rPr>
        <w:t>3A</w:t>
      </w:r>
      <w:r w:rsidR="00BF11D2" w:rsidRPr="00924A19">
        <w:rPr>
          <w:rFonts w:ascii="Book Antiqua" w:hAnsi="Book Antiqua"/>
          <w:bCs/>
          <w:lang w:val="en-US"/>
        </w:rPr>
        <w:t>).</w:t>
      </w:r>
      <w:r w:rsidR="00D047A2" w:rsidRPr="00924A19">
        <w:rPr>
          <w:rFonts w:ascii="Book Antiqua" w:hAnsi="Book Antiqua"/>
          <w:lang w:val="en-US"/>
        </w:rPr>
        <w:t xml:space="preserve"> No adult HCV prevalence and/or viraemic data </w:t>
      </w:r>
      <w:r w:rsidR="00FB2E07" w:rsidRPr="00924A19">
        <w:rPr>
          <w:rFonts w:ascii="Book Antiqua" w:hAnsi="Book Antiqua"/>
          <w:lang w:val="en-US"/>
        </w:rPr>
        <w:t xml:space="preserve">are </w:t>
      </w:r>
      <w:r w:rsidR="00D047A2" w:rsidRPr="00924A19">
        <w:rPr>
          <w:rFonts w:ascii="Book Antiqua" w:hAnsi="Book Antiqua"/>
          <w:lang w:val="en-US"/>
        </w:rPr>
        <w:t xml:space="preserve">available from </w:t>
      </w:r>
      <w:r w:rsidR="00A46ED8" w:rsidRPr="00924A19">
        <w:rPr>
          <w:rFonts w:ascii="Book Antiqua" w:hAnsi="Book Antiqua"/>
          <w:lang w:val="en-US"/>
        </w:rPr>
        <w:t>Colombia, C</w:t>
      </w:r>
      <w:r w:rsidR="00956F61" w:rsidRPr="00924A19">
        <w:rPr>
          <w:rFonts w:ascii="Book Antiqua" w:hAnsi="Book Antiqua"/>
          <w:lang w:val="en-US"/>
        </w:rPr>
        <w:t>uba, Chile and Dominic Republic</w:t>
      </w:r>
      <w:r w:rsidR="00A46ED8" w:rsidRPr="00924A19">
        <w:rPr>
          <w:rFonts w:ascii="Book Antiqua" w:hAnsi="Book Antiqua"/>
          <w:lang w:val="en-US"/>
        </w:rPr>
        <w:t>.</w:t>
      </w:r>
    </w:p>
    <w:p w:rsidR="00BF11D2" w:rsidRPr="00924A19" w:rsidRDefault="009C6868" w:rsidP="0026366E">
      <w:pPr>
        <w:autoSpaceDE w:val="0"/>
        <w:autoSpaceDN w:val="0"/>
        <w:adjustRightInd w:val="0"/>
        <w:snapToGrid w:val="0"/>
        <w:spacing w:line="360" w:lineRule="auto"/>
        <w:ind w:firstLineChars="100" w:firstLine="240"/>
        <w:jc w:val="both"/>
        <w:rPr>
          <w:rFonts w:ascii="Book Antiqua" w:hAnsi="Book Antiqua"/>
          <w:lang w:val="en-US"/>
        </w:rPr>
      </w:pPr>
      <w:r w:rsidRPr="00924A19">
        <w:rPr>
          <w:rFonts w:ascii="Book Antiqua" w:hAnsi="Book Antiqua"/>
          <w:lang w:val="en-US"/>
        </w:rPr>
        <w:lastRenderedPageBreak/>
        <w:t xml:space="preserve">The predominant </w:t>
      </w:r>
      <w:r w:rsidR="00D551AC" w:rsidRPr="00924A19">
        <w:rPr>
          <w:rFonts w:ascii="Book Antiqua" w:hAnsi="Book Antiqua"/>
          <w:lang w:val="en-US"/>
        </w:rPr>
        <w:t>genotype is G</w:t>
      </w:r>
      <w:r w:rsidRPr="00924A19">
        <w:rPr>
          <w:rFonts w:ascii="Book Antiqua" w:hAnsi="Book Antiqua"/>
          <w:lang w:val="en-US"/>
        </w:rPr>
        <w:t>1 (74.</w:t>
      </w:r>
      <w:r w:rsidR="000526CD" w:rsidRPr="00924A19">
        <w:rPr>
          <w:rFonts w:ascii="Book Antiqua" w:hAnsi="Book Antiqua"/>
          <w:lang w:val="en-US"/>
        </w:rPr>
        <w:t>3</w:t>
      </w:r>
      <w:r w:rsidRPr="00924A19">
        <w:rPr>
          <w:rFonts w:ascii="Book Antiqua" w:hAnsi="Book Antiqua"/>
          <w:lang w:val="en-US"/>
        </w:rPr>
        <w:t xml:space="preserve">%), followed by </w:t>
      </w:r>
      <w:r w:rsidR="00527CF7" w:rsidRPr="00924A19">
        <w:rPr>
          <w:rFonts w:ascii="Book Antiqua" w:hAnsi="Book Antiqua"/>
          <w:lang w:val="en-US"/>
        </w:rPr>
        <w:t>G</w:t>
      </w:r>
      <w:r w:rsidR="000526CD" w:rsidRPr="00924A19">
        <w:rPr>
          <w:rFonts w:ascii="Book Antiqua" w:hAnsi="Book Antiqua"/>
          <w:lang w:val="en-US"/>
        </w:rPr>
        <w:t>3</w:t>
      </w:r>
      <w:r w:rsidRPr="00924A19">
        <w:rPr>
          <w:rFonts w:ascii="Book Antiqua" w:hAnsi="Book Antiqua"/>
          <w:lang w:val="en-US"/>
        </w:rPr>
        <w:t xml:space="preserve"> (14.</w:t>
      </w:r>
      <w:r w:rsidR="000526CD" w:rsidRPr="00924A19">
        <w:rPr>
          <w:rFonts w:ascii="Book Antiqua" w:hAnsi="Book Antiqua"/>
          <w:lang w:val="en-US"/>
        </w:rPr>
        <w:t>2</w:t>
      </w:r>
      <w:r w:rsidRPr="00924A19">
        <w:rPr>
          <w:rFonts w:ascii="Book Antiqua" w:hAnsi="Book Antiqua"/>
          <w:lang w:val="en-US"/>
        </w:rPr>
        <w:t xml:space="preserve">%), </w:t>
      </w:r>
      <w:r w:rsidR="00527CF7" w:rsidRPr="00924A19">
        <w:rPr>
          <w:rFonts w:ascii="Book Antiqua" w:hAnsi="Book Antiqua"/>
          <w:lang w:val="en-US"/>
        </w:rPr>
        <w:t>G</w:t>
      </w:r>
      <w:r w:rsidR="000526CD" w:rsidRPr="00924A19">
        <w:rPr>
          <w:rFonts w:ascii="Book Antiqua" w:hAnsi="Book Antiqua"/>
          <w:lang w:val="en-US"/>
        </w:rPr>
        <w:t>2</w:t>
      </w:r>
      <w:r w:rsidRPr="00924A19">
        <w:rPr>
          <w:rFonts w:ascii="Book Antiqua" w:hAnsi="Book Antiqua"/>
          <w:lang w:val="en-US"/>
        </w:rPr>
        <w:t xml:space="preserve"> (</w:t>
      </w:r>
      <w:r w:rsidR="000526CD" w:rsidRPr="00924A19">
        <w:rPr>
          <w:rFonts w:ascii="Book Antiqua" w:hAnsi="Book Antiqua"/>
          <w:lang w:val="en-US"/>
        </w:rPr>
        <w:t>10.4</w:t>
      </w:r>
      <w:r w:rsidRPr="00924A19">
        <w:rPr>
          <w:rFonts w:ascii="Book Antiqua" w:hAnsi="Book Antiqua"/>
          <w:lang w:val="en-US"/>
        </w:rPr>
        <w:t xml:space="preserve">%). Only a small percentage of </w:t>
      </w:r>
      <w:r w:rsidR="00527CF7" w:rsidRPr="00924A19">
        <w:rPr>
          <w:rFonts w:ascii="Book Antiqua" w:hAnsi="Book Antiqua"/>
          <w:lang w:val="en-US"/>
        </w:rPr>
        <w:t>G</w:t>
      </w:r>
      <w:r w:rsidR="000526CD" w:rsidRPr="00924A19">
        <w:rPr>
          <w:rFonts w:ascii="Book Antiqua" w:hAnsi="Book Antiqua"/>
          <w:lang w:val="en-US"/>
        </w:rPr>
        <w:t xml:space="preserve">4, </w:t>
      </w:r>
      <w:r w:rsidR="00527CF7" w:rsidRPr="00924A19">
        <w:rPr>
          <w:rFonts w:ascii="Book Antiqua" w:hAnsi="Book Antiqua"/>
          <w:lang w:val="en-US"/>
        </w:rPr>
        <w:t>G</w:t>
      </w:r>
      <w:r w:rsidR="000526CD" w:rsidRPr="00924A19">
        <w:rPr>
          <w:rFonts w:ascii="Book Antiqua" w:hAnsi="Book Antiqua"/>
          <w:lang w:val="en-US"/>
        </w:rPr>
        <w:t xml:space="preserve">5, </w:t>
      </w:r>
      <w:r w:rsidR="00527CF7" w:rsidRPr="00924A19">
        <w:rPr>
          <w:rFonts w:ascii="Book Antiqua" w:hAnsi="Book Antiqua"/>
          <w:lang w:val="en-US"/>
        </w:rPr>
        <w:t>G</w:t>
      </w:r>
      <w:r w:rsidRPr="00924A19">
        <w:rPr>
          <w:rFonts w:ascii="Book Antiqua" w:hAnsi="Book Antiqua"/>
          <w:lang w:val="en-US"/>
        </w:rPr>
        <w:t>6</w:t>
      </w:r>
      <w:r w:rsidR="000526CD" w:rsidRPr="00924A19">
        <w:rPr>
          <w:rFonts w:ascii="Book Antiqua" w:hAnsi="Book Antiqua"/>
          <w:lang w:val="en-US"/>
        </w:rPr>
        <w:t xml:space="preserve">and mixed </w:t>
      </w:r>
      <w:r w:rsidR="00527CF7" w:rsidRPr="00924A19">
        <w:rPr>
          <w:rFonts w:ascii="Book Antiqua" w:hAnsi="Book Antiqua"/>
          <w:lang w:val="en-US"/>
        </w:rPr>
        <w:t xml:space="preserve">genotypes are </w:t>
      </w:r>
      <w:r w:rsidR="000526CD" w:rsidRPr="00924A19">
        <w:rPr>
          <w:rFonts w:ascii="Book Antiqua" w:hAnsi="Book Antiqua"/>
          <w:lang w:val="en-US"/>
        </w:rPr>
        <w:t>reported (Table 4).</w:t>
      </w:r>
      <w:r w:rsidRPr="00924A19">
        <w:rPr>
          <w:rFonts w:ascii="Book Antiqua" w:hAnsi="Book Antiqua"/>
          <w:lang w:val="en-US"/>
        </w:rPr>
        <w:t>In some of the countries studied (P</w:t>
      </w:r>
      <w:r w:rsidR="000269AB" w:rsidRPr="00924A19">
        <w:rPr>
          <w:rFonts w:ascii="Book Antiqua" w:hAnsi="Book Antiqua"/>
          <w:lang w:val="en-US"/>
        </w:rPr>
        <w:t xml:space="preserve">eru, Colombia </w:t>
      </w:r>
      <w:r w:rsidRPr="00924A19">
        <w:rPr>
          <w:rFonts w:ascii="Book Antiqua" w:hAnsi="Book Antiqua"/>
          <w:lang w:val="en-US"/>
        </w:rPr>
        <w:t xml:space="preserve">and Chile) </w:t>
      </w:r>
      <w:r w:rsidR="00527CF7" w:rsidRPr="00924A19">
        <w:rPr>
          <w:rFonts w:ascii="Book Antiqua" w:hAnsi="Book Antiqua"/>
          <w:lang w:val="en-US"/>
        </w:rPr>
        <w:t>G</w:t>
      </w:r>
      <w:r w:rsidRPr="00924A19">
        <w:rPr>
          <w:rFonts w:ascii="Book Antiqua" w:hAnsi="Book Antiqua"/>
          <w:lang w:val="en-US"/>
        </w:rPr>
        <w:t>1 is almost the only observed (86.0%, 88.5%and 80.6%, respectively), whereas in others (</w:t>
      </w:r>
      <w:r w:rsidR="000269AB" w:rsidRPr="00924A19">
        <w:rPr>
          <w:rFonts w:ascii="Book Antiqua" w:hAnsi="Book Antiqua"/>
          <w:lang w:val="en-US"/>
        </w:rPr>
        <w:t>Venezuela, Mexico and</w:t>
      </w:r>
      <w:r w:rsidRPr="00924A19">
        <w:rPr>
          <w:rFonts w:ascii="Book Antiqua" w:hAnsi="Book Antiqua"/>
          <w:lang w:val="en-US"/>
        </w:rPr>
        <w:t xml:space="preserve"> Argentina)</w:t>
      </w:r>
      <w:r w:rsidR="00184665" w:rsidRPr="00924A19">
        <w:rPr>
          <w:rFonts w:ascii="Book Antiqua" w:hAnsi="Book Antiqua" w:hint="eastAsia"/>
          <w:lang w:val="en-US"/>
        </w:rPr>
        <w:t xml:space="preserve"> </w:t>
      </w:r>
      <w:r w:rsidR="00527CF7" w:rsidRPr="00924A19">
        <w:rPr>
          <w:rFonts w:ascii="Book Antiqua" w:hAnsi="Book Antiqua"/>
          <w:lang w:val="en-US"/>
        </w:rPr>
        <w:t>G</w:t>
      </w:r>
      <w:r w:rsidR="000269AB" w:rsidRPr="00924A19">
        <w:rPr>
          <w:rFonts w:ascii="Book Antiqua" w:hAnsi="Book Antiqua"/>
          <w:lang w:val="en-US"/>
        </w:rPr>
        <w:t xml:space="preserve">2 shows a significantly percentage (34.4%, 21.8% and 24.7%). Brazil is the only one country where </w:t>
      </w:r>
      <w:r w:rsidR="00527CF7" w:rsidRPr="00924A19">
        <w:rPr>
          <w:rFonts w:ascii="Book Antiqua" w:hAnsi="Book Antiqua"/>
          <w:lang w:val="en-US"/>
        </w:rPr>
        <w:t>G</w:t>
      </w:r>
      <w:r w:rsidR="000269AB" w:rsidRPr="00924A19">
        <w:rPr>
          <w:rFonts w:ascii="Book Antiqua" w:hAnsi="Book Antiqua"/>
          <w:lang w:val="en-US"/>
        </w:rPr>
        <w:t>3 has a</w:t>
      </w:r>
      <w:r w:rsidR="00692737" w:rsidRPr="00924A19">
        <w:rPr>
          <w:rFonts w:ascii="Book Antiqua" w:hAnsi="Book Antiqua"/>
          <w:lang w:val="en-US"/>
        </w:rPr>
        <w:t xml:space="preserve"> </w:t>
      </w:r>
      <w:r w:rsidR="000269AB" w:rsidRPr="00924A19">
        <w:rPr>
          <w:rFonts w:ascii="Book Antiqua" w:hAnsi="Book Antiqua"/>
          <w:lang w:val="en-US"/>
        </w:rPr>
        <w:t>high percentage (30.2%).</w:t>
      </w:r>
      <w:r w:rsidR="00184665" w:rsidRPr="00924A19">
        <w:rPr>
          <w:rFonts w:ascii="Book Antiqua" w:hAnsi="Book Antiqua" w:hint="eastAsia"/>
          <w:lang w:val="en-US"/>
        </w:rPr>
        <w:t xml:space="preserve"> </w:t>
      </w:r>
      <w:r w:rsidR="000269AB" w:rsidRPr="00924A19">
        <w:rPr>
          <w:rFonts w:ascii="Book Antiqua" w:hAnsi="Book Antiqua"/>
          <w:lang w:val="en-US"/>
        </w:rPr>
        <w:t>No genotypes distribution data</w:t>
      </w:r>
      <w:r w:rsidR="00692737" w:rsidRPr="00924A19">
        <w:rPr>
          <w:rFonts w:ascii="Book Antiqua" w:hAnsi="Book Antiqua"/>
          <w:lang w:val="en-US"/>
        </w:rPr>
        <w:t xml:space="preserve"> </w:t>
      </w:r>
      <w:r w:rsidR="00527CF7" w:rsidRPr="00924A19">
        <w:rPr>
          <w:rFonts w:ascii="Book Antiqua" w:hAnsi="Book Antiqua"/>
          <w:lang w:val="en-US"/>
        </w:rPr>
        <w:t>are</w:t>
      </w:r>
      <w:r w:rsidR="00692737" w:rsidRPr="00924A19">
        <w:rPr>
          <w:rFonts w:ascii="Book Antiqua" w:hAnsi="Book Antiqua"/>
          <w:lang w:val="en-US"/>
        </w:rPr>
        <w:t xml:space="preserve"> </w:t>
      </w:r>
      <w:r w:rsidR="000269AB" w:rsidRPr="00924A19">
        <w:rPr>
          <w:rFonts w:ascii="Book Antiqua" w:hAnsi="Book Antiqua"/>
          <w:lang w:val="en-US"/>
        </w:rPr>
        <w:t>ava</w:t>
      </w:r>
      <w:r w:rsidR="00BF11D2" w:rsidRPr="00924A19">
        <w:rPr>
          <w:rFonts w:ascii="Book Antiqua" w:hAnsi="Book Antiqua"/>
          <w:lang w:val="en-US"/>
        </w:rPr>
        <w:t>ilable from Bolivia and Uruguay (</w:t>
      </w:r>
      <w:r w:rsidR="00BF11D2" w:rsidRPr="00924A19">
        <w:rPr>
          <w:rFonts w:ascii="Book Antiqua" w:hAnsi="Book Antiqua"/>
          <w:bCs/>
          <w:lang w:val="en-US"/>
        </w:rPr>
        <w:t xml:space="preserve">Figure </w:t>
      </w:r>
      <w:r w:rsidR="00C220FF" w:rsidRPr="00924A19">
        <w:rPr>
          <w:rFonts w:ascii="Book Antiqua" w:hAnsi="Book Antiqua"/>
          <w:bCs/>
          <w:lang w:val="en-US"/>
        </w:rPr>
        <w:t>3B</w:t>
      </w:r>
      <w:r w:rsidR="00BF11D2" w:rsidRPr="00924A19">
        <w:rPr>
          <w:rFonts w:ascii="Book Antiqua" w:hAnsi="Book Antiqua"/>
          <w:bCs/>
          <w:lang w:val="en-US"/>
        </w:rPr>
        <w:t>).</w:t>
      </w:r>
    </w:p>
    <w:p w:rsidR="006D79AB" w:rsidRPr="00924A19" w:rsidRDefault="006D79AB" w:rsidP="0026366E">
      <w:pPr>
        <w:snapToGrid w:val="0"/>
        <w:spacing w:line="360" w:lineRule="auto"/>
        <w:jc w:val="both"/>
        <w:rPr>
          <w:rFonts w:ascii="Book Antiqua" w:hAnsi="Book Antiqua"/>
          <w:b/>
          <w:lang w:val="en-US"/>
        </w:rPr>
      </w:pPr>
    </w:p>
    <w:p w:rsidR="00244810" w:rsidRPr="00924A19" w:rsidRDefault="006D79AB" w:rsidP="0026366E">
      <w:pPr>
        <w:snapToGrid w:val="0"/>
        <w:spacing w:line="360" w:lineRule="auto"/>
        <w:jc w:val="both"/>
        <w:rPr>
          <w:rFonts w:ascii="Book Antiqua" w:hAnsi="Book Antiqua"/>
          <w:b/>
          <w:i/>
          <w:lang w:val="en-GB"/>
        </w:rPr>
      </w:pPr>
      <w:r w:rsidRPr="00924A19">
        <w:rPr>
          <w:rFonts w:ascii="Book Antiqua" w:hAnsi="Book Antiqua"/>
          <w:b/>
          <w:i/>
          <w:lang w:val="en-GB"/>
        </w:rPr>
        <w:t>A</w:t>
      </w:r>
      <w:r w:rsidR="004E7EA3" w:rsidRPr="00924A19">
        <w:rPr>
          <w:rFonts w:ascii="Book Antiqua" w:hAnsi="Book Antiqua"/>
          <w:b/>
          <w:i/>
          <w:lang w:val="en-GB"/>
        </w:rPr>
        <w:t>sia</w:t>
      </w:r>
    </w:p>
    <w:p w:rsidR="00516180" w:rsidRDefault="00173DBA" w:rsidP="0026366E">
      <w:pPr>
        <w:snapToGrid w:val="0"/>
        <w:spacing w:line="360" w:lineRule="auto"/>
        <w:jc w:val="both"/>
        <w:rPr>
          <w:rFonts w:ascii="Book Antiqua" w:eastAsiaTheme="minorEastAsia" w:hAnsi="Book Antiqua" w:cs="AdvGulliv-R"/>
          <w:color w:val="000000"/>
          <w:lang w:val="en-US"/>
        </w:rPr>
      </w:pPr>
      <w:r w:rsidRPr="00924A19">
        <w:rPr>
          <w:rFonts w:ascii="Book Antiqua" w:eastAsia="Times New Roman" w:hAnsi="Book Antiqua" w:cs="AdvGulliv-R"/>
          <w:color w:val="000000"/>
          <w:lang w:val="en-US" w:eastAsia="it-IT"/>
        </w:rPr>
        <w:t>GBD subdivides Asia in five macro areas: Pacific, Central, East, South,</w:t>
      </w:r>
      <w:r w:rsidR="00184665" w:rsidRPr="00924A19">
        <w:rPr>
          <w:rFonts w:ascii="Book Antiqua" w:eastAsiaTheme="minorEastAsia" w:hAnsi="Book Antiqua" w:cs="AdvGulliv-R" w:hint="eastAsia"/>
          <w:color w:val="000000"/>
          <w:lang w:val="en-US"/>
        </w:rPr>
        <w:t xml:space="preserve"> </w:t>
      </w:r>
      <w:r w:rsidR="00516180" w:rsidRPr="00924A19">
        <w:rPr>
          <w:rFonts w:ascii="Book Antiqua" w:eastAsia="Times New Roman" w:hAnsi="Book Antiqua" w:cs="AdvGulliv-R"/>
          <w:color w:val="000000"/>
          <w:lang w:val="en-US" w:eastAsia="it-IT"/>
        </w:rPr>
        <w:t>and Southeast</w:t>
      </w:r>
      <w:r w:rsidR="00AC7322" w:rsidRPr="00924A19">
        <w:rPr>
          <w:rFonts w:ascii="Book Antiqua" w:eastAsia="Times New Roman" w:hAnsi="Book Antiqua" w:cs="AdvGulliv-R"/>
          <w:color w:val="000000"/>
          <w:lang w:val="en-US" w:eastAsia="it-IT"/>
        </w:rPr>
        <w:t>.</w:t>
      </w:r>
      <w:r w:rsidR="00516180">
        <w:rPr>
          <w:rFonts w:ascii="Book Antiqua" w:eastAsiaTheme="minorEastAsia" w:hAnsi="Book Antiqua" w:cs="AdvGulliv-R" w:hint="eastAsia"/>
          <w:color w:val="000000"/>
          <w:lang w:val="en-US"/>
        </w:rPr>
        <w:t xml:space="preserve"> </w:t>
      </w:r>
    </w:p>
    <w:p w:rsidR="00DB3E71" w:rsidRPr="00516180" w:rsidRDefault="00AC7322" w:rsidP="00516180">
      <w:pPr>
        <w:snapToGrid w:val="0"/>
        <w:spacing w:line="360" w:lineRule="auto"/>
        <w:ind w:firstLineChars="100" w:firstLine="240"/>
        <w:jc w:val="both"/>
        <w:rPr>
          <w:rFonts w:ascii="Book Antiqua" w:eastAsia="Times New Roman" w:hAnsi="Book Antiqua" w:cs="AdvGulliv-R"/>
          <w:color w:val="000000"/>
          <w:lang w:val="en-US" w:eastAsia="it-IT"/>
        </w:rPr>
      </w:pPr>
      <w:r w:rsidRPr="00924A19">
        <w:rPr>
          <w:rFonts w:ascii="Book Antiqua" w:hAnsi="Book Antiqua"/>
          <w:lang w:val="en-US"/>
        </w:rPr>
        <w:t xml:space="preserve">The estimated prevalence of HCV </w:t>
      </w:r>
      <w:r w:rsidR="00E019EE" w:rsidRPr="00924A19">
        <w:rPr>
          <w:rFonts w:ascii="Book Antiqua" w:hAnsi="Book Antiqua"/>
          <w:lang w:val="en-US"/>
        </w:rPr>
        <w:t>in</w:t>
      </w:r>
      <w:r w:rsidR="006B2458" w:rsidRPr="00924A19">
        <w:rPr>
          <w:rFonts w:ascii="Book Antiqua" w:hAnsi="Book Antiqua"/>
          <w:lang w:val="en-US"/>
        </w:rPr>
        <w:t xml:space="preserve"> the whole</w:t>
      </w:r>
      <w:r w:rsidRPr="00924A19">
        <w:rPr>
          <w:rFonts w:ascii="Book Antiqua" w:hAnsi="Book Antiqua"/>
          <w:lang w:val="en-US"/>
        </w:rPr>
        <w:t xml:space="preserve"> Asia</w:t>
      </w:r>
      <w:r w:rsidR="006B2458" w:rsidRPr="00924A19">
        <w:rPr>
          <w:rFonts w:ascii="Book Antiqua" w:hAnsi="Book Antiqua"/>
          <w:lang w:val="en-US"/>
        </w:rPr>
        <w:t>n continent</w:t>
      </w:r>
      <w:r w:rsidRPr="00924A19">
        <w:rPr>
          <w:rFonts w:ascii="Book Antiqua" w:hAnsi="Book Antiqua"/>
          <w:lang w:val="en-US"/>
        </w:rPr>
        <w:t xml:space="preserve"> is 2.8%, </w:t>
      </w:r>
      <w:r w:rsidR="00DB3E71" w:rsidRPr="00924A19">
        <w:rPr>
          <w:rFonts w:ascii="Book Antiqua" w:hAnsi="Book Antiqua"/>
          <w:lang w:val="en-US"/>
        </w:rPr>
        <w:t xml:space="preserve">accounting over 60% of the estimated cases worldwide. The HCV viraemic rate is 64.4%, with 71.9 </w:t>
      </w:r>
      <w:r w:rsidR="00516180" w:rsidRPr="00924A19">
        <w:rPr>
          <w:rFonts w:ascii="Book Antiqua" w:hAnsi="Book Antiqua"/>
          <w:lang w:val="en-US"/>
        </w:rPr>
        <w:t>million</w:t>
      </w:r>
      <w:r w:rsidR="00DB3E71" w:rsidRPr="00924A19">
        <w:rPr>
          <w:rFonts w:ascii="Book Antiqua" w:hAnsi="Book Antiqua"/>
          <w:lang w:val="en-US"/>
        </w:rPr>
        <w:t xml:space="preserve"> of active HCV replication cases (Table 1).</w:t>
      </w:r>
    </w:p>
    <w:p w:rsidR="00730ED3" w:rsidRPr="00924A19" w:rsidRDefault="00730ED3"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The predominant genotype is the 1 (</w:t>
      </w:r>
      <w:r w:rsidR="00800BFC" w:rsidRPr="00924A19">
        <w:rPr>
          <w:rFonts w:ascii="Book Antiqua" w:hAnsi="Book Antiqua"/>
          <w:lang w:val="en-US"/>
        </w:rPr>
        <w:t>46.6</w:t>
      </w:r>
      <w:r w:rsidRPr="00924A19">
        <w:rPr>
          <w:rFonts w:ascii="Book Antiqua" w:hAnsi="Book Antiqua"/>
          <w:lang w:val="en-US"/>
        </w:rPr>
        <w:t xml:space="preserve">%), followed by </w:t>
      </w:r>
      <w:r w:rsidR="00527CF7" w:rsidRPr="00924A19">
        <w:rPr>
          <w:rFonts w:ascii="Book Antiqua" w:hAnsi="Book Antiqua"/>
          <w:lang w:val="en-US"/>
        </w:rPr>
        <w:t>G</w:t>
      </w:r>
      <w:r w:rsidR="00800BFC" w:rsidRPr="00924A19">
        <w:rPr>
          <w:rFonts w:ascii="Book Antiqua" w:hAnsi="Book Antiqua"/>
          <w:lang w:val="en-US"/>
        </w:rPr>
        <w:t>3</w:t>
      </w:r>
      <w:r w:rsidRPr="00924A19">
        <w:rPr>
          <w:rFonts w:ascii="Book Antiqua" w:hAnsi="Book Antiqua"/>
          <w:lang w:val="en-US"/>
        </w:rPr>
        <w:t xml:space="preserve"> (</w:t>
      </w:r>
      <w:r w:rsidR="00800BFC" w:rsidRPr="00924A19">
        <w:rPr>
          <w:rFonts w:ascii="Book Antiqua" w:hAnsi="Book Antiqua"/>
          <w:lang w:val="en-US"/>
        </w:rPr>
        <w:t>22.4</w:t>
      </w:r>
      <w:r w:rsidRPr="00924A19">
        <w:rPr>
          <w:rFonts w:ascii="Book Antiqua" w:hAnsi="Book Antiqua"/>
          <w:lang w:val="en-US"/>
        </w:rPr>
        <w:t xml:space="preserve">%), </w:t>
      </w:r>
      <w:r w:rsidR="00527CF7" w:rsidRPr="00924A19">
        <w:rPr>
          <w:rFonts w:ascii="Book Antiqua" w:hAnsi="Book Antiqua"/>
          <w:lang w:val="en-US"/>
        </w:rPr>
        <w:t>G</w:t>
      </w:r>
      <w:r w:rsidR="00800BFC" w:rsidRPr="00924A19">
        <w:rPr>
          <w:rFonts w:ascii="Book Antiqua" w:hAnsi="Book Antiqua"/>
          <w:lang w:val="en-US"/>
        </w:rPr>
        <w:t xml:space="preserve">2 </w:t>
      </w:r>
      <w:r w:rsidRPr="00924A19">
        <w:rPr>
          <w:rFonts w:ascii="Book Antiqua" w:hAnsi="Book Antiqua"/>
          <w:lang w:val="en-US"/>
        </w:rPr>
        <w:t>(</w:t>
      </w:r>
      <w:r w:rsidR="00800BFC" w:rsidRPr="00924A19">
        <w:rPr>
          <w:rFonts w:ascii="Book Antiqua" w:hAnsi="Book Antiqua"/>
          <w:lang w:val="en-US"/>
        </w:rPr>
        <w:t>18.6</w:t>
      </w:r>
      <w:r w:rsidRPr="00924A19">
        <w:rPr>
          <w:rFonts w:ascii="Book Antiqua" w:hAnsi="Book Antiqua"/>
          <w:lang w:val="en-US"/>
        </w:rPr>
        <w:t>%)</w:t>
      </w:r>
      <w:r w:rsidR="00800BFC" w:rsidRPr="00924A19">
        <w:rPr>
          <w:rFonts w:ascii="Book Antiqua" w:hAnsi="Book Antiqua"/>
          <w:lang w:val="en-US"/>
        </w:rPr>
        <w:t xml:space="preserve"> and </w:t>
      </w:r>
      <w:r w:rsidR="00527CF7" w:rsidRPr="00924A19">
        <w:rPr>
          <w:rFonts w:ascii="Book Antiqua" w:hAnsi="Book Antiqua"/>
          <w:lang w:val="en-US"/>
        </w:rPr>
        <w:t>G</w:t>
      </w:r>
      <w:r w:rsidR="00800BFC" w:rsidRPr="00924A19">
        <w:rPr>
          <w:rFonts w:ascii="Book Antiqua" w:hAnsi="Book Antiqua"/>
          <w:lang w:val="en-US"/>
        </w:rPr>
        <w:t>6 (7.0%)</w:t>
      </w:r>
      <w:r w:rsidRPr="00924A19">
        <w:rPr>
          <w:rFonts w:ascii="Book Antiqua" w:hAnsi="Book Antiqua"/>
          <w:lang w:val="en-US"/>
        </w:rPr>
        <w:t>. Only small percentage</w:t>
      </w:r>
      <w:r w:rsidR="00800BFC" w:rsidRPr="00924A19">
        <w:rPr>
          <w:rFonts w:ascii="Book Antiqua" w:hAnsi="Book Antiqua"/>
          <w:lang w:val="en-US"/>
        </w:rPr>
        <w:t>s</w:t>
      </w:r>
      <w:r w:rsidRPr="00924A19">
        <w:rPr>
          <w:rFonts w:ascii="Book Antiqua" w:hAnsi="Book Antiqua"/>
          <w:lang w:val="en-US"/>
        </w:rPr>
        <w:t xml:space="preserve"> of </w:t>
      </w:r>
      <w:r w:rsidR="00527CF7" w:rsidRPr="00924A19">
        <w:rPr>
          <w:rFonts w:ascii="Book Antiqua" w:hAnsi="Book Antiqua"/>
          <w:lang w:val="en-US"/>
        </w:rPr>
        <w:t>G</w:t>
      </w:r>
      <w:r w:rsidRPr="00924A19">
        <w:rPr>
          <w:rFonts w:ascii="Book Antiqua" w:hAnsi="Book Antiqua"/>
          <w:lang w:val="en-US"/>
        </w:rPr>
        <w:t>4</w:t>
      </w:r>
      <w:r w:rsidR="00800BFC" w:rsidRPr="00924A19">
        <w:rPr>
          <w:rFonts w:ascii="Book Antiqua" w:hAnsi="Book Antiqua"/>
          <w:lang w:val="en-US"/>
        </w:rPr>
        <w:t xml:space="preserve">, </w:t>
      </w:r>
      <w:r w:rsidR="00527CF7" w:rsidRPr="00924A19">
        <w:rPr>
          <w:rFonts w:ascii="Book Antiqua" w:hAnsi="Book Antiqua"/>
          <w:lang w:val="en-US"/>
        </w:rPr>
        <w:t>G</w:t>
      </w:r>
      <w:r w:rsidR="00800BFC" w:rsidRPr="00924A19">
        <w:rPr>
          <w:rFonts w:ascii="Book Antiqua" w:hAnsi="Book Antiqua"/>
          <w:lang w:val="en-US"/>
        </w:rPr>
        <w:t>5</w:t>
      </w:r>
      <w:r w:rsidR="00184665" w:rsidRPr="00924A19">
        <w:rPr>
          <w:rFonts w:ascii="Book Antiqua" w:hAnsi="Book Antiqua" w:hint="eastAsia"/>
          <w:lang w:val="en-US"/>
        </w:rPr>
        <w:t xml:space="preserve"> </w:t>
      </w:r>
      <w:r w:rsidR="00800BFC" w:rsidRPr="00924A19">
        <w:rPr>
          <w:rFonts w:ascii="Book Antiqua" w:hAnsi="Book Antiqua"/>
          <w:lang w:val="en-US"/>
        </w:rPr>
        <w:t xml:space="preserve">and </w:t>
      </w:r>
      <w:r w:rsidR="00526591" w:rsidRPr="00924A19">
        <w:rPr>
          <w:rFonts w:ascii="Book Antiqua" w:hAnsi="Book Antiqua"/>
          <w:lang w:val="en-US"/>
        </w:rPr>
        <w:t xml:space="preserve">mixed or </w:t>
      </w:r>
      <w:r w:rsidR="00800BFC" w:rsidRPr="00924A19">
        <w:rPr>
          <w:rFonts w:ascii="Book Antiqua" w:hAnsi="Book Antiqua"/>
          <w:lang w:val="en-US"/>
        </w:rPr>
        <w:t xml:space="preserve">not further classified </w:t>
      </w:r>
      <w:r w:rsidR="00527CF7" w:rsidRPr="00924A19">
        <w:rPr>
          <w:rFonts w:ascii="Book Antiqua" w:hAnsi="Book Antiqua"/>
          <w:lang w:val="en-US"/>
        </w:rPr>
        <w:t>genotypes are</w:t>
      </w:r>
      <w:r w:rsidRPr="00924A19">
        <w:rPr>
          <w:rFonts w:ascii="Book Antiqua" w:hAnsi="Book Antiqua"/>
          <w:lang w:val="en-US"/>
        </w:rPr>
        <w:t xml:space="preserve"> reported</w:t>
      </w:r>
      <w:r w:rsidR="00A96CB8" w:rsidRPr="00924A19">
        <w:rPr>
          <w:rFonts w:ascii="Book Antiqua" w:hAnsi="Book Antiqua"/>
          <w:lang w:val="en-US"/>
        </w:rPr>
        <w:t xml:space="preserve"> (Table 3).</w:t>
      </w:r>
    </w:p>
    <w:p w:rsidR="00375489" w:rsidRPr="00924A19" w:rsidRDefault="00800BFC"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Genotype distribution shows high variability among the five macro-areas studied, ranging between 70.</w:t>
      </w:r>
      <w:r w:rsidR="00A96CB8" w:rsidRPr="00924A19">
        <w:rPr>
          <w:rFonts w:ascii="Book Antiqua" w:hAnsi="Book Antiqua"/>
          <w:lang w:val="en-US"/>
        </w:rPr>
        <w:t>4</w:t>
      </w:r>
      <w:r w:rsidRPr="00924A19">
        <w:rPr>
          <w:rFonts w:ascii="Book Antiqua" w:hAnsi="Book Antiqua"/>
          <w:lang w:val="en-US"/>
        </w:rPr>
        <w:t xml:space="preserve">%% (Central Asia) and </w:t>
      </w:r>
      <w:r w:rsidR="00526591" w:rsidRPr="00924A19">
        <w:rPr>
          <w:rFonts w:ascii="Book Antiqua" w:hAnsi="Book Antiqua"/>
          <w:lang w:val="en-US"/>
        </w:rPr>
        <w:t xml:space="preserve">15.5% </w:t>
      </w:r>
      <w:r w:rsidRPr="00924A19">
        <w:rPr>
          <w:rFonts w:ascii="Book Antiqua" w:hAnsi="Book Antiqua"/>
          <w:lang w:val="en-US"/>
        </w:rPr>
        <w:t>(</w:t>
      </w:r>
      <w:r w:rsidR="00526591" w:rsidRPr="00924A19">
        <w:rPr>
          <w:rFonts w:ascii="Book Antiqua" w:hAnsi="Book Antiqua"/>
          <w:lang w:val="en-US"/>
        </w:rPr>
        <w:t>Southeast Asia</w:t>
      </w:r>
      <w:r w:rsidRPr="00924A19">
        <w:rPr>
          <w:rFonts w:ascii="Book Antiqua" w:hAnsi="Book Antiqua"/>
          <w:lang w:val="en-US"/>
        </w:rPr>
        <w:t xml:space="preserve">) for </w:t>
      </w:r>
      <w:r w:rsidR="00527CF7" w:rsidRPr="00924A19">
        <w:rPr>
          <w:rFonts w:ascii="Book Antiqua" w:hAnsi="Book Antiqua"/>
          <w:lang w:val="en-US"/>
        </w:rPr>
        <w:t>G</w:t>
      </w:r>
      <w:r w:rsidRPr="00924A19">
        <w:rPr>
          <w:rFonts w:ascii="Book Antiqua" w:hAnsi="Book Antiqua"/>
          <w:lang w:val="en-US"/>
        </w:rPr>
        <w:t xml:space="preserve">1, </w:t>
      </w:r>
      <w:r w:rsidR="00526591" w:rsidRPr="00924A19">
        <w:rPr>
          <w:rFonts w:ascii="Book Antiqua" w:hAnsi="Book Antiqua"/>
          <w:lang w:val="en-US"/>
        </w:rPr>
        <w:t>39.7</w:t>
      </w:r>
      <w:r w:rsidRPr="00924A19">
        <w:rPr>
          <w:rFonts w:ascii="Book Antiqua" w:hAnsi="Book Antiqua"/>
          <w:lang w:val="en-US"/>
        </w:rPr>
        <w:t>% (</w:t>
      </w:r>
      <w:r w:rsidR="00526591" w:rsidRPr="00924A19">
        <w:rPr>
          <w:rFonts w:ascii="Book Antiqua" w:hAnsi="Book Antiqua"/>
          <w:lang w:val="en-US"/>
        </w:rPr>
        <w:t>Pacific area</w:t>
      </w:r>
      <w:r w:rsidRPr="00924A19">
        <w:rPr>
          <w:rFonts w:ascii="Book Antiqua" w:hAnsi="Book Antiqua"/>
          <w:lang w:val="en-US"/>
        </w:rPr>
        <w:t xml:space="preserve">) and </w:t>
      </w:r>
      <w:r w:rsidR="00526591" w:rsidRPr="00924A19">
        <w:rPr>
          <w:rFonts w:ascii="Book Antiqua" w:hAnsi="Book Antiqua"/>
          <w:lang w:val="en-US"/>
        </w:rPr>
        <w:t>1.9</w:t>
      </w:r>
      <w:r w:rsidRPr="00924A19">
        <w:rPr>
          <w:rFonts w:ascii="Book Antiqua" w:hAnsi="Book Antiqua"/>
          <w:lang w:val="en-US"/>
        </w:rPr>
        <w:t>% (</w:t>
      </w:r>
      <w:r w:rsidR="00526591" w:rsidRPr="00924A19">
        <w:rPr>
          <w:rFonts w:ascii="Book Antiqua" w:hAnsi="Book Antiqua"/>
          <w:lang w:val="en-US"/>
        </w:rPr>
        <w:t>Southeast Asia</w:t>
      </w:r>
      <w:r w:rsidRPr="00924A19">
        <w:rPr>
          <w:rFonts w:ascii="Book Antiqua" w:hAnsi="Book Antiqua"/>
          <w:lang w:val="en-US"/>
        </w:rPr>
        <w:t xml:space="preserve">) for </w:t>
      </w:r>
      <w:r w:rsidR="00527CF7" w:rsidRPr="00924A19">
        <w:rPr>
          <w:rFonts w:ascii="Book Antiqua" w:hAnsi="Book Antiqua"/>
          <w:lang w:val="en-US"/>
        </w:rPr>
        <w:t>G</w:t>
      </w:r>
      <w:r w:rsidRPr="00924A19">
        <w:rPr>
          <w:rFonts w:ascii="Book Antiqua" w:hAnsi="Book Antiqua"/>
          <w:lang w:val="en-US"/>
        </w:rPr>
        <w:t xml:space="preserve">2, </w:t>
      </w:r>
      <w:r w:rsidR="00526591" w:rsidRPr="00924A19">
        <w:rPr>
          <w:rFonts w:ascii="Book Antiqua" w:hAnsi="Book Antiqua"/>
          <w:lang w:val="en-US"/>
        </w:rPr>
        <w:t>66.7</w:t>
      </w:r>
      <w:r w:rsidRPr="00924A19">
        <w:rPr>
          <w:rFonts w:ascii="Book Antiqua" w:hAnsi="Book Antiqua"/>
          <w:lang w:val="en-US"/>
        </w:rPr>
        <w:t>% (</w:t>
      </w:r>
      <w:r w:rsidR="00526591" w:rsidRPr="00924A19">
        <w:rPr>
          <w:rFonts w:ascii="Book Antiqua" w:hAnsi="Book Antiqua"/>
          <w:lang w:val="en-US"/>
        </w:rPr>
        <w:t>Southeast Asia</w:t>
      </w:r>
      <w:r w:rsidRPr="00924A19">
        <w:rPr>
          <w:rFonts w:ascii="Book Antiqua" w:hAnsi="Book Antiqua"/>
          <w:lang w:val="en-US"/>
        </w:rPr>
        <w:t xml:space="preserve">) and </w:t>
      </w:r>
      <w:r w:rsidR="00526591" w:rsidRPr="00924A19">
        <w:rPr>
          <w:rFonts w:ascii="Book Antiqua" w:hAnsi="Book Antiqua"/>
          <w:lang w:val="en-US"/>
        </w:rPr>
        <w:t>0.4</w:t>
      </w:r>
      <w:r w:rsidRPr="00924A19">
        <w:rPr>
          <w:rFonts w:ascii="Book Antiqua" w:hAnsi="Book Antiqua"/>
          <w:lang w:val="en-US"/>
        </w:rPr>
        <w:t>% (</w:t>
      </w:r>
      <w:r w:rsidR="00526591" w:rsidRPr="00924A19">
        <w:rPr>
          <w:rFonts w:ascii="Book Antiqua" w:hAnsi="Book Antiqua"/>
          <w:lang w:val="en-US"/>
        </w:rPr>
        <w:t>Pacific Asia</w:t>
      </w:r>
      <w:r w:rsidRPr="00924A19">
        <w:rPr>
          <w:rFonts w:ascii="Book Antiqua" w:hAnsi="Book Antiqua"/>
          <w:lang w:val="en-US"/>
        </w:rPr>
        <w:t xml:space="preserve">) for </w:t>
      </w:r>
      <w:r w:rsidR="00527CF7" w:rsidRPr="00924A19">
        <w:rPr>
          <w:rFonts w:ascii="Book Antiqua" w:hAnsi="Book Antiqua"/>
          <w:lang w:val="en-US"/>
        </w:rPr>
        <w:t>G</w:t>
      </w:r>
      <w:r w:rsidRPr="00924A19">
        <w:rPr>
          <w:rFonts w:ascii="Book Antiqua" w:hAnsi="Book Antiqua"/>
          <w:lang w:val="en-US"/>
        </w:rPr>
        <w:t>3</w:t>
      </w:r>
      <w:r w:rsidR="00F0032C" w:rsidRPr="00924A19">
        <w:rPr>
          <w:rFonts w:ascii="Book Antiqua" w:hAnsi="Book Antiqua"/>
          <w:lang w:val="en-US"/>
        </w:rPr>
        <w:t xml:space="preserve">, 30.8% (Southeast Asia) and 0.5% (Pacific and South Asia) for </w:t>
      </w:r>
      <w:r w:rsidR="00527CF7" w:rsidRPr="00924A19">
        <w:rPr>
          <w:rFonts w:ascii="Book Antiqua" w:hAnsi="Book Antiqua"/>
          <w:lang w:val="en-US"/>
        </w:rPr>
        <w:t>G</w:t>
      </w:r>
      <w:r w:rsidR="00F0032C" w:rsidRPr="00924A19">
        <w:rPr>
          <w:rFonts w:ascii="Book Antiqua" w:hAnsi="Book Antiqua"/>
          <w:lang w:val="en-US"/>
        </w:rPr>
        <w:t xml:space="preserve">6 and 3.7% (Southeast Asia) and 0.1% (Pacific and East Asia) for </w:t>
      </w:r>
      <w:r w:rsidR="00527CF7" w:rsidRPr="00924A19">
        <w:rPr>
          <w:rFonts w:ascii="Book Antiqua" w:hAnsi="Book Antiqua"/>
          <w:lang w:val="en-US"/>
        </w:rPr>
        <w:t>G</w:t>
      </w:r>
      <w:r w:rsidR="00F0032C" w:rsidRPr="00924A19">
        <w:rPr>
          <w:rFonts w:ascii="Book Antiqua" w:hAnsi="Book Antiqua"/>
          <w:lang w:val="en-US"/>
        </w:rPr>
        <w:t xml:space="preserve">4.Only few cases of </w:t>
      </w:r>
      <w:r w:rsidR="00527CF7" w:rsidRPr="00924A19">
        <w:rPr>
          <w:rFonts w:ascii="Book Antiqua" w:hAnsi="Book Antiqua"/>
          <w:lang w:val="en-US"/>
        </w:rPr>
        <w:t>G</w:t>
      </w:r>
      <w:r w:rsidR="00F0032C" w:rsidRPr="00924A19">
        <w:rPr>
          <w:rFonts w:ascii="Book Antiqua" w:hAnsi="Book Antiqua"/>
          <w:lang w:val="en-US"/>
        </w:rPr>
        <w:t xml:space="preserve">5 </w:t>
      </w:r>
      <w:r w:rsidR="00527CF7" w:rsidRPr="00924A19">
        <w:rPr>
          <w:rFonts w:ascii="Book Antiqua" w:hAnsi="Book Antiqua"/>
          <w:lang w:val="en-US"/>
        </w:rPr>
        <w:t>are</w:t>
      </w:r>
      <w:r w:rsidR="00F0032C" w:rsidRPr="00924A19">
        <w:rPr>
          <w:rFonts w:ascii="Book Antiqua" w:hAnsi="Book Antiqua"/>
          <w:lang w:val="en-US"/>
        </w:rPr>
        <w:t xml:space="preserve"> reported and all from South and Southeast areas</w:t>
      </w:r>
      <w:r w:rsidRPr="00924A19">
        <w:rPr>
          <w:rFonts w:ascii="Book Antiqua" w:hAnsi="Book Antiqua"/>
          <w:lang w:val="en-US"/>
        </w:rPr>
        <w:t>(Table 2).</w:t>
      </w:r>
    </w:p>
    <w:p w:rsidR="00375489" w:rsidRPr="00924A19" w:rsidRDefault="00375489" w:rsidP="0026366E">
      <w:pPr>
        <w:snapToGrid w:val="0"/>
        <w:spacing w:line="360" w:lineRule="auto"/>
        <w:jc w:val="both"/>
        <w:rPr>
          <w:rFonts w:ascii="Book Antiqua" w:hAnsi="Book Antiqua"/>
          <w:b/>
          <w:lang w:val="en-US"/>
        </w:rPr>
      </w:pPr>
    </w:p>
    <w:p w:rsidR="00C52461" w:rsidRPr="00924A19" w:rsidRDefault="00AC7322"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lastRenderedPageBreak/>
        <w:t>Asia Pacific</w:t>
      </w:r>
      <w:r w:rsidR="006D64FC" w:rsidRPr="00924A19">
        <w:rPr>
          <w:rFonts w:ascii="Book Antiqua" w:eastAsia="Times New Roman" w:hAnsi="Book Antiqua" w:cs="AdvGulliv-R"/>
          <w:b/>
          <w:color w:val="000000"/>
          <w:lang w:val="en-US" w:eastAsia="it-IT"/>
        </w:rPr>
        <w:t>, High Income</w:t>
      </w:r>
      <w:r w:rsidR="004E7EA3" w:rsidRPr="00924A19">
        <w:rPr>
          <w:rFonts w:ascii="Book Antiqua" w:eastAsia="Times New Roman" w:hAnsi="Book Antiqua" w:cs="AdvGulliv-R"/>
          <w:b/>
          <w:color w:val="000000"/>
          <w:lang w:val="en-US" w:eastAsia="it-IT"/>
        </w:rPr>
        <w:t xml:space="preserve">: </w:t>
      </w:r>
      <w:r w:rsidR="00E019EE" w:rsidRPr="00924A19">
        <w:rPr>
          <w:rFonts w:ascii="Book Antiqua" w:eastAsia="Times New Roman" w:hAnsi="Book Antiqua" w:cs="AdvMinionNormal_Rm"/>
          <w:lang w:val="en-US" w:eastAsia="it-IT"/>
        </w:rPr>
        <w:t xml:space="preserve">Data coming from this zone are available only from </w:t>
      </w:r>
      <w:r w:rsidRPr="00924A19">
        <w:rPr>
          <w:rFonts w:ascii="Book Antiqua" w:eastAsia="Times New Roman" w:hAnsi="Book Antiqua" w:cs="AdvMinionNormal_Rm"/>
          <w:lang w:val="en-US" w:eastAsia="it-IT"/>
        </w:rPr>
        <w:t xml:space="preserve">Japan and </w:t>
      </w:r>
      <w:r w:rsidR="00184665" w:rsidRPr="00924A19">
        <w:rPr>
          <w:rFonts w:ascii="Book Antiqua" w:eastAsiaTheme="minorEastAsia" w:hAnsi="Book Antiqua" w:cs="AdvMinionNormal_Rm" w:hint="eastAsia"/>
          <w:lang w:val="en-US"/>
        </w:rPr>
        <w:t xml:space="preserve">South </w:t>
      </w:r>
      <w:r w:rsidRPr="00924A19">
        <w:rPr>
          <w:rFonts w:ascii="Book Antiqua" w:eastAsia="Times New Roman" w:hAnsi="Book Antiqua" w:cs="AdvMinionNormal_Rm"/>
          <w:lang w:val="en-US" w:eastAsia="it-IT"/>
        </w:rPr>
        <w:t>Korea</w:t>
      </w:r>
      <w:r w:rsidR="00E019EE" w:rsidRPr="00924A19">
        <w:rPr>
          <w:rFonts w:ascii="Book Antiqua" w:eastAsia="Times New Roman" w:hAnsi="Book Antiqua" w:cs="AdvMinionNormal_Rm"/>
          <w:lang w:val="en-US" w:eastAsia="it-IT"/>
        </w:rPr>
        <w:t xml:space="preserve"> and show </w:t>
      </w:r>
      <w:r w:rsidR="00E019EE" w:rsidRPr="00924A19">
        <w:rPr>
          <w:rFonts w:ascii="Book Antiqua" w:hAnsi="Book Antiqua"/>
          <w:lang w:val="en-US"/>
        </w:rPr>
        <w:t>a</w:t>
      </w:r>
      <w:r w:rsidR="006B2458" w:rsidRPr="00924A19">
        <w:rPr>
          <w:rFonts w:ascii="Book Antiqua" w:hAnsi="Book Antiqua"/>
          <w:lang w:val="en-US"/>
        </w:rPr>
        <w:t xml:space="preserve"> prevalence of HCV </w:t>
      </w:r>
      <w:r w:rsidR="00E019EE" w:rsidRPr="00924A19">
        <w:rPr>
          <w:rFonts w:ascii="Book Antiqua" w:hAnsi="Book Antiqua"/>
          <w:lang w:val="en-US"/>
        </w:rPr>
        <w:t>of</w:t>
      </w:r>
      <w:r w:rsidR="006B2458" w:rsidRPr="00924A19">
        <w:rPr>
          <w:rFonts w:ascii="Book Antiqua" w:hAnsi="Book Antiqua"/>
          <w:lang w:val="en-US"/>
        </w:rPr>
        <w:t xml:space="preserve"> 1.1%, ranging between 1.5% in Japan and </w:t>
      </w:r>
      <w:r w:rsidR="00C52461" w:rsidRPr="00924A19">
        <w:rPr>
          <w:rFonts w:ascii="Book Antiqua" w:hAnsi="Book Antiqua"/>
          <w:lang w:val="en-US"/>
        </w:rPr>
        <w:t>0.8% in the Republic of Korea</w:t>
      </w:r>
      <w:r w:rsidR="003A4D27" w:rsidRPr="00924A19">
        <w:rPr>
          <w:rFonts w:ascii="Book Antiqua" w:hAnsi="Book Antiqua"/>
          <w:lang w:val="en-US"/>
        </w:rPr>
        <w:t>,</w:t>
      </w:r>
      <w:r w:rsidR="00C52461" w:rsidRPr="00924A19">
        <w:rPr>
          <w:rFonts w:ascii="Book Antiqua" w:hAnsi="Book Antiqua"/>
          <w:lang w:val="en-US"/>
        </w:rPr>
        <w:t xml:space="preserve"> with a viraemic rate estimated at 70.5% (</w:t>
      </w:r>
      <w:r w:rsidR="00BF11D2" w:rsidRPr="00924A19">
        <w:rPr>
          <w:rFonts w:ascii="Book Antiqua" w:hAnsi="Book Antiqua"/>
          <w:bCs/>
          <w:lang w:val="en-US"/>
        </w:rPr>
        <w:t xml:space="preserve">Figure </w:t>
      </w:r>
      <w:r w:rsidR="00C220FF" w:rsidRPr="00924A19">
        <w:rPr>
          <w:rFonts w:ascii="Book Antiqua" w:hAnsi="Book Antiqua"/>
          <w:bCs/>
          <w:lang w:val="en-US"/>
        </w:rPr>
        <w:t>4A</w:t>
      </w:r>
      <w:r w:rsidR="00C52461" w:rsidRPr="00924A19">
        <w:rPr>
          <w:rFonts w:ascii="Book Antiqua" w:hAnsi="Book Antiqua"/>
          <w:bCs/>
          <w:lang w:val="en-US"/>
        </w:rPr>
        <w:t>)</w:t>
      </w:r>
      <w:r w:rsidR="00C52461" w:rsidRPr="00924A19">
        <w:rPr>
          <w:rFonts w:ascii="Book Antiqua" w:hAnsi="Book Antiqua"/>
          <w:lang w:val="en-US"/>
        </w:rPr>
        <w:t>.</w:t>
      </w:r>
    </w:p>
    <w:p w:rsidR="00E56CB1" w:rsidRPr="00924A19" w:rsidRDefault="00F0032C"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w:t>
      </w:r>
      <w:r w:rsidR="003A4D27" w:rsidRPr="00924A19">
        <w:rPr>
          <w:rFonts w:ascii="Book Antiqua" w:hAnsi="Book Antiqua"/>
          <w:lang w:val="en-US"/>
        </w:rPr>
        <w:t xml:space="preserve">most common </w:t>
      </w:r>
      <w:r w:rsidRPr="00924A19">
        <w:rPr>
          <w:rFonts w:ascii="Book Antiqua" w:hAnsi="Book Antiqua"/>
          <w:lang w:val="en-US"/>
        </w:rPr>
        <w:t xml:space="preserve">genotype is </w:t>
      </w:r>
      <w:r w:rsidR="00527CF7" w:rsidRPr="00924A19">
        <w:rPr>
          <w:rFonts w:ascii="Book Antiqua" w:hAnsi="Book Antiqua"/>
          <w:lang w:val="en-US"/>
        </w:rPr>
        <w:t>G</w:t>
      </w:r>
      <w:r w:rsidRPr="00924A19">
        <w:rPr>
          <w:rFonts w:ascii="Book Antiqua" w:hAnsi="Book Antiqua"/>
          <w:lang w:val="en-US"/>
        </w:rPr>
        <w:t xml:space="preserve">1 (58.7%), followed by </w:t>
      </w:r>
      <w:r w:rsidR="00527CF7" w:rsidRPr="00924A19">
        <w:rPr>
          <w:rFonts w:ascii="Book Antiqua" w:hAnsi="Book Antiqua"/>
          <w:lang w:val="en-US"/>
        </w:rPr>
        <w:t>G</w:t>
      </w:r>
      <w:r w:rsidRPr="00924A19">
        <w:rPr>
          <w:rFonts w:ascii="Book Antiqua" w:hAnsi="Book Antiqua"/>
          <w:lang w:val="en-US"/>
        </w:rPr>
        <w:t xml:space="preserve">2 (39.7%). Only small percentages of </w:t>
      </w:r>
      <w:r w:rsidR="00527CF7" w:rsidRPr="00924A19">
        <w:rPr>
          <w:rFonts w:ascii="Book Antiqua" w:hAnsi="Book Antiqua"/>
          <w:lang w:val="en-US"/>
        </w:rPr>
        <w:t>G</w:t>
      </w:r>
      <w:r w:rsidRPr="00924A19">
        <w:rPr>
          <w:rFonts w:ascii="Book Antiqua" w:hAnsi="Book Antiqua"/>
          <w:lang w:val="en-US"/>
        </w:rPr>
        <w:t xml:space="preserve">3, </w:t>
      </w:r>
      <w:r w:rsidR="00527CF7" w:rsidRPr="00924A19">
        <w:rPr>
          <w:rFonts w:ascii="Book Antiqua" w:hAnsi="Book Antiqua"/>
          <w:lang w:val="en-US"/>
        </w:rPr>
        <w:t>G</w:t>
      </w:r>
      <w:r w:rsidRPr="00924A19">
        <w:rPr>
          <w:rFonts w:ascii="Book Antiqua" w:hAnsi="Book Antiqua"/>
          <w:lang w:val="en-US"/>
        </w:rPr>
        <w:t xml:space="preserve">4 and </w:t>
      </w:r>
      <w:r w:rsidR="00527CF7" w:rsidRPr="00924A19">
        <w:rPr>
          <w:rFonts w:ascii="Book Antiqua" w:hAnsi="Book Antiqua"/>
          <w:lang w:val="en-US"/>
        </w:rPr>
        <w:t>G</w:t>
      </w:r>
      <w:r w:rsidRPr="00924A19">
        <w:rPr>
          <w:rFonts w:ascii="Book Antiqua" w:hAnsi="Book Antiqua"/>
          <w:lang w:val="en-US"/>
        </w:rPr>
        <w:t>6 and no ca</w:t>
      </w:r>
      <w:r w:rsidR="00A96CB8" w:rsidRPr="00924A19">
        <w:rPr>
          <w:rFonts w:ascii="Book Antiqua" w:hAnsi="Book Antiqua"/>
          <w:lang w:val="en-US"/>
        </w:rPr>
        <w:t>ses of</w:t>
      </w:r>
      <w:r w:rsidR="00527CF7" w:rsidRPr="00924A19">
        <w:rPr>
          <w:rFonts w:ascii="Book Antiqua" w:hAnsi="Book Antiqua"/>
          <w:lang w:val="en-US"/>
        </w:rPr>
        <w:t xml:space="preserve"> G</w:t>
      </w:r>
      <w:r w:rsidR="00A96CB8" w:rsidRPr="00924A19">
        <w:rPr>
          <w:rFonts w:ascii="Book Antiqua" w:hAnsi="Book Antiqua"/>
          <w:lang w:val="en-US"/>
        </w:rPr>
        <w:t xml:space="preserve"> 5 </w:t>
      </w:r>
      <w:r w:rsidR="00527CF7" w:rsidRPr="00924A19">
        <w:rPr>
          <w:rFonts w:ascii="Book Antiqua" w:hAnsi="Book Antiqua"/>
          <w:lang w:val="en-US"/>
        </w:rPr>
        <w:t xml:space="preserve">are </w:t>
      </w:r>
      <w:r w:rsidR="00A96CB8" w:rsidRPr="00924A19">
        <w:rPr>
          <w:rFonts w:ascii="Book Antiqua" w:hAnsi="Book Antiqua"/>
          <w:lang w:val="en-US"/>
        </w:rPr>
        <w:t>reported (Table 4).</w:t>
      </w:r>
      <w:r w:rsidR="00184665" w:rsidRPr="00924A19">
        <w:rPr>
          <w:rFonts w:ascii="Book Antiqua" w:hAnsi="Book Antiqua" w:hint="eastAsia"/>
          <w:lang w:val="en-US"/>
        </w:rPr>
        <w:t xml:space="preserve"> </w:t>
      </w:r>
      <w:r w:rsidR="00E56CB1" w:rsidRPr="00924A19">
        <w:rPr>
          <w:rFonts w:ascii="Book Antiqua" w:hAnsi="Book Antiqua"/>
          <w:lang w:val="en-US"/>
        </w:rPr>
        <w:t xml:space="preserve">In the only two countries studied </w:t>
      </w:r>
      <w:r w:rsidR="00527CF7" w:rsidRPr="00924A19">
        <w:rPr>
          <w:rFonts w:ascii="Book Antiqua" w:hAnsi="Book Antiqua"/>
          <w:lang w:val="en-US"/>
        </w:rPr>
        <w:t>G</w:t>
      </w:r>
      <w:r w:rsidR="00E56CB1" w:rsidRPr="00924A19">
        <w:rPr>
          <w:rFonts w:ascii="Book Antiqua" w:hAnsi="Book Antiqua"/>
          <w:lang w:val="en-US"/>
        </w:rPr>
        <w:t xml:space="preserve">1 and </w:t>
      </w:r>
      <w:r w:rsidR="00527CF7" w:rsidRPr="00924A19">
        <w:rPr>
          <w:rFonts w:ascii="Book Antiqua" w:hAnsi="Book Antiqua"/>
          <w:lang w:val="en-US"/>
        </w:rPr>
        <w:t>G</w:t>
      </w:r>
      <w:r w:rsidR="00E56CB1" w:rsidRPr="00924A19">
        <w:rPr>
          <w:rFonts w:ascii="Book Antiqua" w:hAnsi="Book Antiqua"/>
          <w:lang w:val="en-US"/>
        </w:rPr>
        <w:t>2 represent over the 90% of the tot</w:t>
      </w:r>
      <w:r w:rsidR="00BF11D2" w:rsidRPr="00924A19">
        <w:rPr>
          <w:rFonts w:ascii="Book Antiqua" w:hAnsi="Book Antiqua"/>
          <w:lang w:val="en-US"/>
        </w:rPr>
        <w:t xml:space="preserve">ality of the genotypes observed (Figure </w:t>
      </w:r>
      <w:r w:rsidR="00C220FF" w:rsidRPr="00924A19">
        <w:rPr>
          <w:rFonts w:ascii="Book Antiqua" w:hAnsi="Book Antiqua"/>
          <w:lang w:val="en-US"/>
        </w:rPr>
        <w:t>4B</w:t>
      </w:r>
      <w:r w:rsidR="00BF11D2" w:rsidRPr="00924A19">
        <w:rPr>
          <w:rFonts w:ascii="Book Antiqua" w:hAnsi="Book Antiqua"/>
          <w:lang w:val="en-US"/>
        </w:rPr>
        <w:t xml:space="preserve">). </w:t>
      </w:r>
    </w:p>
    <w:p w:rsidR="00375489" w:rsidRPr="00924A19" w:rsidRDefault="00375489" w:rsidP="0026366E">
      <w:pPr>
        <w:snapToGrid w:val="0"/>
        <w:spacing w:line="360" w:lineRule="auto"/>
        <w:jc w:val="both"/>
        <w:rPr>
          <w:rFonts w:ascii="Book Antiqua" w:eastAsia="Times New Roman" w:hAnsi="Book Antiqua" w:cs="AdvGulliv-R"/>
          <w:b/>
          <w:color w:val="000000"/>
          <w:lang w:val="en-US" w:eastAsia="it-IT"/>
        </w:rPr>
      </w:pPr>
    </w:p>
    <w:p w:rsidR="00AC7322" w:rsidRPr="00924A19" w:rsidRDefault="007C1CD8"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t xml:space="preserve">Central </w:t>
      </w:r>
      <w:r w:rsidR="00AC7322" w:rsidRPr="00924A19">
        <w:rPr>
          <w:rFonts w:ascii="Book Antiqua" w:eastAsia="Times New Roman" w:hAnsi="Book Antiqua" w:cs="AdvGulliv-R"/>
          <w:b/>
          <w:color w:val="000000"/>
          <w:lang w:val="en-US" w:eastAsia="it-IT"/>
        </w:rPr>
        <w:t>Asia</w:t>
      </w:r>
      <w:r w:rsidR="004E7EA3" w:rsidRPr="00924A19">
        <w:rPr>
          <w:rFonts w:ascii="Book Antiqua" w:eastAsia="Times New Roman" w:hAnsi="Book Antiqua" w:cs="AdvGulliv-R"/>
          <w:b/>
          <w:color w:val="000000"/>
          <w:lang w:val="en-US" w:eastAsia="it-IT"/>
        </w:rPr>
        <w:t xml:space="preserve">: </w:t>
      </w:r>
      <w:r w:rsidR="00AC7322" w:rsidRPr="00924A19">
        <w:rPr>
          <w:rFonts w:ascii="Book Antiqua" w:eastAsia="Times New Roman" w:hAnsi="Book Antiqua" w:cs="AdvMinionNormal_Rm"/>
          <w:lang w:val="en-US" w:eastAsia="it-IT"/>
        </w:rPr>
        <w:t xml:space="preserve">The countries studied in this area </w:t>
      </w:r>
      <w:r w:rsidR="00527CF7" w:rsidRPr="00924A19">
        <w:rPr>
          <w:rFonts w:ascii="Book Antiqua" w:eastAsia="Times New Roman" w:hAnsi="Book Antiqua" w:cs="AdvMinionNormal_Rm"/>
          <w:lang w:val="en-US" w:eastAsia="it-IT"/>
        </w:rPr>
        <w:t>ar</w:t>
      </w:r>
      <w:r w:rsidR="00AC7322" w:rsidRPr="00924A19">
        <w:rPr>
          <w:rFonts w:ascii="Book Antiqua" w:eastAsia="Times New Roman" w:hAnsi="Book Antiqua" w:cs="AdvMinionNormal_Rm"/>
          <w:lang w:val="en-US" w:eastAsia="it-IT"/>
        </w:rPr>
        <w:t>e Armenia, Azerbaijan, Georgia, Kazakhstan, Kyrgyzstan, Mongolia, Tajikistan, Turkmenistan, Uzbekistan.</w:t>
      </w:r>
    </w:p>
    <w:p w:rsidR="004B6442" w:rsidRPr="00924A19" w:rsidRDefault="004B6442"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The prevalence of HCV in the general population is 5</w:t>
      </w:r>
      <w:r w:rsidR="004E7EA3" w:rsidRPr="00924A19">
        <w:rPr>
          <w:rFonts w:ascii="Book Antiqua" w:hAnsi="Book Antiqua"/>
          <w:lang w:val="en-US"/>
        </w:rPr>
        <w:t>.</w:t>
      </w:r>
      <w:r w:rsidRPr="00924A19">
        <w:rPr>
          <w:rFonts w:ascii="Book Antiqua" w:hAnsi="Book Antiqua"/>
          <w:lang w:val="en-US"/>
        </w:rPr>
        <w:t>8%</w:t>
      </w:r>
      <w:r w:rsidR="00A46ED8" w:rsidRPr="00924A19">
        <w:rPr>
          <w:rFonts w:ascii="Book Antiqua" w:hAnsi="Book Antiqua"/>
          <w:lang w:val="en-US"/>
        </w:rPr>
        <w:t xml:space="preserve"> (</w:t>
      </w:r>
      <w:r w:rsidR="00A46ED8" w:rsidRPr="00924A19">
        <w:rPr>
          <w:rFonts w:ascii="Book Antiqua" w:hAnsi="Book Antiqua"/>
          <w:bCs/>
          <w:lang w:val="en-US"/>
        </w:rPr>
        <w:t>Table 2)</w:t>
      </w:r>
      <w:r w:rsidRPr="00924A19">
        <w:rPr>
          <w:rFonts w:ascii="Book Antiqua" w:hAnsi="Book Antiqua"/>
          <w:lang w:val="en-US"/>
        </w:rPr>
        <w:t>, ranging between 11.3% in Uzbekistan and 2.5% in Kyrgyzstan</w:t>
      </w:r>
      <w:r w:rsidR="00184665" w:rsidRPr="00924A19">
        <w:rPr>
          <w:rFonts w:ascii="Book Antiqua" w:hAnsi="Book Antiqua" w:hint="eastAsia"/>
          <w:lang w:val="en-US"/>
        </w:rPr>
        <w:t xml:space="preserve"> </w:t>
      </w:r>
      <w:r w:rsidR="00A46ED8" w:rsidRPr="00924A19">
        <w:rPr>
          <w:rFonts w:ascii="Book Antiqua" w:hAnsi="Book Antiqua"/>
          <w:lang w:val="en-US"/>
        </w:rPr>
        <w:t xml:space="preserve">(Figure </w:t>
      </w:r>
      <w:r w:rsidR="00C220FF" w:rsidRPr="00924A19">
        <w:rPr>
          <w:rFonts w:ascii="Book Antiqua" w:hAnsi="Book Antiqua"/>
          <w:lang w:val="en-US"/>
        </w:rPr>
        <w:t>4A</w:t>
      </w:r>
      <w:r w:rsidR="00A46ED8" w:rsidRPr="00924A19">
        <w:rPr>
          <w:rFonts w:ascii="Book Antiqua" w:hAnsi="Book Antiqua"/>
          <w:lang w:val="en-US"/>
        </w:rPr>
        <w:t xml:space="preserve">), </w:t>
      </w:r>
      <w:r w:rsidR="00C52461" w:rsidRPr="00924A19">
        <w:rPr>
          <w:rFonts w:ascii="Book Antiqua" w:hAnsi="Book Antiqua"/>
          <w:lang w:val="en-US"/>
        </w:rPr>
        <w:t>with a v</w:t>
      </w:r>
      <w:r w:rsidR="00184665" w:rsidRPr="00924A19">
        <w:rPr>
          <w:rFonts w:ascii="Book Antiqua" w:hAnsi="Book Antiqua"/>
          <w:lang w:val="en-US"/>
        </w:rPr>
        <w:t>iraemic rate estimated at 48.7%</w:t>
      </w:r>
      <w:r w:rsidR="00A46ED8" w:rsidRPr="00924A19">
        <w:rPr>
          <w:rFonts w:ascii="Book Antiqua" w:hAnsi="Book Antiqua"/>
          <w:lang w:val="en-US"/>
        </w:rPr>
        <w:t xml:space="preserve">. No adult HCV prevalence and/or viraemic data </w:t>
      </w:r>
      <w:r w:rsidR="00527CF7" w:rsidRPr="00924A19">
        <w:rPr>
          <w:rFonts w:ascii="Book Antiqua" w:hAnsi="Book Antiqua"/>
          <w:lang w:val="en-US"/>
        </w:rPr>
        <w:t>are</w:t>
      </w:r>
      <w:r w:rsidR="00A46ED8" w:rsidRPr="00924A19">
        <w:rPr>
          <w:rFonts w:ascii="Book Antiqua" w:hAnsi="Book Antiqua"/>
          <w:lang w:val="en-US"/>
        </w:rPr>
        <w:t xml:space="preserve"> available from Armenia. </w:t>
      </w:r>
    </w:p>
    <w:p w:rsidR="008B5F7D" w:rsidRPr="00924A19" w:rsidRDefault="008B5F7D"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predominant genotype in this area is clearly </w:t>
      </w:r>
      <w:r w:rsidR="00527CF7" w:rsidRPr="00924A19">
        <w:rPr>
          <w:rFonts w:ascii="Book Antiqua" w:hAnsi="Book Antiqua"/>
          <w:lang w:val="en-US"/>
        </w:rPr>
        <w:t>G</w:t>
      </w:r>
      <w:r w:rsidRPr="00924A19">
        <w:rPr>
          <w:rFonts w:ascii="Book Antiqua" w:hAnsi="Book Antiqua"/>
          <w:lang w:val="en-US"/>
        </w:rPr>
        <w:t>1 (70.</w:t>
      </w:r>
      <w:r w:rsidR="00A96CB8" w:rsidRPr="00924A19">
        <w:rPr>
          <w:rFonts w:ascii="Book Antiqua" w:hAnsi="Book Antiqua"/>
          <w:lang w:val="en-US"/>
        </w:rPr>
        <w:t>4</w:t>
      </w:r>
      <w:r w:rsidRPr="00924A19">
        <w:rPr>
          <w:rFonts w:ascii="Book Antiqua" w:hAnsi="Book Antiqua"/>
          <w:lang w:val="en-US"/>
        </w:rPr>
        <w:t xml:space="preserve">%), followed by </w:t>
      </w:r>
      <w:r w:rsidR="00527CF7" w:rsidRPr="00924A19">
        <w:rPr>
          <w:rFonts w:ascii="Book Antiqua" w:hAnsi="Book Antiqua"/>
          <w:lang w:val="en-US"/>
        </w:rPr>
        <w:t>G</w:t>
      </w:r>
      <w:r w:rsidRPr="00924A19">
        <w:rPr>
          <w:rFonts w:ascii="Book Antiqua" w:hAnsi="Book Antiqua"/>
          <w:lang w:val="en-US"/>
        </w:rPr>
        <w:t>3 (19.</w:t>
      </w:r>
      <w:r w:rsidR="00A96CB8" w:rsidRPr="00924A19">
        <w:rPr>
          <w:rFonts w:ascii="Book Antiqua" w:hAnsi="Book Antiqua"/>
          <w:lang w:val="en-US"/>
        </w:rPr>
        <w:t>6</w:t>
      </w:r>
      <w:r w:rsidRPr="00924A19">
        <w:rPr>
          <w:rFonts w:ascii="Book Antiqua" w:hAnsi="Book Antiqua"/>
          <w:lang w:val="en-US"/>
        </w:rPr>
        <w:t>%) and</w:t>
      </w:r>
      <w:r w:rsidR="00184665" w:rsidRPr="00924A19">
        <w:rPr>
          <w:rFonts w:ascii="Book Antiqua" w:hAnsi="Book Antiqua" w:hint="eastAsia"/>
          <w:lang w:val="en-US"/>
        </w:rPr>
        <w:t xml:space="preserve"> </w:t>
      </w:r>
      <w:r w:rsidR="00527CF7" w:rsidRPr="00924A19">
        <w:rPr>
          <w:rFonts w:ascii="Book Antiqua" w:hAnsi="Book Antiqua"/>
          <w:lang w:val="en-US"/>
        </w:rPr>
        <w:t>G</w:t>
      </w:r>
      <w:r w:rsidRPr="00924A19">
        <w:rPr>
          <w:rFonts w:ascii="Book Antiqua" w:hAnsi="Book Antiqua"/>
          <w:lang w:val="en-US"/>
        </w:rPr>
        <w:t xml:space="preserve"> 2 (8.</w:t>
      </w:r>
      <w:r w:rsidR="00A96CB8" w:rsidRPr="00924A19">
        <w:rPr>
          <w:rFonts w:ascii="Book Antiqua" w:hAnsi="Book Antiqua"/>
          <w:lang w:val="en-US"/>
        </w:rPr>
        <w:t>6</w:t>
      </w:r>
      <w:r w:rsidRPr="00924A19">
        <w:rPr>
          <w:rFonts w:ascii="Book Antiqua" w:hAnsi="Book Antiqua"/>
          <w:lang w:val="en-US"/>
        </w:rPr>
        <w:t>%). Only a small percentage of mixed genotypes</w:t>
      </w:r>
      <w:r w:rsidR="00184665" w:rsidRPr="00924A19">
        <w:rPr>
          <w:rFonts w:ascii="Book Antiqua" w:hAnsi="Book Antiqua" w:hint="eastAsia"/>
          <w:lang w:val="en-US"/>
        </w:rPr>
        <w:t xml:space="preserve"> </w:t>
      </w:r>
      <w:r w:rsidRPr="00924A19">
        <w:rPr>
          <w:rFonts w:ascii="Book Antiqua" w:hAnsi="Book Antiqua"/>
          <w:lang w:val="en-US"/>
        </w:rPr>
        <w:t>w</w:t>
      </w:r>
      <w:r w:rsidR="004E7EA3" w:rsidRPr="00924A19">
        <w:rPr>
          <w:rFonts w:ascii="Book Antiqua" w:hAnsi="Book Antiqua"/>
          <w:lang w:val="en-US"/>
        </w:rPr>
        <w:t xml:space="preserve">ere </w:t>
      </w:r>
      <w:r w:rsidRPr="00924A19">
        <w:rPr>
          <w:rFonts w:ascii="Book Antiqua" w:hAnsi="Book Antiqua"/>
          <w:lang w:val="en-US"/>
        </w:rPr>
        <w:t xml:space="preserve">found, whereas no </w:t>
      </w:r>
      <w:r w:rsidR="00527CF7" w:rsidRPr="00924A19">
        <w:rPr>
          <w:rFonts w:ascii="Book Antiqua" w:hAnsi="Book Antiqua"/>
          <w:lang w:val="en-US"/>
        </w:rPr>
        <w:t>G</w:t>
      </w:r>
      <w:r w:rsidR="00A96CB8" w:rsidRPr="00924A19">
        <w:rPr>
          <w:rFonts w:ascii="Book Antiqua" w:hAnsi="Book Antiqua"/>
          <w:lang w:val="en-US"/>
        </w:rPr>
        <w:t xml:space="preserve">4, </w:t>
      </w:r>
      <w:r w:rsidR="00527CF7" w:rsidRPr="00924A19">
        <w:rPr>
          <w:rFonts w:ascii="Book Antiqua" w:hAnsi="Book Antiqua"/>
          <w:lang w:val="en-US"/>
        </w:rPr>
        <w:t>G</w:t>
      </w:r>
      <w:r w:rsidR="00A96CB8" w:rsidRPr="00924A19">
        <w:rPr>
          <w:rFonts w:ascii="Book Antiqua" w:hAnsi="Book Antiqua"/>
          <w:lang w:val="en-US"/>
        </w:rPr>
        <w:t xml:space="preserve">5 and </w:t>
      </w:r>
      <w:r w:rsidR="00527CF7" w:rsidRPr="00924A19">
        <w:rPr>
          <w:rFonts w:ascii="Book Antiqua" w:hAnsi="Book Antiqua"/>
          <w:lang w:val="en-US"/>
        </w:rPr>
        <w:t>G</w:t>
      </w:r>
      <w:r w:rsidR="00A96CB8" w:rsidRPr="00924A19">
        <w:rPr>
          <w:rFonts w:ascii="Book Antiqua" w:hAnsi="Book Antiqua"/>
          <w:lang w:val="en-US"/>
        </w:rPr>
        <w:t xml:space="preserve">6 </w:t>
      </w:r>
      <w:r w:rsidR="00527CF7" w:rsidRPr="00924A19">
        <w:rPr>
          <w:rFonts w:ascii="Book Antiqua" w:hAnsi="Book Antiqua"/>
          <w:lang w:val="en-US"/>
        </w:rPr>
        <w:t>are</w:t>
      </w:r>
      <w:r w:rsidR="00A96CB8" w:rsidRPr="00924A19">
        <w:rPr>
          <w:rFonts w:ascii="Book Antiqua" w:hAnsi="Book Antiqua"/>
          <w:lang w:val="en-US"/>
        </w:rPr>
        <w:t xml:space="preserve"> reported (Table 4).</w:t>
      </w:r>
    </w:p>
    <w:p w:rsidR="00516180" w:rsidRDefault="00E56CB1" w:rsidP="00516180">
      <w:pPr>
        <w:autoSpaceDE w:val="0"/>
        <w:autoSpaceDN w:val="0"/>
        <w:adjustRightInd w:val="0"/>
        <w:snapToGrid w:val="0"/>
        <w:spacing w:line="360" w:lineRule="auto"/>
        <w:ind w:firstLineChars="100" w:firstLine="240"/>
        <w:jc w:val="both"/>
        <w:rPr>
          <w:rFonts w:ascii="Book Antiqua" w:hAnsi="Book Antiqua"/>
          <w:lang w:val="en-US"/>
        </w:rPr>
      </w:pPr>
      <w:r w:rsidRPr="00924A19">
        <w:rPr>
          <w:rFonts w:ascii="Book Antiqua" w:hAnsi="Book Antiqua"/>
          <w:lang w:val="en-US"/>
        </w:rPr>
        <w:t>In Mongolia</w:t>
      </w:r>
      <w:r w:rsidR="008B5F7D" w:rsidRPr="00924A19">
        <w:rPr>
          <w:rFonts w:ascii="Book Antiqua" w:eastAsia="Times New Roman" w:hAnsi="Book Antiqua" w:cs="AdvMinionNormal_Rm"/>
          <w:lang w:val="en-US" w:eastAsia="it-IT"/>
        </w:rPr>
        <w:t xml:space="preserve"> and Tajikistan</w:t>
      </w:r>
      <w:r w:rsidRPr="00924A19">
        <w:rPr>
          <w:rFonts w:ascii="Book Antiqua" w:hAnsi="Book Antiqua"/>
          <w:lang w:val="en-US"/>
        </w:rPr>
        <w:t xml:space="preserve">, </w:t>
      </w:r>
      <w:r w:rsidR="00527CF7" w:rsidRPr="00924A19">
        <w:rPr>
          <w:rFonts w:ascii="Book Antiqua" w:hAnsi="Book Antiqua"/>
          <w:lang w:val="en-US"/>
        </w:rPr>
        <w:t>G</w:t>
      </w:r>
      <w:r w:rsidRPr="00924A19">
        <w:rPr>
          <w:rFonts w:ascii="Book Antiqua" w:hAnsi="Book Antiqua"/>
          <w:lang w:val="en-US"/>
        </w:rPr>
        <w:t>1 is almost the only genotype found (98.8%</w:t>
      </w:r>
      <w:r w:rsidR="008B5F7D" w:rsidRPr="00924A19">
        <w:rPr>
          <w:rFonts w:ascii="Book Antiqua" w:hAnsi="Book Antiqua"/>
          <w:lang w:val="en-US"/>
        </w:rPr>
        <w:t xml:space="preserve"> and 82.7%, respectively), whereas in two</w:t>
      </w:r>
      <w:r w:rsidRPr="00924A19">
        <w:rPr>
          <w:rFonts w:ascii="Book Antiqua" w:hAnsi="Book Antiqua"/>
          <w:lang w:val="en-US"/>
        </w:rPr>
        <w:t xml:space="preserve"> of the five countries in which genotype distribution was studied</w:t>
      </w:r>
      <w:r w:rsidR="008B5F7D" w:rsidRPr="00924A19">
        <w:rPr>
          <w:rFonts w:ascii="Book Antiqua" w:hAnsi="Book Antiqua"/>
          <w:lang w:val="en-US"/>
        </w:rPr>
        <w:t xml:space="preserve"> (Georgia</w:t>
      </w:r>
      <w:r w:rsidR="00692737" w:rsidRPr="00924A19">
        <w:rPr>
          <w:rFonts w:ascii="Book Antiqua" w:hAnsi="Book Antiqua"/>
          <w:lang w:val="en-US"/>
        </w:rPr>
        <w:t xml:space="preserve"> </w:t>
      </w:r>
      <w:r w:rsidRPr="00924A19">
        <w:rPr>
          <w:rFonts w:ascii="Book Antiqua" w:eastAsia="Times New Roman" w:hAnsi="Book Antiqua" w:cs="AdvMinionNormal_Rm"/>
          <w:lang w:val="en-US" w:eastAsia="it-IT"/>
        </w:rPr>
        <w:t>and Uzbekistan)</w:t>
      </w:r>
      <w:r w:rsidRPr="00924A19">
        <w:rPr>
          <w:rFonts w:ascii="Book Antiqua" w:hAnsi="Book Antiqua"/>
          <w:lang w:val="en-US"/>
        </w:rPr>
        <w:t xml:space="preserve"> is over the half of </w:t>
      </w:r>
      <w:r w:rsidR="008B5F7D" w:rsidRPr="00924A19">
        <w:rPr>
          <w:rFonts w:ascii="Book Antiqua" w:hAnsi="Book Antiqua"/>
          <w:lang w:val="en-US"/>
        </w:rPr>
        <w:t xml:space="preserve">the totality of </w:t>
      </w:r>
      <w:r w:rsidRPr="00924A19">
        <w:rPr>
          <w:rFonts w:ascii="Book Antiqua" w:hAnsi="Book Antiqua"/>
          <w:lang w:val="en-US"/>
        </w:rPr>
        <w:t>the genotypes identified</w:t>
      </w:r>
      <w:r w:rsidR="008B5F7D" w:rsidRPr="00924A19">
        <w:rPr>
          <w:rFonts w:ascii="Book Antiqua" w:hAnsi="Book Antiqua"/>
          <w:lang w:val="en-US"/>
        </w:rPr>
        <w:t xml:space="preserve"> (62.0% and 67.1%). A considerable percentage of </w:t>
      </w:r>
      <w:r w:rsidR="00527CF7" w:rsidRPr="00924A19">
        <w:rPr>
          <w:rFonts w:ascii="Book Antiqua" w:hAnsi="Book Antiqua"/>
          <w:lang w:val="en-US"/>
        </w:rPr>
        <w:t>G</w:t>
      </w:r>
      <w:r w:rsidR="008B5F7D" w:rsidRPr="00924A19">
        <w:rPr>
          <w:rFonts w:ascii="Book Antiqua" w:hAnsi="Book Antiqua"/>
          <w:lang w:val="en-US"/>
        </w:rPr>
        <w:t>3 was described</w:t>
      </w:r>
      <w:r w:rsidR="00692737" w:rsidRPr="00924A19">
        <w:rPr>
          <w:rFonts w:ascii="Book Antiqua" w:hAnsi="Book Antiqua"/>
          <w:lang w:val="en-US"/>
        </w:rPr>
        <w:t xml:space="preserve"> </w:t>
      </w:r>
      <w:r w:rsidR="008B5F7D" w:rsidRPr="00924A19">
        <w:rPr>
          <w:rFonts w:ascii="Book Antiqua" w:hAnsi="Book Antiqua"/>
          <w:lang w:val="en-US"/>
        </w:rPr>
        <w:t xml:space="preserve">in Armenia (37.0%), Georgia (27.0%)and </w:t>
      </w:r>
      <w:r w:rsidR="008B5F7D" w:rsidRPr="00924A19">
        <w:rPr>
          <w:rFonts w:ascii="Book Antiqua" w:eastAsia="Times New Roman" w:hAnsi="Book Antiqua" w:cs="AdvMinionNormal_Rm"/>
          <w:lang w:val="en-US" w:eastAsia="it-IT"/>
        </w:rPr>
        <w:t>Uzbekistan (26.0%).</w:t>
      </w:r>
      <w:r w:rsidR="00F0032C" w:rsidRPr="00924A19">
        <w:rPr>
          <w:rFonts w:ascii="Book Antiqua" w:hAnsi="Book Antiqua"/>
          <w:lang w:val="en-US"/>
        </w:rPr>
        <w:t xml:space="preserve">No genotypes distribution data are available from </w:t>
      </w:r>
      <w:r w:rsidR="00F0032C" w:rsidRPr="00924A19">
        <w:rPr>
          <w:rFonts w:ascii="Book Antiqua" w:eastAsia="Times New Roman" w:hAnsi="Book Antiqua" w:cs="AdvMinionNormal_Rm"/>
          <w:lang w:val="en-US" w:eastAsia="it-IT"/>
        </w:rPr>
        <w:t xml:space="preserve">Azerbaijan, Kazakhstan, Kyrgyzstan </w:t>
      </w:r>
      <w:r w:rsidR="00BF11D2" w:rsidRPr="00924A19">
        <w:rPr>
          <w:rFonts w:ascii="Book Antiqua" w:eastAsia="Times New Roman" w:hAnsi="Book Antiqua" w:cs="AdvMinionNormal_Rm"/>
          <w:lang w:val="en-US" w:eastAsia="it-IT"/>
        </w:rPr>
        <w:t xml:space="preserve">and Turkmenistan </w:t>
      </w:r>
      <w:r w:rsidR="00BF11D2" w:rsidRPr="00924A19">
        <w:rPr>
          <w:rFonts w:ascii="Book Antiqua" w:hAnsi="Book Antiqua"/>
          <w:lang w:val="en-US"/>
        </w:rPr>
        <w:t xml:space="preserve">(Figure </w:t>
      </w:r>
      <w:r w:rsidR="00C220FF" w:rsidRPr="00924A19">
        <w:rPr>
          <w:rFonts w:ascii="Book Antiqua" w:hAnsi="Book Antiqua"/>
          <w:lang w:val="en-US"/>
        </w:rPr>
        <w:t>4B</w:t>
      </w:r>
      <w:r w:rsidR="00BF11D2" w:rsidRPr="00924A19">
        <w:rPr>
          <w:rFonts w:ascii="Book Antiqua" w:hAnsi="Book Antiqua"/>
          <w:lang w:val="en-US"/>
        </w:rPr>
        <w:t>).</w:t>
      </w:r>
    </w:p>
    <w:p w:rsidR="00516180" w:rsidRDefault="00516180" w:rsidP="00516180">
      <w:pPr>
        <w:autoSpaceDE w:val="0"/>
        <w:autoSpaceDN w:val="0"/>
        <w:adjustRightInd w:val="0"/>
        <w:snapToGrid w:val="0"/>
        <w:spacing w:line="360" w:lineRule="auto"/>
        <w:jc w:val="both"/>
        <w:rPr>
          <w:rFonts w:ascii="Book Antiqua" w:hAnsi="Book Antiqua"/>
          <w:lang w:val="en-US"/>
        </w:rPr>
      </w:pPr>
    </w:p>
    <w:p w:rsidR="003A4D27" w:rsidRPr="00924A19" w:rsidRDefault="007C1CD8" w:rsidP="00516180">
      <w:pPr>
        <w:autoSpaceDE w:val="0"/>
        <w:autoSpaceDN w:val="0"/>
        <w:adjustRightInd w:val="0"/>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lastRenderedPageBreak/>
        <w:t xml:space="preserve">East </w:t>
      </w:r>
      <w:r w:rsidR="00AC7322" w:rsidRPr="00924A19">
        <w:rPr>
          <w:rFonts w:ascii="Book Antiqua" w:eastAsia="Times New Roman" w:hAnsi="Book Antiqua" w:cs="AdvGulliv-R"/>
          <w:b/>
          <w:color w:val="000000"/>
          <w:lang w:val="en-US" w:eastAsia="it-IT"/>
        </w:rPr>
        <w:t>Asia</w:t>
      </w:r>
      <w:r w:rsidR="004E7EA3" w:rsidRPr="00924A19">
        <w:rPr>
          <w:rFonts w:ascii="Book Antiqua" w:eastAsia="Times New Roman" w:hAnsi="Book Antiqua" w:cs="AdvGulliv-R"/>
          <w:b/>
          <w:color w:val="000000"/>
          <w:lang w:val="en-US" w:eastAsia="it-IT"/>
        </w:rPr>
        <w:t xml:space="preserve">: </w:t>
      </w:r>
      <w:r w:rsidR="003A4D27" w:rsidRPr="00924A19">
        <w:rPr>
          <w:rFonts w:ascii="Book Antiqua" w:hAnsi="Book Antiqua"/>
          <w:lang w:val="en-US"/>
        </w:rPr>
        <w:t xml:space="preserve">The HCV prevalence in this macroarea, including only China and Taiwan, is 2.8%, ranging between 4.4% in Taiwan and 1.3% in China (Figure </w:t>
      </w:r>
      <w:r w:rsidR="00C220FF" w:rsidRPr="00924A19">
        <w:rPr>
          <w:rFonts w:ascii="Book Antiqua" w:hAnsi="Book Antiqua"/>
          <w:lang w:val="en-US"/>
        </w:rPr>
        <w:t>4A</w:t>
      </w:r>
      <w:r w:rsidR="003A4D27" w:rsidRPr="00924A19">
        <w:rPr>
          <w:rFonts w:ascii="Book Antiqua" w:hAnsi="Book Antiqua"/>
          <w:lang w:val="en-US"/>
        </w:rPr>
        <w:t xml:space="preserve">), with a viraemic rate estimated at 63.6% (Table 2). </w:t>
      </w:r>
    </w:p>
    <w:p w:rsidR="00EB10C2" w:rsidRPr="00924A19" w:rsidRDefault="00EB10C2"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The predomi</w:t>
      </w:r>
      <w:r w:rsidR="00527CF7" w:rsidRPr="00924A19">
        <w:rPr>
          <w:rFonts w:ascii="Book Antiqua" w:hAnsi="Book Antiqua"/>
          <w:lang w:val="en-US"/>
        </w:rPr>
        <w:t>nant genotypes in this area are G</w:t>
      </w:r>
      <w:r w:rsidRPr="00924A19">
        <w:rPr>
          <w:rFonts w:ascii="Book Antiqua" w:hAnsi="Book Antiqua"/>
          <w:lang w:val="en-US"/>
        </w:rPr>
        <w:t xml:space="preserve">1 (53.5%) and </w:t>
      </w:r>
      <w:r w:rsidR="00527CF7" w:rsidRPr="00924A19">
        <w:rPr>
          <w:rFonts w:ascii="Book Antiqua" w:hAnsi="Book Antiqua"/>
          <w:lang w:val="en-US"/>
        </w:rPr>
        <w:t>G</w:t>
      </w:r>
      <w:r w:rsidRPr="00924A19">
        <w:rPr>
          <w:rFonts w:ascii="Book Antiqua" w:hAnsi="Book Antiqua"/>
          <w:lang w:val="en-US"/>
        </w:rPr>
        <w:t>2 (31.</w:t>
      </w:r>
      <w:r w:rsidR="00A96CB8" w:rsidRPr="00924A19">
        <w:rPr>
          <w:rFonts w:ascii="Book Antiqua" w:hAnsi="Book Antiqua"/>
          <w:lang w:val="en-US"/>
        </w:rPr>
        <w:t>7</w:t>
      </w:r>
      <w:r w:rsidRPr="00924A19">
        <w:rPr>
          <w:rFonts w:ascii="Book Antiqua" w:hAnsi="Book Antiqua"/>
          <w:lang w:val="en-US"/>
        </w:rPr>
        <w:t xml:space="preserve">%). Only a small percentage of </w:t>
      </w:r>
      <w:r w:rsidR="00527CF7" w:rsidRPr="00924A19">
        <w:rPr>
          <w:rFonts w:ascii="Book Antiqua" w:hAnsi="Book Antiqua"/>
          <w:lang w:val="en-US"/>
        </w:rPr>
        <w:t>G</w:t>
      </w:r>
      <w:r w:rsidRPr="00924A19">
        <w:rPr>
          <w:rFonts w:ascii="Book Antiqua" w:hAnsi="Book Antiqua"/>
          <w:lang w:val="en-US"/>
        </w:rPr>
        <w:t xml:space="preserve">3 and </w:t>
      </w:r>
      <w:r w:rsidR="00527CF7" w:rsidRPr="00924A19">
        <w:rPr>
          <w:rFonts w:ascii="Book Antiqua" w:hAnsi="Book Antiqua"/>
          <w:lang w:val="en-US"/>
        </w:rPr>
        <w:t>G</w:t>
      </w:r>
      <w:r w:rsidRPr="00924A19">
        <w:rPr>
          <w:rFonts w:ascii="Book Antiqua" w:hAnsi="Book Antiqua"/>
          <w:lang w:val="en-US"/>
        </w:rPr>
        <w:t>6 (5.</w:t>
      </w:r>
      <w:r w:rsidR="00A96CB8" w:rsidRPr="00924A19">
        <w:rPr>
          <w:rFonts w:ascii="Book Antiqua" w:hAnsi="Book Antiqua"/>
          <w:lang w:val="en-US"/>
        </w:rPr>
        <w:t>4</w:t>
      </w:r>
      <w:r w:rsidRPr="00924A19">
        <w:rPr>
          <w:rFonts w:ascii="Book Antiqua" w:hAnsi="Book Antiqua"/>
          <w:lang w:val="en-US"/>
        </w:rPr>
        <w:t>% and 3.</w:t>
      </w:r>
      <w:r w:rsidR="00A96CB8" w:rsidRPr="00924A19">
        <w:rPr>
          <w:rFonts w:ascii="Book Antiqua" w:hAnsi="Book Antiqua"/>
          <w:lang w:val="en-US"/>
        </w:rPr>
        <w:t>3</w:t>
      </w:r>
      <w:r w:rsidRPr="00924A19">
        <w:rPr>
          <w:rFonts w:ascii="Book Antiqua" w:hAnsi="Book Antiqua"/>
          <w:lang w:val="en-US"/>
        </w:rPr>
        <w:t xml:space="preserve">%, respectively) </w:t>
      </w:r>
      <w:r w:rsidR="00516180" w:rsidRPr="00924A19">
        <w:rPr>
          <w:rFonts w:ascii="Book Antiqua" w:hAnsi="Book Antiqua"/>
          <w:lang w:val="en-US"/>
        </w:rPr>
        <w:t>have</w:t>
      </w:r>
      <w:r w:rsidR="00527CF7" w:rsidRPr="00924A19">
        <w:rPr>
          <w:rFonts w:ascii="Book Antiqua" w:hAnsi="Book Antiqua"/>
          <w:lang w:val="en-US"/>
        </w:rPr>
        <w:t xml:space="preserve"> been</w:t>
      </w:r>
      <w:r w:rsidRPr="00924A19">
        <w:rPr>
          <w:rFonts w:ascii="Book Antiqua" w:hAnsi="Book Antiqua"/>
          <w:lang w:val="en-US"/>
        </w:rPr>
        <w:t xml:space="preserve"> found, whereas no </w:t>
      </w:r>
      <w:r w:rsidR="00527CF7" w:rsidRPr="00924A19">
        <w:rPr>
          <w:rFonts w:ascii="Book Antiqua" w:hAnsi="Book Antiqua"/>
          <w:lang w:val="en-US"/>
        </w:rPr>
        <w:t>G</w:t>
      </w:r>
      <w:r w:rsidRPr="00924A19">
        <w:rPr>
          <w:rFonts w:ascii="Book Antiqua" w:hAnsi="Book Antiqua"/>
          <w:lang w:val="en-US"/>
        </w:rPr>
        <w:t xml:space="preserve">5 cases </w:t>
      </w:r>
      <w:r w:rsidR="00527CF7" w:rsidRPr="00924A19">
        <w:rPr>
          <w:rFonts w:ascii="Book Antiqua" w:hAnsi="Book Antiqua"/>
          <w:lang w:val="en-US"/>
        </w:rPr>
        <w:t>are</w:t>
      </w:r>
      <w:r w:rsidRPr="00924A19">
        <w:rPr>
          <w:rFonts w:ascii="Book Antiqua" w:hAnsi="Book Antiqua"/>
          <w:lang w:val="en-US"/>
        </w:rPr>
        <w:t xml:space="preserve"> reported</w:t>
      </w:r>
      <w:r w:rsidR="004E7EA3" w:rsidRPr="00924A19">
        <w:rPr>
          <w:rFonts w:ascii="Book Antiqua" w:hAnsi="Book Antiqua"/>
          <w:lang w:val="en-US"/>
        </w:rPr>
        <w:t xml:space="preserve"> (Table 4)</w:t>
      </w:r>
      <w:r w:rsidRPr="00924A19">
        <w:rPr>
          <w:rFonts w:ascii="Book Antiqua" w:hAnsi="Book Antiqua"/>
          <w:lang w:val="en-US"/>
        </w:rPr>
        <w:t>.</w:t>
      </w:r>
    </w:p>
    <w:p w:rsidR="00EB10C2" w:rsidRPr="00924A19" w:rsidRDefault="00EB10C2"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In the only two countries studied</w:t>
      </w:r>
      <w:r w:rsidR="003A4D27" w:rsidRPr="00924A19">
        <w:rPr>
          <w:rFonts w:ascii="Book Antiqua" w:hAnsi="Book Antiqua"/>
          <w:lang w:val="en-US"/>
        </w:rPr>
        <w:t>,</w:t>
      </w:r>
      <w:r w:rsidR="00527CF7" w:rsidRPr="00924A19">
        <w:rPr>
          <w:rFonts w:ascii="Book Antiqua" w:hAnsi="Book Antiqua"/>
          <w:lang w:val="en-US"/>
        </w:rPr>
        <w:t>G</w:t>
      </w:r>
      <w:r w:rsidRPr="00924A19">
        <w:rPr>
          <w:rFonts w:ascii="Book Antiqua" w:hAnsi="Book Antiqua"/>
          <w:lang w:val="en-US"/>
        </w:rPr>
        <w:t xml:space="preserve">1 and </w:t>
      </w:r>
      <w:r w:rsidR="00527CF7" w:rsidRPr="00924A19">
        <w:rPr>
          <w:rFonts w:ascii="Book Antiqua" w:hAnsi="Book Antiqua"/>
          <w:lang w:val="en-US"/>
        </w:rPr>
        <w:t>G</w:t>
      </w:r>
      <w:r w:rsidRPr="00924A19">
        <w:rPr>
          <w:rFonts w:ascii="Book Antiqua" w:hAnsi="Book Antiqua"/>
          <w:lang w:val="en-US"/>
        </w:rPr>
        <w:t xml:space="preserve">2 represent over the 80% of the totality of the genotypes observed, although a </w:t>
      </w:r>
      <w:r w:rsidR="00F12596" w:rsidRPr="00924A19">
        <w:rPr>
          <w:rFonts w:ascii="Book Antiqua" w:hAnsi="Book Antiqua"/>
          <w:lang w:val="en-US"/>
        </w:rPr>
        <w:t>significant</w:t>
      </w:r>
      <w:r w:rsidR="003A4D27" w:rsidRPr="00924A19">
        <w:rPr>
          <w:rFonts w:ascii="Book Antiqua" w:hAnsi="Book Antiqua"/>
          <w:lang w:val="en-US"/>
        </w:rPr>
        <w:t xml:space="preserve"> portion </w:t>
      </w:r>
      <w:r w:rsidRPr="00924A19">
        <w:rPr>
          <w:rFonts w:ascii="Book Antiqua" w:hAnsi="Book Antiqua"/>
          <w:lang w:val="en-US"/>
        </w:rPr>
        <w:t xml:space="preserve">of </w:t>
      </w:r>
      <w:r w:rsidR="00527CF7" w:rsidRPr="00924A19">
        <w:rPr>
          <w:rFonts w:ascii="Book Antiqua" w:hAnsi="Book Antiqua"/>
          <w:lang w:val="en-US"/>
        </w:rPr>
        <w:t>G</w:t>
      </w:r>
      <w:r w:rsidRPr="00924A19">
        <w:rPr>
          <w:rFonts w:ascii="Book Antiqua" w:hAnsi="Book Antiqua"/>
          <w:lang w:val="en-US"/>
        </w:rPr>
        <w:t>3</w:t>
      </w:r>
      <w:r w:rsidR="00527CF7" w:rsidRPr="00924A19">
        <w:rPr>
          <w:rFonts w:ascii="Book Antiqua" w:hAnsi="Book Antiqua"/>
          <w:lang w:val="en-US"/>
        </w:rPr>
        <w:t xml:space="preserve">is </w:t>
      </w:r>
      <w:r w:rsidRPr="00924A19">
        <w:rPr>
          <w:rFonts w:ascii="Book Antiqua" w:hAnsi="Book Antiqua"/>
          <w:lang w:val="en-US"/>
        </w:rPr>
        <w:t>described in</w:t>
      </w:r>
      <w:r w:rsidR="00692737" w:rsidRPr="00924A19">
        <w:rPr>
          <w:rFonts w:ascii="Book Antiqua" w:hAnsi="Book Antiqua"/>
          <w:lang w:val="en-US"/>
        </w:rPr>
        <w:t xml:space="preserve"> </w:t>
      </w:r>
      <w:r w:rsidRPr="00924A19">
        <w:rPr>
          <w:rFonts w:ascii="Book Antiqua" w:hAnsi="Book Antiqua"/>
          <w:lang w:val="en-US"/>
        </w:rPr>
        <w:t>China (9.1%)</w:t>
      </w:r>
      <w:r w:rsidR="00BF11D2" w:rsidRPr="00924A19">
        <w:rPr>
          <w:rFonts w:ascii="Book Antiqua" w:hAnsi="Book Antiqua"/>
          <w:lang w:val="en-US"/>
        </w:rPr>
        <w:t xml:space="preserve">(Figure </w:t>
      </w:r>
      <w:r w:rsidR="00C220FF" w:rsidRPr="00924A19">
        <w:rPr>
          <w:rFonts w:ascii="Book Antiqua" w:hAnsi="Book Antiqua"/>
          <w:lang w:val="en-US"/>
        </w:rPr>
        <w:t>4B</w:t>
      </w:r>
      <w:r w:rsidR="00BF11D2" w:rsidRPr="00924A19">
        <w:rPr>
          <w:rFonts w:ascii="Book Antiqua" w:hAnsi="Book Antiqua"/>
          <w:lang w:val="en-US"/>
        </w:rPr>
        <w:t>).</w:t>
      </w:r>
    </w:p>
    <w:p w:rsidR="00375489" w:rsidRPr="00924A19" w:rsidRDefault="00375489" w:rsidP="0026366E">
      <w:pPr>
        <w:snapToGrid w:val="0"/>
        <w:spacing w:line="360" w:lineRule="auto"/>
        <w:jc w:val="both"/>
        <w:rPr>
          <w:rFonts w:ascii="Book Antiqua" w:eastAsia="Times New Roman" w:hAnsi="Book Antiqua" w:cs="AdvGulliv-R"/>
          <w:b/>
          <w:color w:val="000000"/>
          <w:lang w:val="en-US" w:eastAsia="it-IT"/>
        </w:rPr>
      </w:pPr>
    </w:p>
    <w:p w:rsidR="00C52461" w:rsidRPr="00924A19" w:rsidRDefault="007C1CD8"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t xml:space="preserve">South </w:t>
      </w:r>
      <w:r w:rsidR="00AC7322" w:rsidRPr="00924A19">
        <w:rPr>
          <w:rFonts w:ascii="Book Antiqua" w:eastAsia="Times New Roman" w:hAnsi="Book Antiqua" w:cs="AdvGulliv-R"/>
          <w:b/>
          <w:color w:val="000000"/>
          <w:lang w:val="en-US" w:eastAsia="it-IT"/>
        </w:rPr>
        <w:t>Asia</w:t>
      </w:r>
      <w:r w:rsidR="004E7EA3" w:rsidRPr="00924A19">
        <w:rPr>
          <w:rFonts w:ascii="Book Antiqua" w:eastAsia="Times New Roman" w:hAnsi="Book Antiqua" w:cs="AdvGulliv-R"/>
          <w:b/>
          <w:color w:val="000000"/>
          <w:lang w:val="en-US" w:eastAsia="it-IT"/>
        </w:rPr>
        <w:t xml:space="preserve">: </w:t>
      </w:r>
      <w:r w:rsidR="004B6442" w:rsidRPr="00924A19">
        <w:rPr>
          <w:rFonts w:ascii="Book Antiqua" w:hAnsi="Book Antiqua"/>
          <w:lang w:val="en-US"/>
        </w:rPr>
        <w:t xml:space="preserve">The prevalence of HCV in the general population of this </w:t>
      </w:r>
      <w:r w:rsidR="003A4D27" w:rsidRPr="00924A19">
        <w:rPr>
          <w:rFonts w:ascii="Book Antiqua" w:hAnsi="Book Antiqua"/>
          <w:lang w:val="en-US"/>
        </w:rPr>
        <w:t xml:space="preserve">large </w:t>
      </w:r>
      <w:r w:rsidR="004B6442" w:rsidRPr="00924A19">
        <w:rPr>
          <w:rFonts w:ascii="Book Antiqua" w:hAnsi="Book Antiqua"/>
          <w:lang w:val="en-US"/>
        </w:rPr>
        <w:t>area</w:t>
      </w:r>
      <w:r w:rsidR="003A4D27" w:rsidRPr="00924A19">
        <w:rPr>
          <w:rFonts w:ascii="Book Antiqua" w:hAnsi="Book Antiqua"/>
          <w:lang w:val="en-US"/>
        </w:rPr>
        <w:t>, including</w:t>
      </w:r>
      <w:r w:rsidR="00692737" w:rsidRPr="00924A19">
        <w:rPr>
          <w:rFonts w:ascii="Book Antiqua" w:hAnsi="Book Antiqua"/>
          <w:lang w:val="en-US"/>
        </w:rPr>
        <w:t xml:space="preserve"> </w:t>
      </w:r>
      <w:r w:rsidR="003A4D27" w:rsidRPr="00924A19">
        <w:rPr>
          <w:rFonts w:ascii="Book Antiqua" w:eastAsia="Times New Roman" w:hAnsi="Book Antiqua" w:cs="AdvMinionNormal_Rm"/>
          <w:lang w:val="en-US" w:eastAsia="it-IT"/>
        </w:rPr>
        <w:t>Afghanistan, Bangladesh, India and Pakistan,</w:t>
      </w:r>
      <w:r w:rsidR="004B6442" w:rsidRPr="00924A19">
        <w:rPr>
          <w:rFonts w:ascii="Book Antiqua" w:hAnsi="Book Antiqua"/>
          <w:lang w:val="en-US"/>
        </w:rPr>
        <w:t xml:space="preserve"> is 2.5%, ranging between 6.7% in Pakistan and </w:t>
      </w:r>
      <w:r w:rsidR="00C52461" w:rsidRPr="00924A19">
        <w:rPr>
          <w:rFonts w:ascii="Book Antiqua" w:hAnsi="Book Antiqua"/>
          <w:lang w:val="en-US"/>
        </w:rPr>
        <w:t>0.8% in India, with a viraemic rate estimated at 78</w:t>
      </w:r>
      <w:r w:rsidR="004E7EA3" w:rsidRPr="00924A19">
        <w:rPr>
          <w:rFonts w:ascii="Book Antiqua" w:hAnsi="Book Antiqua"/>
          <w:lang w:val="en-US"/>
        </w:rPr>
        <w:t>.</w:t>
      </w:r>
      <w:r w:rsidR="00C52461" w:rsidRPr="00924A19">
        <w:rPr>
          <w:rFonts w:ascii="Book Antiqua" w:hAnsi="Book Antiqua"/>
          <w:lang w:val="en-US"/>
        </w:rPr>
        <w:t xml:space="preserve">5% </w:t>
      </w:r>
      <w:r w:rsidR="00BF11D2" w:rsidRPr="00924A19">
        <w:rPr>
          <w:rFonts w:ascii="Book Antiqua" w:hAnsi="Book Antiqua"/>
          <w:lang w:val="en-US"/>
        </w:rPr>
        <w:t xml:space="preserve">(Figure </w:t>
      </w:r>
      <w:r w:rsidR="00C220FF" w:rsidRPr="00924A19">
        <w:rPr>
          <w:rFonts w:ascii="Book Antiqua" w:hAnsi="Book Antiqua"/>
          <w:lang w:val="en-US"/>
        </w:rPr>
        <w:t>4A</w:t>
      </w:r>
      <w:r w:rsidR="00BF11D2" w:rsidRPr="00924A19">
        <w:rPr>
          <w:rFonts w:ascii="Book Antiqua" w:hAnsi="Book Antiqua"/>
          <w:lang w:val="en-US"/>
        </w:rPr>
        <w:t>).</w:t>
      </w:r>
    </w:p>
    <w:p w:rsidR="00F0032C" w:rsidRPr="00924A19" w:rsidRDefault="00F12596"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The mo</w:t>
      </w:r>
      <w:r w:rsidR="003A4D27" w:rsidRPr="00924A19">
        <w:rPr>
          <w:rFonts w:ascii="Book Antiqua" w:hAnsi="Book Antiqua"/>
          <w:lang w:val="en-US"/>
        </w:rPr>
        <w:t>st common genotype</w:t>
      </w:r>
      <w:r w:rsidRPr="00924A19">
        <w:rPr>
          <w:rFonts w:ascii="Book Antiqua" w:hAnsi="Book Antiqua"/>
          <w:lang w:val="en-US"/>
        </w:rPr>
        <w:t xml:space="preserve"> is</w:t>
      </w:r>
      <w:r w:rsidR="00527CF7" w:rsidRPr="00924A19">
        <w:rPr>
          <w:rFonts w:ascii="Book Antiqua" w:hAnsi="Book Antiqua"/>
          <w:lang w:val="en-US"/>
        </w:rPr>
        <w:t xml:space="preserve"> G</w:t>
      </w:r>
      <w:r w:rsidRPr="00924A19">
        <w:rPr>
          <w:rFonts w:ascii="Book Antiqua" w:hAnsi="Book Antiqua"/>
          <w:lang w:val="en-US"/>
        </w:rPr>
        <w:t>3 (66.7%)</w:t>
      </w:r>
      <w:r w:rsidR="003A4D27" w:rsidRPr="00924A19">
        <w:rPr>
          <w:rFonts w:ascii="Book Antiqua" w:hAnsi="Book Antiqua"/>
          <w:lang w:val="en-US"/>
        </w:rPr>
        <w:t>,</w:t>
      </w:r>
      <w:r w:rsidRPr="00924A19">
        <w:rPr>
          <w:rFonts w:ascii="Book Antiqua" w:hAnsi="Book Antiqua"/>
          <w:lang w:val="en-US"/>
        </w:rPr>
        <w:t xml:space="preserve"> followed by </w:t>
      </w:r>
      <w:r w:rsidR="00527CF7" w:rsidRPr="00924A19">
        <w:rPr>
          <w:rFonts w:ascii="Book Antiqua" w:hAnsi="Book Antiqua"/>
          <w:lang w:val="en-US"/>
        </w:rPr>
        <w:t>G</w:t>
      </w:r>
      <w:r w:rsidRPr="00924A19">
        <w:rPr>
          <w:rFonts w:ascii="Book Antiqua" w:hAnsi="Book Antiqua"/>
          <w:lang w:val="en-US"/>
        </w:rPr>
        <w:t xml:space="preserve">1 (15.5%) and </w:t>
      </w:r>
      <w:r w:rsidR="00527CF7" w:rsidRPr="00924A19">
        <w:rPr>
          <w:rFonts w:ascii="Book Antiqua" w:hAnsi="Book Antiqua"/>
          <w:lang w:val="en-US"/>
        </w:rPr>
        <w:t>G</w:t>
      </w:r>
      <w:r w:rsidRPr="00924A19">
        <w:rPr>
          <w:rFonts w:ascii="Book Antiqua" w:hAnsi="Book Antiqua"/>
          <w:lang w:val="en-US"/>
        </w:rPr>
        <w:t xml:space="preserve">4 (3.7%). </w:t>
      </w:r>
      <w:r w:rsidR="003A4D27" w:rsidRPr="00924A19">
        <w:rPr>
          <w:rFonts w:ascii="Book Antiqua" w:hAnsi="Book Antiqua"/>
          <w:lang w:val="en-US"/>
        </w:rPr>
        <w:t xml:space="preserve">Low percentage of </w:t>
      </w:r>
      <w:r w:rsidR="00527CF7" w:rsidRPr="00924A19">
        <w:rPr>
          <w:rFonts w:ascii="Book Antiqua" w:hAnsi="Book Antiqua"/>
          <w:lang w:val="en-US"/>
        </w:rPr>
        <w:t>G</w:t>
      </w:r>
      <w:r w:rsidR="003A4D27" w:rsidRPr="00924A19">
        <w:rPr>
          <w:rFonts w:ascii="Book Antiqua" w:hAnsi="Book Antiqua"/>
          <w:lang w:val="en-US"/>
        </w:rPr>
        <w:t xml:space="preserve"> 2, </w:t>
      </w:r>
      <w:r w:rsidR="00527CF7" w:rsidRPr="00924A19">
        <w:rPr>
          <w:rFonts w:ascii="Book Antiqua" w:hAnsi="Book Antiqua"/>
          <w:lang w:val="en-US"/>
        </w:rPr>
        <w:t>G</w:t>
      </w:r>
      <w:r w:rsidR="003A4D27" w:rsidRPr="00924A19">
        <w:rPr>
          <w:rFonts w:ascii="Book Antiqua" w:hAnsi="Book Antiqua"/>
          <w:lang w:val="en-US"/>
        </w:rPr>
        <w:t xml:space="preserve">5 and </w:t>
      </w:r>
      <w:r w:rsidR="00527CF7" w:rsidRPr="00924A19">
        <w:rPr>
          <w:rFonts w:ascii="Book Antiqua" w:hAnsi="Book Antiqua"/>
          <w:lang w:val="en-US"/>
        </w:rPr>
        <w:t>G</w:t>
      </w:r>
      <w:r w:rsidR="003A4D27" w:rsidRPr="00924A19">
        <w:rPr>
          <w:rFonts w:ascii="Book Antiqua" w:hAnsi="Book Antiqua"/>
          <w:lang w:val="en-US"/>
        </w:rPr>
        <w:t xml:space="preserve"> 6 </w:t>
      </w:r>
      <w:r w:rsidR="00527CF7" w:rsidRPr="00924A19">
        <w:rPr>
          <w:rFonts w:ascii="Book Antiqua" w:hAnsi="Book Antiqua"/>
          <w:lang w:val="en-US"/>
        </w:rPr>
        <w:t>are</w:t>
      </w:r>
      <w:r w:rsidR="003A4D27" w:rsidRPr="00924A19">
        <w:rPr>
          <w:rFonts w:ascii="Book Antiqua" w:hAnsi="Book Antiqua"/>
          <w:lang w:val="en-US"/>
        </w:rPr>
        <w:t xml:space="preserve"> reported (Table 4).</w:t>
      </w:r>
      <w:r w:rsidR="009148FD" w:rsidRPr="00924A19">
        <w:rPr>
          <w:rFonts w:ascii="Book Antiqua" w:hAnsi="Book Antiqua"/>
          <w:lang w:val="en-US"/>
        </w:rPr>
        <w:t xml:space="preserve">In both the </w:t>
      </w:r>
      <w:r w:rsidR="00375489" w:rsidRPr="00924A19">
        <w:rPr>
          <w:rFonts w:ascii="Book Antiqua" w:hAnsi="Book Antiqua"/>
          <w:lang w:val="en-US"/>
        </w:rPr>
        <w:t xml:space="preserve">studied </w:t>
      </w:r>
      <w:r w:rsidR="009148FD" w:rsidRPr="00924A19">
        <w:rPr>
          <w:rFonts w:ascii="Book Antiqua" w:hAnsi="Book Antiqua"/>
          <w:lang w:val="en-US"/>
        </w:rPr>
        <w:t xml:space="preserve">countries (India and Pakistan) </w:t>
      </w:r>
      <w:r w:rsidR="00527CF7" w:rsidRPr="00924A19">
        <w:rPr>
          <w:rFonts w:ascii="Book Antiqua" w:hAnsi="Book Antiqua"/>
          <w:lang w:val="en-US"/>
        </w:rPr>
        <w:t>G</w:t>
      </w:r>
      <w:r w:rsidR="009148FD" w:rsidRPr="00924A19">
        <w:rPr>
          <w:rFonts w:ascii="Book Antiqua" w:hAnsi="Book Antiqua"/>
          <w:lang w:val="en-US"/>
        </w:rPr>
        <w:t xml:space="preserve">3 counts over the half of </w:t>
      </w:r>
      <w:r w:rsidR="003A4D27" w:rsidRPr="00924A19">
        <w:rPr>
          <w:rFonts w:ascii="Book Antiqua" w:hAnsi="Book Antiqua"/>
          <w:lang w:val="en-US"/>
        </w:rPr>
        <w:t xml:space="preserve">all </w:t>
      </w:r>
      <w:r w:rsidR="009148FD" w:rsidRPr="00924A19">
        <w:rPr>
          <w:rFonts w:ascii="Book Antiqua" w:hAnsi="Book Antiqua"/>
          <w:lang w:val="en-US"/>
        </w:rPr>
        <w:t xml:space="preserve">the genotypes described </w:t>
      </w:r>
      <w:r w:rsidR="00375489" w:rsidRPr="00924A19">
        <w:rPr>
          <w:rFonts w:ascii="Book Antiqua" w:hAnsi="Book Antiqua"/>
          <w:lang w:val="en-US"/>
        </w:rPr>
        <w:t>(54.4% and 79.0%)</w:t>
      </w:r>
      <w:r w:rsidR="00665858" w:rsidRPr="00924A19">
        <w:rPr>
          <w:rFonts w:ascii="Book Antiqua" w:hAnsi="Book Antiqua"/>
          <w:lang w:val="en-US"/>
        </w:rPr>
        <w:t xml:space="preserve">. </w:t>
      </w:r>
      <w:r w:rsidR="00F0032C" w:rsidRPr="00924A19">
        <w:rPr>
          <w:rFonts w:ascii="Book Antiqua" w:hAnsi="Book Antiqua"/>
          <w:lang w:val="en-US"/>
        </w:rPr>
        <w:t xml:space="preserve">No genotypes distribution data are available from </w:t>
      </w:r>
      <w:r w:rsidR="00F0032C" w:rsidRPr="00924A19">
        <w:rPr>
          <w:rFonts w:ascii="Book Antiqua" w:eastAsia="Times New Roman" w:hAnsi="Book Antiqua" w:cs="AdvMinionNormal_Rm"/>
          <w:lang w:val="en-US" w:eastAsia="it-IT"/>
        </w:rPr>
        <w:t>Afghan</w:t>
      </w:r>
      <w:r w:rsidR="00BF11D2" w:rsidRPr="00924A19">
        <w:rPr>
          <w:rFonts w:ascii="Book Antiqua" w:eastAsia="Times New Roman" w:hAnsi="Book Antiqua" w:cs="AdvMinionNormal_Rm"/>
          <w:lang w:val="en-US" w:eastAsia="it-IT"/>
        </w:rPr>
        <w:t>istan and Bangladesh</w:t>
      </w:r>
      <w:r w:rsidR="00BF11D2" w:rsidRPr="00924A19">
        <w:rPr>
          <w:rFonts w:ascii="Book Antiqua" w:hAnsi="Book Antiqua"/>
          <w:lang w:val="en-US"/>
        </w:rPr>
        <w:t xml:space="preserve"> (Figure </w:t>
      </w:r>
      <w:r w:rsidR="00C220FF" w:rsidRPr="00924A19">
        <w:rPr>
          <w:rFonts w:ascii="Book Antiqua" w:hAnsi="Book Antiqua"/>
          <w:lang w:val="en-US"/>
        </w:rPr>
        <w:t>4B</w:t>
      </w:r>
      <w:r w:rsidR="00BF11D2" w:rsidRPr="00924A19">
        <w:rPr>
          <w:rFonts w:ascii="Book Antiqua" w:hAnsi="Book Antiqua"/>
          <w:lang w:val="en-US"/>
        </w:rPr>
        <w:t>).</w:t>
      </w:r>
    </w:p>
    <w:p w:rsidR="00375489" w:rsidRPr="00924A19" w:rsidRDefault="00375489" w:rsidP="0026366E">
      <w:pPr>
        <w:snapToGrid w:val="0"/>
        <w:spacing w:line="360" w:lineRule="auto"/>
        <w:jc w:val="both"/>
        <w:rPr>
          <w:rFonts w:ascii="Book Antiqua" w:eastAsia="Times New Roman" w:hAnsi="Book Antiqua" w:cs="AdvGulliv-R"/>
          <w:b/>
          <w:color w:val="000000"/>
          <w:lang w:val="en-US" w:eastAsia="it-IT"/>
        </w:rPr>
      </w:pPr>
    </w:p>
    <w:p w:rsidR="00F0032C" w:rsidRPr="00924A19" w:rsidRDefault="007C1CD8"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t xml:space="preserve">Southeast </w:t>
      </w:r>
      <w:r w:rsidR="00AC7322" w:rsidRPr="00924A19">
        <w:rPr>
          <w:rFonts w:ascii="Book Antiqua" w:eastAsia="Times New Roman" w:hAnsi="Book Antiqua" w:cs="AdvGulliv-R"/>
          <w:b/>
          <w:color w:val="000000"/>
          <w:lang w:val="en-US" w:eastAsia="it-IT"/>
        </w:rPr>
        <w:t>Asia</w:t>
      </w:r>
      <w:r w:rsidR="004E7EA3" w:rsidRPr="00924A19">
        <w:rPr>
          <w:rFonts w:ascii="Book Antiqua" w:eastAsia="Times New Roman" w:hAnsi="Book Antiqua" w:cs="AdvGulliv-R"/>
          <w:b/>
          <w:color w:val="000000"/>
          <w:lang w:val="en-US" w:eastAsia="it-IT"/>
        </w:rPr>
        <w:t xml:space="preserve">: </w:t>
      </w:r>
      <w:r w:rsidR="00527CF7" w:rsidRPr="00924A19">
        <w:rPr>
          <w:rFonts w:ascii="Book Antiqua" w:eastAsia="Times New Roman" w:hAnsi="Book Antiqua" w:cs="AdvMinionNormal_Rm"/>
          <w:lang w:val="en-US" w:eastAsia="it-IT"/>
        </w:rPr>
        <w:t>This area includes</w:t>
      </w:r>
      <w:r w:rsidR="00692737" w:rsidRPr="00924A19">
        <w:rPr>
          <w:rFonts w:ascii="Book Antiqua" w:eastAsia="Times New Roman" w:hAnsi="Book Antiqua" w:cs="AdvMinionNormal_Rm"/>
          <w:lang w:val="en-US" w:eastAsia="it-IT"/>
        </w:rPr>
        <w:t xml:space="preserve"> </w:t>
      </w:r>
      <w:r w:rsidR="006B2458" w:rsidRPr="00924A19">
        <w:rPr>
          <w:rFonts w:ascii="Book Antiqua" w:eastAsia="Times New Roman" w:hAnsi="Book Antiqua" w:cs="AdvMinionNormal_Rm"/>
          <w:lang w:val="en-US" w:eastAsia="it-IT"/>
        </w:rPr>
        <w:t>Cambodia, Indonesia, Laos, Myanmar, Malaysia, Philippines, S</w:t>
      </w:r>
      <w:r w:rsidR="00527CF7" w:rsidRPr="00924A19">
        <w:rPr>
          <w:rFonts w:ascii="Book Antiqua" w:eastAsia="Times New Roman" w:hAnsi="Book Antiqua" w:cs="AdvMinionNormal_Rm"/>
          <w:lang w:val="en-US" w:eastAsia="it-IT"/>
        </w:rPr>
        <w:t xml:space="preserve">ri Lanka, Thailand and Viet Nam, where </w:t>
      </w:r>
      <w:r w:rsidR="00527CF7" w:rsidRPr="00924A19">
        <w:rPr>
          <w:rFonts w:ascii="Book Antiqua" w:hAnsi="Book Antiqua"/>
          <w:lang w:val="en-US"/>
        </w:rPr>
        <w:t>t</w:t>
      </w:r>
      <w:r w:rsidR="004B6442" w:rsidRPr="00924A19">
        <w:rPr>
          <w:rFonts w:ascii="Book Antiqua" w:hAnsi="Book Antiqua"/>
          <w:lang w:val="en-US"/>
        </w:rPr>
        <w:t xml:space="preserve">he prevalence of HCV in the general population is 1.6%, ranging between 2.7% in Thailand and </w:t>
      </w:r>
      <w:r w:rsidR="003A4D27" w:rsidRPr="00924A19">
        <w:rPr>
          <w:rFonts w:ascii="Book Antiqua" w:hAnsi="Book Antiqua"/>
          <w:lang w:val="en-US"/>
        </w:rPr>
        <w:t xml:space="preserve">0.8% in Indonesia (Figure </w:t>
      </w:r>
      <w:r w:rsidR="00C220FF" w:rsidRPr="00924A19">
        <w:rPr>
          <w:rFonts w:ascii="Book Antiqua" w:hAnsi="Book Antiqua"/>
          <w:lang w:val="en-US"/>
        </w:rPr>
        <w:t>4A</w:t>
      </w:r>
      <w:r w:rsidR="003A4D27" w:rsidRPr="00924A19">
        <w:rPr>
          <w:rFonts w:ascii="Book Antiqua" w:hAnsi="Book Antiqua"/>
          <w:lang w:val="en-US"/>
        </w:rPr>
        <w:t>)</w:t>
      </w:r>
      <w:r w:rsidR="00A46ED8" w:rsidRPr="00924A19">
        <w:rPr>
          <w:rFonts w:ascii="Book Antiqua" w:hAnsi="Book Antiqua"/>
          <w:lang w:val="en-US"/>
        </w:rPr>
        <w:t>,</w:t>
      </w:r>
      <w:r w:rsidR="00184665" w:rsidRPr="00924A19">
        <w:rPr>
          <w:rFonts w:ascii="Book Antiqua" w:hAnsi="Book Antiqua" w:hint="eastAsia"/>
          <w:lang w:val="en-US"/>
        </w:rPr>
        <w:t xml:space="preserve"> </w:t>
      </w:r>
      <w:r w:rsidR="00C52461" w:rsidRPr="00924A19">
        <w:rPr>
          <w:rFonts w:ascii="Book Antiqua" w:hAnsi="Book Antiqua"/>
          <w:lang w:val="en-US"/>
        </w:rPr>
        <w:t xml:space="preserve">with a viraemic rate estimated at 60.5% </w:t>
      </w:r>
      <w:r w:rsidR="00956F61" w:rsidRPr="00924A19">
        <w:rPr>
          <w:rFonts w:ascii="Book Antiqua" w:hAnsi="Book Antiqua"/>
          <w:lang w:val="en-US"/>
        </w:rPr>
        <w:t xml:space="preserve">No adult HCV prevalence and/or viraemic data </w:t>
      </w:r>
      <w:r w:rsidR="00527CF7" w:rsidRPr="00924A19">
        <w:rPr>
          <w:rFonts w:ascii="Book Antiqua" w:hAnsi="Book Antiqua"/>
          <w:lang w:val="en-US"/>
        </w:rPr>
        <w:t>are</w:t>
      </w:r>
      <w:r w:rsidR="00956F61" w:rsidRPr="00924A19">
        <w:rPr>
          <w:rFonts w:ascii="Book Antiqua" w:hAnsi="Book Antiqua"/>
          <w:lang w:val="en-US"/>
        </w:rPr>
        <w:t xml:space="preserve"> available </w:t>
      </w:r>
      <w:r w:rsidR="00F0032C" w:rsidRPr="00924A19">
        <w:rPr>
          <w:rFonts w:ascii="Book Antiqua" w:hAnsi="Book Antiqua"/>
          <w:lang w:val="en-US"/>
        </w:rPr>
        <w:t>from Laos, Sri Lanka and Viet Nam.</w:t>
      </w:r>
    </w:p>
    <w:p w:rsidR="009148FD" w:rsidRPr="00924A19" w:rsidRDefault="00527CF7" w:rsidP="0026366E">
      <w:pPr>
        <w:snapToGrid w:val="0"/>
        <w:spacing w:line="360" w:lineRule="auto"/>
        <w:jc w:val="both"/>
        <w:rPr>
          <w:rFonts w:ascii="Book Antiqua" w:hAnsi="Book Antiqua"/>
          <w:lang w:val="en-US"/>
        </w:rPr>
      </w:pPr>
      <w:r w:rsidRPr="00924A19">
        <w:rPr>
          <w:rFonts w:ascii="Book Antiqua" w:hAnsi="Book Antiqua"/>
          <w:lang w:val="en-US"/>
        </w:rPr>
        <w:t>G</w:t>
      </w:r>
      <w:r w:rsidR="00F12596" w:rsidRPr="00924A19">
        <w:rPr>
          <w:rFonts w:ascii="Book Antiqua" w:hAnsi="Book Antiqua"/>
          <w:lang w:val="en-US"/>
        </w:rPr>
        <w:t xml:space="preserve">1 and </w:t>
      </w:r>
      <w:r w:rsidRPr="00924A19">
        <w:rPr>
          <w:rFonts w:ascii="Book Antiqua" w:hAnsi="Book Antiqua"/>
          <w:lang w:val="en-US"/>
        </w:rPr>
        <w:t>G</w:t>
      </w:r>
      <w:r w:rsidR="00F12596" w:rsidRPr="00924A19">
        <w:rPr>
          <w:rFonts w:ascii="Book Antiqua" w:hAnsi="Book Antiqua"/>
          <w:lang w:val="en-US"/>
        </w:rPr>
        <w:t xml:space="preserve">6 account over the 60% of </w:t>
      </w:r>
      <w:r w:rsidR="003A4D27" w:rsidRPr="00924A19">
        <w:rPr>
          <w:rFonts w:ascii="Book Antiqua" w:hAnsi="Book Antiqua"/>
          <w:lang w:val="en-US"/>
        </w:rPr>
        <w:t xml:space="preserve">all the genotypes identified </w:t>
      </w:r>
      <w:r w:rsidR="00F12596" w:rsidRPr="00924A19">
        <w:rPr>
          <w:rFonts w:ascii="Book Antiqua" w:hAnsi="Book Antiqua"/>
          <w:lang w:val="en-US"/>
        </w:rPr>
        <w:t xml:space="preserve">(35.2% and 30.8%, respectively), followed by </w:t>
      </w:r>
      <w:r w:rsidRPr="00924A19">
        <w:rPr>
          <w:rFonts w:ascii="Book Antiqua" w:hAnsi="Book Antiqua"/>
          <w:lang w:val="en-US"/>
        </w:rPr>
        <w:t>G</w:t>
      </w:r>
      <w:r w:rsidR="00F12596" w:rsidRPr="00924A19">
        <w:rPr>
          <w:rFonts w:ascii="Book Antiqua" w:hAnsi="Book Antiqua"/>
          <w:lang w:val="en-US"/>
        </w:rPr>
        <w:t xml:space="preserve">3 (19.9%) and </w:t>
      </w:r>
      <w:r w:rsidRPr="00924A19">
        <w:rPr>
          <w:rFonts w:ascii="Book Antiqua" w:hAnsi="Book Antiqua"/>
          <w:lang w:val="en-US"/>
        </w:rPr>
        <w:t>G</w:t>
      </w:r>
      <w:r w:rsidR="00F12596" w:rsidRPr="00924A19">
        <w:rPr>
          <w:rFonts w:ascii="Book Antiqua" w:hAnsi="Book Antiqua"/>
          <w:lang w:val="en-US"/>
        </w:rPr>
        <w:t xml:space="preserve">2 (11.1%). Only a small percentage </w:t>
      </w:r>
      <w:r w:rsidR="00A96CB8" w:rsidRPr="00924A19">
        <w:rPr>
          <w:rFonts w:ascii="Book Antiqua" w:hAnsi="Book Antiqua"/>
          <w:lang w:val="en-US"/>
        </w:rPr>
        <w:t xml:space="preserve">of </w:t>
      </w:r>
      <w:r w:rsidRPr="00924A19">
        <w:rPr>
          <w:rFonts w:ascii="Book Antiqua" w:hAnsi="Book Antiqua"/>
          <w:lang w:val="en-US"/>
        </w:rPr>
        <w:lastRenderedPageBreak/>
        <w:t>G</w:t>
      </w:r>
      <w:r w:rsidR="00A96CB8" w:rsidRPr="00924A19">
        <w:rPr>
          <w:rFonts w:ascii="Book Antiqua" w:hAnsi="Book Antiqua"/>
          <w:lang w:val="en-US"/>
        </w:rPr>
        <w:t>4 and</w:t>
      </w:r>
      <w:r w:rsidRPr="00924A19">
        <w:rPr>
          <w:rFonts w:ascii="Book Antiqua" w:hAnsi="Book Antiqua"/>
          <w:lang w:val="en-US"/>
        </w:rPr>
        <w:t>G</w:t>
      </w:r>
      <w:r w:rsidR="00A96CB8" w:rsidRPr="00924A19">
        <w:rPr>
          <w:rFonts w:ascii="Book Antiqua" w:hAnsi="Book Antiqua"/>
          <w:lang w:val="en-US"/>
        </w:rPr>
        <w:t xml:space="preserve">5 </w:t>
      </w:r>
      <w:r w:rsidRPr="00924A19">
        <w:rPr>
          <w:rFonts w:ascii="Book Antiqua" w:hAnsi="Book Antiqua"/>
          <w:lang w:val="en-US"/>
        </w:rPr>
        <w:t>has been</w:t>
      </w:r>
      <w:r w:rsidR="00A96CB8" w:rsidRPr="00924A19">
        <w:rPr>
          <w:rFonts w:ascii="Book Antiqua" w:hAnsi="Book Antiqua"/>
          <w:lang w:val="en-US"/>
        </w:rPr>
        <w:t xml:space="preserve"> found (Table 4).</w:t>
      </w:r>
      <w:r w:rsidR="00184665" w:rsidRPr="00924A19">
        <w:rPr>
          <w:rFonts w:ascii="Book Antiqua" w:hAnsi="Book Antiqua" w:hint="eastAsia"/>
          <w:lang w:val="en-US"/>
        </w:rPr>
        <w:t xml:space="preserve"> </w:t>
      </w:r>
      <w:r w:rsidR="00E675E7" w:rsidRPr="00924A19">
        <w:rPr>
          <w:rFonts w:ascii="Book Antiqua" w:hAnsi="Book Antiqua"/>
          <w:lang w:val="en-US"/>
        </w:rPr>
        <w:t xml:space="preserve">Except for Laos where </w:t>
      </w:r>
      <w:r w:rsidRPr="00924A19">
        <w:rPr>
          <w:rFonts w:ascii="Book Antiqua" w:hAnsi="Book Antiqua"/>
          <w:lang w:val="en-US"/>
        </w:rPr>
        <w:t>G</w:t>
      </w:r>
      <w:r w:rsidR="00E675E7" w:rsidRPr="00924A19">
        <w:rPr>
          <w:rFonts w:ascii="Book Antiqua" w:hAnsi="Book Antiqua"/>
          <w:lang w:val="en-US"/>
        </w:rPr>
        <w:t xml:space="preserve">6 represents about the totality of genotypes observed (95.6%) and Indonesia and Philippines in which </w:t>
      </w:r>
      <w:r w:rsidRPr="00924A19">
        <w:rPr>
          <w:rFonts w:ascii="Book Antiqua" w:hAnsi="Book Antiqua"/>
          <w:lang w:val="en-US"/>
        </w:rPr>
        <w:t>G</w:t>
      </w:r>
      <w:r w:rsidR="00E675E7" w:rsidRPr="00924A19">
        <w:rPr>
          <w:rFonts w:ascii="Book Antiqua" w:hAnsi="Book Antiqua"/>
          <w:lang w:val="en-US"/>
        </w:rPr>
        <w:t>1 accounts over the 60% of the totality of cases reported, a</w:t>
      </w:r>
      <w:r w:rsidR="00184665" w:rsidRPr="00924A19">
        <w:rPr>
          <w:rFonts w:ascii="Book Antiqua" w:hAnsi="Book Antiqua" w:hint="eastAsia"/>
          <w:lang w:val="en-US"/>
        </w:rPr>
        <w:t xml:space="preserve"> </w:t>
      </w:r>
      <w:r w:rsidR="00E675E7" w:rsidRPr="00924A19">
        <w:rPr>
          <w:rFonts w:ascii="Book Antiqua" w:hAnsi="Book Antiqua"/>
          <w:lang w:val="en-US"/>
        </w:rPr>
        <w:t xml:space="preserve">high heterogeneity </w:t>
      </w:r>
      <w:r w:rsidRPr="00924A19">
        <w:rPr>
          <w:rFonts w:ascii="Book Antiqua" w:hAnsi="Book Antiqua"/>
          <w:lang w:val="en-US"/>
        </w:rPr>
        <w:t>is</w:t>
      </w:r>
      <w:r w:rsidR="00E675E7" w:rsidRPr="00924A19">
        <w:rPr>
          <w:rFonts w:ascii="Book Antiqua" w:hAnsi="Book Antiqua"/>
          <w:lang w:val="en-US"/>
        </w:rPr>
        <w:t>observed in all the other countries.</w:t>
      </w:r>
      <w:r w:rsidR="009148FD" w:rsidRPr="00924A19">
        <w:rPr>
          <w:rFonts w:ascii="Book Antiqua" w:hAnsi="Book Antiqua"/>
          <w:lang w:val="en-US"/>
        </w:rPr>
        <w:t xml:space="preserve"> In some countries (Cambodia, Myanmar and Viet Nam) </w:t>
      </w:r>
      <w:r w:rsidRPr="00924A19">
        <w:rPr>
          <w:rFonts w:ascii="Book Antiqua" w:hAnsi="Book Antiqua"/>
          <w:lang w:val="en-US"/>
        </w:rPr>
        <w:t>G</w:t>
      </w:r>
      <w:r w:rsidR="009148FD" w:rsidRPr="00924A19">
        <w:rPr>
          <w:rFonts w:ascii="Book Antiqua" w:hAnsi="Book Antiqua"/>
          <w:lang w:val="en-US"/>
        </w:rPr>
        <w:t xml:space="preserve">6 is predominant (56.0%, 49.0% and 54.4%, respectively), whereas in others (Sri Lanka, Philippines and Indonesia) </w:t>
      </w:r>
      <w:r w:rsidRPr="00924A19">
        <w:rPr>
          <w:rFonts w:ascii="Book Antiqua" w:hAnsi="Book Antiqua"/>
          <w:lang w:val="en-US"/>
        </w:rPr>
        <w:t>G</w:t>
      </w:r>
      <w:r w:rsidR="009148FD" w:rsidRPr="00924A19">
        <w:rPr>
          <w:rFonts w:ascii="Book Antiqua" w:hAnsi="Book Antiqua"/>
          <w:lang w:val="en-US"/>
        </w:rPr>
        <w:t xml:space="preserve">2 shows a significantly percentage (37.5%, 26.4% and 20.2%). Malaysia and Thailand are the countries where </w:t>
      </w:r>
      <w:r w:rsidRPr="00924A19">
        <w:rPr>
          <w:rFonts w:ascii="Book Antiqua" w:hAnsi="Book Antiqua"/>
          <w:lang w:val="en-US"/>
        </w:rPr>
        <w:t>G</w:t>
      </w:r>
      <w:r w:rsidR="009148FD" w:rsidRPr="00924A19">
        <w:rPr>
          <w:rFonts w:ascii="Book Antiqua" w:hAnsi="Book Antiqua"/>
          <w:lang w:val="en-US"/>
        </w:rPr>
        <w:t>3 shows the highes</w:t>
      </w:r>
      <w:r w:rsidR="00BF11D2" w:rsidRPr="00924A19">
        <w:rPr>
          <w:rFonts w:ascii="Book Antiqua" w:hAnsi="Book Antiqua"/>
          <w:lang w:val="en-US"/>
        </w:rPr>
        <w:t>t percentages (58.6% and 44.2%)</w:t>
      </w:r>
      <w:r w:rsidR="00184665" w:rsidRPr="00924A19">
        <w:rPr>
          <w:rFonts w:ascii="Book Antiqua" w:hAnsi="Book Antiqua" w:hint="eastAsia"/>
          <w:lang w:val="en-US"/>
        </w:rPr>
        <w:t xml:space="preserve"> </w:t>
      </w:r>
      <w:r w:rsidR="00BF11D2" w:rsidRPr="00924A19">
        <w:rPr>
          <w:rFonts w:ascii="Book Antiqua" w:hAnsi="Book Antiqua"/>
          <w:lang w:val="en-US"/>
        </w:rPr>
        <w:t>(Figure</w:t>
      </w:r>
      <w:r w:rsidR="00C220FF" w:rsidRPr="00924A19">
        <w:rPr>
          <w:rFonts w:ascii="Book Antiqua" w:hAnsi="Book Antiqua"/>
          <w:lang w:val="en-US"/>
        </w:rPr>
        <w:t>4B</w:t>
      </w:r>
      <w:r w:rsidR="00BF11D2" w:rsidRPr="00924A19">
        <w:rPr>
          <w:rFonts w:ascii="Book Antiqua" w:hAnsi="Book Antiqua"/>
          <w:lang w:val="en-US"/>
        </w:rPr>
        <w:t>).</w:t>
      </w:r>
    </w:p>
    <w:p w:rsidR="006D79AB" w:rsidRPr="00924A19" w:rsidRDefault="006D79AB" w:rsidP="0026366E">
      <w:pPr>
        <w:snapToGrid w:val="0"/>
        <w:spacing w:line="360" w:lineRule="auto"/>
        <w:jc w:val="both"/>
        <w:rPr>
          <w:rFonts w:ascii="Book Antiqua" w:hAnsi="Book Antiqua"/>
          <w:b/>
          <w:lang w:val="en-US"/>
        </w:rPr>
      </w:pPr>
    </w:p>
    <w:p w:rsidR="00173DBA" w:rsidRPr="00924A19" w:rsidRDefault="00173DBA" w:rsidP="0026366E">
      <w:pPr>
        <w:snapToGrid w:val="0"/>
        <w:spacing w:line="360" w:lineRule="auto"/>
        <w:jc w:val="both"/>
        <w:rPr>
          <w:rFonts w:ascii="Book Antiqua" w:hAnsi="Book Antiqua"/>
          <w:b/>
          <w:i/>
          <w:lang w:val="en-GB"/>
        </w:rPr>
      </w:pPr>
      <w:r w:rsidRPr="00924A19">
        <w:rPr>
          <w:rFonts w:ascii="Book Antiqua" w:hAnsi="Book Antiqua"/>
          <w:b/>
          <w:i/>
          <w:lang w:val="en-GB"/>
        </w:rPr>
        <w:t>A</w:t>
      </w:r>
      <w:r w:rsidR="007F29F2" w:rsidRPr="00924A19">
        <w:rPr>
          <w:rFonts w:ascii="Book Antiqua" w:hAnsi="Book Antiqua"/>
          <w:b/>
          <w:i/>
          <w:lang w:val="en-GB"/>
        </w:rPr>
        <w:t>ustralasia</w:t>
      </w:r>
    </w:p>
    <w:p w:rsidR="006D64FC" w:rsidRPr="00924A19" w:rsidRDefault="00527CF7" w:rsidP="0026366E">
      <w:pPr>
        <w:autoSpaceDE w:val="0"/>
        <w:autoSpaceDN w:val="0"/>
        <w:adjustRightInd w:val="0"/>
        <w:snapToGrid w:val="0"/>
        <w:spacing w:line="360" w:lineRule="auto"/>
        <w:jc w:val="both"/>
        <w:rPr>
          <w:rFonts w:ascii="Book Antiqua" w:eastAsia="Times New Roman" w:hAnsi="Book Antiqua" w:cs="AdvMinionNormal_Rm"/>
          <w:lang w:val="en-US" w:eastAsia="it-IT"/>
        </w:rPr>
      </w:pPr>
      <w:r w:rsidRPr="00924A19">
        <w:rPr>
          <w:rFonts w:ascii="Book Antiqua" w:eastAsia="Times New Roman" w:hAnsi="Book Antiqua" w:cs="AdvMinionNormal_Rm"/>
          <w:lang w:val="en-US" w:eastAsia="it-IT"/>
        </w:rPr>
        <w:t>Studies concerning this area has been found only from</w:t>
      </w:r>
      <w:r w:rsidR="00184665" w:rsidRPr="00924A19">
        <w:rPr>
          <w:rFonts w:ascii="Book Antiqua" w:eastAsiaTheme="minorEastAsia" w:hAnsi="Book Antiqua" w:cs="AdvMinionNormal_Rm" w:hint="eastAsia"/>
          <w:lang w:val="en-US"/>
        </w:rPr>
        <w:t xml:space="preserve"> </w:t>
      </w:r>
      <w:r w:rsidRPr="00924A19">
        <w:rPr>
          <w:rFonts w:ascii="Book Antiqua" w:eastAsia="Times New Roman" w:hAnsi="Book Antiqua" w:cs="AdvMinionNormal_Rm"/>
          <w:lang w:val="en-US" w:eastAsia="it-IT"/>
        </w:rPr>
        <w:t xml:space="preserve">Australia and New Zealand, with </w:t>
      </w:r>
      <w:r w:rsidRPr="00924A19">
        <w:rPr>
          <w:rFonts w:ascii="Book Antiqua" w:hAnsi="Book Antiqua"/>
          <w:lang w:val="en-US"/>
        </w:rPr>
        <w:t xml:space="preserve">a </w:t>
      </w:r>
      <w:r w:rsidR="004B6442" w:rsidRPr="00924A19">
        <w:rPr>
          <w:rFonts w:ascii="Book Antiqua" w:hAnsi="Book Antiqua"/>
          <w:lang w:val="en-US"/>
        </w:rPr>
        <w:t xml:space="preserve">prevalence of HCV </w:t>
      </w:r>
      <w:r w:rsidRPr="00924A19">
        <w:rPr>
          <w:rFonts w:ascii="Book Antiqua" w:hAnsi="Book Antiqua"/>
          <w:lang w:val="en-US"/>
        </w:rPr>
        <w:t>of</w:t>
      </w:r>
      <w:r w:rsidR="004B6442" w:rsidRPr="00924A19">
        <w:rPr>
          <w:rFonts w:ascii="Book Antiqua" w:hAnsi="Book Antiqua"/>
          <w:lang w:val="en-US"/>
        </w:rPr>
        <w:t xml:space="preserve"> 1.8%, ranging between 1.9% in New Zealand and 1.7% in Australia</w:t>
      </w:r>
      <w:r w:rsidR="006D64FC" w:rsidRPr="00924A19">
        <w:rPr>
          <w:rFonts w:ascii="Book Antiqua" w:hAnsi="Book Antiqua"/>
          <w:lang w:val="en-US"/>
        </w:rPr>
        <w:t xml:space="preserve">, </w:t>
      </w:r>
      <w:r w:rsidR="00723F1D" w:rsidRPr="00924A19">
        <w:rPr>
          <w:rFonts w:ascii="Book Antiqua" w:hAnsi="Book Antiqua"/>
          <w:lang w:val="en-US"/>
        </w:rPr>
        <w:t xml:space="preserve">accounting </w:t>
      </w:r>
      <w:r w:rsidR="00BF11D2" w:rsidRPr="00924A19">
        <w:rPr>
          <w:rFonts w:ascii="Book Antiqua" w:hAnsi="Book Antiqua"/>
          <w:lang w:val="en-US"/>
        </w:rPr>
        <w:t xml:space="preserve">0.5 millions of estimated cases (Figure </w:t>
      </w:r>
      <w:r w:rsidR="00C220FF" w:rsidRPr="00924A19">
        <w:rPr>
          <w:rFonts w:ascii="Book Antiqua" w:hAnsi="Book Antiqua"/>
          <w:lang w:val="en-US"/>
        </w:rPr>
        <w:t>5A</w:t>
      </w:r>
      <w:r w:rsidR="00BF11D2" w:rsidRPr="00924A19">
        <w:rPr>
          <w:rFonts w:ascii="Book Antiqua" w:hAnsi="Book Antiqua"/>
          <w:lang w:val="en-US"/>
        </w:rPr>
        <w:t>).</w:t>
      </w:r>
      <w:r w:rsidR="006D64FC" w:rsidRPr="00924A19">
        <w:rPr>
          <w:rFonts w:ascii="Book Antiqua" w:hAnsi="Book Antiqua"/>
          <w:lang w:val="en-US"/>
        </w:rPr>
        <w:t xml:space="preserve">The viraemic rate is 74.8%, with 0.4 </w:t>
      </w:r>
      <w:r w:rsidR="00516180" w:rsidRPr="00924A19">
        <w:rPr>
          <w:rFonts w:ascii="Book Antiqua" w:hAnsi="Book Antiqua"/>
          <w:lang w:val="en-US"/>
        </w:rPr>
        <w:t>million</w:t>
      </w:r>
      <w:r w:rsidR="006D64FC" w:rsidRPr="00924A19">
        <w:rPr>
          <w:rFonts w:ascii="Book Antiqua" w:hAnsi="Book Antiqua"/>
          <w:lang w:val="en-US"/>
        </w:rPr>
        <w:t xml:space="preserve"> of active HCV replication cases (Table 1).</w:t>
      </w:r>
    </w:p>
    <w:p w:rsidR="00375489" w:rsidRPr="00924A19" w:rsidRDefault="00723F1D"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The more common genotype is G</w:t>
      </w:r>
      <w:r w:rsidR="00375489" w:rsidRPr="00924A19">
        <w:rPr>
          <w:rFonts w:ascii="Book Antiqua" w:hAnsi="Book Antiqua"/>
          <w:lang w:val="en-US"/>
        </w:rPr>
        <w:t xml:space="preserve">1 (55.0%) followed by </w:t>
      </w:r>
      <w:r w:rsidRPr="00924A19">
        <w:rPr>
          <w:rFonts w:ascii="Book Antiqua" w:hAnsi="Book Antiqua"/>
          <w:lang w:val="en-US"/>
        </w:rPr>
        <w:t>G</w:t>
      </w:r>
      <w:r w:rsidR="00375489" w:rsidRPr="00924A19">
        <w:rPr>
          <w:rFonts w:ascii="Book Antiqua" w:hAnsi="Book Antiqua"/>
          <w:lang w:val="en-US"/>
        </w:rPr>
        <w:t xml:space="preserve">3 (36.0%) and </w:t>
      </w:r>
      <w:r w:rsidRPr="00924A19">
        <w:rPr>
          <w:rFonts w:ascii="Book Antiqua" w:hAnsi="Book Antiqua"/>
          <w:lang w:val="en-US"/>
        </w:rPr>
        <w:t>G</w:t>
      </w:r>
      <w:r w:rsidR="00375489" w:rsidRPr="00924A19">
        <w:rPr>
          <w:rFonts w:ascii="Book Antiqua" w:hAnsi="Book Antiqua"/>
          <w:lang w:val="en-US"/>
        </w:rPr>
        <w:t xml:space="preserve">2 (6.6%). Only a small percentage of </w:t>
      </w:r>
      <w:r w:rsidRPr="00924A19">
        <w:rPr>
          <w:rFonts w:ascii="Book Antiqua" w:hAnsi="Book Antiqua"/>
          <w:lang w:val="en-US"/>
        </w:rPr>
        <w:t>G</w:t>
      </w:r>
      <w:r w:rsidR="00375489" w:rsidRPr="00924A19">
        <w:rPr>
          <w:rFonts w:ascii="Book Antiqua" w:hAnsi="Book Antiqua"/>
          <w:lang w:val="en-US"/>
        </w:rPr>
        <w:t xml:space="preserve">4 and </w:t>
      </w:r>
      <w:r w:rsidRPr="00924A19">
        <w:rPr>
          <w:rFonts w:ascii="Book Antiqua" w:hAnsi="Book Antiqua"/>
          <w:lang w:val="en-US"/>
        </w:rPr>
        <w:t>G</w:t>
      </w:r>
      <w:r w:rsidR="00375489" w:rsidRPr="00924A19">
        <w:rPr>
          <w:rFonts w:ascii="Book Antiqua" w:hAnsi="Book Antiqua"/>
          <w:lang w:val="en-US"/>
        </w:rPr>
        <w:t xml:space="preserve">5 </w:t>
      </w:r>
      <w:r w:rsidRPr="00924A19">
        <w:rPr>
          <w:rFonts w:ascii="Book Antiqua" w:hAnsi="Book Antiqua"/>
          <w:lang w:val="en-US"/>
        </w:rPr>
        <w:t>has been</w:t>
      </w:r>
      <w:r w:rsidR="00375489" w:rsidRPr="00924A19">
        <w:rPr>
          <w:rFonts w:ascii="Book Antiqua" w:hAnsi="Book Antiqua"/>
          <w:lang w:val="en-US"/>
        </w:rPr>
        <w:t xml:space="preserve"> found. No </w:t>
      </w:r>
      <w:r w:rsidRPr="00924A19">
        <w:rPr>
          <w:rFonts w:ascii="Book Antiqua" w:hAnsi="Book Antiqua"/>
          <w:lang w:val="en-US"/>
        </w:rPr>
        <w:t>G</w:t>
      </w:r>
      <w:r w:rsidR="00473D92" w:rsidRPr="00924A19">
        <w:rPr>
          <w:rFonts w:ascii="Book Antiqua" w:hAnsi="Book Antiqua"/>
          <w:lang w:val="en-US"/>
        </w:rPr>
        <w:t>5</w:t>
      </w:r>
      <w:r w:rsidRPr="00924A19">
        <w:rPr>
          <w:rFonts w:ascii="Book Antiqua" w:hAnsi="Book Antiqua"/>
          <w:lang w:val="en-US"/>
        </w:rPr>
        <w:t>cases are described</w:t>
      </w:r>
      <w:r w:rsidR="007F29F2" w:rsidRPr="00924A19">
        <w:rPr>
          <w:rFonts w:ascii="Book Antiqua" w:hAnsi="Book Antiqua"/>
          <w:lang w:val="en-US"/>
        </w:rPr>
        <w:t xml:space="preserve"> (Table 3</w:t>
      </w:r>
      <w:r w:rsidR="006F0577" w:rsidRPr="00924A19">
        <w:rPr>
          <w:rFonts w:ascii="Book Antiqua" w:hAnsi="Book Antiqua" w:hint="eastAsia"/>
          <w:lang w:val="en-US"/>
        </w:rPr>
        <w:t xml:space="preserve">, </w:t>
      </w:r>
      <w:r w:rsidR="003A2FEE" w:rsidRPr="00924A19">
        <w:rPr>
          <w:rFonts w:ascii="Book Antiqua" w:hAnsi="Book Antiqua"/>
          <w:lang w:val="en-US"/>
        </w:rPr>
        <w:t xml:space="preserve">Figure </w:t>
      </w:r>
      <w:r w:rsidR="00C220FF" w:rsidRPr="00924A19">
        <w:rPr>
          <w:rFonts w:ascii="Book Antiqua" w:hAnsi="Book Antiqua"/>
          <w:lang w:val="en-US"/>
        </w:rPr>
        <w:t>5B</w:t>
      </w:r>
      <w:r w:rsidR="003A2FEE" w:rsidRPr="00924A19">
        <w:rPr>
          <w:rFonts w:ascii="Book Antiqua" w:hAnsi="Book Antiqua"/>
          <w:lang w:val="en-US"/>
        </w:rPr>
        <w:t>).</w:t>
      </w:r>
    </w:p>
    <w:p w:rsidR="00DC6037" w:rsidRPr="00924A19" w:rsidRDefault="00DC6037" w:rsidP="0026366E">
      <w:pPr>
        <w:snapToGrid w:val="0"/>
        <w:spacing w:line="360" w:lineRule="auto"/>
        <w:jc w:val="both"/>
        <w:rPr>
          <w:rFonts w:ascii="Book Antiqua" w:hAnsi="Book Antiqua"/>
          <w:b/>
          <w:lang w:val="en-GB"/>
        </w:rPr>
      </w:pPr>
    </w:p>
    <w:p w:rsidR="006D79AB" w:rsidRPr="00924A19" w:rsidRDefault="006D79AB" w:rsidP="0026366E">
      <w:pPr>
        <w:snapToGrid w:val="0"/>
        <w:spacing w:line="360" w:lineRule="auto"/>
        <w:jc w:val="both"/>
        <w:rPr>
          <w:rFonts w:ascii="Book Antiqua" w:hAnsi="Book Antiqua"/>
          <w:b/>
          <w:i/>
          <w:lang w:val="en-GB"/>
        </w:rPr>
      </w:pPr>
      <w:r w:rsidRPr="00924A19">
        <w:rPr>
          <w:rFonts w:ascii="Book Antiqua" w:hAnsi="Book Antiqua"/>
          <w:b/>
          <w:i/>
          <w:lang w:val="en-GB"/>
        </w:rPr>
        <w:t>E</w:t>
      </w:r>
      <w:r w:rsidR="007F29F2" w:rsidRPr="00924A19">
        <w:rPr>
          <w:rFonts w:ascii="Book Antiqua" w:hAnsi="Book Antiqua"/>
          <w:b/>
          <w:i/>
          <w:lang w:val="en-GB"/>
        </w:rPr>
        <w:t>urope</w:t>
      </w:r>
    </w:p>
    <w:p w:rsidR="00375489" w:rsidRPr="00924A19" w:rsidRDefault="00375489" w:rsidP="0026366E">
      <w:pPr>
        <w:snapToGrid w:val="0"/>
        <w:spacing w:line="360" w:lineRule="auto"/>
        <w:jc w:val="both"/>
        <w:rPr>
          <w:rFonts w:ascii="Book Antiqua" w:eastAsia="Times New Roman" w:hAnsi="Book Antiqua" w:cs="AdvGulliv-R"/>
          <w:color w:val="000000"/>
          <w:lang w:val="en-US" w:eastAsia="it-IT"/>
        </w:rPr>
      </w:pPr>
      <w:r w:rsidRPr="00924A19">
        <w:rPr>
          <w:rFonts w:ascii="Book Antiqua" w:eastAsia="Times New Roman" w:hAnsi="Book Antiqua" w:cs="AdvGulliv-R"/>
          <w:color w:val="000000"/>
          <w:lang w:val="en-US" w:eastAsia="it-IT"/>
        </w:rPr>
        <w:t>T</w:t>
      </w:r>
      <w:r w:rsidR="00500DF2" w:rsidRPr="00924A19">
        <w:rPr>
          <w:rFonts w:ascii="Book Antiqua" w:eastAsia="Times New Roman" w:hAnsi="Book Antiqua" w:cs="AdvGulliv-R"/>
          <w:color w:val="000000"/>
          <w:lang w:val="en-US" w:eastAsia="it-IT"/>
        </w:rPr>
        <w:t>he GBD</w:t>
      </w:r>
      <w:r w:rsidRPr="00924A19">
        <w:rPr>
          <w:rFonts w:ascii="Book Antiqua" w:eastAsia="Times New Roman" w:hAnsi="Book Antiqua" w:cs="AdvGulliv-R"/>
          <w:color w:val="000000"/>
          <w:lang w:val="en-US" w:eastAsia="it-IT"/>
        </w:rPr>
        <w:t xml:space="preserve"> subdivides European countries into 3 </w:t>
      </w:r>
      <w:r w:rsidR="00500DF2" w:rsidRPr="00924A19">
        <w:rPr>
          <w:rFonts w:ascii="Book Antiqua" w:eastAsia="Times New Roman" w:hAnsi="Book Antiqua" w:cs="AdvGulliv-R"/>
          <w:color w:val="000000"/>
          <w:lang w:val="en-US" w:eastAsia="it-IT"/>
        </w:rPr>
        <w:t xml:space="preserve">main </w:t>
      </w:r>
      <w:r w:rsidRPr="00924A19">
        <w:rPr>
          <w:rFonts w:ascii="Book Antiqua" w:eastAsia="Times New Roman" w:hAnsi="Book Antiqua" w:cs="AdvGulliv-R"/>
          <w:color w:val="000000"/>
          <w:lang w:val="en-US" w:eastAsia="it-IT"/>
        </w:rPr>
        <w:t>areas: Central, Eastern and Western.</w:t>
      </w:r>
    </w:p>
    <w:p w:rsidR="00DB3E71" w:rsidRPr="00924A19" w:rsidRDefault="00A24811" w:rsidP="0026366E">
      <w:pPr>
        <w:snapToGrid w:val="0"/>
        <w:spacing w:line="360" w:lineRule="auto"/>
        <w:ind w:firstLineChars="100" w:firstLine="240"/>
        <w:jc w:val="both"/>
        <w:rPr>
          <w:rFonts w:ascii="Book Antiqua" w:hAnsi="Book Antiqua"/>
          <w:b/>
          <w:lang w:val="en-US"/>
        </w:rPr>
      </w:pPr>
      <w:r w:rsidRPr="00924A19">
        <w:rPr>
          <w:rFonts w:ascii="Book Antiqua" w:hAnsi="Book Antiqua"/>
          <w:lang w:val="en-US"/>
        </w:rPr>
        <w:t xml:space="preserve">The estimated prevalence of HCV of the whole </w:t>
      </w:r>
      <w:r w:rsidR="00F73E97" w:rsidRPr="00924A19">
        <w:rPr>
          <w:rFonts w:ascii="Book Antiqua" w:hAnsi="Book Antiqua"/>
          <w:lang w:val="en-US"/>
        </w:rPr>
        <w:t>continent</w:t>
      </w:r>
      <w:r w:rsidRPr="00924A19">
        <w:rPr>
          <w:rFonts w:ascii="Book Antiqua" w:hAnsi="Book Antiqua"/>
          <w:lang w:val="en-US"/>
        </w:rPr>
        <w:t xml:space="preserve"> is </w:t>
      </w:r>
      <w:r w:rsidR="003B5D05" w:rsidRPr="00924A19">
        <w:rPr>
          <w:rFonts w:ascii="Book Antiqua" w:hAnsi="Book Antiqua"/>
          <w:lang w:val="en-US"/>
        </w:rPr>
        <w:t>1.8</w:t>
      </w:r>
      <w:r w:rsidRPr="00924A19">
        <w:rPr>
          <w:rFonts w:ascii="Book Antiqua" w:hAnsi="Book Antiqua"/>
          <w:lang w:val="en-US"/>
        </w:rPr>
        <w:t>%</w:t>
      </w:r>
      <w:r w:rsidR="00DB3E71" w:rsidRPr="00924A19">
        <w:rPr>
          <w:rFonts w:ascii="Book Antiqua" w:hAnsi="Book Antiqua"/>
          <w:b/>
          <w:lang w:val="en-US"/>
        </w:rPr>
        <w:t xml:space="preserve">, </w:t>
      </w:r>
      <w:r w:rsidR="00DB3E71" w:rsidRPr="00924A19">
        <w:rPr>
          <w:rFonts w:ascii="Book Antiqua" w:hAnsi="Book Antiqua"/>
          <w:lang w:val="en-US"/>
        </w:rPr>
        <w:t xml:space="preserve">accounting over 13 </w:t>
      </w:r>
      <w:r w:rsidR="00516180" w:rsidRPr="00924A19">
        <w:rPr>
          <w:rFonts w:ascii="Book Antiqua" w:hAnsi="Book Antiqua"/>
          <w:lang w:val="en-US"/>
        </w:rPr>
        <w:t>million</w:t>
      </w:r>
      <w:r w:rsidR="00DB3E71" w:rsidRPr="00924A19">
        <w:rPr>
          <w:rFonts w:ascii="Book Antiqua" w:hAnsi="Book Antiqua"/>
          <w:lang w:val="en-US"/>
        </w:rPr>
        <w:t xml:space="preserve"> of estimated cases. The average HCV viraemic rate is 72.4%, </w:t>
      </w:r>
      <w:r w:rsidR="006D64FC" w:rsidRPr="00924A19">
        <w:rPr>
          <w:rFonts w:ascii="Book Antiqua" w:hAnsi="Book Antiqua"/>
          <w:lang w:val="en-US"/>
        </w:rPr>
        <w:t xml:space="preserve">with a population of almost 10 </w:t>
      </w:r>
      <w:r w:rsidR="00516180" w:rsidRPr="00924A19">
        <w:rPr>
          <w:rFonts w:ascii="Book Antiqua" w:hAnsi="Book Antiqua"/>
          <w:lang w:val="en-US"/>
        </w:rPr>
        <w:t>million</w:t>
      </w:r>
      <w:r w:rsidR="00DB3E71" w:rsidRPr="00924A19">
        <w:rPr>
          <w:rFonts w:ascii="Book Antiqua" w:hAnsi="Book Antiqua"/>
          <w:lang w:val="en-US"/>
        </w:rPr>
        <w:t xml:space="preserve"> of HCV </w:t>
      </w:r>
      <w:r w:rsidR="006D64FC" w:rsidRPr="00924A19">
        <w:rPr>
          <w:rFonts w:ascii="Book Antiqua" w:hAnsi="Book Antiqua"/>
          <w:lang w:val="en-US"/>
        </w:rPr>
        <w:t>RNA positive patients</w:t>
      </w:r>
      <w:r w:rsidR="00DB3E71" w:rsidRPr="00924A19">
        <w:rPr>
          <w:rFonts w:ascii="Book Antiqua" w:hAnsi="Book Antiqua"/>
          <w:lang w:val="en-US"/>
        </w:rPr>
        <w:t xml:space="preserve"> (Table 1).</w:t>
      </w:r>
    </w:p>
    <w:p w:rsidR="00A24811" w:rsidRPr="00924A19" w:rsidRDefault="00A24811"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lastRenderedPageBreak/>
        <w:t xml:space="preserve">The predominant genotype is </w:t>
      </w:r>
      <w:r w:rsidR="00723F1D" w:rsidRPr="00924A19">
        <w:rPr>
          <w:rFonts w:ascii="Book Antiqua" w:hAnsi="Book Antiqua"/>
          <w:lang w:val="en-US"/>
        </w:rPr>
        <w:t>G</w:t>
      </w:r>
      <w:r w:rsidRPr="00924A19">
        <w:rPr>
          <w:rFonts w:ascii="Book Antiqua" w:hAnsi="Book Antiqua"/>
          <w:lang w:val="en-US"/>
        </w:rPr>
        <w:t>1 (</w:t>
      </w:r>
      <w:r w:rsidR="007501CB" w:rsidRPr="00924A19">
        <w:rPr>
          <w:rFonts w:ascii="Book Antiqua" w:hAnsi="Book Antiqua"/>
          <w:lang w:val="en-US"/>
        </w:rPr>
        <w:t>64.4</w:t>
      </w:r>
      <w:r w:rsidRPr="00924A19">
        <w:rPr>
          <w:rFonts w:ascii="Book Antiqua" w:hAnsi="Book Antiqua"/>
          <w:lang w:val="en-US"/>
        </w:rPr>
        <w:t xml:space="preserve">%), followed by </w:t>
      </w:r>
      <w:r w:rsidR="00723F1D" w:rsidRPr="00924A19">
        <w:rPr>
          <w:rFonts w:ascii="Book Antiqua" w:hAnsi="Book Antiqua"/>
          <w:lang w:val="en-US"/>
        </w:rPr>
        <w:t>G</w:t>
      </w:r>
      <w:r w:rsidRPr="00924A19">
        <w:rPr>
          <w:rFonts w:ascii="Book Antiqua" w:hAnsi="Book Antiqua"/>
          <w:lang w:val="en-US"/>
        </w:rPr>
        <w:t>3 (</w:t>
      </w:r>
      <w:r w:rsidR="001B052C" w:rsidRPr="00924A19">
        <w:rPr>
          <w:rFonts w:ascii="Book Antiqua" w:hAnsi="Book Antiqua"/>
          <w:lang w:val="en-US"/>
        </w:rPr>
        <w:t>25.5</w:t>
      </w:r>
      <w:r w:rsidRPr="00924A19">
        <w:rPr>
          <w:rFonts w:ascii="Book Antiqua" w:hAnsi="Book Antiqua"/>
          <w:lang w:val="en-US"/>
        </w:rPr>
        <w:t xml:space="preserve">%), </w:t>
      </w:r>
      <w:r w:rsidR="00723F1D" w:rsidRPr="00924A19">
        <w:rPr>
          <w:rFonts w:ascii="Book Antiqua" w:hAnsi="Book Antiqua"/>
          <w:lang w:val="en-US"/>
        </w:rPr>
        <w:t>G</w:t>
      </w:r>
      <w:r w:rsidRPr="00924A19">
        <w:rPr>
          <w:rFonts w:ascii="Book Antiqua" w:hAnsi="Book Antiqua"/>
          <w:lang w:val="en-US"/>
        </w:rPr>
        <w:t>2 (</w:t>
      </w:r>
      <w:r w:rsidR="001B052C" w:rsidRPr="00924A19">
        <w:rPr>
          <w:rFonts w:ascii="Book Antiqua" w:hAnsi="Book Antiqua"/>
          <w:lang w:val="en-US"/>
        </w:rPr>
        <w:t>5.5</w:t>
      </w:r>
      <w:r w:rsidRPr="00924A19">
        <w:rPr>
          <w:rFonts w:ascii="Book Antiqua" w:hAnsi="Book Antiqua"/>
          <w:lang w:val="en-US"/>
        </w:rPr>
        <w:t>%) and</w:t>
      </w:r>
      <w:r w:rsidR="00723F1D" w:rsidRPr="00924A19">
        <w:rPr>
          <w:rFonts w:ascii="Book Antiqua" w:hAnsi="Book Antiqua"/>
          <w:lang w:val="en-US"/>
        </w:rPr>
        <w:t>G</w:t>
      </w:r>
      <w:r w:rsidR="001B052C" w:rsidRPr="00924A19">
        <w:rPr>
          <w:rFonts w:ascii="Book Antiqua" w:hAnsi="Book Antiqua"/>
          <w:lang w:val="en-US"/>
        </w:rPr>
        <w:t>4</w:t>
      </w:r>
      <w:r w:rsidRPr="00924A19">
        <w:rPr>
          <w:rFonts w:ascii="Book Antiqua" w:hAnsi="Book Antiqua"/>
          <w:lang w:val="en-US"/>
        </w:rPr>
        <w:t xml:space="preserve"> (</w:t>
      </w:r>
      <w:r w:rsidR="001B052C" w:rsidRPr="00924A19">
        <w:rPr>
          <w:rFonts w:ascii="Book Antiqua" w:hAnsi="Book Antiqua"/>
          <w:lang w:val="en-US"/>
        </w:rPr>
        <w:t>3.7</w:t>
      </w:r>
      <w:r w:rsidRPr="00924A19">
        <w:rPr>
          <w:rFonts w:ascii="Book Antiqua" w:hAnsi="Book Antiqua"/>
          <w:lang w:val="en-US"/>
        </w:rPr>
        <w:t xml:space="preserve">%). Only small percentages of </w:t>
      </w:r>
      <w:r w:rsidR="00723F1D" w:rsidRPr="00924A19">
        <w:rPr>
          <w:rFonts w:ascii="Book Antiqua" w:hAnsi="Book Antiqua"/>
          <w:lang w:val="en-US"/>
        </w:rPr>
        <w:t>G</w:t>
      </w:r>
      <w:r w:rsidRPr="00924A19">
        <w:rPr>
          <w:rFonts w:ascii="Book Antiqua" w:hAnsi="Book Antiqua"/>
          <w:lang w:val="en-US"/>
        </w:rPr>
        <w:t>5</w:t>
      </w:r>
      <w:r w:rsidR="001B052C" w:rsidRPr="00924A19">
        <w:rPr>
          <w:rFonts w:ascii="Book Antiqua" w:hAnsi="Book Antiqua"/>
          <w:lang w:val="en-US"/>
        </w:rPr>
        <w:t xml:space="preserve">, </w:t>
      </w:r>
      <w:r w:rsidR="00723F1D" w:rsidRPr="00924A19">
        <w:rPr>
          <w:rFonts w:ascii="Book Antiqua" w:hAnsi="Book Antiqua"/>
          <w:lang w:val="en-US"/>
        </w:rPr>
        <w:t>G</w:t>
      </w:r>
      <w:r w:rsidR="001B052C" w:rsidRPr="00924A19">
        <w:rPr>
          <w:rFonts w:ascii="Book Antiqua" w:hAnsi="Book Antiqua"/>
          <w:lang w:val="en-US"/>
        </w:rPr>
        <w:t>6</w:t>
      </w:r>
      <w:r w:rsidRPr="00924A19">
        <w:rPr>
          <w:rFonts w:ascii="Book Antiqua" w:hAnsi="Book Antiqua"/>
          <w:lang w:val="en-US"/>
        </w:rPr>
        <w:t xml:space="preserve"> and mixed or not further classif</w:t>
      </w:r>
      <w:r w:rsidR="00A96CB8" w:rsidRPr="00924A19">
        <w:rPr>
          <w:rFonts w:ascii="Book Antiqua" w:hAnsi="Book Antiqua"/>
          <w:lang w:val="en-US"/>
        </w:rPr>
        <w:t xml:space="preserve">ied </w:t>
      </w:r>
      <w:r w:rsidR="00723F1D" w:rsidRPr="00924A19">
        <w:rPr>
          <w:rFonts w:ascii="Book Antiqua" w:hAnsi="Book Antiqua"/>
          <w:lang w:val="en-US"/>
        </w:rPr>
        <w:t>genotypes are</w:t>
      </w:r>
      <w:r w:rsidR="00A96CB8" w:rsidRPr="00924A19">
        <w:rPr>
          <w:rFonts w:ascii="Book Antiqua" w:hAnsi="Book Antiqua"/>
          <w:lang w:val="en-US"/>
        </w:rPr>
        <w:t xml:space="preserve"> reported (Table 3).</w:t>
      </w:r>
    </w:p>
    <w:p w:rsidR="007501CB" w:rsidRPr="00924A19" w:rsidRDefault="00A24811"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Genotype distribution </w:t>
      </w:r>
      <w:r w:rsidR="001B052C" w:rsidRPr="00924A19">
        <w:rPr>
          <w:rFonts w:ascii="Book Antiqua" w:hAnsi="Book Antiqua"/>
          <w:lang w:val="en-US"/>
        </w:rPr>
        <w:t>does not show</w:t>
      </w:r>
      <w:r w:rsidRPr="00924A19">
        <w:rPr>
          <w:rFonts w:ascii="Book Antiqua" w:hAnsi="Book Antiqua"/>
          <w:lang w:val="en-US"/>
        </w:rPr>
        <w:t xml:space="preserve"> high variability among the </w:t>
      </w:r>
      <w:r w:rsidR="001B052C" w:rsidRPr="00924A19">
        <w:rPr>
          <w:rFonts w:ascii="Book Antiqua" w:hAnsi="Book Antiqua"/>
          <w:lang w:val="en-US"/>
        </w:rPr>
        <w:t>three</w:t>
      </w:r>
      <w:r w:rsidRPr="00924A19">
        <w:rPr>
          <w:rFonts w:ascii="Book Antiqua" w:hAnsi="Book Antiqua"/>
          <w:lang w:val="en-US"/>
        </w:rPr>
        <w:t xml:space="preserve"> macro-areas studied, ranging between 70.</w:t>
      </w:r>
      <w:r w:rsidR="001B052C" w:rsidRPr="00924A19">
        <w:rPr>
          <w:rFonts w:ascii="Book Antiqua" w:hAnsi="Book Antiqua"/>
          <w:lang w:val="en-US"/>
        </w:rPr>
        <w:t>0</w:t>
      </w:r>
      <w:r w:rsidRPr="00924A19">
        <w:rPr>
          <w:rFonts w:ascii="Book Antiqua" w:hAnsi="Book Antiqua"/>
          <w:lang w:val="en-US"/>
        </w:rPr>
        <w:t xml:space="preserve">% (Central </w:t>
      </w:r>
      <w:r w:rsidR="001B052C" w:rsidRPr="00924A19">
        <w:rPr>
          <w:rFonts w:ascii="Book Antiqua" w:hAnsi="Book Antiqua"/>
          <w:lang w:val="en-US"/>
        </w:rPr>
        <w:t xml:space="preserve">Europe), </w:t>
      </w:r>
      <w:r w:rsidR="007501CB" w:rsidRPr="00924A19">
        <w:rPr>
          <w:rFonts w:ascii="Book Antiqua" w:hAnsi="Book Antiqua"/>
          <w:lang w:val="en-US"/>
        </w:rPr>
        <w:t>68.1</w:t>
      </w:r>
      <w:r w:rsidR="001B052C" w:rsidRPr="00924A19">
        <w:rPr>
          <w:rFonts w:ascii="Book Antiqua" w:hAnsi="Book Antiqua"/>
          <w:lang w:val="en-US"/>
        </w:rPr>
        <w:t xml:space="preserve">% (Eastern Europe) </w:t>
      </w:r>
      <w:r w:rsidRPr="00924A19">
        <w:rPr>
          <w:rFonts w:ascii="Book Antiqua" w:hAnsi="Book Antiqua"/>
          <w:lang w:val="en-US"/>
        </w:rPr>
        <w:t xml:space="preserve">and </w:t>
      </w:r>
      <w:r w:rsidR="001B052C" w:rsidRPr="00924A19">
        <w:rPr>
          <w:rFonts w:ascii="Book Antiqua" w:hAnsi="Book Antiqua"/>
          <w:lang w:val="en-US"/>
        </w:rPr>
        <w:t>55.1</w:t>
      </w:r>
      <w:r w:rsidRPr="00924A19">
        <w:rPr>
          <w:rFonts w:ascii="Book Antiqua" w:hAnsi="Book Antiqua"/>
          <w:lang w:val="en-US"/>
        </w:rPr>
        <w:t>% (</w:t>
      </w:r>
      <w:r w:rsidR="001B052C" w:rsidRPr="00924A19">
        <w:rPr>
          <w:rFonts w:ascii="Book Antiqua" w:hAnsi="Book Antiqua"/>
          <w:lang w:val="en-US"/>
        </w:rPr>
        <w:t>Western</w:t>
      </w:r>
      <w:r w:rsidR="00692737" w:rsidRPr="00924A19">
        <w:rPr>
          <w:rFonts w:ascii="Book Antiqua" w:hAnsi="Book Antiqua"/>
          <w:lang w:val="en-US"/>
        </w:rPr>
        <w:t xml:space="preserve"> </w:t>
      </w:r>
      <w:r w:rsidR="001B052C" w:rsidRPr="00924A19">
        <w:rPr>
          <w:rFonts w:ascii="Book Antiqua" w:hAnsi="Book Antiqua"/>
          <w:lang w:val="en-US"/>
        </w:rPr>
        <w:t>Europe</w:t>
      </w:r>
      <w:r w:rsidRPr="00924A19">
        <w:rPr>
          <w:rFonts w:ascii="Book Antiqua" w:hAnsi="Book Antiqua"/>
          <w:lang w:val="en-US"/>
        </w:rPr>
        <w:t xml:space="preserve">) for genotype 1, </w:t>
      </w:r>
      <w:r w:rsidR="001B052C" w:rsidRPr="00924A19">
        <w:rPr>
          <w:rFonts w:ascii="Book Antiqua" w:hAnsi="Book Antiqua"/>
          <w:lang w:val="en-US"/>
        </w:rPr>
        <w:t>29.0</w:t>
      </w:r>
      <w:r w:rsidRPr="00924A19">
        <w:rPr>
          <w:rFonts w:ascii="Book Antiqua" w:hAnsi="Book Antiqua"/>
          <w:lang w:val="en-US"/>
        </w:rPr>
        <w:t>% (</w:t>
      </w:r>
      <w:r w:rsidR="001B052C" w:rsidRPr="00924A19">
        <w:rPr>
          <w:rFonts w:ascii="Book Antiqua" w:hAnsi="Book Antiqua"/>
          <w:lang w:val="en-US"/>
        </w:rPr>
        <w:t>Western Europe</w:t>
      </w:r>
      <w:r w:rsidRPr="00924A19">
        <w:rPr>
          <w:rFonts w:ascii="Book Antiqua" w:hAnsi="Book Antiqua"/>
          <w:lang w:val="en-US"/>
        </w:rPr>
        <w:t>)</w:t>
      </w:r>
      <w:r w:rsidR="001B052C" w:rsidRPr="00924A19">
        <w:rPr>
          <w:rFonts w:ascii="Book Antiqua" w:hAnsi="Book Antiqua"/>
          <w:lang w:val="en-US"/>
        </w:rPr>
        <w:t>, 26.6% (Eastern Europe)</w:t>
      </w:r>
      <w:r w:rsidRPr="00924A19">
        <w:rPr>
          <w:rFonts w:ascii="Book Antiqua" w:hAnsi="Book Antiqua"/>
          <w:lang w:val="en-US"/>
        </w:rPr>
        <w:t xml:space="preserve"> and </w:t>
      </w:r>
      <w:r w:rsidR="001B052C" w:rsidRPr="00924A19">
        <w:rPr>
          <w:rFonts w:ascii="Book Antiqua" w:hAnsi="Book Antiqua"/>
          <w:lang w:val="en-US"/>
        </w:rPr>
        <w:t>21.0</w:t>
      </w:r>
      <w:r w:rsidRPr="00924A19">
        <w:rPr>
          <w:rFonts w:ascii="Book Antiqua" w:hAnsi="Book Antiqua"/>
          <w:lang w:val="en-US"/>
        </w:rPr>
        <w:t>% (</w:t>
      </w:r>
      <w:r w:rsidR="001B052C" w:rsidRPr="00924A19">
        <w:rPr>
          <w:rFonts w:ascii="Book Antiqua" w:hAnsi="Book Antiqua"/>
          <w:lang w:val="en-US"/>
        </w:rPr>
        <w:t>Central Europe</w:t>
      </w:r>
      <w:r w:rsidRPr="00924A19">
        <w:rPr>
          <w:rFonts w:ascii="Book Antiqua" w:hAnsi="Book Antiqua"/>
          <w:lang w:val="en-US"/>
        </w:rPr>
        <w:t xml:space="preserve">) for genotype </w:t>
      </w:r>
      <w:r w:rsidR="001B052C" w:rsidRPr="00924A19">
        <w:rPr>
          <w:rFonts w:ascii="Book Antiqua" w:hAnsi="Book Antiqua"/>
          <w:lang w:val="en-US"/>
        </w:rPr>
        <w:t>3</w:t>
      </w:r>
      <w:r w:rsidR="007501CB" w:rsidRPr="00924A19">
        <w:rPr>
          <w:rFonts w:ascii="Book Antiqua" w:hAnsi="Book Antiqua"/>
          <w:lang w:val="en-US"/>
        </w:rPr>
        <w:t>.</w:t>
      </w:r>
    </w:p>
    <w:p w:rsidR="007501CB" w:rsidRPr="00924A19" w:rsidRDefault="00723F1D"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G</w:t>
      </w:r>
      <w:r w:rsidR="001B052C" w:rsidRPr="00924A19">
        <w:rPr>
          <w:rFonts w:ascii="Book Antiqua" w:hAnsi="Book Antiqua"/>
          <w:lang w:val="en-US"/>
        </w:rPr>
        <w:t xml:space="preserve">2 seems to have a major prevalence in the Western Europe (8.9%), if compared to Eastern (4.3%) or Central (3.2%), whereas </w:t>
      </w:r>
      <w:r w:rsidRPr="00924A19">
        <w:rPr>
          <w:rFonts w:ascii="Book Antiqua" w:hAnsi="Book Antiqua"/>
          <w:lang w:val="en-US"/>
        </w:rPr>
        <w:t>G</w:t>
      </w:r>
      <w:r w:rsidR="001B052C" w:rsidRPr="00924A19">
        <w:rPr>
          <w:rFonts w:ascii="Book Antiqua" w:hAnsi="Book Antiqua"/>
          <w:lang w:val="en-US"/>
        </w:rPr>
        <w:t xml:space="preserve">4 is present </w:t>
      </w:r>
      <w:r w:rsidR="007501CB" w:rsidRPr="00924A19">
        <w:rPr>
          <w:rFonts w:ascii="Book Antiqua" w:hAnsi="Book Antiqua"/>
          <w:lang w:val="en-US"/>
        </w:rPr>
        <w:t xml:space="preserve">especially </w:t>
      </w:r>
      <w:r w:rsidR="001B052C" w:rsidRPr="00924A19">
        <w:rPr>
          <w:rFonts w:ascii="Book Antiqua" w:hAnsi="Book Antiqua"/>
          <w:lang w:val="en-US"/>
        </w:rPr>
        <w:t>in Central and Western area (4.9% and 5.8, respectively).</w:t>
      </w:r>
    </w:p>
    <w:p w:rsidR="00A24811" w:rsidRPr="00924A19" w:rsidRDefault="00A24811"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Only few cases of </w:t>
      </w:r>
      <w:r w:rsidR="00723F1D" w:rsidRPr="00924A19">
        <w:rPr>
          <w:rFonts w:ascii="Book Antiqua" w:hAnsi="Book Antiqua"/>
          <w:lang w:val="en-US"/>
        </w:rPr>
        <w:t>G</w:t>
      </w:r>
      <w:r w:rsidRPr="00924A19">
        <w:rPr>
          <w:rFonts w:ascii="Book Antiqua" w:hAnsi="Book Antiqua"/>
          <w:lang w:val="en-US"/>
        </w:rPr>
        <w:t>5</w:t>
      </w:r>
      <w:r w:rsidR="001B052C" w:rsidRPr="00924A19">
        <w:rPr>
          <w:rFonts w:ascii="Book Antiqua" w:hAnsi="Book Antiqua"/>
          <w:lang w:val="en-US"/>
        </w:rPr>
        <w:t xml:space="preserve"> and </w:t>
      </w:r>
      <w:r w:rsidR="00723F1D" w:rsidRPr="00924A19">
        <w:rPr>
          <w:rFonts w:ascii="Book Antiqua" w:hAnsi="Book Antiqua"/>
          <w:lang w:val="en-US"/>
        </w:rPr>
        <w:t>G</w:t>
      </w:r>
      <w:r w:rsidR="001B052C" w:rsidRPr="00924A19">
        <w:rPr>
          <w:rFonts w:ascii="Book Antiqua" w:hAnsi="Book Antiqua"/>
          <w:lang w:val="en-US"/>
        </w:rPr>
        <w:t>6</w:t>
      </w:r>
      <w:r w:rsidR="00723F1D" w:rsidRPr="00924A19">
        <w:rPr>
          <w:rFonts w:ascii="Book Antiqua" w:hAnsi="Book Antiqua"/>
          <w:lang w:val="en-US"/>
        </w:rPr>
        <w:t>are</w:t>
      </w:r>
      <w:r w:rsidRPr="00924A19">
        <w:rPr>
          <w:rFonts w:ascii="Book Antiqua" w:hAnsi="Book Antiqua"/>
          <w:lang w:val="en-US"/>
        </w:rPr>
        <w:t xml:space="preserve"> reported and </w:t>
      </w:r>
      <w:r w:rsidR="00F73E97" w:rsidRPr="00924A19">
        <w:rPr>
          <w:rFonts w:ascii="Book Antiqua" w:hAnsi="Book Antiqua"/>
          <w:lang w:val="en-US"/>
        </w:rPr>
        <w:t>mainly</w:t>
      </w:r>
      <w:r w:rsidRPr="00924A19">
        <w:rPr>
          <w:rFonts w:ascii="Book Antiqua" w:hAnsi="Book Antiqua"/>
          <w:lang w:val="en-US"/>
        </w:rPr>
        <w:t xml:space="preserve"> from </w:t>
      </w:r>
      <w:r w:rsidR="001B052C" w:rsidRPr="00924A19">
        <w:rPr>
          <w:rFonts w:ascii="Book Antiqua" w:hAnsi="Book Antiqua"/>
          <w:lang w:val="en-US"/>
        </w:rPr>
        <w:t>Western area</w:t>
      </w:r>
      <w:r w:rsidR="007501CB" w:rsidRPr="00924A19">
        <w:rPr>
          <w:rFonts w:ascii="Book Antiqua" w:hAnsi="Book Antiqua"/>
          <w:lang w:val="en-US"/>
        </w:rPr>
        <w:t xml:space="preserve"> (Table 4).</w:t>
      </w:r>
    </w:p>
    <w:p w:rsidR="00375489" w:rsidRPr="00924A19" w:rsidRDefault="00375489" w:rsidP="0026366E">
      <w:pPr>
        <w:snapToGrid w:val="0"/>
        <w:spacing w:line="360" w:lineRule="auto"/>
        <w:jc w:val="both"/>
        <w:rPr>
          <w:rFonts w:ascii="Book Antiqua" w:hAnsi="Book Antiqua"/>
          <w:b/>
          <w:lang w:val="en-GB"/>
        </w:rPr>
      </w:pPr>
    </w:p>
    <w:p w:rsidR="00F73E97" w:rsidRPr="00924A19" w:rsidRDefault="008C444C"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t xml:space="preserve">Central </w:t>
      </w:r>
      <w:r w:rsidR="00375489" w:rsidRPr="00924A19">
        <w:rPr>
          <w:rFonts w:ascii="Book Antiqua" w:eastAsia="Times New Roman" w:hAnsi="Book Antiqua" w:cs="AdvGulliv-R"/>
          <w:b/>
          <w:color w:val="000000"/>
          <w:lang w:val="en-US" w:eastAsia="it-IT"/>
        </w:rPr>
        <w:t>Europe</w:t>
      </w:r>
      <w:r w:rsidR="007F29F2" w:rsidRPr="00924A19">
        <w:rPr>
          <w:rFonts w:ascii="Book Antiqua" w:eastAsia="Times New Roman" w:hAnsi="Book Antiqua" w:cs="AdvGulliv-R"/>
          <w:b/>
          <w:color w:val="000000"/>
          <w:lang w:val="en-US" w:eastAsia="it-IT"/>
        </w:rPr>
        <w:t xml:space="preserve">: </w:t>
      </w:r>
      <w:r w:rsidR="00F73E97" w:rsidRPr="00924A19">
        <w:rPr>
          <w:rFonts w:ascii="Book Antiqua" w:eastAsia="Times New Roman" w:hAnsi="Book Antiqua" w:cs="AdvMinionNormal_Rm"/>
          <w:lang w:val="en-US" w:eastAsia="it-IT"/>
        </w:rPr>
        <w:t xml:space="preserve">This large area includes countries like Albania, Bulgaria, Bosnia and Herzegovina, Czech Republic, Croatia, Hungary, Macedonia, Montenegro, Poland, Romania, Serbia, Slovakia and Slovenia, with a prevalence of HCV infection of 1.3%, varying between 1.4% in Slovakia and 0.7% in Czech Republic (Figure </w:t>
      </w:r>
      <w:r w:rsidR="00C220FF" w:rsidRPr="00924A19">
        <w:rPr>
          <w:rFonts w:ascii="Book Antiqua" w:eastAsia="Times New Roman" w:hAnsi="Book Antiqua" w:cs="AdvMinionNormal_Rm"/>
          <w:lang w:val="en-US" w:eastAsia="it-IT"/>
        </w:rPr>
        <w:t>6A</w:t>
      </w:r>
      <w:r w:rsidR="00F73E97" w:rsidRPr="00924A19">
        <w:rPr>
          <w:rFonts w:ascii="Book Antiqua" w:eastAsia="Times New Roman" w:hAnsi="Book Antiqua" w:cs="AdvMinionNormal_Rm"/>
          <w:lang w:val="en-US" w:eastAsia="it-IT"/>
        </w:rPr>
        <w:t xml:space="preserve">) and a viraemic rate estimated at 76.6% </w:t>
      </w:r>
      <w:r w:rsidR="00C52461" w:rsidRPr="00924A19">
        <w:rPr>
          <w:rFonts w:ascii="Book Antiqua" w:hAnsi="Book Antiqua"/>
          <w:lang w:val="en-US"/>
        </w:rPr>
        <w:t>(</w:t>
      </w:r>
      <w:r w:rsidR="003A2FEE" w:rsidRPr="00924A19">
        <w:rPr>
          <w:rFonts w:ascii="Book Antiqua" w:hAnsi="Book Antiqua"/>
          <w:bCs/>
          <w:lang w:val="en-US"/>
        </w:rPr>
        <w:t>Table 2).</w:t>
      </w:r>
      <w:r w:rsidR="00F73E97" w:rsidRPr="00924A19">
        <w:rPr>
          <w:rFonts w:ascii="Book Antiqua" w:hAnsi="Book Antiqua"/>
          <w:lang w:val="en-US"/>
        </w:rPr>
        <w:t>We have not found representative data concerning the</w:t>
      </w:r>
      <w:r w:rsidR="00692737" w:rsidRPr="00924A19">
        <w:rPr>
          <w:rFonts w:ascii="Book Antiqua" w:hAnsi="Book Antiqua"/>
          <w:lang w:val="en-US"/>
        </w:rPr>
        <w:t xml:space="preserve"> </w:t>
      </w:r>
      <w:r w:rsidR="00F73E97" w:rsidRPr="00924A19">
        <w:rPr>
          <w:rFonts w:ascii="Book Antiqua" w:hAnsi="Book Antiqua"/>
          <w:lang w:val="en-US"/>
        </w:rPr>
        <w:t>HCV prevalence and/or</w:t>
      </w:r>
      <w:r w:rsidR="00692737" w:rsidRPr="00924A19">
        <w:rPr>
          <w:rFonts w:ascii="Book Antiqua" w:hAnsi="Book Antiqua"/>
          <w:lang w:val="en-US"/>
        </w:rPr>
        <w:t xml:space="preserve"> </w:t>
      </w:r>
      <w:r w:rsidR="00F73E97" w:rsidRPr="00924A19">
        <w:rPr>
          <w:rFonts w:ascii="Book Antiqua" w:hAnsi="Book Antiqua"/>
          <w:lang w:val="en-US"/>
        </w:rPr>
        <w:t>HCV viraemic rate from published studies in Albania, Bosnia and Herzegovina, Croatia, Macedonia, Montenegro, Serbia and Slovenia.</w:t>
      </w:r>
    </w:p>
    <w:p w:rsidR="00FD41FF" w:rsidRPr="00924A19" w:rsidRDefault="001B052C"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The pred</w:t>
      </w:r>
      <w:r w:rsidR="00DC6037" w:rsidRPr="00924A19">
        <w:rPr>
          <w:rFonts w:ascii="Book Antiqua" w:hAnsi="Book Antiqua"/>
          <w:lang w:val="en-US"/>
        </w:rPr>
        <w:t>ominant genotypes in this area is</w:t>
      </w:r>
      <w:r w:rsidR="00723F1D" w:rsidRPr="00924A19">
        <w:rPr>
          <w:rFonts w:ascii="Book Antiqua" w:hAnsi="Book Antiqua"/>
          <w:lang w:val="en-US"/>
        </w:rPr>
        <w:t>G</w:t>
      </w:r>
      <w:r w:rsidRPr="00924A19">
        <w:rPr>
          <w:rFonts w:ascii="Book Antiqua" w:hAnsi="Book Antiqua"/>
          <w:lang w:val="en-US"/>
        </w:rPr>
        <w:t>1 (</w:t>
      </w:r>
      <w:r w:rsidR="00DC6037" w:rsidRPr="00924A19">
        <w:rPr>
          <w:rFonts w:ascii="Book Antiqua" w:hAnsi="Book Antiqua"/>
          <w:lang w:val="en-US"/>
        </w:rPr>
        <w:t xml:space="preserve">70.0%), followed by </w:t>
      </w:r>
      <w:r w:rsidR="00723F1D" w:rsidRPr="00924A19">
        <w:rPr>
          <w:rFonts w:ascii="Book Antiqua" w:hAnsi="Book Antiqua"/>
          <w:lang w:val="en-US"/>
        </w:rPr>
        <w:t>G</w:t>
      </w:r>
      <w:r w:rsidR="00DC6037" w:rsidRPr="00924A19">
        <w:rPr>
          <w:rFonts w:ascii="Book Antiqua" w:hAnsi="Book Antiqua"/>
          <w:lang w:val="en-US"/>
        </w:rPr>
        <w:t xml:space="preserve">3 </w:t>
      </w:r>
      <w:r w:rsidRPr="00924A19">
        <w:rPr>
          <w:rFonts w:ascii="Book Antiqua" w:hAnsi="Book Antiqua"/>
          <w:lang w:val="en-US"/>
        </w:rPr>
        <w:t>(</w:t>
      </w:r>
      <w:r w:rsidR="00DC6037" w:rsidRPr="00924A19">
        <w:rPr>
          <w:rFonts w:ascii="Book Antiqua" w:hAnsi="Book Antiqua"/>
          <w:lang w:val="en-US"/>
        </w:rPr>
        <w:t>21.0</w:t>
      </w:r>
      <w:r w:rsidRPr="00924A19">
        <w:rPr>
          <w:rFonts w:ascii="Book Antiqua" w:hAnsi="Book Antiqua"/>
          <w:lang w:val="en-US"/>
        </w:rPr>
        <w:t>%)</w:t>
      </w:r>
      <w:r w:rsidR="007501CB" w:rsidRPr="00924A19">
        <w:rPr>
          <w:rFonts w:ascii="Book Antiqua" w:hAnsi="Book Antiqua"/>
          <w:lang w:val="en-US"/>
        </w:rPr>
        <w:t xml:space="preserve">, </w:t>
      </w:r>
      <w:r w:rsidR="00723F1D" w:rsidRPr="00924A19">
        <w:rPr>
          <w:rFonts w:ascii="Book Antiqua" w:hAnsi="Book Antiqua"/>
          <w:lang w:val="en-US"/>
        </w:rPr>
        <w:t>G</w:t>
      </w:r>
      <w:r w:rsidR="007501CB" w:rsidRPr="00924A19">
        <w:rPr>
          <w:rFonts w:ascii="Book Antiqua" w:hAnsi="Book Antiqua"/>
          <w:lang w:val="en-US"/>
        </w:rPr>
        <w:t xml:space="preserve">4 (4.9%) and </w:t>
      </w:r>
      <w:r w:rsidR="00723F1D" w:rsidRPr="00924A19">
        <w:rPr>
          <w:rFonts w:ascii="Book Antiqua" w:hAnsi="Book Antiqua"/>
          <w:lang w:val="en-US"/>
        </w:rPr>
        <w:t>G</w:t>
      </w:r>
      <w:r w:rsidR="007501CB" w:rsidRPr="00924A19">
        <w:rPr>
          <w:rFonts w:ascii="Book Antiqua" w:hAnsi="Book Antiqua"/>
          <w:lang w:val="en-US"/>
        </w:rPr>
        <w:t>2 (3.2%)</w:t>
      </w:r>
      <w:r w:rsidRPr="00924A19">
        <w:rPr>
          <w:rFonts w:ascii="Book Antiqua" w:hAnsi="Book Antiqua"/>
          <w:lang w:val="en-US"/>
        </w:rPr>
        <w:t xml:space="preserve">. Only a small percentage of </w:t>
      </w:r>
      <w:r w:rsidR="007501CB" w:rsidRPr="00924A19">
        <w:rPr>
          <w:rFonts w:ascii="Book Antiqua" w:hAnsi="Book Antiqua"/>
          <w:lang w:val="en-US"/>
        </w:rPr>
        <w:t xml:space="preserve">mixed </w:t>
      </w:r>
      <w:r w:rsidRPr="00924A19">
        <w:rPr>
          <w:rFonts w:ascii="Book Antiqua" w:hAnsi="Book Antiqua"/>
          <w:lang w:val="en-US"/>
        </w:rPr>
        <w:t xml:space="preserve">genotypes </w:t>
      </w:r>
      <w:r w:rsidR="007501CB" w:rsidRPr="00924A19">
        <w:rPr>
          <w:rFonts w:ascii="Book Antiqua" w:hAnsi="Book Antiqua"/>
          <w:lang w:val="en-US"/>
        </w:rPr>
        <w:t xml:space="preserve">and </w:t>
      </w:r>
      <w:r w:rsidR="00723F1D" w:rsidRPr="00924A19">
        <w:rPr>
          <w:rFonts w:ascii="Book Antiqua" w:hAnsi="Book Antiqua"/>
          <w:lang w:val="en-US"/>
        </w:rPr>
        <w:t>G</w:t>
      </w:r>
      <w:r w:rsidR="007501CB" w:rsidRPr="00924A19">
        <w:rPr>
          <w:rFonts w:ascii="Book Antiqua" w:hAnsi="Book Antiqua"/>
          <w:lang w:val="en-US"/>
        </w:rPr>
        <w:t xml:space="preserve">6 </w:t>
      </w:r>
      <w:r w:rsidR="00723F1D" w:rsidRPr="00924A19">
        <w:rPr>
          <w:rFonts w:ascii="Book Antiqua" w:hAnsi="Book Antiqua"/>
          <w:lang w:val="en-US"/>
        </w:rPr>
        <w:t>has been</w:t>
      </w:r>
      <w:r w:rsidRPr="00924A19">
        <w:rPr>
          <w:rFonts w:ascii="Book Antiqua" w:hAnsi="Book Antiqua"/>
          <w:lang w:val="en-US"/>
        </w:rPr>
        <w:t xml:space="preserve"> found, whereas no </w:t>
      </w:r>
      <w:r w:rsidR="00723F1D" w:rsidRPr="00924A19">
        <w:rPr>
          <w:rFonts w:ascii="Book Antiqua" w:hAnsi="Book Antiqua"/>
          <w:lang w:val="en-US"/>
        </w:rPr>
        <w:t>G</w:t>
      </w:r>
      <w:r w:rsidRPr="00924A19">
        <w:rPr>
          <w:rFonts w:ascii="Book Antiqua" w:hAnsi="Book Antiqua"/>
          <w:lang w:val="en-US"/>
        </w:rPr>
        <w:t xml:space="preserve"> 5</w:t>
      </w:r>
      <w:r w:rsidR="00184665" w:rsidRPr="00924A19">
        <w:rPr>
          <w:rFonts w:ascii="Book Antiqua" w:hAnsi="Book Antiqua" w:hint="eastAsia"/>
          <w:lang w:val="en-US"/>
        </w:rPr>
        <w:t xml:space="preserve"> </w:t>
      </w:r>
      <w:r w:rsidR="00A96CB8" w:rsidRPr="00924A19">
        <w:rPr>
          <w:rFonts w:ascii="Book Antiqua" w:hAnsi="Book Antiqua"/>
          <w:lang w:val="en-US"/>
        </w:rPr>
        <w:t xml:space="preserve">cases </w:t>
      </w:r>
      <w:r w:rsidR="00723F1D" w:rsidRPr="00924A19">
        <w:rPr>
          <w:rFonts w:ascii="Book Antiqua" w:hAnsi="Book Antiqua"/>
          <w:lang w:val="en-US"/>
        </w:rPr>
        <w:t>are</w:t>
      </w:r>
      <w:r w:rsidR="00692737" w:rsidRPr="00924A19">
        <w:rPr>
          <w:rFonts w:ascii="Book Antiqua" w:hAnsi="Book Antiqua"/>
          <w:lang w:val="en-US"/>
        </w:rPr>
        <w:t xml:space="preserve"> </w:t>
      </w:r>
      <w:r w:rsidR="00A96CB8" w:rsidRPr="00924A19">
        <w:rPr>
          <w:rFonts w:ascii="Book Antiqua" w:hAnsi="Book Antiqua"/>
          <w:lang w:val="en-US"/>
        </w:rPr>
        <w:t>reported (Table 4).</w:t>
      </w:r>
      <w:r w:rsidR="00184665" w:rsidRPr="00924A19">
        <w:rPr>
          <w:rFonts w:ascii="Book Antiqua" w:hAnsi="Book Antiqua" w:hint="eastAsia"/>
          <w:lang w:val="en-US"/>
        </w:rPr>
        <w:t xml:space="preserve"> </w:t>
      </w:r>
      <w:r w:rsidR="00D37C78" w:rsidRPr="00924A19">
        <w:rPr>
          <w:rFonts w:ascii="Book Antiqua" w:hAnsi="Book Antiqua"/>
          <w:lang w:val="en-US"/>
        </w:rPr>
        <w:t xml:space="preserve">In Romania, Hungary and Slovakia, </w:t>
      </w:r>
      <w:r w:rsidR="00723F1D" w:rsidRPr="00924A19">
        <w:rPr>
          <w:rFonts w:ascii="Book Antiqua" w:hAnsi="Book Antiqua"/>
          <w:lang w:val="en-US"/>
        </w:rPr>
        <w:t>G</w:t>
      </w:r>
      <w:r w:rsidR="00D37C78" w:rsidRPr="00924A19">
        <w:rPr>
          <w:rFonts w:ascii="Book Antiqua" w:hAnsi="Book Antiqua"/>
          <w:lang w:val="en-US"/>
        </w:rPr>
        <w:t xml:space="preserve">1 is almost the only genotype found (98.0%, 94.1% and 89.9%, respectively). A considerable percentage of </w:t>
      </w:r>
      <w:r w:rsidR="00723F1D" w:rsidRPr="00924A19">
        <w:rPr>
          <w:rFonts w:ascii="Book Antiqua" w:hAnsi="Book Antiqua"/>
          <w:lang w:val="en-US"/>
        </w:rPr>
        <w:t>G</w:t>
      </w:r>
      <w:r w:rsidR="00D37C78" w:rsidRPr="00924A19">
        <w:rPr>
          <w:rFonts w:ascii="Book Antiqua" w:hAnsi="Book Antiqua"/>
          <w:lang w:val="en-US"/>
        </w:rPr>
        <w:t>3 was described</w:t>
      </w:r>
      <w:r w:rsidR="00692737" w:rsidRPr="00924A19">
        <w:rPr>
          <w:rFonts w:ascii="Book Antiqua" w:hAnsi="Book Antiqua"/>
          <w:lang w:val="en-US"/>
        </w:rPr>
        <w:t xml:space="preserve"> </w:t>
      </w:r>
      <w:r w:rsidR="00D37C78" w:rsidRPr="00924A19">
        <w:rPr>
          <w:rFonts w:ascii="Book Antiqua" w:hAnsi="Book Antiqua"/>
          <w:lang w:val="en-US"/>
        </w:rPr>
        <w:t>in Macedonia (44.6%), Slovenia (37.8</w:t>
      </w:r>
      <w:r w:rsidR="00FD41FF" w:rsidRPr="00924A19">
        <w:rPr>
          <w:rFonts w:ascii="Book Antiqua" w:hAnsi="Book Antiqua"/>
          <w:lang w:val="en-US"/>
        </w:rPr>
        <w:t xml:space="preserve">%) </w:t>
      </w:r>
      <w:r w:rsidR="00D37C78" w:rsidRPr="00924A19">
        <w:rPr>
          <w:rFonts w:ascii="Book Antiqua" w:hAnsi="Book Antiqua"/>
          <w:lang w:val="en-US"/>
        </w:rPr>
        <w:t xml:space="preserve">and </w:t>
      </w:r>
      <w:r w:rsidR="00D37C78" w:rsidRPr="00924A19">
        <w:rPr>
          <w:rFonts w:ascii="Book Antiqua" w:eastAsia="Times New Roman" w:hAnsi="Book Antiqua" w:cs="AdvMinionNormal_Rm"/>
          <w:lang w:val="en-US" w:eastAsia="it-IT"/>
        </w:rPr>
        <w:t xml:space="preserve">Croatia (35.6%), while a significant prevalence of </w:t>
      </w:r>
      <w:r w:rsidR="00723F1D" w:rsidRPr="00924A19">
        <w:rPr>
          <w:rFonts w:ascii="Book Antiqua" w:eastAsia="Times New Roman" w:hAnsi="Book Antiqua" w:cs="AdvMinionNormal_Rm"/>
          <w:lang w:val="en-US" w:eastAsia="it-IT"/>
        </w:rPr>
        <w:t>G</w:t>
      </w:r>
      <w:r w:rsidR="00D37C78" w:rsidRPr="00924A19">
        <w:rPr>
          <w:rFonts w:ascii="Book Antiqua" w:eastAsia="Times New Roman" w:hAnsi="Book Antiqua" w:cs="AdvMinionNormal_Rm"/>
          <w:lang w:val="en-US" w:eastAsia="it-IT"/>
        </w:rPr>
        <w:t xml:space="preserve">2 </w:t>
      </w:r>
      <w:r w:rsidR="00D37C78" w:rsidRPr="00924A19">
        <w:rPr>
          <w:rFonts w:ascii="Book Antiqua" w:eastAsia="Times New Roman" w:hAnsi="Book Antiqua" w:cs="AdvMinionNormal_Rm"/>
          <w:lang w:val="en-US" w:eastAsia="it-IT"/>
        </w:rPr>
        <w:lastRenderedPageBreak/>
        <w:t xml:space="preserve">was described </w:t>
      </w:r>
      <w:r w:rsidR="00FD41FF" w:rsidRPr="00924A19">
        <w:rPr>
          <w:rFonts w:ascii="Book Antiqua" w:eastAsia="Times New Roman" w:hAnsi="Book Antiqua" w:cs="AdvMinionNormal_Rm"/>
          <w:lang w:val="en-US" w:eastAsia="it-IT"/>
        </w:rPr>
        <w:t xml:space="preserve">only </w:t>
      </w:r>
      <w:r w:rsidR="00D37C78" w:rsidRPr="00924A19">
        <w:rPr>
          <w:rFonts w:ascii="Book Antiqua" w:eastAsia="Times New Roman" w:hAnsi="Book Antiqua" w:cs="AdvMinionNormal_Rm"/>
          <w:lang w:val="en-US" w:eastAsia="it-IT"/>
        </w:rPr>
        <w:t>in Albania (20.0%)</w:t>
      </w:r>
      <w:r w:rsidR="00FD41FF" w:rsidRPr="00924A19">
        <w:rPr>
          <w:rFonts w:ascii="Book Antiqua" w:eastAsia="Times New Roman" w:hAnsi="Book Antiqua" w:cs="AdvMinionNormal_Rm"/>
          <w:lang w:val="en-US" w:eastAsia="it-IT"/>
        </w:rPr>
        <w:t xml:space="preserve">and of </w:t>
      </w:r>
      <w:r w:rsidR="00723F1D" w:rsidRPr="00924A19">
        <w:rPr>
          <w:rFonts w:ascii="Book Antiqua" w:eastAsia="Times New Roman" w:hAnsi="Book Antiqua" w:cs="AdvMinionNormal_Rm"/>
          <w:lang w:val="en-US" w:eastAsia="it-IT"/>
        </w:rPr>
        <w:t>G</w:t>
      </w:r>
      <w:r w:rsidR="00FD41FF" w:rsidRPr="00924A19">
        <w:rPr>
          <w:rFonts w:ascii="Book Antiqua" w:eastAsia="Times New Roman" w:hAnsi="Book Antiqua" w:cs="AdvMinionNormal_Rm"/>
          <w:lang w:val="en-US" w:eastAsia="it-IT"/>
        </w:rPr>
        <w:t>4 in Montenegro (19.6%) and Albania (16.0%).</w:t>
      </w:r>
      <w:r w:rsidR="00FD41FF" w:rsidRPr="00924A19">
        <w:rPr>
          <w:rFonts w:ascii="Book Antiqua" w:hAnsi="Book Antiqua"/>
          <w:lang w:val="en-US"/>
        </w:rPr>
        <w:t xml:space="preserve">No genotypes distribution data are available from </w:t>
      </w:r>
      <w:r w:rsidR="00FD41FF" w:rsidRPr="00924A19">
        <w:rPr>
          <w:rFonts w:ascii="Book Antiqua" w:eastAsia="Times New Roman" w:hAnsi="Book Antiqua" w:cs="AdvMinionNormal_Rm"/>
          <w:lang w:val="en-US" w:eastAsia="it-IT"/>
        </w:rPr>
        <w:t>Bulgaria</w:t>
      </w:r>
      <w:r w:rsidR="003A2FEE" w:rsidRPr="00924A19">
        <w:rPr>
          <w:rFonts w:ascii="Book Antiqua" w:hAnsi="Book Antiqua"/>
          <w:lang w:val="en-US"/>
        </w:rPr>
        <w:t>(</w:t>
      </w:r>
      <w:r w:rsidR="003A2FEE" w:rsidRPr="00924A19">
        <w:rPr>
          <w:rFonts w:ascii="Book Antiqua" w:hAnsi="Book Antiqua"/>
          <w:bCs/>
          <w:lang w:val="en-US"/>
        </w:rPr>
        <w:t xml:space="preserve">Figure </w:t>
      </w:r>
      <w:r w:rsidR="00C220FF" w:rsidRPr="00924A19">
        <w:rPr>
          <w:rFonts w:ascii="Book Antiqua" w:hAnsi="Book Antiqua"/>
          <w:bCs/>
          <w:lang w:val="en-US"/>
        </w:rPr>
        <w:t>6B</w:t>
      </w:r>
      <w:r w:rsidR="003A2FEE" w:rsidRPr="00924A19">
        <w:rPr>
          <w:rFonts w:ascii="Book Antiqua" w:hAnsi="Book Antiqua"/>
          <w:bCs/>
          <w:lang w:val="en-US"/>
        </w:rPr>
        <w:t>)</w:t>
      </w:r>
      <w:r w:rsidR="003A2FEE" w:rsidRPr="00924A19">
        <w:rPr>
          <w:rFonts w:ascii="Book Antiqua" w:hAnsi="Book Antiqua"/>
          <w:lang w:val="en-US"/>
        </w:rPr>
        <w:t>.</w:t>
      </w:r>
    </w:p>
    <w:p w:rsidR="00375489" w:rsidRPr="00924A19" w:rsidRDefault="00375489" w:rsidP="0026366E">
      <w:pPr>
        <w:snapToGrid w:val="0"/>
        <w:spacing w:line="360" w:lineRule="auto"/>
        <w:jc w:val="both"/>
        <w:rPr>
          <w:rFonts w:ascii="Book Antiqua" w:eastAsia="Times New Roman" w:hAnsi="Book Antiqua" w:cs="AdvGulliv-R"/>
          <w:b/>
          <w:color w:val="000000"/>
          <w:lang w:val="en-US" w:eastAsia="it-IT"/>
        </w:rPr>
      </w:pPr>
    </w:p>
    <w:p w:rsidR="001B052C" w:rsidRPr="00924A19" w:rsidRDefault="008C444C"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t xml:space="preserve">Eastern </w:t>
      </w:r>
      <w:r w:rsidR="00375489" w:rsidRPr="00924A19">
        <w:rPr>
          <w:rFonts w:ascii="Book Antiqua" w:eastAsia="Times New Roman" w:hAnsi="Book Antiqua" w:cs="AdvGulliv-R"/>
          <w:b/>
          <w:color w:val="000000"/>
          <w:lang w:val="en-US" w:eastAsia="it-IT"/>
        </w:rPr>
        <w:t>Europe</w:t>
      </w:r>
      <w:r w:rsidR="007F29F2" w:rsidRPr="00924A19">
        <w:rPr>
          <w:rFonts w:ascii="Book Antiqua" w:eastAsia="Times New Roman" w:hAnsi="Book Antiqua" w:cs="AdvGulliv-R"/>
          <w:b/>
          <w:color w:val="000000"/>
          <w:lang w:val="en-US" w:eastAsia="it-IT"/>
        </w:rPr>
        <w:t xml:space="preserve">: </w:t>
      </w:r>
      <w:r w:rsidR="001B052C" w:rsidRPr="00924A19">
        <w:rPr>
          <w:rFonts w:ascii="Book Antiqua" w:hAnsi="Book Antiqua"/>
          <w:lang w:val="en-US"/>
        </w:rPr>
        <w:t xml:space="preserve">The prevalence of HCV </w:t>
      </w:r>
      <w:r w:rsidR="00183982" w:rsidRPr="00924A19">
        <w:rPr>
          <w:rFonts w:ascii="Book Antiqua" w:hAnsi="Book Antiqua"/>
          <w:lang w:val="en-US"/>
        </w:rPr>
        <w:t>infection in this zone,</w:t>
      </w:r>
      <w:r w:rsidR="00692737" w:rsidRPr="00924A19">
        <w:rPr>
          <w:rFonts w:ascii="Book Antiqua" w:hAnsi="Book Antiqua"/>
          <w:lang w:val="en-US"/>
        </w:rPr>
        <w:t xml:space="preserve"> </w:t>
      </w:r>
      <w:r w:rsidR="00183982" w:rsidRPr="00924A19">
        <w:rPr>
          <w:rFonts w:ascii="Book Antiqua" w:hAnsi="Book Antiqua"/>
          <w:lang w:val="en-US"/>
        </w:rPr>
        <w:t xml:space="preserve">including </w:t>
      </w:r>
      <w:r w:rsidR="00183982" w:rsidRPr="00924A19">
        <w:rPr>
          <w:rFonts w:ascii="Book Antiqua" w:eastAsia="Times New Roman" w:hAnsi="Book Antiqua" w:cs="AdvMinionNormal_Rm"/>
          <w:lang w:val="en-US" w:eastAsia="it-IT"/>
        </w:rPr>
        <w:t xml:space="preserve">Belarus, Estonia, Lithuania, Latvia, Moldova, Russia and Ukraine, </w:t>
      </w:r>
      <w:r w:rsidR="001B052C" w:rsidRPr="00924A19">
        <w:rPr>
          <w:rFonts w:ascii="Book Antiqua" w:hAnsi="Book Antiqua"/>
          <w:lang w:val="en-US"/>
        </w:rPr>
        <w:t xml:space="preserve">is </w:t>
      </w:r>
      <w:r w:rsidR="00DC6037" w:rsidRPr="00924A19">
        <w:rPr>
          <w:rFonts w:ascii="Book Antiqua" w:hAnsi="Book Antiqua"/>
          <w:lang w:val="en-US"/>
        </w:rPr>
        <w:t>3.1</w:t>
      </w:r>
      <w:r w:rsidR="001B052C" w:rsidRPr="00924A19">
        <w:rPr>
          <w:rFonts w:ascii="Book Antiqua" w:hAnsi="Book Antiqua"/>
          <w:lang w:val="en-US"/>
        </w:rPr>
        <w:t xml:space="preserve">%, ranging between </w:t>
      </w:r>
      <w:r w:rsidR="00DC6037" w:rsidRPr="00924A19">
        <w:rPr>
          <w:rFonts w:ascii="Book Antiqua" w:hAnsi="Book Antiqua"/>
          <w:lang w:val="en-US"/>
        </w:rPr>
        <w:t>4.5</w:t>
      </w:r>
      <w:r w:rsidR="001B052C" w:rsidRPr="00924A19">
        <w:rPr>
          <w:rFonts w:ascii="Book Antiqua" w:hAnsi="Book Antiqua"/>
          <w:lang w:val="en-US"/>
        </w:rPr>
        <w:t xml:space="preserve">% in </w:t>
      </w:r>
      <w:r w:rsidR="00DC6037" w:rsidRPr="00924A19">
        <w:rPr>
          <w:rFonts w:ascii="Book Antiqua" w:hAnsi="Book Antiqua"/>
          <w:lang w:val="en-US"/>
        </w:rPr>
        <w:t>Moldova</w:t>
      </w:r>
      <w:r w:rsidR="001B052C" w:rsidRPr="00924A19">
        <w:rPr>
          <w:rFonts w:ascii="Book Antiqua" w:hAnsi="Book Antiqua"/>
          <w:lang w:val="en-US"/>
        </w:rPr>
        <w:t xml:space="preserve"> and </w:t>
      </w:r>
      <w:r w:rsidR="00DC6037" w:rsidRPr="00924A19">
        <w:rPr>
          <w:rFonts w:ascii="Book Antiqua" w:hAnsi="Book Antiqua"/>
          <w:lang w:val="en-US"/>
        </w:rPr>
        <w:t>1.3</w:t>
      </w:r>
      <w:r w:rsidR="001B052C" w:rsidRPr="00924A19">
        <w:rPr>
          <w:rFonts w:ascii="Book Antiqua" w:hAnsi="Book Antiqua"/>
          <w:lang w:val="en-US"/>
        </w:rPr>
        <w:t xml:space="preserve">% in </w:t>
      </w:r>
      <w:r w:rsidR="00DC6037" w:rsidRPr="00924A19">
        <w:rPr>
          <w:rFonts w:ascii="Book Antiqua" w:hAnsi="Book Antiqua"/>
          <w:lang w:val="en-US"/>
        </w:rPr>
        <w:t>Belarus</w:t>
      </w:r>
      <w:r w:rsidR="003A2FEE" w:rsidRPr="00924A19">
        <w:rPr>
          <w:rFonts w:ascii="Book Antiqua" w:hAnsi="Book Antiqua"/>
          <w:lang w:val="en-US"/>
        </w:rPr>
        <w:t>(</w:t>
      </w:r>
      <w:r w:rsidR="003A2FEE" w:rsidRPr="00924A19">
        <w:rPr>
          <w:rFonts w:ascii="Book Antiqua" w:hAnsi="Book Antiqua"/>
          <w:bCs/>
          <w:lang w:val="en-US"/>
        </w:rPr>
        <w:t xml:space="preserve">Figure </w:t>
      </w:r>
      <w:r w:rsidR="00C220FF" w:rsidRPr="00924A19">
        <w:rPr>
          <w:rFonts w:ascii="Book Antiqua" w:hAnsi="Book Antiqua"/>
          <w:bCs/>
          <w:lang w:val="en-US"/>
        </w:rPr>
        <w:t>6A</w:t>
      </w:r>
      <w:r w:rsidR="003A2FEE" w:rsidRPr="00924A19">
        <w:rPr>
          <w:rFonts w:ascii="Book Antiqua" w:hAnsi="Book Antiqua"/>
          <w:bCs/>
          <w:lang w:val="en-US"/>
        </w:rPr>
        <w:t>)</w:t>
      </w:r>
      <w:r w:rsidR="003A2FEE" w:rsidRPr="00924A19">
        <w:rPr>
          <w:rFonts w:ascii="Book Antiqua" w:hAnsi="Book Antiqua"/>
          <w:lang w:val="en-US"/>
        </w:rPr>
        <w:t xml:space="preserve">, </w:t>
      </w:r>
      <w:r w:rsidR="00C52461" w:rsidRPr="00924A19">
        <w:rPr>
          <w:rFonts w:ascii="Book Antiqua" w:hAnsi="Book Antiqua"/>
          <w:lang w:val="en-US"/>
        </w:rPr>
        <w:t>with a viraemic rate estimated at 69.6% (</w:t>
      </w:r>
      <w:r w:rsidR="00C52461" w:rsidRPr="00924A19">
        <w:rPr>
          <w:rFonts w:ascii="Book Antiqua" w:hAnsi="Book Antiqua"/>
          <w:bCs/>
          <w:lang w:val="en-US"/>
        </w:rPr>
        <w:t>Table 2)</w:t>
      </w:r>
      <w:r w:rsidR="00C52461" w:rsidRPr="00924A19">
        <w:rPr>
          <w:rFonts w:ascii="Book Antiqua" w:hAnsi="Book Antiqua"/>
          <w:lang w:val="en-US"/>
        </w:rPr>
        <w:t xml:space="preserve">. </w:t>
      </w:r>
      <w:r w:rsidR="00A46ED8" w:rsidRPr="00924A19">
        <w:rPr>
          <w:rFonts w:ascii="Book Antiqua" w:hAnsi="Book Antiqua"/>
          <w:lang w:val="en-US"/>
        </w:rPr>
        <w:t xml:space="preserve">No adult HCV prevalence and/or viraemic data </w:t>
      </w:r>
      <w:r w:rsidR="00183982" w:rsidRPr="00924A19">
        <w:rPr>
          <w:rFonts w:ascii="Book Antiqua" w:hAnsi="Book Antiqua"/>
          <w:lang w:val="en-US"/>
        </w:rPr>
        <w:t>are</w:t>
      </w:r>
      <w:r w:rsidR="00692737" w:rsidRPr="00924A19">
        <w:rPr>
          <w:rFonts w:ascii="Book Antiqua" w:hAnsi="Book Antiqua"/>
          <w:lang w:val="en-US"/>
        </w:rPr>
        <w:t xml:space="preserve"> </w:t>
      </w:r>
      <w:r w:rsidR="00183982" w:rsidRPr="00924A19">
        <w:rPr>
          <w:rFonts w:ascii="Book Antiqua" w:hAnsi="Book Antiqua"/>
          <w:lang w:val="en-US"/>
        </w:rPr>
        <w:t>available</w:t>
      </w:r>
      <w:r w:rsidR="00692737" w:rsidRPr="00924A19">
        <w:rPr>
          <w:rFonts w:ascii="Book Antiqua" w:hAnsi="Book Antiqua"/>
          <w:lang w:val="en-US"/>
        </w:rPr>
        <w:t xml:space="preserve"> </w:t>
      </w:r>
      <w:r w:rsidR="001B052C" w:rsidRPr="00924A19">
        <w:rPr>
          <w:rFonts w:ascii="Book Antiqua" w:hAnsi="Book Antiqua"/>
          <w:lang w:val="en-US"/>
        </w:rPr>
        <w:t xml:space="preserve">from </w:t>
      </w:r>
      <w:r w:rsidR="00DC6037" w:rsidRPr="00924A19">
        <w:rPr>
          <w:rFonts w:ascii="Book Antiqua" w:hAnsi="Book Antiqua"/>
          <w:lang w:val="en-US"/>
        </w:rPr>
        <w:t>Estonia.</w:t>
      </w:r>
    </w:p>
    <w:p w:rsidR="00224E88" w:rsidRPr="00924A19" w:rsidRDefault="00224E88"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predominant genotypes in this area is </w:t>
      </w:r>
      <w:r w:rsidR="00723F1D" w:rsidRPr="00924A19">
        <w:rPr>
          <w:rFonts w:ascii="Book Antiqua" w:hAnsi="Book Antiqua"/>
          <w:lang w:val="en-US"/>
        </w:rPr>
        <w:t>G</w:t>
      </w:r>
      <w:r w:rsidRPr="00924A19">
        <w:rPr>
          <w:rFonts w:ascii="Book Antiqua" w:hAnsi="Book Antiqua"/>
          <w:lang w:val="en-US"/>
        </w:rPr>
        <w:t>1 (</w:t>
      </w:r>
      <w:r w:rsidR="007501CB" w:rsidRPr="00924A19">
        <w:rPr>
          <w:rFonts w:ascii="Book Antiqua" w:hAnsi="Book Antiqua"/>
          <w:lang w:val="en-US"/>
        </w:rPr>
        <w:t>68.1</w:t>
      </w:r>
      <w:r w:rsidRPr="00924A19">
        <w:rPr>
          <w:rFonts w:ascii="Book Antiqua" w:hAnsi="Book Antiqua"/>
          <w:lang w:val="en-US"/>
        </w:rPr>
        <w:t xml:space="preserve">%), followed by </w:t>
      </w:r>
      <w:r w:rsidR="00723F1D" w:rsidRPr="00924A19">
        <w:rPr>
          <w:rFonts w:ascii="Book Antiqua" w:hAnsi="Book Antiqua"/>
          <w:lang w:val="en-US"/>
        </w:rPr>
        <w:t>G</w:t>
      </w:r>
      <w:r w:rsidRPr="00924A19">
        <w:rPr>
          <w:rFonts w:ascii="Book Antiqua" w:hAnsi="Book Antiqua"/>
          <w:lang w:val="en-US"/>
        </w:rPr>
        <w:t>3 (</w:t>
      </w:r>
      <w:r w:rsidR="00D37C78" w:rsidRPr="00924A19">
        <w:rPr>
          <w:rFonts w:ascii="Book Antiqua" w:hAnsi="Book Antiqua"/>
          <w:lang w:val="en-US"/>
        </w:rPr>
        <w:t>26.6</w:t>
      </w:r>
      <w:r w:rsidRPr="00924A19">
        <w:rPr>
          <w:rFonts w:ascii="Book Antiqua" w:hAnsi="Book Antiqua"/>
          <w:lang w:val="en-US"/>
        </w:rPr>
        <w:t>%)</w:t>
      </w:r>
      <w:r w:rsidR="00D37C78" w:rsidRPr="00924A19">
        <w:rPr>
          <w:rFonts w:ascii="Book Antiqua" w:hAnsi="Book Antiqua"/>
          <w:lang w:val="en-US"/>
        </w:rPr>
        <w:t xml:space="preserve"> and </w:t>
      </w:r>
      <w:r w:rsidR="00723F1D" w:rsidRPr="00924A19">
        <w:rPr>
          <w:rFonts w:ascii="Book Antiqua" w:hAnsi="Book Antiqua"/>
          <w:lang w:val="en-US"/>
        </w:rPr>
        <w:t>G</w:t>
      </w:r>
      <w:r w:rsidR="00D37C78" w:rsidRPr="00924A19">
        <w:rPr>
          <w:rFonts w:ascii="Book Antiqua" w:hAnsi="Book Antiqua"/>
          <w:lang w:val="en-US"/>
        </w:rPr>
        <w:t>2 (4.3%)</w:t>
      </w:r>
      <w:r w:rsidRPr="00924A19">
        <w:rPr>
          <w:rFonts w:ascii="Book Antiqua" w:hAnsi="Book Antiqua"/>
          <w:lang w:val="en-US"/>
        </w:rPr>
        <w:t xml:space="preserve">. Only a small percentage of </w:t>
      </w:r>
      <w:r w:rsidR="007501CB" w:rsidRPr="00924A19">
        <w:rPr>
          <w:rFonts w:ascii="Book Antiqua" w:hAnsi="Book Antiqua"/>
          <w:lang w:val="en-US"/>
        </w:rPr>
        <w:t xml:space="preserve">mixed </w:t>
      </w:r>
      <w:r w:rsidRPr="00924A19">
        <w:rPr>
          <w:rFonts w:ascii="Book Antiqua" w:hAnsi="Book Antiqua"/>
          <w:lang w:val="en-US"/>
        </w:rPr>
        <w:t xml:space="preserve">genotypes </w:t>
      </w:r>
      <w:r w:rsidR="007501CB" w:rsidRPr="00924A19">
        <w:rPr>
          <w:rFonts w:ascii="Book Antiqua" w:hAnsi="Book Antiqua"/>
          <w:lang w:val="en-US"/>
        </w:rPr>
        <w:t xml:space="preserve">and </w:t>
      </w:r>
      <w:r w:rsidR="00723F1D" w:rsidRPr="00924A19">
        <w:rPr>
          <w:rFonts w:ascii="Book Antiqua" w:hAnsi="Book Antiqua"/>
          <w:lang w:val="en-US"/>
        </w:rPr>
        <w:t>G</w:t>
      </w:r>
      <w:r w:rsidRPr="00924A19">
        <w:rPr>
          <w:rFonts w:ascii="Book Antiqua" w:hAnsi="Book Antiqua"/>
          <w:lang w:val="en-US"/>
        </w:rPr>
        <w:t>4 (</w:t>
      </w:r>
      <w:r w:rsidR="00D37C78" w:rsidRPr="00924A19">
        <w:rPr>
          <w:rFonts w:ascii="Book Antiqua" w:hAnsi="Book Antiqua"/>
          <w:lang w:val="en-US"/>
        </w:rPr>
        <w:t xml:space="preserve">0.5%) </w:t>
      </w:r>
      <w:r w:rsidR="00723F1D" w:rsidRPr="00924A19">
        <w:rPr>
          <w:rFonts w:ascii="Book Antiqua" w:hAnsi="Book Antiqua"/>
          <w:lang w:val="en-US"/>
        </w:rPr>
        <w:t>are reported</w:t>
      </w:r>
      <w:r w:rsidRPr="00924A19">
        <w:rPr>
          <w:rFonts w:ascii="Book Antiqua" w:hAnsi="Book Antiqua"/>
          <w:lang w:val="en-US"/>
        </w:rPr>
        <w:t xml:space="preserve">, whereas no </w:t>
      </w:r>
      <w:r w:rsidR="00723F1D" w:rsidRPr="00924A19">
        <w:rPr>
          <w:rFonts w:ascii="Book Antiqua" w:hAnsi="Book Antiqua"/>
          <w:lang w:val="en-US"/>
        </w:rPr>
        <w:t>G</w:t>
      </w:r>
      <w:r w:rsidR="00A96CB8" w:rsidRPr="00924A19">
        <w:rPr>
          <w:rFonts w:ascii="Book Antiqua" w:hAnsi="Book Antiqua"/>
          <w:lang w:val="en-US"/>
        </w:rPr>
        <w:t xml:space="preserve">5 and </w:t>
      </w:r>
      <w:r w:rsidR="00723F1D" w:rsidRPr="00924A19">
        <w:rPr>
          <w:rFonts w:ascii="Book Antiqua" w:hAnsi="Book Antiqua"/>
          <w:lang w:val="en-US"/>
        </w:rPr>
        <w:t>G</w:t>
      </w:r>
      <w:r w:rsidR="00A96CB8" w:rsidRPr="00924A19">
        <w:rPr>
          <w:rFonts w:ascii="Book Antiqua" w:hAnsi="Book Antiqua"/>
          <w:lang w:val="en-US"/>
        </w:rPr>
        <w:t xml:space="preserve">6 cases </w:t>
      </w:r>
      <w:r w:rsidR="00723F1D" w:rsidRPr="00924A19">
        <w:rPr>
          <w:rFonts w:ascii="Book Antiqua" w:hAnsi="Book Antiqua"/>
          <w:lang w:val="en-US"/>
        </w:rPr>
        <w:t xml:space="preserve">has been described </w:t>
      </w:r>
      <w:r w:rsidR="00A96CB8" w:rsidRPr="00924A19">
        <w:rPr>
          <w:rFonts w:ascii="Book Antiqua" w:hAnsi="Book Antiqua"/>
          <w:lang w:val="en-US"/>
        </w:rPr>
        <w:t>(Table 4).</w:t>
      </w:r>
    </w:p>
    <w:p w:rsidR="00FD41FF" w:rsidRPr="00924A19" w:rsidRDefault="00FD41FF" w:rsidP="0026366E">
      <w:pPr>
        <w:autoSpaceDE w:val="0"/>
        <w:autoSpaceDN w:val="0"/>
        <w:adjustRightInd w:val="0"/>
        <w:snapToGrid w:val="0"/>
        <w:spacing w:line="360" w:lineRule="auto"/>
        <w:ind w:firstLineChars="100" w:firstLine="240"/>
        <w:jc w:val="both"/>
        <w:rPr>
          <w:rFonts w:ascii="Book Antiqua" w:eastAsia="Times New Roman" w:hAnsi="Book Antiqua" w:cs="AdvMinionNormal_Rm"/>
          <w:lang w:val="en-US" w:eastAsia="it-IT"/>
        </w:rPr>
      </w:pPr>
      <w:r w:rsidRPr="00924A19">
        <w:rPr>
          <w:rFonts w:ascii="Book Antiqua" w:hAnsi="Book Antiqua"/>
          <w:lang w:val="en-US"/>
        </w:rPr>
        <w:t xml:space="preserve">Only in Latvia </w:t>
      </w:r>
      <w:r w:rsidR="00723F1D" w:rsidRPr="00924A19">
        <w:rPr>
          <w:rFonts w:ascii="Book Antiqua" w:hAnsi="Book Antiqua"/>
          <w:lang w:val="en-US"/>
        </w:rPr>
        <w:t>G</w:t>
      </w:r>
      <w:r w:rsidRPr="00924A19">
        <w:rPr>
          <w:rFonts w:ascii="Book Antiqua" w:hAnsi="Book Antiqua"/>
          <w:lang w:val="en-US"/>
        </w:rPr>
        <w:t xml:space="preserve">1 is the </w:t>
      </w:r>
      <w:r w:rsidR="00183982" w:rsidRPr="00924A19">
        <w:rPr>
          <w:rFonts w:ascii="Book Antiqua" w:hAnsi="Book Antiqua"/>
          <w:lang w:val="en-US"/>
        </w:rPr>
        <w:t>dominant</w:t>
      </w:r>
      <w:r w:rsidR="00692737" w:rsidRPr="00924A19">
        <w:rPr>
          <w:rFonts w:ascii="Book Antiqua" w:hAnsi="Book Antiqua"/>
          <w:lang w:val="en-US"/>
        </w:rPr>
        <w:t xml:space="preserve"> </w:t>
      </w:r>
      <w:r w:rsidR="00183982" w:rsidRPr="00924A19">
        <w:rPr>
          <w:rFonts w:ascii="Book Antiqua" w:hAnsi="Book Antiqua"/>
          <w:lang w:val="en-US"/>
        </w:rPr>
        <w:t>genetic variant</w:t>
      </w:r>
      <w:r w:rsidRPr="00924A19">
        <w:rPr>
          <w:rFonts w:ascii="Book Antiqua" w:hAnsi="Book Antiqua"/>
          <w:lang w:val="en-US"/>
        </w:rPr>
        <w:t xml:space="preserve"> (89.2%). A considerable percentage of </w:t>
      </w:r>
      <w:r w:rsidR="00723F1D" w:rsidRPr="00924A19">
        <w:rPr>
          <w:rFonts w:ascii="Book Antiqua" w:hAnsi="Book Antiqua"/>
          <w:lang w:val="en-US"/>
        </w:rPr>
        <w:t>G</w:t>
      </w:r>
      <w:r w:rsidRPr="00924A19">
        <w:rPr>
          <w:rFonts w:ascii="Book Antiqua" w:hAnsi="Book Antiqua"/>
          <w:lang w:val="en-US"/>
        </w:rPr>
        <w:t>3 was described</w:t>
      </w:r>
      <w:r w:rsidR="00692737" w:rsidRPr="00924A19">
        <w:rPr>
          <w:rFonts w:ascii="Book Antiqua" w:hAnsi="Book Antiqua"/>
          <w:lang w:val="en-US"/>
        </w:rPr>
        <w:t xml:space="preserve"> </w:t>
      </w:r>
      <w:r w:rsidRPr="00924A19">
        <w:rPr>
          <w:rFonts w:ascii="Book Antiqua" w:hAnsi="Book Antiqua"/>
          <w:lang w:val="en-US"/>
        </w:rPr>
        <w:t>in Belarus (38.5%) and Russia (35.1%)</w:t>
      </w:r>
      <w:r w:rsidRPr="00924A19">
        <w:rPr>
          <w:rFonts w:ascii="Book Antiqua" w:eastAsia="Times New Roman" w:hAnsi="Book Antiqua" w:cs="AdvMinionNormal_Rm"/>
          <w:lang w:val="en-US" w:eastAsia="it-IT"/>
        </w:rPr>
        <w:t>.</w:t>
      </w:r>
      <w:r w:rsidRPr="00924A19">
        <w:rPr>
          <w:rFonts w:ascii="Book Antiqua" w:hAnsi="Book Antiqua"/>
          <w:lang w:val="en-US"/>
        </w:rPr>
        <w:t xml:space="preserve">No genotypes distribution data are available from </w:t>
      </w:r>
      <w:r w:rsidR="003A2FEE" w:rsidRPr="00924A19">
        <w:rPr>
          <w:rFonts w:ascii="Book Antiqua" w:eastAsia="Times New Roman" w:hAnsi="Book Antiqua" w:cs="AdvMinionNormal_Rm"/>
          <w:lang w:val="en-US" w:eastAsia="it-IT"/>
        </w:rPr>
        <w:t xml:space="preserve">Moldova and Ukraine </w:t>
      </w:r>
      <w:r w:rsidR="003A2FEE" w:rsidRPr="00924A19">
        <w:rPr>
          <w:rFonts w:ascii="Book Antiqua" w:hAnsi="Book Antiqua"/>
          <w:lang w:val="en-US"/>
        </w:rPr>
        <w:t>(</w:t>
      </w:r>
      <w:r w:rsidR="003A2FEE" w:rsidRPr="00924A19">
        <w:rPr>
          <w:rFonts w:ascii="Book Antiqua" w:hAnsi="Book Antiqua"/>
          <w:bCs/>
          <w:lang w:val="en-US"/>
        </w:rPr>
        <w:t xml:space="preserve">Figure </w:t>
      </w:r>
      <w:r w:rsidR="00C220FF" w:rsidRPr="00924A19">
        <w:rPr>
          <w:rFonts w:ascii="Book Antiqua" w:hAnsi="Book Antiqua"/>
          <w:bCs/>
          <w:lang w:val="en-US"/>
        </w:rPr>
        <w:t>6B</w:t>
      </w:r>
      <w:r w:rsidR="003A2FEE" w:rsidRPr="00924A19">
        <w:rPr>
          <w:rFonts w:ascii="Book Antiqua" w:hAnsi="Book Antiqua"/>
          <w:bCs/>
          <w:lang w:val="en-US"/>
        </w:rPr>
        <w:t>)</w:t>
      </w:r>
      <w:r w:rsidR="003A2FEE" w:rsidRPr="00924A19">
        <w:rPr>
          <w:rFonts w:ascii="Book Antiqua" w:hAnsi="Book Antiqua"/>
          <w:lang w:val="en-US"/>
        </w:rPr>
        <w:t>.</w:t>
      </w:r>
    </w:p>
    <w:p w:rsidR="00375489" w:rsidRPr="00924A19" w:rsidRDefault="00375489" w:rsidP="0026366E">
      <w:pPr>
        <w:snapToGrid w:val="0"/>
        <w:spacing w:line="360" w:lineRule="auto"/>
        <w:jc w:val="both"/>
        <w:rPr>
          <w:rFonts w:ascii="Book Antiqua" w:eastAsia="Times New Roman" w:hAnsi="Book Antiqua" w:cs="AdvGulliv-R"/>
          <w:b/>
          <w:color w:val="000000"/>
          <w:lang w:val="en-US" w:eastAsia="it-IT"/>
        </w:rPr>
      </w:pPr>
    </w:p>
    <w:p w:rsidR="001B052C" w:rsidRPr="00924A19" w:rsidRDefault="008C444C" w:rsidP="0026366E">
      <w:pPr>
        <w:snapToGrid w:val="0"/>
        <w:spacing w:line="360" w:lineRule="auto"/>
        <w:jc w:val="both"/>
        <w:rPr>
          <w:rFonts w:ascii="Book Antiqua" w:eastAsia="Times New Roman" w:hAnsi="Book Antiqua" w:cs="AdvGulliv-R"/>
          <w:b/>
          <w:color w:val="000000"/>
          <w:lang w:val="en-US" w:eastAsia="it-IT"/>
        </w:rPr>
      </w:pPr>
      <w:r w:rsidRPr="00924A19">
        <w:rPr>
          <w:rFonts w:ascii="Book Antiqua" w:eastAsia="Times New Roman" w:hAnsi="Book Antiqua" w:cs="AdvGulliv-R"/>
          <w:b/>
          <w:color w:val="000000"/>
          <w:lang w:val="en-US" w:eastAsia="it-IT"/>
        </w:rPr>
        <w:t xml:space="preserve">Western </w:t>
      </w:r>
      <w:r w:rsidR="00375489" w:rsidRPr="00924A19">
        <w:rPr>
          <w:rFonts w:ascii="Book Antiqua" w:eastAsia="Times New Roman" w:hAnsi="Book Antiqua" w:cs="AdvGulliv-R"/>
          <w:b/>
          <w:color w:val="000000"/>
          <w:lang w:val="en-US" w:eastAsia="it-IT"/>
        </w:rPr>
        <w:t>Europe</w:t>
      </w:r>
      <w:r w:rsidR="007F29F2" w:rsidRPr="00924A19">
        <w:rPr>
          <w:rFonts w:ascii="Book Antiqua" w:eastAsia="Times New Roman" w:hAnsi="Book Antiqua" w:cs="AdvGulliv-R"/>
          <w:b/>
          <w:color w:val="000000"/>
          <w:lang w:val="en-US" w:eastAsia="it-IT"/>
        </w:rPr>
        <w:t xml:space="preserve">: </w:t>
      </w:r>
      <w:r w:rsidR="001B052C" w:rsidRPr="00924A19">
        <w:rPr>
          <w:rFonts w:ascii="Book Antiqua" w:eastAsia="Times New Roman" w:hAnsi="Book Antiqua" w:cs="AdvMinionNormal_Rm"/>
          <w:lang w:val="en-US" w:eastAsia="it-IT"/>
        </w:rPr>
        <w:t xml:space="preserve">The countries studied in this area were Austria, Belgium, </w:t>
      </w:r>
      <w:r w:rsidR="00DC6037" w:rsidRPr="00924A19">
        <w:rPr>
          <w:rFonts w:ascii="Book Antiqua" w:eastAsia="Times New Roman" w:hAnsi="Book Antiqua" w:cs="AdvMinionNormal_Rm"/>
          <w:lang w:val="en-US" w:eastAsia="it-IT"/>
        </w:rPr>
        <w:t>Cyprus, Denmark, Finland, France, Germany, Greece, Iceland, Ireland, Italy, Luxembourg, Netherlands, N</w:t>
      </w:r>
      <w:r w:rsidR="00665858" w:rsidRPr="00924A19">
        <w:rPr>
          <w:rFonts w:ascii="Book Antiqua" w:eastAsia="Times New Roman" w:hAnsi="Book Antiqua" w:cs="AdvMinionNormal_Rm"/>
          <w:lang w:val="en-US" w:eastAsia="it-IT"/>
        </w:rPr>
        <w:t>orway, Portugal</w:t>
      </w:r>
      <w:r w:rsidRPr="00924A19">
        <w:rPr>
          <w:rFonts w:ascii="Book Antiqua" w:eastAsia="Times New Roman" w:hAnsi="Book Antiqua" w:cs="AdvMinionNormal_Rm"/>
          <w:lang w:val="en-US" w:eastAsia="it-IT"/>
        </w:rPr>
        <w:t xml:space="preserve">, Spain, Sweden, </w:t>
      </w:r>
      <w:r w:rsidR="00DC6037" w:rsidRPr="00924A19">
        <w:rPr>
          <w:rFonts w:ascii="Book Antiqua" w:eastAsia="Times New Roman" w:hAnsi="Book Antiqua" w:cs="AdvMinionNormal_Rm"/>
          <w:lang w:val="en-US" w:eastAsia="it-IT"/>
        </w:rPr>
        <w:t>Switzerland and United Kingdom</w:t>
      </w:r>
    </w:p>
    <w:p w:rsidR="00C52461" w:rsidRPr="00924A19" w:rsidRDefault="001B052C" w:rsidP="0026366E">
      <w:pPr>
        <w:autoSpaceDE w:val="0"/>
        <w:autoSpaceDN w:val="0"/>
        <w:adjustRightInd w:val="0"/>
        <w:snapToGrid w:val="0"/>
        <w:spacing w:line="360" w:lineRule="auto"/>
        <w:jc w:val="both"/>
        <w:rPr>
          <w:rFonts w:ascii="Book Antiqua" w:hAnsi="Book Antiqua"/>
          <w:lang w:val="en-US"/>
        </w:rPr>
      </w:pPr>
      <w:r w:rsidRPr="00924A19">
        <w:rPr>
          <w:rFonts w:ascii="Book Antiqua" w:hAnsi="Book Antiqua"/>
          <w:lang w:val="en-US"/>
        </w:rPr>
        <w:t xml:space="preserve">The prevalence of HCV in the general population of this area is </w:t>
      </w:r>
      <w:r w:rsidR="00DC6037" w:rsidRPr="00924A19">
        <w:rPr>
          <w:rFonts w:ascii="Book Antiqua" w:hAnsi="Book Antiqua"/>
          <w:lang w:val="en-US"/>
        </w:rPr>
        <w:t>0.9</w:t>
      </w:r>
      <w:r w:rsidRPr="00924A19">
        <w:rPr>
          <w:rFonts w:ascii="Book Antiqua" w:hAnsi="Book Antiqua"/>
          <w:lang w:val="en-US"/>
        </w:rPr>
        <w:t xml:space="preserve">%, ranging between </w:t>
      </w:r>
      <w:r w:rsidR="00DC6037" w:rsidRPr="00924A19">
        <w:rPr>
          <w:rFonts w:ascii="Book Antiqua" w:hAnsi="Book Antiqua"/>
          <w:lang w:val="en-US"/>
        </w:rPr>
        <w:t xml:space="preserve">2.0 </w:t>
      </w:r>
      <w:r w:rsidRPr="00924A19">
        <w:rPr>
          <w:rFonts w:ascii="Book Antiqua" w:hAnsi="Book Antiqua"/>
          <w:lang w:val="en-US"/>
        </w:rPr>
        <w:t xml:space="preserve">% in </w:t>
      </w:r>
      <w:r w:rsidR="00DC6037" w:rsidRPr="00924A19">
        <w:rPr>
          <w:rFonts w:ascii="Book Antiqua" w:hAnsi="Book Antiqua"/>
          <w:lang w:val="en-US"/>
        </w:rPr>
        <w:t>Italy</w:t>
      </w:r>
      <w:r w:rsidRPr="00924A19">
        <w:rPr>
          <w:rFonts w:ascii="Book Antiqua" w:hAnsi="Book Antiqua"/>
          <w:lang w:val="en-US"/>
        </w:rPr>
        <w:t xml:space="preserve"> and </w:t>
      </w:r>
      <w:r w:rsidR="00DC6037" w:rsidRPr="00924A19">
        <w:rPr>
          <w:rFonts w:ascii="Book Antiqua" w:hAnsi="Book Antiqua"/>
          <w:lang w:val="en-US"/>
        </w:rPr>
        <w:t>0.2</w:t>
      </w:r>
      <w:r w:rsidRPr="00924A19">
        <w:rPr>
          <w:rFonts w:ascii="Book Antiqua" w:hAnsi="Book Antiqua"/>
          <w:lang w:val="en-US"/>
        </w:rPr>
        <w:t xml:space="preserve">% in </w:t>
      </w:r>
      <w:r w:rsidR="00DC6037" w:rsidRPr="00924A19">
        <w:rPr>
          <w:rFonts w:ascii="Book Antiqua" w:hAnsi="Book Antiqua"/>
          <w:lang w:val="en-US"/>
        </w:rPr>
        <w:t>Netherlands</w:t>
      </w:r>
      <w:r w:rsidR="003A2FEE" w:rsidRPr="00924A19">
        <w:rPr>
          <w:rFonts w:ascii="Book Antiqua" w:hAnsi="Book Antiqua"/>
          <w:lang w:val="en-US"/>
        </w:rPr>
        <w:t xml:space="preserve"> (</w:t>
      </w:r>
      <w:r w:rsidR="003A2FEE" w:rsidRPr="00924A19">
        <w:rPr>
          <w:rFonts w:ascii="Book Antiqua" w:hAnsi="Book Antiqua"/>
          <w:bCs/>
          <w:lang w:val="en-US"/>
        </w:rPr>
        <w:t xml:space="preserve">Figure </w:t>
      </w:r>
      <w:r w:rsidR="00C220FF" w:rsidRPr="00924A19">
        <w:rPr>
          <w:rFonts w:ascii="Book Antiqua" w:hAnsi="Book Antiqua"/>
          <w:bCs/>
          <w:lang w:val="en-US"/>
        </w:rPr>
        <w:t>6A</w:t>
      </w:r>
      <w:r w:rsidR="003A2FEE" w:rsidRPr="00924A19">
        <w:rPr>
          <w:rFonts w:ascii="Book Antiqua" w:hAnsi="Book Antiqua"/>
          <w:bCs/>
          <w:lang w:val="en-US"/>
        </w:rPr>
        <w:t>)</w:t>
      </w:r>
      <w:r w:rsidR="003A2FEE" w:rsidRPr="00924A19">
        <w:rPr>
          <w:rFonts w:ascii="Book Antiqua" w:hAnsi="Book Antiqua"/>
          <w:lang w:val="en-US"/>
        </w:rPr>
        <w:t xml:space="preserve">, </w:t>
      </w:r>
      <w:r w:rsidR="00C52461" w:rsidRPr="00924A19">
        <w:rPr>
          <w:rFonts w:ascii="Book Antiqua" w:hAnsi="Book Antiqua"/>
          <w:lang w:val="en-US"/>
        </w:rPr>
        <w:t>with a viraemic rate estimated at 71.0% (</w:t>
      </w:r>
      <w:r w:rsidR="00C52461" w:rsidRPr="00924A19">
        <w:rPr>
          <w:rFonts w:ascii="Book Antiqua" w:hAnsi="Book Antiqua"/>
          <w:bCs/>
          <w:lang w:val="en-US"/>
        </w:rPr>
        <w:t>Table 2)</w:t>
      </w:r>
      <w:r w:rsidR="00C52461" w:rsidRPr="00924A19">
        <w:rPr>
          <w:rFonts w:ascii="Book Antiqua" w:hAnsi="Book Antiqua"/>
          <w:lang w:val="en-US"/>
        </w:rPr>
        <w:t>.</w:t>
      </w:r>
    </w:p>
    <w:p w:rsidR="00FD41FF" w:rsidRPr="00924A19" w:rsidRDefault="00D37C78" w:rsidP="0026366E">
      <w:pPr>
        <w:snapToGrid w:val="0"/>
        <w:spacing w:line="360" w:lineRule="auto"/>
        <w:ind w:firstLineChars="100" w:firstLine="240"/>
        <w:jc w:val="both"/>
        <w:rPr>
          <w:rFonts w:ascii="Book Antiqua" w:hAnsi="Book Antiqua"/>
          <w:lang w:val="en-US"/>
        </w:rPr>
      </w:pPr>
      <w:r w:rsidRPr="00924A19">
        <w:rPr>
          <w:rFonts w:ascii="Book Antiqua" w:hAnsi="Book Antiqua"/>
          <w:lang w:val="en-US"/>
        </w:rPr>
        <w:t xml:space="preserve">The predominant genotypes is </w:t>
      </w:r>
      <w:r w:rsidR="002C68EE" w:rsidRPr="00924A19">
        <w:rPr>
          <w:rFonts w:ascii="Book Antiqua" w:hAnsi="Book Antiqua"/>
          <w:lang w:val="en-US"/>
        </w:rPr>
        <w:t>G</w:t>
      </w:r>
      <w:r w:rsidRPr="00924A19">
        <w:rPr>
          <w:rFonts w:ascii="Book Antiqua" w:hAnsi="Book Antiqua"/>
          <w:lang w:val="en-US"/>
        </w:rPr>
        <w:t xml:space="preserve">1 (55.1%), followed by </w:t>
      </w:r>
      <w:r w:rsidR="00723F1D" w:rsidRPr="00924A19">
        <w:rPr>
          <w:rFonts w:ascii="Book Antiqua" w:hAnsi="Book Antiqua"/>
          <w:lang w:val="en-US"/>
        </w:rPr>
        <w:t>G</w:t>
      </w:r>
      <w:r w:rsidRPr="00924A19">
        <w:rPr>
          <w:rFonts w:ascii="Book Antiqua" w:hAnsi="Book Antiqua"/>
          <w:lang w:val="en-US"/>
        </w:rPr>
        <w:t xml:space="preserve">3 (29.0%), </w:t>
      </w:r>
      <w:r w:rsidR="00723F1D" w:rsidRPr="00924A19">
        <w:rPr>
          <w:rFonts w:ascii="Book Antiqua" w:hAnsi="Book Antiqua"/>
          <w:lang w:val="en-US"/>
        </w:rPr>
        <w:t>G</w:t>
      </w:r>
      <w:r w:rsidRPr="00924A19">
        <w:rPr>
          <w:rFonts w:ascii="Book Antiqua" w:hAnsi="Book Antiqua"/>
          <w:lang w:val="en-US"/>
        </w:rPr>
        <w:t xml:space="preserve">2 (8.9%) and </w:t>
      </w:r>
      <w:r w:rsidR="00723F1D" w:rsidRPr="00924A19">
        <w:rPr>
          <w:rFonts w:ascii="Book Antiqua" w:hAnsi="Book Antiqua"/>
          <w:lang w:val="en-US"/>
        </w:rPr>
        <w:t>G</w:t>
      </w:r>
      <w:r w:rsidRPr="00924A19">
        <w:rPr>
          <w:rFonts w:ascii="Book Antiqua" w:hAnsi="Book Antiqua"/>
          <w:lang w:val="en-US"/>
        </w:rPr>
        <w:t>4 (5.8%), whereas only small percentages of</w:t>
      </w:r>
      <w:r w:rsidR="00723F1D" w:rsidRPr="00924A19">
        <w:rPr>
          <w:rFonts w:ascii="Book Antiqua" w:hAnsi="Book Antiqua"/>
          <w:lang w:val="en-US"/>
        </w:rPr>
        <w:t>G</w:t>
      </w:r>
      <w:r w:rsidR="007501CB" w:rsidRPr="00924A19">
        <w:rPr>
          <w:rFonts w:ascii="Book Antiqua" w:hAnsi="Book Antiqua"/>
          <w:lang w:val="en-US"/>
        </w:rPr>
        <w:t xml:space="preserve">5, </w:t>
      </w:r>
      <w:r w:rsidR="00723F1D" w:rsidRPr="00924A19">
        <w:rPr>
          <w:rFonts w:ascii="Book Antiqua" w:hAnsi="Book Antiqua"/>
          <w:lang w:val="en-US"/>
        </w:rPr>
        <w:t>G</w:t>
      </w:r>
      <w:r w:rsidR="00A96CB8" w:rsidRPr="00924A19">
        <w:rPr>
          <w:rFonts w:ascii="Book Antiqua" w:hAnsi="Book Antiqua"/>
          <w:lang w:val="en-US"/>
        </w:rPr>
        <w:t xml:space="preserve">6 </w:t>
      </w:r>
      <w:r w:rsidR="007501CB" w:rsidRPr="00924A19">
        <w:rPr>
          <w:rFonts w:ascii="Book Antiqua" w:hAnsi="Book Antiqua"/>
          <w:lang w:val="en-US"/>
        </w:rPr>
        <w:t xml:space="preserve">and </w:t>
      </w:r>
      <w:r w:rsidR="00723F1D" w:rsidRPr="00924A19">
        <w:rPr>
          <w:rFonts w:ascii="Book Antiqua" w:hAnsi="Book Antiqua"/>
          <w:lang w:val="en-US"/>
        </w:rPr>
        <w:t>mixed genotypes</w:t>
      </w:r>
      <w:r w:rsidR="00692737" w:rsidRPr="00924A19">
        <w:rPr>
          <w:rFonts w:ascii="Book Antiqua" w:hAnsi="Book Antiqua"/>
          <w:lang w:val="en-US"/>
        </w:rPr>
        <w:t xml:space="preserve"> </w:t>
      </w:r>
      <w:r w:rsidR="00723F1D" w:rsidRPr="00924A19">
        <w:rPr>
          <w:rFonts w:ascii="Book Antiqua" w:hAnsi="Book Antiqua"/>
          <w:lang w:val="en-US"/>
        </w:rPr>
        <w:t>are</w:t>
      </w:r>
      <w:r w:rsidR="00692737" w:rsidRPr="00924A19">
        <w:rPr>
          <w:rFonts w:ascii="Book Antiqua" w:hAnsi="Book Antiqua"/>
          <w:lang w:val="en-US"/>
        </w:rPr>
        <w:t xml:space="preserve"> </w:t>
      </w:r>
      <w:r w:rsidR="00A96CB8" w:rsidRPr="00924A19">
        <w:rPr>
          <w:rFonts w:ascii="Book Antiqua" w:hAnsi="Book Antiqua"/>
          <w:lang w:val="en-US"/>
        </w:rPr>
        <w:t>reported (Table 4).</w:t>
      </w:r>
      <w:r w:rsidR="00FD41FF" w:rsidRPr="00924A19">
        <w:rPr>
          <w:rFonts w:ascii="Book Antiqua" w:hAnsi="Book Antiqua"/>
          <w:lang w:val="en-US"/>
        </w:rPr>
        <w:t xml:space="preserve">In Austria, Spain, Germany and Italy </w:t>
      </w:r>
      <w:r w:rsidR="00723F1D" w:rsidRPr="00924A19">
        <w:rPr>
          <w:rFonts w:ascii="Book Antiqua" w:hAnsi="Book Antiqua"/>
          <w:lang w:val="en-US"/>
        </w:rPr>
        <w:t>G</w:t>
      </w:r>
      <w:r w:rsidR="00FD41FF" w:rsidRPr="00924A19">
        <w:rPr>
          <w:rFonts w:ascii="Book Antiqua" w:hAnsi="Book Antiqua"/>
          <w:lang w:val="en-US"/>
        </w:rPr>
        <w:t xml:space="preserve">1 is over the sixty percent of all the genotypes found. A considerable percentage of </w:t>
      </w:r>
      <w:r w:rsidR="00723F1D" w:rsidRPr="00924A19">
        <w:rPr>
          <w:rFonts w:ascii="Book Antiqua" w:hAnsi="Book Antiqua"/>
          <w:lang w:val="en-US"/>
        </w:rPr>
        <w:t>G</w:t>
      </w:r>
      <w:r w:rsidR="00FD41FF" w:rsidRPr="00924A19">
        <w:rPr>
          <w:rFonts w:ascii="Book Antiqua" w:hAnsi="Book Antiqua"/>
          <w:lang w:val="en-US"/>
        </w:rPr>
        <w:t>3 was described</w:t>
      </w:r>
      <w:r w:rsidR="00692737" w:rsidRPr="00924A19">
        <w:rPr>
          <w:rFonts w:ascii="Book Antiqua" w:hAnsi="Book Antiqua"/>
          <w:lang w:val="en-US"/>
        </w:rPr>
        <w:t xml:space="preserve"> </w:t>
      </w:r>
      <w:r w:rsidR="00FD41FF" w:rsidRPr="00924A19">
        <w:rPr>
          <w:rFonts w:ascii="Book Antiqua" w:hAnsi="Book Antiqua"/>
          <w:lang w:val="en-US"/>
        </w:rPr>
        <w:lastRenderedPageBreak/>
        <w:t xml:space="preserve">in </w:t>
      </w:r>
      <w:r w:rsidR="0059441E" w:rsidRPr="00924A19">
        <w:rPr>
          <w:rFonts w:ascii="Book Antiqua" w:hAnsi="Book Antiqua"/>
          <w:lang w:val="en-US"/>
        </w:rPr>
        <w:t xml:space="preserve">some of the countries of the Northern Europe, as </w:t>
      </w:r>
      <w:r w:rsidR="00FD41FF" w:rsidRPr="00924A19">
        <w:rPr>
          <w:rFonts w:ascii="Book Antiqua" w:hAnsi="Book Antiqua"/>
          <w:lang w:val="en-US"/>
        </w:rPr>
        <w:t>Finland (46.0%), United Kingdom (43.8%)</w:t>
      </w:r>
      <w:r w:rsidR="0059441E" w:rsidRPr="00924A19">
        <w:rPr>
          <w:rFonts w:ascii="Book Antiqua" w:eastAsia="Times New Roman" w:hAnsi="Book Antiqua" w:cs="AdvMinionNormal_Rm"/>
          <w:lang w:val="en-US" w:eastAsia="it-IT"/>
        </w:rPr>
        <w:t xml:space="preserve">, Denmark (43.0%), whereas only Italy shows a significant percentage of </w:t>
      </w:r>
      <w:r w:rsidR="00723F1D" w:rsidRPr="00924A19">
        <w:rPr>
          <w:rFonts w:ascii="Book Antiqua" w:eastAsia="Times New Roman" w:hAnsi="Book Antiqua" w:cs="AdvMinionNormal_Rm"/>
          <w:lang w:val="en-US" w:eastAsia="it-IT"/>
        </w:rPr>
        <w:t>G</w:t>
      </w:r>
      <w:r w:rsidR="0059441E" w:rsidRPr="00924A19">
        <w:rPr>
          <w:rFonts w:ascii="Book Antiqua" w:eastAsia="Times New Roman" w:hAnsi="Book Antiqua" w:cs="AdvMinionNormal_Rm"/>
          <w:lang w:val="en-US" w:eastAsia="it-IT"/>
        </w:rPr>
        <w:t>2 (26.0%)</w:t>
      </w:r>
      <w:r w:rsidR="00C34E03" w:rsidRPr="00924A19">
        <w:rPr>
          <w:rFonts w:ascii="Book Antiqua" w:hAnsi="Book Antiqua"/>
          <w:lang w:val="en-US"/>
        </w:rPr>
        <w:t>(</w:t>
      </w:r>
      <w:r w:rsidR="00C34E03" w:rsidRPr="00924A19">
        <w:rPr>
          <w:rFonts w:ascii="Book Antiqua" w:hAnsi="Book Antiqua"/>
          <w:bCs/>
          <w:lang w:val="en-US"/>
        </w:rPr>
        <w:t xml:space="preserve">Figure </w:t>
      </w:r>
      <w:r w:rsidR="00C220FF" w:rsidRPr="00924A19">
        <w:rPr>
          <w:rFonts w:ascii="Book Antiqua" w:hAnsi="Book Antiqua"/>
          <w:bCs/>
          <w:lang w:val="en-US"/>
        </w:rPr>
        <w:t>6B</w:t>
      </w:r>
      <w:r w:rsidR="00C34E03" w:rsidRPr="00924A19">
        <w:rPr>
          <w:rFonts w:ascii="Book Antiqua" w:hAnsi="Book Antiqua"/>
          <w:bCs/>
          <w:lang w:val="en-US"/>
        </w:rPr>
        <w:t>)</w:t>
      </w:r>
      <w:r w:rsidR="00C34E03" w:rsidRPr="00924A19">
        <w:rPr>
          <w:rFonts w:ascii="Book Antiqua" w:hAnsi="Book Antiqua"/>
          <w:lang w:val="en-US"/>
        </w:rPr>
        <w:t>.</w:t>
      </w:r>
      <w:r w:rsidR="00FD41FF" w:rsidRPr="00924A19">
        <w:rPr>
          <w:rFonts w:ascii="Book Antiqua" w:hAnsi="Book Antiqua"/>
          <w:lang w:val="en-US"/>
        </w:rPr>
        <w:t xml:space="preserve">No genotypes distribution data are available from </w:t>
      </w:r>
      <w:r w:rsidR="003A2FEE" w:rsidRPr="00924A19">
        <w:rPr>
          <w:rFonts w:ascii="Book Antiqua" w:eastAsia="Times New Roman" w:hAnsi="Book Antiqua" w:cs="AdvMinionNormal_Rm"/>
          <w:lang w:val="en-US" w:eastAsia="it-IT"/>
        </w:rPr>
        <w:t xml:space="preserve">Cyprus </w:t>
      </w:r>
      <w:r w:rsidR="006B6466" w:rsidRPr="00924A19">
        <w:rPr>
          <w:rFonts w:ascii="Book Antiqua" w:eastAsia="Times New Roman" w:hAnsi="Book Antiqua" w:cs="AdvMinionNormal_Rm"/>
          <w:lang w:val="en-US" w:eastAsia="it-IT"/>
        </w:rPr>
        <w:t xml:space="preserve">and Iceland </w:t>
      </w:r>
    </w:p>
    <w:p w:rsidR="00534B8B" w:rsidRPr="00924A19" w:rsidRDefault="00534B8B" w:rsidP="0026366E">
      <w:pPr>
        <w:snapToGrid w:val="0"/>
        <w:spacing w:line="360" w:lineRule="auto"/>
        <w:jc w:val="both"/>
        <w:rPr>
          <w:rFonts w:ascii="Book Antiqua" w:hAnsi="Book Antiqua"/>
          <w:lang w:val="en-US"/>
        </w:rPr>
      </w:pPr>
    </w:p>
    <w:p w:rsidR="007F29F2" w:rsidRPr="00924A19" w:rsidRDefault="007F29F2" w:rsidP="0026366E">
      <w:pPr>
        <w:autoSpaceDE w:val="0"/>
        <w:autoSpaceDN w:val="0"/>
        <w:adjustRightInd w:val="0"/>
        <w:snapToGrid w:val="0"/>
        <w:spacing w:line="360" w:lineRule="auto"/>
        <w:jc w:val="both"/>
        <w:rPr>
          <w:rFonts w:ascii="Book Antiqua" w:hAnsi="Book Antiqua"/>
          <w:b/>
          <w:caps/>
          <w:lang w:val="en-US"/>
        </w:rPr>
      </w:pPr>
      <w:r w:rsidRPr="00924A19">
        <w:rPr>
          <w:rFonts w:ascii="Book Antiqua" w:hAnsi="Book Antiqua"/>
          <w:b/>
          <w:caps/>
          <w:lang w:val="en-US"/>
        </w:rPr>
        <w:t>Discussion</w:t>
      </w:r>
    </w:p>
    <w:p w:rsidR="000746FA" w:rsidRPr="00924A19" w:rsidRDefault="000746FA" w:rsidP="0026366E">
      <w:pPr>
        <w:autoSpaceDE w:val="0"/>
        <w:autoSpaceDN w:val="0"/>
        <w:adjustRightInd w:val="0"/>
        <w:spacing w:line="360" w:lineRule="auto"/>
        <w:jc w:val="both"/>
        <w:rPr>
          <w:rFonts w:ascii="Book Antiqua" w:eastAsia="Times New Roman" w:hAnsi="Book Antiqua" w:cs="AdvPSPH-R"/>
          <w:lang w:val="en-US" w:eastAsia="it-IT"/>
        </w:rPr>
      </w:pPr>
      <w:r w:rsidRPr="00924A19">
        <w:rPr>
          <w:rFonts w:ascii="Book Antiqua" w:eastAsia="Times New Roman" w:hAnsi="Book Antiqua" w:cs="AdvPSPH-R"/>
          <w:lang w:val="en-US" w:eastAsia="it-IT"/>
        </w:rPr>
        <w:t>Hepatitis C virus (HCV) infection is one of the main global health burden</w:t>
      </w:r>
      <w:r w:rsidRPr="00924A19">
        <w:rPr>
          <w:rFonts w:ascii="Book Antiqua" w:eastAsia="Times New Roman" w:hAnsi="Book Antiqua" w:cs="AdvPSPH-R"/>
          <w:vertAlign w:val="superscript"/>
          <w:lang w:val="en-US" w:eastAsia="it-IT"/>
        </w:rPr>
        <w:t>[5,39-43]</w:t>
      </w:r>
      <w:r w:rsidRPr="00924A19">
        <w:rPr>
          <w:rFonts w:ascii="Book Antiqua" w:eastAsia="Times New Roman" w:hAnsi="Book Antiqua" w:cs="AdvPSPH-R"/>
          <w:lang w:val="en-US" w:eastAsia="it-IT"/>
        </w:rPr>
        <w:t xml:space="preserve"> and its paradigm varies regionally depending on</w:t>
      </w:r>
      <w:r w:rsidR="00692737" w:rsidRPr="00924A19">
        <w:rPr>
          <w:rFonts w:ascii="Book Antiqua" w:eastAsia="Times New Roman" w:hAnsi="Book Antiqua" w:cs="AdvPSPH-R"/>
          <w:lang w:val="en-US" w:eastAsia="it-IT"/>
        </w:rPr>
        <w:t xml:space="preserve"> </w:t>
      </w:r>
      <w:r w:rsidRPr="00924A19">
        <w:rPr>
          <w:rFonts w:ascii="Book Antiqua" w:eastAsia="Times New Roman" w:hAnsi="Book Antiqua" w:cs="AdvPSPH-R"/>
          <w:lang w:val="en-US" w:eastAsia="it-IT"/>
        </w:rPr>
        <w:t>its historical and present risk factors. A country-specific policy of prevention, diagnosis and treatment could reduce this disease burden, but unfortunately, in many countries, there is a lack of robust epidemiological data upon which to base these strategies, being HCV infection rates</w:t>
      </w:r>
      <w:r w:rsidR="0026366E" w:rsidRPr="00924A19">
        <w:rPr>
          <w:rFonts w:ascii="Book Antiqua" w:eastAsia="Times New Roman" w:hAnsi="Book Antiqua" w:cs="AdvPSPH-R"/>
          <w:vertAlign w:val="superscript"/>
          <w:lang w:val="en-US" w:eastAsia="it-IT"/>
        </w:rPr>
        <w:t>[2,</w:t>
      </w:r>
      <w:r w:rsidRPr="00924A19">
        <w:rPr>
          <w:rFonts w:ascii="Book Antiqua" w:eastAsia="Times New Roman" w:hAnsi="Book Antiqua" w:cs="AdvPSPH-R"/>
          <w:vertAlign w:val="superscript"/>
          <w:lang w:val="en-US" w:eastAsia="it-IT"/>
        </w:rPr>
        <w:t>44-48]</w:t>
      </w:r>
      <w:r w:rsidRPr="00924A19">
        <w:rPr>
          <w:rFonts w:ascii="Book Antiqua" w:eastAsia="Times New Roman" w:hAnsi="Book Antiqua" w:cs="AdvPSPH-R"/>
          <w:lang w:val="en-US" w:eastAsia="it-IT"/>
        </w:rPr>
        <w:t xml:space="preserve"> typically focused on quantifying only the anti-HCV prevalence with no attention to HCV genotypes distribution. </w:t>
      </w:r>
    </w:p>
    <w:p w:rsidR="000746FA" w:rsidRPr="00924A19" w:rsidRDefault="000746FA" w:rsidP="0026366E">
      <w:pPr>
        <w:autoSpaceDE w:val="0"/>
        <w:autoSpaceDN w:val="0"/>
        <w:adjustRightInd w:val="0"/>
        <w:spacing w:line="360" w:lineRule="auto"/>
        <w:ind w:firstLineChars="100" w:firstLine="240"/>
        <w:jc w:val="both"/>
        <w:rPr>
          <w:rFonts w:ascii="Book Antiqua" w:eastAsia="Times New Roman" w:hAnsi="Book Antiqua" w:cs="AdvGulliv-R"/>
          <w:color w:val="000000"/>
          <w:lang w:val="en-US" w:eastAsia="it-IT"/>
        </w:rPr>
      </w:pPr>
      <w:r w:rsidRPr="00924A19">
        <w:rPr>
          <w:rFonts w:ascii="Book Antiqua" w:eastAsia="Times New Roman" w:hAnsi="Book Antiqua" w:cs="AdvPSPH-R"/>
          <w:lang w:val="en-US" w:eastAsia="it-IT"/>
        </w:rPr>
        <w:t xml:space="preserve">This study represents one of the most comprehensive effort to present in a systematic manner the actual situation of the epidemiology of HCV infection, using the best available published and unpublished data between 2000 and 2015, giving a special care not only on available data, but focusing the attention especially on more relevant data. </w:t>
      </w:r>
      <w:r w:rsidRPr="00924A19">
        <w:rPr>
          <w:rFonts w:ascii="Book Antiqua" w:eastAsia="Times New Roman" w:hAnsi="Book Antiqua" w:cs="AdvGulliv-R"/>
          <w:lang w:val="en-US" w:eastAsia="it-IT"/>
        </w:rPr>
        <w:t>For example, studies on HCV prevalence among blood donors, available in many</w:t>
      </w:r>
      <w:r w:rsidR="00692737" w:rsidRPr="00924A19">
        <w:rPr>
          <w:rFonts w:ascii="Book Antiqua" w:eastAsia="Times New Roman" w:hAnsi="Book Antiqua" w:cs="AdvGulliv-R"/>
          <w:lang w:val="en-US" w:eastAsia="it-IT"/>
        </w:rPr>
        <w:t xml:space="preserve"> </w:t>
      </w:r>
      <w:r w:rsidRPr="00924A19">
        <w:rPr>
          <w:rFonts w:ascii="Book Antiqua" w:eastAsia="Times New Roman" w:hAnsi="Book Antiqua" w:cs="AdvGulliv-R"/>
          <w:lang w:val="en-US" w:eastAsia="it-IT"/>
        </w:rPr>
        <w:t>countries and surely attractive for the large sample size, were excluded because this population, corresponding to healthy screened adults, is not representative of the total population. For the same reason, even if opposite, numerous high risk populations studies (</w:t>
      </w:r>
      <w:r w:rsidRPr="00924A19">
        <w:rPr>
          <w:rFonts w:ascii="Book Antiqua" w:eastAsia="Times New Roman" w:hAnsi="Book Antiqua" w:cs="AdvGulliv-R"/>
          <w:i/>
          <w:lang w:val="en-US" w:eastAsia="it-IT"/>
        </w:rPr>
        <w:t>e.g.</w:t>
      </w:r>
      <w:r w:rsidR="0026366E" w:rsidRPr="00924A19">
        <w:rPr>
          <w:rFonts w:ascii="Book Antiqua" w:eastAsiaTheme="minorEastAsia" w:hAnsi="Book Antiqua" w:cs="AdvGulliv-R" w:hint="eastAsia"/>
          <w:lang w:val="en-US"/>
        </w:rPr>
        <w:t xml:space="preserve">, </w:t>
      </w:r>
      <w:r w:rsidRPr="00924A19">
        <w:rPr>
          <w:rFonts w:ascii="Book Antiqua" w:eastAsia="Times New Roman" w:hAnsi="Book Antiqua" w:cs="AdvGulliv-R"/>
          <w:lang w:val="en-US" w:eastAsia="it-IT"/>
        </w:rPr>
        <w:t xml:space="preserve">PWIDs, haemodialysis patients, cancer patients, </w:t>
      </w:r>
      <w:r w:rsidRPr="00924A19">
        <w:rPr>
          <w:rFonts w:ascii="Book Antiqua" w:eastAsia="Times New Roman" w:hAnsi="Book Antiqua" w:cs="AdvGulliv-R"/>
          <w:i/>
          <w:lang w:val="en-US" w:eastAsia="it-IT"/>
        </w:rPr>
        <w:t>etc.</w:t>
      </w:r>
      <w:r w:rsidRPr="00924A19">
        <w:rPr>
          <w:rFonts w:ascii="Book Antiqua" w:eastAsia="Times New Roman" w:hAnsi="Book Antiqua" w:cs="AdvGulliv-R"/>
          <w:lang w:val="en-US" w:eastAsia="it-IT"/>
        </w:rPr>
        <w:t>) were not considered too. Finally, it is important to clear</w:t>
      </w:r>
      <w:r w:rsidR="00692737" w:rsidRPr="00924A19">
        <w:rPr>
          <w:rFonts w:ascii="Book Antiqua" w:eastAsia="Times New Roman" w:hAnsi="Book Antiqua" w:cs="AdvGulliv-R"/>
          <w:lang w:val="en-US" w:eastAsia="it-IT"/>
        </w:rPr>
        <w:t xml:space="preserve"> </w:t>
      </w:r>
      <w:r w:rsidRPr="00924A19">
        <w:rPr>
          <w:rFonts w:ascii="Book Antiqua" w:eastAsia="Times New Roman" w:hAnsi="Book Antiqua" w:cs="AdvGulliv-R"/>
          <w:lang w:val="en-US" w:eastAsia="it-IT"/>
        </w:rPr>
        <w:t xml:space="preserve">that all </w:t>
      </w:r>
      <w:r w:rsidRPr="00924A19">
        <w:rPr>
          <w:rFonts w:ascii="Book Antiqua" w:eastAsia="Times New Roman" w:hAnsi="Book Antiqua" w:cs="AdvGulliv-R"/>
          <w:color w:val="000000"/>
          <w:lang w:val="en-US" w:eastAsia="it-IT"/>
        </w:rPr>
        <w:t>the studies published prior to 2000 were also excluded considering the global epidemiological changes that HCV infections has had in the latest twenty years</w:t>
      </w:r>
      <w:r w:rsidRPr="00924A19">
        <w:rPr>
          <w:rFonts w:ascii="Book Antiqua" w:eastAsia="Times New Roman" w:hAnsi="Book Antiqua" w:cs="AdvGulliv-R"/>
          <w:vertAlign w:val="superscript"/>
          <w:lang w:val="en-US" w:eastAsia="it-IT"/>
        </w:rPr>
        <w:t>[39,40,49-52]</w:t>
      </w:r>
      <w:r w:rsidRPr="00924A19">
        <w:rPr>
          <w:rFonts w:ascii="Book Antiqua" w:eastAsia="Times New Roman" w:hAnsi="Book Antiqua" w:cs="AdvGulliv-R"/>
          <w:lang w:val="en-US" w:eastAsia="it-IT"/>
        </w:rPr>
        <w:t>.</w:t>
      </w:r>
    </w:p>
    <w:p w:rsidR="000746FA" w:rsidRPr="00924A19" w:rsidRDefault="000746FA" w:rsidP="0026366E">
      <w:pPr>
        <w:autoSpaceDE w:val="0"/>
        <w:autoSpaceDN w:val="0"/>
        <w:adjustRightInd w:val="0"/>
        <w:spacing w:line="360" w:lineRule="auto"/>
        <w:ind w:firstLineChars="100" w:firstLine="240"/>
        <w:jc w:val="both"/>
        <w:rPr>
          <w:rFonts w:ascii="Book Antiqua" w:eastAsia="Times New Roman" w:hAnsi="Book Antiqua" w:cs="AdvAGaramond-B"/>
          <w:color w:val="231F20"/>
          <w:lang w:val="en-US" w:eastAsia="it-IT"/>
        </w:rPr>
      </w:pPr>
      <w:r w:rsidRPr="00924A19">
        <w:rPr>
          <w:rFonts w:ascii="Book Antiqua" w:eastAsia="Times New Roman" w:hAnsi="Book Antiqua" w:cs="AdvGulliv-R"/>
          <w:color w:val="000000"/>
          <w:lang w:val="en-US" w:eastAsia="it-IT"/>
        </w:rPr>
        <w:lastRenderedPageBreak/>
        <w:t>Studying 138 countries worldwide (36 in Sub- Saharan Africa, 16 in Americas, 26 in Asia, 2 in Australasia, 19 in North Africa/Middle East area</w:t>
      </w:r>
      <w:r w:rsidR="00692737" w:rsidRPr="00924A19">
        <w:rPr>
          <w:rFonts w:ascii="Book Antiqua" w:eastAsia="Times New Roman" w:hAnsi="Book Antiqua" w:cs="AdvGulliv-R"/>
          <w:color w:val="000000"/>
          <w:lang w:val="en-US" w:eastAsia="it-IT"/>
        </w:rPr>
        <w:t xml:space="preserve"> </w:t>
      </w:r>
      <w:r w:rsidRPr="00924A19">
        <w:rPr>
          <w:rFonts w:ascii="Book Antiqua" w:eastAsia="Times New Roman" w:hAnsi="Book Antiqua" w:cs="AdvGulliv-R"/>
          <w:color w:val="000000"/>
          <w:lang w:val="en-US" w:eastAsia="it-IT"/>
        </w:rPr>
        <w:t xml:space="preserve">and 39 in Europe),total global HCV prevalence is estimated at 2.5% (177 </w:t>
      </w:r>
      <w:r w:rsidR="00516180" w:rsidRPr="00924A19">
        <w:rPr>
          <w:rFonts w:ascii="Book Antiqua" w:eastAsia="Times New Roman" w:hAnsi="Book Antiqua" w:cs="AdvGulliv-R"/>
          <w:color w:val="000000"/>
          <w:lang w:val="en-US" w:eastAsia="it-IT"/>
        </w:rPr>
        <w:t>million</w:t>
      </w:r>
      <w:r w:rsidRPr="00924A19">
        <w:rPr>
          <w:rFonts w:ascii="Book Antiqua" w:eastAsia="Times New Roman" w:hAnsi="Book Antiqua" w:cs="AdvGulliv-R"/>
          <w:color w:val="000000"/>
          <w:lang w:val="en-US" w:eastAsia="it-IT"/>
        </w:rPr>
        <w:t xml:space="preserve"> of HCV infected adults).</w:t>
      </w:r>
      <w:r w:rsidRPr="00924A19">
        <w:rPr>
          <w:rFonts w:ascii="Book Antiqua" w:eastAsia="Times New Roman" w:hAnsi="Book Antiqua" w:cs="AdvAGaramond-B"/>
          <w:color w:val="231F20"/>
          <w:lang w:val="en-US" w:eastAsia="it-IT"/>
        </w:rPr>
        <w:t>Central Asia and Central Africa are estimated to have high prevalence (</w:t>
      </w:r>
      <w:r w:rsidRPr="00924A19">
        <w:rPr>
          <w:rFonts w:ascii="Book Antiqua" w:eastAsia="Times New Roman" w:hAnsi="Book Antiqua" w:cs="AdvPS_SSYB"/>
          <w:color w:val="231F20"/>
          <w:lang w:val="en-US" w:eastAsia="it-IT"/>
        </w:rPr>
        <w:t>&gt;</w:t>
      </w:r>
      <w:r w:rsidR="00184665" w:rsidRPr="00924A19">
        <w:rPr>
          <w:rFonts w:ascii="Book Antiqua" w:eastAsiaTheme="minorEastAsia" w:hAnsi="Book Antiqua" w:cs="AdvPS_SSYB" w:hint="eastAsia"/>
          <w:color w:val="231F20"/>
          <w:lang w:val="en-US"/>
        </w:rPr>
        <w:t xml:space="preserve"> </w:t>
      </w:r>
      <w:r w:rsidRPr="00924A19">
        <w:rPr>
          <w:rFonts w:ascii="Book Antiqua" w:eastAsia="Times New Roman" w:hAnsi="Book Antiqua" w:cs="AdvAGaramond-B"/>
          <w:color w:val="231F20"/>
          <w:lang w:val="en-US" w:eastAsia="it-IT"/>
        </w:rPr>
        <w:t>3.5%); East, South and Southeast Asia, West and East Africa, North Africa and Middle East, Andean, Central, and Southern and Tropical Latin America, Caribbean, Australasia, and Eastern Europe moderate prevalence (1.5%-3.5%); whereas Southern Africa, North America, Andean and Central Latin America, Pacific Asia and Western and Central Europe have low prevalence (</w:t>
      </w:r>
      <w:r w:rsidRPr="00924A19">
        <w:rPr>
          <w:rFonts w:ascii="Book Antiqua" w:eastAsia="Times New Roman" w:hAnsi="Book Antiqua" w:cs="AdvPS_SSYB"/>
          <w:color w:val="231F20"/>
          <w:lang w:val="en-US" w:eastAsia="it-IT"/>
        </w:rPr>
        <w:t>&lt;</w:t>
      </w:r>
      <w:r w:rsidR="00184665" w:rsidRPr="00924A19">
        <w:rPr>
          <w:rFonts w:ascii="Book Antiqua" w:eastAsiaTheme="minorEastAsia" w:hAnsi="Book Antiqua" w:cs="AdvPS_SSYB" w:hint="eastAsia"/>
          <w:color w:val="231F20"/>
          <w:lang w:val="en-US"/>
        </w:rPr>
        <w:t xml:space="preserve"> </w:t>
      </w:r>
      <w:r w:rsidRPr="00924A19">
        <w:rPr>
          <w:rFonts w:ascii="Book Antiqua" w:eastAsia="Times New Roman" w:hAnsi="Book Antiqua" w:cs="AdvAGaramond-B"/>
          <w:color w:val="231F20"/>
          <w:lang w:val="en-US" w:eastAsia="it-IT"/>
        </w:rPr>
        <w:t>1.5%) (Table 2).</w:t>
      </w:r>
    </w:p>
    <w:p w:rsidR="000746FA" w:rsidRPr="00924A19" w:rsidRDefault="000746FA" w:rsidP="0026366E">
      <w:pPr>
        <w:autoSpaceDE w:val="0"/>
        <w:autoSpaceDN w:val="0"/>
        <w:adjustRightInd w:val="0"/>
        <w:spacing w:line="360" w:lineRule="auto"/>
        <w:ind w:firstLineChars="100" w:firstLine="240"/>
        <w:jc w:val="both"/>
        <w:rPr>
          <w:rFonts w:ascii="Book Antiqua" w:eastAsia="Times New Roman" w:hAnsi="Book Antiqua" w:cs="AdvAGaramond-B"/>
          <w:color w:val="231F20"/>
          <w:lang w:val="en-US" w:eastAsia="it-IT"/>
        </w:rPr>
      </w:pPr>
      <w:r w:rsidRPr="00924A19">
        <w:rPr>
          <w:rFonts w:ascii="Book Antiqua" w:hAnsi="Book Antiqua"/>
          <w:lang w:val="en-US"/>
        </w:rPr>
        <w:t>No adult HCV prevalence studies were available from 19 countries (4 in Asia, 4 in Americas, 5 in North Africa/Middle East area and 6 in Europe).</w:t>
      </w:r>
      <w:r w:rsidRPr="00924A19">
        <w:rPr>
          <w:rFonts w:ascii="Book Antiqua" w:eastAsia="Times New Roman" w:hAnsi="Book Antiqua" w:cs="AdvGulliv-R"/>
          <w:color w:val="000000"/>
          <w:lang w:val="en-US" w:eastAsia="it-IT"/>
        </w:rPr>
        <w:t xml:space="preserve"> In order of their contribution, twenty five of the 138 countries studied account for almost the half of total viraemic infections worldwide and </w:t>
      </w:r>
      <w:r w:rsidRPr="00924A19">
        <w:rPr>
          <w:rFonts w:ascii="Book Antiqua" w:eastAsia="Times New Roman" w:hAnsi="Book Antiqua" w:cs="AdvGulliv-R"/>
          <w:lang w:val="en-US" w:eastAsia="it-IT"/>
        </w:rPr>
        <w:t xml:space="preserve">China, Egypt, India, Nigeria, Pakistan and Russia together for more than 70% of them. </w:t>
      </w:r>
    </w:p>
    <w:p w:rsidR="000746FA" w:rsidRPr="00924A19" w:rsidRDefault="000746FA" w:rsidP="0026366E">
      <w:pPr>
        <w:autoSpaceDE w:val="0"/>
        <w:autoSpaceDN w:val="0"/>
        <w:adjustRightInd w:val="0"/>
        <w:spacing w:line="360" w:lineRule="auto"/>
        <w:ind w:firstLineChars="100" w:firstLine="240"/>
        <w:jc w:val="both"/>
        <w:rPr>
          <w:rFonts w:ascii="Book Antiqua" w:eastAsia="Times New Roman" w:hAnsi="Book Antiqua" w:cs="AdvAGaramond-B"/>
          <w:color w:val="231F20"/>
          <w:lang w:val="en-US" w:eastAsia="it-IT"/>
        </w:rPr>
      </w:pPr>
      <w:r w:rsidRPr="00924A19">
        <w:rPr>
          <w:rFonts w:ascii="Book Antiqua" w:eastAsia="Times New Roman" w:hAnsi="Book Antiqua" w:cs="AdvAGaramond-B"/>
          <w:color w:val="231F20"/>
          <w:lang w:val="en-US" w:eastAsia="it-IT"/>
        </w:rPr>
        <w:t>Our analysis shows that globally the prevalence and number of HCV infected patients, if compared to a similar study</w:t>
      </w:r>
      <w:r w:rsidR="00692737" w:rsidRPr="00924A19">
        <w:rPr>
          <w:rFonts w:ascii="Book Antiqua" w:eastAsia="Times New Roman" w:hAnsi="Book Antiqua" w:cs="AdvAGaramond-B"/>
          <w:color w:val="231F20"/>
          <w:lang w:val="en-US" w:eastAsia="it-IT"/>
        </w:rPr>
        <w:t xml:space="preserve"> </w:t>
      </w:r>
      <w:r w:rsidRPr="00924A19">
        <w:rPr>
          <w:rFonts w:ascii="Book Antiqua" w:eastAsia="Times New Roman" w:hAnsi="Book Antiqua" w:cs="AdvAGaramond-B"/>
          <w:color w:val="231F20"/>
          <w:lang w:val="en-US" w:eastAsia="it-IT"/>
        </w:rPr>
        <w:t>concerning the period 1990-2005</w:t>
      </w:r>
      <w:r w:rsidRPr="00924A19">
        <w:rPr>
          <w:rFonts w:ascii="Book Antiqua" w:eastAsia="Times New Roman" w:hAnsi="Book Antiqua" w:cs="AdvGulliv-R"/>
          <w:vertAlign w:val="superscript"/>
          <w:lang w:val="en-US" w:eastAsia="it-IT"/>
        </w:rPr>
        <w:t>[2]</w:t>
      </w:r>
      <w:r w:rsidRPr="00924A19">
        <w:rPr>
          <w:rFonts w:ascii="Book Antiqua" w:eastAsia="Times New Roman" w:hAnsi="Book Antiqua" w:cs="AdvGulliv-R"/>
          <w:lang w:val="en-US" w:eastAsia="it-IT"/>
        </w:rPr>
        <w:t xml:space="preserve">, </w:t>
      </w:r>
      <w:r w:rsidRPr="00924A19">
        <w:rPr>
          <w:rFonts w:ascii="Book Antiqua" w:eastAsia="Times New Roman" w:hAnsi="Book Antiqua" w:cs="AdvAGaramond-B"/>
          <w:color w:val="231F20"/>
          <w:lang w:val="en-US" w:eastAsia="it-IT"/>
        </w:rPr>
        <w:t xml:space="preserve">has decreased from 2.8% </w:t>
      </w:r>
      <w:r w:rsidR="0026366E" w:rsidRPr="00924A19">
        <w:rPr>
          <w:rFonts w:ascii="Book Antiqua" w:eastAsiaTheme="minorEastAsia" w:hAnsi="Book Antiqua" w:cs="AdvAGaramond-B" w:hint="eastAsia"/>
          <w:color w:val="231F20"/>
          <w:lang w:val="en-US"/>
        </w:rPr>
        <w:t>[</w:t>
      </w:r>
      <w:r w:rsidRPr="00924A19">
        <w:rPr>
          <w:rFonts w:ascii="Book Antiqua" w:eastAsia="Times New Roman" w:hAnsi="Book Antiqua" w:cs="AdvAGaramond-B"/>
          <w:color w:val="231F20"/>
          <w:lang w:val="en-US" w:eastAsia="it-IT"/>
        </w:rPr>
        <w:t xml:space="preserve">95% uncertainty interval </w:t>
      </w:r>
      <w:r w:rsidR="0026366E" w:rsidRPr="00924A19">
        <w:rPr>
          <w:rFonts w:ascii="Book Antiqua" w:eastAsiaTheme="minorEastAsia" w:hAnsi="Book Antiqua" w:cs="AdvAGaramond-B" w:hint="eastAsia"/>
          <w:color w:val="231F20"/>
          <w:lang w:val="en-US"/>
        </w:rPr>
        <w:t>(</w:t>
      </w:r>
      <w:r w:rsidRPr="00924A19">
        <w:rPr>
          <w:rFonts w:ascii="Book Antiqua" w:eastAsia="Times New Roman" w:hAnsi="Book Antiqua" w:cs="AdvAGaramond-B"/>
          <w:color w:val="231F20"/>
          <w:lang w:val="en-US" w:eastAsia="it-IT"/>
        </w:rPr>
        <w:t>UI</w:t>
      </w:r>
      <w:r w:rsidR="0026366E" w:rsidRPr="00924A19">
        <w:rPr>
          <w:rFonts w:ascii="Book Antiqua" w:eastAsiaTheme="minorEastAsia" w:hAnsi="Book Antiqua" w:cs="AdvAGaramond-B" w:hint="eastAsia"/>
          <w:color w:val="231F20"/>
          <w:lang w:val="en-US"/>
        </w:rPr>
        <w:t>)</w:t>
      </w:r>
      <w:r w:rsidRPr="00924A19">
        <w:rPr>
          <w:rFonts w:ascii="Book Antiqua" w:eastAsia="Times New Roman" w:hAnsi="Book Antiqua" w:cs="AdvAGaramond-B"/>
          <w:color w:val="231F20"/>
          <w:lang w:val="en-US" w:eastAsia="it-IT"/>
        </w:rPr>
        <w:t>: 2.6%-3.1%</w:t>
      </w:r>
      <w:r w:rsidR="0026366E" w:rsidRPr="00924A19">
        <w:rPr>
          <w:rFonts w:ascii="Book Antiqua" w:eastAsiaTheme="minorEastAsia" w:hAnsi="Book Antiqua" w:cs="AdvAGaramond-B" w:hint="eastAsia"/>
          <w:color w:val="231F20"/>
          <w:lang w:val="en-US"/>
        </w:rPr>
        <w:t>]</w:t>
      </w:r>
      <w:r w:rsidR="0026366E" w:rsidRPr="00924A19">
        <w:rPr>
          <w:rFonts w:ascii="Book Antiqua" w:eastAsia="Times New Roman" w:hAnsi="Book Antiqua" w:cs="AdvAGaramond-B"/>
          <w:color w:val="231F20"/>
          <w:lang w:val="en-US" w:eastAsia="it-IT"/>
        </w:rPr>
        <w:t xml:space="preserve"> to 2.5% (95%</w:t>
      </w:r>
      <w:r w:rsidRPr="00924A19">
        <w:rPr>
          <w:rFonts w:ascii="Book Antiqua" w:eastAsia="Times New Roman" w:hAnsi="Book Antiqua" w:cs="AdvAGaramond-B"/>
          <w:color w:val="231F20"/>
          <w:lang w:val="en-US" w:eastAsia="it-IT"/>
        </w:rPr>
        <w:t xml:space="preserve">UI: 2.3%-2.7%) and </w:t>
      </w:r>
      <w:r w:rsidRPr="00924A19">
        <w:rPr>
          <w:rFonts w:ascii="Book Antiqua" w:eastAsia="Times New Roman" w:hAnsi="Book Antiqua" w:cs="AdvPS_SSYB"/>
          <w:color w:val="231F20"/>
          <w:lang w:val="en-US" w:eastAsia="it-IT"/>
        </w:rPr>
        <w:t xml:space="preserve">from </w:t>
      </w:r>
      <w:r w:rsidRPr="00924A19">
        <w:rPr>
          <w:rFonts w:ascii="Book Antiqua" w:eastAsia="Times New Roman" w:hAnsi="Book Antiqua" w:cs="AdvAGaramond-B"/>
          <w:color w:val="231F20"/>
          <w:lang w:val="en-US" w:eastAsia="it-IT"/>
        </w:rPr>
        <w:t>185 to 177millions. It is interesting to note that the most relevant decrease has been observed in the high income zones, especially in Western Europe (-1.5%), Southern Africa (-1.2%)and Australasia (- 0.9%), whereas a massive increase it’s reported in some of the low income areas as Central Africa (+3.7%) and</w:t>
      </w:r>
      <w:r w:rsidR="00692737" w:rsidRPr="00924A19">
        <w:rPr>
          <w:rFonts w:ascii="Book Antiqua" w:eastAsia="Times New Roman" w:hAnsi="Book Antiqua" w:cs="AdvAGaramond-B"/>
          <w:color w:val="231F20"/>
          <w:lang w:val="en-US" w:eastAsia="it-IT"/>
        </w:rPr>
        <w:t xml:space="preserve"> </w:t>
      </w:r>
      <w:r w:rsidRPr="00924A19">
        <w:rPr>
          <w:rFonts w:ascii="Book Antiqua" w:eastAsia="Times New Roman" w:hAnsi="Book Antiqua" w:cs="AdvAGaramond-B"/>
          <w:color w:val="231F20"/>
          <w:lang w:val="en-US" w:eastAsia="it-IT"/>
        </w:rPr>
        <w:t>Central Asia (+2.0%)</w:t>
      </w:r>
      <w:r w:rsidRPr="00924A19">
        <w:rPr>
          <w:rFonts w:ascii="Book Antiqua" w:eastAsia="Times New Roman" w:hAnsi="Book Antiqua" w:cs="AdvGulliv-R"/>
          <w:vertAlign w:val="superscript"/>
          <w:lang w:val="en-US" w:eastAsia="it-IT"/>
        </w:rPr>
        <w:t>[53]</w:t>
      </w:r>
      <w:r w:rsidRPr="00924A19">
        <w:rPr>
          <w:rFonts w:ascii="Book Antiqua" w:eastAsia="Times New Roman" w:hAnsi="Book Antiqua" w:cs="AdvAGaramond-B"/>
          <w:color w:val="231F20"/>
          <w:lang w:val="en-US" w:eastAsia="it-IT"/>
        </w:rPr>
        <w:t>.</w:t>
      </w:r>
    </w:p>
    <w:p w:rsidR="000746FA" w:rsidRPr="00924A19" w:rsidRDefault="000746FA" w:rsidP="0026366E">
      <w:pPr>
        <w:autoSpaceDE w:val="0"/>
        <w:autoSpaceDN w:val="0"/>
        <w:adjustRightInd w:val="0"/>
        <w:spacing w:line="360" w:lineRule="auto"/>
        <w:ind w:firstLineChars="100" w:firstLine="240"/>
        <w:jc w:val="both"/>
        <w:rPr>
          <w:rFonts w:ascii="Book Antiqua" w:eastAsia="Times New Roman" w:hAnsi="Book Antiqua" w:cs="AdvGulliv-R"/>
          <w:color w:val="000000"/>
          <w:lang w:val="en-US" w:eastAsia="it-IT"/>
        </w:rPr>
      </w:pPr>
      <w:r w:rsidRPr="00924A19">
        <w:rPr>
          <w:rFonts w:ascii="Book Antiqua" w:eastAsia="Times New Roman" w:hAnsi="Book Antiqua" w:cs="AdvGulliv-R"/>
          <w:color w:val="000000"/>
          <w:lang w:val="en-US" w:eastAsia="it-IT"/>
        </w:rPr>
        <w:t xml:space="preserve">By estimating the total number of HCV RNA positive infections, our data show that the global average viraemic rate is at 67% (118.9 </w:t>
      </w:r>
      <w:r w:rsidR="00516180" w:rsidRPr="00924A19">
        <w:rPr>
          <w:rFonts w:ascii="Book Antiqua" w:eastAsia="Times New Roman" w:hAnsi="Book Antiqua" w:cs="AdvGulliv-R"/>
          <w:color w:val="000000"/>
          <w:lang w:val="en-US" w:eastAsia="it-IT"/>
        </w:rPr>
        <w:t>million</w:t>
      </w:r>
      <w:r w:rsidRPr="00924A19">
        <w:rPr>
          <w:rFonts w:ascii="Book Antiqua" w:eastAsia="Times New Roman" w:hAnsi="Book Antiqua" w:cs="AdvGulliv-R"/>
          <w:color w:val="000000"/>
          <w:lang w:val="en-US" w:eastAsia="it-IT"/>
        </w:rPr>
        <w:t xml:space="preserve"> of HCV RNA positive cases), varying from 48.7% in Central Asia to 80.2% in Tropical Latin America (Table 2). It is interesting notice that some countries, as Poland, where it has been </w:t>
      </w:r>
      <w:r w:rsidRPr="00924A19">
        <w:rPr>
          <w:rFonts w:ascii="Book Antiqua" w:eastAsia="Times New Roman" w:hAnsi="Book Antiqua" w:cs="AdvGulliv-R"/>
          <w:color w:val="000000"/>
          <w:lang w:val="en-US" w:eastAsia="it-IT"/>
        </w:rPr>
        <w:lastRenderedPageBreak/>
        <w:t>reported a high anti-HCV prevalence and an increasing viraemic rate</w:t>
      </w:r>
      <w:r w:rsidRPr="00924A19">
        <w:rPr>
          <w:rFonts w:ascii="Book Antiqua" w:eastAsia="Times New Roman" w:hAnsi="Book Antiqua" w:cs="AdvGulliv-R"/>
          <w:color w:val="000000"/>
          <w:vertAlign w:val="superscript"/>
          <w:lang w:val="en-US" w:eastAsia="it-IT"/>
        </w:rPr>
        <w:t>[54]</w:t>
      </w:r>
      <w:r w:rsidRPr="00924A19">
        <w:rPr>
          <w:rFonts w:ascii="Book Antiqua" w:eastAsia="Times New Roman" w:hAnsi="Book Antiqua" w:cs="AdvGulliv-R"/>
          <w:color w:val="000000"/>
          <w:vertAlign w:val="subscript"/>
          <w:lang w:val="en-US" w:eastAsia="it-IT"/>
        </w:rPr>
        <w:t>,</w:t>
      </w:r>
      <w:r w:rsidRPr="00924A19">
        <w:rPr>
          <w:rFonts w:ascii="Book Antiqua" w:eastAsia="Times New Roman" w:hAnsi="Book Antiqua" w:cs="AdvGulliv-R"/>
          <w:color w:val="000000"/>
          <w:lang w:val="en-US" w:eastAsia="it-IT"/>
        </w:rPr>
        <w:t xml:space="preserve"> using a confirmatory antibody test, the anti-HCV prev</w:t>
      </w:r>
      <w:r w:rsidR="006D720A" w:rsidRPr="00924A19">
        <w:rPr>
          <w:rFonts w:ascii="Book Antiqua" w:eastAsia="Times New Roman" w:hAnsi="Book Antiqua" w:cs="AdvGulliv-R"/>
          <w:color w:val="000000"/>
          <w:lang w:val="en-US" w:eastAsia="it-IT"/>
        </w:rPr>
        <w:t>alence is significantly lower (</w:t>
      </w:r>
      <w:r w:rsidRPr="00924A19">
        <w:rPr>
          <w:rFonts w:ascii="Book Antiqua" w:eastAsia="Times New Roman" w:hAnsi="Book Antiqua" w:cs="AdvGulliv-R"/>
          <w:color w:val="000000"/>
          <w:lang w:val="en-US" w:eastAsia="it-IT"/>
        </w:rPr>
        <w:t>&lt; 1%)</w:t>
      </w:r>
      <w:r w:rsidRPr="00924A19">
        <w:rPr>
          <w:rFonts w:ascii="Book Antiqua" w:eastAsia="Times New Roman" w:hAnsi="Book Antiqua" w:cs="AdvGulliv-R"/>
          <w:color w:val="000000"/>
          <w:vertAlign w:val="superscript"/>
          <w:lang w:val="en-US" w:eastAsia="it-IT"/>
        </w:rPr>
        <w:t>[55]</w:t>
      </w:r>
      <w:r w:rsidRPr="00924A19">
        <w:rPr>
          <w:rFonts w:ascii="Book Antiqua" w:eastAsia="Times New Roman" w:hAnsi="Book Antiqua" w:cs="AdvGulliv-R"/>
          <w:color w:val="000000"/>
          <w:lang w:val="en-US" w:eastAsia="it-IT"/>
        </w:rPr>
        <w:t>, suggesting that some historically high antibody prevalence estimates may be influenced by the use of low sensitive screening HCV tests.</w:t>
      </w:r>
    </w:p>
    <w:p w:rsidR="000746FA" w:rsidRPr="00924A19" w:rsidRDefault="000746FA" w:rsidP="0026366E">
      <w:pPr>
        <w:autoSpaceDE w:val="0"/>
        <w:autoSpaceDN w:val="0"/>
        <w:adjustRightInd w:val="0"/>
        <w:spacing w:line="360" w:lineRule="auto"/>
        <w:ind w:firstLineChars="100" w:firstLine="240"/>
        <w:jc w:val="both"/>
        <w:rPr>
          <w:rFonts w:ascii="Book Antiqua" w:eastAsia="Times New Roman" w:hAnsi="Book Antiqua" w:cs="AdvGulliv-R"/>
          <w:color w:val="000000"/>
          <w:lang w:val="en-US" w:eastAsia="it-IT"/>
        </w:rPr>
      </w:pPr>
      <w:r w:rsidRPr="00924A19">
        <w:rPr>
          <w:rFonts w:ascii="Book Antiqua" w:eastAsia="Times New Roman" w:hAnsi="Book Antiqua" w:cs="AdvGulliv-R"/>
          <w:color w:val="000000"/>
          <w:lang w:val="en-US" w:eastAsia="it-IT"/>
        </w:rPr>
        <w:t>Globally, G1 accounts for 49.1% of all anti-HCV infections among adults making it the most common, followed by G3 (17.9%), G4 (16.8%), G2 (11.0%), G5 (2.0%) and G6 (1.4%). Our data are quite different from those reported by other global studies</w:t>
      </w:r>
      <w:r w:rsidRPr="00924A19">
        <w:rPr>
          <w:rFonts w:ascii="Book Antiqua" w:eastAsia="Times New Roman" w:hAnsi="Book Antiqua" w:cs="AdvGulliv-R"/>
          <w:vertAlign w:val="superscript"/>
          <w:lang w:val="en-US" w:eastAsia="it-IT"/>
        </w:rPr>
        <w:t>[56]</w:t>
      </w:r>
      <w:r w:rsidRPr="00924A19">
        <w:rPr>
          <w:rFonts w:ascii="Book Antiqua" w:eastAsia="Times New Roman" w:hAnsi="Book Antiqua" w:cs="AdvGulliv-R"/>
          <w:color w:val="000000"/>
          <w:lang w:val="en-US" w:eastAsia="it-IT"/>
        </w:rPr>
        <w:t>, not only because we considered some countries before excluded, but mostly because our data were summed with other global or continental reports</w:t>
      </w:r>
      <w:r w:rsidRPr="00924A19">
        <w:rPr>
          <w:rFonts w:ascii="Book Antiqua" w:eastAsia="Times New Roman" w:hAnsi="Book Antiqua" w:cs="AdvGulliv-R"/>
          <w:vertAlign w:val="superscript"/>
          <w:lang w:val="en-US" w:eastAsia="it-IT"/>
        </w:rPr>
        <w:t>[43,57,58]</w:t>
      </w:r>
      <w:r w:rsidRPr="00924A19">
        <w:rPr>
          <w:rFonts w:ascii="Book Antiqua" w:eastAsia="Times New Roman" w:hAnsi="Book Antiqua" w:cs="AdvGulliv-R"/>
          <w:color w:val="000000"/>
          <w:lang w:val="en-US" w:eastAsia="it-IT"/>
        </w:rPr>
        <w:t>. Undefined or mixed genotypes accounts for 1.8% of the total HCV infections (Table 1). However, significant regional, country and local variations exists. Infections in Caribbean, Latin America, North America and Europe are predominately caused by G1 (83.0%, 74</w:t>
      </w:r>
      <w:r w:rsidR="00184665" w:rsidRPr="00924A19">
        <w:rPr>
          <w:rFonts w:ascii="Book Antiqua" w:eastAsiaTheme="minorEastAsia" w:hAnsi="Book Antiqua" w:cs="AdvGulliv-R" w:hint="eastAsia"/>
          <w:color w:val="000000"/>
          <w:lang w:val="en-US"/>
        </w:rPr>
        <w:t>.</w:t>
      </w:r>
      <w:r w:rsidRPr="00924A19">
        <w:rPr>
          <w:rFonts w:ascii="Book Antiqua" w:eastAsia="Times New Roman" w:hAnsi="Book Antiqua" w:cs="AdvGulliv-R"/>
          <w:color w:val="000000"/>
          <w:lang w:val="en-US" w:eastAsia="it-IT"/>
        </w:rPr>
        <w:t>3%, 66.3% and 64.4%, respectively). North Africa and the Middle East has a large G4 population (65.3%), probably attributable to the high prevalence of G4 in Egypt (93.1%). If Egypt is excluded, in fact, G4 accounts only for 32.3% of all infections and the genotype distribution of this region is dominated by G1 (48.3%). In Asia the two most common genotypes are G1 (46.6%) and G3 (22.4%), the latter largely driven by</w:t>
      </w:r>
      <w:r w:rsidR="00692737" w:rsidRPr="00924A19">
        <w:rPr>
          <w:rFonts w:ascii="Book Antiqua" w:eastAsia="Times New Roman" w:hAnsi="Book Antiqua" w:cs="AdvGulliv-R"/>
          <w:color w:val="000000"/>
          <w:lang w:val="en-US" w:eastAsia="it-IT"/>
        </w:rPr>
        <w:t xml:space="preserve"> </w:t>
      </w:r>
      <w:r w:rsidRPr="00924A19">
        <w:rPr>
          <w:rFonts w:ascii="Book Antiqua" w:eastAsia="Times New Roman" w:hAnsi="Book Antiqua" w:cs="AdvGulliv-R"/>
          <w:color w:val="000000"/>
          <w:lang w:val="en-US" w:eastAsia="it-IT"/>
        </w:rPr>
        <w:t xml:space="preserve">its high prevalence in South Asia (66.7%), where in India and Pakistan G3 shows the highest percentages of the whole continent (54.4% and 79.0%, respectively). In Australasia, G1 dominated (55.0%), followed by G3 (25.5%). HCV genotypes by sub regions are shown in </w:t>
      </w:r>
      <w:r w:rsidRPr="00924A19">
        <w:rPr>
          <w:rFonts w:ascii="Book Antiqua" w:eastAsia="Times New Roman" w:hAnsi="Book Antiqua" w:cs="AdvGulliv-R"/>
          <w:lang w:val="en-US" w:eastAsia="it-IT"/>
        </w:rPr>
        <w:t>Table 4.</w:t>
      </w:r>
    </w:p>
    <w:p w:rsidR="000746FA" w:rsidRPr="00924A19" w:rsidRDefault="000746FA" w:rsidP="0026366E">
      <w:pPr>
        <w:autoSpaceDE w:val="0"/>
        <w:autoSpaceDN w:val="0"/>
        <w:adjustRightIn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t>Aside from countries entirely lacking genotype information (Bulgaria, Cyprus, Moldova and Ukraine</w:t>
      </w:r>
      <w:r w:rsidR="00692737" w:rsidRPr="00924A19">
        <w:rPr>
          <w:rFonts w:ascii="Book Antiqua" w:eastAsia="AdvAGaramond-R" w:hAnsi="Book Antiqua" w:cs="AdvAGaramond-R"/>
          <w:color w:val="231F20"/>
          <w:lang w:val="en-US" w:eastAsia="it-IT"/>
        </w:rPr>
        <w:t xml:space="preserve"> </w:t>
      </w:r>
      <w:r w:rsidRPr="00924A19">
        <w:rPr>
          <w:rFonts w:ascii="Book Antiqua" w:eastAsia="AdvAGaramond-R" w:hAnsi="Book Antiqua" w:cs="AdvAGaramond-R"/>
          <w:color w:val="231F20"/>
          <w:lang w:val="en-US" w:eastAsia="it-IT"/>
        </w:rPr>
        <w:t>in Europe, Afghanistan, Azerbaijan, Bangladesh, Kazakhstan, Kyrgyzstan and Turkmenistan in Asia, Bolivia, Martinique, Suriname</w:t>
      </w:r>
      <w:r w:rsidR="00692737" w:rsidRPr="00924A19">
        <w:rPr>
          <w:rFonts w:ascii="Book Antiqua" w:eastAsia="AdvAGaramond-R" w:hAnsi="Book Antiqua" w:cs="AdvAGaramond-R"/>
          <w:color w:val="231F20"/>
          <w:lang w:val="en-US" w:eastAsia="it-IT"/>
        </w:rPr>
        <w:t xml:space="preserve"> </w:t>
      </w:r>
      <w:r w:rsidRPr="00924A19">
        <w:rPr>
          <w:rFonts w:ascii="Book Antiqua" w:eastAsia="AdvAGaramond-R" w:hAnsi="Book Antiqua" w:cs="AdvAGaramond-R"/>
          <w:color w:val="231F20"/>
          <w:lang w:val="en-US" w:eastAsia="it-IT"/>
        </w:rPr>
        <w:t xml:space="preserve">and Uruguay in America, Israel, Oman, Qatar and Yemen in North Africa/Middle East Area and several of the Western and Eastern Sub- Saharan African countries) </w:t>
      </w:r>
      <w:r w:rsidRPr="00924A19">
        <w:rPr>
          <w:rFonts w:ascii="Book Antiqua" w:eastAsia="AdvAGaramond-R" w:hAnsi="Book Antiqua" w:cs="AdvAGaramond-R"/>
          <w:color w:val="231F20"/>
          <w:lang w:val="en-US" w:eastAsia="it-IT"/>
        </w:rPr>
        <w:lastRenderedPageBreak/>
        <w:t xml:space="preserve">our data suggest that data concerning the genotype prevalence are particularly weakest in the majority of Asia (accounting for 3.6% of the global population), followed by Africa (3.2% of the global population) and Latin America (1.4% of the global population), if considered in terms of proportion of the genotyped patients respect to overall populations. </w:t>
      </w:r>
    </w:p>
    <w:p w:rsidR="0026366E" w:rsidRPr="00924A19" w:rsidRDefault="000746FA" w:rsidP="0026366E">
      <w:pPr>
        <w:autoSpaceDE w:val="0"/>
        <w:autoSpaceDN w:val="0"/>
        <w:adjustRightInd w:val="0"/>
        <w:spacing w:line="360" w:lineRule="auto"/>
        <w:ind w:firstLineChars="100" w:firstLine="240"/>
        <w:jc w:val="both"/>
        <w:rPr>
          <w:rFonts w:ascii="Book Antiqua" w:eastAsiaTheme="minorEastAsia" w:hAnsi="Book Antiqua" w:cs="AdvAGaramond-R"/>
          <w:color w:val="231F20"/>
          <w:lang w:val="en-US"/>
        </w:rPr>
      </w:pPr>
      <w:r w:rsidRPr="00924A19">
        <w:rPr>
          <w:rFonts w:ascii="Book Antiqua" w:eastAsia="AdvAGaramond-R" w:hAnsi="Book Antiqua" w:cs="AdvAGaramond-R"/>
          <w:color w:val="231F20"/>
          <w:lang w:val="en-US" w:eastAsia="it-IT"/>
        </w:rPr>
        <w:t xml:space="preserve">It is interesting to note that G1, the most prevalent genotype in high income countries, well served by second generation DAA therapies with a viral eradication rates </w:t>
      </w:r>
      <w:r w:rsidRPr="00924A19">
        <w:rPr>
          <w:rFonts w:ascii="Book Antiqua" w:eastAsia="AdvAGaramond-R" w:hAnsi="Book Antiqua" w:cs="AdvP4C4E51"/>
          <w:color w:val="231F20"/>
          <w:lang w:val="en-US" w:eastAsia="it-IT"/>
        </w:rPr>
        <w:t>&gt;</w:t>
      </w:r>
      <w:r w:rsidR="00184665" w:rsidRPr="00924A19">
        <w:rPr>
          <w:rFonts w:ascii="Book Antiqua" w:eastAsiaTheme="minorEastAsia" w:hAnsi="Book Antiqua" w:cs="AdvP4C4E51" w:hint="eastAsia"/>
          <w:color w:val="231F20"/>
          <w:lang w:val="en-US"/>
        </w:rPr>
        <w:t xml:space="preserve"> </w:t>
      </w:r>
      <w:r w:rsidRPr="00924A19">
        <w:rPr>
          <w:rFonts w:ascii="Book Antiqua" w:eastAsia="AdvAGaramond-R" w:hAnsi="Book Antiqua" w:cs="AdvAGaramond-R"/>
          <w:color w:val="231F20"/>
          <w:lang w:val="en-US" w:eastAsia="it-IT"/>
        </w:rPr>
        <w:t>90%</w:t>
      </w:r>
      <w:r w:rsidRPr="00924A19">
        <w:rPr>
          <w:rFonts w:ascii="Book Antiqua" w:eastAsia="Times New Roman" w:hAnsi="Book Antiqua" w:cs="AdvGulliv-R"/>
          <w:vertAlign w:val="superscript"/>
          <w:lang w:val="en-US" w:eastAsia="it-IT"/>
        </w:rPr>
        <w:t>[59,60]</w:t>
      </w:r>
      <w:r w:rsidRPr="00F25212">
        <w:rPr>
          <w:rFonts w:ascii="Book Antiqua" w:eastAsia="Times New Roman" w:hAnsi="Book Antiqua" w:cs="AdvGulliv-R"/>
          <w:lang w:val="en-US" w:eastAsia="it-IT"/>
        </w:rPr>
        <w:t>,</w:t>
      </w:r>
      <w:r w:rsidR="00F25212" w:rsidRPr="00F25212">
        <w:rPr>
          <w:rFonts w:ascii="Book Antiqua" w:eastAsiaTheme="minorEastAsia" w:hAnsi="Book Antiqua" w:cs="AdvGulliv-R" w:hint="eastAsia"/>
          <w:lang w:val="en-US"/>
        </w:rPr>
        <w:t xml:space="preserve"> </w:t>
      </w:r>
      <w:r w:rsidRPr="00924A19">
        <w:rPr>
          <w:rFonts w:ascii="Book Antiqua" w:eastAsia="AdvAGaramond-R" w:hAnsi="Book Antiqua" w:cs="AdvAGaramond-R"/>
          <w:color w:val="231F20"/>
          <w:lang w:val="en-US" w:eastAsia="it-IT"/>
        </w:rPr>
        <w:t>is also the most prevalent globally</w:t>
      </w:r>
      <w:r w:rsidRPr="00924A19">
        <w:rPr>
          <w:rFonts w:ascii="Book Antiqua" w:eastAsia="Times New Roman" w:hAnsi="Book Antiqua" w:cs="AdvGulliv-R"/>
          <w:lang w:val="en-US" w:eastAsia="it-IT"/>
        </w:rPr>
        <w:t>.</w:t>
      </w:r>
      <w:r w:rsidR="00692737" w:rsidRPr="00924A19">
        <w:rPr>
          <w:rFonts w:ascii="Book Antiqua" w:eastAsia="Times New Roman" w:hAnsi="Book Antiqua" w:cs="AdvGulliv-R"/>
          <w:lang w:val="en-US" w:eastAsia="it-IT"/>
        </w:rPr>
        <w:t xml:space="preserve"> </w:t>
      </w:r>
      <w:r w:rsidRPr="00924A19">
        <w:rPr>
          <w:rFonts w:ascii="Book Antiqua" w:eastAsia="AdvAGaramond-R" w:hAnsi="Book Antiqua" w:cs="AdvAGaramond-R"/>
          <w:color w:val="231F20"/>
          <w:lang w:val="en-US" w:eastAsia="it-IT"/>
        </w:rPr>
        <w:t>This may be related to the strict association between G1 and the transfusion risk very common prior to the discovery of HCV in 1989</w:t>
      </w:r>
      <w:r w:rsidRPr="00924A19">
        <w:rPr>
          <w:rFonts w:ascii="Book Antiqua" w:eastAsia="Times New Roman" w:hAnsi="Book Antiqua" w:cs="AdvGulliv-R"/>
          <w:vertAlign w:val="superscript"/>
          <w:lang w:val="en-US" w:eastAsia="it-IT"/>
        </w:rPr>
        <w:t>[22]</w:t>
      </w:r>
      <w:r w:rsidRPr="00924A19">
        <w:rPr>
          <w:rFonts w:ascii="Book Antiqua" w:eastAsia="Times New Roman" w:hAnsi="Book Antiqua" w:cs="AdvGulliv-R"/>
          <w:lang w:val="en-US" w:eastAsia="it-IT"/>
        </w:rPr>
        <w:t>.</w:t>
      </w:r>
    </w:p>
    <w:p w:rsidR="000746FA" w:rsidRPr="00924A19" w:rsidRDefault="000746FA" w:rsidP="0026366E">
      <w:pPr>
        <w:autoSpaceDE w:val="0"/>
        <w:autoSpaceDN w:val="0"/>
        <w:adjustRightIn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t>The high circulation of G3, instead, the second most common genotype, especially in Europe, which accounts for almost 20% of global infections, not susceptible to the first generation of DAA protease inhibitors and less susceptible to Sofosbuvir</w:t>
      </w:r>
      <w:r w:rsidRPr="00924A19">
        <w:rPr>
          <w:rFonts w:ascii="Book Antiqua" w:eastAsia="AdvAGaramond-R" w:hAnsi="Book Antiqua" w:cs="AdvAGaramond-R"/>
          <w:color w:val="231F20"/>
          <w:vertAlign w:val="superscript"/>
          <w:lang w:val="en-US" w:eastAsia="it-IT"/>
        </w:rPr>
        <w:t>[61,62]</w:t>
      </w:r>
      <w:r w:rsidRPr="00924A19">
        <w:rPr>
          <w:rFonts w:ascii="Book Antiqua" w:eastAsia="AdvAGaramond-R" w:hAnsi="Book Antiqua" w:cs="AdvAGaramond-R"/>
          <w:color w:val="231F20"/>
          <w:lang w:val="en-US" w:eastAsia="it-IT"/>
        </w:rPr>
        <w:t>,</w:t>
      </w:r>
      <w:r w:rsidR="00184665" w:rsidRPr="00924A19">
        <w:rPr>
          <w:rFonts w:ascii="Book Antiqua" w:eastAsiaTheme="minorEastAsia" w:hAnsi="Book Antiqua" w:cs="AdvAGaramond-R" w:hint="eastAsia"/>
          <w:color w:val="231F20"/>
          <w:lang w:val="en-US"/>
        </w:rPr>
        <w:t xml:space="preserve"> </w:t>
      </w:r>
      <w:r w:rsidRPr="00924A19">
        <w:rPr>
          <w:rFonts w:ascii="Book Antiqua" w:eastAsia="AdvAGaramond-R" w:hAnsi="Book Antiqua" w:cs="AdvAGaramond-R"/>
          <w:color w:val="231F20"/>
          <w:lang w:val="en-US" w:eastAsia="it-IT"/>
        </w:rPr>
        <w:t>is likely related to the association between subtype 3a and drug abuse</w:t>
      </w:r>
      <w:r w:rsidRPr="00924A19">
        <w:rPr>
          <w:rFonts w:ascii="Book Antiqua" w:eastAsia="AdvAGaramond-R" w:hAnsi="Book Antiqua" w:cs="AdvAGaramond-R"/>
          <w:color w:val="231F20"/>
          <w:vertAlign w:val="superscript"/>
          <w:lang w:val="en-US" w:eastAsia="it-IT"/>
        </w:rPr>
        <w:t>[20,63,64]</w:t>
      </w:r>
      <w:r w:rsidRPr="00924A19">
        <w:rPr>
          <w:rFonts w:ascii="Book Antiqua" w:eastAsia="AdvAGaramond-R" w:hAnsi="Book Antiqua" w:cs="AdvAGaramond-R"/>
          <w:color w:val="231F20"/>
          <w:lang w:val="en-US" w:eastAsia="it-IT"/>
        </w:rPr>
        <w:t xml:space="preserve"> and also to migrations to Europe from countries where this subtype is dominant, such as India and Pakistan</w:t>
      </w:r>
      <w:r w:rsidRPr="00924A19">
        <w:rPr>
          <w:rFonts w:ascii="Book Antiqua" w:eastAsia="Times New Roman" w:hAnsi="Book Antiqua" w:cs="AdvGulliv-R"/>
          <w:vertAlign w:val="superscript"/>
          <w:lang w:val="en-US" w:eastAsia="it-IT"/>
        </w:rPr>
        <w:t>[65]</w:t>
      </w:r>
      <w:r w:rsidRPr="00924A19">
        <w:rPr>
          <w:rFonts w:ascii="Book Antiqua" w:eastAsia="Times New Roman" w:hAnsi="Book Antiqua" w:cs="AdvGulliv-R"/>
          <w:lang w:val="en-US" w:eastAsia="it-IT"/>
        </w:rPr>
        <w:t>.</w:t>
      </w:r>
    </w:p>
    <w:p w:rsidR="000746FA" w:rsidRPr="00924A19" w:rsidRDefault="000746FA" w:rsidP="0026366E">
      <w:pPr>
        <w:autoSpaceDE w:val="0"/>
        <w:autoSpaceDN w:val="0"/>
        <w:adjustRightIn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t>Although HCV G1 and G3 infections are the most prevalent globally (67.0% if considered together), other genotypes are particularly common in lower-income countries (Table 4), as G2 in West Africa (62.9%) and in some regions of South America, probably caused by population movements during the trans-Atlantic slave trade in the Eighteenth Century</w:t>
      </w:r>
      <w:r w:rsidRPr="00924A19">
        <w:rPr>
          <w:rFonts w:ascii="Book Antiqua" w:eastAsia="AdvAGaramond-R" w:hAnsi="Book Antiqua" w:cs="AdvAGaramond-R"/>
          <w:color w:val="231F20"/>
          <w:vertAlign w:val="superscript"/>
          <w:lang w:val="en-US" w:eastAsia="it-IT"/>
        </w:rPr>
        <w:t>[26]</w:t>
      </w:r>
      <w:r w:rsidRPr="00924A19">
        <w:rPr>
          <w:rFonts w:ascii="Book Antiqua" w:eastAsia="AdvAGaramond-R" w:hAnsi="Book Antiqua" w:cs="AdvAGaramond-R"/>
          <w:color w:val="231F20"/>
          <w:lang w:val="en-US" w:eastAsia="it-IT"/>
        </w:rPr>
        <w:t xml:space="preserve"> and G4 and G6, highly present in Central and Northern Africa (82.9% and 65.3%) and in Southeast Asia (30.8%). The particularly high prevalence of subtype 4a in Egypt could be the result of unsafe injections during the anti-schistosomal public health campaigns in the past</w:t>
      </w:r>
      <w:r w:rsidR="00692737" w:rsidRPr="00924A19">
        <w:rPr>
          <w:rFonts w:ascii="Book Antiqua" w:eastAsia="AdvAGaramond-R" w:hAnsi="Book Antiqua" w:cs="AdvAGaramond-R"/>
          <w:color w:val="231F20"/>
          <w:vertAlign w:val="superscript"/>
          <w:lang w:val="en-US" w:eastAsia="it-IT"/>
        </w:rPr>
        <w:t>[66</w:t>
      </w:r>
      <w:r w:rsidRPr="00924A19">
        <w:rPr>
          <w:rFonts w:ascii="Book Antiqua" w:eastAsia="AdvAGaramond-R" w:hAnsi="Book Antiqua" w:cs="AdvAGaramond-R"/>
          <w:color w:val="231F20"/>
          <w:vertAlign w:val="superscript"/>
          <w:lang w:val="en-US" w:eastAsia="it-IT"/>
        </w:rPr>
        <w:t>]</w:t>
      </w:r>
      <w:r w:rsidRPr="00924A19">
        <w:rPr>
          <w:rFonts w:ascii="Book Antiqua" w:eastAsia="AdvAGaramond-R" w:hAnsi="Book Antiqua" w:cs="AdvAGaramond-R"/>
          <w:color w:val="231F20"/>
          <w:lang w:val="en-US" w:eastAsia="it-IT"/>
        </w:rPr>
        <w:t>,</w:t>
      </w:r>
      <w:r w:rsidR="00692737" w:rsidRPr="00924A19">
        <w:rPr>
          <w:rFonts w:ascii="Book Antiqua" w:eastAsia="AdvAGaramond-R" w:hAnsi="Book Antiqua" w:cs="AdvAGaramond-R"/>
          <w:color w:val="231F20"/>
          <w:lang w:val="en-US" w:eastAsia="it-IT"/>
        </w:rPr>
        <w:t xml:space="preserve"> </w:t>
      </w:r>
      <w:r w:rsidRPr="00924A19">
        <w:rPr>
          <w:rFonts w:ascii="Book Antiqua" w:eastAsia="AdvAGaramond-R" w:hAnsi="Book Antiqua" w:cs="AdvAGaramond-R"/>
          <w:color w:val="231F20"/>
          <w:lang w:val="en-US" w:eastAsia="it-IT"/>
        </w:rPr>
        <w:t>whereas</w:t>
      </w:r>
      <w:r w:rsidR="00692737" w:rsidRPr="00924A19">
        <w:rPr>
          <w:rFonts w:ascii="Book Antiqua" w:eastAsia="AdvAGaramond-R" w:hAnsi="Book Antiqua" w:cs="AdvAGaramond-R"/>
          <w:color w:val="231F20"/>
          <w:lang w:val="en-US" w:eastAsia="it-IT"/>
        </w:rPr>
        <w:t xml:space="preserve"> </w:t>
      </w:r>
      <w:r w:rsidRPr="00924A19">
        <w:rPr>
          <w:rFonts w:ascii="Book Antiqua" w:eastAsia="AdvAGaramond-R" w:hAnsi="Book Antiqua" w:cs="AdvAGaramond-R"/>
          <w:color w:val="231F20"/>
          <w:lang w:val="en-US" w:eastAsia="it-IT"/>
        </w:rPr>
        <w:t>the diffusion of subtype 4d in Europe</w:t>
      </w:r>
      <w:r w:rsidR="006D3064" w:rsidRPr="00924A19">
        <w:rPr>
          <w:rFonts w:ascii="Book Antiqua" w:eastAsia="AdvAGaramond-R" w:hAnsi="Book Antiqua" w:cs="AdvAGaramond-R"/>
          <w:color w:val="231F20"/>
          <w:vertAlign w:val="superscript"/>
          <w:lang w:val="en-US" w:eastAsia="it-IT"/>
        </w:rPr>
        <w:t>[67,68</w:t>
      </w:r>
      <w:r w:rsidRPr="00924A19">
        <w:rPr>
          <w:rFonts w:ascii="Book Antiqua" w:eastAsia="AdvAGaramond-R" w:hAnsi="Book Antiqua" w:cs="AdvAGaramond-R"/>
          <w:color w:val="231F20"/>
          <w:vertAlign w:val="superscript"/>
          <w:lang w:val="en-US" w:eastAsia="it-IT"/>
        </w:rPr>
        <w:t>]</w:t>
      </w:r>
      <w:r w:rsidR="006D3064" w:rsidRPr="00924A19">
        <w:rPr>
          <w:rFonts w:ascii="Book Antiqua" w:eastAsia="AdvAGaramond-R" w:hAnsi="Book Antiqua" w:cs="AdvAGaramond-R"/>
          <w:color w:val="231F20"/>
          <w:vertAlign w:val="superscript"/>
          <w:lang w:val="en-US" w:eastAsia="it-IT"/>
        </w:rPr>
        <w:t xml:space="preserve"> </w:t>
      </w:r>
      <w:r w:rsidRPr="00924A19">
        <w:rPr>
          <w:rFonts w:ascii="Book Antiqua" w:eastAsia="AdvAGaramond-R" w:hAnsi="Book Antiqua" w:cs="AdvAGaramond-R"/>
          <w:color w:val="231F20"/>
          <w:lang w:val="en-US" w:eastAsia="it-IT"/>
        </w:rPr>
        <w:t>and of subtype 6a in Hong Kong</w:t>
      </w:r>
      <w:r w:rsidRPr="00924A19">
        <w:rPr>
          <w:rFonts w:ascii="Book Antiqua" w:eastAsia="AdvAGaramond-R" w:hAnsi="Book Antiqua" w:cs="AdvAGaramond-R"/>
          <w:color w:val="231F20"/>
          <w:vertAlign w:val="superscript"/>
          <w:lang w:val="en-US" w:eastAsia="it-IT"/>
        </w:rPr>
        <w:t>[</w:t>
      </w:r>
      <w:r w:rsidR="006D3064" w:rsidRPr="00924A19">
        <w:rPr>
          <w:rFonts w:ascii="Book Antiqua" w:eastAsia="AdvAGaramond-R" w:hAnsi="Book Antiqua" w:cs="AdvAGaramond-R"/>
          <w:color w:val="231F20"/>
          <w:vertAlign w:val="superscript"/>
          <w:lang w:val="en-US" w:eastAsia="it-IT"/>
        </w:rPr>
        <w:t>69</w:t>
      </w:r>
      <w:r w:rsidRPr="00924A19">
        <w:rPr>
          <w:rFonts w:ascii="Book Antiqua" w:eastAsia="AdvAGaramond-R" w:hAnsi="Book Antiqua" w:cs="AdvAGaramond-R"/>
          <w:color w:val="231F20"/>
          <w:vertAlign w:val="superscript"/>
          <w:lang w:val="en-US" w:eastAsia="it-IT"/>
        </w:rPr>
        <w:t>]</w:t>
      </w:r>
      <w:r w:rsidRPr="00924A19">
        <w:rPr>
          <w:rFonts w:ascii="Book Antiqua" w:eastAsia="AdvAGaramond-R" w:hAnsi="Book Antiqua" w:cs="AdvAGaramond-R"/>
          <w:color w:val="231F20"/>
          <w:lang w:val="en-US" w:eastAsia="it-IT"/>
        </w:rPr>
        <w:t xml:space="preserve"> have probably been amplified by the high number of PWIDs</w:t>
      </w:r>
      <w:r w:rsidR="00692737" w:rsidRPr="00924A19">
        <w:rPr>
          <w:rFonts w:ascii="Book Antiqua" w:eastAsia="AdvAGaramond-R" w:hAnsi="Book Antiqua" w:cs="AdvAGaramond-R"/>
          <w:color w:val="231F20"/>
          <w:lang w:val="en-US" w:eastAsia="it-IT"/>
        </w:rPr>
        <w:t xml:space="preserve"> </w:t>
      </w:r>
      <w:r w:rsidRPr="00924A19">
        <w:rPr>
          <w:rFonts w:ascii="Book Antiqua" w:eastAsia="AdvAGaramond-R" w:hAnsi="Book Antiqua" w:cs="AdvAGaramond-R"/>
          <w:color w:val="231F20"/>
          <w:lang w:val="en-US" w:eastAsia="it-IT"/>
        </w:rPr>
        <w:t>in these areas.</w:t>
      </w:r>
    </w:p>
    <w:p w:rsidR="000746FA" w:rsidRPr="00924A19" w:rsidRDefault="000746FA" w:rsidP="0026366E">
      <w:pPr>
        <w:autoSpaceDE w:val="0"/>
        <w:autoSpaceDN w:val="0"/>
        <w:adjustRightInd w:val="0"/>
        <w:spacing w:line="360" w:lineRule="auto"/>
        <w:ind w:firstLineChars="100" w:firstLine="240"/>
        <w:jc w:val="both"/>
        <w:rPr>
          <w:rFonts w:ascii="Book Antiqua" w:eastAsia="AdvAGaramond-R" w:hAnsi="Book Antiqua" w:cs="AdvAGaramond-R"/>
          <w:color w:val="231F20"/>
          <w:lang w:val="en-US" w:eastAsia="it-IT"/>
        </w:rPr>
      </w:pPr>
      <w:r w:rsidRPr="00924A19">
        <w:rPr>
          <w:rFonts w:ascii="Book Antiqua" w:eastAsia="AdvAGaramond-R" w:hAnsi="Book Antiqua" w:cs="AdvAGaramond-R"/>
          <w:color w:val="231F20"/>
          <w:lang w:val="en-US" w:eastAsia="it-IT"/>
        </w:rPr>
        <w:lastRenderedPageBreak/>
        <w:t xml:space="preserve">It has been estimated that G2, G4, and G6 combined account for nearly one third of all HCV cases globally. </w:t>
      </w:r>
      <w:r w:rsidRPr="00924A19">
        <w:rPr>
          <w:rFonts w:ascii="Book Antiqua" w:eastAsia="Times New Roman" w:hAnsi="Book Antiqua" w:cs="AdvGulliv-R"/>
          <w:color w:val="000000"/>
          <w:lang w:val="en-US" w:eastAsia="it-IT"/>
        </w:rPr>
        <w:t xml:space="preserve">Higher proportions of G2 were found in Northern Europe and in some of the </w:t>
      </w:r>
      <w:r w:rsidR="00516180" w:rsidRPr="00924A19">
        <w:rPr>
          <w:rFonts w:ascii="Book Antiqua" w:eastAsia="Times New Roman" w:hAnsi="Book Antiqua" w:cs="AdvGulliv-R"/>
          <w:color w:val="000000"/>
          <w:lang w:val="en-US" w:eastAsia="it-IT"/>
        </w:rPr>
        <w:t>ex-soviet</w:t>
      </w:r>
      <w:r w:rsidRPr="00924A19">
        <w:rPr>
          <w:rFonts w:ascii="Book Antiqua" w:eastAsia="Times New Roman" w:hAnsi="Book Antiqua" w:cs="AdvGulliv-R"/>
          <w:color w:val="000000"/>
          <w:lang w:val="en-US" w:eastAsia="it-IT"/>
        </w:rPr>
        <w:t xml:space="preserve"> republics, probably in accordance to the Asian genotypes distribution, and in Italy, especially in the Southern regions</w:t>
      </w:r>
      <w:r w:rsidRPr="00924A19">
        <w:rPr>
          <w:rFonts w:ascii="Book Antiqua" w:eastAsia="Times New Roman" w:hAnsi="Book Antiqua" w:cs="AdvGulliv-R"/>
          <w:color w:val="000000"/>
          <w:vertAlign w:val="superscript"/>
          <w:lang w:val="en-US" w:eastAsia="it-IT"/>
        </w:rPr>
        <w:t>[</w:t>
      </w:r>
      <w:r w:rsidR="006D3064" w:rsidRPr="00924A19">
        <w:rPr>
          <w:rFonts w:ascii="Book Antiqua" w:eastAsia="Times New Roman" w:hAnsi="Book Antiqua" w:cs="AdvGulliv-R"/>
          <w:color w:val="000000"/>
          <w:vertAlign w:val="superscript"/>
          <w:lang w:val="en-US" w:eastAsia="it-IT"/>
        </w:rPr>
        <w:t>70,71</w:t>
      </w:r>
      <w:r w:rsidRPr="00924A19">
        <w:rPr>
          <w:rFonts w:ascii="Book Antiqua" w:eastAsia="Times New Roman" w:hAnsi="Book Antiqua" w:cs="AdvGulliv-R"/>
          <w:color w:val="000000"/>
          <w:vertAlign w:val="superscript"/>
          <w:lang w:val="en-US" w:eastAsia="it-IT"/>
        </w:rPr>
        <w:t>]</w:t>
      </w:r>
      <w:r w:rsidRPr="00924A19">
        <w:rPr>
          <w:rFonts w:ascii="Book Antiqua" w:eastAsia="Times New Roman" w:hAnsi="Book Antiqua" w:cs="AdvGulliv-R"/>
          <w:color w:val="000000"/>
          <w:lang w:val="en-US" w:eastAsia="it-IT"/>
        </w:rPr>
        <w:t>.</w:t>
      </w:r>
    </w:p>
    <w:p w:rsidR="000746FA" w:rsidRPr="00924A19" w:rsidRDefault="000746FA" w:rsidP="0026366E">
      <w:pPr>
        <w:autoSpaceDE w:val="0"/>
        <w:autoSpaceDN w:val="0"/>
        <w:adjustRightInd w:val="0"/>
        <w:spacing w:line="360" w:lineRule="auto"/>
        <w:ind w:firstLineChars="100" w:firstLine="240"/>
        <w:jc w:val="both"/>
        <w:rPr>
          <w:rFonts w:ascii="Book Antiqua" w:eastAsia="Times New Roman" w:hAnsi="Book Antiqua" w:cs="AdvGulliv-R"/>
          <w:color w:val="000000"/>
          <w:lang w:val="en-US" w:eastAsia="it-IT"/>
        </w:rPr>
      </w:pPr>
      <w:r w:rsidRPr="00924A19">
        <w:rPr>
          <w:rFonts w:ascii="Book Antiqua" w:eastAsia="AdvAGaramond-R" w:hAnsi="Book Antiqua" w:cs="AdvAGaramond-R"/>
          <w:color w:val="231F20"/>
          <w:lang w:val="en-US" w:eastAsia="it-IT"/>
        </w:rPr>
        <w:t>Anyway, it is necessary to clarify that this analysis shows several limitations, especially related to the lack of information available from some extended regions (first of all, Africa and Asia) that has necessarily forced us to use</w:t>
      </w:r>
      <w:r w:rsidR="006D3064" w:rsidRPr="00924A19">
        <w:rPr>
          <w:rFonts w:ascii="Book Antiqua" w:eastAsia="AdvAGaramond-R" w:hAnsi="Book Antiqua" w:cs="AdvAGaramond-R"/>
          <w:color w:val="231F20"/>
          <w:lang w:val="en-US" w:eastAsia="it-IT"/>
        </w:rPr>
        <w:t xml:space="preserve"> </w:t>
      </w:r>
      <w:r w:rsidRPr="00924A19">
        <w:rPr>
          <w:rFonts w:ascii="Book Antiqua" w:eastAsia="AdvAGaramond-R" w:hAnsi="Book Antiqua" w:cs="AdvAGaramond-R"/>
          <w:color w:val="231F20"/>
          <w:lang w:val="en-US" w:eastAsia="it-IT"/>
        </w:rPr>
        <w:t xml:space="preserve">regional estimates, sometimes coming from few high populated countries. For example, the Central Asia viraemic rate estimate, calculated on the basis of data published in Uzbekistan (viraemic rate of 39%) and in Mongolia (viraemic rate of 70%), is heavily influenced by Uzbekistan due to its much larger population. </w:t>
      </w:r>
      <w:r w:rsidRPr="00924A19">
        <w:rPr>
          <w:rFonts w:ascii="Book Antiqua" w:eastAsia="Times New Roman" w:hAnsi="Book Antiqua" w:cs="AdvGulliv-R"/>
          <w:color w:val="000000"/>
          <w:lang w:val="en-US" w:eastAsia="it-IT"/>
        </w:rPr>
        <w:t>Data from additional countries would be helpful in the future in minimizing this bias.</w:t>
      </w:r>
    </w:p>
    <w:p w:rsidR="000746FA" w:rsidRPr="00924A19" w:rsidRDefault="000746FA" w:rsidP="0026366E">
      <w:pPr>
        <w:autoSpaceDE w:val="0"/>
        <w:autoSpaceDN w:val="0"/>
        <w:adjustRightInd w:val="0"/>
        <w:spacing w:line="360" w:lineRule="auto"/>
        <w:ind w:firstLineChars="100" w:firstLine="240"/>
        <w:jc w:val="both"/>
        <w:rPr>
          <w:rFonts w:ascii="Book Antiqua" w:eastAsia="Times New Roman" w:hAnsi="Book Antiqua" w:cs="AdvGulliv-R"/>
          <w:color w:val="000000"/>
          <w:lang w:val="en-US" w:eastAsia="it-IT"/>
        </w:rPr>
      </w:pPr>
      <w:r w:rsidRPr="00924A19">
        <w:rPr>
          <w:rFonts w:ascii="Book Antiqua" w:eastAsia="Times New Roman" w:hAnsi="Book Antiqua" w:cs="AdvGulliv-R"/>
          <w:color w:val="000000"/>
          <w:lang w:val="en-US" w:eastAsia="it-IT"/>
        </w:rPr>
        <w:t>Another limitation is the lack of robust epidemiology studies at the national level. Only 21% of the 138 countries included in this analysis shows a sample size &gt;10</w:t>
      </w:r>
      <w:r w:rsidR="0026366E" w:rsidRPr="00924A19">
        <w:rPr>
          <w:rFonts w:ascii="Book Antiqua" w:eastAsia="Times New Roman" w:hAnsi="Book Antiqua" w:cs="AdvGulliv-R"/>
          <w:color w:val="000000"/>
          <w:lang w:val="en-US" w:eastAsia="it-IT"/>
        </w:rPr>
        <w:t>000</w:t>
      </w:r>
      <w:r w:rsidRPr="00924A19">
        <w:rPr>
          <w:rFonts w:ascii="Book Antiqua" w:eastAsia="Times New Roman" w:hAnsi="Book Antiqua" w:cs="AdvGulliv-R"/>
          <w:color w:val="000000"/>
          <w:lang w:val="en-US" w:eastAsia="it-IT"/>
        </w:rPr>
        <w:t>, selected by multiple cities or regions,</w:t>
      </w:r>
      <w:r w:rsidR="006D3064" w:rsidRPr="00924A19">
        <w:rPr>
          <w:rFonts w:ascii="Book Antiqua" w:eastAsia="Times New Roman" w:hAnsi="Book Antiqua" w:cs="AdvGulliv-R"/>
          <w:color w:val="000000"/>
          <w:lang w:val="en-US" w:eastAsia="it-IT"/>
        </w:rPr>
        <w:t xml:space="preserve"> </w:t>
      </w:r>
      <w:r w:rsidRPr="00924A19">
        <w:rPr>
          <w:rFonts w:ascii="Book Antiqua" w:eastAsia="Times New Roman" w:hAnsi="Book Antiqua" w:cs="AdvGulliv-R"/>
          <w:color w:val="000000"/>
          <w:lang w:val="en-US" w:eastAsia="it-IT"/>
        </w:rPr>
        <w:t>and a random sampling strategy, while the majority are generally conducted in a select population within one setting (</w:t>
      </w:r>
      <w:r w:rsidRPr="00924A19">
        <w:rPr>
          <w:rFonts w:ascii="Book Antiqua" w:eastAsia="Times New Roman" w:hAnsi="Book Antiqua" w:cs="AdvGulliv-R"/>
          <w:i/>
          <w:color w:val="000000"/>
          <w:lang w:val="en-US" w:eastAsia="it-IT"/>
        </w:rPr>
        <w:t>e.g.</w:t>
      </w:r>
      <w:r w:rsidRPr="00924A19">
        <w:rPr>
          <w:rFonts w:ascii="Book Antiqua" w:eastAsia="Times New Roman" w:hAnsi="Book Antiqua" w:cs="AdvGulliv-R"/>
          <w:color w:val="000000"/>
          <w:lang w:val="en-US" w:eastAsia="it-IT"/>
        </w:rPr>
        <w:t xml:space="preserve">, hospital, clinic, city, </w:t>
      </w:r>
      <w:r w:rsidRPr="00924A19">
        <w:rPr>
          <w:rFonts w:ascii="Book Antiqua" w:eastAsia="Times New Roman" w:hAnsi="Book Antiqua" w:cs="AdvGulliv-R"/>
          <w:i/>
          <w:color w:val="000000"/>
          <w:lang w:val="en-US" w:eastAsia="it-IT"/>
        </w:rPr>
        <w:t>etc.</w:t>
      </w:r>
      <w:r w:rsidRPr="00924A19">
        <w:rPr>
          <w:rFonts w:ascii="Book Antiqua" w:eastAsia="Times New Roman" w:hAnsi="Book Antiqua" w:cs="AdvGulliv-R"/>
          <w:color w:val="000000"/>
          <w:lang w:val="en-US" w:eastAsia="it-IT"/>
        </w:rPr>
        <w:t>).</w:t>
      </w:r>
    </w:p>
    <w:p w:rsidR="000746FA" w:rsidRPr="00924A19" w:rsidRDefault="000746FA" w:rsidP="0026366E">
      <w:pPr>
        <w:autoSpaceDE w:val="0"/>
        <w:autoSpaceDN w:val="0"/>
        <w:adjustRightInd w:val="0"/>
        <w:spacing w:line="360" w:lineRule="auto"/>
        <w:ind w:firstLineChars="100" w:firstLine="240"/>
        <w:jc w:val="both"/>
        <w:rPr>
          <w:rFonts w:ascii="Book Antiqua" w:eastAsia="Times New Roman" w:hAnsi="Book Antiqua" w:cs="AdvGulliv-R"/>
          <w:color w:val="000000"/>
          <w:lang w:val="en-US" w:eastAsia="it-IT"/>
        </w:rPr>
      </w:pPr>
      <w:r w:rsidRPr="00924A19">
        <w:rPr>
          <w:rFonts w:ascii="Book Antiqua" w:eastAsia="Times New Roman" w:hAnsi="Book Antiqua" w:cs="AdvGulliv-R"/>
          <w:color w:val="000000"/>
          <w:lang w:val="en-US" w:eastAsia="it-IT"/>
        </w:rPr>
        <w:t>Anyway, in the absence of better data, this analysis suggests that HCV prevalence and the viraemic rate have decreased from 2005 to date, maybe for the impact of the new DAA therapies, even if a better knowledge of genotype distribution at a national level, especially in its subtype diversification, may be yet critic for the complete understanding of HCV disease and to design and testing of</w:t>
      </w:r>
      <w:r w:rsidR="006D3064" w:rsidRPr="00924A19">
        <w:rPr>
          <w:rFonts w:ascii="Book Antiqua" w:eastAsia="Times New Roman" w:hAnsi="Book Antiqua" w:cs="AdvGulliv-R"/>
          <w:color w:val="000000"/>
          <w:lang w:val="en-US" w:eastAsia="it-IT"/>
        </w:rPr>
        <w:t xml:space="preserve"> </w:t>
      </w:r>
      <w:r w:rsidRPr="00924A19">
        <w:rPr>
          <w:rFonts w:ascii="Book Antiqua" w:eastAsia="Times New Roman" w:hAnsi="Book Antiqua" w:cs="AdvGulliv-R"/>
          <w:color w:val="000000"/>
          <w:lang w:val="en-US" w:eastAsia="it-IT"/>
        </w:rPr>
        <w:t>vaccines, especially in countries where genotype diversity is particularly high.</w:t>
      </w:r>
    </w:p>
    <w:p w:rsidR="00A53BE5" w:rsidRPr="00924A19" w:rsidRDefault="00A53BE5" w:rsidP="0026366E">
      <w:pPr>
        <w:snapToGrid w:val="0"/>
        <w:spacing w:line="360" w:lineRule="auto"/>
        <w:jc w:val="both"/>
        <w:rPr>
          <w:rFonts w:ascii="Book Antiqua" w:hAnsi="Book Antiqua"/>
          <w:b/>
          <w:lang w:val="en-US"/>
        </w:rPr>
      </w:pPr>
    </w:p>
    <w:p w:rsidR="000746FA" w:rsidRPr="00924A19" w:rsidRDefault="000746FA" w:rsidP="0026366E">
      <w:pPr>
        <w:autoSpaceDE w:val="0"/>
        <w:autoSpaceDN w:val="0"/>
        <w:adjustRightInd w:val="0"/>
        <w:spacing w:line="360" w:lineRule="auto"/>
        <w:rPr>
          <w:rFonts w:ascii="Book Antiqua" w:hAnsi="Book Antiqua" w:cs="Book Antiqua"/>
          <w:b/>
          <w:iCs/>
          <w:lang w:val="en-US"/>
        </w:rPr>
      </w:pPr>
      <w:bookmarkStart w:id="23" w:name="OLE_LINK677"/>
      <w:bookmarkStart w:id="24" w:name="OLE_LINK678"/>
      <w:bookmarkStart w:id="25" w:name="OLE_LINK733"/>
      <w:bookmarkStart w:id="26" w:name="OLE_LINK729"/>
      <w:bookmarkStart w:id="27" w:name="OLE_LINK730"/>
      <w:r w:rsidRPr="00924A19">
        <w:rPr>
          <w:rFonts w:ascii="Book Antiqua" w:hAnsi="Book Antiqua" w:cs="Book Antiqua"/>
          <w:b/>
          <w:iCs/>
          <w:lang w:val="en-US"/>
        </w:rPr>
        <w:t>COMMENTS</w:t>
      </w:r>
    </w:p>
    <w:p w:rsidR="000746FA" w:rsidRPr="00924A19" w:rsidRDefault="000746FA" w:rsidP="0026366E">
      <w:pPr>
        <w:autoSpaceDE w:val="0"/>
        <w:autoSpaceDN w:val="0"/>
        <w:adjustRightInd w:val="0"/>
        <w:spacing w:line="360" w:lineRule="auto"/>
        <w:rPr>
          <w:rFonts w:ascii="Book Antiqua" w:hAnsi="Book Antiqua" w:cs="Book Antiqua"/>
          <w:b/>
          <w:i/>
          <w:iCs/>
          <w:lang w:val="en-US"/>
        </w:rPr>
      </w:pPr>
      <w:r w:rsidRPr="00924A19">
        <w:rPr>
          <w:rFonts w:ascii="Book Antiqua" w:hAnsi="Book Antiqua" w:cs="Book Antiqua"/>
          <w:b/>
          <w:i/>
          <w:iCs/>
          <w:lang w:val="en-US"/>
        </w:rPr>
        <w:t>Background</w:t>
      </w:r>
    </w:p>
    <w:p w:rsidR="000746FA" w:rsidRPr="00924A19" w:rsidRDefault="0026366E" w:rsidP="00184665">
      <w:pPr>
        <w:autoSpaceDE w:val="0"/>
        <w:autoSpaceDN w:val="0"/>
        <w:adjustRightInd w:val="0"/>
        <w:spacing w:line="360" w:lineRule="auto"/>
        <w:jc w:val="both"/>
        <w:rPr>
          <w:rFonts w:ascii="Book Antiqua" w:hAnsi="Book Antiqua" w:cs="Book Antiqua"/>
          <w:iCs/>
          <w:lang w:val="en-US"/>
        </w:rPr>
      </w:pPr>
      <w:r w:rsidRPr="006D1B0E">
        <w:rPr>
          <w:rFonts w:ascii="Book Antiqua" w:hAnsi="Book Antiqua" w:cs="Book Antiqua"/>
          <w:iCs/>
          <w:caps/>
          <w:lang w:val="en-US"/>
        </w:rPr>
        <w:lastRenderedPageBreak/>
        <w:t>h</w:t>
      </w:r>
      <w:r w:rsidRPr="00924A19">
        <w:rPr>
          <w:rFonts w:ascii="Book Antiqua" w:hAnsi="Book Antiqua" w:cs="Book Antiqua"/>
          <w:iCs/>
          <w:lang w:val="en-US"/>
        </w:rPr>
        <w:t>epatitis C virus</w:t>
      </w:r>
      <w:r w:rsidRPr="00924A19">
        <w:rPr>
          <w:rFonts w:ascii="Book Antiqua" w:hAnsi="Book Antiqua" w:cs="Book Antiqua" w:hint="eastAsia"/>
          <w:iCs/>
          <w:lang w:val="en-US"/>
        </w:rPr>
        <w:t xml:space="preserve"> (</w:t>
      </w:r>
      <w:r w:rsidR="00910437" w:rsidRPr="00924A19">
        <w:rPr>
          <w:rFonts w:ascii="Book Antiqua" w:hAnsi="Book Antiqua" w:cs="Book Antiqua"/>
          <w:iCs/>
          <w:lang w:val="en-US"/>
        </w:rPr>
        <w:t>HCV</w:t>
      </w:r>
      <w:r w:rsidRPr="00924A19">
        <w:rPr>
          <w:rFonts w:ascii="Book Antiqua" w:hAnsi="Book Antiqua" w:cs="Book Antiqua" w:hint="eastAsia"/>
          <w:iCs/>
          <w:lang w:val="en-US"/>
        </w:rPr>
        <w:t>)</w:t>
      </w:r>
      <w:r w:rsidR="00910437" w:rsidRPr="00924A19">
        <w:rPr>
          <w:rFonts w:ascii="Book Antiqua" w:hAnsi="Book Antiqua" w:cs="Book Antiqua"/>
          <w:iCs/>
          <w:lang w:val="en-US"/>
        </w:rPr>
        <w:t xml:space="preserve"> infection and </w:t>
      </w:r>
      <w:r w:rsidR="000746FA" w:rsidRPr="00924A19">
        <w:rPr>
          <w:rFonts w:ascii="Book Antiqua" w:hAnsi="Book Antiqua" w:cs="Book Antiqua"/>
          <w:iCs/>
          <w:lang w:val="en-US"/>
        </w:rPr>
        <w:t>distribution of its genetic variants throughout the world</w:t>
      </w:r>
      <w:r w:rsidRPr="00924A19">
        <w:rPr>
          <w:rFonts w:ascii="Book Antiqua" w:hAnsi="Book Antiqua" w:cs="Book Antiqua" w:hint="eastAsia"/>
          <w:iCs/>
          <w:lang w:val="en-US"/>
        </w:rPr>
        <w:t>.</w:t>
      </w:r>
    </w:p>
    <w:p w:rsidR="000746FA" w:rsidRPr="00924A19" w:rsidRDefault="000746FA" w:rsidP="0026366E">
      <w:pPr>
        <w:autoSpaceDE w:val="0"/>
        <w:autoSpaceDN w:val="0"/>
        <w:adjustRightInd w:val="0"/>
        <w:spacing w:line="360" w:lineRule="auto"/>
        <w:rPr>
          <w:rFonts w:ascii="Book Antiqua" w:hAnsi="Book Antiqua" w:cs="Book Antiqua"/>
          <w:b/>
          <w:i/>
          <w:iCs/>
          <w:lang w:val="en-US"/>
        </w:rPr>
      </w:pPr>
    </w:p>
    <w:p w:rsidR="000746FA" w:rsidRPr="00924A19" w:rsidRDefault="000746FA" w:rsidP="0026366E">
      <w:pPr>
        <w:autoSpaceDE w:val="0"/>
        <w:autoSpaceDN w:val="0"/>
        <w:adjustRightInd w:val="0"/>
        <w:spacing w:line="360" w:lineRule="auto"/>
        <w:rPr>
          <w:rFonts w:ascii="Book Antiqua" w:hAnsi="Book Antiqua" w:cs="Book Antiqua"/>
          <w:b/>
          <w:i/>
          <w:iCs/>
          <w:lang w:val="en-US"/>
        </w:rPr>
      </w:pPr>
      <w:r w:rsidRPr="00924A19">
        <w:rPr>
          <w:rFonts w:ascii="Book Antiqua" w:hAnsi="Book Antiqua" w:cs="Book Antiqua"/>
          <w:b/>
          <w:i/>
          <w:iCs/>
          <w:lang w:val="en-US"/>
        </w:rPr>
        <w:t>Research frontiers</w:t>
      </w:r>
    </w:p>
    <w:p w:rsidR="000746FA" w:rsidRPr="00924A19" w:rsidRDefault="000746FA" w:rsidP="0026366E">
      <w:pPr>
        <w:autoSpaceDE w:val="0"/>
        <w:autoSpaceDN w:val="0"/>
        <w:adjustRightInd w:val="0"/>
        <w:spacing w:line="360" w:lineRule="auto"/>
        <w:rPr>
          <w:rFonts w:ascii="Book Antiqua" w:hAnsi="Book Antiqua" w:cs="Book Antiqua"/>
          <w:iCs/>
          <w:lang w:val="en-US"/>
        </w:rPr>
      </w:pPr>
      <w:r w:rsidRPr="00924A19">
        <w:rPr>
          <w:rFonts w:ascii="Book Antiqua" w:hAnsi="Book Antiqua" w:cs="Book Antiqua"/>
          <w:iCs/>
          <w:lang w:val="en-US"/>
        </w:rPr>
        <w:t>Strategies to fight the diffusion of HCV infection worldwide.</w:t>
      </w:r>
    </w:p>
    <w:p w:rsidR="000746FA" w:rsidRPr="00924A19" w:rsidRDefault="000746FA" w:rsidP="0026366E">
      <w:pPr>
        <w:spacing w:line="360" w:lineRule="auto"/>
        <w:rPr>
          <w:rFonts w:ascii="Book Antiqua" w:hAnsi="Book Antiqua" w:cs="Book Antiqua"/>
          <w:b/>
          <w:i/>
          <w:iCs/>
          <w:lang w:val="en-US"/>
        </w:rPr>
      </w:pPr>
    </w:p>
    <w:p w:rsidR="000746FA" w:rsidRPr="00924A19" w:rsidRDefault="000746FA" w:rsidP="0026366E">
      <w:pPr>
        <w:spacing w:line="360" w:lineRule="auto"/>
        <w:rPr>
          <w:rFonts w:ascii="Book Antiqua" w:hAnsi="Book Antiqua" w:cs="Book Antiqua"/>
          <w:b/>
          <w:i/>
          <w:iCs/>
          <w:lang w:val="en-US"/>
        </w:rPr>
      </w:pPr>
      <w:r w:rsidRPr="00924A19">
        <w:rPr>
          <w:rFonts w:ascii="Book Antiqua" w:hAnsi="Book Antiqua" w:cs="Book Antiqua"/>
          <w:b/>
          <w:i/>
          <w:iCs/>
          <w:lang w:val="en-US"/>
        </w:rPr>
        <w:t>Innovations and breakthrough</w:t>
      </w:r>
    </w:p>
    <w:p w:rsidR="000746FA" w:rsidRPr="00924A19" w:rsidRDefault="000746FA" w:rsidP="0026366E">
      <w:pPr>
        <w:spacing w:line="360" w:lineRule="auto"/>
        <w:rPr>
          <w:rFonts w:ascii="Book Antiqua" w:hAnsi="Book Antiqua" w:cs="Book Antiqua"/>
          <w:lang w:val="en-US"/>
        </w:rPr>
      </w:pPr>
      <w:r w:rsidRPr="00924A19">
        <w:rPr>
          <w:rFonts w:ascii="Book Antiqua" w:hAnsi="Book Antiqua" w:cs="Book Antiqua"/>
          <w:lang w:val="en-US"/>
        </w:rPr>
        <w:t>Epidemiological up-date of HCV genotypes.</w:t>
      </w:r>
    </w:p>
    <w:p w:rsidR="0026366E" w:rsidRPr="00924A19" w:rsidRDefault="0026366E" w:rsidP="0026366E">
      <w:pPr>
        <w:spacing w:line="360" w:lineRule="auto"/>
        <w:rPr>
          <w:rFonts w:ascii="Book Antiqua" w:hAnsi="Book Antiqua" w:cs="Book Antiqua"/>
          <w:b/>
          <w:i/>
          <w:iCs/>
          <w:lang w:val="en-US"/>
        </w:rPr>
      </w:pPr>
    </w:p>
    <w:p w:rsidR="000746FA" w:rsidRPr="00924A19" w:rsidRDefault="000746FA" w:rsidP="0026366E">
      <w:pPr>
        <w:spacing w:line="360" w:lineRule="auto"/>
        <w:rPr>
          <w:rFonts w:ascii="Book Antiqua" w:hAnsi="Book Antiqua" w:cs="Book Antiqua"/>
          <w:b/>
          <w:i/>
          <w:iCs/>
          <w:lang w:val="en-US"/>
        </w:rPr>
      </w:pPr>
      <w:r w:rsidRPr="00924A19">
        <w:rPr>
          <w:rFonts w:ascii="Book Antiqua" w:hAnsi="Book Antiqua" w:cs="Book Antiqua"/>
          <w:b/>
          <w:i/>
          <w:iCs/>
          <w:lang w:val="en-US"/>
        </w:rPr>
        <w:t>Applications</w:t>
      </w:r>
    </w:p>
    <w:p w:rsidR="000746FA" w:rsidRPr="00924A19" w:rsidRDefault="000746FA" w:rsidP="0026366E">
      <w:pPr>
        <w:spacing w:line="360" w:lineRule="auto"/>
        <w:rPr>
          <w:rFonts w:ascii="Book Antiqua" w:hAnsi="Book Antiqua" w:cs="Book Antiqua"/>
          <w:iCs/>
          <w:lang w:val="en-US"/>
        </w:rPr>
      </w:pPr>
      <w:r w:rsidRPr="00924A19">
        <w:rPr>
          <w:rFonts w:ascii="Book Antiqua" w:hAnsi="Book Antiqua" w:cs="Book Antiqua"/>
          <w:iCs/>
          <w:lang w:val="en-US"/>
        </w:rPr>
        <w:t>Clinical therapy and prevention strategies</w:t>
      </w:r>
    </w:p>
    <w:p w:rsidR="00A53BE5" w:rsidRPr="00924A19" w:rsidRDefault="00A53BE5" w:rsidP="0026366E">
      <w:pPr>
        <w:spacing w:line="360" w:lineRule="auto"/>
        <w:rPr>
          <w:rFonts w:ascii="Book Antiqua" w:hAnsi="Book Antiqua" w:cs="Book Antiqua"/>
          <w:b/>
          <w:i/>
          <w:iCs/>
          <w:color w:val="FF0000"/>
          <w:lang w:val="en-US"/>
        </w:rPr>
      </w:pPr>
    </w:p>
    <w:p w:rsidR="00A53BE5" w:rsidRPr="00924A19" w:rsidRDefault="00A53BE5" w:rsidP="0026366E">
      <w:pPr>
        <w:snapToGrid w:val="0"/>
        <w:spacing w:line="360" w:lineRule="auto"/>
        <w:jc w:val="both"/>
        <w:rPr>
          <w:rFonts w:ascii="Book Antiqua" w:hAnsi="Book Antiqua"/>
          <w:b/>
          <w:lang w:val="en-US"/>
        </w:rPr>
      </w:pPr>
      <w:r w:rsidRPr="00924A19">
        <w:rPr>
          <w:rFonts w:ascii="Book Antiqua" w:hAnsi="Book Antiqua" w:cs="Book Antiqua" w:hint="eastAsia"/>
          <w:b/>
          <w:i/>
          <w:iCs/>
          <w:lang w:val="en-US"/>
        </w:rPr>
        <w:t>Peer-review</w:t>
      </w:r>
      <w:bookmarkEnd w:id="23"/>
      <w:bookmarkEnd w:id="24"/>
      <w:bookmarkEnd w:id="25"/>
      <w:bookmarkEnd w:id="26"/>
      <w:bookmarkEnd w:id="27"/>
    </w:p>
    <w:p w:rsidR="007A5999" w:rsidRPr="00924A19" w:rsidRDefault="00A53BE5" w:rsidP="0026366E">
      <w:pPr>
        <w:snapToGrid w:val="0"/>
        <w:spacing w:line="360" w:lineRule="auto"/>
        <w:jc w:val="both"/>
        <w:rPr>
          <w:rFonts w:ascii="Book Antiqua" w:hAnsi="Book Antiqua"/>
          <w:lang w:val="en-US"/>
        </w:rPr>
      </w:pPr>
      <w:r w:rsidRPr="00924A19">
        <w:rPr>
          <w:rFonts w:ascii="Book Antiqua" w:hAnsi="Book Antiqua"/>
          <w:caps/>
          <w:lang w:val="en-US"/>
        </w:rPr>
        <w:t>t</w:t>
      </w:r>
      <w:r w:rsidRPr="00924A19">
        <w:rPr>
          <w:rFonts w:ascii="Book Antiqua" w:hAnsi="Book Antiqua"/>
          <w:lang w:val="en-US"/>
        </w:rPr>
        <w:t>his is a</w:t>
      </w:r>
      <w:r w:rsidR="006D3064" w:rsidRPr="00924A19">
        <w:rPr>
          <w:rFonts w:ascii="Book Antiqua" w:hAnsi="Book Antiqua"/>
          <w:lang w:val="en-US"/>
        </w:rPr>
        <w:t xml:space="preserve"> </w:t>
      </w:r>
      <w:r w:rsidRPr="00924A19">
        <w:rPr>
          <w:rFonts w:ascii="Book Antiqua" w:hAnsi="Book Antiqua"/>
          <w:lang w:val="en-US"/>
        </w:rPr>
        <w:t>pretty good manuscript.</w:t>
      </w:r>
      <w:r w:rsidR="006D3064" w:rsidRPr="00924A19">
        <w:rPr>
          <w:rFonts w:ascii="Book Antiqua" w:hAnsi="Book Antiqua"/>
          <w:lang w:val="en-US"/>
        </w:rPr>
        <w:t xml:space="preserve"> </w:t>
      </w:r>
      <w:r w:rsidRPr="00924A19">
        <w:rPr>
          <w:rFonts w:ascii="Book Antiqua" w:hAnsi="Book Antiqua"/>
          <w:lang w:val="en-US"/>
        </w:rPr>
        <w:t xml:space="preserve">The analysis performed by the authors maximized the extraction of meaningful information from available literature. </w:t>
      </w:r>
      <w:r w:rsidR="007A5999" w:rsidRPr="00924A19">
        <w:rPr>
          <w:rFonts w:ascii="Book Antiqua" w:hAnsi="Book Antiqua"/>
          <w:lang w:val="en-US"/>
        </w:rPr>
        <w:br w:type="page"/>
      </w:r>
    </w:p>
    <w:p w:rsidR="000746FA" w:rsidRPr="00924A19" w:rsidRDefault="000746FA" w:rsidP="0026366E">
      <w:pPr>
        <w:spacing w:line="360" w:lineRule="auto"/>
        <w:rPr>
          <w:rFonts w:ascii="Book Antiqua" w:hAnsi="Book Antiqua"/>
          <w:b/>
          <w:sz w:val="28"/>
          <w:szCs w:val="28"/>
          <w:lang w:val="en-US"/>
        </w:rPr>
      </w:pPr>
      <w:bookmarkStart w:id="28" w:name="OLE_LINK51"/>
      <w:bookmarkStart w:id="29" w:name="OLE_LINK52"/>
      <w:bookmarkStart w:id="30" w:name="OLE_LINK120"/>
      <w:bookmarkStart w:id="31" w:name="OLE_LINK148"/>
      <w:bookmarkStart w:id="32" w:name="OLE_LINK72"/>
      <w:bookmarkStart w:id="33" w:name="OLE_LINK112"/>
      <w:bookmarkStart w:id="34" w:name="OLE_LINK320"/>
      <w:bookmarkStart w:id="35" w:name="OLE_LINK387"/>
      <w:bookmarkStart w:id="36" w:name="OLE_LINK183"/>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r w:rsidRPr="00924A19">
        <w:rPr>
          <w:rFonts w:ascii="Book Antiqua" w:hAnsi="Book Antiqua"/>
          <w:b/>
          <w:sz w:val="28"/>
          <w:szCs w:val="28"/>
          <w:lang w:val="en-US"/>
        </w:rPr>
        <w:lastRenderedPageBreak/>
        <w:t>REFERENCES</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1 </w:t>
      </w:r>
      <w:r w:rsidRPr="00924A19">
        <w:rPr>
          <w:rFonts w:ascii="Book Antiqua" w:hAnsi="Book Antiqua" w:cs="SimSun"/>
          <w:b/>
          <w:bCs/>
          <w:lang w:val="en-US"/>
        </w:rPr>
        <w:t>Cooke GS</w:t>
      </w:r>
      <w:r w:rsidRPr="00924A19">
        <w:rPr>
          <w:rFonts w:ascii="Book Antiqua" w:hAnsi="Book Antiqua" w:cs="SimSun"/>
          <w:lang w:val="en-US"/>
        </w:rPr>
        <w:t>, Lemoine M, Thursz M, Gore C, Swan T, Kamarulzaman A, DuCros P, Ford N. Viral hepatitis and the Global Burden of Disease: a need to regroup. </w:t>
      </w:r>
      <w:r w:rsidRPr="00924A19">
        <w:rPr>
          <w:rFonts w:ascii="Book Antiqua" w:hAnsi="Book Antiqua" w:cs="SimSun"/>
          <w:i/>
          <w:iCs/>
          <w:lang w:val="en-US"/>
        </w:rPr>
        <w:t>J Viral Hepat</w:t>
      </w:r>
      <w:r w:rsidRPr="00924A19">
        <w:rPr>
          <w:rFonts w:ascii="Book Antiqua" w:hAnsi="Book Antiqua" w:cs="SimSun"/>
          <w:lang w:val="en-US"/>
        </w:rPr>
        <w:t> 2013; </w:t>
      </w:r>
      <w:r w:rsidRPr="00924A19">
        <w:rPr>
          <w:rFonts w:ascii="Book Antiqua" w:hAnsi="Book Antiqua" w:cs="SimSun"/>
          <w:b/>
          <w:bCs/>
          <w:lang w:val="en-US"/>
        </w:rPr>
        <w:t>20</w:t>
      </w:r>
      <w:r w:rsidRPr="00924A19">
        <w:rPr>
          <w:rFonts w:ascii="Book Antiqua" w:hAnsi="Book Antiqua" w:cs="SimSun"/>
          <w:lang w:val="en-US"/>
        </w:rPr>
        <w:t>: 600-601 [PMID: 23910643 DOI: 10.1111/jvh.12123]</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2 </w:t>
      </w:r>
      <w:r w:rsidRPr="00924A19">
        <w:rPr>
          <w:rFonts w:ascii="Book Antiqua" w:hAnsi="Book Antiqua" w:cs="SimSun"/>
          <w:b/>
          <w:bCs/>
          <w:lang w:val="en-US"/>
        </w:rPr>
        <w:t>Mohd Hanafiah K</w:t>
      </w:r>
      <w:r w:rsidRPr="00924A19">
        <w:rPr>
          <w:rFonts w:ascii="Book Antiqua" w:hAnsi="Book Antiqua" w:cs="SimSun"/>
          <w:lang w:val="en-US"/>
        </w:rPr>
        <w:t>, Groeger J, Flaxman AD, Wiersma ST. Global epidemiology of hepatitis C virus infection: new estimates of age-specific antibody to HCV seroprevalence. </w:t>
      </w:r>
      <w:r w:rsidRPr="00924A19">
        <w:rPr>
          <w:rFonts w:ascii="Book Antiqua" w:hAnsi="Book Antiqua" w:cs="SimSun"/>
          <w:i/>
          <w:iCs/>
          <w:lang w:val="en-US"/>
        </w:rPr>
        <w:t>Hepatology</w:t>
      </w:r>
      <w:r w:rsidRPr="00924A19">
        <w:rPr>
          <w:rFonts w:ascii="Book Antiqua" w:hAnsi="Book Antiqua" w:cs="SimSun"/>
          <w:lang w:val="en-US"/>
        </w:rPr>
        <w:t> 2013; </w:t>
      </w:r>
      <w:r w:rsidRPr="00924A19">
        <w:rPr>
          <w:rFonts w:ascii="Book Antiqua" w:hAnsi="Book Antiqua" w:cs="SimSun"/>
          <w:b/>
          <w:bCs/>
          <w:lang w:val="en-US"/>
        </w:rPr>
        <w:t>57</w:t>
      </w:r>
      <w:r w:rsidRPr="00924A19">
        <w:rPr>
          <w:rFonts w:ascii="Book Antiqua" w:hAnsi="Book Antiqua" w:cs="SimSun"/>
          <w:lang w:val="en-US"/>
        </w:rPr>
        <w:t>: 1333-1342 [PMID: 23172780 DOI: 10.1002/hep.26141]</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3 </w:t>
      </w:r>
      <w:r w:rsidRPr="00924A19">
        <w:rPr>
          <w:rFonts w:ascii="Book Antiqua" w:hAnsi="Book Antiqua" w:cs="SimSun"/>
          <w:b/>
          <w:bCs/>
          <w:lang w:val="en-US"/>
        </w:rPr>
        <w:t>Lauer GM</w:t>
      </w:r>
      <w:r w:rsidRPr="00924A19">
        <w:rPr>
          <w:rFonts w:ascii="Book Antiqua" w:hAnsi="Book Antiqua" w:cs="SimSun"/>
          <w:lang w:val="en-US"/>
        </w:rPr>
        <w:t>, Walker BD. Hepatitis C virus infection. </w:t>
      </w:r>
      <w:r w:rsidRPr="00924A19">
        <w:rPr>
          <w:rFonts w:ascii="Book Antiqua" w:hAnsi="Book Antiqua" w:cs="SimSun"/>
          <w:i/>
          <w:iCs/>
          <w:lang w:val="en-US"/>
        </w:rPr>
        <w:t>N Engl J Med</w:t>
      </w:r>
      <w:r w:rsidRPr="00924A19">
        <w:rPr>
          <w:rFonts w:ascii="Book Antiqua" w:hAnsi="Book Antiqua" w:cs="SimSun"/>
          <w:lang w:val="en-US"/>
        </w:rPr>
        <w:t> 2001; </w:t>
      </w:r>
      <w:r w:rsidRPr="00924A19">
        <w:rPr>
          <w:rFonts w:ascii="Book Antiqua" w:hAnsi="Book Antiqua" w:cs="SimSun"/>
          <w:b/>
          <w:bCs/>
          <w:lang w:val="en-US"/>
        </w:rPr>
        <w:t>345</w:t>
      </w:r>
      <w:r w:rsidRPr="00924A19">
        <w:rPr>
          <w:rFonts w:ascii="Book Antiqua" w:hAnsi="Book Antiqua" w:cs="SimSun"/>
          <w:lang w:val="en-US"/>
        </w:rPr>
        <w:t>: 41-52 [PMID: 11439948DOI: 10.1056/NEJM200107053450107]</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4</w:t>
      </w:r>
      <w:hyperlink r:id="rId9" w:history="1">
        <w:r w:rsidRPr="00924A19">
          <w:rPr>
            <w:rFonts w:ascii="Book Antiqua" w:hAnsi="Book Antiqua" w:cs="SimSun"/>
            <w:b/>
            <w:lang w:val="en-US"/>
          </w:rPr>
          <w:t>Antiretroviral Therapy Cohort Collaboration</w:t>
        </w:r>
      </w:hyperlink>
      <w:r w:rsidRPr="00924A19">
        <w:rPr>
          <w:rFonts w:ascii="Book Antiqua" w:hAnsi="Book Antiqua" w:cs="SimSun"/>
          <w:b/>
          <w:lang w:val="en-US"/>
        </w:rPr>
        <w:t>.</w:t>
      </w:r>
      <w:r w:rsidRPr="00924A19">
        <w:rPr>
          <w:rFonts w:ascii="Book Antiqua" w:hAnsi="Book Antiqua" w:cs="SimSun"/>
          <w:lang w:val="en-US"/>
        </w:rPr>
        <w:t xml:space="preserve"> Causes of death in HIV-1-infected patients treated with antiretroviral therapy, 1996-2006: collaborative analysis of 13 HIV cohort studies. </w:t>
      </w:r>
      <w:r w:rsidRPr="00924A19">
        <w:rPr>
          <w:rFonts w:ascii="Book Antiqua" w:hAnsi="Book Antiqua" w:cs="SimSun"/>
          <w:i/>
          <w:iCs/>
          <w:lang w:val="en-US"/>
        </w:rPr>
        <w:t>Clin Infect Dis</w:t>
      </w:r>
      <w:r w:rsidRPr="00924A19">
        <w:rPr>
          <w:rFonts w:ascii="Book Antiqua" w:hAnsi="Book Antiqua" w:cs="SimSun"/>
          <w:lang w:val="en-US"/>
        </w:rPr>
        <w:t> 2010; </w:t>
      </w:r>
      <w:r w:rsidRPr="00924A19">
        <w:rPr>
          <w:rFonts w:ascii="Book Antiqua" w:hAnsi="Book Antiqua" w:cs="SimSun"/>
          <w:b/>
          <w:bCs/>
          <w:lang w:val="en-US"/>
        </w:rPr>
        <w:t>50</w:t>
      </w:r>
      <w:r w:rsidRPr="00924A19">
        <w:rPr>
          <w:rFonts w:ascii="Book Antiqua" w:hAnsi="Book Antiqua" w:cs="SimSun"/>
          <w:lang w:val="en-US"/>
        </w:rPr>
        <w:t>: 1387-1396 [PMID: 20380565 DOI: 10.1086/652283]</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5 </w:t>
      </w:r>
      <w:r w:rsidRPr="00924A19">
        <w:rPr>
          <w:rFonts w:ascii="Book Antiqua" w:hAnsi="Book Antiqua" w:cs="SimSun"/>
          <w:b/>
          <w:bCs/>
          <w:lang w:val="en-US"/>
        </w:rPr>
        <w:t>Razavi H</w:t>
      </w:r>
      <w:r w:rsidRPr="00924A19">
        <w:rPr>
          <w:rFonts w:ascii="Book Antiqua" w:hAnsi="Book Antiqua" w:cs="SimSun"/>
          <w:lang w:val="en-US"/>
        </w:rPr>
        <w:t>, Elkhoury AC, Elbasha E, Estes C, Pasini K, Poynard T, Kumar R. Chronic hepatitis C virus (HCV) disease burden and cost in the United States.</w:t>
      </w:r>
      <w:r w:rsidRPr="00924A19">
        <w:rPr>
          <w:rFonts w:ascii="Book Antiqua" w:hAnsi="Book Antiqua" w:cs="SimSun"/>
          <w:i/>
          <w:iCs/>
          <w:lang w:val="en-US"/>
        </w:rPr>
        <w:t>Hepatology</w:t>
      </w:r>
      <w:r w:rsidRPr="00924A19">
        <w:rPr>
          <w:rFonts w:ascii="Book Antiqua" w:hAnsi="Book Antiqua" w:cs="SimSun"/>
          <w:lang w:val="en-US"/>
        </w:rPr>
        <w:t>2013; </w:t>
      </w:r>
      <w:r w:rsidRPr="00924A19">
        <w:rPr>
          <w:rFonts w:ascii="Book Antiqua" w:hAnsi="Book Antiqua" w:cs="SimSun"/>
          <w:b/>
          <w:bCs/>
          <w:lang w:val="en-US"/>
        </w:rPr>
        <w:t>57</w:t>
      </w:r>
      <w:r w:rsidRPr="00924A19">
        <w:rPr>
          <w:rFonts w:ascii="Book Antiqua" w:hAnsi="Book Antiqua" w:cs="SimSun"/>
          <w:lang w:val="en-US"/>
        </w:rPr>
        <w:t>: 2164-2170 [PMID: 23280550 DOI: 10.1002/hep.26218]</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6 </w:t>
      </w:r>
      <w:r w:rsidRPr="00924A19">
        <w:rPr>
          <w:rFonts w:ascii="Book Antiqua" w:hAnsi="Book Antiqua" w:cs="SimSun"/>
          <w:b/>
          <w:bCs/>
          <w:lang w:val="en-US"/>
        </w:rPr>
        <w:t>Wedemeyer H</w:t>
      </w:r>
      <w:r w:rsidRPr="00924A19">
        <w:rPr>
          <w:rFonts w:ascii="Book Antiqua" w:hAnsi="Book Antiqua" w:cs="SimSun"/>
          <w:lang w:val="en-US"/>
        </w:rPr>
        <w:t>, Duberg AS, Buti M, Rosenberg WM, Frankova S, Esmat G, Örmeci N, Van Vlierberghe H, Gschwantler M, Akarca U, Aleman S, Bal</w:t>
      </w:r>
      <w:r w:rsidRPr="00924A19">
        <w:rPr>
          <w:rFonts w:ascii="Book Antiqua" w:eastAsia="MS Mincho" w:hAnsi="Book Antiqua" w:cs="MS Mincho"/>
          <w:lang w:val="en-US"/>
        </w:rPr>
        <w:t>ı</w:t>
      </w:r>
      <w:r w:rsidRPr="00924A19">
        <w:rPr>
          <w:rFonts w:ascii="Book Antiqua" w:hAnsi="Book Antiqua" w:cs="SimSun"/>
          <w:lang w:val="en-US"/>
        </w:rPr>
        <w:t xml:space="preserve">k I, Berg T, Bihl F, Bilodeau M, Blasco AJ, Brandão Mello CE, Bruggmann P, Calinas F, Calleja JL, Cheinquer H, Christensen PB, Clausen M, Coelho HS, Cornberg M, Cramp ME, Dore GJ, Doss W, El-Sayed MH, Ergör G, Estes C, Falconer K, Félix J, Ferraz ML, Ferreira PR, García-Samaniego J, Gerstoft J, Giria JA, Gonçales FL, Guimarães Pessôa M, Hézode C, Hindman SJ, Hofer H, Husa P, Idilman R, Kåberg M, Kaita KD, Kautz A, Kaymakoglu S, Krajden M, Krarup H, Laleman W, Lavanchy D, Lázaro P, Marinho RT, Marotta P, Mauss S, Mendes Correa MC, Moreno C, Müllhaupt B, Myers RP, Nemecek V, Øvrehus AL, Parkes J, Peltekian </w:t>
      </w:r>
      <w:r w:rsidRPr="00924A19">
        <w:rPr>
          <w:rFonts w:ascii="Book Antiqua" w:hAnsi="Book Antiqua" w:cs="SimSun"/>
          <w:lang w:val="en-US"/>
        </w:rPr>
        <w:lastRenderedPageBreak/>
        <w:t>KM, Ramji A, Razavi H, Reis N, Roberts SK, Roudot-Thoraval F, Ryder SD, Sarmento-Castro R, Sarrazin C, Semela D, Sherman M, Shiha GE, Sperl J, Stärkel P, Stauber RE, Thompson AJ, Urbanek P, Van Damme P, van Thiel I, Vandijck D, Vogel W, Waked I, Weis N, Wiegand J, Yosry A, Zekry A, Negro F, Sievert W, Gower E. Strategies to manage hepatitis C virus (HCV) disease burden. </w:t>
      </w:r>
      <w:r w:rsidRPr="00924A19">
        <w:rPr>
          <w:rFonts w:ascii="Book Antiqua" w:hAnsi="Book Antiqua" w:cs="SimSun"/>
          <w:i/>
          <w:iCs/>
          <w:lang w:val="en-US"/>
        </w:rPr>
        <w:t>J Viral Hepat</w:t>
      </w:r>
      <w:r w:rsidRPr="00924A19">
        <w:rPr>
          <w:rFonts w:ascii="Book Antiqua" w:hAnsi="Book Antiqua" w:cs="SimSun"/>
          <w:lang w:val="en-US"/>
        </w:rPr>
        <w:t> 2014; </w:t>
      </w:r>
      <w:r w:rsidRPr="00924A19">
        <w:rPr>
          <w:rFonts w:ascii="Book Antiqua" w:hAnsi="Book Antiqua" w:cs="SimSun"/>
          <w:b/>
          <w:bCs/>
          <w:lang w:val="en-US"/>
        </w:rPr>
        <w:t>21 Suppl 1</w:t>
      </w:r>
      <w:r w:rsidRPr="00924A19">
        <w:rPr>
          <w:rFonts w:ascii="Book Antiqua" w:hAnsi="Book Antiqua" w:cs="SimSun"/>
          <w:lang w:val="en-US"/>
        </w:rPr>
        <w:t>: 60-89 [PMID: 24713006 DOI: 10.1111/jvh.12249]</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7 </w:t>
      </w:r>
      <w:r w:rsidRPr="00924A19">
        <w:rPr>
          <w:rFonts w:ascii="Book Antiqua" w:hAnsi="Book Antiqua" w:cs="SimSun"/>
          <w:b/>
          <w:bCs/>
          <w:lang w:val="en-US"/>
        </w:rPr>
        <w:t>Martin NK</w:t>
      </w:r>
      <w:r w:rsidRPr="00924A19">
        <w:rPr>
          <w:rFonts w:ascii="Book Antiqua" w:hAnsi="Book Antiqua" w:cs="SimSun"/>
          <w:lang w:val="en-US"/>
        </w:rPr>
        <w:t>, Hickman M, Hutchinson SJ, Goldberg DJ, Vickerman P. Combination interventions to prevent HCV transmission among people who inject drugs: modeling the impact of antiviral treatment, needle and syringe programs, and opiate substitution therapy. </w:t>
      </w:r>
      <w:r w:rsidRPr="00924A19">
        <w:rPr>
          <w:rFonts w:ascii="Book Antiqua" w:hAnsi="Book Antiqua" w:cs="SimSun"/>
          <w:i/>
          <w:iCs/>
          <w:lang w:val="en-US"/>
        </w:rPr>
        <w:t>Clin Infect Dis</w:t>
      </w:r>
      <w:r w:rsidRPr="00924A19">
        <w:rPr>
          <w:rFonts w:ascii="Book Antiqua" w:hAnsi="Book Antiqua" w:cs="SimSun"/>
          <w:lang w:val="en-US"/>
        </w:rPr>
        <w:t> 2013; </w:t>
      </w:r>
      <w:r w:rsidRPr="00924A19">
        <w:rPr>
          <w:rFonts w:ascii="Book Antiqua" w:hAnsi="Book Antiqua" w:cs="SimSun"/>
          <w:b/>
          <w:bCs/>
          <w:lang w:val="en-US"/>
        </w:rPr>
        <w:t>57 Suppl 2</w:t>
      </w:r>
      <w:r w:rsidRPr="00924A19">
        <w:rPr>
          <w:rFonts w:ascii="Book Antiqua" w:hAnsi="Book Antiqua" w:cs="SimSun"/>
          <w:lang w:val="en-US"/>
        </w:rPr>
        <w:t>: S39-S45 [PMID: 23884064 DOI: 10.1093/cid/cit296]</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8 </w:t>
      </w:r>
      <w:r w:rsidRPr="00924A19">
        <w:rPr>
          <w:rFonts w:ascii="Book Antiqua" w:hAnsi="Book Antiqua" w:cs="SimSun"/>
          <w:b/>
          <w:bCs/>
          <w:lang w:val="en-US"/>
        </w:rPr>
        <w:t>Lavanchy D</w:t>
      </w:r>
      <w:r w:rsidRPr="00924A19">
        <w:rPr>
          <w:rFonts w:ascii="Book Antiqua" w:hAnsi="Book Antiqua" w:cs="SimSun"/>
          <w:lang w:val="en-US"/>
        </w:rPr>
        <w:t>. The threat to public health of hepatitis C. </w:t>
      </w:r>
      <w:r w:rsidRPr="00924A19">
        <w:rPr>
          <w:rFonts w:ascii="Book Antiqua" w:hAnsi="Book Antiqua" w:cs="SimSun"/>
          <w:i/>
          <w:iCs/>
          <w:lang w:val="en-US"/>
        </w:rPr>
        <w:t>Res Virol</w:t>
      </w:r>
      <w:r w:rsidRPr="00924A19">
        <w:rPr>
          <w:rFonts w:ascii="Book Antiqua" w:hAnsi="Book Antiqua" w:cs="SimSun"/>
          <w:lang w:val="en-US"/>
        </w:rPr>
        <w:t> 1997; </w:t>
      </w:r>
      <w:r w:rsidRPr="00924A19">
        <w:rPr>
          <w:rFonts w:ascii="Book Antiqua" w:hAnsi="Book Antiqua" w:cs="SimSun"/>
          <w:b/>
          <w:bCs/>
          <w:lang w:val="en-US"/>
        </w:rPr>
        <w:t>148</w:t>
      </w:r>
      <w:r w:rsidRPr="00924A19">
        <w:rPr>
          <w:rFonts w:ascii="Book Antiqua" w:hAnsi="Book Antiqua" w:cs="SimSun"/>
          <w:lang w:val="en-US"/>
        </w:rPr>
        <w:t>: 143-145 [PMID: 9108616 DOI: 10.1016/S0923-2516(97)89900-1]</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9 </w:t>
      </w:r>
      <w:r w:rsidRPr="00924A19">
        <w:rPr>
          <w:rFonts w:ascii="Book Antiqua" w:hAnsi="Book Antiqua" w:cs="SimSun"/>
          <w:b/>
          <w:bCs/>
          <w:lang w:val="en-US"/>
        </w:rPr>
        <w:t>Lavanchy D</w:t>
      </w:r>
      <w:r w:rsidRPr="00924A19">
        <w:rPr>
          <w:rFonts w:ascii="Book Antiqua" w:hAnsi="Book Antiqua" w:cs="SimSun"/>
          <w:lang w:val="en-US"/>
        </w:rPr>
        <w:t>. Hepatitis C: public health strategies. </w:t>
      </w:r>
      <w:r w:rsidRPr="00924A19">
        <w:rPr>
          <w:rFonts w:ascii="Book Antiqua" w:hAnsi="Book Antiqua" w:cs="SimSun"/>
          <w:i/>
          <w:iCs/>
          <w:lang w:val="en-US"/>
        </w:rPr>
        <w:t>J Hepatol</w:t>
      </w:r>
      <w:r w:rsidRPr="00924A19">
        <w:rPr>
          <w:rFonts w:ascii="Book Antiqua" w:hAnsi="Book Antiqua" w:cs="SimSun"/>
          <w:lang w:val="en-US"/>
        </w:rPr>
        <w:t> 1999; </w:t>
      </w:r>
      <w:r w:rsidRPr="00924A19">
        <w:rPr>
          <w:rFonts w:ascii="Book Antiqua" w:hAnsi="Book Antiqua" w:cs="SimSun"/>
          <w:b/>
          <w:bCs/>
          <w:lang w:val="en-US"/>
        </w:rPr>
        <w:t>31 Suppl 1</w:t>
      </w:r>
      <w:r w:rsidRPr="00924A19">
        <w:rPr>
          <w:rFonts w:ascii="Book Antiqua" w:hAnsi="Book Antiqua" w:cs="SimSun"/>
          <w:lang w:val="en-US"/>
        </w:rPr>
        <w:t>: 146-151 [PMID: 10622578 DOI: 10.1016/S0168-8278(99)80392-4]</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10 </w:t>
      </w:r>
      <w:r w:rsidRPr="00924A19">
        <w:rPr>
          <w:rFonts w:ascii="Book Antiqua" w:hAnsi="Book Antiqua" w:cs="SimSun"/>
          <w:b/>
          <w:bCs/>
          <w:lang w:val="en-US"/>
        </w:rPr>
        <w:t>Lavanchy D</w:t>
      </w:r>
      <w:r w:rsidRPr="00924A19">
        <w:rPr>
          <w:rFonts w:ascii="Book Antiqua" w:hAnsi="Book Antiqua" w:cs="SimSun"/>
          <w:lang w:val="en-US"/>
        </w:rPr>
        <w:t>. Evolving epidemiology of hepatitis C virus. </w:t>
      </w:r>
      <w:r w:rsidRPr="00924A19">
        <w:rPr>
          <w:rFonts w:ascii="Book Antiqua" w:hAnsi="Book Antiqua" w:cs="SimSun"/>
          <w:i/>
          <w:iCs/>
          <w:lang w:val="en-US"/>
        </w:rPr>
        <w:t>Clin Microbiol Infect</w:t>
      </w:r>
      <w:r w:rsidRPr="00924A19">
        <w:rPr>
          <w:rFonts w:ascii="Book Antiqua" w:hAnsi="Book Antiqua" w:cs="SimSun"/>
          <w:lang w:val="en-US"/>
        </w:rPr>
        <w:t>2011;</w:t>
      </w:r>
      <w:r w:rsidRPr="00924A19">
        <w:rPr>
          <w:rFonts w:ascii="Book Antiqua" w:hAnsi="Book Antiqua" w:cs="SimSun"/>
          <w:b/>
          <w:bCs/>
          <w:lang w:val="en-US"/>
        </w:rPr>
        <w:t>17</w:t>
      </w:r>
      <w:r w:rsidRPr="00924A19">
        <w:rPr>
          <w:rFonts w:ascii="Book Antiqua" w:hAnsi="Book Antiqua" w:cs="SimSun"/>
          <w:lang w:val="en-US"/>
        </w:rPr>
        <w:t>: 107-115 [PMID: 21091831 DOI: 10.1111/j.1469-0691.2010.03432.x]</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11 </w:t>
      </w:r>
      <w:r w:rsidRPr="00924A19">
        <w:rPr>
          <w:rFonts w:ascii="Book Antiqua" w:hAnsi="Book Antiqua" w:cs="SimSun"/>
          <w:b/>
          <w:bCs/>
          <w:lang w:val="en-US"/>
        </w:rPr>
        <w:t>Lavanchy D</w:t>
      </w:r>
      <w:r w:rsidRPr="00924A19">
        <w:rPr>
          <w:rFonts w:ascii="Book Antiqua" w:hAnsi="Book Antiqua" w:cs="SimSun"/>
          <w:lang w:val="en-US"/>
        </w:rPr>
        <w:t>. The global burden of hepatitis C. </w:t>
      </w:r>
      <w:r w:rsidRPr="00924A19">
        <w:rPr>
          <w:rFonts w:ascii="Book Antiqua" w:hAnsi="Book Antiqua" w:cs="SimSun"/>
          <w:i/>
          <w:iCs/>
          <w:lang w:val="en-US"/>
        </w:rPr>
        <w:t>Liver Int</w:t>
      </w:r>
      <w:r w:rsidRPr="00924A19">
        <w:rPr>
          <w:rFonts w:ascii="Book Antiqua" w:hAnsi="Book Antiqua" w:cs="SimSun"/>
          <w:lang w:val="en-US"/>
        </w:rPr>
        <w:t> 2009; </w:t>
      </w:r>
      <w:r w:rsidRPr="00924A19">
        <w:rPr>
          <w:rFonts w:ascii="Book Antiqua" w:hAnsi="Book Antiqua" w:cs="SimSun"/>
          <w:b/>
          <w:bCs/>
          <w:lang w:val="en-US"/>
        </w:rPr>
        <w:t>29 Suppl 1</w:t>
      </w:r>
      <w:r w:rsidRPr="00924A19">
        <w:rPr>
          <w:rFonts w:ascii="Book Antiqua" w:hAnsi="Book Antiqua" w:cs="SimSun"/>
          <w:lang w:val="en-US"/>
        </w:rPr>
        <w:t>: 74-81 [PMID: 19207969 DOI: 10.1111/j.1478-3231.2008.01934.x]</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 xml:space="preserve">12 </w:t>
      </w:r>
      <w:r w:rsidRPr="00924A19">
        <w:rPr>
          <w:rFonts w:ascii="Book Antiqua" w:hAnsi="Book Antiqua" w:cs="SimSun"/>
          <w:b/>
          <w:lang w:val="en-US"/>
        </w:rPr>
        <w:t>Global Burden of Hepatitis C Working Group.</w:t>
      </w:r>
      <w:r w:rsidRPr="00924A19">
        <w:rPr>
          <w:rFonts w:ascii="Book Antiqua" w:hAnsi="Book Antiqua" w:cs="SimSun"/>
          <w:lang w:val="en-US"/>
        </w:rPr>
        <w:t xml:space="preserve"> Global burden of disease (GBD) for hepatitis C. </w:t>
      </w:r>
      <w:r w:rsidRPr="00924A19">
        <w:rPr>
          <w:rFonts w:ascii="Book Antiqua" w:hAnsi="Book Antiqua" w:cs="SimSun"/>
          <w:i/>
          <w:iCs/>
          <w:lang w:val="en-US"/>
        </w:rPr>
        <w:t>J Clin Pharmacol</w:t>
      </w:r>
      <w:r w:rsidRPr="00924A19">
        <w:rPr>
          <w:rFonts w:ascii="Book Antiqua" w:hAnsi="Book Antiqua" w:cs="SimSun"/>
          <w:lang w:val="en-US"/>
        </w:rPr>
        <w:t> 2004; </w:t>
      </w:r>
      <w:r w:rsidRPr="00924A19">
        <w:rPr>
          <w:rFonts w:ascii="Book Antiqua" w:hAnsi="Book Antiqua" w:cs="SimSun"/>
          <w:b/>
          <w:bCs/>
          <w:lang w:val="en-US"/>
        </w:rPr>
        <w:t>44</w:t>
      </w:r>
      <w:r w:rsidRPr="00924A19">
        <w:rPr>
          <w:rFonts w:ascii="Book Antiqua" w:hAnsi="Book Antiqua" w:cs="SimSun"/>
          <w:lang w:val="en-US"/>
        </w:rPr>
        <w:t>: 20-29 [PMID: 14681338DOI: 10.1177/0091270003258669]</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13 </w:t>
      </w:r>
      <w:r w:rsidRPr="00924A19">
        <w:rPr>
          <w:rFonts w:ascii="Book Antiqua" w:hAnsi="Book Antiqua" w:cs="SimSun"/>
          <w:b/>
          <w:bCs/>
          <w:lang w:val="en-US"/>
        </w:rPr>
        <w:t>Bruggmann P</w:t>
      </w:r>
      <w:r w:rsidRPr="00924A19">
        <w:rPr>
          <w:rFonts w:ascii="Book Antiqua" w:hAnsi="Book Antiqua" w:cs="SimSun"/>
          <w:lang w:val="en-US"/>
        </w:rPr>
        <w:t>, Berg T, Øvrehus AL, Moreno C, Brandão Mello CE, Roudot-Thoraval F, Marinho RT, Sherman M, Ryder SD, Sperl J, Akarca U, Bal</w:t>
      </w:r>
      <w:r w:rsidRPr="00924A19">
        <w:rPr>
          <w:rFonts w:ascii="Book Antiqua" w:eastAsia="MS Mincho" w:hAnsi="Book Antiqua" w:cs="MS Mincho"/>
          <w:lang w:val="en-US"/>
        </w:rPr>
        <w:t>ı</w:t>
      </w:r>
      <w:r w:rsidRPr="00924A19">
        <w:rPr>
          <w:rFonts w:ascii="Book Antiqua" w:hAnsi="Book Antiqua" w:cs="SimSun"/>
          <w:lang w:val="en-US"/>
        </w:rPr>
        <w:t xml:space="preserve">k I, Bihl F, Bilodeau M, Blasco AJ, Buti M, Calinas F, Calleja JL, Cheinquer H, Christensen PB, Clausen M, Coelho HS, Cornberg M, Cramp ME, Dore GJ, Doss W, Duberg AS, El-Sayed MH, Ergör G, Esmat G, Estes C, Falconer K, Félix J, Ferraz ML, Ferreira PR, </w:t>
      </w:r>
      <w:r w:rsidRPr="00924A19">
        <w:rPr>
          <w:rFonts w:ascii="Book Antiqua" w:hAnsi="Book Antiqua" w:cs="SimSun"/>
          <w:lang w:val="en-US"/>
        </w:rPr>
        <w:lastRenderedPageBreak/>
        <w:t>Frankova S, García-Samaniego J, Gerstoft J, Giria JA, Gonçales FL, Gower E, Gschwantler M, Guimarães Pessôa M, Hézode C, Hofer H, Husa P, Idilman R, Kåberg M, Kaita KD, Kautz A, Kaymakoglu S, Krajden M, Krarup H, Laleman W, Lavanchy D, Lázaro P, Marotta P, Mauss S, Mendes Correa MC, Müllhaupt B, Myers RP, Negro F, Nemecek V, Örmeci N, Parkes J, Peltekian KM, Ramji A, Razavi H, Reis N, Roberts SK, Rosenberg WM, Sarmento-Castro R, Sarrazin C, Semela D, Shiha GE, Sievert W, Stärkel P, Stauber RE, Thompson AJ, Urbanek P, van Thiel I, Van Vlierberghe H, Vandijck D, Vogel W, Waked I, Wedemeyer H, Weis N, Wiegand J, Yosry A, Zekry A, Van Damme P, Aleman S, Hindman SJ. Historical epidemiology of hepatitis C virus (HCV) in selected countries. </w:t>
      </w:r>
      <w:r w:rsidRPr="00924A19">
        <w:rPr>
          <w:rFonts w:ascii="Book Antiqua" w:hAnsi="Book Antiqua" w:cs="SimSun"/>
          <w:i/>
          <w:iCs/>
          <w:lang w:val="en-US"/>
        </w:rPr>
        <w:t>J Viral Hepat</w:t>
      </w:r>
      <w:r w:rsidRPr="00924A19">
        <w:rPr>
          <w:rFonts w:ascii="Book Antiqua" w:hAnsi="Book Antiqua" w:cs="SimSun"/>
          <w:lang w:val="en-US"/>
        </w:rPr>
        <w:t> 2014; </w:t>
      </w:r>
      <w:r w:rsidRPr="00924A19">
        <w:rPr>
          <w:rFonts w:ascii="Book Antiqua" w:hAnsi="Book Antiqua" w:cs="SimSun"/>
          <w:b/>
          <w:bCs/>
          <w:lang w:val="en-US"/>
        </w:rPr>
        <w:t>21 Suppl 1</w:t>
      </w:r>
      <w:r w:rsidRPr="00924A19">
        <w:rPr>
          <w:rFonts w:ascii="Book Antiqua" w:hAnsi="Book Antiqua" w:cs="SimSun"/>
          <w:lang w:val="en-US"/>
        </w:rPr>
        <w:t>: 5-33 [PMID: 24713004 DOI: 10.1111/jvh.12247]</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14 </w:t>
      </w:r>
      <w:r w:rsidRPr="00924A19">
        <w:rPr>
          <w:rFonts w:ascii="Book Antiqua" w:hAnsi="Book Antiqua" w:cs="SimSun"/>
          <w:b/>
          <w:bCs/>
          <w:lang w:val="en-US"/>
        </w:rPr>
        <w:t>Timm J</w:t>
      </w:r>
      <w:r w:rsidRPr="00924A19">
        <w:rPr>
          <w:rFonts w:ascii="Book Antiqua" w:hAnsi="Book Antiqua" w:cs="SimSun"/>
          <w:lang w:val="en-US"/>
        </w:rPr>
        <w:t>, Roggendorf M. Sequence diversity of hepatitis C virus: implications for immune control and therapy. </w:t>
      </w:r>
      <w:r w:rsidRPr="00924A19">
        <w:rPr>
          <w:rFonts w:ascii="Book Antiqua" w:hAnsi="Book Antiqua" w:cs="SimSun"/>
          <w:i/>
          <w:iCs/>
          <w:lang w:val="en-US"/>
        </w:rPr>
        <w:t>World J Gastroenterol</w:t>
      </w:r>
      <w:r w:rsidRPr="00924A19">
        <w:rPr>
          <w:rFonts w:ascii="Book Antiqua" w:hAnsi="Book Antiqua" w:cs="SimSun"/>
          <w:lang w:val="en-US"/>
        </w:rPr>
        <w:t> 2007; </w:t>
      </w:r>
      <w:r w:rsidRPr="00924A19">
        <w:rPr>
          <w:rFonts w:ascii="Book Antiqua" w:hAnsi="Book Antiqua" w:cs="SimSun"/>
          <w:b/>
          <w:bCs/>
          <w:lang w:val="en-US"/>
        </w:rPr>
        <w:t>13</w:t>
      </w:r>
      <w:r w:rsidRPr="00924A19">
        <w:rPr>
          <w:rFonts w:ascii="Book Antiqua" w:hAnsi="Book Antiqua" w:cs="SimSun"/>
          <w:lang w:val="en-US"/>
        </w:rPr>
        <w:t>: 4808-4817 [PMID: 17828811DOI: 10.3748/wjg.v13.i36.4808]</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15 </w:t>
      </w:r>
      <w:r w:rsidRPr="00924A19">
        <w:rPr>
          <w:rFonts w:ascii="Book Antiqua" w:hAnsi="Book Antiqua" w:cs="SimSun"/>
          <w:b/>
          <w:bCs/>
          <w:lang w:val="en-US"/>
        </w:rPr>
        <w:t>Ford N</w:t>
      </w:r>
      <w:r w:rsidRPr="00924A19">
        <w:rPr>
          <w:rFonts w:ascii="Book Antiqua" w:hAnsi="Book Antiqua" w:cs="SimSun"/>
          <w:lang w:val="en-US"/>
        </w:rPr>
        <w:t>, Kirby C, Singh K, Mills EJ, Cooke G, Kamarulzaman A, duCros P. Chronic hepatitis C treatment outcomes in low- and middle-income countries: a systematic review and meta-analysis. </w:t>
      </w:r>
      <w:r w:rsidRPr="00924A19">
        <w:rPr>
          <w:rFonts w:ascii="Book Antiqua" w:hAnsi="Book Antiqua" w:cs="SimSun"/>
          <w:i/>
          <w:iCs/>
          <w:lang w:val="en-US"/>
        </w:rPr>
        <w:t>Bull World Health Organ</w:t>
      </w:r>
      <w:r w:rsidRPr="00924A19">
        <w:rPr>
          <w:rFonts w:ascii="Book Antiqua" w:hAnsi="Book Antiqua" w:cs="SimSun"/>
          <w:lang w:val="en-US"/>
        </w:rPr>
        <w:t> 2012; </w:t>
      </w:r>
      <w:r w:rsidRPr="00924A19">
        <w:rPr>
          <w:rFonts w:ascii="Book Antiqua" w:hAnsi="Book Antiqua" w:cs="SimSun"/>
          <w:b/>
          <w:bCs/>
          <w:lang w:val="en-US"/>
        </w:rPr>
        <w:t>90</w:t>
      </w:r>
      <w:r w:rsidRPr="00924A19">
        <w:rPr>
          <w:rFonts w:ascii="Book Antiqua" w:hAnsi="Book Antiqua" w:cs="SimSun"/>
          <w:lang w:val="en-US"/>
        </w:rPr>
        <w:t>: 540-550 [PMID: 22807600 DOI: 10.2471/BLT.11.097147]</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16 </w:t>
      </w:r>
      <w:r w:rsidRPr="00924A19">
        <w:rPr>
          <w:rFonts w:ascii="Book Antiqua" w:hAnsi="Book Antiqua" w:cs="SimSun"/>
          <w:b/>
          <w:bCs/>
          <w:lang w:val="en-US"/>
        </w:rPr>
        <w:t>Ford N</w:t>
      </w:r>
      <w:r w:rsidRPr="00924A19">
        <w:rPr>
          <w:rFonts w:ascii="Book Antiqua" w:hAnsi="Book Antiqua" w:cs="SimSun"/>
          <w:lang w:val="en-US"/>
        </w:rPr>
        <w:t>, Singh K, Cooke GS, Mills EJ, von Schoen-Angerer T, Kamarulzaman A, du Cros P. Expanding access to treatment for hepatitis C in resource-limited settings: lessons from HIV/AIDS. </w:t>
      </w:r>
      <w:r w:rsidRPr="00924A19">
        <w:rPr>
          <w:rFonts w:ascii="Book Antiqua" w:hAnsi="Book Antiqua" w:cs="SimSun"/>
          <w:i/>
          <w:iCs/>
          <w:lang w:val="en-US"/>
        </w:rPr>
        <w:t>Clin Infect Dis</w:t>
      </w:r>
      <w:r w:rsidRPr="00924A19">
        <w:rPr>
          <w:rFonts w:ascii="Book Antiqua" w:hAnsi="Book Antiqua" w:cs="SimSun"/>
          <w:lang w:val="en-US"/>
        </w:rPr>
        <w:t> 2012; </w:t>
      </w:r>
      <w:r w:rsidRPr="00924A19">
        <w:rPr>
          <w:rFonts w:ascii="Book Antiqua" w:hAnsi="Book Antiqua" w:cs="SimSun"/>
          <w:b/>
          <w:bCs/>
          <w:lang w:val="en-US"/>
        </w:rPr>
        <w:t>54</w:t>
      </w:r>
      <w:r w:rsidRPr="00924A19">
        <w:rPr>
          <w:rFonts w:ascii="Book Antiqua" w:hAnsi="Book Antiqua" w:cs="SimSun"/>
          <w:lang w:val="en-US"/>
        </w:rPr>
        <w:t>: 1465-1472 [PMID: 22431808 DOI: 10.1093/cid/cis227]</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17 </w:t>
      </w:r>
      <w:r w:rsidRPr="00924A19">
        <w:rPr>
          <w:rFonts w:ascii="Book Antiqua" w:hAnsi="Book Antiqua" w:cs="SimSun"/>
          <w:b/>
          <w:bCs/>
          <w:lang w:val="en-US"/>
        </w:rPr>
        <w:t>Simmonds P</w:t>
      </w:r>
      <w:r w:rsidRPr="00924A19">
        <w:rPr>
          <w:rFonts w:ascii="Book Antiqua" w:hAnsi="Book Antiqua" w:cs="SimSun"/>
          <w:lang w:val="en-US"/>
        </w:rPr>
        <w:t>, Alberti A, Alter HJ, Bonino F, Bradley DW, Brechot C, Brouwer JT, Chan SW, Chayama K, Chen DS. A proposed system for the nomenclature of hepatitis C viral genotypes. </w:t>
      </w:r>
      <w:r w:rsidRPr="00924A19">
        <w:rPr>
          <w:rFonts w:ascii="Book Antiqua" w:hAnsi="Book Antiqua" w:cs="SimSun"/>
          <w:i/>
          <w:iCs/>
          <w:lang w:val="en-US"/>
        </w:rPr>
        <w:t>Hepatology</w:t>
      </w:r>
      <w:r w:rsidRPr="00924A19">
        <w:rPr>
          <w:rFonts w:ascii="Book Antiqua" w:hAnsi="Book Antiqua" w:cs="SimSun"/>
          <w:lang w:val="en-US"/>
        </w:rPr>
        <w:t> 1994; </w:t>
      </w:r>
      <w:r w:rsidRPr="00924A19">
        <w:rPr>
          <w:rFonts w:ascii="Book Antiqua" w:hAnsi="Book Antiqua" w:cs="SimSun"/>
          <w:b/>
          <w:bCs/>
          <w:lang w:val="en-US"/>
        </w:rPr>
        <w:t>19</w:t>
      </w:r>
      <w:r w:rsidRPr="00924A19">
        <w:rPr>
          <w:rFonts w:ascii="Book Antiqua" w:hAnsi="Book Antiqua" w:cs="SimSun"/>
          <w:lang w:val="en-US"/>
        </w:rPr>
        <w:t>: 1321-1324 [PMID: 8175159 DOI: 10.1002/hep.1840190538]</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lastRenderedPageBreak/>
        <w:t>18 </w:t>
      </w:r>
      <w:r w:rsidRPr="00924A19">
        <w:rPr>
          <w:rFonts w:ascii="Book Antiqua" w:hAnsi="Book Antiqua" w:cs="SimSun"/>
          <w:b/>
          <w:bCs/>
          <w:lang w:val="en-US"/>
        </w:rPr>
        <w:t>Anderson JC</w:t>
      </w:r>
      <w:r w:rsidRPr="00924A19">
        <w:rPr>
          <w:rFonts w:ascii="Book Antiqua" w:hAnsi="Book Antiqua" w:cs="SimSun"/>
          <w:lang w:val="en-US"/>
        </w:rPr>
        <w:t>, Simonetti J, Fisher DG, Williams J, Yamamura Y, Rodriguez N, Sullivan DG, Gretch DR, McMahon B, Williams KJ. Comparison of different HCV viral load and genotyping assays. </w:t>
      </w:r>
      <w:r w:rsidRPr="00924A19">
        <w:rPr>
          <w:rFonts w:ascii="Book Antiqua" w:hAnsi="Book Antiqua" w:cs="SimSun"/>
          <w:i/>
          <w:iCs/>
          <w:lang w:val="en-US"/>
        </w:rPr>
        <w:t>J Clin Virol</w:t>
      </w:r>
      <w:r w:rsidRPr="00924A19">
        <w:rPr>
          <w:rFonts w:ascii="Book Antiqua" w:hAnsi="Book Antiqua" w:cs="SimSun"/>
          <w:lang w:val="en-US"/>
        </w:rPr>
        <w:t> 2003; </w:t>
      </w:r>
      <w:r w:rsidRPr="00924A19">
        <w:rPr>
          <w:rFonts w:ascii="Book Antiqua" w:hAnsi="Book Antiqua" w:cs="SimSun"/>
          <w:b/>
          <w:bCs/>
          <w:lang w:val="en-US"/>
        </w:rPr>
        <w:t>28</w:t>
      </w:r>
      <w:r w:rsidRPr="00924A19">
        <w:rPr>
          <w:rFonts w:ascii="Book Antiqua" w:hAnsi="Book Antiqua" w:cs="SimSun"/>
          <w:lang w:val="en-US"/>
        </w:rPr>
        <w:t>: 27-37 [PMID: 12927748 DOI: 10.1016/S1386-6532(02)00235-4]</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19 </w:t>
      </w:r>
      <w:r w:rsidRPr="00924A19">
        <w:rPr>
          <w:rFonts w:ascii="Book Antiqua" w:hAnsi="Book Antiqua" w:cs="SimSun"/>
          <w:b/>
          <w:bCs/>
          <w:lang w:val="en-US"/>
        </w:rPr>
        <w:t>Bullock GC</w:t>
      </w:r>
      <w:r w:rsidRPr="00924A19">
        <w:rPr>
          <w:rFonts w:ascii="Book Antiqua" w:hAnsi="Book Antiqua" w:cs="SimSun"/>
          <w:lang w:val="en-US"/>
        </w:rPr>
        <w:t>, Bruns DE, Haverstick DM. Hepatitis C genotype determination by melting curve analysis with a single set of fluorescence resonance energy transfer probes. </w:t>
      </w:r>
      <w:r w:rsidRPr="00924A19">
        <w:rPr>
          <w:rFonts w:ascii="Book Antiqua" w:hAnsi="Book Antiqua" w:cs="SimSun"/>
          <w:i/>
          <w:iCs/>
          <w:lang w:val="en-US"/>
        </w:rPr>
        <w:t>Clin Chem</w:t>
      </w:r>
      <w:r w:rsidRPr="00924A19">
        <w:rPr>
          <w:rFonts w:ascii="Book Antiqua" w:hAnsi="Book Antiqua" w:cs="SimSun"/>
          <w:lang w:val="en-US"/>
        </w:rPr>
        <w:t> 2002; </w:t>
      </w:r>
      <w:r w:rsidRPr="00924A19">
        <w:rPr>
          <w:rFonts w:ascii="Book Antiqua" w:hAnsi="Book Antiqua" w:cs="SimSun"/>
          <w:b/>
          <w:bCs/>
          <w:lang w:val="en-US"/>
        </w:rPr>
        <w:t>48</w:t>
      </w:r>
      <w:r w:rsidRPr="00924A19">
        <w:rPr>
          <w:rFonts w:ascii="Book Antiqua" w:hAnsi="Book Antiqua" w:cs="SimSun"/>
          <w:lang w:val="en-US"/>
        </w:rPr>
        <w:t>: 2147-2154 [PMID: 12446470]</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20 </w:t>
      </w:r>
      <w:r w:rsidRPr="00924A19">
        <w:rPr>
          <w:rFonts w:ascii="Book Antiqua" w:hAnsi="Book Antiqua" w:cs="SimSun"/>
          <w:b/>
          <w:bCs/>
          <w:lang w:val="en-US"/>
        </w:rPr>
        <w:t>Zein NN</w:t>
      </w:r>
      <w:r w:rsidRPr="00924A19">
        <w:rPr>
          <w:rFonts w:ascii="Book Antiqua" w:hAnsi="Book Antiqua" w:cs="SimSun"/>
          <w:lang w:val="en-US"/>
        </w:rPr>
        <w:t>.</w:t>
      </w:r>
      <w:r w:rsidR="005C2CE7">
        <w:rPr>
          <w:rFonts w:ascii="Book Antiqua" w:hAnsi="Book Antiqua" w:cs="SimSun" w:hint="eastAsia"/>
          <w:lang w:val="en-US"/>
        </w:rPr>
        <w:t xml:space="preserve"> </w:t>
      </w:r>
      <w:r w:rsidRPr="00924A19">
        <w:rPr>
          <w:rFonts w:ascii="Book Antiqua" w:hAnsi="Book Antiqua" w:cs="SimSun"/>
          <w:lang w:val="en-US"/>
        </w:rPr>
        <w:t>Clinical significance of hepatitis C virus genotypes. </w:t>
      </w:r>
      <w:r w:rsidRPr="00924A19">
        <w:rPr>
          <w:rFonts w:ascii="Book Antiqua" w:hAnsi="Book Antiqua" w:cs="SimSun"/>
          <w:i/>
          <w:iCs/>
          <w:lang w:val="en-US"/>
        </w:rPr>
        <w:t>Clin Microbiol Rev</w:t>
      </w:r>
      <w:r w:rsidRPr="00924A19">
        <w:rPr>
          <w:rFonts w:ascii="Book Antiqua" w:hAnsi="Book Antiqua" w:cs="SimSun"/>
          <w:lang w:val="en-US"/>
        </w:rPr>
        <w:t> 2000; </w:t>
      </w:r>
      <w:r w:rsidRPr="00924A19">
        <w:rPr>
          <w:rFonts w:ascii="Book Antiqua" w:hAnsi="Book Antiqua" w:cs="SimSun"/>
          <w:b/>
          <w:bCs/>
          <w:lang w:val="en-US"/>
        </w:rPr>
        <w:t>13</w:t>
      </w:r>
      <w:r w:rsidRPr="00924A19">
        <w:rPr>
          <w:rFonts w:ascii="Book Antiqua" w:hAnsi="Book Antiqua" w:cs="SimSun"/>
          <w:lang w:val="en-US"/>
        </w:rPr>
        <w:t>: 223-235 [PMID: 10755999 DOI: 10.1128/CMR.13.2.223-235.2000]</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21 </w:t>
      </w:r>
      <w:r w:rsidRPr="00924A19">
        <w:rPr>
          <w:rFonts w:ascii="Book Antiqua" w:hAnsi="Book Antiqua" w:cs="SimSun"/>
          <w:b/>
          <w:bCs/>
          <w:lang w:val="en-US"/>
        </w:rPr>
        <w:t>Simmonds P</w:t>
      </w:r>
      <w:r w:rsidRPr="00924A19">
        <w:rPr>
          <w:rFonts w:ascii="Book Antiqua" w:hAnsi="Book Antiqua" w:cs="SimSun"/>
          <w:lang w:val="en-US"/>
        </w:rPr>
        <w:t>, Mellor J, Sakuldamrongpanich T, Nuchaprayoon C, Tanprasert S, Holmes EC, Smith DB. Evolutionary analysis of variants of hepatitis C virus found in South-East Asia: comparison with classifications based upon sequence similarity. </w:t>
      </w:r>
      <w:r w:rsidRPr="00924A19">
        <w:rPr>
          <w:rFonts w:ascii="Book Antiqua" w:hAnsi="Book Antiqua" w:cs="SimSun"/>
          <w:i/>
          <w:iCs/>
          <w:lang w:val="en-US"/>
        </w:rPr>
        <w:t>J Gen Virol</w:t>
      </w:r>
      <w:r w:rsidRPr="00924A19">
        <w:rPr>
          <w:rFonts w:ascii="Book Antiqua" w:hAnsi="Book Antiqua" w:cs="SimSun"/>
          <w:lang w:val="en-US"/>
        </w:rPr>
        <w:t> 1996; </w:t>
      </w:r>
      <w:r w:rsidRPr="00924A19">
        <w:rPr>
          <w:rFonts w:ascii="Book Antiqua" w:hAnsi="Book Antiqua" w:cs="SimSun"/>
          <w:b/>
          <w:bCs/>
          <w:lang w:val="en-US"/>
        </w:rPr>
        <w:t>77 (Pt 12)</w:t>
      </w:r>
      <w:r w:rsidRPr="00924A19">
        <w:rPr>
          <w:rFonts w:ascii="Book Antiqua" w:hAnsi="Book Antiqua" w:cs="SimSun"/>
          <w:lang w:val="en-US"/>
        </w:rPr>
        <w:t>: 3013-3024 [PMID: 9000092]</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22 </w:t>
      </w:r>
      <w:r w:rsidRPr="00924A19">
        <w:rPr>
          <w:rFonts w:ascii="Book Antiqua" w:hAnsi="Book Antiqua" w:cs="SimSun"/>
          <w:b/>
          <w:bCs/>
          <w:lang w:val="en-US"/>
        </w:rPr>
        <w:t>Furione M</w:t>
      </w:r>
      <w:r w:rsidRPr="00924A19">
        <w:rPr>
          <w:rFonts w:ascii="Book Antiqua" w:hAnsi="Book Antiqua" w:cs="SimSun"/>
          <w:lang w:val="en-US"/>
        </w:rPr>
        <w:t>, Simoncini L, Gatti M, Baldanti F, Grazia Revello M, Gerna G. HCV genotyping by three methods: analysis of discordant results based on sequencing. </w:t>
      </w:r>
      <w:r w:rsidRPr="00924A19">
        <w:rPr>
          <w:rFonts w:ascii="Book Antiqua" w:hAnsi="Book Antiqua" w:cs="SimSun"/>
          <w:i/>
          <w:iCs/>
          <w:lang w:val="en-US"/>
        </w:rPr>
        <w:t>J Clin Virol</w:t>
      </w:r>
      <w:r w:rsidRPr="00924A19">
        <w:rPr>
          <w:rFonts w:ascii="Book Antiqua" w:hAnsi="Book Antiqua" w:cs="SimSun"/>
          <w:lang w:val="en-US"/>
        </w:rPr>
        <w:t> 1999; </w:t>
      </w:r>
      <w:r w:rsidRPr="00924A19">
        <w:rPr>
          <w:rFonts w:ascii="Book Antiqua" w:hAnsi="Book Antiqua" w:cs="SimSun"/>
          <w:b/>
          <w:bCs/>
          <w:lang w:val="en-US"/>
        </w:rPr>
        <w:t>13</w:t>
      </w:r>
      <w:r w:rsidRPr="00924A19">
        <w:rPr>
          <w:rFonts w:ascii="Book Antiqua" w:hAnsi="Book Antiqua" w:cs="SimSun"/>
          <w:lang w:val="en-US"/>
        </w:rPr>
        <w:t>: 121-130 [PMID: 10443788 DOI: 10.1016/S1386-6532(99)00036-0]</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23 </w:t>
      </w:r>
      <w:r w:rsidRPr="00924A19">
        <w:rPr>
          <w:rFonts w:ascii="Book Antiqua" w:hAnsi="Book Antiqua" w:cs="SimSun"/>
          <w:b/>
          <w:bCs/>
          <w:lang w:val="en-US"/>
        </w:rPr>
        <w:t>Widell A</w:t>
      </w:r>
      <w:r w:rsidRPr="00924A19">
        <w:rPr>
          <w:rFonts w:ascii="Book Antiqua" w:hAnsi="Book Antiqua" w:cs="SimSun"/>
          <w:lang w:val="en-US"/>
        </w:rPr>
        <w:t>, Shev S, Månsson S, Zhang YY, Foberg U, Norkrans G, Frydén A, Weiland O, Kurkus J, Nordenfelt E. Genotyping of hepatitis C virus isolates by a modified polymerase chain reaction assay using type specific primers: epidemiological applications. </w:t>
      </w:r>
      <w:r w:rsidRPr="00924A19">
        <w:rPr>
          <w:rFonts w:ascii="Book Antiqua" w:hAnsi="Book Antiqua" w:cs="SimSun"/>
          <w:i/>
          <w:iCs/>
          <w:lang w:val="en-US"/>
        </w:rPr>
        <w:t>J Med Virol</w:t>
      </w:r>
      <w:r w:rsidRPr="00924A19">
        <w:rPr>
          <w:rFonts w:ascii="Book Antiqua" w:hAnsi="Book Antiqua" w:cs="SimSun"/>
          <w:lang w:val="en-US"/>
        </w:rPr>
        <w:t> 1994; </w:t>
      </w:r>
      <w:r w:rsidRPr="00924A19">
        <w:rPr>
          <w:rFonts w:ascii="Book Antiqua" w:hAnsi="Book Antiqua" w:cs="SimSun"/>
          <w:b/>
          <w:bCs/>
          <w:lang w:val="en-US"/>
        </w:rPr>
        <w:t>44</w:t>
      </w:r>
      <w:r w:rsidRPr="00924A19">
        <w:rPr>
          <w:rFonts w:ascii="Book Antiqua" w:hAnsi="Book Antiqua" w:cs="SimSun"/>
          <w:lang w:val="en-US"/>
        </w:rPr>
        <w:t>: 272-279 [PMID: 7531757 DOI: 10.1002/jmv.1890440311]</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24 </w:t>
      </w:r>
      <w:r w:rsidRPr="00924A19">
        <w:rPr>
          <w:rFonts w:ascii="Book Antiqua" w:hAnsi="Book Antiqua" w:cs="SimSun"/>
          <w:b/>
          <w:bCs/>
          <w:lang w:val="en-US"/>
        </w:rPr>
        <w:t>Comanor L</w:t>
      </w:r>
      <w:r w:rsidRPr="00924A19">
        <w:rPr>
          <w:rFonts w:ascii="Book Antiqua" w:hAnsi="Book Antiqua" w:cs="SimSun"/>
          <w:lang w:val="en-US"/>
        </w:rPr>
        <w:t xml:space="preserve">, Elkin C, Leung K, Krajden M, Kronquist K, Nicolas K, Horansky E, deMedina M, Kittichai P, Sablon E, Ziermann R, Sherlock C. Successful HCV genotyping of previously failed and low viral load specimens using an HCV RNA qualitative assay based on transcription-mediated amplification in conjunction </w:t>
      </w:r>
      <w:r w:rsidRPr="00924A19">
        <w:rPr>
          <w:rFonts w:ascii="Book Antiqua" w:hAnsi="Book Antiqua" w:cs="SimSun"/>
          <w:lang w:val="en-US"/>
        </w:rPr>
        <w:lastRenderedPageBreak/>
        <w:t>with the line probe assay. </w:t>
      </w:r>
      <w:r w:rsidRPr="00924A19">
        <w:rPr>
          <w:rFonts w:ascii="Book Antiqua" w:hAnsi="Book Antiqua" w:cs="SimSun"/>
          <w:i/>
          <w:iCs/>
          <w:lang w:val="en-US"/>
        </w:rPr>
        <w:t>J Clin Virol</w:t>
      </w:r>
      <w:r w:rsidRPr="00924A19">
        <w:rPr>
          <w:rFonts w:ascii="Book Antiqua" w:hAnsi="Book Antiqua" w:cs="SimSun"/>
          <w:lang w:val="en-US"/>
        </w:rPr>
        <w:t> 2003; </w:t>
      </w:r>
      <w:r w:rsidRPr="00924A19">
        <w:rPr>
          <w:rFonts w:ascii="Book Antiqua" w:hAnsi="Book Antiqua" w:cs="SimSun"/>
          <w:b/>
          <w:bCs/>
          <w:lang w:val="en-US"/>
        </w:rPr>
        <w:t>28</w:t>
      </w:r>
      <w:r w:rsidRPr="00924A19">
        <w:rPr>
          <w:rFonts w:ascii="Book Antiqua" w:hAnsi="Book Antiqua" w:cs="SimSun"/>
          <w:lang w:val="en-US"/>
        </w:rPr>
        <w:t>: 14-26 [PMID: 12927747 DOI: 10.1016/S1386-6532(02)00234-2]</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25 </w:t>
      </w:r>
      <w:r w:rsidRPr="00924A19">
        <w:rPr>
          <w:rFonts w:ascii="Book Antiqua" w:hAnsi="Book Antiqua" w:cs="SimSun"/>
          <w:b/>
          <w:bCs/>
          <w:lang w:val="en-US"/>
        </w:rPr>
        <w:t>Zheng X</w:t>
      </w:r>
      <w:r w:rsidRPr="00924A19">
        <w:rPr>
          <w:rFonts w:ascii="Book Antiqua" w:hAnsi="Book Antiqua" w:cs="SimSun"/>
          <w:lang w:val="en-US"/>
        </w:rPr>
        <w:t>, Pang M, Chan A, Roberto A, Warner D, Yen-Lieberman B. Direct comparison of hepatitis C virus genotypes tested by INNO-LiPA HCV II and TRUGENE HCV genotyping methods. </w:t>
      </w:r>
      <w:r w:rsidRPr="00924A19">
        <w:rPr>
          <w:rFonts w:ascii="Book Antiqua" w:hAnsi="Book Antiqua" w:cs="SimSun"/>
          <w:i/>
          <w:iCs/>
          <w:lang w:val="en-US"/>
        </w:rPr>
        <w:t>J Clin Virol</w:t>
      </w:r>
      <w:r w:rsidRPr="00924A19">
        <w:rPr>
          <w:rFonts w:ascii="Book Antiqua" w:hAnsi="Book Antiqua" w:cs="SimSun"/>
          <w:lang w:val="en-US"/>
        </w:rPr>
        <w:t> 2003; </w:t>
      </w:r>
      <w:r w:rsidRPr="00924A19">
        <w:rPr>
          <w:rFonts w:ascii="Book Antiqua" w:hAnsi="Book Antiqua" w:cs="SimSun"/>
          <w:b/>
          <w:bCs/>
          <w:lang w:val="en-US"/>
        </w:rPr>
        <w:t>28</w:t>
      </w:r>
      <w:r w:rsidRPr="00924A19">
        <w:rPr>
          <w:rFonts w:ascii="Book Antiqua" w:hAnsi="Book Antiqua" w:cs="SimSun"/>
          <w:lang w:val="en-US"/>
        </w:rPr>
        <w:t>: 214-216 [PMID: 12957191 DOI: 10.1016/S1386-6532(03)00076-3]</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26 </w:t>
      </w:r>
      <w:r w:rsidRPr="00924A19">
        <w:rPr>
          <w:rFonts w:ascii="Book Antiqua" w:hAnsi="Book Antiqua" w:cs="SimSun"/>
          <w:b/>
          <w:bCs/>
          <w:lang w:val="en-US"/>
        </w:rPr>
        <w:t>Smith DB</w:t>
      </w:r>
      <w:r w:rsidRPr="00924A19">
        <w:rPr>
          <w:rFonts w:ascii="Book Antiqua" w:hAnsi="Book Antiqua" w:cs="SimSun"/>
          <w:lang w:val="en-US"/>
        </w:rPr>
        <w:t>, Bukh J, Kuiken C, Muerhoff AS, Rice CM, Stapleton JT, Simmonds P. Expanded classification of hepatitis C virus into 7 genotypes and 67 subtypes: updated criteria and genotype assignment web resource. </w:t>
      </w:r>
      <w:r w:rsidRPr="00924A19">
        <w:rPr>
          <w:rFonts w:ascii="Book Antiqua" w:hAnsi="Book Antiqua" w:cs="SimSun"/>
          <w:i/>
          <w:iCs/>
          <w:lang w:val="en-US"/>
        </w:rPr>
        <w:t>Hepatology</w:t>
      </w:r>
      <w:r w:rsidRPr="00924A19">
        <w:rPr>
          <w:rFonts w:ascii="Book Antiqua" w:hAnsi="Book Antiqua" w:cs="SimSun"/>
          <w:lang w:val="en-US"/>
        </w:rPr>
        <w:t> 2014; </w:t>
      </w:r>
      <w:r w:rsidRPr="00924A19">
        <w:rPr>
          <w:rFonts w:ascii="Book Antiqua" w:hAnsi="Book Antiqua" w:cs="SimSun"/>
          <w:b/>
          <w:bCs/>
          <w:lang w:val="en-US"/>
        </w:rPr>
        <w:t>59</w:t>
      </w:r>
      <w:r w:rsidRPr="00924A19">
        <w:rPr>
          <w:rFonts w:ascii="Book Antiqua" w:hAnsi="Book Antiqua" w:cs="SimSun"/>
          <w:lang w:val="en-US"/>
        </w:rPr>
        <w:t>: 318-327 [PMID: 24115039 DOI: 10.1002/hep.26744]</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27 </w:t>
      </w:r>
      <w:r w:rsidRPr="00924A19">
        <w:rPr>
          <w:rFonts w:ascii="Book Antiqua" w:hAnsi="Book Antiqua" w:cs="SimSun"/>
          <w:b/>
          <w:bCs/>
          <w:lang w:val="en-US"/>
        </w:rPr>
        <w:t>Smith DB</w:t>
      </w:r>
      <w:r w:rsidRPr="00924A19">
        <w:rPr>
          <w:rFonts w:ascii="Book Antiqua" w:hAnsi="Book Antiqua" w:cs="SimSun"/>
          <w:lang w:val="en-US"/>
        </w:rPr>
        <w:t>, Pathirana S, Davidson F, Lawlor E, Power J, Yap PL, Simmonds P. The origin of hepatitis C virus genotypes. </w:t>
      </w:r>
      <w:r w:rsidRPr="00924A19">
        <w:rPr>
          <w:rFonts w:ascii="Book Antiqua" w:hAnsi="Book Antiqua" w:cs="SimSun"/>
          <w:i/>
          <w:iCs/>
          <w:lang w:val="en-US"/>
        </w:rPr>
        <w:t>J Gen Virol</w:t>
      </w:r>
      <w:r w:rsidRPr="00924A19">
        <w:rPr>
          <w:rFonts w:ascii="Book Antiqua" w:hAnsi="Book Antiqua" w:cs="SimSun"/>
          <w:lang w:val="en-US"/>
        </w:rPr>
        <w:t> 1997; </w:t>
      </w:r>
      <w:r w:rsidRPr="00924A19">
        <w:rPr>
          <w:rFonts w:ascii="Book Antiqua" w:hAnsi="Book Antiqua" w:cs="SimSun"/>
          <w:b/>
          <w:bCs/>
          <w:lang w:val="en-US"/>
        </w:rPr>
        <w:t>78 ( Pt 2)</w:t>
      </w:r>
      <w:r w:rsidRPr="00924A19">
        <w:rPr>
          <w:rFonts w:ascii="Book Antiqua" w:hAnsi="Book Antiqua" w:cs="SimSun"/>
          <w:lang w:val="en-US"/>
        </w:rPr>
        <w:t>: 321-328 [PMID: 9018053 DOI: 10.1099/0022-1317-78-2-321]</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28 </w:t>
      </w:r>
      <w:r w:rsidRPr="00924A19">
        <w:rPr>
          <w:rFonts w:ascii="Book Antiqua" w:hAnsi="Book Antiqua" w:cs="SimSun"/>
          <w:b/>
          <w:bCs/>
          <w:lang w:val="en-US"/>
        </w:rPr>
        <w:t>Pybus OG</w:t>
      </w:r>
      <w:r w:rsidRPr="00924A19">
        <w:rPr>
          <w:rFonts w:ascii="Book Antiqua" w:hAnsi="Book Antiqua" w:cs="SimSun"/>
          <w:lang w:val="en-US"/>
        </w:rPr>
        <w:t>, Cochrane A, Holmes EC, Simmonds P. The hepatitis C virus epidemic among injecting drug users. </w:t>
      </w:r>
      <w:r w:rsidRPr="00924A19">
        <w:rPr>
          <w:rFonts w:ascii="Book Antiqua" w:hAnsi="Book Antiqua" w:cs="SimSun"/>
          <w:i/>
          <w:iCs/>
          <w:lang w:val="en-US"/>
        </w:rPr>
        <w:t>Infect Genet Evol</w:t>
      </w:r>
      <w:r w:rsidRPr="00924A19">
        <w:rPr>
          <w:rFonts w:ascii="Book Antiqua" w:hAnsi="Book Antiqua" w:cs="SimSun"/>
          <w:lang w:val="en-US"/>
        </w:rPr>
        <w:t> 2005; </w:t>
      </w:r>
      <w:r w:rsidRPr="00924A19">
        <w:rPr>
          <w:rFonts w:ascii="Book Antiqua" w:hAnsi="Book Antiqua" w:cs="SimSun"/>
          <w:b/>
          <w:bCs/>
          <w:lang w:val="en-US"/>
        </w:rPr>
        <w:t>5</w:t>
      </w:r>
      <w:r w:rsidRPr="00924A19">
        <w:rPr>
          <w:rFonts w:ascii="Book Antiqua" w:hAnsi="Book Antiqua" w:cs="SimSun"/>
          <w:lang w:val="en-US"/>
        </w:rPr>
        <w:t>: 131-139 [PMID: 15639745 DOI: 10.1016/j.meegid.2004.08.001]</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29 </w:t>
      </w:r>
      <w:r w:rsidRPr="00924A19">
        <w:rPr>
          <w:rFonts w:ascii="Book Antiqua" w:hAnsi="Book Antiqua" w:cs="SimSun"/>
          <w:b/>
          <w:bCs/>
          <w:lang w:val="en-US"/>
        </w:rPr>
        <w:t>Magiorkinis G</w:t>
      </w:r>
      <w:r w:rsidRPr="00924A19">
        <w:rPr>
          <w:rFonts w:ascii="Book Antiqua" w:hAnsi="Book Antiqua" w:cs="SimSun"/>
          <w:lang w:val="en-US"/>
        </w:rPr>
        <w:t>, Magiorkinis E, Paraskevis D, Ho SY, Shapiro B, Pybus OG, Allain JP, Hatzakis A. The global spread of hepatitis C virus 1a and 1b: a phylodynamic and phylogeographic analysis. </w:t>
      </w:r>
      <w:r w:rsidRPr="00924A19">
        <w:rPr>
          <w:rFonts w:ascii="Book Antiqua" w:hAnsi="Book Antiqua" w:cs="SimSun"/>
          <w:i/>
          <w:iCs/>
          <w:lang w:val="en-US"/>
        </w:rPr>
        <w:t>PLoS Med</w:t>
      </w:r>
      <w:r w:rsidRPr="00924A19">
        <w:rPr>
          <w:rFonts w:ascii="Book Antiqua" w:hAnsi="Book Antiqua" w:cs="SimSun"/>
          <w:lang w:val="en-US"/>
        </w:rPr>
        <w:t> 2009; </w:t>
      </w:r>
      <w:r w:rsidRPr="00924A19">
        <w:rPr>
          <w:rFonts w:ascii="Book Antiqua" w:hAnsi="Book Antiqua" w:cs="SimSun"/>
          <w:b/>
          <w:bCs/>
          <w:lang w:val="en-US"/>
        </w:rPr>
        <w:t>6</w:t>
      </w:r>
      <w:r w:rsidRPr="00924A19">
        <w:rPr>
          <w:rFonts w:ascii="Book Antiqua" w:hAnsi="Book Antiqua" w:cs="SimSun"/>
          <w:lang w:val="en-US"/>
        </w:rPr>
        <w:t>: e1000198 [PMID: 20041120 DOI: 10.1371/journal.pmed.1000198]</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30 </w:t>
      </w:r>
      <w:r w:rsidRPr="00924A19">
        <w:rPr>
          <w:rFonts w:ascii="Book Antiqua" w:hAnsi="Book Antiqua" w:cs="SimSun"/>
          <w:b/>
          <w:bCs/>
          <w:lang w:val="en-US"/>
        </w:rPr>
        <w:t>Simmonds P</w:t>
      </w:r>
      <w:r w:rsidRPr="00924A19">
        <w:rPr>
          <w:rFonts w:ascii="Book Antiqua" w:hAnsi="Book Antiqua" w:cs="SimSun"/>
          <w:lang w:val="en-US"/>
        </w:rPr>
        <w:t>.</w:t>
      </w:r>
      <w:r w:rsidR="005C2CE7">
        <w:rPr>
          <w:rFonts w:ascii="Book Antiqua" w:hAnsi="Book Antiqua" w:cs="SimSun" w:hint="eastAsia"/>
          <w:lang w:val="en-US"/>
        </w:rPr>
        <w:t xml:space="preserve"> </w:t>
      </w:r>
      <w:r w:rsidRPr="00924A19">
        <w:rPr>
          <w:rFonts w:ascii="Book Antiqua" w:hAnsi="Book Antiqua" w:cs="SimSun"/>
          <w:lang w:val="en-US"/>
        </w:rPr>
        <w:t>The origin and evolution of hepatitis viruses in humans. </w:t>
      </w:r>
      <w:r w:rsidRPr="00924A19">
        <w:rPr>
          <w:rFonts w:ascii="Book Antiqua" w:hAnsi="Book Antiqua" w:cs="SimSun"/>
          <w:i/>
          <w:iCs/>
          <w:lang w:val="en-US"/>
        </w:rPr>
        <w:t>J Gen Virol</w:t>
      </w:r>
      <w:r w:rsidRPr="00924A19">
        <w:rPr>
          <w:rFonts w:ascii="Book Antiqua" w:hAnsi="Book Antiqua" w:cs="SimSun"/>
          <w:lang w:val="en-US"/>
        </w:rPr>
        <w:t> 2001; </w:t>
      </w:r>
      <w:r w:rsidRPr="00924A19">
        <w:rPr>
          <w:rFonts w:ascii="Book Antiqua" w:hAnsi="Book Antiqua" w:cs="SimSun"/>
          <w:b/>
          <w:bCs/>
          <w:lang w:val="en-US"/>
        </w:rPr>
        <w:t>82</w:t>
      </w:r>
      <w:r w:rsidRPr="00924A19">
        <w:rPr>
          <w:rFonts w:ascii="Book Antiqua" w:hAnsi="Book Antiqua" w:cs="SimSun"/>
          <w:lang w:val="en-US"/>
        </w:rPr>
        <w:t>: 693-712 [PMID: 11257174DOI: 10.1099/0022-1317-82-4-693]</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31 </w:t>
      </w:r>
      <w:r w:rsidRPr="00924A19">
        <w:rPr>
          <w:rFonts w:ascii="Book Antiqua" w:hAnsi="Book Antiqua" w:cs="SimSun"/>
          <w:b/>
          <w:bCs/>
          <w:lang w:val="en-US"/>
        </w:rPr>
        <w:t>Pybus OG</w:t>
      </w:r>
      <w:r w:rsidRPr="00924A19">
        <w:rPr>
          <w:rFonts w:ascii="Book Antiqua" w:hAnsi="Book Antiqua" w:cs="SimSun"/>
          <w:lang w:val="en-US"/>
        </w:rPr>
        <w:t>, Barnes E, Taggart R, Lemey P, Markov PV, Rasachak B, Syhavong B, Phetsouvanah R, Sheridan I, Humphreys IS, Lu L, Newton PN, Klenerman P. Genetic history of hepatitis C virus in East Asia. </w:t>
      </w:r>
      <w:r w:rsidRPr="00924A19">
        <w:rPr>
          <w:rFonts w:ascii="Book Antiqua" w:hAnsi="Book Antiqua" w:cs="SimSun"/>
          <w:i/>
          <w:iCs/>
          <w:lang w:val="en-US"/>
        </w:rPr>
        <w:t>J Virol</w:t>
      </w:r>
      <w:r w:rsidRPr="00924A19">
        <w:rPr>
          <w:rFonts w:ascii="Book Antiqua" w:hAnsi="Book Antiqua" w:cs="SimSun"/>
          <w:lang w:val="en-US"/>
        </w:rPr>
        <w:t> 2009; </w:t>
      </w:r>
      <w:r w:rsidRPr="00924A19">
        <w:rPr>
          <w:rFonts w:ascii="Book Antiqua" w:hAnsi="Book Antiqua" w:cs="SimSun"/>
          <w:b/>
          <w:bCs/>
          <w:lang w:val="en-US"/>
        </w:rPr>
        <w:t>83</w:t>
      </w:r>
      <w:r w:rsidRPr="00924A19">
        <w:rPr>
          <w:rFonts w:ascii="Book Antiqua" w:hAnsi="Book Antiqua" w:cs="SimSun"/>
          <w:lang w:val="en-US"/>
        </w:rPr>
        <w:t>: 1071-1082 [PMID: 18971279 DOI: 10.1128/JVI.01501-08]</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lastRenderedPageBreak/>
        <w:t>32 </w:t>
      </w:r>
      <w:r w:rsidRPr="00924A19">
        <w:rPr>
          <w:rFonts w:ascii="Book Antiqua" w:hAnsi="Book Antiqua" w:cs="SimSun"/>
          <w:b/>
          <w:bCs/>
          <w:lang w:val="en-US"/>
        </w:rPr>
        <w:t>Murphy DG</w:t>
      </w:r>
      <w:r w:rsidRPr="00924A19">
        <w:rPr>
          <w:rFonts w:ascii="Book Antiqua" w:hAnsi="Book Antiqua" w:cs="SimSun"/>
          <w:lang w:val="en-US"/>
        </w:rPr>
        <w:t>, Willems B, Deschênes M, Hilzenrat N, Mousseau R, Sabbah S. Use of sequence analysis of the NS5B region for routine genotyping of hepatitis C virus with reference to C/E1 and 5' untranslated region sequences. </w:t>
      </w:r>
      <w:r w:rsidRPr="00924A19">
        <w:rPr>
          <w:rFonts w:ascii="Book Antiqua" w:hAnsi="Book Antiqua" w:cs="SimSun"/>
          <w:i/>
          <w:iCs/>
          <w:lang w:val="en-US"/>
        </w:rPr>
        <w:t>J Clin Microbiol</w:t>
      </w:r>
      <w:r w:rsidRPr="00924A19">
        <w:rPr>
          <w:rFonts w:ascii="Book Antiqua" w:hAnsi="Book Antiqua" w:cs="SimSun"/>
          <w:lang w:val="en-US"/>
        </w:rPr>
        <w:t> 2007; </w:t>
      </w:r>
      <w:r w:rsidRPr="00924A19">
        <w:rPr>
          <w:rFonts w:ascii="Book Antiqua" w:hAnsi="Book Antiqua" w:cs="SimSun"/>
          <w:b/>
          <w:bCs/>
          <w:lang w:val="en-US"/>
        </w:rPr>
        <w:t>45</w:t>
      </w:r>
      <w:r w:rsidRPr="00924A19">
        <w:rPr>
          <w:rFonts w:ascii="Book Antiqua" w:hAnsi="Book Antiqua" w:cs="SimSun"/>
          <w:lang w:val="en-US"/>
        </w:rPr>
        <w:t>: 1102-1112 [PMID: 17287328DOI: 10.1128/JCM.02366-06]</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33 </w:t>
      </w:r>
      <w:r w:rsidRPr="00924A19">
        <w:rPr>
          <w:rFonts w:ascii="Book Antiqua" w:hAnsi="Book Antiqua" w:cs="SimSun"/>
          <w:b/>
          <w:bCs/>
          <w:lang w:val="en-US"/>
        </w:rPr>
        <w:t>Markov PV</w:t>
      </w:r>
      <w:r w:rsidRPr="00924A19">
        <w:rPr>
          <w:rFonts w:ascii="Book Antiqua" w:hAnsi="Book Antiqua" w:cs="SimSun"/>
          <w:lang w:val="en-US"/>
        </w:rPr>
        <w:t>, van de Laar TJ, Thomas XV, Aronson SJ, Weegink CJ, van den Berk GE, Prins M, Pybus OG, Schinkel J. Colonial history and contemporary transmission shape the genetic diversity of hepatitis C virus genotype 2 in Amsterdam. </w:t>
      </w:r>
      <w:r w:rsidRPr="00924A19">
        <w:rPr>
          <w:rFonts w:ascii="Book Antiqua" w:hAnsi="Book Antiqua" w:cs="SimSun"/>
          <w:i/>
          <w:iCs/>
          <w:lang w:val="en-US"/>
        </w:rPr>
        <w:t>J Virol</w:t>
      </w:r>
      <w:r w:rsidRPr="00924A19">
        <w:rPr>
          <w:rFonts w:ascii="Book Antiqua" w:hAnsi="Book Antiqua" w:cs="SimSun"/>
          <w:lang w:val="en-US"/>
        </w:rPr>
        <w:t> 2012; </w:t>
      </w:r>
      <w:r w:rsidRPr="00924A19">
        <w:rPr>
          <w:rFonts w:ascii="Book Antiqua" w:hAnsi="Book Antiqua" w:cs="SimSun"/>
          <w:b/>
          <w:bCs/>
          <w:lang w:val="en-US"/>
        </w:rPr>
        <w:t>86</w:t>
      </w:r>
      <w:r w:rsidRPr="00924A19">
        <w:rPr>
          <w:rFonts w:ascii="Book Antiqua" w:hAnsi="Book Antiqua" w:cs="SimSun"/>
          <w:lang w:val="en-US"/>
        </w:rPr>
        <w:t>: 7677-7687 [PMID: 22573865 DOI: 10.1128/JVI.06910-11]</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 xml:space="preserve">34 </w:t>
      </w:r>
      <w:r w:rsidRPr="00924A19">
        <w:rPr>
          <w:rFonts w:ascii="Book Antiqua" w:hAnsi="Book Antiqua" w:cs="SimSun"/>
          <w:b/>
          <w:lang w:val="en-US"/>
        </w:rPr>
        <w:t>Institute for Health Metrics and Evaluation</w:t>
      </w:r>
      <w:r w:rsidRPr="00924A19">
        <w:rPr>
          <w:rFonts w:ascii="Book Antiqua" w:hAnsi="Book Antiqua" w:cs="SimSun"/>
          <w:lang w:val="en-US"/>
        </w:rPr>
        <w:t>. GBD 2010 common questions. Seattle, WA: Institute for Health Metrics and Evaluation; 2013[DOI: 10.1016/S2214-109X(15)00069-8]</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 xml:space="preserve">35 </w:t>
      </w:r>
      <w:r w:rsidRPr="00924A19">
        <w:rPr>
          <w:rFonts w:ascii="Book Antiqua" w:hAnsi="Book Antiqua" w:cs="SimSun"/>
          <w:b/>
          <w:lang w:val="en-US"/>
        </w:rPr>
        <w:t>Institute for Health Metrics and Evaluation.</w:t>
      </w:r>
      <w:r w:rsidRPr="00924A19">
        <w:rPr>
          <w:rFonts w:ascii="Book Antiqua" w:hAnsi="Book Antiqua" w:cs="SimSun"/>
          <w:lang w:val="en-US"/>
        </w:rPr>
        <w:t>GBD 2013 protocol. Seattle, Washington: Institute for health Metrics and Evaluation; 2014[DOI: 10.1001/jamadermatol.2014.709]</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36</w:t>
      </w:r>
      <w:r w:rsidRPr="00924A19">
        <w:rPr>
          <w:rFonts w:ascii="Book Antiqua" w:hAnsi="Book Antiqua" w:cs="SimSun"/>
          <w:b/>
          <w:lang w:val="en-US"/>
        </w:rPr>
        <w:t>GBD 2005 Study.</w:t>
      </w:r>
      <w:r w:rsidRPr="00924A19">
        <w:rPr>
          <w:rFonts w:ascii="Book Antiqua" w:hAnsi="Book Antiqua" w:cs="SimSun"/>
          <w:lang w:val="en-US"/>
        </w:rPr>
        <w:t xml:space="preserve"> Global burden of diseases, injuries and risk factors study operations manual (final draft, January 2009). Accessed 2010-12-05 Available from:http://www.globalburden.org</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37 </w:t>
      </w:r>
      <w:r w:rsidRPr="00924A19">
        <w:rPr>
          <w:rFonts w:ascii="Book Antiqua" w:hAnsi="Book Antiqua" w:cs="SimSun"/>
          <w:b/>
          <w:bCs/>
          <w:lang w:val="en-US"/>
        </w:rPr>
        <w:t>Abdel-Hamid M</w:t>
      </w:r>
      <w:r w:rsidRPr="00924A19">
        <w:rPr>
          <w:rFonts w:ascii="Book Antiqua" w:hAnsi="Book Antiqua" w:cs="SimSun"/>
          <w:lang w:val="en-US"/>
        </w:rPr>
        <w:t>, El-Daly M, El-Kafrawy S, Mikhail N, Strickland GT, Fix AD. Comparison of second- and third-generation enzyme immunoassays for detecting antibodies to hepatitis C virus. </w:t>
      </w:r>
      <w:r w:rsidRPr="00924A19">
        <w:rPr>
          <w:rFonts w:ascii="Book Antiqua" w:hAnsi="Book Antiqua" w:cs="SimSun"/>
          <w:i/>
          <w:iCs/>
          <w:lang w:val="en-US"/>
        </w:rPr>
        <w:t>J Clin Microbiol</w:t>
      </w:r>
      <w:r w:rsidRPr="00924A19">
        <w:rPr>
          <w:rFonts w:ascii="Book Antiqua" w:hAnsi="Book Antiqua" w:cs="SimSun"/>
          <w:lang w:val="en-US"/>
        </w:rPr>
        <w:t> 2002; </w:t>
      </w:r>
      <w:r w:rsidRPr="00924A19">
        <w:rPr>
          <w:rFonts w:ascii="Book Antiqua" w:hAnsi="Book Antiqua" w:cs="SimSun"/>
          <w:b/>
          <w:bCs/>
          <w:lang w:val="en-US"/>
        </w:rPr>
        <w:t>40</w:t>
      </w:r>
      <w:r w:rsidRPr="00924A19">
        <w:rPr>
          <w:rFonts w:ascii="Book Antiqua" w:hAnsi="Book Antiqua" w:cs="SimSun"/>
          <w:lang w:val="en-US"/>
        </w:rPr>
        <w:t>: 1656-1659 [PMID: 11980937DOI: 10.1128/JCM.40.5.1656-1659.2002]</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38 </w:t>
      </w:r>
      <w:r w:rsidRPr="00924A19">
        <w:rPr>
          <w:rFonts w:ascii="Book Antiqua" w:hAnsi="Book Antiqua" w:cs="SimSun"/>
          <w:b/>
          <w:bCs/>
          <w:lang w:val="en-US"/>
        </w:rPr>
        <w:t>Kershenobich D</w:t>
      </w:r>
      <w:r w:rsidRPr="00924A19">
        <w:rPr>
          <w:rFonts w:ascii="Book Antiqua" w:hAnsi="Book Antiqua" w:cs="SimSun"/>
          <w:lang w:val="en-US"/>
        </w:rPr>
        <w:t>, Razavi HA, Cooper CL, Alberti A, Dusheiko GM, Pol S, Zuckerman E, Koike K, Han KH, Wallace CM, Zeuzem S, Negro F. Applying a system approach to forecast the total hepatitis C virus-infected population size: model validation using US data. </w:t>
      </w:r>
      <w:r w:rsidRPr="00924A19">
        <w:rPr>
          <w:rFonts w:ascii="Book Antiqua" w:hAnsi="Book Antiqua" w:cs="SimSun"/>
          <w:i/>
          <w:iCs/>
          <w:lang w:val="en-US"/>
        </w:rPr>
        <w:t>Liver Int</w:t>
      </w:r>
      <w:r w:rsidRPr="00924A19">
        <w:rPr>
          <w:rFonts w:ascii="Book Antiqua" w:hAnsi="Book Antiqua" w:cs="SimSun"/>
          <w:lang w:val="en-US"/>
        </w:rPr>
        <w:t> 2011; </w:t>
      </w:r>
      <w:r w:rsidRPr="00924A19">
        <w:rPr>
          <w:rFonts w:ascii="Book Antiqua" w:hAnsi="Book Antiqua" w:cs="SimSun"/>
          <w:b/>
          <w:bCs/>
          <w:lang w:val="en-US"/>
        </w:rPr>
        <w:t>31 Suppl 2</w:t>
      </w:r>
      <w:r w:rsidRPr="00924A19">
        <w:rPr>
          <w:rFonts w:ascii="Book Antiqua" w:hAnsi="Book Antiqua" w:cs="SimSun"/>
          <w:lang w:val="en-US"/>
        </w:rPr>
        <w:t>: 4-17 [PMID: 21651700 DOI: 10.1111/j.1478-3231.2011.02535.x]</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lastRenderedPageBreak/>
        <w:t>39 </w:t>
      </w:r>
      <w:r w:rsidRPr="00924A19">
        <w:rPr>
          <w:rFonts w:ascii="Book Antiqua" w:hAnsi="Book Antiqua" w:cs="SimSun"/>
          <w:b/>
          <w:bCs/>
          <w:lang w:val="en-US"/>
        </w:rPr>
        <w:t>Lozano R</w:t>
      </w:r>
      <w:r w:rsidRPr="00924A19">
        <w:rPr>
          <w:rFonts w:ascii="Book Antiqua" w:hAnsi="Book Antiqua" w:cs="SimSun"/>
          <w:lang w:val="en-US"/>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t>
      </w:r>
      <w:r w:rsidRPr="00924A19">
        <w:rPr>
          <w:rFonts w:ascii="Book Antiqua" w:hAnsi="Book Antiqua" w:cs="SimSun"/>
          <w:lang w:val="en-US"/>
        </w:rPr>
        <w:lastRenderedPageBreak/>
        <w:t>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924A19">
        <w:rPr>
          <w:rFonts w:ascii="Book Antiqua" w:hAnsi="Book Antiqua" w:cs="SimSun"/>
          <w:i/>
          <w:iCs/>
          <w:lang w:val="en-US"/>
        </w:rPr>
        <w:t>Lancet</w:t>
      </w:r>
      <w:r w:rsidRPr="00924A19">
        <w:rPr>
          <w:rFonts w:ascii="Book Antiqua" w:hAnsi="Book Antiqua" w:cs="SimSun"/>
          <w:lang w:val="en-US"/>
        </w:rPr>
        <w:t> 2012; </w:t>
      </w:r>
      <w:r w:rsidRPr="00924A19">
        <w:rPr>
          <w:rFonts w:ascii="Book Antiqua" w:hAnsi="Book Antiqua" w:cs="SimSun"/>
          <w:b/>
          <w:bCs/>
          <w:lang w:val="en-US"/>
        </w:rPr>
        <w:t>380</w:t>
      </w:r>
      <w:r w:rsidRPr="00924A19">
        <w:rPr>
          <w:rFonts w:ascii="Book Antiqua" w:hAnsi="Book Antiqua" w:cs="SimSun"/>
          <w:lang w:val="en-US"/>
        </w:rPr>
        <w:t>: 2095-2128 [PMID: 23245604 DOI: doi.org/10.1016/S0140-6736(12)61728-0]</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40 </w:t>
      </w:r>
      <w:r w:rsidRPr="00924A19">
        <w:rPr>
          <w:rFonts w:ascii="Book Antiqua" w:hAnsi="Book Antiqua" w:cs="SimSun"/>
          <w:b/>
          <w:bCs/>
          <w:lang w:val="en-US"/>
        </w:rPr>
        <w:t>Deuffic-Burban S</w:t>
      </w:r>
      <w:r w:rsidRPr="00924A19">
        <w:rPr>
          <w:rFonts w:ascii="Book Antiqua" w:hAnsi="Book Antiqua" w:cs="SimSun"/>
          <w:lang w:val="en-US"/>
        </w:rPr>
        <w:t>, Deltenre P, Buti M, Stroffolini T, Parkes J, Mühlberger N, Siebert U, Moreno C, Hatzakis A, Rosenberg W, Zeuzem S, Mathurin P. Predicted effects of treatment for HCV infection vary among European countries. </w:t>
      </w:r>
      <w:r w:rsidRPr="00924A19">
        <w:rPr>
          <w:rFonts w:ascii="Book Antiqua" w:hAnsi="Book Antiqua" w:cs="SimSun"/>
          <w:i/>
          <w:iCs/>
          <w:lang w:val="en-US"/>
        </w:rPr>
        <w:t>Gastroenterology</w:t>
      </w:r>
      <w:r w:rsidRPr="00924A19">
        <w:rPr>
          <w:rFonts w:ascii="Book Antiqua" w:hAnsi="Book Antiqua" w:cs="SimSun"/>
          <w:lang w:val="en-US"/>
        </w:rPr>
        <w:t> 2012; </w:t>
      </w:r>
      <w:r w:rsidRPr="00924A19">
        <w:rPr>
          <w:rFonts w:ascii="Book Antiqua" w:hAnsi="Book Antiqua" w:cs="SimSun"/>
          <w:b/>
          <w:bCs/>
          <w:lang w:val="en-US"/>
        </w:rPr>
        <w:t>143</w:t>
      </w:r>
      <w:r w:rsidRPr="00924A19">
        <w:rPr>
          <w:rFonts w:ascii="Book Antiqua" w:hAnsi="Book Antiqua" w:cs="SimSun"/>
          <w:lang w:val="en-US"/>
        </w:rPr>
        <w:t>: 974-85.e14 [PMID: 22863764 DOI: 10.1053/j.gastro.2012.05.054]</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41 </w:t>
      </w:r>
      <w:r w:rsidRPr="00924A19">
        <w:rPr>
          <w:rFonts w:ascii="Book Antiqua" w:hAnsi="Book Antiqua" w:cs="SimSun"/>
          <w:b/>
          <w:bCs/>
          <w:lang w:val="en-US"/>
        </w:rPr>
        <w:t>Razavi H</w:t>
      </w:r>
      <w:r w:rsidRPr="00924A19">
        <w:rPr>
          <w:rFonts w:ascii="Book Antiqua" w:hAnsi="Book Antiqua" w:cs="SimSun"/>
          <w:lang w:val="en-US"/>
        </w:rPr>
        <w:t>, Waked I, Sarrazin C, Myers RP, Idilman R, Calinas F, Vogel W, Mendes Correa MC, Hézode C, Lázaro P, Akarca U, Aleman S, Bal</w:t>
      </w:r>
      <w:r w:rsidRPr="00924A19">
        <w:rPr>
          <w:rFonts w:ascii="Book Antiqua" w:eastAsia="MS Mincho" w:hAnsi="Book Antiqua" w:cs="MS Mincho"/>
          <w:lang w:val="en-US"/>
        </w:rPr>
        <w:t>ı</w:t>
      </w:r>
      <w:r w:rsidRPr="00924A19">
        <w:rPr>
          <w:rFonts w:ascii="Book Antiqua" w:hAnsi="Book Antiqua" w:cs="SimSun"/>
          <w:lang w:val="en-US"/>
        </w:rPr>
        <w:t xml:space="preserve">k I, Berg T, Bihl F, Bilodeau M, Blasco AJ, Brandão Mello CE, Bruggmann P, Buti M, Calleja JL, Cheinquer H, Christensen PB, Clausen M, Coelho HS, Cramp ME, Dore GJ, Doss W, Duberg AS, El-Sayed MH, Ergör G, Esmat G, Falconer K, Félix J, Ferraz ML, Ferreira PR, Frankova S, García-Samaniego J, Gerstoft J, Giria JA, Gonçales FL, Gower E, Gschwantler M, Guimarães Pessôa M, Hindman SJ, Hofer H, Husa P, Kåberg M, Kaita KD, Kautz A, Kaymakoglu S, Krajden M, Krarup H, Laleman W, Lavanchy D, Marinho RT, Marotta P, Mauss S, Moreno C, Murphy K, Negro F, Nemecek V, Örmeci N, Øvrehus AL, Parkes J, Pasini K, Peltekian KM, Ramji A, Reis N, Roberts SK, Rosenberg WM, Roudot-Thoraval F, Ryder SD, Sarmento-Castro R, Semela D, Sherman M, Shiha GE, Sievert W, Sperl J, Stärkel P, Stauber RE, Thompson AJ, Urbanek P, Van Damme P, van Thiel I, Van Vlierberghe H, Vandijck D, Wedemeyer H, Weis N, Wiegand J, Yosry A, Zekry A, Cornberg M, Müllhaupt B, Estes C. The present and future disease burden of hepatitis C virus </w:t>
      </w:r>
      <w:r w:rsidRPr="00924A19">
        <w:rPr>
          <w:rFonts w:ascii="Book Antiqua" w:hAnsi="Book Antiqua" w:cs="SimSun"/>
          <w:lang w:val="en-US"/>
        </w:rPr>
        <w:lastRenderedPageBreak/>
        <w:t>(HCV) infection with today's treatment paradigm. </w:t>
      </w:r>
      <w:r w:rsidRPr="00924A19">
        <w:rPr>
          <w:rFonts w:ascii="Book Antiqua" w:hAnsi="Book Antiqua" w:cs="SimSun"/>
          <w:i/>
          <w:iCs/>
          <w:lang w:val="en-US"/>
        </w:rPr>
        <w:t>J Viral Hepat</w:t>
      </w:r>
      <w:r w:rsidRPr="00924A19">
        <w:rPr>
          <w:rFonts w:ascii="Book Antiqua" w:hAnsi="Book Antiqua" w:cs="SimSun"/>
          <w:lang w:val="en-US"/>
        </w:rPr>
        <w:t>2014; </w:t>
      </w:r>
      <w:r w:rsidRPr="00924A19">
        <w:rPr>
          <w:rFonts w:ascii="Book Antiqua" w:hAnsi="Book Antiqua" w:cs="SimSun"/>
          <w:b/>
          <w:bCs/>
          <w:lang w:val="en-US"/>
        </w:rPr>
        <w:t>21 Suppl 1</w:t>
      </w:r>
      <w:r w:rsidRPr="00924A19">
        <w:rPr>
          <w:rFonts w:ascii="Book Antiqua" w:hAnsi="Book Antiqua" w:cs="SimSun"/>
          <w:lang w:val="en-US"/>
        </w:rPr>
        <w:t>: 34-59 [PMID: 24713005 DOI: 10.1111/jvh.12248]</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42 </w:t>
      </w:r>
      <w:r w:rsidRPr="00924A19">
        <w:rPr>
          <w:rFonts w:ascii="Book Antiqua" w:hAnsi="Book Antiqua" w:cs="SimSun"/>
          <w:b/>
          <w:bCs/>
          <w:lang w:val="en-US"/>
        </w:rPr>
        <w:t>Gane E</w:t>
      </w:r>
      <w:r w:rsidRPr="00924A19">
        <w:rPr>
          <w:rFonts w:ascii="Book Antiqua" w:hAnsi="Book Antiqua" w:cs="SimSun"/>
          <w:lang w:val="en-US"/>
        </w:rPr>
        <w:t>, Kershenobich D, Seguin-Devaux C, Kristian P, Aho I, Dalgard O, Shestakova I, Nymadawa P, Blach S, Acharya S, Anand AC, Andersson MI, Arendt V, Arkkila P, Baatarkhuu O, Barclay K, Ben-Ari Z, Bergin C, Bessone F, Blokhina N, Brunton CR, Choudhuri G, Chulanov V, Cisneros L, Croes EA, Dahgwahdorj YA, Daruich JR, Dashdorj NR, Davaadorj D, de Knegt RJ, de Vree M, Gadano AC, Gower E, Halota W, Hatzakis A, Henderson C, Hoffmann P, Hornell J, Houlihan D, Hrusovsky S, Jar</w:t>
      </w:r>
      <w:r w:rsidRPr="00924A19">
        <w:rPr>
          <w:rFonts w:ascii="Book Antiqua" w:eastAsia="MS Mincho" w:hAnsi="Book Antiqua" w:cs="MS Mincho"/>
          <w:lang w:val="en-US"/>
        </w:rPr>
        <w:t>č</w:t>
      </w:r>
      <w:r w:rsidRPr="00924A19">
        <w:rPr>
          <w:rFonts w:ascii="Book Antiqua" w:hAnsi="Book Antiqua" w:cs="SimSun"/>
          <w:lang w:val="en-US"/>
        </w:rPr>
        <w:t>uška P, Kostrzewska K, Leshno M, Lurie Y, Mahomed A, Mamonova N, Mendez-Sanchez N, Mossong J, Norris S, Nurmukhametova E, Oltman M, Oyunbileg J, Oyunsuren Ts, Papatheodoridis G, Pimenov N, Prins M, Puri P, Radke S, Rakhmanova A, Razavi H, Razavi-Shearer K, Reesink HW, Ridruejo E, Safadi R, Sagalova O, Sanchez Avila JF, Sanduijav R, Saraswat V, Schréter I, Shah SR, Shevaldin A, Shibolet O, Silva MO, Sokolov S, Sonderup M, Souliotis K, Spearman CW, Staub T, Stedman C, Strebkova EA, Struck D, Sypsa V, Tomasiewicz K, Undram L, van der Meer AJ, van Santen D, Veldhuijzen I, Villamil FG, Willemse S, Zuckerman E, Zuure FR, Prabdial-Sing N, Flisiak R, Estes C. Strategies to manage hepatitis C virus (HCV) infection disease burden - volume 2. </w:t>
      </w:r>
      <w:r w:rsidRPr="00924A19">
        <w:rPr>
          <w:rFonts w:ascii="Book Antiqua" w:hAnsi="Book Antiqua" w:cs="SimSun"/>
          <w:i/>
          <w:iCs/>
          <w:lang w:val="en-US"/>
        </w:rPr>
        <w:t>J Viral Hepat</w:t>
      </w:r>
      <w:r w:rsidRPr="00924A19">
        <w:rPr>
          <w:rFonts w:ascii="Book Antiqua" w:hAnsi="Book Antiqua" w:cs="SimSun"/>
          <w:lang w:val="en-US"/>
        </w:rPr>
        <w:t> 2015; </w:t>
      </w:r>
      <w:r w:rsidRPr="00924A19">
        <w:rPr>
          <w:rFonts w:ascii="Book Antiqua" w:hAnsi="Book Antiqua" w:cs="SimSun"/>
          <w:b/>
          <w:bCs/>
          <w:lang w:val="en-US"/>
        </w:rPr>
        <w:t>22 Suppl 1</w:t>
      </w:r>
      <w:r w:rsidRPr="00924A19">
        <w:rPr>
          <w:rFonts w:ascii="Book Antiqua" w:hAnsi="Book Antiqua" w:cs="SimSun"/>
          <w:lang w:val="en-US"/>
        </w:rPr>
        <w:t>: 46-73 [PMID: 25560841 DOI: 10.1111/jvh.12352]</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43 </w:t>
      </w:r>
      <w:r w:rsidRPr="00924A19">
        <w:rPr>
          <w:rFonts w:ascii="Book Antiqua" w:hAnsi="Book Antiqua" w:cs="SimSun"/>
          <w:b/>
          <w:bCs/>
          <w:lang w:val="en-US"/>
        </w:rPr>
        <w:t>Hatzakis A</w:t>
      </w:r>
      <w:r w:rsidRPr="00924A19">
        <w:rPr>
          <w:rFonts w:ascii="Book Antiqua" w:hAnsi="Book Antiqua" w:cs="SimSun"/>
          <w:lang w:val="en-US"/>
        </w:rPr>
        <w:t>, Chulanov V, Gadano AC, Bergin C, Ben-Ari Z, Mossong J, Schréter I, Baatarkhuu O, Acharya S, Aho I, Anand AC, Andersson MI, Arendt V, Arkkila P, Barclay K, Bessone F, Blach S, Blokhina N, Brunton CR, Choudhuri G, Cisneros L, Croes EA, Dahgwahdorj YA, Dalgard O, Daruich JR, Dashdorj NR, Davaadorj D, de Knegt RJ, de Vree M, Estes C, Flisiak R, Gane E, Gower E, Halota W, Henderson C, Hoffmann P, Hornell J, Houlihan D, Hrusovsky S, Jar</w:t>
      </w:r>
      <w:r w:rsidRPr="00924A19">
        <w:rPr>
          <w:rFonts w:ascii="Book Antiqua" w:eastAsia="MS Mincho" w:hAnsi="Book Antiqua" w:cs="MS Mincho"/>
          <w:lang w:val="en-US"/>
        </w:rPr>
        <w:t>č</w:t>
      </w:r>
      <w:r w:rsidRPr="00924A19">
        <w:rPr>
          <w:rFonts w:ascii="Book Antiqua" w:hAnsi="Book Antiqua" w:cs="SimSun"/>
          <w:lang w:val="en-US"/>
        </w:rPr>
        <w:t xml:space="preserve">uška P, Kershenobich D, Kostrzewska K, Kristian P, Leshno M, Lurie Y, Mahomed A, </w:t>
      </w:r>
      <w:r w:rsidRPr="00924A19">
        <w:rPr>
          <w:rFonts w:ascii="Book Antiqua" w:hAnsi="Book Antiqua" w:cs="SimSun"/>
          <w:lang w:val="en-US"/>
        </w:rPr>
        <w:lastRenderedPageBreak/>
        <w:t>Mamonova N, Mendez-Sanchez N, Norris S, Nurmukhametova E, Nymadawa P, Oltman M, Oyunbileg J, Oyunsuren Ts, Papatheodoridis G, Pimenov N, Prabdial-Sing N, Prins M, Radke S, Rakhmanova A, Razavi-Shearer K, Reesink HW, Ridruejo E, Safadi R, Sagalova O, Sanchez Avila JF, Sanduijav R, Saraswat V, Seguin-Devaux C, Shah SR, Shestakova I, Shevaldin A, Shibolet O, Silva MO, Sokolov S, Sonderup M, Souliotis K, Spearman CW, Staub T, Stedman C, Strebkova EA, Struck D, Sypsa V, Tomasiewicz K, Undram L, van der Meer AJ, van Santen D, Veldhuijzen I, Villamil FG, Willemse S, Zuckerman E, Zuure FR, Puri P, Razavi H. The present and future disease burden of hepatitis C virus (HCV) infections with today's treatment paradigm - volume 2. </w:t>
      </w:r>
      <w:r w:rsidRPr="00924A19">
        <w:rPr>
          <w:rFonts w:ascii="Book Antiqua" w:hAnsi="Book Antiqua" w:cs="SimSun"/>
          <w:i/>
          <w:iCs/>
          <w:lang w:val="en-US"/>
        </w:rPr>
        <w:t>J Viral Hepat</w:t>
      </w:r>
      <w:r w:rsidRPr="00924A19">
        <w:rPr>
          <w:rFonts w:ascii="Book Antiqua" w:hAnsi="Book Antiqua" w:cs="SimSun"/>
          <w:lang w:val="en-US"/>
        </w:rPr>
        <w:t> 2015; </w:t>
      </w:r>
      <w:r w:rsidRPr="00924A19">
        <w:rPr>
          <w:rFonts w:ascii="Book Antiqua" w:hAnsi="Book Antiqua" w:cs="SimSun"/>
          <w:b/>
          <w:bCs/>
          <w:lang w:val="en-US"/>
        </w:rPr>
        <w:t>22 Suppl 1</w:t>
      </w:r>
      <w:r w:rsidRPr="00924A19">
        <w:rPr>
          <w:rFonts w:ascii="Book Antiqua" w:hAnsi="Book Antiqua" w:cs="SimSun"/>
          <w:lang w:val="en-US"/>
        </w:rPr>
        <w:t>: 26-45 [PMID: 25560840 DOI: 10.1111/jvh.12351]</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44 </w:t>
      </w:r>
      <w:r w:rsidRPr="00924A19">
        <w:rPr>
          <w:rFonts w:ascii="Book Antiqua" w:hAnsi="Book Antiqua" w:cs="SimSun"/>
          <w:b/>
          <w:bCs/>
          <w:lang w:val="en-US"/>
        </w:rPr>
        <w:t>Sievert W</w:t>
      </w:r>
      <w:r w:rsidRPr="00924A19">
        <w:rPr>
          <w:rFonts w:ascii="Book Antiqua" w:hAnsi="Book Antiqua" w:cs="SimSun"/>
          <w:lang w:val="en-US"/>
        </w:rPr>
        <w:t>, Altraif I, Razavi HA, Abdo A, Ahmed EA, Alomair A, Amarapurkar D, Chen CH, Dou X, El Khayat H, Elshazly M, Esmat G, Guan R, Han KH, Koike K, Largen A, McCaughan G, Mogawer S, Monis A, Nawaz A, Piratvisuth T, Sanai FM, Sharara AI, Sibbel S, Sood A, Suh DJ, Wallace C, Young K, Negro F. A systematic review of hepatitis C virus epidemiology in Asia, Australia and Egypt. </w:t>
      </w:r>
      <w:r w:rsidRPr="00924A19">
        <w:rPr>
          <w:rFonts w:ascii="Book Antiqua" w:hAnsi="Book Antiqua" w:cs="SimSun"/>
          <w:i/>
          <w:iCs/>
          <w:lang w:val="en-US"/>
        </w:rPr>
        <w:t>Liver Int</w:t>
      </w:r>
      <w:r w:rsidRPr="00924A19">
        <w:rPr>
          <w:rFonts w:ascii="Book Antiqua" w:hAnsi="Book Antiqua" w:cs="SimSun"/>
          <w:lang w:val="en-US"/>
        </w:rPr>
        <w:t> 2011; </w:t>
      </w:r>
      <w:r w:rsidRPr="00924A19">
        <w:rPr>
          <w:rFonts w:ascii="Book Antiqua" w:hAnsi="Book Antiqua" w:cs="SimSun"/>
          <w:b/>
          <w:bCs/>
          <w:lang w:val="en-US"/>
        </w:rPr>
        <w:t>31 Suppl 2</w:t>
      </w:r>
      <w:r w:rsidRPr="00924A19">
        <w:rPr>
          <w:rFonts w:ascii="Book Antiqua" w:hAnsi="Book Antiqua" w:cs="SimSun"/>
          <w:lang w:val="en-US"/>
        </w:rPr>
        <w:t>: 61-80 [PMID: 21651703 DOI: 10.1111/j.1478-3231.2011.02540.x]</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45 </w:t>
      </w:r>
      <w:r w:rsidRPr="00924A19">
        <w:rPr>
          <w:rFonts w:ascii="Book Antiqua" w:hAnsi="Book Antiqua" w:cs="SimSun"/>
          <w:b/>
          <w:bCs/>
          <w:lang w:val="en-US"/>
        </w:rPr>
        <w:t>Kershenobich D</w:t>
      </w:r>
      <w:r w:rsidRPr="00924A19">
        <w:rPr>
          <w:rFonts w:ascii="Book Antiqua" w:hAnsi="Book Antiqua" w:cs="SimSun"/>
          <w:lang w:val="en-US"/>
        </w:rPr>
        <w:t>, Razavi HA, Sánchez-Avila JF, Bessone F, Coelho HS, Dagher L, Gonçales FL, Quiroz JF, Rodriguez-Perez F, Rosado B, Wallace C, Negro F, Silva M. Trends and projections of hepatitis C virus epidemiology in Latin America. </w:t>
      </w:r>
      <w:r w:rsidRPr="00924A19">
        <w:rPr>
          <w:rFonts w:ascii="Book Antiqua" w:hAnsi="Book Antiqua" w:cs="SimSun"/>
          <w:i/>
          <w:iCs/>
          <w:lang w:val="en-US"/>
        </w:rPr>
        <w:t>Liver Int</w:t>
      </w:r>
      <w:r w:rsidRPr="00924A19">
        <w:rPr>
          <w:rFonts w:ascii="Book Antiqua" w:hAnsi="Book Antiqua" w:cs="SimSun"/>
          <w:lang w:val="en-US"/>
        </w:rPr>
        <w:t> 2011; </w:t>
      </w:r>
      <w:r w:rsidRPr="00924A19">
        <w:rPr>
          <w:rFonts w:ascii="Book Antiqua" w:hAnsi="Book Antiqua" w:cs="SimSun"/>
          <w:b/>
          <w:bCs/>
          <w:lang w:val="en-US"/>
        </w:rPr>
        <w:t>31 Suppl 2</w:t>
      </w:r>
      <w:r w:rsidRPr="00924A19">
        <w:rPr>
          <w:rFonts w:ascii="Book Antiqua" w:hAnsi="Book Antiqua" w:cs="SimSun"/>
          <w:lang w:val="en-US"/>
        </w:rPr>
        <w:t>: 18-29 [PMID: 21651701 DOI: 10.1111/j.1478-3231.2011.02538.x]</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46 </w:t>
      </w:r>
      <w:r w:rsidRPr="00924A19">
        <w:rPr>
          <w:rFonts w:ascii="Book Antiqua" w:hAnsi="Book Antiqua" w:cs="SimSun"/>
          <w:b/>
          <w:bCs/>
          <w:lang w:val="en-US"/>
        </w:rPr>
        <w:t>Madaliński K</w:t>
      </w:r>
      <w:r w:rsidRPr="00924A19">
        <w:rPr>
          <w:rFonts w:ascii="Book Antiqua" w:hAnsi="Book Antiqua" w:cs="SimSun"/>
          <w:lang w:val="en-US"/>
        </w:rPr>
        <w:t>, Zakrzewska K, Ko</w:t>
      </w:r>
      <w:r w:rsidRPr="00924A19">
        <w:rPr>
          <w:rFonts w:ascii="Book Antiqua" w:eastAsia="MS Mincho" w:hAnsi="Book Antiqua" w:cs="MS Mincho"/>
          <w:lang w:val="en-US"/>
        </w:rPr>
        <w:t>ł</w:t>
      </w:r>
      <w:r w:rsidRPr="00924A19">
        <w:rPr>
          <w:rFonts w:ascii="Book Antiqua" w:hAnsi="Book Antiqua" w:cs="SimSun"/>
          <w:lang w:val="en-US"/>
        </w:rPr>
        <w:t>akowska A, Godzik P. Epidemiology of HCV infection in Central and Eastern Europe. </w:t>
      </w:r>
      <w:r w:rsidRPr="00924A19">
        <w:rPr>
          <w:rFonts w:ascii="Book Antiqua" w:hAnsi="Book Antiqua" w:cs="SimSun"/>
          <w:i/>
          <w:iCs/>
          <w:lang w:val="en-US"/>
        </w:rPr>
        <w:t>Przegl Epidemiol</w:t>
      </w:r>
      <w:r w:rsidRPr="00924A19">
        <w:rPr>
          <w:rFonts w:ascii="Book Antiqua" w:hAnsi="Book Antiqua" w:cs="SimSun"/>
          <w:lang w:val="en-US"/>
        </w:rPr>
        <w:t> 2015; </w:t>
      </w:r>
      <w:r w:rsidRPr="00924A19">
        <w:rPr>
          <w:rFonts w:ascii="Book Antiqua" w:hAnsi="Book Antiqua" w:cs="SimSun"/>
          <w:b/>
          <w:bCs/>
          <w:lang w:val="en-US"/>
        </w:rPr>
        <w:t>69</w:t>
      </w:r>
      <w:r w:rsidRPr="00924A19">
        <w:rPr>
          <w:rFonts w:ascii="Book Antiqua" w:hAnsi="Book Antiqua" w:cs="SimSun"/>
          <w:lang w:val="en-US"/>
        </w:rPr>
        <w:t>: 459-64, 581-4 [PMID: 26519840]</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47 </w:t>
      </w:r>
      <w:r w:rsidRPr="00924A19">
        <w:rPr>
          <w:rFonts w:ascii="Book Antiqua" w:hAnsi="Book Antiqua" w:cs="SimSun"/>
          <w:b/>
          <w:bCs/>
          <w:lang w:val="en-US"/>
        </w:rPr>
        <w:t>Cornberg M</w:t>
      </w:r>
      <w:r w:rsidRPr="00924A19">
        <w:rPr>
          <w:rFonts w:ascii="Book Antiqua" w:hAnsi="Book Antiqua" w:cs="SimSun"/>
          <w:lang w:val="en-US"/>
        </w:rPr>
        <w:t xml:space="preserve">, Razavi HA, Alberti A, Bernasconi E, Buti M, Cooper C, Dalgard O, Dillion JF, Flisiak R, Forns X, Frankova S, Goldis A, Goulis I, Halota W, Hunyady </w:t>
      </w:r>
      <w:r w:rsidRPr="00924A19">
        <w:rPr>
          <w:rFonts w:ascii="Book Antiqua" w:hAnsi="Book Antiqua" w:cs="SimSun"/>
          <w:lang w:val="en-US"/>
        </w:rPr>
        <w:lastRenderedPageBreak/>
        <w:t>B, Lagging M, Largen A, Makara M, Manolakopoulos S, Marcellin P, Marinho RT, Pol S, Poynard T, Puoti M, Sagalova O, Sibbel S, Simon K, Wallace C, Young K, Yurdaydin C, Zuckerman E, Negro F, Zeuzem S. A systematic review of hepatitis C virus epidemiology in Europe, Canada and Israel. </w:t>
      </w:r>
      <w:r w:rsidRPr="00924A19">
        <w:rPr>
          <w:rFonts w:ascii="Book Antiqua" w:hAnsi="Book Antiqua" w:cs="SimSun"/>
          <w:i/>
          <w:iCs/>
          <w:lang w:val="en-US"/>
        </w:rPr>
        <w:t>Liver Int</w:t>
      </w:r>
      <w:r w:rsidRPr="00924A19">
        <w:rPr>
          <w:rFonts w:ascii="Book Antiqua" w:hAnsi="Book Antiqua" w:cs="SimSun"/>
          <w:lang w:val="en-US"/>
        </w:rPr>
        <w:t> 2011; </w:t>
      </w:r>
      <w:r w:rsidRPr="00924A19">
        <w:rPr>
          <w:rFonts w:ascii="Book Antiqua" w:hAnsi="Book Antiqua" w:cs="SimSun"/>
          <w:b/>
          <w:bCs/>
          <w:lang w:val="en-US"/>
        </w:rPr>
        <w:t>31 Suppl 2</w:t>
      </w:r>
      <w:r w:rsidRPr="00924A19">
        <w:rPr>
          <w:rFonts w:ascii="Book Antiqua" w:hAnsi="Book Antiqua" w:cs="SimSun"/>
          <w:lang w:val="en-US"/>
        </w:rPr>
        <w:t>: 30-60 [PMID: 21651702 DOI: 10.1111/j.1478-3231.2011.02539.x]</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48 </w:t>
      </w:r>
      <w:r w:rsidRPr="00924A19">
        <w:rPr>
          <w:rFonts w:ascii="Book Antiqua" w:hAnsi="Book Antiqua" w:cs="SimSun"/>
          <w:b/>
          <w:bCs/>
          <w:lang w:val="en-US"/>
        </w:rPr>
        <w:t>Hope VD</w:t>
      </w:r>
      <w:r w:rsidRPr="00924A19">
        <w:rPr>
          <w:rFonts w:ascii="Book Antiqua" w:hAnsi="Book Antiqua" w:cs="SimSun"/>
          <w:lang w:val="en-US"/>
        </w:rPr>
        <w:t>, Eramova I, Capurro D, Donoghoe MC. Prevalence and estimation of hepatitis B and C infections in the WHO European Region: a review of data focusing on the countries outside the European Union and the European Free Trade Association. </w:t>
      </w:r>
      <w:r w:rsidRPr="00924A19">
        <w:rPr>
          <w:rFonts w:ascii="Book Antiqua" w:hAnsi="Book Antiqua" w:cs="SimSun"/>
          <w:i/>
          <w:iCs/>
          <w:lang w:val="en-US"/>
        </w:rPr>
        <w:t>Epidemiol Infect</w:t>
      </w:r>
      <w:r w:rsidRPr="00924A19">
        <w:rPr>
          <w:rFonts w:ascii="Book Antiqua" w:hAnsi="Book Antiqua" w:cs="SimSun"/>
          <w:lang w:val="en-US"/>
        </w:rPr>
        <w:t> 2014; </w:t>
      </w:r>
      <w:r w:rsidRPr="00924A19">
        <w:rPr>
          <w:rFonts w:ascii="Book Antiqua" w:hAnsi="Book Antiqua" w:cs="SimSun"/>
          <w:b/>
          <w:bCs/>
          <w:lang w:val="en-US"/>
        </w:rPr>
        <w:t>142</w:t>
      </w:r>
      <w:r w:rsidRPr="00924A19">
        <w:rPr>
          <w:rFonts w:ascii="Book Antiqua" w:hAnsi="Book Antiqua" w:cs="SimSun"/>
          <w:lang w:val="en-US"/>
        </w:rPr>
        <w:t>: 270-286 [PMID: 23714072 DOI: 10.1017/S0950268813000940]</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49 </w:t>
      </w:r>
      <w:r w:rsidRPr="00924A19">
        <w:rPr>
          <w:rFonts w:ascii="Book Antiqua" w:hAnsi="Book Antiqua" w:cs="SimSun"/>
          <w:b/>
          <w:bCs/>
          <w:lang w:val="en-US"/>
        </w:rPr>
        <w:t>Davis GL</w:t>
      </w:r>
      <w:r w:rsidRPr="00924A19">
        <w:rPr>
          <w:rFonts w:ascii="Book Antiqua" w:hAnsi="Book Antiqua" w:cs="SimSun"/>
          <w:lang w:val="en-US"/>
        </w:rPr>
        <w:t>, Alter MJ, El-Serag H, Poynard T, Jennings LW. Aging of hepatitis C virus (HCV)-infected persons in the United States: a multiple cohort model of HCV prevalence and disease progression.</w:t>
      </w:r>
      <w:r w:rsidR="006A1619">
        <w:rPr>
          <w:rFonts w:ascii="Book Antiqua" w:hAnsi="Book Antiqua" w:cs="SimSun" w:hint="eastAsia"/>
          <w:lang w:val="en-US"/>
        </w:rPr>
        <w:t xml:space="preserve"> </w:t>
      </w:r>
      <w:r w:rsidRPr="00924A19">
        <w:rPr>
          <w:rFonts w:ascii="Book Antiqua" w:hAnsi="Book Antiqua" w:cs="SimSun"/>
          <w:i/>
          <w:iCs/>
          <w:lang w:val="en-US"/>
        </w:rPr>
        <w:t>Gastroenterology</w:t>
      </w:r>
      <w:r w:rsidR="006A1619">
        <w:rPr>
          <w:rFonts w:ascii="Book Antiqua" w:hAnsi="Book Antiqua" w:cs="SimSun" w:hint="eastAsia"/>
          <w:i/>
          <w:iCs/>
          <w:lang w:val="en-US"/>
        </w:rPr>
        <w:t xml:space="preserve"> </w:t>
      </w:r>
      <w:r w:rsidRPr="00924A19">
        <w:rPr>
          <w:rFonts w:ascii="Book Antiqua" w:hAnsi="Book Antiqua" w:cs="SimSun"/>
          <w:lang w:val="en-US"/>
        </w:rPr>
        <w:t>2010;</w:t>
      </w:r>
      <w:r w:rsidR="006A1619">
        <w:rPr>
          <w:rFonts w:ascii="Book Antiqua" w:hAnsi="Book Antiqua" w:cs="SimSun" w:hint="eastAsia"/>
          <w:lang w:val="en-US"/>
        </w:rPr>
        <w:t xml:space="preserve"> </w:t>
      </w:r>
      <w:r w:rsidRPr="00924A19">
        <w:rPr>
          <w:rFonts w:ascii="Book Antiqua" w:hAnsi="Book Antiqua" w:cs="SimSun"/>
          <w:b/>
          <w:bCs/>
          <w:lang w:val="en-US"/>
        </w:rPr>
        <w:t>138</w:t>
      </w:r>
      <w:r w:rsidRPr="00924A19">
        <w:rPr>
          <w:rFonts w:ascii="Book Antiqua" w:hAnsi="Book Antiqua" w:cs="SimSun"/>
          <w:lang w:val="en-US"/>
        </w:rPr>
        <w:t>: 513-</w:t>
      </w:r>
      <w:r w:rsidR="006A1619">
        <w:rPr>
          <w:rFonts w:ascii="Book Antiqua" w:hAnsi="Book Antiqua" w:cs="SimSun" w:hint="eastAsia"/>
          <w:lang w:val="en-US"/>
        </w:rPr>
        <w:t>5</w:t>
      </w:r>
      <w:r w:rsidRPr="00924A19">
        <w:rPr>
          <w:rFonts w:ascii="Book Antiqua" w:hAnsi="Book Antiqua" w:cs="SimSun"/>
          <w:lang w:val="en-US"/>
        </w:rPr>
        <w:t>21, 521.e1-6 [PMID: 19861128 DOI: 10.1053/j.gastro.2009.09.067]</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50 </w:t>
      </w:r>
      <w:r w:rsidRPr="00924A19">
        <w:rPr>
          <w:rFonts w:ascii="Book Antiqua" w:hAnsi="Book Antiqua" w:cs="SimSun"/>
          <w:b/>
          <w:bCs/>
          <w:lang w:val="en-US"/>
        </w:rPr>
        <w:t>Sypsa V</w:t>
      </w:r>
      <w:r w:rsidRPr="00924A19">
        <w:rPr>
          <w:rFonts w:ascii="Book Antiqua" w:hAnsi="Book Antiqua" w:cs="SimSun"/>
          <w:lang w:val="en-US"/>
        </w:rPr>
        <w:t>, Touloumi G, Tassopoulos NC, Ketikoglou I, Vafiadis I, Hatzis G, Tsantoulas D, Akriviadis E, Delladetsima J, Demonakou M, Hatzakis A. Reconstructing and predicting the hepatitis C virus epidemic in Greece: increasing trends of cirrhosis and hepatocellular carcinoma despite the decline in incidence of HCV infection. </w:t>
      </w:r>
      <w:r w:rsidRPr="00924A19">
        <w:rPr>
          <w:rFonts w:ascii="Book Antiqua" w:hAnsi="Book Antiqua" w:cs="SimSun"/>
          <w:i/>
          <w:iCs/>
          <w:lang w:val="en-US"/>
        </w:rPr>
        <w:t>J Viral Hepat</w:t>
      </w:r>
      <w:r w:rsidRPr="00924A19">
        <w:rPr>
          <w:rFonts w:ascii="Book Antiqua" w:hAnsi="Book Antiqua" w:cs="SimSun"/>
          <w:lang w:val="en-US"/>
        </w:rPr>
        <w:t> 2004; </w:t>
      </w:r>
      <w:r w:rsidRPr="00924A19">
        <w:rPr>
          <w:rFonts w:ascii="Book Antiqua" w:hAnsi="Book Antiqua" w:cs="SimSun"/>
          <w:b/>
          <w:bCs/>
          <w:lang w:val="en-US"/>
        </w:rPr>
        <w:t>11</w:t>
      </w:r>
      <w:r w:rsidRPr="00924A19">
        <w:rPr>
          <w:rFonts w:ascii="Book Antiqua" w:hAnsi="Book Antiqua" w:cs="SimSun"/>
          <w:lang w:val="en-US"/>
        </w:rPr>
        <w:t>: 366-374 [PMID: 15230860]</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51 </w:t>
      </w:r>
      <w:r w:rsidRPr="00924A19">
        <w:rPr>
          <w:rFonts w:ascii="Book Antiqua" w:hAnsi="Book Antiqua" w:cs="SimSun"/>
          <w:b/>
          <w:bCs/>
          <w:lang w:val="en-US"/>
        </w:rPr>
        <w:t>Meffre C</w:t>
      </w:r>
      <w:r w:rsidRPr="00924A19">
        <w:rPr>
          <w:rFonts w:ascii="Book Antiqua" w:hAnsi="Book Antiqua" w:cs="SimSun"/>
          <w:lang w:val="en-US"/>
        </w:rPr>
        <w:t>, Le Strat Y, Delarocque-Astagneau E, Dubois F, Antona D, Lemasson JM, Warszawski J, Steinmetz J, Coste D, Meyer JF, Leiser S, Giordanella JP, Gueguen R, Desenclos JC. Prevalence of hepatitis B and hepatitis C virus infections in France in 2004: social factors are important predictors after adjusting for known risk factors. </w:t>
      </w:r>
      <w:r w:rsidRPr="00924A19">
        <w:rPr>
          <w:rFonts w:ascii="Book Antiqua" w:hAnsi="Book Antiqua" w:cs="SimSun"/>
          <w:i/>
          <w:iCs/>
          <w:lang w:val="en-US"/>
        </w:rPr>
        <w:t>J Med Virol</w:t>
      </w:r>
      <w:r w:rsidRPr="00924A19">
        <w:rPr>
          <w:rFonts w:ascii="Book Antiqua" w:hAnsi="Book Antiqua" w:cs="SimSun"/>
          <w:lang w:val="en-US"/>
        </w:rPr>
        <w:t> 2010; </w:t>
      </w:r>
      <w:r w:rsidRPr="00924A19">
        <w:rPr>
          <w:rFonts w:ascii="Book Antiqua" w:hAnsi="Book Antiqua" w:cs="SimSun"/>
          <w:b/>
          <w:bCs/>
          <w:lang w:val="en-US"/>
        </w:rPr>
        <w:t>82</w:t>
      </w:r>
      <w:r w:rsidRPr="00924A19">
        <w:rPr>
          <w:rFonts w:ascii="Book Antiqua" w:hAnsi="Book Antiqua" w:cs="SimSun"/>
          <w:lang w:val="en-US"/>
        </w:rPr>
        <w:t>: 546-555 [PMID: 20166185 DOI: 10.1002/jmv.21734]</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52 </w:t>
      </w:r>
      <w:r w:rsidRPr="00924A19">
        <w:rPr>
          <w:rFonts w:ascii="Book Antiqua" w:hAnsi="Book Antiqua" w:cs="SimSun"/>
          <w:b/>
          <w:bCs/>
          <w:lang w:val="en-US"/>
        </w:rPr>
        <w:t>Denniston MM</w:t>
      </w:r>
      <w:r w:rsidRPr="00924A19">
        <w:rPr>
          <w:rFonts w:ascii="Book Antiqua" w:hAnsi="Book Antiqua" w:cs="SimSun"/>
          <w:lang w:val="en-US"/>
        </w:rPr>
        <w:t xml:space="preserve">, Jiles RB, Drobeniuc J, Klevens RM, Ward JW, McQuillan GM, Holmberg SD. Chronic hepatitis C virus infection in the United States, National </w:t>
      </w:r>
      <w:r w:rsidRPr="00924A19">
        <w:rPr>
          <w:rFonts w:ascii="Book Antiqua" w:hAnsi="Book Antiqua" w:cs="SimSun"/>
          <w:lang w:val="en-US"/>
        </w:rPr>
        <w:lastRenderedPageBreak/>
        <w:t>Health and Nutrition Examination Survey 2003 to 2010. </w:t>
      </w:r>
      <w:r w:rsidRPr="00924A19">
        <w:rPr>
          <w:rFonts w:ascii="Book Antiqua" w:hAnsi="Book Antiqua" w:cs="SimSun"/>
          <w:i/>
          <w:iCs/>
          <w:lang w:val="en-US"/>
        </w:rPr>
        <w:t>Ann Intern Med</w:t>
      </w:r>
      <w:r w:rsidRPr="00924A19">
        <w:rPr>
          <w:rFonts w:ascii="Book Antiqua" w:hAnsi="Book Antiqua" w:cs="SimSun"/>
          <w:lang w:val="en-US"/>
        </w:rPr>
        <w:t> 2014; </w:t>
      </w:r>
      <w:r w:rsidRPr="00924A19">
        <w:rPr>
          <w:rFonts w:ascii="Book Antiqua" w:hAnsi="Book Antiqua" w:cs="SimSun"/>
          <w:b/>
          <w:bCs/>
          <w:lang w:val="en-US"/>
        </w:rPr>
        <w:t>160</w:t>
      </w:r>
      <w:r w:rsidRPr="00924A19">
        <w:rPr>
          <w:rFonts w:ascii="Book Antiqua" w:hAnsi="Book Antiqua" w:cs="SimSun"/>
          <w:lang w:val="en-US"/>
        </w:rPr>
        <w:t>: 293-300 [PMID: 24737271 DOI: 10.7326/M13-1133]</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53 </w:t>
      </w:r>
      <w:r w:rsidRPr="00924A19">
        <w:rPr>
          <w:rFonts w:ascii="Book Antiqua" w:hAnsi="Book Antiqua" w:cs="SimSun"/>
          <w:b/>
          <w:bCs/>
          <w:lang w:val="en-US"/>
        </w:rPr>
        <w:t>Gower E</w:t>
      </w:r>
      <w:r w:rsidRPr="00924A19">
        <w:rPr>
          <w:rFonts w:ascii="Book Antiqua" w:hAnsi="Book Antiqua" w:cs="SimSun"/>
          <w:lang w:val="en-US"/>
        </w:rPr>
        <w:t>, Estes C, Blach S, Razavi-Shearer K, Razavi H. Global epidemiology and genotype distribution of the hepatitis C virus infection. </w:t>
      </w:r>
      <w:r w:rsidRPr="00924A19">
        <w:rPr>
          <w:rFonts w:ascii="Book Antiqua" w:hAnsi="Book Antiqua" w:cs="SimSun"/>
          <w:i/>
          <w:iCs/>
          <w:lang w:val="en-US"/>
        </w:rPr>
        <w:t>J Hepatol</w:t>
      </w:r>
      <w:r w:rsidRPr="00924A19">
        <w:rPr>
          <w:rFonts w:ascii="Book Antiqua" w:hAnsi="Book Antiqua" w:cs="SimSun"/>
          <w:lang w:val="en-US"/>
        </w:rPr>
        <w:t> 2014; </w:t>
      </w:r>
      <w:r w:rsidRPr="00924A19">
        <w:rPr>
          <w:rFonts w:ascii="Book Antiqua" w:hAnsi="Book Antiqua" w:cs="SimSun"/>
          <w:b/>
          <w:bCs/>
          <w:lang w:val="en-US"/>
        </w:rPr>
        <w:t>61</w:t>
      </w:r>
      <w:r w:rsidRPr="00924A19">
        <w:rPr>
          <w:rFonts w:ascii="Book Antiqua" w:hAnsi="Book Antiqua" w:cs="SimSun"/>
          <w:lang w:val="en-US"/>
        </w:rPr>
        <w:t>: S45-S57 [PMID: 25086286 DOI: 10.1016/j.jhep.2014.07.027]</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54 </w:t>
      </w:r>
      <w:r w:rsidRPr="00924A19">
        <w:rPr>
          <w:rFonts w:ascii="Book Antiqua" w:hAnsi="Book Antiqua" w:cs="SimSun"/>
          <w:b/>
          <w:bCs/>
          <w:lang w:val="en-US"/>
        </w:rPr>
        <w:t>Flisiak R</w:t>
      </w:r>
      <w:r w:rsidRPr="00924A19">
        <w:rPr>
          <w:rFonts w:ascii="Book Antiqua" w:hAnsi="Book Antiqua" w:cs="SimSun"/>
          <w:lang w:val="en-US"/>
        </w:rPr>
        <w:t>, Halota W, Horban A, Juszczyk J, Pawlowska M, Simon K. Prevalence and risk factors of HCV infection in Poland. </w:t>
      </w:r>
      <w:r w:rsidRPr="00924A19">
        <w:rPr>
          <w:rFonts w:ascii="Book Antiqua" w:hAnsi="Book Antiqua" w:cs="SimSun"/>
          <w:i/>
          <w:iCs/>
          <w:lang w:val="en-US"/>
        </w:rPr>
        <w:t>Eur J Gastroenterol Hepatol</w:t>
      </w:r>
      <w:r w:rsidR="006A1619">
        <w:rPr>
          <w:rFonts w:ascii="Book Antiqua" w:hAnsi="Book Antiqua" w:cs="SimSun" w:hint="eastAsia"/>
          <w:i/>
          <w:iCs/>
          <w:lang w:val="en-US"/>
        </w:rPr>
        <w:t xml:space="preserve"> </w:t>
      </w:r>
      <w:r w:rsidRPr="00924A19">
        <w:rPr>
          <w:rFonts w:ascii="Book Antiqua" w:hAnsi="Book Antiqua" w:cs="SimSun"/>
          <w:lang w:val="en-US"/>
        </w:rPr>
        <w:t>2011;</w:t>
      </w:r>
      <w:r w:rsidR="006A1619">
        <w:rPr>
          <w:rFonts w:ascii="Book Antiqua" w:hAnsi="Book Antiqua" w:cs="SimSun" w:hint="eastAsia"/>
          <w:lang w:val="en-US"/>
        </w:rPr>
        <w:t xml:space="preserve"> </w:t>
      </w:r>
      <w:r w:rsidRPr="00924A19">
        <w:rPr>
          <w:rFonts w:ascii="Book Antiqua" w:hAnsi="Book Antiqua" w:cs="SimSun"/>
          <w:b/>
          <w:bCs/>
          <w:lang w:val="en-US"/>
        </w:rPr>
        <w:t>23</w:t>
      </w:r>
      <w:r w:rsidRPr="00924A19">
        <w:rPr>
          <w:rFonts w:ascii="Book Antiqua" w:hAnsi="Book Antiqua" w:cs="SimSun"/>
          <w:lang w:val="en-US"/>
        </w:rPr>
        <w:t>: 1213-1217 [PMID: 22002000 DOI: 10.1097/MEG.0b013e32834d173c]</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55 </w:t>
      </w:r>
      <w:r w:rsidRPr="00924A19">
        <w:rPr>
          <w:rFonts w:ascii="Book Antiqua" w:hAnsi="Book Antiqua" w:cs="SimSun"/>
          <w:b/>
          <w:bCs/>
          <w:lang w:val="en-US"/>
        </w:rPr>
        <w:t>Godzik P</w:t>
      </w:r>
      <w:r w:rsidRPr="00924A19">
        <w:rPr>
          <w:rFonts w:ascii="Book Antiqua" w:hAnsi="Book Antiqua" w:cs="SimSun"/>
          <w:lang w:val="en-US"/>
        </w:rPr>
        <w:t>, Ko</w:t>
      </w:r>
      <w:r w:rsidRPr="00924A19">
        <w:rPr>
          <w:rFonts w:ascii="Book Antiqua" w:eastAsia="MS Mincho" w:hAnsi="Book Antiqua" w:cs="MS Mincho"/>
          <w:lang w:val="en-US"/>
        </w:rPr>
        <w:t>ł</w:t>
      </w:r>
      <w:r w:rsidRPr="00924A19">
        <w:rPr>
          <w:rFonts w:ascii="Book Antiqua" w:hAnsi="Book Antiqua" w:cs="SimSun"/>
          <w:lang w:val="en-US"/>
        </w:rPr>
        <w:t>akowska A, Madaliński K, Stepień M, Zieliński A, Góralewska A, Kazimierska M, Kunc-Kozio</w:t>
      </w:r>
      <w:r w:rsidRPr="00924A19">
        <w:rPr>
          <w:rFonts w:ascii="Book Antiqua" w:eastAsia="MS Mincho" w:hAnsi="Book Antiqua" w:cs="MS Mincho"/>
          <w:lang w:val="en-US"/>
        </w:rPr>
        <w:t>ł</w:t>
      </w:r>
      <w:r w:rsidRPr="00924A19">
        <w:rPr>
          <w:rFonts w:ascii="Book Antiqua" w:hAnsi="Book Antiqua" w:cs="SimSun"/>
          <w:lang w:val="en-US"/>
        </w:rPr>
        <w:t xml:space="preserve"> R, Nadolska B, Paw</w:t>
      </w:r>
      <w:r w:rsidRPr="00924A19">
        <w:rPr>
          <w:rFonts w:ascii="Book Antiqua" w:eastAsia="MS Mincho" w:hAnsi="Book Antiqua" w:cs="MS Mincho"/>
          <w:lang w:val="en-US"/>
        </w:rPr>
        <w:t>ł</w:t>
      </w:r>
      <w:r w:rsidRPr="00924A19">
        <w:rPr>
          <w:rFonts w:ascii="Book Antiqua" w:hAnsi="Book Antiqua" w:cs="SimSun"/>
          <w:lang w:val="en-US"/>
        </w:rPr>
        <w:t>owska A, Piskorek A, Równiak J, Rosińska M. [Prevalence of anti-HCV antibodies among adults in Poland--results of cross-sectional study in general population].</w:t>
      </w:r>
      <w:r w:rsidR="006A1619">
        <w:rPr>
          <w:rFonts w:ascii="Book Antiqua" w:hAnsi="Book Antiqua" w:cs="SimSun" w:hint="eastAsia"/>
          <w:lang w:val="en-US"/>
        </w:rPr>
        <w:t xml:space="preserve"> </w:t>
      </w:r>
      <w:r w:rsidRPr="00924A19">
        <w:rPr>
          <w:rFonts w:ascii="Book Antiqua" w:hAnsi="Book Antiqua" w:cs="SimSun"/>
          <w:i/>
          <w:iCs/>
          <w:lang w:val="en-US"/>
        </w:rPr>
        <w:t>Przegl Epidemiol</w:t>
      </w:r>
      <w:r w:rsidRPr="00924A19">
        <w:rPr>
          <w:rFonts w:ascii="Book Antiqua" w:hAnsi="Book Antiqua" w:cs="SimSun"/>
          <w:lang w:val="en-US"/>
        </w:rPr>
        <w:t> 2012; </w:t>
      </w:r>
      <w:r w:rsidRPr="00924A19">
        <w:rPr>
          <w:rFonts w:ascii="Book Antiqua" w:hAnsi="Book Antiqua" w:cs="SimSun"/>
          <w:b/>
          <w:bCs/>
          <w:lang w:val="en-US"/>
        </w:rPr>
        <w:t>66</w:t>
      </w:r>
      <w:r w:rsidRPr="00924A19">
        <w:rPr>
          <w:rFonts w:ascii="Book Antiqua" w:hAnsi="Book Antiqua" w:cs="SimSun"/>
          <w:lang w:val="en-US"/>
        </w:rPr>
        <w:t>: 575-580 [PMID: 23484383]</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56 </w:t>
      </w:r>
      <w:r w:rsidRPr="00924A19">
        <w:rPr>
          <w:rFonts w:ascii="Book Antiqua" w:hAnsi="Book Antiqua" w:cs="SimSun"/>
          <w:b/>
          <w:bCs/>
          <w:lang w:val="en-US"/>
        </w:rPr>
        <w:t>Messina JP</w:t>
      </w:r>
      <w:r w:rsidRPr="00924A19">
        <w:rPr>
          <w:rFonts w:ascii="Book Antiqua" w:hAnsi="Book Antiqua" w:cs="SimSun"/>
          <w:lang w:val="en-US"/>
        </w:rPr>
        <w:t>, Humphreys I, Flaxman A, Brown A, Cooke GS, Pybus OG, Barnes E. Global distribution and prevalence of hepatitis C virus genotypes.</w:t>
      </w:r>
      <w:r w:rsidR="006A1619">
        <w:rPr>
          <w:rFonts w:ascii="Book Antiqua" w:hAnsi="Book Antiqua" w:cs="SimSun" w:hint="eastAsia"/>
          <w:lang w:val="en-US"/>
        </w:rPr>
        <w:t xml:space="preserve"> </w:t>
      </w:r>
      <w:r w:rsidRPr="00924A19">
        <w:rPr>
          <w:rFonts w:ascii="Book Antiqua" w:hAnsi="Book Antiqua" w:cs="SimSun"/>
          <w:i/>
          <w:iCs/>
          <w:lang w:val="en-US"/>
        </w:rPr>
        <w:t>Hepatology</w:t>
      </w:r>
      <w:r w:rsidR="006A1619">
        <w:rPr>
          <w:rFonts w:ascii="Book Antiqua" w:hAnsi="Book Antiqua" w:cs="SimSun" w:hint="eastAsia"/>
          <w:i/>
          <w:iCs/>
          <w:lang w:val="en-US"/>
        </w:rPr>
        <w:t xml:space="preserve"> </w:t>
      </w:r>
      <w:r w:rsidRPr="00924A19">
        <w:rPr>
          <w:rFonts w:ascii="Book Antiqua" w:hAnsi="Book Antiqua" w:cs="SimSun"/>
          <w:lang w:val="en-US"/>
        </w:rPr>
        <w:t>2015;</w:t>
      </w:r>
      <w:r w:rsidR="006A1619">
        <w:rPr>
          <w:rFonts w:ascii="Book Antiqua" w:hAnsi="Book Antiqua" w:cs="SimSun" w:hint="eastAsia"/>
          <w:lang w:val="en-US"/>
        </w:rPr>
        <w:t xml:space="preserve"> </w:t>
      </w:r>
      <w:r w:rsidRPr="00924A19">
        <w:rPr>
          <w:rFonts w:ascii="Book Antiqua" w:hAnsi="Book Antiqua" w:cs="SimSun"/>
          <w:b/>
          <w:bCs/>
          <w:lang w:val="en-US"/>
        </w:rPr>
        <w:t>61</w:t>
      </w:r>
      <w:r w:rsidRPr="00924A19">
        <w:rPr>
          <w:rFonts w:ascii="Book Antiqua" w:hAnsi="Book Antiqua" w:cs="SimSun"/>
          <w:lang w:val="en-US"/>
        </w:rPr>
        <w:t>: 77-87 [PMID: 25069599 DOI: 10.1002/hep.27259]</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57 </w:t>
      </w:r>
      <w:r w:rsidRPr="00924A19">
        <w:rPr>
          <w:rFonts w:ascii="Book Antiqua" w:hAnsi="Book Antiqua" w:cs="SimSun"/>
          <w:b/>
          <w:bCs/>
          <w:lang w:val="en-US"/>
        </w:rPr>
        <w:t>Karoney MJ</w:t>
      </w:r>
      <w:r w:rsidRPr="00924A19">
        <w:rPr>
          <w:rFonts w:ascii="Book Antiqua" w:hAnsi="Book Antiqua" w:cs="SimSun"/>
          <w:lang w:val="en-US"/>
        </w:rPr>
        <w:t>, Siika AM. Hepatitis C virus (HCV) infection in Africa: a review. </w:t>
      </w:r>
      <w:r w:rsidRPr="00924A19">
        <w:rPr>
          <w:rFonts w:ascii="Book Antiqua" w:hAnsi="Book Antiqua" w:cs="SimSun"/>
          <w:i/>
          <w:iCs/>
          <w:lang w:val="en-US"/>
        </w:rPr>
        <w:t>Pan Afr Med J</w:t>
      </w:r>
      <w:r w:rsidRPr="00924A19">
        <w:rPr>
          <w:rFonts w:ascii="Book Antiqua" w:hAnsi="Book Antiqua" w:cs="SimSun"/>
          <w:lang w:val="en-US"/>
        </w:rPr>
        <w:t> 2013; </w:t>
      </w:r>
      <w:r w:rsidRPr="00924A19">
        <w:rPr>
          <w:rFonts w:ascii="Book Antiqua" w:hAnsi="Book Antiqua" w:cs="SimSun"/>
          <w:b/>
          <w:bCs/>
          <w:lang w:val="en-US"/>
        </w:rPr>
        <w:t>14</w:t>
      </w:r>
      <w:r w:rsidRPr="00924A19">
        <w:rPr>
          <w:rFonts w:ascii="Book Antiqua" w:hAnsi="Book Antiqua" w:cs="SimSun"/>
          <w:lang w:val="en-US"/>
        </w:rPr>
        <w:t>: 44 [PMID: 23560127 DOI: 10.11604/pamj.2013.14.44.2199]</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58 </w:t>
      </w:r>
      <w:r w:rsidRPr="00924A19">
        <w:rPr>
          <w:rFonts w:ascii="Book Antiqua" w:hAnsi="Book Antiqua" w:cs="SimSun"/>
          <w:b/>
          <w:bCs/>
          <w:lang w:val="en-US"/>
        </w:rPr>
        <w:t>Liakina V</w:t>
      </w:r>
      <w:r w:rsidRPr="00924A19">
        <w:rPr>
          <w:rFonts w:ascii="Book Antiqua" w:hAnsi="Book Antiqua" w:cs="SimSun"/>
          <w:lang w:val="en-US"/>
        </w:rPr>
        <w:t xml:space="preserve">, Hamid S, Tanaka J, Olafsson S, Sharara AI, Alavian SM, Gheorghe L, El Hassan ES, Abaalkhail F, Abbas Z, Abdou A, Abourached A, Al Braiki F, Al Hosani F, Al Jaberi K, Al Khatry M, Al Mulla MA, Al Quraishi H, Al Rifai A, Al Serkal Y, Alam A, Alashgar HI, Alawadhi S, Al-Dabal L, Aldins P, Alfaleh FZ, Alghamdi AS, Al-Hakeem R, Aljumah AA, Almessabi A, Alqutub AN, Alswat KA, Altraif I, Alzaabi M, Andrea N, Assiri AM, Babatin MA, Baqir A, Barakat MT, Bergmann OM, Bizri AR, Blach S, Chaudhry A, Choi MS, Diab T, Djauzi S, El Khoury S, Estes C, Fakhry S, Farooqi JI, Fridjonsdottir H, Gani RA, Ghafoor Khan </w:t>
      </w:r>
      <w:r w:rsidRPr="00924A19">
        <w:rPr>
          <w:rFonts w:ascii="Book Antiqua" w:hAnsi="Book Antiqua" w:cs="SimSun"/>
          <w:lang w:val="en-US"/>
        </w:rPr>
        <w:lastRenderedPageBreak/>
        <w:t>A, Goldis A, Gottfredsson M, Gregorcic S, Hajarizadeh B, Han KH, Hasan I, Hashim A, Horvath G, Hunyady B, Husni R, Jafri W, Jeruma A, Jonasson JG, Karlsdottir B, Kim DY, Kim YS, Koutoubi Z, Lesmana LA, Lim YS, Löve A, Maimets M, Makara M, Malekzadeh R, Matičič M, Memon MS, Merat S, Mokhbat JE, Mourad FH, Muljono DH, Nawaz A, Nugrahini N, Priohutomo S, Qureshi H, Rassam P, Razavi H, Razavi-Shearer D, Razavi-Shearer K, Rozentale B, Sadik M, Saeed K, Salamat A, Salupere R, Sanai FM, Sanityoso Sulaiman A, Sayegh RA, Schmelzer JD, Sibley A, Siddiq M, Siddiqui AM, Sigmundsdottir G, Sigurdardottir B, Speiciene D, Sulaiman A, Sultan MA, Taha M, Tarifi H, Tayyab G, Tolmane I, Ud Din M, Umar M, Valantinas J, Videčnik-Zorman J, Yaghi C, Yunihastuti E, Yusuf MA, Zuberi BF, Gunter J. Historical epidemiology of hepatitis C virus (HCV) in select countries - volume 3. </w:t>
      </w:r>
      <w:r w:rsidRPr="00924A19">
        <w:rPr>
          <w:rFonts w:ascii="Book Antiqua" w:hAnsi="Book Antiqua" w:cs="SimSun"/>
          <w:i/>
          <w:iCs/>
          <w:lang w:val="en-US"/>
        </w:rPr>
        <w:t>J Viral Hepat</w:t>
      </w:r>
      <w:r w:rsidRPr="00924A19">
        <w:rPr>
          <w:rFonts w:ascii="Book Antiqua" w:hAnsi="Book Antiqua" w:cs="SimSun"/>
          <w:lang w:val="en-US"/>
        </w:rPr>
        <w:t> 2015; </w:t>
      </w:r>
      <w:r w:rsidRPr="00924A19">
        <w:rPr>
          <w:rFonts w:ascii="Book Antiqua" w:hAnsi="Book Antiqua" w:cs="SimSun"/>
          <w:b/>
          <w:bCs/>
          <w:lang w:val="en-US"/>
        </w:rPr>
        <w:t>22 Suppl 4</w:t>
      </w:r>
      <w:r w:rsidRPr="00924A19">
        <w:rPr>
          <w:rFonts w:ascii="Book Antiqua" w:hAnsi="Book Antiqua" w:cs="SimSun"/>
          <w:lang w:val="en-US"/>
        </w:rPr>
        <w:t>: 4-20 [PMID: 26513445 DOI: 10.1111/jvh.12475]</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59 </w:t>
      </w:r>
      <w:r w:rsidRPr="00924A19">
        <w:rPr>
          <w:rFonts w:ascii="Book Antiqua" w:hAnsi="Book Antiqua" w:cs="SimSun"/>
          <w:b/>
          <w:bCs/>
          <w:lang w:val="en-US"/>
        </w:rPr>
        <w:t>Lawitz E</w:t>
      </w:r>
      <w:r w:rsidRPr="00924A19">
        <w:rPr>
          <w:rFonts w:ascii="Book Antiqua" w:hAnsi="Book Antiqua" w:cs="SimSun"/>
          <w:lang w:val="en-US"/>
        </w:rPr>
        <w:t>, Poordad FF, Pang PS, Hyland RH, Ding X, Mo H, Symonds WT, McHutchison JG, Membreno FE. Sofosbuvir and ledipasvir fixed-dose combination with and without ribavirin in treatment-naive and previously treated patients with genotype 1 hepatitis C virus infection (LONESTAR): an open-label, randomised, phase 2 trial. </w:t>
      </w:r>
      <w:r w:rsidRPr="00924A19">
        <w:rPr>
          <w:rFonts w:ascii="Book Antiqua" w:hAnsi="Book Antiqua" w:cs="SimSun"/>
          <w:i/>
          <w:iCs/>
          <w:lang w:val="en-US"/>
        </w:rPr>
        <w:t>Lancet</w:t>
      </w:r>
      <w:r w:rsidRPr="00924A19">
        <w:rPr>
          <w:rFonts w:ascii="Book Antiqua" w:hAnsi="Book Antiqua" w:cs="SimSun"/>
          <w:lang w:val="en-US"/>
        </w:rPr>
        <w:t> 2014; </w:t>
      </w:r>
      <w:r w:rsidRPr="00924A19">
        <w:rPr>
          <w:rFonts w:ascii="Book Antiqua" w:hAnsi="Book Antiqua" w:cs="SimSun"/>
          <w:b/>
          <w:bCs/>
          <w:lang w:val="en-US"/>
        </w:rPr>
        <w:t>383</w:t>
      </w:r>
      <w:r w:rsidRPr="00924A19">
        <w:rPr>
          <w:rFonts w:ascii="Book Antiqua" w:hAnsi="Book Antiqua" w:cs="SimSun"/>
          <w:lang w:val="en-US"/>
        </w:rPr>
        <w:t>: 515-523 [PMID: 24209977 DOI: 10.1016/S0140-6736(13)62121-2]</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60 </w:t>
      </w:r>
      <w:r w:rsidRPr="00924A19">
        <w:rPr>
          <w:rFonts w:ascii="Book Antiqua" w:hAnsi="Book Antiqua" w:cs="SimSun"/>
          <w:b/>
          <w:bCs/>
          <w:lang w:val="en-US"/>
        </w:rPr>
        <w:t>Sulkowski MS</w:t>
      </w:r>
      <w:r w:rsidRPr="00924A19">
        <w:rPr>
          <w:rFonts w:ascii="Book Antiqua" w:hAnsi="Book Antiqua" w:cs="SimSun"/>
          <w:lang w:val="en-US"/>
        </w:rPr>
        <w:t>, Gardiner DF, Rodriguez-Torres M, Reddy KR, Hassanein T, Jacobson I, Lawitz E, Lok AS, Hinestrosa F, Thuluvath PJ, Schwartz H, Nelson DR, Everson GT, Eley T, Wind-Rotolo M, Huang SP, Gao M, Hernandez D, McPhee F, Sherman D, Hindes R, Symonds W, Pasquinelli C, Grasela DM. Daclatasvir plus sofosbuvir for previously treated or untreated chronic HCV infection. </w:t>
      </w:r>
      <w:r w:rsidRPr="00924A19">
        <w:rPr>
          <w:rFonts w:ascii="Book Antiqua" w:hAnsi="Book Antiqua" w:cs="SimSun"/>
          <w:i/>
          <w:iCs/>
          <w:lang w:val="en-US"/>
        </w:rPr>
        <w:t>N Engl J Med</w:t>
      </w:r>
      <w:r w:rsidRPr="00924A19">
        <w:rPr>
          <w:rFonts w:ascii="Book Antiqua" w:hAnsi="Book Antiqua" w:cs="SimSun"/>
          <w:lang w:val="en-US"/>
        </w:rPr>
        <w:t> 2014; </w:t>
      </w:r>
      <w:r w:rsidRPr="00924A19">
        <w:rPr>
          <w:rFonts w:ascii="Book Antiqua" w:hAnsi="Book Antiqua" w:cs="SimSun"/>
          <w:b/>
          <w:bCs/>
          <w:lang w:val="en-US"/>
        </w:rPr>
        <w:t>370</w:t>
      </w:r>
      <w:r w:rsidRPr="00924A19">
        <w:rPr>
          <w:rFonts w:ascii="Book Antiqua" w:hAnsi="Book Antiqua" w:cs="SimSun"/>
          <w:lang w:val="en-US"/>
        </w:rPr>
        <w:t>: 211-221 [PMID: 24428467 DOI: 10.1056/NEJMoa1306218]</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61 </w:t>
      </w:r>
      <w:r w:rsidRPr="00924A19">
        <w:rPr>
          <w:rFonts w:ascii="Book Antiqua" w:hAnsi="Book Antiqua" w:cs="SimSun"/>
          <w:b/>
          <w:bCs/>
          <w:lang w:val="en-US"/>
        </w:rPr>
        <w:t>Jacobson IM</w:t>
      </w:r>
      <w:r w:rsidRPr="00924A19">
        <w:rPr>
          <w:rFonts w:ascii="Book Antiqua" w:hAnsi="Book Antiqua" w:cs="SimSun"/>
          <w:lang w:val="en-US"/>
        </w:rPr>
        <w:t xml:space="preserve">, Gordon SC, Kowdley KV, Yoshida EM, Rodriguez-Torres M, Sulkowski MS, Shiffman ML, Lawitz E, Everson G, Bennett M, Schiff E, Al-Assi </w:t>
      </w:r>
      <w:r w:rsidRPr="00924A19">
        <w:rPr>
          <w:rFonts w:ascii="Book Antiqua" w:hAnsi="Book Antiqua" w:cs="SimSun"/>
          <w:lang w:val="en-US"/>
        </w:rPr>
        <w:lastRenderedPageBreak/>
        <w:t>MT, Subramanian GM, An D, Lin M, McNally J, Brainard D, Symonds WT, McHutchison JG, Patel K, Feld J, Pianko S, Nelson DR. Sofosbuvir for hepatitis C genotype 2 or 3 in patients without treatment options. </w:t>
      </w:r>
      <w:r w:rsidRPr="00924A19">
        <w:rPr>
          <w:rFonts w:ascii="Book Antiqua" w:hAnsi="Book Antiqua" w:cs="SimSun"/>
          <w:i/>
          <w:iCs/>
          <w:lang w:val="en-US"/>
        </w:rPr>
        <w:t>N Engl J Med</w:t>
      </w:r>
      <w:r w:rsidRPr="00924A19">
        <w:rPr>
          <w:rFonts w:ascii="Book Antiqua" w:hAnsi="Book Antiqua" w:cs="SimSun"/>
          <w:lang w:val="en-US"/>
        </w:rPr>
        <w:t> 2013; </w:t>
      </w:r>
      <w:r w:rsidRPr="00924A19">
        <w:rPr>
          <w:rFonts w:ascii="Book Antiqua" w:hAnsi="Book Antiqua" w:cs="SimSun"/>
          <w:b/>
          <w:bCs/>
          <w:lang w:val="en-US"/>
        </w:rPr>
        <w:t>368</w:t>
      </w:r>
      <w:r w:rsidRPr="00924A19">
        <w:rPr>
          <w:rFonts w:ascii="Book Antiqua" w:hAnsi="Book Antiqua" w:cs="SimSun"/>
          <w:lang w:val="en-US"/>
        </w:rPr>
        <w:t>: 1867-1877 [PMID: 23607593 DOI: 10.1056/NEJMoa1214854]</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62 </w:t>
      </w:r>
      <w:r w:rsidRPr="00924A19">
        <w:rPr>
          <w:rFonts w:ascii="Book Antiqua" w:hAnsi="Book Antiqua" w:cs="SimSun"/>
          <w:b/>
          <w:bCs/>
          <w:lang w:val="en-US"/>
        </w:rPr>
        <w:t>Lawitz E</w:t>
      </w:r>
      <w:r w:rsidRPr="00924A19">
        <w:rPr>
          <w:rFonts w:ascii="Book Antiqua" w:hAnsi="Book Antiqua" w:cs="SimSun"/>
          <w:lang w:val="en-US"/>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924A19">
        <w:rPr>
          <w:rFonts w:ascii="Book Antiqua" w:hAnsi="Book Antiqua" w:cs="SimSun"/>
          <w:i/>
          <w:iCs/>
          <w:lang w:val="en-US"/>
        </w:rPr>
        <w:t>N Engl J Med</w:t>
      </w:r>
      <w:r w:rsidRPr="00924A19">
        <w:rPr>
          <w:rFonts w:ascii="Book Antiqua" w:hAnsi="Book Antiqua" w:cs="SimSun"/>
          <w:lang w:val="en-US"/>
        </w:rPr>
        <w:t> 2013; </w:t>
      </w:r>
      <w:r w:rsidRPr="00924A19">
        <w:rPr>
          <w:rFonts w:ascii="Book Antiqua" w:hAnsi="Book Antiqua" w:cs="SimSun"/>
          <w:b/>
          <w:bCs/>
          <w:lang w:val="en-US"/>
        </w:rPr>
        <w:t>368</w:t>
      </w:r>
      <w:r w:rsidRPr="00924A19">
        <w:rPr>
          <w:rFonts w:ascii="Book Antiqua" w:hAnsi="Book Antiqua" w:cs="SimSun"/>
          <w:lang w:val="en-US"/>
        </w:rPr>
        <w:t>: 1878-1887 [PMID: 23607594 DOI: 10.1056/NEJMoa1214853]</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63 </w:t>
      </w:r>
      <w:r w:rsidRPr="00924A19">
        <w:rPr>
          <w:rFonts w:ascii="Book Antiqua" w:hAnsi="Book Antiqua" w:cs="SimSun"/>
          <w:b/>
          <w:bCs/>
          <w:lang w:val="en-US"/>
        </w:rPr>
        <w:t>Roman F</w:t>
      </w:r>
      <w:r w:rsidRPr="00924A19">
        <w:rPr>
          <w:rFonts w:ascii="Book Antiqua" w:hAnsi="Book Antiqua" w:cs="SimSun"/>
          <w:lang w:val="en-US"/>
        </w:rPr>
        <w:t>, Hawotte K, Struck D, Ternes AM, Servais JY, Arendt V, Hoffman P, Hemmer R, Staub T, Seguin-Devaux C, Schmit JC. Hepatitis C virus genotypes distribution and transmission risk factors in Luxembourg from 1991 to 2006. </w:t>
      </w:r>
      <w:r w:rsidRPr="00924A19">
        <w:rPr>
          <w:rFonts w:ascii="Book Antiqua" w:hAnsi="Book Antiqua" w:cs="SimSun"/>
          <w:i/>
          <w:iCs/>
          <w:lang w:val="en-US"/>
        </w:rPr>
        <w:t>World J Gastroenterol</w:t>
      </w:r>
      <w:r w:rsidRPr="00924A19">
        <w:rPr>
          <w:rFonts w:ascii="Book Antiqua" w:hAnsi="Book Antiqua" w:cs="SimSun"/>
          <w:lang w:val="en-US"/>
        </w:rPr>
        <w:t> 2008; </w:t>
      </w:r>
      <w:r w:rsidRPr="00924A19">
        <w:rPr>
          <w:rFonts w:ascii="Book Antiqua" w:hAnsi="Book Antiqua" w:cs="SimSun"/>
          <w:b/>
          <w:bCs/>
          <w:lang w:val="en-US"/>
        </w:rPr>
        <w:t>14</w:t>
      </w:r>
      <w:r w:rsidRPr="00924A19">
        <w:rPr>
          <w:rFonts w:ascii="Book Antiqua" w:hAnsi="Book Antiqua" w:cs="SimSun"/>
          <w:lang w:val="en-US"/>
        </w:rPr>
        <w:t>: 1237-1243 [PMID: 18300350DOI: 10.3748/wjg.14.1237]</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64 </w:t>
      </w:r>
      <w:r w:rsidRPr="00924A19">
        <w:rPr>
          <w:rFonts w:ascii="Book Antiqua" w:hAnsi="Book Antiqua" w:cs="SimSun"/>
          <w:b/>
          <w:bCs/>
          <w:lang w:val="en-US"/>
        </w:rPr>
        <w:t>Morice Y</w:t>
      </w:r>
      <w:r w:rsidRPr="00924A19">
        <w:rPr>
          <w:rFonts w:ascii="Book Antiqua" w:hAnsi="Book Antiqua" w:cs="SimSun"/>
          <w:lang w:val="en-US"/>
        </w:rPr>
        <w:t>, Cantaloube JF, Beaucourt S, Barbotte L, De Gendt S, Goncales FL, Butterworth L, Cooksley G, Gish RG, Beaugrand M, Fay F, Fay O, Gonzalez JE, Martins RM, Dhumeaux D, Vanderborght B, Stuyver L, Sablon E, de Lamballerie X, Pawlotsky JM. Molecular epidemiology of hepatitis C virus subtype 3a in injecting drug users. </w:t>
      </w:r>
      <w:r w:rsidRPr="00924A19">
        <w:rPr>
          <w:rFonts w:ascii="Book Antiqua" w:hAnsi="Book Antiqua" w:cs="SimSun"/>
          <w:i/>
          <w:iCs/>
          <w:lang w:val="en-US"/>
        </w:rPr>
        <w:t>J Med Virol</w:t>
      </w:r>
      <w:r w:rsidRPr="00924A19">
        <w:rPr>
          <w:rFonts w:ascii="Book Antiqua" w:hAnsi="Book Antiqua" w:cs="SimSun"/>
          <w:lang w:val="en-US"/>
        </w:rPr>
        <w:t> 2006; </w:t>
      </w:r>
      <w:r w:rsidRPr="00924A19">
        <w:rPr>
          <w:rFonts w:ascii="Book Antiqua" w:hAnsi="Book Antiqua" w:cs="SimSun"/>
          <w:b/>
          <w:bCs/>
          <w:lang w:val="en-US"/>
        </w:rPr>
        <w:t>78</w:t>
      </w:r>
      <w:r w:rsidRPr="00924A19">
        <w:rPr>
          <w:rFonts w:ascii="Book Antiqua" w:hAnsi="Book Antiqua" w:cs="SimSun"/>
          <w:lang w:val="en-US"/>
        </w:rPr>
        <w:t>: 1296-1303 [PMID: 16927280DOI: 10.1002/jmv.20692]</w:t>
      </w:r>
    </w:p>
    <w:p w:rsidR="0096104A" w:rsidRPr="00924A19" w:rsidRDefault="0096104A" w:rsidP="0096104A">
      <w:pPr>
        <w:spacing w:line="360" w:lineRule="auto"/>
        <w:jc w:val="both"/>
        <w:rPr>
          <w:rFonts w:ascii="Book Antiqua" w:hAnsi="Book Antiqua" w:cs="SimSun"/>
          <w:lang w:val="en-US"/>
        </w:rPr>
      </w:pPr>
      <w:r w:rsidRPr="00924A19">
        <w:rPr>
          <w:rFonts w:ascii="Book Antiqua" w:hAnsi="Book Antiqua" w:cs="SimSun"/>
          <w:lang w:val="en-US"/>
        </w:rPr>
        <w:t>65 </w:t>
      </w:r>
      <w:r w:rsidRPr="00924A19">
        <w:rPr>
          <w:rFonts w:ascii="Book Antiqua" w:hAnsi="Book Antiqua" w:cs="SimSun"/>
          <w:b/>
          <w:bCs/>
          <w:lang w:val="en-US"/>
        </w:rPr>
        <w:t>Uddin G</w:t>
      </w:r>
      <w:r w:rsidRPr="00924A19">
        <w:rPr>
          <w:rFonts w:ascii="Book Antiqua" w:hAnsi="Book Antiqua" w:cs="SimSun"/>
          <w:lang w:val="en-US"/>
        </w:rPr>
        <w:t>, Shoeb D, Solaiman S, Marley R, Gore C, Ramsay M, Harris R, Ushiro-Lumb I, Moreea S, Alam S, Thomas HC, Khan S, Watt B, Pugh RN, Ramaiah S, Jervis R, Hughes A, Singhal S, Cameron S, Carman WF, Foster GR. Prevalence of chronic viral hepatitis in people of south Asian ethnicity living in England: the prevalence cannot necessarily be predicted from the prevalence in the country of origin. </w:t>
      </w:r>
      <w:r w:rsidRPr="00924A19">
        <w:rPr>
          <w:rFonts w:ascii="Book Antiqua" w:hAnsi="Book Antiqua" w:cs="SimSun"/>
          <w:i/>
          <w:iCs/>
          <w:lang w:val="en-US"/>
        </w:rPr>
        <w:t>J Viral Hepat</w:t>
      </w:r>
      <w:r w:rsidRPr="00924A19">
        <w:rPr>
          <w:rFonts w:ascii="Book Antiqua" w:hAnsi="Book Antiqua" w:cs="SimSun"/>
          <w:lang w:val="en-US"/>
        </w:rPr>
        <w:t> 2010; </w:t>
      </w:r>
      <w:r w:rsidRPr="00924A19">
        <w:rPr>
          <w:rFonts w:ascii="Book Antiqua" w:hAnsi="Book Antiqua" w:cs="SimSun"/>
          <w:b/>
          <w:bCs/>
          <w:lang w:val="en-US"/>
        </w:rPr>
        <w:t>17</w:t>
      </w:r>
      <w:r w:rsidRPr="00924A19">
        <w:rPr>
          <w:rFonts w:ascii="Book Antiqua" w:hAnsi="Book Antiqua" w:cs="SimSun"/>
          <w:lang w:val="en-US"/>
        </w:rPr>
        <w:t>: 327-335 [PMID: 20002307 DOI: 10.1111/j.1365-2893.2009.01240.x]</w:t>
      </w:r>
    </w:p>
    <w:p w:rsidR="00692737" w:rsidRPr="00924A19" w:rsidRDefault="00692737" w:rsidP="00692737">
      <w:pPr>
        <w:spacing w:line="360" w:lineRule="auto"/>
        <w:jc w:val="both"/>
        <w:rPr>
          <w:rFonts w:ascii="Book Antiqua" w:hAnsi="Book Antiqua" w:cs="SimSun"/>
        </w:rPr>
      </w:pPr>
      <w:r w:rsidRPr="00924A19">
        <w:rPr>
          <w:rFonts w:ascii="Book Antiqua" w:hAnsi="Book Antiqua" w:cs="SimSun"/>
          <w:lang w:val="en-US"/>
        </w:rPr>
        <w:lastRenderedPageBreak/>
        <w:t>66 </w:t>
      </w:r>
      <w:r w:rsidRPr="00924A19">
        <w:rPr>
          <w:rFonts w:ascii="Book Antiqua" w:hAnsi="Book Antiqua" w:cs="SimSun"/>
          <w:b/>
          <w:bCs/>
          <w:lang w:val="en-US"/>
        </w:rPr>
        <w:t>Frank C</w:t>
      </w:r>
      <w:r w:rsidRPr="00924A19">
        <w:rPr>
          <w:rFonts w:ascii="Book Antiqua" w:hAnsi="Book Antiqua" w:cs="SimSun"/>
          <w:lang w:val="en-US"/>
        </w:rPr>
        <w:t>, Mohamed MK, Strickland GT, Lavanchy D, Arthur RR, Magder LS, El Khoby T, Abdel-Wahab Y, Aly Ohn ES, Anwar W, Sallam I. The role of parenteral antischistosomal therapy in the spread of hepatitis C virus in Egypt.</w:t>
      </w:r>
      <w:r w:rsidR="006A1619">
        <w:rPr>
          <w:rFonts w:ascii="Book Antiqua" w:hAnsi="Book Antiqua" w:cs="SimSun" w:hint="eastAsia"/>
          <w:lang w:val="en-US"/>
        </w:rPr>
        <w:t xml:space="preserve"> </w:t>
      </w:r>
      <w:r w:rsidRPr="00924A19">
        <w:rPr>
          <w:rFonts w:ascii="Book Antiqua" w:hAnsi="Book Antiqua" w:cs="SimSun"/>
          <w:i/>
          <w:iCs/>
        </w:rPr>
        <w:t>Lancet</w:t>
      </w:r>
      <w:r w:rsidR="006A1619">
        <w:rPr>
          <w:rFonts w:ascii="Book Antiqua" w:hAnsi="Book Antiqua" w:cs="SimSun" w:hint="eastAsia"/>
        </w:rPr>
        <w:t xml:space="preserve"> </w:t>
      </w:r>
      <w:r w:rsidRPr="00924A19">
        <w:rPr>
          <w:rFonts w:ascii="Book Antiqua" w:hAnsi="Book Antiqua" w:cs="SimSun"/>
        </w:rPr>
        <w:t>2000;</w:t>
      </w:r>
      <w:r w:rsidR="006A1619">
        <w:rPr>
          <w:rFonts w:ascii="Book Antiqua" w:hAnsi="Book Antiqua" w:cs="SimSun" w:hint="eastAsia"/>
        </w:rPr>
        <w:t xml:space="preserve"> </w:t>
      </w:r>
      <w:r w:rsidRPr="00924A19">
        <w:rPr>
          <w:rFonts w:ascii="Book Antiqua" w:hAnsi="Book Antiqua" w:cs="SimSun"/>
          <w:b/>
          <w:bCs/>
        </w:rPr>
        <w:t>355</w:t>
      </w:r>
      <w:r w:rsidRPr="00924A19">
        <w:rPr>
          <w:rFonts w:ascii="Book Antiqua" w:hAnsi="Book Antiqua" w:cs="SimSun"/>
        </w:rPr>
        <w:t>:</w:t>
      </w:r>
      <w:r w:rsidR="006A1619">
        <w:rPr>
          <w:rFonts w:ascii="Book Antiqua" w:hAnsi="Book Antiqua" w:cs="SimSun" w:hint="eastAsia"/>
        </w:rPr>
        <w:t xml:space="preserve"> </w:t>
      </w:r>
      <w:r w:rsidRPr="00924A19">
        <w:rPr>
          <w:rFonts w:ascii="Book Antiqua" w:hAnsi="Book Antiqua" w:cs="SimSun"/>
        </w:rPr>
        <w:t>887-891 [PMID: 10752705DOI: 10.1016/S0140-6736(99)06527-7]</w:t>
      </w:r>
    </w:p>
    <w:p w:rsidR="006D3064" w:rsidRPr="00924A19" w:rsidRDefault="006D3064" w:rsidP="006D3064">
      <w:pPr>
        <w:spacing w:line="360" w:lineRule="auto"/>
        <w:jc w:val="both"/>
        <w:rPr>
          <w:rFonts w:ascii="Book Antiqua" w:hAnsi="Book Antiqua" w:cs="SimSun"/>
          <w:lang w:val="en-US"/>
        </w:rPr>
      </w:pPr>
      <w:r w:rsidRPr="00924A19">
        <w:rPr>
          <w:rFonts w:ascii="Book Antiqua" w:hAnsi="Book Antiqua" w:cs="SimSun"/>
          <w:lang w:val="en-US"/>
        </w:rPr>
        <w:t>67 </w:t>
      </w:r>
      <w:r w:rsidRPr="00924A19">
        <w:rPr>
          <w:rFonts w:ascii="Book Antiqua" w:hAnsi="Book Antiqua" w:cs="SimSun"/>
          <w:b/>
          <w:bCs/>
          <w:lang w:val="en-US"/>
        </w:rPr>
        <w:t>Esteban JI</w:t>
      </w:r>
      <w:r w:rsidRPr="00924A19">
        <w:rPr>
          <w:rFonts w:ascii="Book Antiqua" w:hAnsi="Book Antiqua" w:cs="SimSun"/>
          <w:lang w:val="en-US"/>
        </w:rPr>
        <w:t>, Sauleda S, Quer J. The changing epidemiology of hepatitis C virus infection in Europe.</w:t>
      </w:r>
      <w:r w:rsidR="005C2CE7">
        <w:rPr>
          <w:rFonts w:ascii="Book Antiqua" w:hAnsi="Book Antiqua" w:cs="SimSun" w:hint="eastAsia"/>
          <w:lang w:val="en-US"/>
        </w:rPr>
        <w:t xml:space="preserve"> </w:t>
      </w:r>
      <w:r w:rsidRPr="00924A19">
        <w:rPr>
          <w:rFonts w:ascii="Book Antiqua" w:hAnsi="Book Antiqua" w:cs="SimSun"/>
          <w:i/>
          <w:iCs/>
          <w:lang w:val="en-US"/>
        </w:rPr>
        <w:t>J Hepatol</w:t>
      </w:r>
      <w:r w:rsidR="005C2CE7">
        <w:rPr>
          <w:rFonts w:ascii="Book Antiqua" w:hAnsi="Book Antiqua" w:cs="SimSun" w:hint="eastAsia"/>
          <w:lang w:val="en-US"/>
        </w:rPr>
        <w:t xml:space="preserve"> </w:t>
      </w:r>
      <w:r w:rsidRPr="00924A19">
        <w:rPr>
          <w:rFonts w:ascii="Book Antiqua" w:hAnsi="Book Antiqua" w:cs="SimSun"/>
          <w:lang w:val="en-US"/>
        </w:rPr>
        <w:t>2008;</w:t>
      </w:r>
      <w:r w:rsidR="005C2CE7">
        <w:rPr>
          <w:rFonts w:ascii="Book Antiqua" w:hAnsi="Book Antiqua" w:cs="SimSun" w:hint="eastAsia"/>
          <w:lang w:val="en-US"/>
        </w:rPr>
        <w:t xml:space="preserve"> </w:t>
      </w:r>
      <w:r w:rsidRPr="00924A19">
        <w:rPr>
          <w:rFonts w:ascii="Book Antiqua" w:hAnsi="Book Antiqua" w:cs="SimSun"/>
          <w:b/>
          <w:bCs/>
          <w:lang w:val="en-US"/>
        </w:rPr>
        <w:t>48</w:t>
      </w:r>
      <w:r w:rsidRPr="00924A19">
        <w:rPr>
          <w:rFonts w:ascii="Book Antiqua" w:hAnsi="Book Antiqua" w:cs="SimSun"/>
          <w:lang w:val="en-US"/>
        </w:rPr>
        <w:t>: 148-162 [PMID: 18022726DOI: 10.1016/j.jhep.2007.07.033]</w:t>
      </w:r>
    </w:p>
    <w:p w:rsidR="006D3064" w:rsidRPr="00924A19" w:rsidRDefault="006D3064" w:rsidP="006D3064">
      <w:pPr>
        <w:spacing w:line="360" w:lineRule="auto"/>
        <w:jc w:val="both"/>
        <w:rPr>
          <w:rFonts w:ascii="Book Antiqua" w:hAnsi="Book Antiqua" w:cs="SimSun"/>
        </w:rPr>
      </w:pPr>
      <w:r w:rsidRPr="00924A19">
        <w:rPr>
          <w:rFonts w:ascii="Book Antiqua" w:hAnsi="Book Antiqua" w:cs="SimSun"/>
          <w:lang w:val="en-US"/>
        </w:rPr>
        <w:t>68 </w:t>
      </w:r>
      <w:r w:rsidRPr="00924A19">
        <w:rPr>
          <w:rFonts w:ascii="Book Antiqua" w:hAnsi="Book Antiqua" w:cs="SimSun"/>
          <w:b/>
          <w:bCs/>
          <w:lang w:val="en-US"/>
        </w:rPr>
        <w:t>de Bruijne J</w:t>
      </w:r>
      <w:r w:rsidRPr="00924A19">
        <w:rPr>
          <w:rFonts w:ascii="Book Antiqua" w:hAnsi="Book Antiqua" w:cs="SimSun"/>
          <w:lang w:val="en-US"/>
        </w:rPr>
        <w:t>, Schinkel J, Prins M, Koekkoek SM, Aronson SJ, van Ballegooijen MW, Reesink HW, Molenkamp R, van de Laar TJ. Emergence of hepatitis C virus genotype 4: phylogenetic analysis reveals three distinct epidemiological profiles. </w:t>
      </w:r>
      <w:r w:rsidRPr="00924A19">
        <w:rPr>
          <w:rFonts w:ascii="Book Antiqua" w:hAnsi="Book Antiqua" w:cs="SimSun"/>
          <w:i/>
          <w:iCs/>
        </w:rPr>
        <w:t>J Clin Microbiol</w:t>
      </w:r>
      <w:r w:rsidRPr="00924A19">
        <w:rPr>
          <w:rFonts w:ascii="Book Antiqua" w:hAnsi="Book Antiqua" w:cs="SimSun"/>
        </w:rPr>
        <w:t> 2009; </w:t>
      </w:r>
      <w:r w:rsidRPr="00924A19">
        <w:rPr>
          <w:rFonts w:ascii="Book Antiqua" w:hAnsi="Book Antiqua" w:cs="SimSun"/>
          <w:b/>
          <w:bCs/>
        </w:rPr>
        <w:t>47</w:t>
      </w:r>
      <w:r w:rsidRPr="00924A19">
        <w:rPr>
          <w:rFonts w:ascii="Book Antiqua" w:hAnsi="Book Antiqua" w:cs="SimSun"/>
        </w:rPr>
        <w:t>: 3832-3838 [PMID: 19794040 DOI: 10.1128/JCM.01146-09]</w:t>
      </w:r>
    </w:p>
    <w:p w:rsidR="006D3064" w:rsidRPr="00924A19" w:rsidRDefault="006D3064" w:rsidP="006D3064">
      <w:pPr>
        <w:spacing w:line="360" w:lineRule="auto"/>
        <w:jc w:val="both"/>
        <w:rPr>
          <w:rFonts w:ascii="Book Antiqua" w:hAnsi="Book Antiqua" w:cs="SimSun"/>
          <w:lang w:val="en-US"/>
        </w:rPr>
      </w:pPr>
      <w:r w:rsidRPr="00924A19">
        <w:rPr>
          <w:rFonts w:ascii="Book Antiqua" w:hAnsi="Book Antiqua" w:cs="SimSun"/>
          <w:lang w:val="en-US"/>
        </w:rPr>
        <w:t>69 </w:t>
      </w:r>
      <w:r w:rsidRPr="00924A19">
        <w:rPr>
          <w:rFonts w:ascii="Book Antiqua" w:hAnsi="Book Antiqua" w:cs="SimSun"/>
          <w:b/>
          <w:bCs/>
          <w:lang w:val="en-US"/>
        </w:rPr>
        <w:t>Fu Y</w:t>
      </w:r>
      <w:r w:rsidRPr="00924A19">
        <w:rPr>
          <w:rFonts w:ascii="Book Antiqua" w:hAnsi="Book Antiqua" w:cs="SimSun"/>
          <w:lang w:val="en-US"/>
        </w:rPr>
        <w:t>, Qin W, Cao H, Xu R, Tan Y, Lu T, Wang H, Tong W, Rong X, Li G, Yuan M, Li C, Abe K, Lu L, Chen G. HCV 6a prevalence in Guangdong province had the origin from Vietnam and recent dissemination to other regions of China: phylogeographic analyses.</w:t>
      </w:r>
      <w:r w:rsidR="005C2CE7">
        <w:rPr>
          <w:rFonts w:ascii="Book Antiqua" w:hAnsi="Book Antiqua" w:cs="SimSun" w:hint="eastAsia"/>
          <w:lang w:val="en-US"/>
        </w:rPr>
        <w:t xml:space="preserve"> </w:t>
      </w:r>
      <w:r w:rsidRPr="00924A19">
        <w:rPr>
          <w:rFonts w:ascii="Book Antiqua" w:hAnsi="Book Antiqua" w:cs="SimSun"/>
          <w:i/>
          <w:iCs/>
          <w:lang w:val="en-US"/>
        </w:rPr>
        <w:t>PLoS One</w:t>
      </w:r>
      <w:r w:rsidRPr="00924A19">
        <w:rPr>
          <w:rFonts w:ascii="Book Antiqua" w:hAnsi="Book Antiqua" w:cs="SimSun"/>
          <w:lang w:val="en-US"/>
        </w:rPr>
        <w:t> 2012; </w:t>
      </w:r>
      <w:r w:rsidRPr="00924A19">
        <w:rPr>
          <w:rFonts w:ascii="Book Antiqua" w:hAnsi="Book Antiqua" w:cs="SimSun"/>
          <w:b/>
          <w:bCs/>
          <w:lang w:val="en-US"/>
        </w:rPr>
        <w:t>7</w:t>
      </w:r>
      <w:r w:rsidRPr="00924A19">
        <w:rPr>
          <w:rFonts w:ascii="Book Antiqua" w:hAnsi="Book Antiqua" w:cs="SimSun"/>
          <w:lang w:val="en-US"/>
        </w:rPr>
        <w:t>: e28006 [PMID: 22253686 DOI: 10.1371/journal.pone.0028006]</w:t>
      </w:r>
    </w:p>
    <w:p w:rsidR="0096104A" w:rsidRPr="00924A19" w:rsidRDefault="006D3064" w:rsidP="0096104A">
      <w:pPr>
        <w:spacing w:line="360" w:lineRule="auto"/>
        <w:jc w:val="both"/>
        <w:rPr>
          <w:rFonts w:ascii="Book Antiqua" w:hAnsi="Book Antiqua" w:cs="SimSun"/>
        </w:rPr>
      </w:pPr>
      <w:r w:rsidRPr="00924A19">
        <w:rPr>
          <w:rFonts w:ascii="Book Antiqua" w:hAnsi="Book Antiqua" w:cs="SimSun"/>
        </w:rPr>
        <w:t>70</w:t>
      </w:r>
      <w:r w:rsidR="0096104A" w:rsidRPr="00924A19">
        <w:rPr>
          <w:rFonts w:ascii="Book Antiqua" w:hAnsi="Book Antiqua" w:cs="SimSun"/>
        </w:rPr>
        <w:t> </w:t>
      </w:r>
      <w:r w:rsidR="0096104A" w:rsidRPr="00924A19">
        <w:rPr>
          <w:rFonts w:ascii="Book Antiqua" w:hAnsi="Book Antiqua" w:cs="SimSun"/>
          <w:b/>
          <w:bCs/>
        </w:rPr>
        <w:t>Petruzziello A</w:t>
      </w:r>
      <w:r w:rsidR="0096104A" w:rsidRPr="00924A19">
        <w:rPr>
          <w:rFonts w:ascii="Book Antiqua" w:hAnsi="Book Antiqua" w:cs="SimSun"/>
        </w:rPr>
        <w:t>, Coppola N, Diodato AM, Iervolino V, Azzaro R, Di Costanzo G, Di Macchia CA, Di Meo T, Loquercio G, Pasquale G, Cacciapuoti C. Age and gender distribution of hepatitis C virus genotypes in the metropolitan area of Naples.</w:t>
      </w:r>
      <w:r w:rsidR="005C2CE7">
        <w:rPr>
          <w:rFonts w:ascii="Book Antiqua" w:hAnsi="Book Antiqua" w:cs="SimSun" w:hint="eastAsia"/>
        </w:rPr>
        <w:t xml:space="preserve"> </w:t>
      </w:r>
      <w:r w:rsidR="0096104A" w:rsidRPr="00924A19">
        <w:rPr>
          <w:rFonts w:ascii="Book Antiqua" w:hAnsi="Book Antiqua" w:cs="SimSun"/>
          <w:i/>
          <w:iCs/>
        </w:rPr>
        <w:t>Intervirology</w:t>
      </w:r>
      <w:r w:rsidR="0096104A" w:rsidRPr="00924A19">
        <w:rPr>
          <w:rFonts w:ascii="Book Antiqua" w:hAnsi="Book Antiqua" w:cs="SimSun"/>
        </w:rPr>
        <w:t> 2013; </w:t>
      </w:r>
      <w:r w:rsidR="0096104A" w:rsidRPr="00924A19">
        <w:rPr>
          <w:rFonts w:ascii="Book Antiqua" w:hAnsi="Book Antiqua" w:cs="SimSun"/>
          <w:b/>
          <w:bCs/>
        </w:rPr>
        <w:t>56</w:t>
      </w:r>
      <w:r w:rsidR="0096104A" w:rsidRPr="00924A19">
        <w:rPr>
          <w:rFonts w:ascii="Book Antiqua" w:hAnsi="Book Antiqua" w:cs="SimSun"/>
        </w:rPr>
        <w:t>: 206-212 [PMID: 23594735 DOI: 10.1159/000348506]</w:t>
      </w:r>
    </w:p>
    <w:p w:rsidR="0096104A" w:rsidRPr="00924A19" w:rsidRDefault="006D3064" w:rsidP="0096104A">
      <w:pPr>
        <w:spacing w:line="360" w:lineRule="auto"/>
        <w:jc w:val="both"/>
        <w:rPr>
          <w:rFonts w:ascii="Book Antiqua" w:hAnsi="Book Antiqua" w:cs="SimSun"/>
          <w:lang w:val="en-US"/>
        </w:rPr>
      </w:pPr>
      <w:r w:rsidRPr="00924A19">
        <w:rPr>
          <w:rFonts w:ascii="Book Antiqua" w:hAnsi="Book Antiqua" w:cs="SimSun"/>
        </w:rPr>
        <w:t>71</w:t>
      </w:r>
      <w:r w:rsidR="0096104A" w:rsidRPr="00924A19">
        <w:rPr>
          <w:rFonts w:ascii="Book Antiqua" w:hAnsi="Book Antiqua" w:cs="SimSun"/>
        </w:rPr>
        <w:t> </w:t>
      </w:r>
      <w:r w:rsidR="0096104A" w:rsidRPr="00924A19">
        <w:rPr>
          <w:rFonts w:ascii="Book Antiqua" w:hAnsi="Book Antiqua" w:cs="SimSun"/>
          <w:b/>
          <w:bCs/>
        </w:rPr>
        <w:t>Petruzziello A</w:t>
      </w:r>
      <w:r w:rsidR="0096104A" w:rsidRPr="00924A19">
        <w:rPr>
          <w:rFonts w:ascii="Book Antiqua" w:hAnsi="Book Antiqua" w:cs="SimSun"/>
        </w:rPr>
        <w:t>, Coppola N, Loquercio G, Marigliano S, Giordano M, Azzaro R, Diodato AM, Iervolino V, Di Costanzo G, Di Macchia CA, Di Meo T, Paradiso L, Ferro R, Giuliano P, Russo F, Pasquale G, Cacciapuoti C. Distribution pattern of hepatitis C virus genotypes and correlation with viral load and risk factors in chronic positive patients. </w:t>
      </w:r>
      <w:r w:rsidR="0096104A" w:rsidRPr="00924A19">
        <w:rPr>
          <w:rFonts w:ascii="Book Antiqua" w:hAnsi="Book Antiqua" w:cs="SimSun"/>
          <w:i/>
          <w:iCs/>
          <w:lang w:val="en-US"/>
        </w:rPr>
        <w:t>Intervirology</w:t>
      </w:r>
      <w:r w:rsidR="0096104A" w:rsidRPr="00924A19">
        <w:rPr>
          <w:rFonts w:ascii="Book Antiqua" w:hAnsi="Book Antiqua" w:cs="SimSun"/>
          <w:lang w:val="en-US"/>
        </w:rPr>
        <w:t> 2014; </w:t>
      </w:r>
      <w:r w:rsidR="0096104A" w:rsidRPr="00924A19">
        <w:rPr>
          <w:rFonts w:ascii="Book Antiqua" w:hAnsi="Book Antiqua" w:cs="SimSun"/>
          <w:b/>
          <w:bCs/>
          <w:lang w:val="en-US"/>
        </w:rPr>
        <w:t>57</w:t>
      </w:r>
      <w:r w:rsidR="0096104A" w:rsidRPr="00924A19">
        <w:rPr>
          <w:rFonts w:ascii="Book Antiqua" w:hAnsi="Book Antiqua" w:cs="SimSun"/>
          <w:lang w:val="en-US"/>
        </w:rPr>
        <w:t>: 311-318 [PMID: 25170801 DOI: 10.1159/000363386]</w:t>
      </w:r>
    </w:p>
    <w:p w:rsidR="00E0156D" w:rsidRPr="00924A19" w:rsidRDefault="00E0156D" w:rsidP="0096104A">
      <w:pPr>
        <w:widowControl w:val="0"/>
        <w:spacing w:line="360" w:lineRule="auto"/>
        <w:jc w:val="right"/>
        <w:rPr>
          <w:rFonts w:ascii="Book Antiqua" w:hAnsi="Book Antiqua"/>
          <w:kern w:val="2"/>
          <w:lang w:val="en-US"/>
        </w:rPr>
      </w:pPr>
      <w:r w:rsidRPr="00924A19">
        <w:rPr>
          <w:rFonts w:ascii="Book Antiqua" w:hAnsi="Book Antiqua"/>
          <w:b/>
          <w:bCs/>
          <w:kern w:val="2"/>
          <w:lang w:val="en-US"/>
        </w:rPr>
        <w:t xml:space="preserve">P-Reviewer: </w:t>
      </w:r>
      <w:r w:rsidRPr="00924A19">
        <w:rPr>
          <w:rFonts w:ascii="Book Antiqua" w:hAnsi="Book Antiqua"/>
          <w:bCs/>
          <w:kern w:val="2"/>
          <w:lang w:val="en-US"/>
        </w:rPr>
        <w:t xml:space="preserve">Rodriguez-Frias F, Vaughan G </w:t>
      </w:r>
      <w:r w:rsidRPr="00924A19">
        <w:rPr>
          <w:rFonts w:ascii="Book Antiqua" w:hAnsi="Book Antiqua"/>
          <w:b/>
          <w:bCs/>
          <w:kern w:val="2"/>
          <w:lang w:val="en-US"/>
        </w:rPr>
        <w:t>S-Editor:</w:t>
      </w:r>
      <w:r w:rsidRPr="00924A19">
        <w:rPr>
          <w:rFonts w:ascii="Book Antiqua" w:hAnsi="Book Antiqua" w:hint="eastAsia"/>
          <w:kern w:val="2"/>
          <w:lang w:val="en-US"/>
        </w:rPr>
        <w:t xml:space="preserve"> Gong ZM</w:t>
      </w:r>
    </w:p>
    <w:p w:rsidR="00E0156D" w:rsidRPr="00924A19" w:rsidRDefault="00E0156D" w:rsidP="0026366E">
      <w:pPr>
        <w:widowControl w:val="0"/>
        <w:spacing w:line="360" w:lineRule="auto"/>
        <w:jc w:val="right"/>
        <w:rPr>
          <w:rFonts w:ascii="Book Antiqua" w:hAnsi="Book Antiqua"/>
          <w:kern w:val="2"/>
          <w:lang w:val="en-US"/>
        </w:rPr>
      </w:pPr>
      <w:r w:rsidRPr="00924A19">
        <w:rPr>
          <w:rFonts w:ascii="Book Antiqua" w:hAnsi="Book Antiqua"/>
          <w:b/>
          <w:bCs/>
          <w:kern w:val="2"/>
          <w:lang w:val="en-US"/>
        </w:rPr>
        <w:lastRenderedPageBreak/>
        <w:t>L-Editor:</w:t>
      </w:r>
      <w:r w:rsidR="006A1619">
        <w:rPr>
          <w:rFonts w:ascii="Book Antiqua" w:hAnsi="Book Antiqua" w:hint="eastAsia"/>
          <w:b/>
          <w:bCs/>
          <w:kern w:val="2"/>
          <w:lang w:val="en-US"/>
        </w:rPr>
        <w:t xml:space="preserve"> </w:t>
      </w:r>
      <w:r w:rsidRPr="00924A19">
        <w:rPr>
          <w:rFonts w:ascii="Book Antiqua" w:hAnsi="Book Antiqua"/>
          <w:b/>
          <w:bCs/>
          <w:kern w:val="2"/>
          <w:lang w:val="en-US"/>
        </w:rPr>
        <w:t>E-Editor:</w:t>
      </w:r>
    </w:p>
    <w:p w:rsidR="00596E48" w:rsidRPr="003078C8" w:rsidRDefault="00596E48" w:rsidP="00596E48">
      <w:pPr>
        <w:shd w:val="clear" w:color="auto" w:fill="FFFFFF"/>
        <w:snapToGrid w:val="0"/>
        <w:spacing w:line="360" w:lineRule="auto"/>
        <w:rPr>
          <w:rFonts w:ascii="Book Antiqua" w:hAnsi="Book Antiqua" w:cs="Helvetica"/>
          <w:b/>
        </w:rPr>
      </w:pPr>
      <w:bookmarkStart w:id="133" w:name="OLE_LINK497"/>
      <w:bookmarkStart w:id="134" w:name="OLE_LINK81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3078C8">
        <w:rPr>
          <w:rFonts w:ascii="Book Antiqua" w:hAnsi="Book Antiqua" w:cs="Helvetica"/>
          <w:b/>
        </w:rPr>
        <w:t xml:space="preserve">Specialty </w:t>
      </w:r>
      <w:r w:rsidR="00516180" w:rsidRPr="003078C8">
        <w:rPr>
          <w:rFonts w:ascii="Book Antiqua" w:hAnsi="Book Antiqua" w:cs="Helvetica"/>
          <w:b/>
        </w:rPr>
        <w:t>type</w:t>
      </w:r>
      <w:r w:rsidRPr="003078C8">
        <w:rPr>
          <w:rFonts w:ascii="Book Antiqua" w:hAnsi="Book Antiqua" w:cs="Helvetica"/>
          <w:b/>
        </w:rPr>
        <w:t xml:space="preserve">: </w:t>
      </w:r>
      <w:r w:rsidRPr="003078C8">
        <w:rPr>
          <w:rFonts w:ascii="Book Antiqua" w:hAnsi="Book Antiqua" w:cs="Helvetica"/>
        </w:rPr>
        <w:t>Gastroenterology and</w:t>
      </w:r>
      <w:r w:rsidRPr="003078C8">
        <w:rPr>
          <w:rFonts w:ascii="Book Antiqua" w:hAnsi="Book Antiqua" w:cs="Helvetica" w:hint="eastAsia"/>
        </w:rPr>
        <w:t xml:space="preserve"> </w:t>
      </w:r>
      <w:r w:rsidR="00516180" w:rsidRPr="003078C8">
        <w:rPr>
          <w:rFonts w:ascii="Book Antiqua" w:hAnsi="Book Antiqua" w:cs="Helvetica"/>
        </w:rPr>
        <w:t>hepatology</w:t>
      </w:r>
    </w:p>
    <w:p w:rsidR="00596E48" w:rsidRPr="003078C8" w:rsidRDefault="00596E48" w:rsidP="00596E48">
      <w:pPr>
        <w:shd w:val="clear" w:color="auto" w:fill="FFFFFF"/>
        <w:snapToGrid w:val="0"/>
        <w:spacing w:line="360" w:lineRule="auto"/>
        <w:rPr>
          <w:rFonts w:ascii="Book Antiqua" w:hAnsi="Book Antiqua" w:cs="Helvetica"/>
          <w:b/>
        </w:rPr>
      </w:pPr>
      <w:r w:rsidRPr="003078C8">
        <w:rPr>
          <w:rFonts w:ascii="Book Antiqua" w:hAnsi="Book Antiqua" w:cs="Helvetica"/>
          <w:b/>
        </w:rPr>
        <w:t xml:space="preserve">Country of </w:t>
      </w:r>
      <w:r w:rsidR="00516180" w:rsidRPr="003078C8">
        <w:rPr>
          <w:rFonts w:ascii="Book Antiqua" w:hAnsi="Book Antiqua" w:cs="Helvetica"/>
          <w:b/>
        </w:rPr>
        <w:t>origin</w:t>
      </w:r>
      <w:r w:rsidRPr="003078C8">
        <w:rPr>
          <w:rFonts w:ascii="Book Antiqua" w:hAnsi="Book Antiqua" w:cs="Helvetica"/>
          <w:b/>
        </w:rPr>
        <w:t xml:space="preserve">: </w:t>
      </w:r>
      <w:r>
        <w:rPr>
          <w:rFonts w:ascii="Book Antiqua" w:hAnsi="Book Antiqua" w:cs="Helvetica" w:hint="eastAsia"/>
          <w:lang w:val="en-CA"/>
        </w:rPr>
        <w:t>Italy</w:t>
      </w:r>
    </w:p>
    <w:p w:rsidR="00596E48" w:rsidRPr="003078C8" w:rsidRDefault="00596E48" w:rsidP="00596E48">
      <w:pPr>
        <w:shd w:val="clear" w:color="auto" w:fill="FFFFFF"/>
        <w:snapToGrid w:val="0"/>
        <w:spacing w:line="360" w:lineRule="auto"/>
        <w:rPr>
          <w:rFonts w:ascii="Book Antiqua" w:hAnsi="Book Antiqua" w:cs="Helvetica"/>
          <w:b/>
        </w:rPr>
      </w:pPr>
      <w:r w:rsidRPr="003078C8">
        <w:rPr>
          <w:rFonts w:ascii="Book Antiqua" w:hAnsi="Book Antiqua" w:cs="Helvetica"/>
          <w:b/>
        </w:rPr>
        <w:t>Peer-</w:t>
      </w:r>
      <w:r w:rsidR="00516180" w:rsidRPr="003078C8">
        <w:rPr>
          <w:rFonts w:ascii="Book Antiqua" w:hAnsi="Book Antiqua" w:cs="Helvetica"/>
          <w:b/>
        </w:rPr>
        <w:t>review report classification</w:t>
      </w:r>
    </w:p>
    <w:p w:rsidR="00596E48" w:rsidRPr="003078C8" w:rsidRDefault="00596E48" w:rsidP="00596E48">
      <w:pPr>
        <w:shd w:val="clear" w:color="auto" w:fill="FFFFFF"/>
        <w:snapToGrid w:val="0"/>
        <w:spacing w:line="360" w:lineRule="auto"/>
        <w:rPr>
          <w:rFonts w:ascii="Book Antiqua" w:hAnsi="Book Antiqua" w:cs="Helvetica"/>
        </w:rPr>
      </w:pPr>
      <w:r w:rsidRPr="003078C8">
        <w:rPr>
          <w:rFonts w:ascii="Book Antiqua" w:hAnsi="Book Antiqua" w:cs="Helvetica"/>
        </w:rPr>
        <w:t xml:space="preserve">Grade A (Excellent): </w:t>
      </w:r>
      <w:r w:rsidRPr="003078C8">
        <w:rPr>
          <w:rFonts w:ascii="Book Antiqua" w:hAnsi="Book Antiqua" w:cs="Helvetica" w:hint="eastAsia"/>
        </w:rPr>
        <w:t>0</w:t>
      </w:r>
    </w:p>
    <w:p w:rsidR="00596E48" w:rsidRPr="003078C8" w:rsidRDefault="00596E48" w:rsidP="00596E48">
      <w:pPr>
        <w:shd w:val="clear" w:color="auto" w:fill="FFFFFF"/>
        <w:snapToGrid w:val="0"/>
        <w:spacing w:line="360" w:lineRule="auto"/>
        <w:rPr>
          <w:rFonts w:ascii="Book Antiqua" w:hAnsi="Book Antiqua" w:cs="Helvetica"/>
        </w:rPr>
      </w:pPr>
      <w:r w:rsidRPr="003078C8">
        <w:rPr>
          <w:rFonts w:ascii="Book Antiqua" w:hAnsi="Book Antiqua" w:cs="Helvetica"/>
        </w:rPr>
        <w:t xml:space="preserve">Grade B (Very good): </w:t>
      </w:r>
      <w:r>
        <w:rPr>
          <w:rFonts w:ascii="Book Antiqua" w:hAnsi="Book Antiqua" w:cs="Helvetica" w:hint="eastAsia"/>
        </w:rPr>
        <w:t>B</w:t>
      </w:r>
    </w:p>
    <w:p w:rsidR="00596E48" w:rsidRPr="003078C8" w:rsidRDefault="00596E48" w:rsidP="00596E48">
      <w:pPr>
        <w:shd w:val="clear" w:color="auto" w:fill="FFFFFF"/>
        <w:snapToGrid w:val="0"/>
        <w:spacing w:line="360" w:lineRule="auto"/>
        <w:rPr>
          <w:rFonts w:ascii="Book Antiqua" w:hAnsi="Book Antiqua" w:cs="Helvetica"/>
        </w:rPr>
      </w:pPr>
      <w:r w:rsidRPr="003078C8">
        <w:rPr>
          <w:rFonts w:ascii="Book Antiqua" w:hAnsi="Book Antiqua" w:cs="Helvetica"/>
        </w:rPr>
        <w:t xml:space="preserve">Grade C (Good): </w:t>
      </w:r>
      <w:r w:rsidRPr="003078C8">
        <w:rPr>
          <w:rFonts w:ascii="Book Antiqua" w:hAnsi="Book Antiqua" w:cs="Helvetica" w:hint="eastAsia"/>
        </w:rPr>
        <w:t>C</w:t>
      </w:r>
    </w:p>
    <w:p w:rsidR="00596E48" w:rsidRPr="003078C8" w:rsidRDefault="00596E48" w:rsidP="00596E48">
      <w:pPr>
        <w:shd w:val="clear" w:color="auto" w:fill="FFFFFF"/>
        <w:snapToGrid w:val="0"/>
        <w:spacing w:line="360" w:lineRule="auto"/>
        <w:rPr>
          <w:rFonts w:ascii="Book Antiqua" w:hAnsi="Book Antiqua" w:cs="Helvetica"/>
        </w:rPr>
      </w:pPr>
      <w:r w:rsidRPr="003078C8">
        <w:rPr>
          <w:rFonts w:ascii="Book Antiqua" w:hAnsi="Book Antiqua" w:cs="Helvetica"/>
        </w:rPr>
        <w:t xml:space="preserve">Grade D (Fair): </w:t>
      </w:r>
      <w:r w:rsidRPr="003078C8">
        <w:rPr>
          <w:rFonts w:ascii="Book Antiqua" w:hAnsi="Book Antiqua" w:cs="Helvetica" w:hint="eastAsia"/>
        </w:rPr>
        <w:t>0</w:t>
      </w:r>
    </w:p>
    <w:p w:rsidR="00596E48" w:rsidRPr="003078C8" w:rsidRDefault="00596E48" w:rsidP="00596E48">
      <w:pPr>
        <w:shd w:val="clear" w:color="auto" w:fill="FFFFFF"/>
        <w:snapToGrid w:val="0"/>
        <w:spacing w:line="360" w:lineRule="auto"/>
        <w:rPr>
          <w:rFonts w:ascii="Book Antiqua" w:hAnsi="Book Antiqua" w:cs="Helvetica"/>
        </w:rPr>
      </w:pPr>
      <w:r w:rsidRPr="003078C8">
        <w:rPr>
          <w:rFonts w:ascii="Book Antiqua" w:hAnsi="Book Antiqua" w:cs="Helvetica"/>
        </w:rPr>
        <w:t xml:space="preserve">Grade E (Poor): </w:t>
      </w:r>
      <w:r w:rsidRPr="003078C8">
        <w:rPr>
          <w:rFonts w:ascii="Book Antiqua" w:hAnsi="Book Antiqua" w:cs="Helvetica" w:hint="eastAsia"/>
        </w:rPr>
        <w:t>0</w:t>
      </w:r>
    </w:p>
    <w:bookmarkEnd w:id="133"/>
    <w:bookmarkEnd w:id="134"/>
    <w:p w:rsidR="00227D54" w:rsidRPr="00924A19" w:rsidRDefault="00227D54" w:rsidP="0026366E">
      <w:pPr>
        <w:spacing w:line="360" w:lineRule="auto"/>
        <w:rPr>
          <w:rFonts w:ascii="Book Antiqua" w:hAnsi="Book Antiqua"/>
          <w:kern w:val="2"/>
          <w:lang w:val="en-US"/>
        </w:rPr>
      </w:pPr>
      <w:r w:rsidRPr="00924A19">
        <w:rPr>
          <w:rFonts w:ascii="Book Antiqua" w:hAnsi="Book Antiqua"/>
          <w:kern w:val="2"/>
          <w:lang w:val="en-US"/>
        </w:rPr>
        <w:br w:type="page"/>
      </w:r>
    </w:p>
    <w:p w:rsidR="00E0156D" w:rsidRPr="00924A19" w:rsidRDefault="00CA2ECA" w:rsidP="0026366E">
      <w:pPr>
        <w:widowControl w:val="0"/>
        <w:spacing w:line="360" w:lineRule="auto"/>
        <w:jc w:val="both"/>
        <w:rPr>
          <w:noProof/>
          <w:lang w:val="en-US"/>
        </w:rPr>
      </w:pPr>
      <w:r w:rsidRPr="00924A19">
        <w:rPr>
          <w:noProof/>
          <w:lang w:val="en-US"/>
        </w:rPr>
        <w:lastRenderedPageBreak/>
        <w:t>A</w:t>
      </w:r>
    </w:p>
    <w:p w:rsidR="00CA2ECA" w:rsidRPr="00924A19" w:rsidRDefault="00CA2ECA" w:rsidP="0026366E">
      <w:pPr>
        <w:widowControl w:val="0"/>
        <w:spacing w:line="360" w:lineRule="auto"/>
        <w:jc w:val="both"/>
        <w:rPr>
          <w:rFonts w:ascii="Book Antiqua" w:hAnsi="Book Antiqua"/>
          <w:kern w:val="2"/>
          <w:lang w:val="en-US"/>
        </w:rPr>
      </w:pPr>
      <w:r w:rsidRPr="00924A19">
        <w:rPr>
          <w:noProof/>
          <w:lang w:val="en-US"/>
        </w:rPr>
        <w:drawing>
          <wp:inline distT="0" distB="0" distL="0" distR="0" wp14:anchorId="3E24164A" wp14:editId="0977F219">
            <wp:extent cx="5486400" cy="2663825"/>
            <wp:effectExtent l="0" t="0" r="19050" b="222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2ECA" w:rsidRPr="00924A19" w:rsidRDefault="00CA2ECA" w:rsidP="0026366E">
      <w:pPr>
        <w:widowControl w:val="0"/>
        <w:spacing w:line="360" w:lineRule="auto"/>
        <w:jc w:val="both"/>
        <w:rPr>
          <w:rFonts w:ascii="Book Antiqua" w:hAnsi="Book Antiqua"/>
          <w:kern w:val="2"/>
          <w:lang w:val="en-US"/>
        </w:rPr>
      </w:pPr>
      <w:r w:rsidRPr="00924A19">
        <w:rPr>
          <w:rFonts w:ascii="Book Antiqua" w:hAnsi="Book Antiqua"/>
          <w:kern w:val="2"/>
          <w:lang w:val="en-US"/>
        </w:rPr>
        <w:t>B</w:t>
      </w:r>
    </w:p>
    <w:p w:rsidR="00CA2ECA" w:rsidRPr="00924A19" w:rsidRDefault="00CA2ECA" w:rsidP="0026366E">
      <w:pPr>
        <w:widowControl w:val="0"/>
        <w:spacing w:line="360" w:lineRule="auto"/>
        <w:jc w:val="both"/>
        <w:rPr>
          <w:rFonts w:ascii="Book Antiqua" w:hAnsi="Book Antiqua"/>
          <w:kern w:val="2"/>
          <w:lang w:val="en-US"/>
        </w:rPr>
      </w:pPr>
      <w:r w:rsidRPr="00924A19">
        <w:rPr>
          <w:noProof/>
          <w:lang w:val="en-US"/>
        </w:rPr>
        <w:drawing>
          <wp:inline distT="0" distB="0" distL="0" distR="0" wp14:anchorId="598F5B0F" wp14:editId="6BA52E35">
            <wp:extent cx="5400136" cy="2493034"/>
            <wp:effectExtent l="0" t="0" r="0" b="25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7D54" w:rsidRPr="00924A19" w:rsidRDefault="00227D54" w:rsidP="0026366E">
      <w:pPr>
        <w:widowControl w:val="0"/>
        <w:spacing w:line="360" w:lineRule="auto"/>
        <w:jc w:val="both"/>
        <w:rPr>
          <w:rFonts w:ascii="Book Antiqua" w:hAnsi="Book Antiqua"/>
          <w:b/>
          <w:kern w:val="2"/>
          <w:lang w:val="en-US"/>
        </w:rPr>
      </w:pPr>
      <w:r w:rsidRPr="00924A19">
        <w:rPr>
          <w:rFonts w:ascii="Book Antiqua" w:hAnsi="Book Antiqua"/>
          <w:b/>
          <w:kern w:val="2"/>
          <w:lang w:val="en-US"/>
        </w:rPr>
        <w:t>Figure 1</w:t>
      </w:r>
      <w:r w:rsidR="00301815">
        <w:rPr>
          <w:rFonts w:ascii="Book Antiqua" w:hAnsi="Book Antiqua" w:hint="eastAsia"/>
          <w:b/>
          <w:kern w:val="2"/>
          <w:lang w:val="en-US"/>
        </w:rPr>
        <w:t xml:space="preserve"> </w:t>
      </w:r>
      <w:r w:rsidRPr="00924A19">
        <w:rPr>
          <w:rFonts w:ascii="Book Antiqua" w:hAnsi="Book Antiqua"/>
          <w:b/>
          <w:kern w:val="2"/>
          <w:lang w:val="en-US"/>
        </w:rPr>
        <w:t>Anti-hepatitis C virus</w:t>
      </w:r>
      <w:r w:rsidR="006D3064" w:rsidRPr="00924A19">
        <w:rPr>
          <w:rFonts w:ascii="Book Antiqua" w:hAnsi="Book Antiqua"/>
          <w:b/>
          <w:kern w:val="2"/>
          <w:lang w:val="en-US"/>
        </w:rPr>
        <w:t xml:space="preserve"> </w:t>
      </w:r>
      <w:r w:rsidRPr="00924A19">
        <w:rPr>
          <w:rFonts w:ascii="Book Antiqua" w:hAnsi="Book Antiqua"/>
          <w:b/>
          <w:kern w:val="2"/>
          <w:lang w:val="en-US"/>
        </w:rPr>
        <w:t xml:space="preserve">prevalence </w:t>
      </w:r>
      <w:r w:rsidR="00CA2ECA" w:rsidRPr="00924A19">
        <w:rPr>
          <w:rFonts w:ascii="Book Antiqua" w:hAnsi="Book Antiqua"/>
          <w:b/>
          <w:kern w:val="2"/>
          <w:lang w:val="en-US"/>
        </w:rPr>
        <w:t>(A) and genotype distribution (B)</w:t>
      </w:r>
      <w:r w:rsidR="00301815">
        <w:rPr>
          <w:rFonts w:ascii="Book Antiqua" w:hAnsi="Book Antiqua" w:hint="eastAsia"/>
          <w:b/>
          <w:kern w:val="2"/>
          <w:lang w:val="en-US"/>
        </w:rPr>
        <w:t xml:space="preserve"> </w:t>
      </w:r>
      <w:r w:rsidRPr="00924A19">
        <w:rPr>
          <w:rFonts w:ascii="Book Antiqua" w:hAnsi="Book Antiqua"/>
          <w:b/>
          <w:kern w:val="2"/>
          <w:lang w:val="en-US"/>
        </w:rPr>
        <w:t>in Sub-Saharan Africa.</w:t>
      </w:r>
    </w:p>
    <w:p w:rsidR="00C81F6D" w:rsidRPr="00924A19" w:rsidRDefault="00C81F6D" w:rsidP="0026366E">
      <w:pPr>
        <w:spacing w:line="360" w:lineRule="auto"/>
        <w:rPr>
          <w:rFonts w:ascii="Book Antiqua" w:hAnsi="Book Antiqua"/>
          <w:kern w:val="2"/>
          <w:lang w:val="en-US"/>
        </w:rPr>
      </w:pPr>
      <w:r w:rsidRPr="00924A19">
        <w:rPr>
          <w:rFonts w:ascii="Book Antiqua" w:hAnsi="Book Antiqua"/>
          <w:kern w:val="2"/>
          <w:lang w:val="en-US"/>
        </w:rPr>
        <w:br w:type="page"/>
      </w:r>
    </w:p>
    <w:p w:rsidR="00655607" w:rsidRPr="00924A19" w:rsidRDefault="00CA2ECA" w:rsidP="0026366E">
      <w:pPr>
        <w:spacing w:line="360" w:lineRule="auto"/>
        <w:rPr>
          <w:rFonts w:ascii="Book Antiqua" w:hAnsi="Book Antiqua"/>
          <w:kern w:val="2"/>
          <w:lang w:val="en-US"/>
        </w:rPr>
      </w:pPr>
      <w:r w:rsidRPr="00924A19">
        <w:rPr>
          <w:rFonts w:ascii="Book Antiqua" w:hAnsi="Book Antiqua"/>
          <w:kern w:val="2"/>
          <w:lang w:val="en-US"/>
        </w:rPr>
        <w:lastRenderedPageBreak/>
        <w:t>A</w:t>
      </w:r>
    </w:p>
    <w:p w:rsidR="00C81F6D" w:rsidRPr="00924A19" w:rsidRDefault="00655607" w:rsidP="0026366E">
      <w:pPr>
        <w:widowControl w:val="0"/>
        <w:spacing w:line="360" w:lineRule="auto"/>
        <w:jc w:val="both"/>
        <w:rPr>
          <w:rFonts w:ascii="Book Antiqua" w:hAnsi="Book Antiqua"/>
          <w:kern w:val="2"/>
          <w:lang w:val="en-US"/>
        </w:rPr>
      </w:pPr>
      <w:r w:rsidRPr="00924A19">
        <w:rPr>
          <w:noProof/>
          <w:lang w:val="en-US"/>
        </w:rPr>
        <w:drawing>
          <wp:inline distT="0" distB="0" distL="0" distR="0" wp14:anchorId="3AEA8657" wp14:editId="52307E69">
            <wp:extent cx="5486400" cy="2523490"/>
            <wp:effectExtent l="0" t="0" r="19050" b="1016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2ECA" w:rsidRPr="00924A19" w:rsidRDefault="00CA2ECA" w:rsidP="0026366E">
      <w:pPr>
        <w:widowControl w:val="0"/>
        <w:spacing w:line="360" w:lineRule="auto"/>
        <w:jc w:val="both"/>
        <w:rPr>
          <w:rFonts w:ascii="Book Antiqua" w:hAnsi="Book Antiqua"/>
          <w:kern w:val="2"/>
          <w:lang w:val="en-US"/>
        </w:rPr>
      </w:pPr>
      <w:r w:rsidRPr="00924A19">
        <w:rPr>
          <w:rFonts w:ascii="Book Antiqua" w:hAnsi="Book Antiqua"/>
          <w:kern w:val="2"/>
          <w:lang w:val="en-US"/>
        </w:rPr>
        <w:t>B</w:t>
      </w:r>
    </w:p>
    <w:p w:rsidR="00CA2ECA" w:rsidRPr="00924A19" w:rsidRDefault="00CA2ECA" w:rsidP="0026366E">
      <w:pPr>
        <w:widowControl w:val="0"/>
        <w:spacing w:line="360" w:lineRule="auto"/>
        <w:jc w:val="both"/>
        <w:rPr>
          <w:rFonts w:ascii="Book Antiqua" w:hAnsi="Book Antiqua"/>
          <w:kern w:val="2"/>
          <w:lang w:val="en-US"/>
        </w:rPr>
      </w:pPr>
      <w:r w:rsidRPr="00924A19">
        <w:rPr>
          <w:noProof/>
          <w:lang w:val="en-US"/>
        </w:rPr>
        <w:drawing>
          <wp:inline distT="0" distB="0" distL="0" distR="0" wp14:anchorId="296E74F0" wp14:editId="0D88D928">
            <wp:extent cx="5486400" cy="2651125"/>
            <wp:effectExtent l="0" t="0" r="19050" b="1587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264E" w:rsidRPr="00924A19" w:rsidRDefault="00655607" w:rsidP="0026366E">
      <w:pPr>
        <w:snapToGrid w:val="0"/>
        <w:spacing w:line="360" w:lineRule="auto"/>
        <w:jc w:val="both"/>
        <w:rPr>
          <w:rFonts w:ascii="Book Antiqua" w:hAnsi="Book Antiqua" w:cs="AdvGulliv-B"/>
          <w:b/>
          <w:lang w:val="en-US"/>
        </w:rPr>
      </w:pPr>
      <w:r w:rsidRPr="00924A19">
        <w:rPr>
          <w:rFonts w:ascii="Book Antiqua" w:hAnsi="Book Antiqua" w:cs="AdvGulliv-B"/>
          <w:b/>
          <w:lang w:val="en-US"/>
        </w:rPr>
        <w:t xml:space="preserve">Figure </w:t>
      </w:r>
      <w:r w:rsidR="00CA2ECA" w:rsidRPr="00924A19">
        <w:rPr>
          <w:rFonts w:ascii="Book Antiqua" w:hAnsi="Book Antiqua" w:cs="AdvGulliv-B"/>
          <w:b/>
          <w:lang w:val="en-US"/>
        </w:rPr>
        <w:t>2</w:t>
      </w:r>
      <w:r w:rsidR="00301815">
        <w:rPr>
          <w:rFonts w:ascii="Book Antiqua" w:hAnsi="Book Antiqua" w:cs="AdvGulliv-B" w:hint="eastAsia"/>
          <w:b/>
          <w:lang w:val="en-US"/>
        </w:rPr>
        <w:t xml:space="preserve"> </w:t>
      </w:r>
      <w:r w:rsidRPr="00924A19">
        <w:rPr>
          <w:rFonts w:ascii="Book Antiqua" w:hAnsi="Book Antiqua" w:cs="AdvGulliv-B"/>
          <w:b/>
          <w:lang w:val="en-US"/>
        </w:rPr>
        <w:t>Anti-hepatitis C virus</w:t>
      </w:r>
      <w:r w:rsidR="006D3064" w:rsidRPr="00924A19">
        <w:rPr>
          <w:rFonts w:ascii="Book Antiqua" w:hAnsi="Book Antiqua" w:cs="AdvGulliv-B"/>
          <w:b/>
          <w:lang w:val="en-US"/>
        </w:rPr>
        <w:t xml:space="preserve"> </w:t>
      </w:r>
      <w:r w:rsidRPr="00924A19">
        <w:rPr>
          <w:rFonts w:ascii="Book Antiqua" w:hAnsi="Book Antiqua" w:cs="AdvGulliv-B"/>
          <w:b/>
          <w:lang w:val="en-US"/>
        </w:rPr>
        <w:t xml:space="preserve">prevalence </w:t>
      </w:r>
      <w:r w:rsidR="00CA2ECA" w:rsidRPr="00924A19">
        <w:rPr>
          <w:rFonts w:ascii="Book Antiqua" w:hAnsi="Book Antiqua" w:cs="AdvGulliv-B"/>
          <w:b/>
          <w:lang w:val="en-US"/>
        </w:rPr>
        <w:t>(A) and genotype distribution (B)</w:t>
      </w:r>
      <w:r w:rsidR="00301815">
        <w:rPr>
          <w:rFonts w:ascii="Book Antiqua" w:hAnsi="Book Antiqua" w:cs="AdvGulliv-B" w:hint="eastAsia"/>
          <w:b/>
          <w:lang w:val="en-US"/>
        </w:rPr>
        <w:t xml:space="preserve"> </w:t>
      </w:r>
      <w:r w:rsidRPr="00924A19">
        <w:rPr>
          <w:rFonts w:ascii="Book Antiqua" w:hAnsi="Book Antiqua" w:cs="AdvGulliv-B"/>
          <w:b/>
          <w:lang w:val="en-US"/>
        </w:rPr>
        <w:t>in North Africa/Middle Eastern Area.</w:t>
      </w:r>
    </w:p>
    <w:p w:rsidR="0074264E" w:rsidRPr="00924A19" w:rsidRDefault="0074264E" w:rsidP="0026366E">
      <w:pPr>
        <w:spacing w:line="360" w:lineRule="auto"/>
        <w:rPr>
          <w:rFonts w:ascii="Book Antiqua" w:hAnsi="Book Antiqua" w:cs="AdvGulliv-B"/>
          <w:b/>
          <w:lang w:val="en-US"/>
        </w:rPr>
      </w:pPr>
      <w:r w:rsidRPr="00924A19">
        <w:rPr>
          <w:rFonts w:ascii="Book Antiqua" w:hAnsi="Book Antiqua" w:cs="AdvGulliv-B"/>
          <w:b/>
          <w:lang w:val="en-US"/>
        </w:rPr>
        <w:br w:type="page"/>
      </w:r>
    </w:p>
    <w:p w:rsidR="0074264E" w:rsidRPr="00924A19" w:rsidRDefault="00DA4873" w:rsidP="0026366E">
      <w:pPr>
        <w:snapToGrid w:val="0"/>
        <w:spacing w:line="360" w:lineRule="auto"/>
        <w:jc w:val="both"/>
        <w:rPr>
          <w:rFonts w:ascii="Book Antiqua" w:hAnsi="Book Antiqua" w:cs="AdvGulliv-B"/>
          <w:lang w:val="en-US"/>
        </w:rPr>
      </w:pPr>
      <w:r w:rsidRPr="00924A19">
        <w:rPr>
          <w:rFonts w:ascii="Book Antiqua" w:hAnsi="Book Antiqua" w:cs="AdvGulliv-B"/>
          <w:lang w:val="en-US"/>
        </w:rPr>
        <w:lastRenderedPageBreak/>
        <w:t>A</w:t>
      </w:r>
    </w:p>
    <w:p w:rsidR="00DA4873" w:rsidRPr="00924A19" w:rsidRDefault="00DA4873" w:rsidP="0026366E">
      <w:pPr>
        <w:snapToGrid w:val="0"/>
        <w:spacing w:line="360" w:lineRule="auto"/>
        <w:jc w:val="both"/>
        <w:rPr>
          <w:rFonts w:ascii="Book Antiqua" w:hAnsi="Book Antiqua" w:cs="AdvGulliv-B"/>
          <w:lang w:val="en-US"/>
        </w:rPr>
      </w:pPr>
      <w:r w:rsidRPr="00924A19">
        <w:rPr>
          <w:noProof/>
          <w:lang w:val="en-US"/>
        </w:rPr>
        <w:drawing>
          <wp:inline distT="0" distB="0" distL="0" distR="0" wp14:anchorId="55FF8F53" wp14:editId="482A3B0B">
            <wp:extent cx="5486400" cy="2581910"/>
            <wp:effectExtent l="0" t="0" r="19050" b="2794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4873" w:rsidRPr="00924A19" w:rsidRDefault="00DA4873" w:rsidP="0026366E">
      <w:pPr>
        <w:snapToGrid w:val="0"/>
        <w:spacing w:line="360" w:lineRule="auto"/>
        <w:jc w:val="both"/>
        <w:rPr>
          <w:rFonts w:ascii="Book Antiqua" w:hAnsi="Book Antiqua" w:cs="AdvGulliv-B"/>
          <w:lang w:val="en-US"/>
        </w:rPr>
      </w:pPr>
      <w:r w:rsidRPr="00924A19">
        <w:rPr>
          <w:rFonts w:ascii="Book Antiqua" w:hAnsi="Book Antiqua" w:cs="AdvGulliv-B"/>
          <w:lang w:val="en-US"/>
        </w:rPr>
        <w:t>B</w:t>
      </w:r>
    </w:p>
    <w:p w:rsidR="00DA4873" w:rsidRPr="00924A19" w:rsidRDefault="00DA4873" w:rsidP="0026366E">
      <w:pPr>
        <w:snapToGrid w:val="0"/>
        <w:spacing w:line="360" w:lineRule="auto"/>
        <w:jc w:val="both"/>
        <w:rPr>
          <w:rFonts w:ascii="Book Antiqua" w:hAnsi="Book Antiqua" w:cs="AdvGulliv-B"/>
          <w:lang w:val="en-US"/>
        </w:rPr>
      </w:pPr>
      <w:r w:rsidRPr="00924A19">
        <w:rPr>
          <w:noProof/>
          <w:lang w:val="en-US"/>
        </w:rPr>
        <w:drawing>
          <wp:inline distT="0" distB="0" distL="0" distR="0" wp14:anchorId="1727F150" wp14:editId="72613525">
            <wp:extent cx="5486400" cy="2382520"/>
            <wp:effectExtent l="0" t="0" r="19050"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4873" w:rsidRPr="00924A19" w:rsidRDefault="00DA4873" w:rsidP="0026366E">
      <w:pPr>
        <w:snapToGrid w:val="0"/>
        <w:spacing w:line="360" w:lineRule="auto"/>
        <w:jc w:val="both"/>
        <w:rPr>
          <w:rFonts w:ascii="Book Antiqua" w:hAnsi="Book Antiqua" w:cs="AdvGulliv-B"/>
          <w:b/>
          <w:lang w:val="en-US"/>
        </w:rPr>
      </w:pPr>
      <w:r w:rsidRPr="00924A19">
        <w:rPr>
          <w:rFonts w:ascii="Book Antiqua" w:hAnsi="Book Antiqua" w:cs="AdvGulliv-B"/>
          <w:b/>
          <w:lang w:val="en-US"/>
        </w:rPr>
        <w:t>Figure 3 Anti-hepatitis C virus prevalence (A) and genotype distribution (B) in America.</w:t>
      </w:r>
    </w:p>
    <w:p w:rsidR="0043018C" w:rsidRPr="00924A19" w:rsidRDefault="0043018C" w:rsidP="0026366E">
      <w:pPr>
        <w:spacing w:line="360" w:lineRule="auto"/>
        <w:rPr>
          <w:rFonts w:ascii="Book Antiqua" w:hAnsi="Book Antiqua" w:cs="AdvGulliv-B"/>
          <w:lang w:val="en-US"/>
        </w:rPr>
      </w:pPr>
      <w:r w:rsidRPr="00924A19">
        <w:rPr>
          <w:rFonts w:ascii="Book Antiqua" w:hAnsi="Book Antiqua" w:cs="AdvGulliv-B"/>
          <w:lang w:val="en-US"/>
        </w:rPr>
        <w:br w:type="page"/>
      </w:r>
    </w:p>
    <w:p w:rsidR="00DA4873" w:rsidRPr="00924A19" w:rsidRDefault="0043018C" w:rsidP="0026366E">
      <w:pPr>
        <w:snapToGrid w:val="0"/>
        <w:spacing w:line="360" w:lineRule="auto"/>
        <w:jc w:val="both"/>
        <w:rPr>
          <w:rFonts w:ascii="Book Antiqua" w:hAnsi="Book Antiqua" w:cs="AdvGulliv-B"/>
          <w:lang w:val="en-US"/>
        </w:rPr>
      </w:pPr>
      <w:r w:rsidRPr="00924A19">
        <w:rPr>
          <w:rFonts w:ascii="Book Antiqua" w:hAnsi="Book Antiqua" w:cs="AdvGulliv-B"/>
          <w:lang w:val="en-US"/>
        </w:rPr>
        <w:lastRenderedPageBreak/>
        <w:t>A</w:t>
      </w:r>
    </w:p>
    <w:p w:rsidR="0043018C" w:rsidRPr="00924A19" w:rsidRDefault="0043018C" w:rsidP="0026366E">
      <w:pPr>
        <w:snapToGrid w:val="0"/>
        <w:spacing w:line="360" w:lineRule="auto"/>
        <w:jc w:val="both"/>
        <w:rPr>
          <w:rFonts w:ascii="Book Antiqua" w:hAnsi="Book Antiqua" w:cs="AdvGulliv-B"/>
          <w:lang w:val="en-US"/>
        </w:rPr>
      </w:pPr>
      <w:r w:rsidRPr="00924A19">
        <w:rPr>
          <w:noProof/>
          <w:lang w:val="en-US"/>
        </w:rPr>
        <w:drawing>
          <wp:inline distT="0" distB="0" distL="0" distR="0" wp14:anchorId="1640B74B" wp14:editId="4BC46C79">
            <wp:extent cx="5486400" cy="3102610"/>
            <wp:effectExtent l="0" t="0" r="0" b="254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018C" w:rsidRPr="00924A19" w:rsidRDefault="0043018C" w:rsidP="0026366E">
      <w:pPr>
        <w:snapToGrid w:val="0"/>
        <w:spacing w:line="360" w:lineRule="auto"/>
        <w:jc w:val="both"/>
        <w:rPr>
          <w:rFonts w:ascii="Book Antiqua" w:hAnsi="Book Antiqua" w:cs="AdvGulliv-B"/>
          <w:lang w:val="en-US"/>
        </w:rPr>
      </w:pPr>
      <w:r w:rsidRPr="00924A19">
        <w:rPr>
          <w:rFonts w:ascii="Book Antiqua" w:hAnsi="Book Antiqua" w:cs="AdvGulliv-B"/>
          <w:lang w:val="en-US"/>
        </w:rPr>
        <w:t>B</w:t>
      </w:r>
    </w:p>
    <w:p w:rsidR="0043018C" w:rsidRPr="00924A19" w:rsidRDefault="0043018C" w:rsidP="0026366E">
      <w:pPr>
        <w:snapToGrid w:val="0"/>
        <w:spacing w:line="360" w:lineRule="auto"/>
        <w:jc w:val="both"/>
        <w:rPr>
          <w:rFonts w:ascii="Book Antiqua" w:hAnsi="Book Antiqua" w:cs="AdvGulliv-B"/>
          <w:lang w:val="en-US"/>
        </w:rPr>
      </w:pPr>
      <w:r w:rsidRPr="00924A19">
        <w:rPr>
          <w:noProof/>
          <w:lang w:val="en-US"/>
        </w:rPr>
        <w:drawing>
          <wp:inline distT="0" distB="0" distL="0" distR="0" wp14:anchorId="49822896" wp14:editId="215BD909">
            <wp:extent cx="5486400" cy="3070225"/>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2C1D" w:rsidRPr="00924A19" w:rsidRDefault="0043018C" w:rsidP="0026366E">
      <w:pPr>
        <w:snapToGrid w:val="0"/>
        <w:spacing w:line="360" w:lineRule="auto"/>
        <w:jc w:val="both"/>
        <w:rPr>
          <w:rFonts w:ascii="Book Antiqua" w:hAnsi="Book Antiqua" w:cs="AdvGulliv-B"/>
          <w:b/>
          <w:lang w:val="en-US"/>
        </w:rPr>
      </w:pPr>
      <w:r w:rsidRPr="00924A19">
        <w:rPr>
          <w:rFonts w:ascii="Book Antiqua" w:hAnsi="Book Antiqua" w:cs="AdvGulliv-B"/>
          <w:b/>
          <w:lang w:val="en-US"/>
        </w:rPr>
        <w:t xml:space="preserve">Figure </w:t>
      </w:r>
      <w:r w:rsidR="009A1B8D" w:rsidRPr="00924A19">
        <w:rPr>
          <w:rFonts w:ascii="Book Antiqua" w:hAnsi="Book Antiqua" w:cs="AdvGulliv-B"/>
          <w:b/>
          <w:lang w:val="en-US"/>
        </w:rPr>
        <w:t>4</w:t>
      </w:r>
      <w:r w:rsidRPr="00924A19">
        <w:rPr>
          <w:rFonts w:ascii="Book Antiqua" w:hAnsi="Book Antiqua" w:cs="AdvGulliv-B"/>
          <w:b/>
          <w:lang w:val="en-US"/>
        </w:rPr>
        <w:t xml:space="preserve"> Anti-hepatitis C virus prevalence (A) and genotype distribution (B) in Asia.</w:t>
      </w:r>
    </w:p>
    <w:p w:rsidR="00B42C1D" w:rsidRPr="00924A19" w:rsidRDefault="00B42C1D" w:rsidP="0026366E">
      <w:pPr>
        <w:spacing w:line="360" w:lineRule="auto"/>
        <w:rPr>
          <w:rFonts w:ascii="Book Antiqua" w:hAnsi="Book Antiqua" w:cs="AdvGulliv-B"/>
          <w:b/>
          <w:lang w:val="en-US"/>
        </w:rPr>
      </w:pPr>
      <w:r w:rsidRPr="00924A19">
        <w:rPr>
          <w:rFonts w:ascii="Book Antiqua" w:hAnsi="Book Antiqua" w:cs="AdvGulliv-B"/>
          <w:b/>
          <w:lang w:val="en-US"/>
        </w:rPr>
        <w:br w:type="page"/>
      </w:r>
    </w:p>
    <w:p w:rsidR="0043018C" w:rsidRPr="00924A19" w:rsidRDefault="00B42C1D" w:rsidP="0026366E">
      <w:pPr>
        <w:snapToGrid w:val="0"/>
        <w:spacing w:line="360" w:lineRule="auto"/>
        <w:jc w:val="both"/>
        <w:rPr>
          <w:rFonts w:ascii="Book Antiqua" w:hAnsi="Book Antiqua" w:cs="AdvGulliv-B"/>
          <w:lang w:val="en-US"/>
        </w:rPr>
      </w:pPr>
      <w:r w:rsidRPr="00924A19">
        <w:rPr>
          <w:rFonts w:ascii="Book Antiqua" w:hAnsi="Book Antiqua" w:cs="AdvGulliv-B"/>
          <w:lang w:val="en-US"/>
        </w:rPr>
        <w:lastRenderedPageBreak/>
        <w:t>A</w:t>
      </w:r>
    </w:p>
    <w:p w:rsidR="00B42C1D" w:rsidRPr="00924A19" w:rsidRDefault="00B42C1D" w:rsidP="0026366E">
      <w:pPr>
        <w:snapToGrid w:val="0"/>
        <w:spacing w:line="360" w:lineRule="auto"/>
        <w:jc w:val="both"/>
        <w:rPr>
          <w:rFonts w:ascii="Book Antiqua" w:hAnsi="Book Antiqua" w:cs="AdvGulliv-B"/>
          <w:b/>
          <w:lang w:val="en-US"/>
        </w:rPr>
      </w:pPr>
      <w:r w:rsidRPr="00924A19">
        <w:rPr>
          <w:noProof/>
          <w:lang w:val="en-US"/>
        </w:rPr>
        <w:drawing>
          <wp:inline distT="0" distB="0" distL="0" distR="0" wp14:anchorId="5BA2003D" wp14:editId="70F0196C">
            <wp:extent cx="5486400" cy="2497455"/>
            <wp:effectExtent l="0" t="0" r="19050" b="1714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42C1D" w:rsidRPr="00924A19" w:rsidRDefault="00B42C1D" w:rsidP="0026366E">
      <w:pPr>
        <w:snapToGrid w:val="0"/>
        <w:spacing w:line="360" w:lineRule="auto"/>
        <w:jc w:val="both"/>
        <w:rPr>
          <w:rFonts w:ascii="Book Antiqua" w:hAnsi="Book Antiqua" w:cs="AdvGulliv-B"/>
          <w:lang w:val="en-US"/>
        </w:rPr>
      </w:pPr>
      <w:r w:rsidRPr="00924A19">
        <w:rPr>
          <w:rFonts w:ascii="Book Antiqua" w:hAnsi="Book Antiqua" w:cs="AdvGulliv-B"/>
          <w:lang w:val="en-US"/>
        </w:rPr>
        <w:t>B</w:t>
      </w:r>
    </w:p>
    <w:p w:rsidR="00B42C1D" w:rsidRPr="00924A19" w:rsidRDefault="00B42C1D" w:rsidP="0026366E">
      <w:pPr>
        <w:snapToGrid w:val="0"/>
        <w:spacing w:line="360" w:lineRule="auto"/>
        <w:jc w:val="both"/>
        <w:rPr>
          <w:rFonts w:ascii="Book Antiqua" w:hAnsi="Book Antiqua" w:cs="AdvGulliv-B"/>
          <w:lang w:val="en-US"/>
        </w:rPr>
      </w:pPr>
      <w:r w:rsidRPr="00924A19">
        <w:rPr>
          <w:noProof/>
          <w:lang w:val="en-US"/>
        </w:rPr>
        <w:drawing>
          <wp:inline distT="0" distB="0" distL="0" distR="0" wp14:anchorId="460C2857" wp14:editId="5B745EDB">
            <wp:extent cx="4086225" cy="2400300"/>
            <wp:effectExtent l="0" t="0" r="9525" b="1905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018C" w:rsidRPr="00924A19" w:rsidRDefault="00B42C1D" w:rsidP="0026366E">
      <w:pPr>
        <w:snapToGrid w:val="0"/>
        <w:spacing w:line="360" w:lineRule="auto"/>
        <w:jc w:val="both"/>
        <w:rPr>
          <w:rFonts w:ascii="Book Antiqua" w:hAnsi="Book Antiqua" w:cs="AdvGulliv-B"/>
          <w:b/>
          <w:lang w:val="en-US"/>
        </w:rPr>
      </w:pPr>
      <w:r w:rsidRPr="00924A19">
        <w:rPr>
          <w:rFonts w:ascii="Book Antiqua" w:hAnsi="Book Antiqua" w:cs="AdvGulliv-B"/>
          <w:b/>
          <w:lang w:val="en-US"/>
        </w:rPr>
        <w:t xml:space="preserve">Figure </w:t>
      </w:r>
      <w:r w:rsidR="00C9669D" w:rsidRPr="00924A19">
        <w:rPr>
          <w:rFonts w:ascii="Book Antiqua" w:hAnsi="Book Antiqua" w:cs="AdvGulliv-B"/>
          <w:b/>
          <w:lang w:val="en-US"/>
        </w:rPr>
        <w:t xml:space="preserve">5 </w:t>
      </w:r>
      <w:r w:rsidRPr="00924A19">
        <w:rPr>
          <w:rFonts w:ascii="Book Antiqua" w:hAnsi="Book Antiqua" w:cs="AdvGulliv-B"/>
          <w:b/>
          <w:lang w:val="en-US"/>
        </w:rPr>
        <w:t>Anti-hepatitis C virus prevalence (A) and genotype distribution (B) in Australasia.</w:t>
      </w:r>
    </w:p>
    <w:p w:rsidR="00CA2ECA" w:rsidRPr="00924A19" w:rsidRDefault="00CA2ECA" w:rsidP="0026366E">
      <w:pPr>
        <w:spacing w:line="360" w:lineRule="auto"/>
        <w:rPr>
          <w:rFonts w:ascii="Book Antiqua" w:hAnsi="Book Antiqua" w:cs="AdvGulliv-B"/>
          <w:lang w:val="en-US"/>
        </w:rPr>
      </w:pPr>
      <w:r w:rsidRPr="00924A19">
        <w:rPr>
          <w:rFonts w:ascii="Book Antiqua" w:hAnsi="Book Antiqua" w:cs="AdvGulliv-B"/>
          <w:b/>
          <w:lang w:val="en-US"/>
        </w:rPr>
        <w:br w:type="page"/>
      </w:r>
      <w:r w:rsidR="00C9669D" w:rsidRPr="00924A19">
        <w:rPr>
          <w:rFonts w:ascii="Book Antiqua" w:hAnsi="Book Antiqua" w:cs="AdvGulliv-B"/>
          <w:lang w:val="en-US"/>
        </w:rPr>
        <w:lastRenderedPageBreak/>
        <w:t>A</w:t>
      </w:r>
    </w:p>
    <w:p w:rsidR="00C9669D" w:rsidRPr="00924A19" w:rsidRDefault="00C9669D" w:rsidP="0026366E">
      <w:pPr>
        <w:spacing w:line="360" w:lineRule="auto"/>
        <w:rPr>
          <w:rFonts w:ascii="Book Antiqua" w:hAnsi="Book Antiqua" w:cs="AdvGulliv-B"/>
          <w:b/>
          <w:lang w:val="en-US"/>
        </w:rPr>
      </w:pPr>
      <w:r w:rsidRPr="00924A19">
        <w:rPr>
          <w:noProof/>
          <w:lang w:val="en-US"/>
        </w:rPr>
        <w:drawing>
          <wp:inline distT="0" distB="0" distL="0" distR="0" wp14:anchorId="1A67DBD1" wp14:editId="1D6895C1">
            <wp:extent cx="5486400" cy="2527935"/>
            <wp:effectExtent l="0" t="0" r="19050" b="2476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669D" w:rsidRPr="00924A19" w:rsidRDefault="00C9669D" w:rsidP="0026366E">
      <w:pPr>
        <w:spacing w:line="360" w:lineRule="auto"/>
        <w:rPr>
          <w:rFonts w:ascii="Book Antiqua" w:hAnsi="Book Antiqua" w:cs="AdvGulliv-B"/>
          <w:lang w:val="en-US"/>
        </w:rPr>
      </w:pPr>
      <w:r w:rsidRPr="00924A19">
        <w:rPr>
          <w:rFonts w:ascii="Book Antiqua" w:hAnsi="Book Antiqua" w:cs="AdvGulliv-B"/>
          <w:lang w:val="en-US"/>
        </w:rPr>
        <w:t>B</w:t>
      </w:r>
    </w:p>
    <w:p w:rsidR="00C9669D" w:rsidRPr="00924A19" w:rsidRDefault="00C9669D" w:rsidP="0026366E">
      <w:pPr>
        <w:spacing w:line="360" w:lineRule="auto"/>
        <w:rPr>
          <w:rFonts w:ascii="Book Antiqua" w:hAnsi="Book Antiqua" w:cs="AdvGulliv-B"/>
          <w:lang w:val="en-US"/>
        </w:rPr>
      </w:pPr>
      <w:r w:rsidRPr="00924A19">
        <w:rPr>
          <w:noProof/>
          <w:lang w:val="en-US"/>
        </w:rPr>
        <w:drawing>
          <wp:inline distT="0" distB="0" distL="0" distR="0" wp14:anchorId="5045C2C3" wp14:editId="1F4D8EC7">
            <wp:extent cx="5486400" cy="2831465"/>
            <wp:effectExtent l="0" t="0" r="19050" b="2603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9669D" w:rsidRPr="00924A19" w:rsidRDefault="00C9669D" w:rsidP="0026366E">
      <w:pPr>
        <w:snapToGrid w:val="0"/>
        <w:spacing w:line="360" w:lineRule="auto"/>
        <w:jc w:val="both"/>
        <w:rPr>
          <w:rFonts w:ascii="Book Antiqua" w:hAnsi="Book Antiqua" w:cs="AdvGulliv-B"/>
          <w:b/>
          <w:lang w:val="en-US"/>
        </w:rPr>
      </w:pPr>
      <w:r w:rsidRPr="00924A19">
        <w:rPr>
          <w:rFonts w:ascii="Book Antiqua" w:hAnsi="Book Antiqua" w:cs="AdvGulliv-B"/>
          <w:b/>
          <w:lang w:val="en-US"/>
        </w:rPr>
        <w:t xml:space="preserve">Figure </w:t>
      </w:r>
      <w:r w:rsidR="00F908C1" w:rsidRPr="00924A19">
        <w:rPr>
          <w:rFonts w:ascii="Book Antiqua" w:hAnsi="Book Antiqua" w:cs="AdvGulliv-B"/>
          <w:b/>
          <w:lang w:val="en-US"/>
        </w:rPr>
        <w:t>6</w:t>
      </w:r>
      <w:r w:rsidRPr="00924A19">
        <w:rPr>
          <w:rFonts w:ascii="Book Antiqua" w:hAnsi="Book Antiqua" w:cs="AdvGulliv-B"/>
          <w:b/>
          <w:lang w:val="en-US"/>
        </w:rPr>
        <w:t xml:space="preserve"> Anti-hepatitis C virus prevalence (A) and genotype distribution (B) in Europe.</w:t>
      </w:r>
    </w:p>
    <w:p w:rsidR="00C9669D" w:rsidRPr="00924A19" w:rsidRDefault="00C9669D" w:rsidP="0026366E">
      <w:pPr>
        <w:spacing w:line="360" w:lineRule="auto"/>
        <w:rPr>
          <w:rFonts w:ascii="Book Antiqua" w:hAnsi="Book Antiqua" w:cs="AdvGulliv-B"/>
          <w:lang w:val="en-US"/>
        </w:rPr>
      </w:pPr>
    </w:p>
    <w:p w:rsidR="00681F05" w:rsidRPr="00924A19" w:rsidRDefault="00681F05" w:rsidP="0026366E">
      <w:pPr>
        <w:snapToGrid w:val="0"/>
        <w:spacing w:line="360" w:lineRule="auto"/>
        <w:jc w:val="both"/>
        <w:rPr>
          <w:rFonts w:ascii="Book Antiqua" w:eastAsia="Times New Roman" w:hAnsi="Book Antiqua" w:cs="Arial"/>
          <w:lang w:val="en-US"/>
        </w:rPr>
      </w:pPr>
      <w:r w:rsidRPr="00924A19">
        <w:rPr>
          <w:rFonts w:ascii="Book Antiqua" w:eastAsia="Times New Roman" w:hAnsi="Book Antiqua" w:cs="Arial"/>
          <w:lang w:val="en-US"/>
        </w:rPr>
        <w:br w:type="page"/>
      </w:r>
    </w:p>
    <w:tbl>
      <w:tblPr>
        <w:tblStyle w:val="TableGrid"/>
        <w:tblpPr w:leftFromText="141" w:rightFromText="141" w:vertAnchor="page" w:horzAnchor="margin" w:tblpXSpec="center" w:tblpY="3316"/>
        <w:tblW w:w="104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5"/>
        <w:gridCol w:w="1478"/>
        <w:gridCol w:w="1331"/>
        <w:gridCol w:w="1532"/>
        <w:gridCol w:w="1683"/>
        <w:gridCol w:w="1683"/>
      </w:tblGrid>
      <w:tr w:rsidR="00CB25C4" w:rsidRPr="00924A19" w:rsidTr="00CB25C4">
        <w:trPr>
          <w:trHeight w:val="412"/>
        </w:trPr>
        <w:tc>
          <w:tcPr>
            <w:tcW w:w="2775" w:type="dxa"/>
            <w:tcBorders>
              <w:top w:val="single" w:sz="4" w:space="0" w:color="000000" w:themeColor="text1"/>
              <w:bottom w:val="single" w:sz="4" w:space="0" w:color="000000" w:themeColor="text1"/>
            </w:tcBorders>
          </w:tcPr>
          <w:p w:rsidR="00CB25C4" w:rsidRPr="00924A19" w:rsidRDefault="00CB25C4" w:rsidP="0026366E">
            <w:pPr>
              <w:snapToGrid w:val="0"/>
              <w:spacing w:line="360" w:lineRule="auto"/>
              <w:rPr>
                <w:rFonts w:ascii="Book Antiqua" w:hAnsi="Book Antiqua"/>
                <w:b/>
              </w:rPr>
            </w:pPr>
            <w:r w:rsidRPr="00924A19">
              <w:rPr>
                <w:rFonts w:ascii="Book Antiqua" w:eastAsia="ArialMT" w:hAnsi="Book Antiqua" w:cs="ArialMT"/>
                <w:b/>
              </w:rPr>
              <w:lastRenderedPageBreak/>
              <w:t>Continent</w:t>
            </w:r>
          </w:p>
        </w:tc>
        <w:tc>
          <w:tcPr>
            <w:tcW w:w="1478" w:type="dxa"/>
            <w:tcBorders>
              <w:top w:val="single" w:sz="4" w:space="0" w:color="000000" w:themeColor="text1"/>
              <w:bottom w:val="single" w:sz="4" w:space="0" w:color="000000" w:themeColor="text1"/>
            </w:tcBorders>
          </w:tcPr>
          <w:p w:rsidR="006D3064" w:rsidRPr="00924A19" w:rsidRDefault="00CB25C4" w:rsidP="0026366E">
            <w:pPr>
              <w:autoSpaceDE w:val="0"/>
              <w:autoSpaceDN w:val="0"/>
              <w:adjustRightInd w:val="0"/>
              <w:snapToGrid w:val="0"/>
              <w:spacing w:line="360" w:lineRule="auto"/>
              <w:jc w:val="center"/>
              <w:rPr>
                <w:rFonts w:ascii="Book Antiqua" w:eastAsia="ArialMT" w:hAnsi="Book Antiqua" w:cs="ArialMT"/>
                <w:b/>
                <w:sz w:val="20"/>
                <w:szCs w:val="20"/>
              </w:rPr>
            </w:pPr>
            <w:r w:rsidRPr="00924A19">
              <w:rPr>
                <w:rFonts w:ascii="Book Antiqua" w:eastAsia="ArialMT" w:hAnsi="Book Antiqua" w:cs="ArialMT"/>
                <w:b/>
                <w:sz w:val="20"/>
                <w:szCs w:val="20"/>
              </w:rPr>
              <w:t>Anti- HCV</w:t>
            </w:r>
          </w:p>
          <w:p w:rsidR="00CB25C4" w:rsidRPr="00924A19" w:rsidRDefault="00CB25C4" w:rsidP="0026366E">
            <w:pPr>
              <w:autoSpaceDE w:val="0"/>
              <w:autoSpaceDN w:val="0"/>
              <w:adjustRightInd w:val="0"/>
              <w:snapToGrid w:val="0"/>
              <w:spacing w:line="360" w:lineRule="auto"/>
              <w:jc w:val="center"/>
              <w:rPr>
                <w:rFonts w:ascii="Book Antiqua" w:eastAsia="ArialMT" w:hAnsi="Book Antiqua" w:cs="ArialMT"/>
                <w:b/>
                <w:sz w:val="20"/>
                <w:szCs w:val="20"/>
              </w:rPr>
            </w:pPr>
            <w:r w:rsidRPr="00924A19">
              <w:rPr>
                <w:rFonts w:ascii="Book Antiqua" w:eastAsia="ArialMT" w:hAnsi="Book Antiqua" w:cs="ArialMT"/>
                <w:b/>
                <w:sz w:val="20"/>
                <w:szCs w:val="20"/>
              </w:rPr>
              <w:t>prevalence</w:t>
            </w:r>
          </w:p>
          <w:p w:rsidR="00CB25C4" w:rsidRPr="00924A19" w:rsidRDefault="00CB25C4" w:rsidP="0026366E">
            <w:pPr>
              <w:snapToGrid w:val="0"/>
              <w:spacing w:line="360" w:lineRule="auto"/>
              <w:jc w:val="center"/>
              <w:rPr>
                <w:rFonts w:ascii="Book Antiqua" w:hAnsi="Book Antiqua"/>
                <w:b/>
                <w:sz w:val="20"/>
                <w:szCs w:val="20"/>
              </w:rPr>
            </w:pPr>
            <w:r w:rsidRPr="00924A19">
              <w:rPr>
                <w:rFonts w:ascii="Book Antiqua" w:eastAsia="ArialMT" w:hAnsi="Book Antiqua" w:cs="ArialMT"/>
                <w:b/>
                <w:sz w:val="20"/>
                <w:szCs w:val="20"/>
              </w:rPr>
              <w:t>(%)</w:t>
            </w:r>
          </w:p>
        </w:tc>
        <w:tc>
          <w:tcPr>
            <w:tcW w:w="1331" w:type="dxa"/>
            <w:tcBorders>
              <w:top w:val="single" w:sz="4" w:space="0" w:color="000000" w:themeColor="text1"/>
              <w:bottom w:val="single" w:sz="4" w:space="0" w:color="000000" w:themeColor="text1"/>
            </w:tcBorders>
          </w:tcPr>
          <w:p w:rsidR="006D3064" w:rsidRPr="00924A19" w:rsidRDefault="00CB25C4" w:rsidP="0026366E">
            <w:pPr>
              <w:autoSpaceDE w:val="0"/>
              <w:autoSpaceDN w:val="0"/>
              <w:adjustRightInd w:val="0"/>
              <w:snapToGrid w:val="0"/>
              <w:spacing w:line="360" w:lineRule="auto"/>
              <w:jc w:val="center"/>
              <w:rPr>
                <w:rFonts w:ascii="Book Antiqua" w:eastAsia="ArialMT" w:hAnsi="Book Antiqua" w:cs="ArialMT"/>
                <w:b/>
                <w:sz w:val="20"/>
                <w:szCs w:val="20"/>
              </w:rPr>
            </w:pPr>
            <w:r w:rsidRPr="00924A19">
              <w:rPr>
                <w:rFonts w:ascii="Book Antiqua" w:eastAsia="ArialMT" w:hAnsi="Book Antiqua" w:cs="ArialMT"/>
                <w:b/>
                <w:sz w:val="20"/>
                <w:szCs w:val="20"/>
              </w:rPr>
              <w:t>Viraemic</w:t>
            </w:r>
          </w:p>
          <w:p w:rsidR="006D3064" w:rsidRPr="00924A19" w:rsidRDefault="006D3064" w:rsidP="0026366E">
            <w:pPr>
              <w:autoSpaceDE w:val="0"/>
              <w:autoSpaceDN w:val="0"/>
              <w:adjustRightInd w:val="0"/>
              <w:snapToGrid w:val="0"/>
              <w:spacing w:line="360" w:lineRule="auto"/>
              <w:jc w:val="center"/>
              <w:rPr>
                <w:rFonts w:ascii="Book Antiqua" w:eastAsia="ArialMT" w:hAnsi="Book Antiqua" w:cs="ArialMT"/>
                <w:b/>
                <w:sz w:val="20"/>
                <w:szCs w:val="20"/>
              </w:rPr>
            </w:pPr>
            <w:r w:rsidRPr="00924A19">
              <w:rPr>
                <w:rFonts w:ascii="Book Antiqua" w:eastAsia="ArialMT" w:hAnsi="Book Antiqua" w:cs="ArialMT"/>
                <w:b/>
                <w:sz w:val="20"/>
                <w:szCs w:val="20"/>
              </w:rPr>
              <w:t>R</w:t>
            </w:r>
            <w:r w:rsidR="00CB25C4" w:rsidRPr="00924A19">
              <w:rPr>
                <w:rFonts w:ascii="Book Antiqua" w:eastAsia="ArialMT" w:hAnsi="Book Antiqua" w:cs="ArialMT"/>
                <w:b/>
                <w:sz w:val="20"/>
                <w:szCs w:val="20"/>
              </w:rPr>
              <w:t>ate</w:t>
            </w:r>
          </w:p>
          <w:p w:rsidR="00CB25C4" w:rsidRPr="00924A19" w:rsidRDefault="00CB25C4" w:rsidP="0026366E">
            <w:pPr>
              <w:autoSpaceDE w:val="0"/>
              <w:autoSpaceDN w:val="0"/>
              <w:adjustRightInd w:val="0"/>
              <w:snapToGrid w:val="0"/>
              <w:spacing w:line="360" w:lineRule="auto"/>
              <w:jc w:val="center"/>
              <w:rPr>
                <w:rFonts w:ascii="Book Antiqua" w:eastAsia="ArialMT" w:hAnsi="Book Antiqua" w:cs="ArialMT"/>
                <w:b/>
                <w:sz w:val="20"/>
                <w:szCs w:val="20"/>
              </w:rPr>
            </w:pPr>
            <w:r w:rsidRPr="00924A19">
              <w:rPr>
                <w:rFonts w:ascii="Book Antiqua" w:eastAsia="ArialMT" w:hAnsi="Book Antiqua" w:cs="ArialMT"/>
                <w:b/>
                <w:sz w:val="20"/>
                <w:szCs w:val="20"/>
              </w:rPr>
              <w:t>(%)</w:t>
            </w:r>
          </w:p>
        </w:tc>
        <w:tc>
          <w:tcPr>
            <w:tcW w:w="1532" w:type="dxa"/>
            <w:tcBorders>
              <w:top w:val="single" w:sz="4" w:space="0" w:color="000000" w:themeColor="text1"/>
              <w:bottom w:val="single" w:sz="4" w:space="0" w:color="000000" w:themeColor="text1"/>
            </w:tcBorders>
          </w:tcPr>
          <w:p w:rsidR="006D3064" w:rsidRPr="00924A19" w:rsidRDefault="00CB25C4" w:rsidP="0026366E">
            <w:pPr>
              <w:autoSpaceDE w:val="0"/>
              <w:autoSpaceDN w:val="0"/>
              <w:adjustRightInd w:val="0"/>
              <w:snapToGrid w:val="0"/>
              <w:spacing w:line="360" w:lineRule="auto"/>
              <w:jc w:val="center"/>
              <w:rPr>
                <w:rFonts w:ascii="Book Antiqua" w:eastAsia="ArialMT" w:hAnsi="Book Antiqua" w:cs="ArialMT"/>
                <w:b/>
                <w:sz w:val="20"/>
                <w:szCs w:val="20"/>
              </w:rPr>
            </w:pPr>
            <w:r w:rsidRPr="00924A19">
              <w:rPr>
                <w:rFonts w:ascii="Book Antiqua" w:eastAsia="ArialMT" w:hAnsi="Book Antiqua" w:cs="ArialMT"/>
                <w:b/>
                <w:sz w:val="20"/>
                <w:szCs w:val="20"/>
              </w:rPr>
              <w:t>2013</w:t>
            </w:r>
            <w:r w:rsidR="006D3064" w:rsidRPr="00924A19">
              <w:rPr>
                <w:rFonts w:ascii="Book Antiqua" w:eastAsia="ArialMT" w:hAnsi="Book Antiqua" w:cs="ArialMT"/>
                <w:b/>
                <w:sz w:val="20"/>
                <w:szCs w:val="20"/>
              </w:rPr>
              <w:t xml:space="preserve"> </w:t>
            </w:r>
            <w:r w:rsidRPr="00924A19">
              <w:rPr>
                <w:rFonts w:ascii="Book Antiqua" w:eastAsia="ArialMT" w:hAnsi="Book Antiqua" w:cs="ArialMT"/>
                <w:b/>
                <w:sz w:val="20"/>
                <w:szCs w:val="20"/>
              </w:rPr>
              <w:t>population</w:t>
            </w:r>
          </w:p>
          <w:p w:rsidR="00CB25C4" w:rsidRPr="00924A19" w:rsidRDefault="00CB25C4" w:rsidP="0026366E">
            <w:pPr>
              <w:autoSpaceDE w:val="0"/>
              <w:autoSpaceDN w:val="0"/>
              <w:adjustRightInd w:val="0"/>
              <w:snapToGrid w:val="0"/>
              <w:spacing w:line="360" w:lineRule="auto"/>
              <w:jc w:val="center"/>
              <w:rPr>
                <w:rFonts w:ascii="Book Antiqua" w:eastAsia="ArialMT" w:hAnsi="Book Antiqua" w:cs="ArialMT"/>
                <w:b/>
                <w:sz w:val="20"/>
                <w:szCs w:val="20"/>
              </w:rPr>
            </w:pPr>
            <w:r w:rsidRPr="00924A19">
              <w:rPr>
                <w:rFonts w:ascii="Book Antiqua" w:eastAsia="ArialMT" w:hAnsi="Book Antiqua" w:cs="ArialMT"/>
                <w:b/>
                <w:sz w:val="20"/>
                <w:szCs w:val="20"/>
              </w:rPr>
              <w:t>(millions)</w:t>
            </w:r>
          </w:p>
        </w:tc>
        <w:tc>
          <w:tcPr>
            <w:tcW w:w="1683" w:type="dxa"/>
            <w:tcBorders>
              <w:top w:val="single" w:sz="4" w:space="0" w:color="000000" w:themeColor="text1"/>
              <w:bottom w:val="single" w:sz="4" w:space="0" w:color="000000" w:themeColor="text1"/>
            </w:tcBorders>
          </w:tcPr>
          <w:p w:rsidR="000746FA" w:rsidRPr="00924A19" w:rsidRDefault="00CB25C4" w:rsidP="0026366E">
            <w:pPr>
              <w:autoSpaceDE w:val="0"/>
              <w:autoSpaceDN w:val="0"/>
              <w:adjustRightInd w:val="0"/>
              <w:snapToGrid w:val="0"/>
              <w:spacing w:line="360" w:lineRule="auto"/>
              <w:jc w:val="center"/>
              <w:rPr>
                <w:rFonts w:ascii="Book Antiqua" w:eastAsia="ArialMT" w:hAnsi="Book Antiqua" w:cs="ArialMT"/>
                <w:b/>
                <w:sz w:val="20"/>
                <w:szCs w:val="20"/>
              </w:rPr>
            </w:pPr>
            <w:r w:rsidRPr="00924A19">
              <w:rPr>
                <w:rFonts w:ascii="Book Antiqua" w:eastAsia="ArialMT" w:hAnsi="Book Antiqua" w:cs="ArialMT"/>
                <w:b/>
                <w:sz w:val="20"/>
                <w:szCs w:val="20"/>
              </w:rPr>
              <w:t>Anti- HCV</w:t>
            </w:r>
            <w:r w:rsidR="006D3064" w:rsidRPr="00924A19">
              <w:rPr>
                <w:rFonts w:ascii="Book Antiqua" w:eastAsia="ArialMT" w:hAnsi="Book Antiqua" w:cs="ArialMT"/>
                <w:b/>
                <w:sz w:val="20"/>
                <w:szCs w:val="20"/>
              </w:rPr>
              <w:t xml:space="preserve"> </w:t>
            </w:r>
            <w:r w:rsidRPr="00924A19">
              <w:rPr>
                <w:rFonts w:ascii="Book Antiqua" w:eastAsia="ArialMT" w:hAnsi="Book Antiqua" w:cs="ArialMT"/>
                <w:b/>
                <w:sz w:val="20"/>
                <w:szCs w:val="20"/>
              </w:rPr>
              <w:t>infected</w:t>
            </w:r>
          </w:p>
          <w:p w:rsidR="00CB25C4" w:rsidRPr="00924A19" w:rsidRDefault="00CB25C4" w:rsidP="0026366E">
            <w:pPr>
              <w:autoSpaceDE w:val="0"/>
              <w:autoSpaceDN w:val="0"/>
              <w:adjustRightInd w:val="0"/>
              <w:snapToGrid w:val="0"/>
              <w:spacing w:line="360" w:lineRule="auto"/>
              <w:jc w:val="center"/>
              <w:rPr>
                <w:rFonts w:ascii="Book Antiqua" w:eastAsia="ArialMT" w:hAnsi="Book Antiqua" w:cs="ArialMT"/>
                <w:b/>
                <w:sz w:val="20"/>
                <w:szCs w:val="20"/>
              </w:rPr>
            </w:pPr>
            <w:r w:rsidRPr="00924A19">
              <w:rPr>
                <w:rFonts w:ascii="Book Antiqua" w:eastAsia="ArialMT" w:hAnsi="Book Antiqua" w:cs="ArialMT"/>
                <w:b/>
                <w:sz w:val="20"/>
                <w:szCs w:val="20"/>
              </w:rPr>
              <w:t>(millions)</w:t>
            </w:r>
          </w:p>
        </w:tc>
        <w:tc>
          <w:tcPr>
            <w:tcW w:w="1683" w:type="dxa"/>
            <w:tcBorders>
              <w:top w:val="single" w:sz="4" w:space="0" w:color="000000" w:themeColor="text1"/>
              <w:bottom w:val="single" w:sz="4" w:space="0" w:color="000000" w:themeColor="text1"/>
            </w:tcBorders>
          </w:tcPr>
          <w:p w:rsidR="00CB25C4" w:rsidRPr="00924A19" w:rsidRDefault="00CB25C4" w:rsidP="0026366E">
            <w:pPr>
              <w:autoSpaceDE w:val="0"/>
              <w:autoSpaceDN w:val="0"/>
              <w:adjustRightInd w:val="0"/>
              <w:snapToGrid w:val="0"/>
              <w:spacing w:line="360" w:lineRule="auto"/>
              <w:jc w:val="center"/>
              <w:rPr>
                <w:rFonts w:ascii="Book Antiqua" w:eastAsia="ArialMT" w:hAnsi="Book Antiqua" w:cs="ArialMT"/>
                <w:b/>
                <w:sz w:val="20"/>
                <w:szCs w:val="20"/>
              </w:rPr>
            </w:pPr>
            <w:r w:rsidRPr="00924A19">
              <w:rPr>
                <w:rFonts w:ascii="Book Antiqua" w:eastAsia="ArialMT" w:hAnsi="Book Antiqua" w:cs="ArialMT"/>
                <w:b/>
                <w:sz w:val="20"/>
                <w:szCs w:val="20"/>
              </w:rPr>
              <w:t>Viraemic</w:t>
            </w:r>
            <w:r w:rsidR="006D3064" w:rsidRPr="00924A19">
              <w:rPr>
                <w:rFonts w:ascii="Book Antiqua" w:eastAsia="ArialMT" w:hAnsi="Book Antiqua" w:cs="ArialMT"/>
                <w:b/>
                <w:sz w:val="20"/>
                <w:szCs w:val="20"/>
              </w:rPr>
              <w:t xml:space="preserve"> </w:t>
            </w:r>
            <w:r w:rsidRPr="00924A19">
              <w:rPr>
                <w:rFonts w:ascii="Book Antiqua" w:eastAsia="ArialMT" w:hAnsi="Book Antiqua" w:cs="ArialMT"/>
                <w:b/>
                <w:sz w:val="20"/>
                <w:szCs w:val="20"/>
              </w:rPr>
              <w:t>HCV infected</w:t>
            </w:r>
            <w:r w:rsidR="006D3064" w:rsidRPr="00924A19">
              <w:rPr>
                <w:rFonts w:ascii="Book Antiqua" w:eastAsia="ArialMT" w:hAnsi="Book Antiqua" w:cs="ArialMT"/>
                <w:b/>
                <w:sz w:val="20"/>
                <w:szCs w:val="20"/>
              </w:rPr>
              <w:t xml:space="preserve"> </w:t>
            </w:r>
            <w:r w:rsidRPr="00924A19">
              <w:rPr>
                <w:rFonts w:ascii="Book Antiqua" w:eastAsia="ArialMT" w:hAnsi="Book Antiqua" w:cs="ArialMT"/>
                <w:b/>
                <w:sz w:val="20"/>
                <w:szCs w:val="20"/>
              </w:rPr>
              <w:t>(millions)</w:t>
            </w:r>
          </w:p>
        </w:tc>
      </w:tr>
      <w:tr w:rsidR="00CB25C4" w:rsidRPr="00924A19" w:rsidTr="00CB25C4">
        <w:trPr>
          <w:trHeight w:val="412"/>
        </w:trPr>
        <w:tc>
          <w:tcPr>
            <w:tcW w:w="2775" w:type="dxa"/>
            <w:tcBorders>
              <w:top w:val="single" w:sz="4" w:space="0" w:color="000000" w:themeColor="text1"/>
            </w:tcBorders>
            <w:shd w:val="clear" w:color="auto" w:fill="F2F2F2" w:themeFill="background1" w:themeFillShade="F2"/>
          </w:tcPr>
          <w:p w:rsidR="00CB25C4" w:rsidRPr="00924A19" w:rsidRDefault="00CB25C4" w:rsidP="0026366E">
            <w:pPr>
              <w:snapToGrid w:val="0"/>
              <w:spacing w:line="360" w:lineRule="auto"/>
              <w:rPr>
                <w:rFonts w:ascii="Book Antiqua" w:hAnsi="Book Antiqua"/>
              </w:rPr>
            </w:pPr>
            <w:r w:rsidRPr="00924A19">
              <w:rPr>
                <w:rFonts w:ascii="Book Antiqua" w:hAnsi="Book Antiqua"/>
              </w:rPr>
              <w:t>Africa</w:t>
            </w:r>
          </w:p>
        </w:tc>
        <w:tc>
          <w:tcPr>
            <w:tcW w:w="1478" w:type="dxa"/>
            <w:tcBorders>
              <w:top w:val="single" w:sz="4" w:space="0" w:color="000000" w:themeColor="text1"/>
            </w:tcBorders>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2.9</w:t>
            </w:r>
          </w:p>
        </w:tc>
        <w:tc>
          <w:tcPr>
            <w:tcW w:w="1331" w:type="dxa"/>
            <w:tcBorders>
              <w:top w:val="single" w:sz="4" w:space="0" w:color="000000" w:themeColor="text1"/>
            </w:tcBorders>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70.5</w:t>
            </w:r>
          </w:p>
        </w:tc>
        <w:tc>
          <w:tcPr>
            <w:tcW w:w="1532" w:type="dxa"/>
            <w:tcBorders>
              <w:top w:val="single" w:sz="4" w:space="0" w:color="000000" w:themeColor="text1"/>
            </w:tcBorders>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927</w:t>
            </w:r>
          </w:p>
        </w:tc>
        <w:tc>
          <w:tcPr>
            <w:tcW w:w="1683" w:type="dxa"/>
            <w:tcBorders>
              <w:top w:val="single" w:sz="4" w:space="0" w:color="000000" w:themeColor="text1"/>
            </w:tcBorders>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26.9</w:t>
            </w:r>
          </w:p>
        </w:tc>
        <w:tc>
          <w:tcPr>
            <w:tcW w:w="1683" w:type="dxa"/>
            <w:tcBorders>
              <w:top w:val="single" w:sz="4" w:space="0" w:color="000000" w:themeColor="text1"/>
            </w:tcBorders>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19.0</w:t>
            </w:r>
          </w:p>
        </w:tc>
      </w:tr>
      <w:tr w:rsidR="00CB25C4" w:rsidRPr="00924A19" w:rsidTr="00CB25C4">
        <w:trPr>
          <w:trHeight w:val="412"/>
        </w:trPr>
        <w:tc>
          <w:tcPr>
            <w:tcW w:w="2775" w:type="dxa"/>
          </w:tcPr>
          <w:p w:rsidR="00CB25C4" w:rsidRPr="00924A19" w:rsidRDefault="00CB25C4" w:rsidP="0026366E">
            <w:pPr>
              <w:snapToGrid w:val="0"/>
              <w:spacing w:line="360" w:lineRule="auto"/>
              <w:rPr>
                <w:rFonts w:ascii="Book Antiqua" w:hAnsi="Book Antiqua"/>
              </w:rPr>
            </w:pPr>
            <w:r w:rsidRPr="00924A19">
              <w:rPr>
                <w:rFonts w:ascii="Book Antiqua" w:hAnsi="Book Antiqua"/>
              </w:rPr>
              <w:t>North Africa/Middle East</w:t>
            </w:r>
          </w:p>
        </w:tc>
        <w:tc>
          <w:tcPr>
            <w:tcW w:w="1478"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2.7</w:t>
            </w:r>
          </w:p>
        </w:tc>
        <w:tc>
          <w:tcPr>
            <w:tcW w:w="1331"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68.8</w:t>
            </w:r>
          </w:p>
        </w:tc>
        <w:tc>
          <w:tcPr>
            <w:tcW w:w="1532"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469</w:t>
            </w:r>
          </w:p>
        </w:tc>
        <w:tc>
          <w:tcPr>
            <w:tcW w:w="1683"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12.7</w:t>
            </w:r>
          </w:p>
        </w:tc>
        <w:tc>
          <w:tcPr>
            <w:tcW w:w="1683"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8.7</w:t>
            </w:r>
          </w:p>
        </w:tc>
      </w:tr>
      <w:tr w:rsidR="00CB25C4" w:rsidRPr="00924A19" w:rsidTr="00CB25C4">
        <w:trPr>
          <w:trHeight w:val="390"/>
        </w:trPr>
        <w:tc>
          <w:tcPr>
            <w:tcW w:w="2775" w:type="dxa"/>
            <w:shd w:val="clear" w:color="auto" w:fill="F2F2F2" w:themeFill="background1" w:themeFillShade="F2"/>
          </w:tcPr>
          <w:p w:rsidR="00CB25C4" w:rsidRPr="00924A19" w:rsidRDefault="00CB25C4" w:rsidP="0026366E">
            <w:pPr>
              <w:snapToGrid w:val="0"/>
              <w:spacing w:line="360" w:lineRule="auto"/>
              <w:rPr>
                <w:rFonts w:ascii="Book Antiqua" w:hAnsi="Book Antiqua"/>
              </w:rPr>
            </w:pPr>
            <w:r w:rsidRPr="00924A19">
              <w:rPr>
                <w:rFonts w:ascii="Book Antiqua" w:hAnsi="Book Antiqua"/>
              </w:rPr>
              <w:t>America</w:t>
            </w:r>
          </w:p>
        </w:tc>
        <w:tc>
          <w:tcPr>
            <w:tcW w:w="1478"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1.3</w:t>
            </w:r>
          </w:p>
        </w:tc>
        <w:tc>
          <w:tcPr>
            <w:tcW w:w="1331"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74.0</w:t>
            </w:r>
          </w:p>
        </w:tc>
        <w:tc>
          <w:tcPr>
            <w:tcW w:w="1532"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953.7</w:t>
            </w:r>
          </w:p>
        </w:tc>
        <w:tc>
          <w:tcPr>
            <w:tcW w:w="1683"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12.4</w:t>
            </w:r>
          </w:p>
        </w:tc>
        <w:tc>
          <w:tcPr>
            <w:tcW w:w="1683"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9.2</w:t>
            </w:r>
          </w:p>
        </w:tc>
      </w:tr>
      <w:tr w:rsidR="00CB25C4" w:rsidRPr="00924A19" w:rsidTr="00CB25C4">
        <w:trPr>
          <w:trHeight w:val="412"/>
        </w:trPr>
        <w:tc>
          <w:tcPr>
            <w:tcW w:w="2775" w:type="dxa"/>
          </w:tcPr>
          <w:p w:rsidR="00CB25C4" w:rsidRPr="00924A19" w:rsidRDefault="00CB25C4" w:rsidP="0026366E">
            <w:pPr>
              <w:snapToGrid w:val="0"/>
              <w:spacing w:line="360" w:lineRule="auto"/>
              <w:rPr>
                <w:rFonts w:ascii="Book Antiqua" w:hAnsi="Book Antiqua"/>
              </w:rPr>
            </w:pPr>
            <w:r w:rsidRPr="00924A19">
              <w:rPr>
                <w:rFonts w:ascii="Book Antiqua" w:hAnsi="Book Antiqua"/>
              </w:rPr>
              <w:t>Asia</w:t>
            </w:r>
          </w:p>
        </w:tc>
        <w:tc>
          <w:tcPr>
            <w:tcW w:w="1478"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2.8</w:t>
            </w:r>
          </w:p>
        </w:tc>
        <w:tc>
          <w:tcPr>
            <w:tcW w:w="1331"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64.4</w:t>
            </w:r>
          </w:p>
        </w:tc>
        <w:tc>
          <w:tcPr>
            <w:tcW w:w="1532"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3985</w:t>
            </w:r>
          </w:p>
        </w:tc>
        <w:tc>
          <w:tcPr>
            <w:tcW w:w="1683"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111.6</w:t>
            </w:r>
          </w:p>
        </w:tc>
        <w:tc>
          <w:tcPr>
            <w:tcW w:w="1683"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71.9</w:t>
            </w:r>
          </w:p>
        </w:tc>
      </w:tr>
      <w:tr w:rsidR="00CB25C4" w:rsidRPr="00924A19" w:rsidTr="00CB25C4">
        <w:trPr>
          <w:trHeight w:val="412"/>
        </w:trPr>
        <w:tc>
          <w:tcPr>
            <w:tcW w:w="2775" w:type="dxa"/>
            <w:shd w:val="clear" w:color="auto" w:fill="F2F2F2" w:themeFill="background1" w:themeFillShade="F2"/>
          </w:tcPr>
          <w:p w:rsidR="00CB25C4" w:rsidRPr="00924A19" w:rsidRDefault="00CB25C4" w:rsidP="0026366E">
            <w:pPr>
              <w:snapToGrid w:val="0"/>
              <w:spacing w:line="360" w:lineRule="auto"/>
              <w:rPr>
                <w:rFonts w:ascii="Book Antiqua" w:hAnsi="Book Antiqua"/>
              </w:rPr>
            </w:pPr>
            <w:r w:rsidRPr="00924A19">
              <w:rPr>
                <w:rFonts w:ascii="Book Antiqua" w:hAnsi="Book Antiqua"/>
              </w:rPr>
              <w:t>Australasia</w:t>
            </w:r>
          </w:p>
        </w:tc>
        <w:tc>
          <w:tcPr>
            <w:tcW w:w="1478"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1.8</w:t>
            </w:r>
          </w:p>
        </w:tc>
        <w:tc>
          <w:tcPr>
            <w:tcW w:w="1331"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74.8</w:t>
            </w:r>
          </w:p>
        </w:tc>
        <w:tc>
          <w:tcPr>
            <w:tcW w:w="1532"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28</w:t>
            </w:r>
          </w:p>
        </w:tc>
        <w:tc>
          <w:tcPr>
            <w:tcW w:w="1683"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0.5</w:t>
            </w:r>
          </w:p>
        </w:tc>
        <w:tc>
          <w:tcPr>
            <w:tcW w:w="1683"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0.4</w:t>
            </w:r>
          </w:p>
        </w:tc>
      </w:tr>
      <w:tr w:rsidR="00CB25C4" w:rsidRPr="00924A19" w:rsidTr="00CB25C4">
        <w:trPr>
          <w:trHeight w:val="412"/>
        </w:trPr>
        <w:tc>
          <w:tcPr>
            <w:tcW w:w="2775" w:type="dxa"/>
          </w:tcPr>
          <w:p w:rsidR="00CB25C4" w:rsidRPr="00924A19" w:rsidRDefault="00CB25C4" w:rsidP="0026366E">
            <w:pPr>
              <w:snapToGrid w:val="0"/>
              <w:spacing w:line="360" w:lineRule="auto"/>
              <w:rPr>
                <w:rFonts w:ascii="Book Antiqua" w:hAnsi="Book Antiqua"/>
              </w:rPr>
            </w:pPr>
            <w:r w:rsidRPr="00924A19">
              <w:rPr>
                <w:rFonts w:ascii="Book Antiqua" w:hAnsi="Book Antiqua"/>
              </w:rPr>
              <w:t>Europe</w:t>
            </w:r>
          </w:p>
        </w:tc>
        <w:tc>
          <w:tcPr>
            <w:tcW w:w="1478"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1.8</w:t>
            </w:r>
          </w:p>
        </w:tc>
        <w:tc>
          <w:tcPr>
            <w:tcW w:w="1331"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72.4</w:t>
            </w:r>
          </w:p>
        </w:tc>
        <w:tc>
          <w:tcPr>
            <w:tcW w:w="1532"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742.5</w:t>
            </w:r>
          </w:p>
        </w:tc>
        <w:tc>
          <w:tcPr>
            <w:tcW w:w="1683"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13.4</w:t>
            </w:r>
          </w:p>
        </w:tc>
        <w:tc>
          <w:tcPr>
            <w:tcW w:w="1683" w:type="dxa"/>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9.7</w:t>
            </w:r>
          </w:p>
        </w:tc>
      </w:tr>
      <w:tr w:rsidR="00CB25C4" w:rsidRPr="00924A19" w:rsidTr="00CB25C4">
        <w:trPr>
          <w:trHeight w:val="390"/>
        </w:trPr>
        <w:tc>
          <w:tcPr>
            <w:tcW w:w="2775" w:type="dxa"/>
            <w:shd w:val="clear" w:color="auto" w:fill="F2F2F2" w:themeFill="background1" w:themeFillShade="F2"/>
          </w:tcPr>
          <w:p w:rsidR="00CB25C4" w:rsidRPr="00924A19" w:rsidRDefault="00CB25C4" w:rsidP="0026366E">
            <w:pPr>
              <w:snapToGrid w:val="0"/>
              <w:spacing w:line="360" w:lineRule="auto"/>
              <w:rPr>
                <w:rFonts w:ascii="Book Antiqua" w:hAnsi="Book Antiqua"/>
              </w:rPr>
            </w:pPr>
            <w:r w:rsidRPr="00924A19">
              <w:rPr>
                <w:rFonts w:ascii="Book Antiqua" w:hAnsi="Book Antiqua"/>
              </w:rPr>
              <w:t>Total</w:t>
            </w:r>
          </w:p>
        </w:tc>
        <w:tc>
          <w:tcPr>
            <w:tcW w:w="1478"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2.5</w:t>
            </w:r>
          </w:p>
        </w:tc>
        <w:tc>
          <w:tcPr>
            <w:tcW w:w="1331"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67.0</w:t>
            </w:r>
          </w:p>
        </w:tc>
        <w:tc>
          <w:tcPr>
            <w:tcW w:w="1532"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7105.2</w:t>
            </w:r>
          </w:p>
        </w:tc>
        <w:tc>
          <w:tcPr>
            <w:tcW w:w="1683"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177.5</w:t>
            </w:r>
          </w:p>
        </w:tc>
        <w:tc>
          <w:tcPr>
            <w:tcW w:w="1683" w:type="dxa"/>
            <w:shd w:val="clear" w:color="auto" w:fill="F2F2F2" w:themeFill="background1" w:themeFillShade="F2"/>
            <w:vAlign w:val="center"/>
          </w:tcPr>
          <w:p w:rsidR="00CB25C4" w:rsidRPr="00924A19" w:rsidRDefault="00CB25C4" w:rsidP="0026366E">
            <w:pPr>
              <w:snapToGrid w:val="0"/>
              <w:spacing w:line="360" w:lineRule="auto"/>
              <w:jc w:val="center"/>
              <w:rPr>
                <w:rFonts w:ascii="Book Antiqua" w:hAnsi="Book Antiqua"/>
              </w:rPr>
            </w:pPr>
            <w:r w:rsidRPr="00924A19">
              <w:rPr>
                <w:rFonts w:ascii="Book Antiqua" w:hAnsi="Book Antiqua"/>
              </w:rPr>
              <w:t>118.9</w:t>
            </w:r>
          </w:p>
        </w:tc>
      </w:tr>
    </w:tbl>
    <w:p w:rsidR="00E44944" w:rsidRPr="00924A19" w:rsidRDefault="00E44944" w:rsidP="0026366E">
      <w:pPr>
        <w:snapToGrid w:val="0"/>
        <w:spacing w:line="360" w:lineRule="auto"/>
        <w:jc w:val="both"/>
        <w:rPr>
          <w:rFonts w:ascii="Book Antiqua" w:hAnsi="Book Antiqua" w:cs="AdvGulliv-B"/>
          <w:b/>
          <w:lang w:val="en-US"/>
        </w:rPr>
      </w:pPr>
      <w:r w:rsidRPr="00924A19">
        <w:rPr>
          <w:rFonts w:ascii="Book Antiqua" w:hAnsi="Book Antiqua" w:cs="AdvGulliv-B"/>
          <w:b/>
          <w:lang w:val="en-US"/>
        </w:rPr>
        <w:t>Table 1</w:t>
      </w:r>
      <w:r w:rsidR="00301815">
        <w:rPr>
          <w:rFonts w:ascii="Book Antiqua" w:hAnsi="Book Antiqua" w:cs="AdvGulliv-B" w:hint="eastAsia"/>
          <w:b/>
          <w:lang w:val="en-US"/>
        </w:rPr>
        <w:t xml:space="preserve"> </w:t>
      </w:r>
      <w:r w:rsidRPr="00924A19">
        <w:rPr>
          <w:rFonts w:ascii="Book Antiqua" w:hAnsi="Book Antiqua" w:cs="AdvGulliv-B"/>
          <w:b/>
          <w:lang w:val="en-US"/>
        </w:rPr>
        <w:t>Global anti-</w:t>
      </w:r>
      <w:r w:rsidR="00CB25C4" w:rsidRPr="00924A19">
        <w:rPr>
          <w:rFonts w:ascii="Book Antiqua" w:hAnsi="Book Antiqua" w:cs="AdvGulliv-B"/>
          <w:b/>
          <w:lang w:val="en-US"/>
        </w:rPr>
        <w:t>hepatitis C virus</w:t>
      </w:r>
      <w:r w:rsidRPr="00924A19">
        <w:rPr>
          <w:rFonts w:ascii="Book Antiqua" w:hAnsi="Book Antiqua" w:cs="AdvGulliv-B"/>
          <w:b/>
          <w:lang w:val="en-US"/>
        </w:rPr>
        <w:t xml:space="preserve"> prevalence and number of </w:t>
      </w:r>
      <w:r w:rsidR="00A50DB6" w:rsidRPr="00924A19">
        <w:rPr>
          <w:rFonts w:ascii="Book Antiqua" w:hAnsi="Book Antiqua" w:cs="AdvGulliv-B"/>
          <w:b/>
          <w:lang w:val="en-US"/>
        </w:rPr>
        <w:t>infected individuals (all ages)</w:t>
      </w:r>
    </w:p>
    <w:p w:rsidR="00E44944" w:rsidRPr="00924A19" w:rsidRDefault="00CB25C4" w:rsidP="0026366E">
      <w:pPr>
        <w:snapToGrid w:val="0"/>
        <w:spacing w:line="360" w:lineRule="auto"/>
        <w:jc w:val="both"/>
        <w:rPr>
          <w:rFonts w:ascii="Book Antiqua" w:hAnsi="Book Antiqua" w:cs="AdvGulliv-B"/>
          <w:lang w:val="en-US"/>
        </w:rPr>
      </w:pPr>
      <w:r w:rsidRPr="00924A19">
        <w:rPr>
          <w:rFonts w:ascii="Book Antiqua" w:eastAsia="ArialMT" w:hAnsi="Book Antiqua" w:cs="ArialMT"/>
          <w:lang w:val="en-US"/>
        </w:rPr>
        <w:t xml:space="preserve">HCV: </w:t>
      </w:r>
      <w:r w:rsidRPr="00924A19">
        <w:rPr>
          <w:rFonts w:ascii="Book Antiqua" w:eastAsia="ArialMT" w:hAnsi="Book Antiqua" w:cs="ArialMT"/>
          <w:caps/>
          <w:lang w:val="en-US"/>
        </w:rPr>
        <w:t>h</w:t>
      </w:r>
      <w:r w:rsidRPr="00924A19">
        <w:rPr>
          <w:rFonts w:ascii="Book Antiqua" w:eastAsia="ArialMT" w:hAnsi="Book Antiqua" w:cs="ArialMT"/>
          <w:lang w:val="en-US"/>
        </w:rPr>
        <w:t>epatitis C virus.</w:t>
      </w:r>
    </w:p>
    <w:p w:rsidR="00A009F6" w:rsidRPr="00924A19" w:rsidRDefault="00A009F6" w:rsidP="0026366E">
      <w:pPr>
        <w:snapToGrid w:val="0"/>
        <w:spacing w:line="360" w:lineRule="auto"/>
        <w:jc w:val="both"/>
        <w:rPr>
          <w:rFonts w:ascii="Book Antiqua" w:hAnsi="Book Antiqua" w:cs="AdvGulliv-B"/>
          <w:lang w:val="en-US"/>
        </w:rPr>
      </w:pPr>
    </w:p>
    <w:p w:rsidR="00A009F6" w:rsidRPr="00924A19" w:rsidRDefault="00A009F6" w:rsidP="0026366E">
      <w:pPr>
        <w:snapToGrid w:val="0"/>
        <w:spacing w:line="360" w:lineRule="auto"/>
        <w:jc w:val="both"/>
        <w:rPr>
          <w:rFonts w:ascii="Book Antiqua" w:hAnsi="Book Antiqua" w:cs="AdvGulliv-B"/>
          <w:lang w:val="en-US"/>
        </w:rPr>
      </w:pPr>
      <w:r w:rsidRPr="00924A19">
        <w:rPr>
          <w:rFonts w:ascii="Book Antiqua" w:hAnsi="Book Antiqua" w:cs="AdvGulliv-B"/>
          <w:lang w:val="en-US"/>
        </w:rPr>
        <w:br w:type="page"/>
      </w:r>
    </w:p>
    <w:p w:rsidR="00E44944" w:rsidRPr="00924A19" w:rsidRDefault="00E44944" w:rsidP="0026366E">
      <w:pPr>
        <w:snapToGrid w:val="0"/>
        <w:spacing w:line="360" w:lineRule="auto"/>
        <w:jc w:val="both"/>
        <w:rPr>
          <w:rFonts w:ascii="Book Antiqua" w:hAnsi="Book Antiqua" w:cs="AdvPA568"/>
          <w:color w:val="231F20"/>
          <w:lang w:val="en-US"/>
        </w:rPr>
      </w:pPr>
      <w:r w:rsidRPr="00924A19">
        <w:rPr>
          <w:rFonts w:ascii="Book Antiqua" w:hAnsi="Book Antiqua" w:cs="AdvGulliv-B"/>
          <w:b/>
          <w:lang w:val="en-US"/>
        </w:rPr>
        <w:lastRenderedPageBreak/>
        <w:t>Table 2</w:t>
      </w:r>
      <w:r w:rsidR="00301815">
        <w:rPr>
          <w:rFonts w:ascii="Book Antiqua" w:hAnsi="Book Antiqua" w:cs="AdvGulliv-B" w:hint="eastAsia"/>
          <w:b/>
          <w:lang w:val="en-US"/>
        </w:rPr>
        <w:t xml:space="preserve"> </w:t>
      </w:r>
      <w:r w:rsidRPr="00924A19">
        <w:rPr>
          <w:rFonts w:ascii="Book Antiqua" w:hAnsi="Book Antiqua" w:cs="AdvPA568"/>
          <w:b/>
          <w:color w:val="231F20"/>
          <w:lang w:val="en-US"/>
        </w:rPr>
        <w:t xml:space="preserve">Regional </w:t>
      </w:r>
      <w:r w:rsidR="00CB25C4" w:rsidRPr="00924A19">
        <w:rPr>
          <w:rFonts w:ascii="Book Antiqua" w:hAnsi="Book Antiqua" w:cs="AdvPA568"/>
          <w:b/>
          <w:color w:val="231F20"/>
          <w:lang w:val="en-US"/>
        </w:rPr>
        <w:t>e</w:t>
      </w:r>
      <w:r w:rsidRPr="00924A19">
        <w:rPr>
          <w:rFonts w:ascii="Book Antiqua" w:hAnsi="Book Antiqua" w:cs="AdvPA568"/>
          <w:b/>
          <w:color w:val="231F20"/>
          <w:lang w:val="en-US"/>
        </w:rPr>
        <w:t xml:space="preserve">stimates of </w:t>
      </w:r>
      <w:r w:rsidR="00CB25C4" w:rsidRPr="00924A19">
        <w:rPr>
          <w:rFonts w:ascii="Book Antiqua" w:hAnsi="Book Antiqua" w:cs="AdvPA568"/>
          <w:b/>
          <w:color w:val="231F20"/>
          <w:lang w:val="en-US"/>
        </w:rPr>
        <w:t>hepatitis C virus</w:t>
      </w:r>
      <w:r w:rsidR="006D3064" w:rsidRPr="00924A19">
        <w:rPr>
          <w:rFonts w:ascii="Book Antiqua" w:hAnsi="Book Antiqua" w:cs="AdvPA568"/>
          <w:b/>
          <w:color w:val="231F20"/>
          <w:lang w:val="en-US"/>
        </w:rPr>
        <w:t xml:space="preserve"> </w:t>
      </w:r>
      <w:r w:rsidR="00CB25C4" w:rsidRPr="00924A19">
        <w:rPr>
          <w:rFonts w:ascii="Book Antiqua" w:hAnsi="Book Antiqua" w:cs="AdvPA568"/>
          <w:b/>
          <w:color w:val="231F20"/>
          <w:lang w:val="en-US"/>
        </w:rPr>
        <w:t>s</w:t>
      </w:r>
      <w:r w:rsidRPr="00924A19">
        <w:rPr>
          <w:rFonts w:ascii="Book Antiqua" w:hAnsi="Book Antiqua" w:cs="AdvPA568"/>
          <w:b/>
          <w:color w:val="231F20"/>
          <w:lang w:val="en-US"/>
        </w:rPr>
        <w:t>eroprevalence and viraemia</w:t>
      </w:r>
    </w:p>
    <w:tbl>
      <w:tblPr>
        <w:tblStyle w:val="TableGrid"/>
        <w:tblW w:w="8525" w:type="dxa"/>
        <w:tblInd w:w="26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2041"/>
        <w:gridCol w:w="1968"/>
      </w:tblGrid>
      <w:tr w:rsidR="00E44944" w:rsidRPr="00924A19" w:rsidTr="00CB25C4">
        <w:trPr>
          <w:trHeight w:val="441"/>
        </w:trPr>
        <w:tc>
          <w:tcPr>
            <w:tcW w:w="4516"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both"/>
              <w:rPr>
                <w:rFonts w:ascii="Book Antiqua" w:hAnsi="Book Antiqua"/>
                <w:b/>
              </w:rPr>
            </w:pPr>
            <w:r w:rsidRPr="00924A19">
              <w:rPr>
                <w:rFonts w:ascii="Book Antiqua" w:eastAsia="ArialMT" w:hAnsi="Book Antiqua" w:cs="ArialMT"/>
                <w:b/>
              </w:rPr>
              <w:t>Regions</w:t>
            </w:r>
          </w:p>
        </w:tc>
        <w:tc>
          <w:tcPr>
            <w:tcW w:w="2041" w:type="dxa"/>
            <w:tcBorders>
              <w:top w:val="single" w:sz="4" w:space="0" w:color="000000" w:themeColor="text1"/>
              <w:bottom w:val="single" w:sz="4" w:space="0" w:color="000000" w:themeColor="text1"/>
            </w:tcBorders>
          </w:tcPr>
          <w:p w:rsidR="006D3064" w:rsidRPr="00924A19" w:rsidRDefault="00E44944" w:rsidP="0026366E">
            <w:pPr>
              <w:autoSpaceDE w:val="0"/>
              <w:autoSpaceDN w:val="0"/>
              <w:adjustRightInd w:val="0"/>
              <w:snapToGrid w:val="0"/>
              <w:spacing w:line="360" w:lineRule="auto"/>
              <w:jc w:val="center"/>
              <w:rPr>
                <w:rFonts w:ascii="Book Antiqua" w:eastAsia="ArialMT" w:hAnsi="Book Antiqua" w:cs="ArialMT"/>
                <w:b/>
              </w:rPr>
            </w:pPr>
            <w:r w:rsidRPr="00924A19">
              <w:rPr>
                <w:rFonts w:ascii="Book Antiqua" w:eastAsia="ArialMT" w:hAnsi="Book Antiqua" w:cs="ArialMT"/>
                <w:b/>
              </w:rPr>
              <w:t>Anti</w:t>
            </w:r>
            <w:r w:rsidR="00CB25C4" w:rsidRPr="00924A19">
              <w:rPr>
                <w:rFonts w:ascii="Book Antiqua" w:eastAsia="ArialMT" w:hAnsi="Book Antiqua" w:cs="ArialMT"/>
                <w:b/>
              </w:rPr>
              <w:t>-</w:t>
            </w:r>
            <w:r w:rsidRPr="00924A19">
              <w:rPr>
                <w:rFonts w:ascii="Book Antiqua" w:eastAsia="ArialMT" w:hAnsi="Book Antiqua" w:cs="ArialMT"/>
                <w:b/>
              </w:rPr>
              <w:t>HCV</w:t>
            </w:r>
            <w:r w:rsidR="006D3064" w:rsidRPr="00924A19">
              <w:rPr>
                <w:rFonts w:ascii="Book Antiqua" w:eastAsia="ArialMT" w:hAnsi="Book Antiqua" w:cs="ArialMT"/>
                <w:b/>
              </w:rPr>
              <w:t xml:space="preserve"> </w:t>
            </w:r>
            <w:r w:rsidR="00CB25C4" w:rsidRPr="00924A19">
              <w:rPr>
                <w:rFonts w:ascii="Book Antiqua" w:eastAsia="ArialMT" w:hAnsi="Book Antiqua" w:cs="ArialMT"/>
                <w:b/>
              </w:rPr>
              <w:t>p</w:t>
            </w:r>
            <w:r w:rsidRPr="00924A19">
              <w:rPr>
                <w:rFonts w:ascii="Book Antiqua" w:eastAsia="ArialMT" w:hAnsi="Book Antiqua" w:cs="ArialMT"/>
                <w:b/>
              </w:rPr>
              <w:t xml:space="preserve">revalence </w:t>
            </w:r>
          </w:p>
          <w:p w:rsidR="00E44944" w:rsidRPr="00924A19" w:rsidRDefault="00E44944" w:rsidP="0026366E">
            <w:pPr>
              <w:autoSpaceDE w:val="0"/>
              <w:autoSpaceDN w:val="0"/>
              <w:adjustRightInd w:val="0"/>
              <w:snapToGrid w:val="0"/>
              <w:spacing w:line="360" w:lineRule="auto"/>
              <w:jc w:val="center"/>
              <w:rPr>
                <w:rFonts w:ascii="Book Antiqua" w:eastAsia="ArialMT" w:hAnsi="Book Antiqua" w:cs="ArialMT"/>
                <w:b/>
              </w:rPr>
            </w:pPr>
            <w:r w:rsidRPr="00924A19">
              <w:rPr>
                <w:rFonts w:ascii="Book Antiqua" w:eastAsia="ArialMT" w:hAnsi="Book Antiqua" w:cs="ArialMT"/>
                <w:b/>
              </w:rPr>
              <w:t>(%)</w:t>
            </w:r>
          </w:p>
        </w:tc>
        <w:tc>
          <w:tcPr>
            <w:tcW w:w="1968" w:type="dxa"/>
            <w:tcBorders>
              <w:top w:val="single" w:sz="4" w:space="0" w:color="000000" w:themeColor="text1"/>
              <w:bottom w:val="single" w:sz="4" w:space="0" w:color="000000" w:themeColor="text1"/>
            </w:tcBorders>
          </w:tcPr>
          <w:p w:rsidR="006D3064" w:rsidRPr="00924A19" w:rsidRDefault="00E44944" w:rsidP="0026366E">
            <w:pPr>
              <w:autoSpaceDE w:val="0"/>
              <w:autoSpaceDN w:val="0"/>
              <w:adjustRightInd w:val="0"/>
              <w:snapToGrid w:val="0"/>
              <w:spacing w:line="360" w:lineRule="auto"/>
              <w:jc w:val="center"/>
              <w:rPr>
                <w:rFonts w:ascii="Book Antiqua" w:eastAsia="ArialMT" w:hAnsi="Book Antiqua" w:cs="ArialMT"/>
                <w:b/>
              </w:rPr>
            </w:pPr>
            <w:r w:rsidRPr="00924A19">
              <w:rPr>
                <w:rFonts w:ascii="Book Antiqua" w:eastAsia="ArialMT" w:hAnsi="Book Antiqua" w:cs="ArialMT"/>
                <w:b/>
              </w:rPr>
              <w:t>Viraemic</w:t>
            </w:r>
            <w:r w:rsidR="006D3064" w:rsidRPr="00924A19">
              <w:rPr>
                <w:rFonts w:ascii="Book Antiqua" w:eastAsia="ArialMT" w:hAnsi="Book Antiqua" w:cs="ArialMT"/>
                <w:b/>
              </w:rPr>
              <w:t xml:space="preserve"> </w:t>
            </w:r>
          </w:p>
          <w:p w:rsidR="000746FA" w:rsidRPr="00924A19" w:rsidRDefault="00CB25C4" w:rsidP="0026366E">
            <w:pPr>
              <w:autoSpaceDE w:val="0"/>
              <w:autoSpaceDN w:val="0"/>
              <w:adjustRightInd w:val="0"/>
              <w:snapToGrid w:val="0"/>
              <w:spacing w:line="360" w:lineRule="auto"/>
              <w:jc w:val="center"/>
              <w:rPr>
                <w:rFonts w:ascii="Book Antiqua" w:eastAsia="ArialMT" w:hAnsi="Book Antiqua" w:cs="ArialMT"/>
                <w:b/>
              </w:rPr>
            </w:pPr>
            <w:r w:rsidRPr="00924A19">
              <w:rPr>
                <w:rFonts w:ascii="Book Antiqua" w:eastAsia="ArialMT" w:hAnsi="Book Antiqua" w:cs="ArialMT"/>
                <w:b/>
              </w:rPr>
              <w:t>r</w:t>
            </w:r>
            <w:r w:rsidR="00E44944" w:rsidRPr="00924A19">
              <w:rPr>
                <w:rFonts w:ascii="Book Antiqua" w:eastAsia="ArialMT" w:hAnsi="Book Antiqua" w:cs="ArialMT"/>
                <w:b/>
              </w:rPr>
              <w:t xml:space="preserve">ate </w:t>
            </w:r>
          </w:p>
          <w:p w:rsidR="00E44944" w:rsidRPr="00924A19" w:rsidRDefault="00E44944" w:rsidP="0026366E">
            <w:pPr>
              <w:autoSpaceDE w:val="0"/>
              <w:autoSpaceDN w:val="0"/>
              <w:adjustRightInd w:val="0"/>
              <w:snapToGrid w:val="0"/>
              <w:spacing w:line="360" w:lineRule="auto"/>
              <w:jc w:val="center"/>
              <w:rPr>
                <w:rFonts w:ascii="Book Antiqua" w:eastAsia="ArialMT" w:hAnsi="Book Antiqua" w:cs="ArialMT"/>
                <w:b/>
              </w:rPr>
            </w:pPr>
            <w:r w:rsidRPr="00924A19">
              <w:rPr>
                <w:rFonts w:ascii="Book Antiqua" w:eastAsia="ArialMT" w:hAnsi="Book Antiqua" w:cs="ArialMT"/>
                <w:b/>
              </w:rPr>
              <w:t>(%)</w:t>
            </w:r>
          </w:p>
        </w:tc>
      </w:tr>
      <w:tr w:rsidR="00E44944" w:rsidRPr="00924A19" w:rsidTr="00CB25C4">
        <w:trPr>
          <w:trHeight w:val="441"/>
        </w:trPr>
        <w:tc>
          <w:tcPr>
            <w:tcW w:w="4516" w:type="dxa"/>
            <w:tcBorders>
              <w:top w:val="single" w:sz="4" w:space="0" w:color="000000" w:themeColor="text1"/>
            </w:tcBorders>
          </w:tcPr>
          <w:p w:rsidR="00E44944" w:rsidRPr="00924A19" w:rsidRDefault="00CB25C4" w:rsidP="0026366E">
            <w:pPr>
              <w:snapToGrid w:val="0"/>
              <w:spacing w:line="360" w:lineRule="auto"/>
              <w:jc w:val="both"/>
              <w:rPr>
                <w:rFonts w:ascii="Book Antiqua" w:hAnsi="Book Antiqua"/>
                <w:b/>
              </w:rPr>
            </w:pPr>
            <w:r w:rsidRPr="00924A19">
              <w:rPr>
                <w:rFonts w:ascii="Book Antiqua" w:eastAsia="ArialMT" w:hAnsi="Book Antiqua" w:cs="ArialMT"/>
              </w:rPr>
              <w:t>Central Sub-</w:t>
            </w:r>
            <w:r w:rsidR="00E44944" w:rsidRPr="00924A19">
              <w:rPr>
                <w:rFonts w:ascii="Book Antiqua" w:eastAsia="ArialMT" w:hAnsi="Book Antiqua" w:cs="ArialMT"/>
              </w:rPr>
              <w:t>Saharan Africa</w:t>
            </w:r>
          </w:p>
        </w:tc>
        <w:tc>
          <w:tcPr>
            <w:tcW w:w="2041" w:type="dxa"/>
            <w:tcBorders>
              <w:top w:val="single" w:sz="4" w:space="0" w:color="000000" w:themeColor="text1"/>
            </w:tcBorders>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6.0</w:t>
            </w:r>
          </w:p>
        </w:tc>
        <w:tc>
          <w:tcPr>
            <w:tcW w:w="1968" w:type="dxa"/>
            <w:tcBorders>
              <w:top w:val="single" w:sz="4" w:space="0" w:color="000000" w:themeColor="text1"/>
            </w:tcBorders>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68.5</w:t>
            </w:r>
          </w:p>
        </w:tc>
      </w:tr>
      <w:tr w:rsidR="00E44944" w:rsidRPr="00924A19" w:rsidTr="00CB25C4">
        <w:trPr>
          <w:trHeight w:val="417"/>
        </w:trPr>
        <w:tc>
          <w:tcPr>
            <w:tcW w:w="4516"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b/>
              </w:rPr>
            </w:pPr>
            <w:r w:rsidRPr="00924A19">
              <w:rPr>
                <w:rFonts w:ascii="Book Antiqua" w:eastAsia="ArialMT" w:hAnsi="Book Antiqua" w:cs="ArialMT"/>
              </w:rPr>
              <w:t>East</w:t>
            </w:r>
            <w:r w:rsidR="00CB25C4" w:rsidRPr="00924A19">
              <w:rPr>
                <w:rFonts w:ascii="Book Antiqua" w:eastAsia="ArialMT" w:hAnsi="Book Antiqua" w:cs="ArialMT"/>
              </w:rPr>
              <w:t>Sub-</w:t>
            </w:r>
            <w:r w:rsidRPr="00924A19">
              <w:rPr>
                <w:rFonts w:ascii="Book Antiqua" w:eastAsia="ArialMT" w:hAnsi="Book Antiqua" w:cs="ArialMT"/>
              </w:rPr>
              <w:t xml:space="preserve">Saharan Africa </w:t>
            </w:r>
          </w:p>
        </w:tc>
        <w:tc>
          <w:tcPr>
            <w:tcW w:w="2041"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2.4</w:t>
            </w:r>
          </w:p>
        </w:tc>
        <w:tc>
          <w:tcPr>
            <w:tcW w:w="1968"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65.0</w:t>
            </w:r>
          </w:p>
        </w:tc>
      </w:tr>
      <w:tr w:rsidR="00E44944" w:rsidRPr="00924A19" w:rsidTr="00CB25C4">
        <w:trPr>
          <w:trHeight w:val="441"/>
        </w:trPr>
        <w:tc>
          <w:tcPr>
            <w:tcW w:w="4516" w:type="dxa"/>
          </w:tcPr>
          <w:p w:rsidR="00E44944" w:rsidRPr="00924A19" w:rsidRDefault="00CB25C4" w:rsidP="0026366E">
            <w:pPr>
              <w:snapToGrid w:val="0"/>
              <w:spacing w:line="360" w:lineRule="auto"/>
              <w:jc w:val="both"/>
              <w:rPr>
                <w:rFonts w:ascii="Book Antiqua" w:hAnsi="Book Antiqua"/>
                <w:b/>
              </w:rPr>
            </w:pPr>
            <w:r w:rsidRPr="00924A19">
              <w:rPr>
                <w:rFonts w:ascii="Book Antiqua" w:eastAsia="ArialMT" w:hAnsi="Book Antiqua" w:cs="ArialMT"/>
              </w:rPr>
              <w:t>Southern Sub-</w:t>
            </w:r>
            <w:r w:rsidR="00E44944" w:rsidRPr="00924A19">
              <w:rPr>
                <w:rFonts w:ascii="Book Antiqua" w:eastAsia="ArialMT" w:hAnsi="Book Antiqua" w:cs="ArialMT"/>
              </w:rPr>
              <w:t>Saharan Africa</w:t>
            </w:r>
          </w:p>
        </w:tc>
        <w:tc>
          <w:tcPr>
            <w:tcW w:w="2041"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0.9</w:t>
            </w:r>
          </w:p>
        </w:tc>
        <w:tc>
          <w:tcPr>
            <w:tcW w:w="1968"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69.0</w:t>
            </w:r>
          </w:p>
        </w:tc>
      </w:tr>
      <w:tr w:rsidR="00E44944" w:rsidRPr="00924A19" w:rsidTr="00CB25C4">
        <w:trPr>
          <w:trHeight w:val="441"/>
        </w:trPr>
        <w:tc>
          <w:tcPr>
            <w:tcW w:w="4516"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b/>
              </w:rPr>
            </w:pPr>
            <w:r w:rsidRPr="00924A19">
              <w:rPr>
                <w:rFonts w:ascii="Book Antiqua" w:eastAsia="ArialMT" w:hAnsi="Book Antiqua" w:cs="ArialMT"/>
              </w:rPr>
              <w:t>West</w:t>
            </w:r>
            <w:r w:rsidR="00CB25C4" w:rsidRPr="00924A19">
              <w:rPr>
                <w:rFonts w:ascii="Book Antiqua" w:eastAsia="ArialMT" w:hAnsi="Book Antiqua" w:cs="ArialMT"/>
              </w:rPr>
              <w:t>Sub-</w:t>
            </w:r>
            <w:r w:rsidRPr="00924A19">
              <w:rPr>
                <w:rFonts w:ascii="Book Antiqua" w:eastAsia="ArialMT" w:hAnsi="Book Antiqua" w:cs="ArialMT"/>
              </w:rPr>
              <w:t>Saharan Africa</w:t>
            </w:r>
          </w:p>
        </w:tc>
        <w:tc>
          <w:tcPr>
            <w:tcW w:w="2041"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2.4</w:t>
            </w:r>
          </w:p>
        </w:tc>
        <w:tc>
          <w:tcPr>
            <w:tcW w:w="1968"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79.6</w:t>
            </w:r>
          </w:p>
        </w:tc>
      </w:tr>
      <w:tr w:rsidR="00E44944" w:rsidRPr="00924A19" w:rsidTr="00CB25C4">
        <w:trPr>
          <w:trHeight w:val="417"/>
        </w:trPr>
        <w:tc>
          <w:tcPr>
            <w:tcW w:w="4516" w:type="dxa"/>
            <w:shd w:val="clear" w:color="auto" w:fill="FFFFFF" w:themeFill="background1"/>
          </w:tcPr>
          <w:p w:rsidR="00E44944" w:rsidRPr="00924A19" w:rsidRDefault="00E44944" w:rsidP="0026366E">
            <w:pPr>
              <w:autoSpaceDE w:val="0"/>
              <w:autoSpaceDN w:val="0"/>
              <w:adjustRightInd w:val="0"/>
              <w:snapToGrid w:val="0"/>
              <w:spacing w:line="360" w:lineRule="auto"/>
              <w:jc w:val="both"/>
              <w:rPr>
                <w:rFonts w:ascii="Book Antiqua" w:hAnsi="Book Antiqua" w:cs="AdvPA564"/>
                <w:color w:val="231F20"/>
                <w:lang w:val="en-US"/>
              </w:rPr>
            </w:pPr>
            <w:r w:rsidRPr="00924A19">
              <w:rPr>
                <w:rFonts w:ascii="Book Antiqua" w:hAnsi="Book Antiqua" w:cs="AdvPA564"/>
                <w:color w:val="231F20"/>
                <w:lang w:val="en-US"/>
              </w:rPr>
              <w:t>North Africa and Middle East</w:t>
            </w:r>
          </w:p>
        </w:tc>
        <w:tc>
          <w:tcPr>
            <w:tcW w:w="2041"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lang w:val="en-US"/>
              </w:rPr>
            </w:pPr>
            <w:r w:rsidRPr="00924A19">
              <w:rPr>
                <w:rFonts w:ascii="Book Antiqua" w:hAnsi="Book Antiqua"/>
                <w:lang w:val="en-US"/>
              </w:rPr>
              <w:t>2.7</w:t>
            </w:r>
          </w:p>
        </w:tc>
        <w:tc>
          <w:tcPr>
            <w:tcW w:w="1968"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lang w:val="en-US"/>
              </w:rPr>
            </w:pPr>
            <w:r w:rsidRPr="00924A19">
              <w:rPr>
                <w:rFonts w:ascii="Book Antiqua" w:hAnsi="Book Antiqua"/>
                <w:lang w:val="en-US"/>
              </w:rPr>
              <w:t>68.8</w:t>
            </w:r>
          </w:p>
        </w:tc>
      </w:tr>
      <w:tr w:rsidR="00E44944" w:rsidRPr="00924A19" w:rsidTr="00CB25C4">
        <w:trPr>
          <w:trHeight w:val="417"/>
        </w:trPr>
        <w:tc>
          <w:tcPr>
            <w:tcW w:w="4516" w:type="dxa"/>
            <w:shd w:val="clear" w:color="auto" w:fill="F2F2F2" w:themeFill="background1" w:themeFillShade="F2"/>
          </w:tcPr>
          <w:p w:rsidR="00E44944" w:rsidRPr="00924A19" w:rsidRDefault="00E44944" w:rsidP="0026366E">
            <w:pPr>
              <w:autoSpaceDE w:val="0"/>
              <w:autoSpaceDN w:val="0"/>
              <w:adjustRightInd w:val="0"/>
              <w:snapToGrid w:val="0"/>
              <w:spacing w:line="360" w:lineRule="auto"/>
              <w:jc w:val="both"/>
              <w:rPr>
                <w:rFonts w:ascii="Book Antiqua" w:hAnsi="Book Antiqua" w:cs="AdvPA564"/>
                <w:color w:val="231F20"/>
              </w:rPr>
            </w:pPr>
            <w:r w:rsidRPr="00924A19">
              <w:rPr>
                <w:rFonts w:ascii="Book Antiqua" w:hAnsi="Book Antiqua" w:cs="AdvPA564"/>
                <w:color w:val="231F20"/>
              </w:rPr>
              <w:t>North America, High Income</w:t>
            </w:r>
          </w:p>
        </w:tc>
        <w:tc>
          <w:tcPr>
            <w:tcW w:w="2041"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1.2</w:t>
            </w:r>
          </w:p>
        </w:tc>
        <w:tc>
          <w:tcPr>
            <w:tcW w:w="1968"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75.7</w:t>
            </w:r>
          </w:p>
        </w:tc>
      </w:tr>
      <w:tr w:rsidR="00E44944" w:rsidRPr="00924A19" w:rsidTr="00CB25C4">
        <w:trPr>
          <w:trHeight w:val="417"/>
        </w:trPr>
        <w:tc>
          <w:tcPr>
            <w:tcW w:w="4516" w:type="dxa"/>
            <w:shd w:val="clear" w:color="auto" w:fill="FFFFFF" w:themeFill="background1"/>
          </w:tcPr>
          <w:p w:rsidR="00E44944" w:rsidRPr="00924A19" w:rsidRDefault="00E44944" w:rsidP="0026366E">
            <w:pPr>
              <w:snapToGrid w:val="0"/>
              <w:spacing w:line="360" w:lineRule="auto"/>
              <w:jc w:val="both"/>
              <w:rPr>
                <w:rFonts w:ascii="Book Antiqua" w:hAnsi="Book Antiqua"/>
                <w:b/>
              </w:rPr>
            </w:pPr>
            <w:r w:rsidRPr="00924A19">
              <w:rPr>
                <w:rFonts w:ascii="Book Antiqua" w:hAnsi="Book Antiqua" w:cs="AdvPA564"/>
                <w:color w:val="231F20"/>
              </w:rPr>
              <w:t>Caribbean</w:t>
            </w:r>
          </w:p>
        </w:tc>
        <w:tc>
          <w:tcPr>
            <w:tcW w:w="2041"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1.5</w:t>
            </w:r>
          </w:p>
        </w:tc>
        <w:tc>
          <w:tcPr>
            <w:tcW w:w="1968"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70.0</w:t>
            </w:r>
          </w:p>
        </w:tc>
      </w:tr>
      <w:tr w:rsidR="00E44944" w:rsidRPr="00924A19" w:rsidTr="00CB25C4">
        <w:trPr>
          <w:trHeight w:val="417"/>
        </w:trPr>
        <w:tc>
          <w:tcPr>
            <w:tcW w:w="4516"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Andean Latin America</w:t>
            </w:r>
          </w:p>
        </w:tc>
        <w:tc>
          <w:tcPr>
            <w:tcW w:w="2041"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1.2</w:t>
            </w:r>
          </w:p>
        </w:tc>
        <w:tc>
          <w:tcPr>
            <w:tcW w:w="1968"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70.0</w:t>
            </w:r>
          </w:p>
        </w:tc>
      </w:tr>
      <w:tr w:rsidR="00E44944" w:rsidRPr="00924A19" w:rsidTr="00CB25C4">
        <w:trPr>
          <w:trHeight w:val="417"/>
        </w:trPr>
        <w:tc>
          <w:tcPr>
            <w:tcW w:w="4516" w:type="dxa"/>
            <w:shd w:val="clear" w:color="auto" w:fill="FFFFFF" w:themeFill="background1"/>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Central Latin America</w:t>
            </w:r>
          </w:p>
        </w:tc>
        <w:tc>
          <w:tcPr>
            <w:tcW w:w="2041"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1.4</w:t>
            </w:r>
          </w:p>
        </w:tc>
        <w:tc>
          <w:tcPr>
            <w:tcW w:w="1968"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75.8</w:t>
            </w:r>
          </w:p>
        </w:tc>
      </w:tr>
      <w:tr w:rsidR="00E44944" w:rsidRPr="00924A19" w:rsidTr="00CB25C4">
        <w:trPr>
          <w:trHeight w:val="417"/>
        </w:trPr>
        <w:tc>
          <w:tcPr>
            <w:tcW w:w="4516"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Southern Latin America</w:t>
            </w:r>
          </w:p>
        </w:tc>
        <w:tc>
          <w:tcPr>
            <w:tcW w:w="2041"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1.5</w:t>
            </w:r>
          </w:p>
        </w:tc>
        <w:tc>
          <w:tcPr>
            <w:tcW w:w="1968"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79.5</w:t>
            </w:r>
          </w:p>
        </w:tc>
      </w:tr>
      <w:tr w:rsidR="00E44944" w:rsidRPr="00924A19" w:rsidTr="00CB25C4">
        <w:trPr>
          <w:trHeight w:val="417"/>
        </w:trPr>
        <w:tc>
          <w:tcPr>
            <w:tcW w:w="4516"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Tropical Latin America</w:t>
            </w:r>
          </w:p>
        </w:tc>
        <w:tc>
          <w:tcPr>
            <w:tcW w:w="2041"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1.6</w:t>
            </w:r>
          </w:p>
        </w:tc>
        <w:tc>
          <w:tcPr>
            <w:tcW w:w="1968"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80.2</w:t>
            </w:r>
          </w:p>
        </w:tc>
      </w:tr>
      <w:tr w:rsidR="00E44944" w:rsidRPr="00924A19" w:rsidTr="00CB25C4">
        <w:trPr>
          <w:trHeight w:val="417"/>
        </w:trPr>
        <w:tc>
          <w:tcPr>
            <w:tcW w:w="4516" w:type="dxa"/>
            <w:shd w:val="clear" w:color="auto" w:fill="FFFFFF" w:themeFill="background1"/>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Central Asia</w:t>
            </w:r>
          </w:p>
        </w:tc>
        <w:tc>
          <w:tcPr>
            <w:tcW w:w="2041"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5.8</w:t>
            </w:r>
          </w:p>
        </w:tc>
        <w:tc>
          <w:tcPr>
            <w:tcW w:w="1968"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48.7</w:t>
            </w:r>
          </w:p>
        </w:tc>
      </w:tr>
      <w:tr w:rsidR="00E44944" w:rsidRPr="00924A19" w:rsidTr="00CB25C4">
        <w:trPr>
          <w:trHeight w:val="417"/>
        </w:trPr>
        <w:tc>
          <w:tcPr>
            <w:tcW w:w="4516"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East Asia</w:t>
            </w:r>
          </w:p>
        </w:tc>
        <w:tc>
          <w:tcPr>
            <w:tcW w:w="2041"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2.8</w:t>
            </w:r>
          </w:p>
        </w:tc>
        <w:tc>
          <w:tcPr>
            <w:tcW w:w="1968"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63.6</w:t>
            </w:r>
          </w:p>
        </w:tc>
      </w:tr>
      <w:tr w:rsidR="00E44944" w:rsidRPr="00924A19" w:rsidTr="00CB25C4">
        <w:trPr>
          <w:trHeight w:val="417"/>
        </w:trPr>
        <w:tc>
          <w:tcPr>
            <w:tcW w:w="4516" w:type="dxa"/>
            <w:shd w:val="clear" w:color="auto" w:fill="FFFFFF" w:themeFill="background1"/>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Pacific Asia, High-income</w:t>
            </w:r>
          </w:p>
        </w:tc>
        <w:tc>
          <w:tcPr>
            <w:tcW w:w="2041"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1.1</w:t>
            </w:r>
          </w:p>
        </w:tc>
        <w:tc>
          <w:tcPr>
            <w:tcW w:w="1968"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70.5</w:t>
            </w:r>
          </w:p>
        </w:tc>
      </w:tr>
      <w:tr w:rsidR="00E44944" w:rsidRPr="00924A19" w:rsidTr="00CB25C4">
        <w:trPr>
          <w:trHeight w:val="417"/>
        </w:trPr>
        <w:tc>
          <w:tcPr>
            <w:tcW w:w="4516"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cs="AdvPA564"/>
                <w:color w:val="231F20"/>
                <w:lang w:val="en-US"/>
              </w:rPr>
            </w:pPr>
            <w:r w:rsidRPr="00924A19">
              <w:rPr>
                <w:rFonts w:ascii="Book Antiqua" w:hAnsi="Book Antiqua" w:cs="AdvPA564"/>
                <w:color w:val="231F20"/>
              </w:rPr>
              <w:t>South</w:t>
            </w:r>
            <w:r w:rsidRPr="00924A19">
              <w:rPr>
                <w:rFonts w:ascii="Book Antiqua" w:hAnsi="Book Antiqua" w:cs="AdvPA564"/>
                <w:color w:val="231F20"/>
                <w:lang w:val="en-US"/>
              </w:rPr>
              <w:t xml:space="preserve"> Asia</w:t>
            </w:r>
          </w:p>
        </w:tc>
        <w:tc>
          <w:tcPr>
            <w:tcW w:w="2041"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lang w:val="en-US"/>
              </w:rPr>
            </w:pPr>
            <w:r w:rsidRPr="00924A19">
              <w:rPr>
                <w:rFonts w:ascii="Book Antiqua" w:hAnsi="Book Antiqua"/>
                <w:lang w:val="en-US"/>
              </w:rPr>
              <w:t>2.5</w:t>
            </w:r>
          </w:p>
        </w:tc>
        <w:tc>
          <w:tcPr>
            <w:tcW w:w="1968"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lang w:val="en-US"/>
              </w:rPr>
            </w:pPr>
            <w:r w:rsidRPr="00924A19">
              <w:rPr>
                <w:rFonts w:ascii="Book Antiqua" w:hAnsi="Book Antiqua"/>
                <w:lang w:val="en-US"/>
              </w:rPr>
              <w:t>78.5</w:t>
            </w:r>
          </w:p>
        </w:tc>
      </w:tr>
      <w:tr w:rsidR="00E44944" w:rsidRPr="00924A19" w:rsidTr="00CB25C4">
        <w:trPr>
          <w:trHeight w:val="417"/>
        </w:trPr>
        <w:tc>
          <w:tcPr>
            <w:tcW w:w="4516" w:type="dxa"/>
            <w:shd w:val="clear" w:color="auto" w:fill="FFFFFF" w:themeFill="background1"/>
          </w:tcPr>
          <w:p w:rsidR="00E44944" w:rsidRPr="00924A19" w:rsidRDefault="00E44944" w:rsidP="0026366E">
            <w:pPr>
              <w:snapToGrid w:val="0"/>
              <w:spacing w:line="360" w:lineRule="auto"/>
              <w:jc w:val="both"/>
              <w:rPr>
                <w:rFonts w:ascii="Book Antiqua" w:hAnsi="Book Antiqua" w:cs="AdvPA564"/>
                <w:color w:val="231F20"/>
                <w:lang w:val="en-US"/>
              </w:rPr>
            </w:pPr>
            <w:r w:rsidRPr="00924A19">
              <w:rPr>
                <w:rFonts w:ascii="Book Antiqua" w:hAnsi="Book Antiqua" w:cs="AdvPA564"/>
                <w:color w:val="231F20"/>
                <w:lang w:val="en-US"/>
              </w:rPr>
              <w:t>Southeast Asia</w:t>
            </w:r>
          </w:p>
        </w:tc>
        <w:tc>
          <w:tcPr>
            <w:tcW w:w="2041"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lang w:val="en-US"/>
              </w:rPr>
            </w:pPr>
            <w:r w:rsidRPr="00924A19">
              <w:rPr>
                <w:rFonts w:ascii="Book Antiqua" w:hAnsi="Book Antiqua"/>
                <w:lang w:val="en-US"/>
              </w:rPr>
              <w:t>1.6</w:t>
            </w:r>
          </w:p>
        </w:tc>
        <w:tc>
          <w:tcPr>
            <w:tcW w:w="1968"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lang w:val="en-US"/>
              </w:rPr>
            </w:pPr>
            <w:r w:rsidRPr="00924A19">
              <w:rPr>
                <w:rFonts w:ascii="Book Antiqua" w:hAnsi="Book Antiqua"/>
                <w:lang w:val="en-US"/>
              </w:rPr>
              <w:t>60.5</w:t>
            </w:r>
          </w:p>
        </w:tc>
      </w:tr>
      <w:tr w:rsidR="00E44944" w:rsidRPr="00924A19" w:rsidTr="00CB25C4">
        <w:trPr>
          <w:trHeight w:val="417"/>
        </w:trPr>
        <w:tc>
          <w:tcPr>
            <w:tcW w:w="4516"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lang w:val="en-US"/>
              </w:rPr>
            </w:pPr>
            <w:r w:rsidRPr="00924A19">
              <w:rPr>
                <w:rFonts w:ascii="Book Antiqua" w:hAnsi="Book Antiqua" w:cs="AdvPA564"/>
                <w:color w:val="231F20"/>
                <w:lang w:val="en-US"/>
              </w:rPr>
              <w:t>Australasia</w:t>
            </w:r>
          </w:p>
        </w:tc>
        <w:tc>
          <w:tcPr>
            <w:tcW w:w="2041"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lang w:val="en-US"/>
              </w:rPr>
            </w:pPr>
            <w:r w:rsidRPr="00924A19">
              <w:rPr>
                <w:rFonts w:ascii="Book Antiqua" w:hAnsi="Book Antiqua"/>
                <w:lang w:val="en-US"/>
              </w:rPr>
              <w:t>1.8</w:t>
            </w:r>
          </w:p>
        </w:tc>
        <w:tc>
          <w:tcPr>
            <w:tcW w:w="1968"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lang w:val="en-US"/>
              </w:rPr>
            </w:pPr>
            <w:r w:rsidRPr="00924A19">
              <w:rPr>
                <w:rFonts w:ascii="Book Antiqua" w:hAnsi="Book Antiqua"/>
                <w:lang w:val="en-US"/>
              </w:rPr>
              <w:t>74.8</w:t>
            </w:r>
          </w:p>
        </w:tc>
      </w:tr>
      <w:tr w:rsidR="00E44944" w:rsidRPr="00924A19" w:rsidTr="00CB25C4">
        <w:trPr>
          <w:trHeight w:val="417"/>
        </w:trPr>
        <w:tc>
          <w:tcPr>
            <w:tcW w:w="4516" w:type="dxa"/>
            <w:shd w:val="clear" w:color="auto" w:fill="FFFFFF" w:themeFill="background1"/>
          </w:tcPr>
          <w:p w:rsidR="00E44944" w:rsidRPr="00924A19" w:rsidRDefault="00E44944" w:rsidP="0026366E">
            <w:pPr>
              <w:snapToGrid w:val="0"/>
              <w:spacing w:line="360" w:lineRule="auto"/>
              <w:jc w:val="both"/>
              <w:rPr>
                <w:rFonts w:ascii="Book Antiqua" w:hAnsi="Book Antiqua" w:cs="AdvPA564"/>
                <w:color w:val="231F20"/>
                <w:lang w:val="en-US"/>
              </w:rPr>
            </w:pPr>
            <w:r w:rsidRPr="00924A19">
              <w:rPr>
                <w:rFonts w:ascii="Book Antiqua" w:hAnsi="Book Antiqua" w:cs="AdvPA564"/>
                <w:color w:val="231F20"/>
                <w:lang w:val="en-US"/>
              </w:rPr>
              <w:t>Europe, Central</w:t>
            </w:r>
          </w:p>
        </w:tc>
        <w:tc>
          <w:tcPr>
            <w:tcW w:w="2041"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cs="AdvPA564"/>
                <w:color w:val="231F20"/>
                <w:lang w:val="en-US"/>
              </w:rPr>
            </w:pPr>
            <w:r w:rsidRPr="00924A19">
              <w:rPr>
                <w:rFonts w:ascii="Book Antiqua" w:hAnsi="Book Antiqua" w:cs="AdvPA564"/>
                <w:color w:val="231F20"/>
                <w:lang w:val="en-US"/>
              </w:rPr>
              <w:t>1.3</w:t>
            </w:r>
          </w:p>
        </w:tc>
        <w:tc>
          <w:tcPr>
            <w:tcW w:w="1968"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cs="AdvPA564"/>
                <w:color w:val="231F20"/>
                <w:lang w:val="en-US"/>
              </w:rPr>
            </w:pPr>
            <w:r w:rsidRPr="00924A19">
              <w:rPr>
                <w:rFonts w:ascii="Book Antiqua" w:hAnsi="Book Antiqua" w:cs="AdvPA564"/>
                <w:color w:val="231F20"/>
                <w:lang w:val="en-US"/>
              </w:rPr>
              <w:t>76.6</w:t>
            </w:r>
          </w:p>
        </w:tc>
      </w:tr>
      <w:tr w:rsidR="00E44944" w:rsidRPr="00924A19" w:rsidTr="00CB25C4">
        <w:trPr>
          <w:trHeight w:val="417"/>
        </w:trPr>
        <w:tc>
          <w:tcPr>
            <w:tcW w:w="4516"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cs="AdvPA564"/>
                <w:color w:val="231F20"/>
                <w:lang w:val="en-US"/>
              </w:rPr>
            </w:pPr>
            <w:r w:rsidRPr="00924A19">
              <w:rPr>
                <w:rFonts w:ascii="Book Antiqua" w:hAnsi="Book Antiqua" w:cs="AdvPA564"/>
                <w:color w:val="231F20"/>
                <w:lang w:val="en-US"/>
              </w:rPr>
              <w:t>Europe, Eastern</w:t>
            </w:r>
          </w:p>
        </w:tc>
        <w:tc>
          <w:tcPr>
            <w:tcW w:w="2041"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lang w:val="en-US"/>
              </w:rPr>
            </w:pPr>
            <w:r w:rsidRPr="00924A19">
              <w:rPr>
                <w:rFonts w:ascii="Book Antiqua" w:hAnsi="Book Antiqua" w:cs="AdvPA564"/>
                <w:color w:val="231F20"/>
                <w:lang w:val="en-US"/>
              </w:rPr>
              <w:t>3.1</w:t>
            </w:r>
          </w:p>
        </w:tc>
        <w:tc>
          <w:tcPr>
            <w:tcW w:w="1968"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lang w:val="en-US"/>
              </w:rPr>
            </w:pPr>
            <w:r w:rsidRPr="00924A19">
              <w:rPr>
                <w:rFonts w:ascii="Book Antiqua" w:hAnsi="Book Antiqua" w:cs="AdvPA564"/>
                <w:color w:val="231F20"/>
                <w:lang w:val="en-US"/>
              </w:rPr>
              <w:t>69.6</w:t>
            </w:r>
          </w:p>
        </w:tc>
      </w:tr>
      <w:tr w:rsidR="00E44944" w:rsidRPr="00924A19" w:rsidTr="00CB25C4">
        <w:trPr>
          <w:trHeight w:val="417"/>
        </w:trPr>
        <w:tc>
          <w:tcPr>
            <w:tcW w:w="4516" w:type="dxa"/>
            <w:shd w:val="clear" w:color="auto" w:fill="FFFFFF" w:themeFill="background1"/>
          </w:tcPr>
          <w:p w:rsidR="00E44944" w:rsidRPr="00924A19" w:rsidRDefault="00E44944" w:rsidP="0026366E">
            <w:pPr>
              <w:snapToGrid w:val="0"/>
              <w:spacing w:line="360" w:lineRule="auto"/>
              <w:jc w:val="both"/>
              <w:rPr>
                <w:rFonts w:ascii="Book Antiqua" w:hAnsi="Book Antiqua" w:cs="AdvPA564"/>
                <w:color w:val="231F20"/>
                <w:lang w:val="en-US"/>
              </w:rPr>
            </w:pPr>
            <w:r w:rsidRPr="00924A19">
              <w:rPr>
                <w:rFonts w:ascii="Book Antiqua" w:hAnsi="Book Antiqua" w:cs="AdvPA564"/>
                <w:color w:val="231F20"/>
                <w:lang w:val="en-US"/>
              </w:rPr>
              <w:t>Europe, Western</w:t>
            </w:r>
          </w:p>
        </w:tc>
        <w:tc>
          <w:tcPr>
            <w:tcW w:w="2041"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cs="AdvPA564"/>
                <w:color w:val="231F20"/>
                <w:lang w:val="en-US"/>
              </w:rPr>
            </w:pPr>
            <w:r w:rsidRPr="00924A19">
              <w:rPr>
                <w:rFonts w:ascii="Book Antiqua" w:hAnsi="Book Antiqua" w:cs="AdvPA564"/>
                <w:color w:val="231F20"/>
                <w:lang w:val="en-US"/>
              </w:rPr>
              <w:t>0.9</w:t>
            </w:r>
          </w:p>
        </w:tc>
        <w:tc>
          <w:tcPr>
            <w:tcW w:w="1968"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71.0</w:t>
            </w:r>
          </w:p>
        </w:tc>
      </w:tr>
    </w:tbl>
    <w:p w:rsidR="00CB25C4" w:rsidRPr="00924A19" w:rsidRDefault="00CB25C4" w:rsidP="0026366E">
      <w:pPr>
        <w:snapToGrid w:val="0"/>
        <w:spacing w:line="360" w:lineRule="auto"/>
        <w:jc w:val="both"/>
        <w:rPr>
          <w:rFonts w:ascii="Book Antiqua" w:hAnsi="Book Antiqua" w:cs="AdvGulliv-B"/>
          <w:lang w:val="en-US"/>
        </w:rPr>
      </w:pPr>
      <w:r w:rsidRPr="00924A19">
        <w:rPr>
          <w:rFonts w:ascii="Book Antiqua" w:eastAsia="ArialMT" w:hAnsi="Book Antiqua" w:cs="ArialMT"/>
        </w:rPr>
        <w:t xml:space="preserve">HCV: </w:t>
      </w:r>
      <w:r w:rsidRPr="00924A19">
        <w:rPr>
          <w:rFonts w:ascii="Book Antiqua" w:eastAsia="ArialMT" w:hAnsi="Book Antiqua" w:cs="ArialMT"/>
          <w:caps/>
        </w:rPr>
        <w:t>h</w:t>
      </w:r>
      <w:r w:rsidRPr="00924A19">
        <w:rPr>
          <w:rFonts w:ascii="Book Antiqua" w:eastAsia="ArialMT" w:hAnsi="Book Antiqua" w:cs="ArialMT"/>
        </w:rPr>
        <w:t>epatitis C virus.</w:t>
      </w:r>
    </w:p>
    <w:p w:rsidR="00A009F6" w:rsidRPr="00924A19" w:rsidRDefault="00A009F6" w:rsidP="0026366E">
      <w:pPr>
        <w:snapToGrid w:val="0"/>
        <w:spacing w:line="360" w:lineRule="auto"/>
        <w:jc w:val="both"/>
        <w:rPr>
          <w:rFonts w:ascii="Book Antiqua" w:hAnsi="Book Antiqua"/>
          <w:lang w:val="en-US"/>
        </w:rPr>
      </w:pPr>
      <w:r w:rsidRPr="00924A19">
        <w:rPr>
          <w:rFonts w:ascii="Book Antiqua" w:hAnsi="Book Antiqua"/>
          <w:lang w:val="en-US"/>
        </w:rPr>
        <w:br w:type="page"/>
      </w:r>
    </w:p>
    <w:p w:rsidR="00E44944" w:rsidRPr="00924A19" w:rsidRDefault="00E44944" w:rsidP="0026366E">
      <w:pPr>
        <w:snapToGrid w:val="0"/>
        <w:spacing w:line="360" w:lineRule="auto"/>
        <w:jc w:val="both"/>
        <w:rPr>
          <w:rFonts w:ascii="Book Antiqua" w:hAnsi="Book Antiqua" w:cs="AdvGulliv-B"/>
          <w:b/>
          <w:lang w:val="en-US"/>
        </w:rPr>
      </w:pPr>
      <w:r w:rsidRPr="00924A19">
        <w:rPr>
          <w:rFonts w:ascii="Book Antiqua" w:hAnsi="Book Antiqua" w:cs="AdvGulliv-B"/>
          <w:b/>
          <w:lang w:val="en-US"/>
        </w:rPr>
        <w:lastRenderedPageBreak/>
        <w:t>Table 3</w:t>
      </w:r>
      <w:r w:rsidR="00301815">
        <w:rPr>
          <w:rFonts w:ascii="Book Antiqua" w:hAnsi="Book Antiqua" w:cs="AdvGulliv-B" w:hint="eastAsia"/>
          <w:b/>
          <w:lang w:val="en-US"/>
        </w:rPr>
        <w:t xml:space="preserve"> </w:t>
      </w:r>
      <w:r w:rsidRPr="00924A19">
        <w:rPr>
          <w:rFonts w:ascii="Book Antiqua" w:hAnsi="Book Antiqua" w:cs="AdvGulliv-B"/>
          <w:b/>
          <w:lang w:val="en-US"/>
        </w:rPr>
        <w:t xml:space="preserve">Global prevalence of </w:t>
      </w:r>
      <w:r w:rsidR="00CB25C4" w:rsidRPr="00924A19">
        <w:rPr>
          <w:rFonts w:ascii="Book Antiqua" w:hAnsi="Book Antiqua" w:cs="AdvGulliv-B"/>
          <w:b/>
          <w:lang w:val="en-US"/>
        </w:rPr>
        <w:t>hepatitis C virus genotypes</w:t>
      </w:r>
    </w:p>
    <w:tbl>
      <w:tblPr>
        <w:tblStyle w:val="TableGrid"/>
        <w:tblW w:w="10575" w:type="dxa"/>
        <w:tblInd w:w="-6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1134"/>
        <w:gridCol w:w="1134"/>
        <w:gridCol w:w="992"/>
        <w:gridCol w:w="992"/>
        <w:gridCol w:w="993"/>
        <w:gridCol w:w="992"/>
        <w:gridCol w:w="1012"/>
      </w:tblGrid>
      <w:tr w:rsidR="00CB25C4" w:rsidRPr="00924A19" w:rsidTr="00CB25C4">
        <w:trPr>
          <w:trHeight w:val="417"/>
        </w:trPr>
        <w:tc>
          <w:tcPr>
            <w:tcW w:w="3326"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rPr>
                <w:rFonts w:ascii="Book Antiqua" w:hAnsi="Book Antiqua"/>
                <w:b/>
              </w:rPr>
            </w:pPr>
            <w:r w:rsidRPr="00924A19">
              <w:rPr>
                <w:rFonts w:ascii="Book Antiqua" w:eastAsia="ArialMT" w:hAnsi="Book Antiqua" w:cs="ArialMT"/>
                <w:b/>
              </w:rPr>
              <w:t>Continents</w:t>
            </w:r>
          </w:p>
        </w:tc>
        <w:tc>
          <w:tcPr>
            <w:tcW w:w="1134"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center"/>
              <w:rPr>
                <w:rFonts w:ascii="Book Antiqua" w:hAnsi="Book Antiqua"/>
                <w:b/>
              </w:rPr>
            </w:pPr>
            <w:r w:rsidRPr="00924A19">
              <w:rPr>
                <w:rFonts w:ascii="Book Antiqua" w:eastAsia="ArialMT" w:hAnsi="Book Antiqua" w:cs="ArialMT"/>
                <w:b/>
              </w:rPr>
              <w:t>G1 (%)</w:t>
            </w:r>
          </w:p>
        </w:tc>
        <w:tc>
          <w:tcPr>
            <w:tcW w:w="1134"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center"/>
              <w:rPr>
                <w:rFonts w:ascii="Book Antiqua" w:eastAsia="ArialMT" w:hAnsi="Book Antiqua" w:cs="ArialMT"/>
                <w:b/>
              </w:rPr>
            </w:pPr>
            <w:r w:rsidRPr="00924A19">
              <w:rPr>
                <w:rFonts w:ascii="Book Antiqua" w:eastAsia="ArialMT" w:hAnsi="Book Antiqua" w:cs="ArialMT"/>
                <w:b/>
              </w:rPr>
              <w:t>G2 (%)</w:t>
            </w:r>
          </w:p>
        </w:tc>
        <w:tc>
          <w:tcPr>
            <w:tcW w:w="992"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center"/>
              <w:rPr>
                <w:rFonts w:ascii="Book Antiqua" w:hAnsi="Book Antiqua"/>
                <w:b/>
              </w:rPr>
            </w:pPr>
            <w:r w:rsidRPr="00924A19">
              <w:rPr>
                <w:rFonts w:ascii="Book Antiqua" w:eastAsia="ArialMT" w:hAnsi="Book Antiqua" w:cs="ArialMT"/>
                <w:b/>
              </w:rPr>
              <w:t>G3 (%)</w:t>
            </w:r>
          </w:p>
        </w:tc>
        <w:tc>
          <w:tcPr>
            <w:tcW w:w="992" w:type="dxa"/>
            <w:tcBorders>
              <w:top w:val="single" w:sz="4" w:space="0" w:color="000000" w:themeColor="text1"/>
              <w:bottom w:val="single" w:sz="4" w:space="0" w:color="000000" w:themeColor="text1"/>
            </w:tcBorders>
          </w:tcPr>
          <w:p w:rsidR="00E44944" w:rsidRPr="00924A19" w:rsidRDefault="00CB25C4" w:rsidP="0026366E">
            <w:pPr>
              <w:snapToGrid w:val="0"/>
              <w:spacing w:line="360" w:lineRule="auto"/>
              <w:jc w:val="center"/>
              <w:rPr>
                <w:rFonts w:ascii="Book Antiqua" w:hAnsi="Book Antiqua"/>
                <w:b/>
              </w:rPr>
            </w:pPr>
            <w:r w:rsidRPr="00924A19">
              <w:rPr>
                <w:rFonts w:ascii="Book Antiqua" w:eastAsia="ArialMT" w:hAnsi="Book Antiqua" w:cs="ArialMT"/>
                <w:b/>
              </w:rPr>
              <w:t>G</w:t>
            </w:r>
            <w:r w:rsidR="00E44944" w:rsidRPr="00924A19">
              <w:rPr>
                <w:rFonts w:ascii="Book Antiqua" w:eastAsia="ArialMT" w:hAnsi="Book Antiqua" w:cs="ArialMT"/>
                <w:b/>
              </w:rPr>
              <w:t>4 (%)</w:t>
            </w:r>
          </w:p>
        </w:tc>
        <w:tc>
          <w:tcPr>
            <w:tcW w:w="993"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center"/>
              <w:rPr>
                <w:rFonts w:ascii="Book Antiqua" w:hAnsi="Book Antiqua"/>
                <w:b/>
              </w:rPr>
            </w:pPr>
            <w:r w:rsidRPr="00924A19">
              <w:rPr>
                <w:rFonts w:ascii="Book Antiqua" w:eastAsia="ArialMT" w:hAnsi="Book Antiqua" w:cs="ArialMT"/>
                <w:b/>
              </w:rPr>
              <w:t>G5 (%)</w:t>
            </w:r>
          </w:p>
        </w:tc>
        <w:tc>
          <w:tcPr>
            <w:tcW w:w="992"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center"/>
              <w:rPr>
                <w:rFonts w:ascii="Book Antiqua" w:eastAsia="ArialMT" w:hAnsi="Book Antiqua" w:cs="ArialMT"/>
                <w:b/>
              </w:rPr>
            </w:pPr>
            <w:r w:rsidRPr="00924A19">
              <w:rPr>
                <w:rFonts w:ascii="Book Antiqua" w:eastAsia="ArialMT" w:hAnsi="Book Antiqua" w:cs="ArialMT"/>
                <w:b/>
              </w:rPr>
              <w:t>G6 (%)</w:t>
            </w:r>
          </w:p>
        </w:tc>
        <w:tc>
          <w:tcPr>
            <w:tcW w:w="1012"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center"/>
              <w:rPr>
                <w:rFonts w:ascii="Book Antiqua" w:eastAsia="ArialMT" w:hAnsi="Book Antiqua" w:cs="ArialMT"/>
                <w:b/>
              </w:rPr>
            </w:pPr>
            <w:r w:rsidRPr="00924A19">
              <w:rPr>
                <w:rFonts w:ascii="Book Antiqua" w:eastAsia="ArialMT" w:hAnsi="Book Antiqua" w:cs="ArialMT"/>
                <w:b/>
              </w:rPr>
              <w:t>Mixed</w:t>
            </w:r>
          </w:p>
        </w:tc>
      </w:tr>
      <w:tr w:rsidR="00CB25C4" w:rsidRPr="00924A19" w:rsidTr="00CB25C4">
        <w:trPr>
          <w:trHeight w:val="417"/>
        </w:trPr>
        <w:tc>
          <w:tcPr>
            <w:tcW w:w="3326" w:type="dxa"/>
            <w:tcBorders>
              <w:top w:val="single" w:sz="4" w:space="0" w:color="000000" w:themeColor="text1"/>
            </w:tcBorders>
            <w:shd w:val="clear" w:color="auto" w:fill="F2F2F2" w:themeFill="background1" w:themeFillShade="F2"/>
          </w:tcPr>
          <w:p w:rsidR="00E44944" w:rsidRPr="00924A19" w:rsidRDefault="00E44944" w:rsidP="0026366E">
            <w:pPr>
              <w:snapToGrid w:val="0"/>
              <w:spacing w:line="360" w:lineRule="auto"/>
              <w:rPr>
                <w:rFonts w:ascii="Book Antiqua" w:hAnsi="Book Antiqua"/>
              </w:rPr>
            </w:pPr>
            <w:r w:rsidRPr="00924A19">
              <w:rPr>
                <w:rFonts w:ascii="Book Antiqua" w:hAnsi="Book Antiqua"/>
              </w:rPr>
              <w:t>Africa</w:t>
            </w:r>
          </w:p>
        </w:tc>
        <w:tc>
          <w:tcPr>
            <w:tcW w:w="1134" w:type="dxa"/>
            <w:tcBorders>
              <w:top w:val="single" w:sz="4" w:space="0" w:color="000000" w:themeColor="text1"/>
            </w:tcBorders>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26.3</w:t>
            </w:r>
          </w:p>
        </w:tc>
        <w:tc>
          <w:tcPr>
            <w:tcW w:w="1134" w:type="dxa"/>
            <w:tcBorders>
              <w:top w:val="single" w:sz="4" w:space="0" w:color="000000" w:themeColor="text1"/>
            </w:tcBorders>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23.7</w:t>
            </w:r>
          </w:p>
        </w:tc>
        <w:tc>
          <w:tcPr>
            <w:tcW w:w="992" w:type="dxa"/>
            <w:tcBorders>
              <w:top w:val="single" w:sz="4" w:space="0" w:color="000000" w:themeColor="text1"/>
            </w:tcBorders>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6.3</w:t>
            </w:r>
          </w:p>
        </w:tc>
        <w:tc>
          <w:tcPr>
            <w:tcW w:w="992" w:type="dxa"/>
            <w:tcBorders>
              <w:top w:val="single" w:sz="4" w:space="0" w:color="000000" w:themeColor="text1"/>
            </w:tcBorders>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28.1</w:t>
            </w:r>
          </w:p>
        </w:tc>
        <w:tc>
          <w:tcPr>
            <w:tcW w:w="993" w:type="dxa"/>
            <w:tcBorders>
              <w:top w:val="single" w:sz="4" w:space="0" w:color="000000" w:themeColor="text1"/>
            </w:tcBorders>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12.2</w:t>
            </w:r>
          </w:p>
        </w:tc>
        <w:tc>
          <w:tcPr>
            <w:tcW w:w="992" w:type="dxa"/>
            <w:tcBorders>
              <w:top w:val="single" w:sz="4" w:space="0" w:color="000000" w:themeColor="text1"/>
            </w:tcBorders>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1012" w:type="dxa"/>
            <w:tcBorders>
              <w:top w:val="single" w:sz="4" w:space="0" w:color="000000" w:themeColor="text1"/>
            </w:tcBorders>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3.4</w:t>
            </w:r>
          </w:p>
        </w:tc>
      </w:tr>
      <w:tr w:rsidR="00CB25C4" w:rsidRPr="00924A19" w:rsidTr="00CB25C4">
        <w:trPr>
          <w:trHeight w:val="417"/>
        </w:trPr>
        <w:tc>
          <w:tcPr>
            <w:tcW w:w="3326" w:type="dxa"/>
          </w:tcPr>
          <w:p w:rsidR="00E44944" w:rsidRPr="00924A19" w:rsidRDefault="00CB25C4" w:rsidP="0026366E">
            <w:pPr>
              <w:snapToGrid w:val="0"/>
              <w:spacing w:line="360" w:lineRule="auto"/>
              <w:rPr>
                <w:rFonts w:ascii="Book Antiqua" w:hAnsi="Book Antiqua"/>
              </w:rPr>
            </w:pPr>
            <w:r w:rsidRPr="00924A19">
              <w:rPr>
                <w:rFonts w:ascii="Book Antiqua" w:hAnsi="Book Antiqua"/>
              </w:rPr>
              <w:t>North Africa/</w:t>
            </w:r>
            <w:r w:rsidR="00E44944" w:rsidRPr="00924A19">
              <w:rPr>
                <w:rFonts w:ascii="Book Antiqua" w:hAnsi="Book Antiqua"/>
              </w:rPr>
              <w:t>Middle East</w:t>
            </w:r>
          </w:p>
        </w:tc>
        <w:tc>
          <w:tcPr>
            <w:tcW w:w="1134"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27.3</w:t>
            </w:r>
          </w:p>
        </w:tc>
        <w:tc>
          <w:tcPr>
            <w:tcW w:w="1134"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0.8</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6.3</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65.3</w:t>
            </w:r>
          </w:p>
        </w:tc>
        <w:tc>
          <w:tcPr>
            <w:tcW w:w="993"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0.3</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101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r>
      <w:tr w:rsidR="00CB25C4" w:rsidRPr="00924A19" w:rsidTr="00CB25C4">
        <w:trPr>
          <w:trHeight w:val="395"/>
        </w:trPr>
        <w:tc>
          <w:tcPr>
            <w:tcW w:w="3326" w:type="dxa"/>
            <w:shd w:val="clear" w:color="auto" w:fill="F2F2F2" w:themeFill="background1" w:themeFillShade="F2"/>
          </w:tcPr>
          <w:p w:rsidR="00E44944" w:rsidRPr="00924A19" w:rsidRDefault="00E44944" w:rsidP="0026366E">
            <w:pPr>
              <w:snapToGrid w:val="0"/>
              <w:spacing w:line="360" w:lineRule="auto"/>
              <w:rPr>
                <w:rFonts w:ascii="Book Antiqua" w:hAnsi="Book Antiqua"/>
              </w:rPr>
            </w:pPr>
            <w:r w:rsidRPr="00924A19">
              <w:rPr>
                <w:rFonts w:ascii="Book Antiqua" w:hAnsi="Book Antiqua"/>
              </w:rPr>
              <w:t>America</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74.5</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10.2</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10.6</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1.7</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0.3</w:t>
            </w:r>
          </w:p>
        </w:tc>
        <w:tc>
          <w:tcPr>
            <w:tcW w:w="101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2.6</w:t>
            </w:r>
          </w:p>
        </w:tc>
      </w:tr>
      <w:tr w:rsidR="00CB25C4" w:rsidRPr="00924A19" w:rsidTr="00CB25C4">
        <w:trPr>
          <w:trHeight w:val="417"/>
        </w:trPr>
        <w:tc>
          <w:tcPr>
            <w:tcW w:w="3326" w:type="dxa"/>
          </w:tcPr>
          <w:p w:rsidR="00E44944" w:rsidRPr="00924A19" w:rsidRDefault="00E44944" w:rsidP="0026366E">
            <w:pPr>
              <w:snapToGrid w:val="0"/>
              <w:spacing w:line="360" w:lineRule="auto"/>
              <w:rPr>
                <w:rFonts w:ascii="Book Antiqua" w:hAnsi="Book Antiqua"/>
              </w:rPr>
            </w:pPr>
            <w:r w:rsidRPr="00924A19">
              <w:rPr>
                <w:rFonts w:ascii="Book Antiqua" w:hAnsi="Book Antiqua"/>
              </w:rPr>
              <w:t>Asia</w:t>
            </w:r>
          </w:p>
        </w:tc>
        <w:tc>
          <w:tcPr>
            <w:tcW w:w="1134"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46.6</w:t>
            </w:r>
          </w:p>
        </w:tc>
        <w:tc>
          <w:tcPr>
            <w:tcW w:w="1134"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18.6</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22.4</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1.0</w:t>
            </w:r>
          </w:p>
        </w:tc>
        <w:tc>
          <w:tcPr>
            <w:tcW w:w="993"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7.0</w:t>
            </w:r>
          </w:p>
        </w:tc>
        <w:tc>
          <w:tcPr>
            <w:tcW w:w="101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4.3</w:t>
            </w:r>
          </w:p>
        </w:tc>
      </w:tr>
      <w:tr w:rsidR="00CB25C4" w:rsidRPr="00924A19" w:rsidTr="00CB25C4">
        <w:trPr>
          <w:trHeight w:val="417"/>
        </w:trPr>
        <w:tc>
          <w:tcPr>
            <w:tcW w:w="3326" w:type="dxa"/>
            <w:shd w:val="clear" w:color="auto" w:fill="F2F2F2" w:themeFill="background1" w:themeFillShade="F2"/>
          </w:tcPr>
          <w:p w:rsidR="00E44944" w:rsidRPr="00924A19" w:rsidRDefault="00E44944" w:rsidP="0026366E">
            <w:pPr>
              <w:snapToGrid w:val="0"/>
              <w:spacing w:line="360" w:lineRule="auto"/>
              <w:rPr>
                <w:rFonts w:ascii="Book Antiqua" w:hAnsi="Book Antiqua"/>
              </w:rPr>
            </w:pPr>
            <w:r w:rsidRPr="00924A19">
              <w:rPr>
                <w:rFonts w:ascii="Book Antiqua" w:hAnsi="Book Antiqua"/>
              </w:rPr>
              <w:t>Australasia</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55.0</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6.5</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36.0</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1.2</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1.3</w:t>
            </w:r>
          </w:p>
        </w:tc>
        <w:tc>
          <w:tcPr>
            <w:tcW w:w="101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r>
      <w:tr w:rsidR="00CB25C4" w:rsidRPr="00924A19" w:rsidTr="00CB25C4">
        <w:trPr>
          <w:trHeight w:val="417"/>
        </w:trPr>
        <w:tc>
          <w:tcPr>
            <w:tcW w:w="3326" w:type="dxa"/>
          </w:tcPr>
          <w:p w:rsidR="00E44944" w:rsidRPr="00924A19" w:rsidRDefault="00E44944" w:rsidP="0026366E">
            <w:pPr>
              <w:snapToGrid w:val="0"/>
              <w:spacing w:line="360" w:lineRule="auto"/>
              <w:rPr>
                <w:rFonts w:ascii="Book Antiqua" w:hAnsi="Book Antiqua"/>
              </w:rPr>
            </w:pPr>
            <w:r w:rsidRPr="00924A19">
              <w:rPr>
                <w:rFonts w:ascii="Book Antiqua" w:hAnsi="Book Antiqua"/>
              </w:rPr>
              <w:t>Europe</w:t>
            </w:r>
          </w:p>
        </w:tc>
        <w:tc>
          <w:tcPr>
            <w:tcW w:w="1134"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64.4</w:t>
            </w:r>
          </w:p>
        </w:tc>
        <w:tc>
          <w:tcPr>
            <w:tcW w:w="1134"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5.5</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25.5</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3.7</w:t>
            </w:r>
          </w:p>
        </w:tc>
        <w:tc>
          <w:tcPr>
            <w:tcW w:w="993"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101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0.7</w:t>
            </w:r>
          </w:p>
        </w:tc>
      </w:tr>
      <w:tr w:rsidR="00CB25C4" w:rsidRPr="00924A19" w:rsidTr="00CB25C4">
        <w:trPr>
          <w:trHeight w:val="395"/>
        </w:trPr>
        <w:tc>
          <w:tcPr>
            <w:tcW w:w="3326" w:type="dxa"/>
            <w:shd w:val="clear" w:color="auto" w:fill="F2F2F2" w:themeFill="background1" w:themeFillShade="F2"/>
          </w:tcPr>
          <w:p w:rsidR="00E44944" w:rsidRPr="00924A19" w:rsidRDefault="00E44944" w:rsidP="0026366E">
            <w:pPr>
              <w:snapToGrid w:val="0"/>
              <w:spacing w:line="360" w:lineRule="auto"/>
              <w:rPr>
                <w:rFonts w:ascii="Book Antiqua" w:hAnsi="Book Antiqua"/>
                <w:b/>
              </w:rPr>
            </w:pPr>
            <w:r w:rsidRPr="00924A19">
              <w:rPr>
                <w:rFonts w:ascii="Book Antiqua" w:hAnsi="Book Antiqua"/>
              </w:rPr>
              <w:t>T</w:t>
            </w:r>
            <w:r w:rsidR="00CB25C4" w:rsidRPr="00924A19">
              <w:rPr>
                <w:rFonts w:ascii="Book Antiqua" w:hAnsi="Book Antiqua"/>
              </w:rPr>
              <w:t>otal</w:t>
            </w:r>
            <w:r w:rsidR="006D3064" w:rsidRPr="00924A19">
              <w:rPr>
                <w:rFonts w:ascii="Book Antiqua" w:hAnsi="Book Antiqua"/>
              </w:rPr>
              <w:t xml:space="preserve"> </w:t>
            </w:r>
            <w:r w:rsidRPr="00924A19">
              <w:rPr>
                <w:rFonts w:ascii="Book Antiqua" w:hAnsi="Book Antiqua"/>
              </w:rPr>
              <w:t>(excludes Oceania)</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49.1</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11.0</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17.9</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16.8</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2.0</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1.4</w:t>
            </w:r>
          </w:p>
        </w:tc>
        <w:tc>
          <w:tcPr>
            <w:tcW w:w="101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1.8</w:t>
            </w:r>
          </w:p>
        </w:tc>
      </w:tr>
    </w:tbl>
    <w:p w:rsidR="00E44944" w:rsidRPr="00924A19" w:rsidRDefault="00E44944" w:rsidP="0026366E">
      <w:pPr>
        <w:snapToGrid w:val="0"/>
        <w:spacing w:line="360" w:lineRule="auto"/>
        <w:jc w:val="both"/>
        <w:rPr>
          <w:rFonts w:ascii="Book Antiqua" w:hAnsi="Book Antiqua"/>
          <w:lang w:val="en-US"/>
        </w:rPr>
      </w:pPr>
    </w:p>
    <w:p w:rsidR="00E44944" w:rsidRPr="00924A19" w:rsidRDefault="00E44944" w:rsidP="0026366E">
      <w:pPr>
        <w:snapToGrid w:val="0"/>
        <w:spacing w:line="360" w:lineRule="auto"/>
        <w:jc w:val="both"/>
        <w:rPr>
          <w:rFonts w:ascii="Book Antiqua" w:hAnsi="Book Antiqua"/>
          <w:lang w:val="en-US"/>
        </w:rPr>
      </w:pPr>
      <w:r w:rsidRPr="00924A19">
        <w:rPr>
          <w:rFonts w:ascii="Book Antiqua" w:hAnsi="Book Antiqua"/>
          <w:lang w:val="en-US"/>
        </w:rPr>
        <w:br w:type="page"/>
      </w:r>
    </w:p>
    <w:p w:rsidR="00E44944" w:rsidRPr="00924A19" w:rsidRDefault="00E44944" w:rsidP="0026366E">
      <w:pPr>
        <w:snapToGrid w:val="0"/>
        <w:spacing w:line="360" w:lineRule="auto"/>
        <w:jc w:val="both"/>
        <w:rPr>
          <w:rFonts w:ascii="Book Antiqua" w:hAnsi="Book Antiqua" w:cs="AdvPA568"/>
          <w:b/>
          <w:color w:val="231F20"/>
          <w:lang w:val="en-US"/>
        </w:rPr>
      </w:pPr>
      <w:r w:rsidRPr="00924A19">
        <w:rPr>
          <w:rFonts w:ascii="Book Antiqua" w:hAnsi="Book Antiqua" w:cs="AdvGulliv-B"/>
          <w:b/>
          <w:lang w:val="en-US"/>
        </w:rPr>
        <w:lastRenderedPageBreak/>
        <w:t>Table 4</w:t>
      </w:r>
      <w:r w:rsidR="00301815">
        <w:rPr>
          <w:rFonts w:ascii="Book Antiqua" w:hAnsi="Book Antiqua" w:cs="AdvGulliv-B" w:hint="eastAsia"/>
          <w:b/>
          <w:lang w:val="en-US"/>
        </w:rPr>
        <w:t xml:space="preserve"> </w:t>
      </w:r>
      <w:r w:rsidRPr="00924A19">
        <w:rPr>
          <w:rFonts w:ascii="Book Antiqua" w:hAnsi="Book Antiqua" w:cs="AdvPA568"/>
          <w:b/>
          <w:color w:val="231F20"/>
          <w:lang w:val="en-US"/>
        </w:rPr>
        <w:t xml:space="preserve">Regional </w:t>
      </w:r>
      <w:r w:rsidR="00CB25C4" w:rsidRPr="00924A19">
        <w:rPr>
          <w:rFonts w:ascii="Book Antiqua" w:hAnsi="Book Antiqua" w:cs="AdvPA568"/>
          <w:b/>
          <w:color w:val="231F20"/>
          <w:lang w:val="en-US"/>
        </w:rPr>
        <w:t>e</w:t>
      </w:r>
      <w:r w:rsidRPr="00924A19">
        <w:rPr>
          <w:rFonts w:ascii="Book Antiqua" w:hAnsi="Book Antiqua" w:cs="AdvPA568"/>
          <w:b/>
          <w:color w:val="231F20"/>
          <w:lang w:val="en-US"/>
        </w:rPr>
        <w:t xml:space="preserve">stimates of </w:t>
      </w:r>
      <w:r w:rsidR="00CB25C4" w:rsidRPr="00924A19">
        <w:rPr>
          <w:rFonts w:ascii="Book Antiqua" w:hAnsi="Book Antiqua" w:cs="AdvGulliv-B"/>
          <w:b/>
          <w:lang w:val="en-US"/>
        </w:rPr>
        <w:t>hepatitis C virus</w:t>
      </w:r>
      <w:r w:rsidR="00CB25C4" w:rsidRPr="00924A19">
        <w:rPr>
          <w:rFonts w:ascii="Book Antiqua" w:hAnsi="Book Antiqua" w:cs="AdvPA568"/>
          <w:b/>
          <w:color w:val="231F20"/>
          <w:lang w:val="en-US"/>
        </w:rPr>
        <w:t xml:space="preserve"> genotypes</w:t>
      </w:r>
    </w:p>
    <w:tbl>
      <w:tblPr>
        <w:tblStyle w:val="TableGrid"/>
        <w:tblW w:w="10576" w:type="dxa"/>
        <w:tblInd w:w="-6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8"/>
        <w:gridCol w:w="1134"/>
        <w:gridCol w:w="992"/>
        <w:gridCol w:w="992"/>
        <w:gridCol w:w="992"/>
        <w:gridCol w:w="993"/>
        <w:gridCol w:w="992"/>
        <w:gridCol w:w="1013"/>
      </w:tblGrid>
      <w:tr w:rsidR="00CB25C4" w:rsidRPr="00924A19" w:rsidTr="00CB25C4">
        <w:trPr>
          <w:trHeight w:val="352"/>
        </w:trPr>
        <w:tc>
          <w:tcPr>
            <w:tcW w:w="3468"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both"/>
              <w:rPr>
                <w:rFonts w:ascii="Book Antiqua" w:hAnsi="Book Antiqua"/>
                <w:b/>
              </w:rPr>
            </w:pPr>
            <w:r w:rsidRPr="00924A19">
              <w:rPr>
                <w:rFonts w:ascii="Book Antiqua" w:eastAsia="ArialMT" w:hAnsi="Book Antiqua" w:cs="ArialMT"/>
                <w:b/>
              </w:rPr>
              <w:t>Regions</w:t>
            </w:r>
          </w:p>
        </w:tc>
        <w:tc>
          <w:tcPr>
            <w:tcW w:w="1134" w:type="dxa"/>
            <w:tcBorders>
              <w:top w:val="single" w:sz="4" w:space="0" w:color="000000" w:themeColor="text1"/>
              <w:bottom w:val="single" w:sz="4" w:space="0" w:color="000000" w:themeColor="text1"/>
            </w:tcBorders>
          </w:tcPr>
          <w:p w:rsidR="00E44944" w:rsidRPr="00924A19" w:rsidRDefault="00A74170" w:rsidP="00A74170">
            <w:pPr>
              <w:snapToGrid w:val="0"/>
              <w:spacing w:line="360" w:lineRule="auto"/>
              <w:jc w:val="center"/>
              <w:rPr>
                <w:rFonts w:ascii="Book Antiqua" w:eastAsia="ArialMT" w:hAnsi="Book Antiqua" w:cs="ArialMT"/>
                <w:b/>
              </w:rPr>
            </w:pPr>
            <w:r>
              <w:rPr>
                <w:rFonts w:ascii="Book Antiqua" w:eastAsia="ArialMT" w:hAnsi="Book Antiqua" w:cs="ArialMT"/>
                <w:b/>
              </w:rPr>
              <w:t>G</w:t>
            </w:r>
            <w:r w:rsidR="00E44944" w:rsidRPr="00924A19">
              <w:rPr>
                <w:rFonts w:ascii="Book Antiqua" w:eastAsia="ArialMT" w:hAnsi="Book Antiqua" w:cs="ArialMT"/>
                <w:b/>
              </w:rPr>
              <w:t>1</w:t>
            </w:r>
            <w:r>
              <w:rPr>
                <w:rFonts w:ascii="Book Antiqua" w:eastAsiaTheme="minorEastAsia" w:hAnsi="Book Antiqua" w:cs="ArialMT" w:hint="eastAsia"/>
                <w:b/>
              </w:rPr>
              <w:t xml:space="preserve"> </w:t>
            </w:r>
            <w:r w:rsidR="00E44944" w:rsidRPr="00924A19">
              <w:rPr>
                <w:rFonts w:ascii="Book Antiqua" w:eastAsia="ArialMT" w:hAnsi="Book Antiqua" w:cs="ArialMT"/>
                <w:b/>
              </w:rPr>
              <w:t>(%)</w:t>
            </w:r>
          </w:p>
        </w:tc>
        <w:tc>
          <w:tcPr>
            <w:tcW w:w="992"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center"/>
              <w:rPr>
                <w:rFonts w:ascii="Book Antiqua" w:hAnsi="Book Antiqua"/>
                <w:b/>
              </w:rPr>
            </w:pPr>
            <w:r w:rsidRPr="00924A19">
              <w:rPr>
                <w:rFonts w:ascii="Book Antiqua" w:eastAsia="ArialMT" w:hAnsi="Book Antiqua" w:cs="ArialMT"/>
                <w:b/>
              </w:rPr>
              <w:t>G2 (%)</w:t>
            </w:r>
          </w:p>
        </w:tc>
        <w:tc>
          <w:tcPr>
            <w:tcW w:w="992" w:type="dxa"/>
            <w:tcBorders>
              <w:top w:val="single" w:sz="4" w:space="0" w:color="000000" w:themeColor="text1"/>
              <w:bottom w:val="single" w:sz="4" w:space="0" w:color="000000" w:themeColor="text1"/>
            </w:tcBorders>
          </w:tcPr>
          <w:p w:rsidR="00E44944" w:rsidRPr="00924A19" w:rsidRDefault="00E44944" w:rsidP="00A74170">
            <w:pPr>
              <w:snapToGrid w:val="0"/>
              <w:spacing w:line="360" w:lineRule="auto"/>
              <w:jc w:val="center"/>
              <w:rPr>
                <w:rFonts w:ascii="Book Antiqua" w:hAnsi="Book Antiqua"/>
              </w:rPr>
            </w:pPr>
            <w:r w:rsidRPr="00924A19">
              <w:rPr>
                <w:rFonts w:ascii="Book Antiqua" w:eastAsia="ArialMT" w:hAnsi="Book Antiqua" w:cs="ArialMT"/>
                <w:b/>
              </w:rPr>
              <w:t>G3</w:t>
            </w:r>
            <w:r w:rsidR="00A74170">
              <w:rPr>
                <w:rFonts w:ascii="Book Antiqua" w:eastAsiaTheme="minorEastAsia" w:hAnsi="Book Antiqua" w:cs="ArialMT" w:hint="eastAsia"/>
                <w:b/>
              </w:rPr>
              <w:t xml:space="preserve"> </w:t>
            </w:r>
            <w:r w:rsidRPr="00924A19">
              <w:rPr>
                <w:rFonts w:ascii="Book Antiqua" w:eastAsia="ArialMT" w:hAnsi="Book Antiqua" w:cs="ArialMT"/>
                <w:b/>
              </w:rPr>
              <w:t>(%)</w:t>
            </w:r>
          </w:p>
        </w:tc>
        <w:tc>
          <w:tcPr>
            <w:tcW w:w="992"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center"/>
              <w:rPr>
                <w:rFonts w:ascii="Book Antiqua" w:hAnsi="Book Antiqua"/>
              </w:rPr>
            </w:pPr>
            <w:r w:rsidRPr="00924A19">
              <w:rPr>
                <w:rFonts w:ascii="Book Antiqua" w:eastAsia="ArialMT" w:hAnsi="Book Antiqua" w:cs="ArialMT"/>
                <w:b/>
              </w:rPr>
              <w:t>G4 (%)</w:t>
            </w:r>
          </w:p>
        </w:tc>
        <w:tc>
          <w:tcPr>
            <w:tcW w:w="993"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center"/>
              <w:rPr>
                <w:rFonts w:ascii="Book Antiqua" w:hAnsi="Book Antiqua"/>
              </w:rPr>
            </w:pPr>
            <w:r w:rsidRPr="00924A19">
              <w:rPr>
                <w:rFonts w:ascii="Book Antiqua" w:eastAsia="ArialMT" w:hAnsi="Book Antiqua" w:cs="ArialMT"/>
                <w:b/>
              </w:rPr>
              <w:t>G5 (%)</w:t>
            </w:r>
          </w:p>
        </w:tc>
        <w:tc>
          <w:tcPr>
            <w:tcW w:w="992"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center"/>
              <w:rPr>
                <w:rFonts w:ascii="Book Antiqua" w:hAnsi="Book Antiqua"/>
              </w:rPr>
            </w:pPr>
            <w:r w:rsidRPr="00924A19">
              <w:rPr>
                <w:rFonts w:ascii="Book Antiqua" w:eastAsia="ArialMT" w:hAnsi="Book Antiqua" w:cs="ArialMT"/>
                <w:b/>
              </w:rPr>
              <w:t>G6 (%)</w:t>
            </w:r>
          </w:p>
        </w:tc>
        <w:tc>
          <w:tcPr>
            <w:tcW w:w="1013" w:type="dxa"/>
            <w:tcBorders>
              <w:top w:val="single" w:sz="4" w:space="0" w:color="000000" w:themeColor="text1"/>
              <w:bottom w:val="single" w:sz="4" w:space="0" w:color="000000" w:themeColor="text1"/>
            </w:tcBorders>
          </w:tcPr>
          <w:p w:rsidR="00E44944" w:rsidRPr="00924A19" w:rsidRDefault="00E44944" w:rsidP="0026366E">
            <w:pPr>
              <w:snapToGrid w:val="0"/>
              <w:spacing w:line="360" w:lineRule="auto"/>
              <w:jc w:val="center"/>
              <w:rPr>
                <w:rFonts w:ascii="Book Antiqua" w:eastAsia="ArialMT" w:hAnsi="Book Antiqua" w:cs="ArialMT"/>
                <w:b/>
              </w:rPr>
            </w:pPr>
            <w:r w:rsidRPr="00924A19">
              <w:rPr>
                <w:rFonts w:ascii="Book Antiqua" w:eastAsia="ArialMT" w:hAnsi="Book Antiqua" w:cs="ArialMT"/>
                <w:b/>
              </w:rPr>
              <w:t>Mixed</w:t>
            </w:r>
          </w:p>
        </w:tc>
      </w:tr>
      <w:tr w:rsidR="00CB25C4" w:rsidRPr="00924A19" w:rsidTr="00CB25C4">
        <w:trPr>
          <w:trHeight w:val="352"/>
        </w:trPr>
        <w:tc>
          <w:tcPr>
            <w:tcW w:w="3468" w:type="dxa"/>
            <w:tcBorders>
              <w:top w:val="single" w:sz="4" w:space="0" w:color="000000" w:themeColor="text1"/>
            </w:tcBorders>
          </w:tcPr>
          <w:p w:rsidR="00E44944" w:rsidRPr="00924A19" w:rsidRDefault="00CB25C4" w:rsidP="0026366E">
            <w:pPr>
              <w:snapToGrid w:val="0"/>
              <w:spacing w:line="360" w:lineRule="auto"/>
              <w:jc w:val="both"/>
              <w:rPr>
                <w:rFonts w:ascii="Book Antiqua" w:hAnsi="Book Antiqua"/>
                <w:b/>
              </w:rPr>
            </w:pPr>
            <w:r w:rsidRPr="00924A19">
              <w:rPr>
                <w:rFonts w:ascii="Book Antiqua" w:eastAsia="ArialMT" w:hAnsi="Book Antiqua" w:cs="ArialMT"/>
              </w:rPr>
              <w:t>Central Sub-</w:t>
            </w:r>
            <w:r w:rsidR="00E44944" w:rsidRPr="00924A19">
              <w:rPr>
                <w:rFonts w:ascii="Book Antiqua" w:eastAsia="ArialMT" w:hAnsi="Book Antiqua" w:cs="ArialMT"/>
              </w:rPr>
              <w:t xml:space="preserve">Saharan Africa </w:t>
            </w:r>
          </w:p>
        </w:tc>
        <w:tc>
          <w:tcPr>
            <w:tcW w:w="1134" w:type="dxa"/>
            <w:tcBorders>
              <w:top w:val="single" w:sz="4" w:space="0" w:color="000000" w:themeColor="text1"/>
            </w:tcBorders>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12.3</w:t>
            </w:r>
          </w:p>
        </w:tc>
        <w:tc>
          <w:tcPr>
            <w:tcW w:w="992" w:type="dxa"/>
            <w:tcBorders>
              <w:top w:val="single" w:sz="4" w:space="0" w:color="000000" w:themeColor="text1"/>
            </w:tcBorders>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4.0</w:t>
            </w:r>
          </w:p>
        </w:tc>
        <w:tc>
          <w:tcPr>
            <w:tcW w:w="992" w:type="dxa"/>
            <w:tcBorders>
              <w:top w:val="single" w:sz="4" w:space="0" w:color="000000" w:themeColor="text1"/>
            </w:tcBorders>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0.8</w:t>
            </w:r>
          </w:p>
        </w:tc>
        <w:tc>
          <w:tcPr>
            <w:tcW w:w="992" w:type="dxa"/>
            <w:tcBorders>
              <w:top w:val="single" w:sz="4" w:space="0" w:color="000000" w:themeColor="text1"/>
            </w:tcBorders>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82.9</w:t>
            </w:r>
          </w:p>
        </w:tc>
        <w:tc>
          <w:tcPr>
            <w:tcW w:w="993" w:type="dxa"/>
            <w:tcBorders>
              <w:top w:val="single" w:sz="4" w:space="0" w:color="000000" w:themeColor="text1"/>
            </w:tcBorders>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992" w:type="dxa"/>
            <w:tcBorders>
              <w:top w:val="single" w:sz="4" w:space="0" w:color="000000" w:themeColor="text1"/>
            </w:tcBorders>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1013" w:type="dxa"/>
            <w:tcBorders>
              <w:top w:val="single" w:sz="4" w:space="0" w:color="000000" w:themeColor="text1"/>
            </w:tcBorders>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r>
      <w:tr w:rsidR="00CB25C4" w:rsidRPr="00924A19" w:rsidTr="00CB25C4">
        <w:trPr>
          <w:trHeight w:val="333"/>
        </w:trPr>
        <w:tc>
          <w:tcPr>
            <w:tcW w:w="3468" w:type="dxa"/>
            <w:shd w:val="clear" w:color="auto" w:fill="F2F2F2" w:themeFill="background1" w:themeFillShade="F2"/>
          </w:tcPr>
          <w:p w:rsidR="00E44944" w:rsidRPr="00924A19" w:rsidRDefault="00CB25C4" w:rsidP="0026366E">
            <w:pPr>
              <w:snapToGrid w:val="0"/>
              <w:spacing w:line="360" w:lineRule="auto"/>
              <w:jc w:val="both"/>
              <w:rPr>
                <w:rFonts w:ascii="Book Antiqua" w:hAnsi="Book Antiqua"/>
                <w:b/>
              </w:rPr>
            </w:pPr>
            <w:r w:rsidRPr="00924A19">
              <w:rPr>
                <w:rFonts w:ascii="Book Antiqua" w:eastAsia="ArialMT" w:hAnsi="Book Antiqua" w:cs="ArialMT"/>
              </w:rPr>
              <w:t>East Sub-</w:t>
            </w:r>
            <w:r w:rsidR="00E44944" w:rsidRPr="00924A19">
              <w:rPr>
                <w:rFonts w:ascii="Book Antiqua" w:eastAsia="ArialMT" w:hAnsi="Book Antiqua" w:cs="ArialMT"/>
              </w:rPr>
              <w:t>Saharan Africa</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36.2</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26.8</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7.4</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16.6</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13.0</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101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r>
      <w:tr w:rsidR="00CB25C4" w:rsidRPr="00924A19" w:rsidTr="00CB25C4">
        <w:trPr>
          <w:trHeight w:val="352"/>
        </w:trPr>
        <w:tc>
          <w:tcPr>
            <w:tcW w:w="3468" w:type="dxa"/>
          </w:tcPr>
          <w:p w:rsidR="00E44944" w:rsidRPr="00924A19" w:rsidRDefault="00CB25C4" w:rsidP="0026366E">
            <w:pPr>
              <w:snapToGrid w:val="0"/>
              <w:spacing w:line="360" w:lineRule="auto"/>
              <w:jc w:val="both"/>
              <w:rPr>
                <w:rFonts w:ascii="Book Antiqua" w:hAnsi="Book Antiqua"/>
                <w:b/>
              </w:rPr>
            </w:pPr>
            <w:r w:rsidRPr="00924A19">
              <w:rPr>
                <w:rFonts w:ascii="Book Antiqua" w:eastAsia="ArialMT" w:hAnsi="Book Antiqua" w:cs="ArialMT"/>
              </w:rPr>
              <w:t>Southern Sub-</w:t>
            </w:r>
            <w:r w:rsidR="00E44944" w:rsidRPr="00924A19">
              <w:rPr>
                <w:rFonts w:ascii="Book Antiqua" w:eastAsia="ArialMT" w:hAnsi="Book Antiqua" w:cs="ArialMT"/>
              </w:rPr>
              <w:t xml:space="preserve">Saharan Africa </w:t>
            </w:r>
          </w:p>
        </w:tc>
        <w:tc>
          <w:tcPr>
            <w:tcW w:w="1134"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31.4</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1.2</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12.6</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12.4</w:t>
            </w:r>
          </w:p>
        </w:tc>
        <w:tc>
          <w:tcPr>
            <w:tcW w:w="993"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35.7</w:t>
            </w:r>
          </w:p>
        </w:tc>
        <w:tc>
          <w:tcPr>
            <w:tcW w:w="992"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1013" w:type="dxa"/>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6.7</w:t>
            </w:r>
          </w:p>
        </w:tc>
      </w:tr>
      <w:tr w:rsidR="00CB25C4" w:rsidRPr="00924A19" w:rsidTr="00CB25C4">
        <w:trPr>
          <w:trHeight w:val="352"/>
        </w:trPr>
        <w:tc>
          <w:tcPr>
            <w:tcW w:w="3468" w:type="dxa"/>
            <w:shd w:val="clear" w:color="auto" w:fill="F2F2F2" w:themeFill="background1" w:themeFillShade="F2"/>
          </w:tcPr>
          <w:p w:rsidR="00E44944" w:rsidRPr="00924A19" w:rsidRDefault="00CB25C4" w:rsidP="0026366E">
            <w:pPr>
              <w:snapToGrid w:val="0"/>
              <w:spacing w:line="360" w:lineRule="auto"/>
              <w:jc w:val="both"/>
              <w:rPr>
                <w:rFonts w:ascii="Book Antiqua" w:hAnsi="Book Antiqua"/>
                <w:b/>
              </w:rPr>
            </w:pPr>
            <w:r w:rsidRPr="00924A19">
              <w:rPr>
                <w:rFonts w:ascii="Book Antiqua" w:eastAsia="ArialMT" w:hAnsi="Book Antiqua" w:cs="ArialMT"/>
              </w:rPr>
              <w:t>West Sub-</w:t>
            </w:r>
            <w:r w:rsidR="00E44944" w:rsidRPr="00924A19">
              <w:rPr>
                <w:rFonts w:ascii="Book Antiqua" w:eastAsia="ArialMT" w:hAnsi="Book Antiqua" w:cs="ArialMT"/>
              </w:rPr>
              <w:t>Saharan Africa</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25.5</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62.9</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4.4</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0.6</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101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6.6</w:t>
            </w:r>
          </w:p>
        </w:tc>
      </w:tr>
      <w:tr w:rsidR="00CB25C4" w:rsidRPr="00924A19" w:rsidTr="00CB25C4">
        <w:trPr>
          <w:trHeight w:val="333"/>
        </w:trPr>
        <w:tc>
          <w:tcPr>
            <w:tcW w:w="3468" w:type="dxa"/>
            <w:shd w:val="clear" w:color="auto" w:fill="FFFFFF" w:themeFill="background1"/>
          </w:tcPr>
          <w:p w:rsidR="00E44944" w:rsidRPr="00924A19" w:rsidRDefault="00E44944" w:rsidP="0026366E">
            <w:pPr>
              <w:autoSpaceDE w:val="0"/>
              <w:autoSpaceDN w:val="0"/>
              <w:adjustRightInd w:val="0"/>
              <w:snapToGrid w:val="0"/>
              <w:spacing w:line="360" w:lineRule="auto"/>
              <w:jc w:val="both"/>
              <w:rPr>
                <w:rFonts w:ascii="Book Antiqua" w:hAnsi="Book Antiqua" w:cs="AdvPA564"/>
                <w:color w:val="231F20"/>
                <w:lang w:val="en-US"/>
              </w:rPr>
            </w:pPr>
            <w:r w:rsidRPr="00924A19">
              <w:rPr>
                <w:rFonts w:ascii="Book Antiqua" w:hAnsi="Book Antiqua" w:cs="AdvPA564"/>
                <w:color w:val="231F20"/>
                <w:lang w:val="en-US"/>
              </w:rPr>
              <w:t>North Africa and Middle East</w:t>
            </w:r>
          </w:p>
        </w:tc>
        <w:tc>
          <w:tcPr>
            <w:tcW w:w="1134"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27.3</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0.8</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6.3</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65.3</w:t>
            </w:r>
          </w:p>
        </w:tc>
        <w:tc>
          <w:tcPr>
            <w:tcW w:w="99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0.3</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101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r>
      <w:tr w:rsidR="00CB25C4" w:rsidRPr="00924A19" w:rsidTr="00CB25C4">
        <w:trPr>
          <w:trHeight w:val="333"/>
        </w:trPr>
        <w:tc>
          <w:tcPr>
            <w:tcW w:w="3468" w:type="dxa"/>
            <w:shd w:val="clear" w:color="auto" w:fill="F2F2F2" w:themeFill="background1" w:themeFillShade="F2"/>
          </w:tcPr>
          <w:p w:rsidR="00E44944" w:rsidRPr="00924A19" w:rsidRDefault="00E44944" w:rsidP="0026366E">
            <w:pPr>
              <w:autoSpaceDE w:val="0"/>
              <w:autoSpaceDN w:val="0"/>
              <w:adjustRightInd w:val="0"/>
              <w:snapToGrid w:val="0"/>
              <w:spacing w:line="360" w:lineRule="auto"/>
              <w:jc w:val="both"/>
              <w:rPr>
                <w:rFonts w:ascii="Book Antiqua" w:hAnsi="Book Antiqua" w:cs="AdvPA564"/>
                <w:color w:val="231F20"/>
              </w:rPr>
            </w:pPr>
            <w:r w:rsidRPr="00924A19">
              <w:rPr>
                <w:rFonts w:ascii="Book Antiqua" w:hAnsi="Book Antiqua" w:cs="AdvPA564"/>
                <w:color w:val="231F20"/>
              </w:rPr>
              <w:t>North America</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66.3</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13.1</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15.7</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4.3</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0.6</w:t>
            </w:r>
          </w:p>
        </w:tc>
        <w:tc>
          <w:tcPr>
            <w:tcW w:w="101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r>
      <w:tr w:rsidR="00CB25C4" w:rsidRPr="00924A19" w:rsidTr="00CB25C4">
        <w:trPr>
          <w:trHeight w:val="333"/>
        </w:trPr>
        <w:tc>
          <w:tcPr>
            <w:tcW w:w="3468" w:type="dxa"/>
            <w:shd w:val="clear" w:color="auto" w:fill="FFFFFF" w:themeFill="background1"/>
          </w:tcPr>
          <w:p w:rsidR="00E44944" w:rsidRPr="00924A19" w:rsidRDefault="00E44944" w:rsidP="0026366E">
            <w:pPr>
              <w:snapToGrid w:val="0"/>
              <w:spacing w:line="360" w:lineRule="auto"/>
              <w:jc w:val="both"/>
              <w:rPr>
                <w:rFonts w:ascii="Book Antiqua" w:hAnsi="Book Antiqua"/>
                <w:b/>
              </w:rPr>
            </w:pPr>
            <w:r w:rsidRPr="00924A19">
              <w:rPr>
                <w:rFonts w:ascii="Book Antiqua" w:hAnsi="Book Antiqua" w:cs="AdvPA564"/>
                <w:color w:val="231F20"/>
              </w:rPr>
              <w:t>Caribbean</w:t>
            </w:r>
          </w:p>
        </w:tc>
        <w:tc>
          <w:tcPr>
            <w:tcW w:w="1134"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83.0</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7.2</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2.1</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0.6</w:t>
            </w:r>
          </w:p>
        </w:tc>
        <w:tc>
          <w:tcPr>
            <w:tcW w:w="99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101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7.0</w:t>
            </w:r>
          </w:p>
        </w:tc>
      </w:tr>
      <w:tr w:rsidR="00CB25C4" w:rsidRPr="00924A19" w:rsidTr="00CB25C4">
        <w:trPr>
          <w:trHeight w:val="333"/>
        </w:trPr>
        <w:tc>
          <w:tcPr>
            <w:tcW w:w="3468"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Andean Latin America</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86.0</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2.0</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10.0</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101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2.0</w:t>
            </w:r>
          </w:p>
        </w:tc>
      </w:tr>
      <w:tr w:rsidR="00CB25C4" w:rsidRPr="00924A19" w:rsidTr="00CB25C4">
        <w:trPr>
          <w:trHeight w:val="333"/>
        </w:trPr>
        <w:tc>
          <w:tcPr>
            <w:tcW w:w="3468" w:type="dxa"/>
            <w:shd w:val="clear" w:color="auto" w:fill="FFFFFF" w:themeFill="background1"/>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Central Latin America</w:t>
            </w:r>
          </w:p>
        </w:tc>
        <w:tc>
          <w:tcPr>
            <w:tcW w:w="1134"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74.6</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21.6</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3.3</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99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101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0.3</w:t>
            </w:r>
          </w:p>
        </w:tc>
      </w:tr>
      <w:tr w:rsidR="00CB25C4" w:rsidRPr="00924A19" w:rsidTr="00CB25C4">
        <w:trPr>
          <w:trHeight w:val="333"/>
        </w:trPr>
        <w:tc>
          <w:tcPr>
            <w:tcW w:w="3468"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Southern Latin America</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72.0</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13.3</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13.5</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0.9</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101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r>
      <w:tr w:rsidR="00CB25C4" w:rsidRPr="00924A19" w:rsidTr="00CB25C4">
        <w:trPr>
          <w:trHeight w:val="333"/>
        </w:trPr>
        <w:tc>
          <w:tcPr>
            <w:tcW w:w="3468" w:type="dxa"/>
            <w:shd w:val="clear" w:color="auto" w:fill="FFFFFF" w:themeFill="background1"/>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Tropical Latin America</w:t>
            </w:r>
          </w:p>
        </w:tc>
        <w:tc>
          <w:tcPr>
            <w:tcW w:w="1134"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64.8</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4.6</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30.2</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0.2</w:t>
            </w:r>
          </w:p>
        </w:tc>
        <w:tc>
          <w:tcPr>
            <w:tcW w:w="99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101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r>
      <w:tr w:rsidR="00CB25C4" w:rsidRPr="00924A19" w:rsidTr="00CB25C4">
        <w:trPr>
          <w:trHeight w:val="333"/>
        </w:trPr>
        <w:tc>
          <w:tcPr>
            <w:tcW w:w="3468"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Central Asia</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70.4</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8.6</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19.6</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101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1.4</w:t>
            </w:r>
          </w:p>
        </w:tc>
      </w:tr>
      <w:tr w:rsidR="00CB25C4" w:rsidRPr="00924A19" w:rsidTr="00CB25C4">
        <w:trPr>
          <w:trHeight w:val="333"/>
        </w:trPr>
        <w:tc>
          <w:tcPr>
            <w:tcW w:w="3468" w:type="dxa"/>
            <w:shd w:val="clear" w:color="auto" w:fill="FFFFFF" w:themeFill="background1"/>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East Asia</w:t>
            </w:r>
          </w:p>
        </w:tc>
        <w:tc>
          <w:tcPr>
            <w:tcW w:w="1134"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53.5</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31.7</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5.4</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99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3.3</w:t>
            </w:r>
          </w:p>
        </w:tc>
        <w:tc>
          <w:tcPr>
            <w:tcW w:w="101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6.0</w:t>
            </w:r>
          </w:p>
        </w:tc>
      </w:tr>
      <w:tr w:rsidR="00CB25C4" w:rsidRPr="00924A19" w:rsidTr="00CB25C4">
        <w:trPr>
          <w:trHeight w:val="333"/>
        </w:trPr>
        <w:tc>
          <w:tcPr>
            <w:tcW w:w="3468" w:type="dxa"/>
            <w:shd w:val="clear" w:color="auto" w:fill="F2F2F2" w:themeFill="background1" w:themeFillShade="F2"/>
          </w:tcPr>
          <w:p w:rsidR="00E44944" w:rsidRPr="00924A19" w:rsidRDefault="00CB25C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Pacific Asia, High-Income</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58.7</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39.7</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0.4</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0.5</w:t>
            </w:r>
          </w:p>
        </w:tc>
        <w:tc>
          <w:tcPr>
            <w:tcW w:w="101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0.6</w:t>
            </w:r>
          </w:p>
        </w:tc>
      </w:tr>
      <w:tr w:rsidR="00CB25C4" w:rsidRPr="00924A19" w:rsidTr="00CB25C4">
        <w:trPr>
          <w:trHeight w:val="333"/>
        </w:trPr>
        <w:tc>
          <w:tcPr>
            <w:tcW w:w="3468" w:type="dxa"/>
            <w:shd w:val="clear" w:color="auto" w:fill="FFFFFF" w:themeFill="background1"/>
          </w:tcPr>
          <w:p w:rsidR="00E44944" w:rsidRPr="00924A19" w:rsidRDefault="00E44944" w:rsidP="0026366E">
            <w:pPr>
              <w:snapToGrid w:val="0"/>
              <w:spacing w:line="360" w:lineRule="auto"/>
              <w:jc w:val="both"/>
              <w:rPr>
                <w:rFonts w:ascii="Book Antiqua" w:hAnsi="Book Antiqua" w:cs="AdvPA564"/>
                <w:color w:val="231F20"/>
                <w:lang w:val="en-US"/>
              </w:rPr>
            </w:pPr>
            <w:r w:rsidRPr="00924A19">
              <w:rPr>
                <w:rFonts w:ascii="Book Antiqua" w:hAnsi="Book Antiqua" w:cs="AdvPA564"/>
                <w:color w:val="231F20"/>
              </w:rPr>
              <w:t>South</w:t>
            </w:r>
            <w:r w:rsidRPr="00924A19">
              <w:rPr>
                <w:rFonts w:ascii="Book Antiqua" w:hAnsi="Book Antiqua" w:cs="AdvPA564"/>
                <w:color w:val="231F20"/>
                <w:lang w:val="en-US"/>
              </w:rPr>
              <w:t xml:space="preserve"> Asia</w:t>
            </w:r>
          </w:p>
        </w:tc>
        <w:tc>
          <w:tcPr>
            <w:tcW w:w="1134"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15.5</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1.9</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66.7</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3.7</w:t>
            </w:r>
          </w:p>
        </w:tc>
        <w:tc>
          <w:tcPr>
            <w:tcW w:w="99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0.1</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0.5</w:t>
            </w:r>
          </w:p>
        </w:tc>
        <w:tc>
          <w:tcPr>
            <w:tcW w:w="101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11.6</w:t>
            </w:r>
          </w:p>
        </w:tc>
      </w:tr>
      <w:tr w:rsidR="00CB25C4" w:rsidRPr="00924A19" w:rsidTr="00CB25C4">
        <w:trPr>
          <w:trHeight w:val="333"/>
        </w:trPr>
        <w:tc>
          <w:tcPr>
            <w:tcW w:w="3468"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cs="AdvPA564"/>
                <w:color w:val="231F20"/>
                <w:lang w:val="en-US"/>
              </w:rPr>
            </w:pPr>
            <w:r w:rsidRPr="00924A19">
              <w:rPr>
                <w:rFonts w:ascii="Book Antiqua" w:hAnsi="Book Antiqua" w:cs="AdvPA564"/>
                <w:color w:val="231F20"/>
                <w:lang w:val="en-US"/>
              </w:rPr>
              <w:t>Southeast Asia</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35.2</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11.1</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19.9</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0.9</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0.4</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30.8</w:t>
            </w:r>
          </w:p>
        </w:tc>
        <w:tc>
          <w:tcPr>
            <w:tcW w:w="101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1.7</w:t>
            </w:r>
          </w:p>
        </w:tc>
      </w:tr>
      <w:tr w:rsidR="00CB25C4" w:rsidRPr="00924A19" w:rsidTr="00CB25C4">
        <w:trPr>
          <w:trHeight w:val="333"/>
        </w:trPr>
        <w:tc>
          <w:tcPr>
            <w:tcW w:w="3468" w:type="dxa"/>
            <w:shd w:val="clear" w:color="auto" w:fill="FFFFFF" w:themeFill="background1"/>
          </w:tcPr>
          <w:p w:rsidR="00E44944" w:rsidRPr="00924A19" w:rsidRDefault="00E44944" w:rsidP="0026366E">
            <w:pPr>
              <w:snapToGrid w:val="0"/>
              <w:spacing w:line="360" w:lineRule="auto"/>
              <w:jc w:val="both"/>
              <w:rPr>
                <w:rFonts w:ascii="Book Antiqua" w:hAnsi="Book Antiqua"/>
              </w:rPr>
            </w:pPr>
            <w:r w:rsidRPr="00924A19">
              <w:rPr>
                <w:rFonts w:ascii="Book Antiqua" w:hAnsi="Book Antiqua" w:cs="AdvPA564"/>
                <w:color w:val="231F20"/>
              </w:rPr>
              <w:t>Australasia</w:t>
            </w:r>
          </w:p>
        </w:tc>
        <w:tc>
          <w:tcPr>
            <w:tcW w:w="1134"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55.0</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6.5</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36.0</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1.2</w:t>
            </w:r>
          </w:p>
        </w:tc>
        <w:tc>
          <w:tcPr>
            <w:tcW w:w="99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1.3</w:t>
            </w:r>
          </w:p>
        </w:tc>
        <w:tc>
          <w:tcPr>
            <w:tcW w:w="101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rPr>
            </w:pPr>
            <w:r w:rsidRPr="00924A19">
              <w:rPr>
                <w:rFonts w:ascii="Book Antiqua" w:hAnsi="Book Antiqua"/>
              </w:rPr>
              <w:t>-</w:t>
            </w:r>
          </w:p>
        </w:tc>
      </w:tr>
      <w:tr w:rsidR="00CB25C4" w:rsidRPr="00924A19" w:rsidTr="00CB25C4">
        <w:trPr>
          <w:trHeight w:val="333"/>
        </w:trPr>
        <w:tc>
          <w:tcPr>
            <w:tcW w:w="3468"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Central Europe</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70.0</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3.2</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21.0</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4.9</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0.1</w:t>
            </w:r>
          </w:p>
        </w:tc>
        <w:tc>
          <w:tcPr>
            <w:tcW w:w="101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0.8</w:t>
            </w:r>
          </w:p>
        </w:tc>
      </w:tr>
      <w:tr w:rsidR="00CB25C4" w:rsidRPr="00924A19" w:rsidTr="00CB25C4">
        <w:trPr>
          <w:trHeight w:val="333"/>
        </w:trPr>
        <w:tc>
          <w:tcPr>
            <w:tcW w:w="3468" w:type="dxa"/>
            <w:shd w:val="clear" w:color="auto" w:fill="FFFFFF" w:themeFill="background1"/>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Eastern Europe</w:t>
            </w:r>
          </w:p>
        </w:tc>
        <w:tc>
          <w:tcPr>
            <w:tcW w:w="1134"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68.1</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4.3</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26.6</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0.5</w:t>
            </w:r>
          </w:p>
        </w:tc>
        <w:tc>
          <w:tcPr>
            <w:tcW w:w="99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w:t>
            </w:r>
          </w:p>
        </w:tc>
        <w:tc>
          <w:tcPr>
            <w:tcW w:w="992"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w:t>
            </w:r>
          </w:p>
        </w:tc>
        <w:tc>
          <w:tcPr>
            <w:tcW w:w="1013" w:type="dxa"/>
            <w:shd w:val="clear" w:color="auto" w:fill="FFFFFF" w:themeFill="background1"/>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0.5</w:t>
            </w:r>
          </w:p>
        </w:tc>
      </w:tr>
      <w:tr w:rsidR="00CB25C4" w:rsidRPr="00697BB7" w:rsidTr="00CB25C4">
        <w:trPr>
          <w:trHeight w:val="333"/>
        </w:trPr>
        <w:tc>
          <w:tcPr>
            <w:tcW w:w="3468" w:type="dxa"/>
            <w:shd w:val="clear" w:color="auto" w:fill="F2F2F2" w:themeFill="background1" w:themeFillShade="F2"/>
          </w:tcPr>
          <w:p w:rsidR="00E44944" w:rsidRPr="00924A19" w:rsidRDefault="00E44944" w:rsidP="0026366E">
            <w:pPr>
              <w:snapToGrid w:val="0"/>
              <w:spacing w:line="360" w:lineRule="auto"/>
              <w:jc w:val="both"/>
              <w:rPr>
                <w:rFonts w:ascii="Book Antiqua" w:hAnsi="Book Antiqua" w:cs="AdvPA564"/>
                <w:color w:val="231F20"/>
              </w:rPr>
            </w:pPr>
            <w:r w:rsidRPr="00924A19">
              <w:rPr>
                <w:rFonts w:ascii="Book Antiqua" w:hAnsi="Book Antiqua" w:cs="AdvPA564"/>
                <w:color w:val="231F20"/>
              </w:rPr>
              <w:t>Western Europe</w:t>
            </w:r>
          </w:p>
        </w:tc>
        <w:tc>
          <w:tcPr>
            <w:tcW w:w="1134"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55.1</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8.9</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29.0</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5.8</w:t>
            </w:r>
          </w:p>
        </w:tc>
        <w:tc>
          <w:tcPr>
            <w:tcW w:w="993"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0.2</w:t>
            </w:r>
          </w:p>
        </w:tc>
        <w:tc>
          <w:tcPr>
            <w:tcW w:w="992" w:type="dxa"/>
            <w:shd w:val="clear" w:color="auto" w:fill="F2F2F2" w:themeFill="background1" w:themeFillShade="F2"/>
            <w:vAlign w:val="center"/>
          </w:tcPr>
          <w:p w:rsidR="00E44944" w:rsidRPr="00924A19"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0.1</w:t>
            </w:r>
          </w:p>
        </w:tc>
        <w:tc>
          <w:tcPr>
            <w:tcW w:w="1013" w:type="dxa"/>
            <w:shd w:val="clear" w:color="auto" w:fill="F2F2F2" w:themeFill="background1" w:themeFillShade="F2"/>
            <w:vAlign w:val="center"/>
          </w:tcPr>
          <w:p w:rsidR="00E44944" w:rsidRPr="00CB25C4" w:rsidRDefault="00E44944" w:rsidP="0026366E">
            <w:pPr>
              <w:snapToGrid w:val="0"/>
              <w:spacing w:line="360" w:lineRule="auto"/>
              <w:jc w:val="center"/>
              <w:rPr>
                <w:rFonts w:ascii="Book Antiqua" w:hAnsi="Book Antiqua" w:cs="AdvPA564"/>
                <w:color w:val="231F20"/>
              </w:rPr>
            </w:pPr>
            <w:r w:rsidRPr="00924A19">
              <w:rPr>
                <w:rFonts w:ascii="Book Antiqua" w:hAnsi="Book Antiqua" w:cs="AdvPA564"/>
                <w:color w:val="231F20"/>
              </w:rPr>
              <w:t>0.8</w:t>
            </w:r>
          </w:p>
        </w:tc>
      </w:tr>
    </w:tbl>
    <w:p w:rsidR="00E44944" w:rsidRPr="00697BB7" w:rsidRDefault="00E44944" w:rsidP="0026366E">
      <w:pPr>
        <w:snapToGrid w:val="0"/>
        <w:spacing w:line="360" w:lineRule="auto"/>
        <w:jc w:val="both"/>
        <w:rPr>
          <w:rFonts w:ascii="Book Antiqua" w:hAnsi="Book Antiqua" w:cs="AdvPA568"/>
          <w:color w:val="231F20"/>
          <w:lang w:val="en-US"/>
        </w:rPr>
      </w:pPr>
    </w:p>
    <w:sectPr w:rsidR="00E44944" w:rsidRPr="00697BB7" w:rsidSect="00785507">
      <w:footerReference w:type="even" r:id="rId22"/>
      <w:footerReference w:type="default" r:id="rId23"/>
      <w:pgSz w:w="11906" w:h="16838"/>
      <w:pgMar w:top="2268" w:right="141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61" w:rsidRDefault="00CF2461">
      <w:r>
        <w:separator/>
      </w:r>
    </w:p>
  </w:endnote>
  <w:endnote w:type="continuationSeparator" w:id="0">
    <w:p w:rsidR="00CF2461" w:rsidRDefault="00CF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dvPSPH-R">
    <w:panose1 w:val="00000000000000000000"/>
    <w:charset w:val="00"/>
    <w:family w:val="roman"/>
    <w:notTrueType/>
    <w:pitch w:val="default"/>
    <w:sig w:usb0="00000003" w:usb1="00000000" w:usb2="00000000" w:usb3="00000000" w:csb0="00000001" w:csb1="00000000"/>
  </w:font>
  <w:font w:name="AdvAGaramond-R">
    <w:altName w:val="MS Mincho"/>
    <w:panose1 w:val="00000000000000000000"/>
    <w:charset w:val="80"/>
    <w:family w:val="auto"/>
    <w:notTrueType/>
    <w:pitch w:val="default"/>
    <w:sig w:usb0="00000003" w:usb1="08070000" w:usb2="00000010" w:usb3="00000000" w:csb0="00020001" w:csb1="00000000"/>
  </w:font>
  <w:font w:name="AdvAGaramond-B">
    <w:panose1 w:val="00000000000000000000"/>
    <w:charset w:val="00"/>
    <w:family w:val="roman"/>
    <w:notTrueType/>
    <w:pitch w:val="default"/>
    <w:sig w:usb0="00000003" w:usb1="00000000" w:usb2="00000000" w:usb3="00000000" w:csb0="00000001" w:csb1="00000000"/>
  </w:font>
  <w:font w:name="AdvGulliv-R">
    <w:altName w:val="Arial Unicode MS"/>
    <w:panose1 w:val="00000000000000000000"/>
    <w:charset w:val="88"/>
    <w:family w:val="auto"/>
    <w:notTrueType/>
    <w:pitch w:val="default"/>
    <w:sig w:usb0="00000000" w:usb1="08080000" w:usb2="00000010" w:usb3="00000000" w:csb0="00100000" w:csb1="00000000"/>
  </w:font>
  <w:font w:name="AdvP4C4E51">
    <w:altName w:val="Arial Unicode MS"/>
    <w:panose1 w:val="00000000000000000000"/>
    <w:charset w:val="88"/>
    <w:family w:val="auto"/>
    <w:notTrueType/>
    <w:pitch w:val="default"/>
    <w:sig w:usb0="00000001" w:usb1="08080000" w:usb2="00000010" w:usb3="00000000" w:csb0="00100000" w:csb1="00000000"/>
  </w:font>
  <w:font w:name="AdvMinionNormal_Rm">
    <w:altName w:val="Times New Roman"/>
    <w:panose1 w:val="00000000000000000000"/>
    <w:charset w:val="00"/>
    <w:family w:val="roman"/>
    <w:notTrueType/>
    <w:pitch w:val="default"/>
    <w:sig w:usb0="00000003" w:usb1="00000000" w:usb2="00000000" w:usb3="00000000" w:csb0="00000001" w:csb1="00000000"/>
  </w:font>
  <w:font w:name="AdvPS_SSYB">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dvGulliv-B">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dvPA568">
    <w:panose1 w:val="00000000000000000000"/>
    <w:charset w:val="00"/>
    <w:family w:val="swiss"/>
    <w:notTrueType/>
    <w:pitch w:val="default"/>
    <w:sig w:usb0="00000003" w:usb1="00000000" w:usb2="00000000" w:usb3="00000000" w:csb0="00000001" w:csb1="00000000"/>
  </w:font>
  <w:font w:name="AdvPA564">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19" w:rsidRDefault="00924A19" w:rsidP="00AE75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4A19" w:rsidRDefault="00924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19" w:rsidRDefault="00924A19" w:rsidP="00AE75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1E9">
      <w:rPr>
        <w:rStyle w:val="PageNumber"/>
        <w:noProof/>
      </w:rPr>
      <w:t>52</w:t>
    </w:r>
    <w:r>
      <w:rPr>
        <w:rStyle w:val="PageNumber"/>
      </w:rPr>
      <w:fldChar w:fldCharType="end"/>
    </w:r>
  </w:p>
  <w:p w:rsidR="00924A19" w:rsidRDefault="00924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61" w:rsidRDefault="00CF2461">
      <w:r>
        <w:separator/>
      </w:r>
    </w:p>
  </w:footnote>
  <w:footnote w:type="continuationSeparator" w:id="0">
    <w:p w:rsidR="00CF2461" w:rsidRDefault="00CF2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B6767"/>
    <w:multiLevelType w:val="hybridMultilevel"/>
    <w:tmpl w:val="AB72C196"/>
    <w:lvl w:ilvl="0" w:tplc="9656DCF0">
      <w:start w:val="2"/>
      <w:numFmt w:val="decimal"/>
      <w:lvlText w:val="%1."/>
      <w:lvlJc w:val="left"/>
      <w:pPr>
        <w:ind w:left="502" w:hanging="360"/>
      </w:pPr>
      <w:rPr>
        <w:rFonts w:ascii="Times New Roman" w:hAnsi="Times New Roman" w:cs="Times New Roman"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26F1184D"/>
    <w:multiLevelType w:val="hybridMultilevel"/>
    <w:tmpl w:val="87343E30"/>
    <w:lvl w:ilvl="0" w:tplc="F2A08D92">
      <w:start w:val="6"/>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28E8063F"/>
    <w:multiLevelType w:val="hybridMultilevel"/>
    <w:tmpl w:val="8B4EC6FA"/>
    <w:lvl w:ilvl="0" w:tplc="F8C67D8A">
      <w:start w:val="1"/>
      <w:numFmt w:val="decimal"/>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260B37"/>
    <w:multiLevelType w:val="hybridMultilevel"/>
    <w:tmpl w:val="02D63CD0"/>
    <w:lvl w:ilvl="0" w:tplc="620E27C4">
      <w:start w:val="35"/>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496869F6"/>
    <w:multiLevelType w:val="hybridMultilevel"/>
    <w:tmpl w:val="8B4EC6FA"/>
    <w:lvl w:ilvl="0" w:tplc="F8C67D8A">
      <w:start w:val="1"/>
      <w:numFmt w:val="decimal"/>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3A5503"/>
    <w:multiLevelType w:val="hybridMultilevel"/>
    <w:tmpl w:val="0C4078BA"/>
    <w:lvl w:ilvl="0" w:tplc="74CC4468">
      <w:start w:val="1"/>
      <w:numFmt w:val="decimal"/>
      <w:lvlText w:val="%1."/>
      <w:lvlJc w:val="left"/>
      <w:pPr>
        <w:ind w:left="720" w:hanging="360"/>
      </w:pPr>
      <w:rPr>
        <w:rFonts w:cs="Times New Roman" w:hint="default"/>
        <w:b w:val="0"/>
        <w:bCs w:val="0"/>
        <w:i w:val="0"/>
        <w:iCs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523A30F1"/>
    <w:multiLevelType w:val="hybridMultilevel"/>
    <w:tmpl w:val="77649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F83D00"/>
    <w:multiLevelType w:val="hybridMultilevel"/>
    <w:tmpl w:val="4328A084"/>
    <w:lvl w:ilvl="0" w:tplc="6308BE08">
      <w:start w:val="8"/>
      <w:numFmt w:val="decimal"/>
      <w:lvlText w:val="%1."/>
      <w:lvlJc w:val="left"/>
      <w:pPr>
        <w:ind w:left="360" w:hanging="360"/>
      </w:pPr>
      <w:rPr>
        <w:rFonts w:hint="default"/>
        <w:lang w:val="en-U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705D769C"/>
    <w:multiLevelType w:val="hybridMultilevel"/>
    <w:tmpl w:val="1CC4FF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7D951886"/>
    <w:multiLevelType w:val="hybridMultilevel"/>
    <w:tmpl w:val="8E909990"/>
    <w:lvl w:ilvl="0" w:tplc="9656DCF0">
      <w:start w:val="3"/>
      <w:numFmt w:val="decimal"/>
      <w:lvlText w:val="%1."/>
      <w:lvlJc w:val="left"/>
      <w:pPr>
        <w:ind w:left="502" w:hanging="360"/>
      </w:pPr>
      <w:rPr>
        <w:rFonts w:ascii="Times New Roman" w:hAnsi="Times New Roman" w:cs="Times New Roman"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9"/>
  </w:num>
  <w:num w:numId="5">
    <w:abstractNumId w:val="1"/>
  </w:num>
  <w:num w:numId="6">
    <w:abstractNumId w:val="7"/>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C1"/>
    <w:rsid w:val="00002DD8"/>
    <w:rsid w:val="00005C02"/>
    <w:rsid w:val="00011103"/>
    <w:rsid w:val="00017E2F"/>
    <w:rsid w:val="000269AB"/>
    <w:rsid w:val="00034578"/>
    <w:rsid w:val="00034CD2"/>
    <w:rsid w:val="00034F0F"/>
    <w:rsid w:val="00035175"/>
    <w:rsid w:val="000379C1"/>
    <w:rsid w:val="00044163"/>
    <w:rsid w:val="00044F91"/>
    <w:rsid w:val="000518E8"/>
    <w:rsid w:val="000526CD"/>
    <w:rsid w:val="00055236"/>
    <w:rsid w:val="00057CA6"/>
    <w:rsid w:val="00057F12"/>
    <w:rsid w:val="000621DD"/>
    <w:rsid w:val="00072C08"/>
    <w:rsid w:val="000746FA"/>
    <w:rsid w:val="00074BCD"/>
    <w:rsid w:val="000813D5"/>
    <w:rsid w:val="000814A6"/>
    <w:rsid w:val="000835D8"/>
    <w:rsid w:val="00083805"/>
    <w:rsid w:val="00087029"/>
    <w:rsid w:val="00093136"/>
    <w:rsid w:val="00093E46"/>
    <w:rsid w:val="000A28EC"/>
    <w:rsid w:val="000A5CEB"/>
    <w:rsid w:val="000A695B"/>
    <w:rsid w:val="000A77BC"/>
    <w:rsid w:val="000B11B9"/>
    <w:rsid w:val="000B38E2"/>
    <w:rsid w:val="000B414F"/>
    <w:rsid w:val="000B6692"/>
    <w:rsid w:val="000B6D4F"/>
    <w:rsid w:val="000C1657"/>
    <w:rsid w:val="000C355D"/>
    <w:rsid w:val="000C36F9"/>
    <w:rsid w:val="000C403E"/>
    <w:rsid w:val="000C788E"/>
    <w:rsid w:val="000D17C4"/>
    <w:rsid w:val="000D2864"/>
    <w:rsid w:val="000D4E3D"/>
    <w:rsid w:val="000D5135"/>
    <w:rsid w:val="000E050A"/>
    <w:rsid w:val="000E260C"/>
    <w:rsid w:val="000E265E"/>
    <w:rsid w:val="000E4BAA"/>
    <w:rsid w:val="000E5BE3"/>
    <w:rsid w:val="000F146B"/>
    <w:rsid w:val="000F4D8D"/>
    <w:rsid w:val="000F56A6"/>
    <w:rsid w:val="000F6E26"/>
    <w:rsid w:val="000F7DEC"/>
    <w:rsid w:val="00102071"/>
    <w:rsid w:val="00102151"/>
    <w:rsid w:val="00102F2F"/>
    <w:rsid w:val="0010340F"/>
    <w:rsid w:val="00104DDC"/>
    <w:rsid w:val="00106E7C"/>
    <w:rsid w:val="00110F1F"/>
    <w:rsid w:val="0011465E"/>
    <w:rsid w:val="00125AC6"/>
    <w:rsid w:val="00127007"/>
    <w:rsid w:val="00131D11"/>
    <w:rsid w:val="001336DC"/>
    <w:rsid w:val="00135455"/>
    <w:rsid w:val="001354C3"/>
    <w:rsid w:val="00136690"/>
    <w:rsid w:val="00140183"/>
    <w:rsid w:val="00141A48"/>
    <w:rsid w:val="00144950"/>
    <w:rsid w:val="00146832"/>
    <w:rsid w:val="001531C3"/>
    <w:rsid w:val="00156C12"/>
    <w:rsid w:val="00162BA4"/>
    <w:rsid w:val="00173A9F"/>
    <w:rsid w:val="00173DBA"/>
    <w:rsid w:val="00174569"/>
    <w:rsid w:val="001760AA"/>
    <w:rsid w:val="00176329"/>
    <w:rsid w:val="00181EDF"/>
    <w:rsid w:val="00182CE1"/>
    <w:rsid w:val="00183982"/>
    <w:rsid w:val="00183C31"/>
    <w:rsid w:val="00184665"/>
    <w:rsid w:val="00185623"/>
    <w:rsid w:val="00185B61"/>
    <w:rsid w:val="001870F4"/>
    <w:rsid w:val="00187590"/>
    <w:rsid w:val="001A21FF"/>
    <w:rsid w:val="001A3480"/>
    <w:rsid w:val="001A676D"/>
    <w:rsid w:val="001A6C59"/>
    <w:rsid w:val="001B052C"/>
    <w:rsid w:val="001B0721"/>
    <w:rsid w:val="001B4B85"/>
    <w:rsid w:val="001C39EF"/>
    <w:rsid w:val="001C7E5F"/>
    <w:rsid w:val="001D5D97"/>
    <w:rsid w:val="001E03BC"/>
    <w:rsid w:val="001E2199"/>
    <w:rsid w:val="001E36CE"/>
    <w:rsid w:val="001E39C2"/>
    <w:rsid w:val="001E4292"/>
    <w:rsid w:val="001E4331"/>
    <w:rsid w:val="001E71E7"/>
    <w:rsid w:val="001F6250"/>
    <w:rsid w:val="0020123F"/>
    <w:rsid w:val="002034A8"/>
    <w:rsid w:val="0020585E"/>
    <w:rsid w:val="00210C12"/>
    <w:rsid w:val="00211B02"/>
    <w:rsid w:val="002167DB"/>
    <w:rsid w:val="0021682F"/>
    <w:rsid w:val="00223975"/>
    <w:rsid w:val="00224E88"/>
    <w:rsid w:val="00225284"/>
    <w:rsid w:val="00225DC5"/>
    <w:rsid w:val="00226C09"/>
    <w:rsid w:val="00227D54"/>
    <w:rsid w:val="002304CE"/>
    <w:rsid w:val="00230542"/>
    <w:rsid w:val="00234263"/>
    <w:rsid w:val="002356AF"/>
    <w:rsid w:val="00235C5E"/>
    <w:rsid w:val="00236C8B"/>
    <w:rsid w:val="00240C83"/>
    <w:rsid w:val="002412A8"/>
    <w:rsid w:val="00241C4F"/>
    <w:rsid w:val="00244810"/>
    <w:rsid w:val="00245C12"/>
    <w:rsid w:val="00247741"/>
    <w:rsid w:val="00250CF3"/>
    <w:rsid w:val="00260EA7"/>
    <w:rsid w:val="0026183D"/>
    <w:rsid w:val="0026366E"/>
    <w:rsid w:val="002636AB"/>
    <w:rsid w:val="00264E31"/>
    <w:rsid w:val="00266522"/>
    <w:rsid w:val="00273F05"/>
    <w:rsid w:val="00274A53"/>
    <w:rsid w:val="00274DBB"/>
    <w:rsid w:val="00276589"/>
    <w:rsid w:val="00277C97"/>
    <w:rsid w:val="00280098"/>
    <w:rsid w:val="00281FD5"/>
    <w:rsid w:val="00283D97"/>
    <w:rsid w:val="00287B05"/>
    <w:rsid w:val="00295A23"/>
    <w:rsid w:val="0029644B"/>
    <w:rsid w:val="0029779D"/>
    <w:rsid w:val="002A0FDF"/>
    <w:rsid w:val="002A34D8"/>
    <w:rsid w:val="002A678E"/>
    <w:rsid w:val="002A7674"/>
    <w:rsid w:val="002B26A5"/>
    <w:rsid w:val="002C5B22"/>
    <w:rsid w:val="002C68EE"/>
    <w:rsid w:val="002D011E"/>
    <w:rsid w:val="002D06BB"/>
    <w:rsid w:val="002D089D"/>
    <w:rsid w:val="002D3CCC"/>
    <w:rsid w:val="002E1553"/>
    <w:rsid w:val="002E3A2B"/>
    <w:rsid w:val="002E4018"/>
    <w:rsid w:val="002F07AF"/>
    <w:rsid w:val="002F116F"/>
    <w:rsid w:val="002F244B"/>
    <w:rsid w:val="002F76D7"/>
    <w:rsid w:val="00300A63"/>
    <w:rsid w:val="00301815"/>
    <w:rsid w:val="0030261B"/>
    <w:rsid w:val="003031DD"/>
    <w:rsid w:val="00304684"/>
    <w:rsid w:val="003124CB"/>
    <w:rsid w:val="00313607"/>
    <w:rsid w:val="00313EB2"/>
    <w:rsid w:val="00314FE6"/>
    <w:rsid w:val="003152C2"/>
    <w:rsid w:val="00320712"/>
    <w:rsid w:val="00320AF1"/>
    <w:rsid w:val="00322C43"/>
    <w:rsid w:val="0032316A"/>
    <w:rsid w:val="00330668"/>
    <w:rsid w:val="0033457E"/>
    <w:rsid w:val="003400A9"/>
    <w:rsid w:val="00345840"/>
    <w:rsid w:val="00346701"/>
    <w:rsid w:val="0035422E"/>
    <w:rsid w:val="00355E1D"/>
    <w:rsid w:val="00360165"/>
    <w:rsid w:val="0036290F"/>
    <w:rsid w:val="00363AEB"/>
    <w:rsid w:val="00367350"/>
    <w:rsid w:val="0037062A"/>
    <w:rsid w:val="003738C7"/>
    <w:rsid w:val="003738E6"/>
    <w:rsid w:val="00375489"/>
    <w:rsid w:val="00377BB7"/>
    <w:rsid w:val="00381A06"/>
    <w:rsid w:val="003824E1"/>
    <w:rsid w:val="00382C12"/>
    <w:rsid w:val="00393048"/>
    <w:rsid w:val="003931C6"/>
    <w:rsid w:val="00393DE6"/>
    <w:rsid w:val="00393E28"/>
    <w:rsid w:val="00395C3B"/>
    <w:rsid w:val="003A2FEE"/>
    <w:rsid w:val="003A4D27"/>
    <w:rsid w:val="003A59B6"/>
    <w:rsid w:val="003B3C10"/>
    <w:rsid w:val="003B5D05"/>
    <w:rsid w:val="003B6067"/>
    <w:rsid w:val="003D04CF"/>
    <w:rsid w:val="003D2BD8"/>
    <w:rsid w:val="003D3E22"/>
    <w:rsid w:val="003D42CD"/>
    <w:rsid w:val="003E1E31"/>
    <w:rsid w:val="003E6162"/>
    <w:rsid w:val="003E6267"/>
    <w:rsid w:val="003F5672"/>
    <w:rsid w:val="003F5D50"/>
    <w:rsid w:val="0040248E"/>
    <w:rsid w:val="00404E28"/>
    <w:rsid w:val="00405692"/>
    <w:rsid w:val="004058DF"/>
    <w:rsid w:val="00407B92"/>
    <w:rsid w:val="004144E3"/>
    <w:rsid w:val="0042462B"/>
    <w:rsid w:val="00425013"/>
    <w:rsid w:val="0042538C"/>
    <w:rsid w:val="00425BA5"/>
    <w:rsid w:val="00427B42"/>
    <w:rsid w:val="00427B8B"/>
    <w:rsid w:val="0043018C"/>
    <w:rsid w:val="004307B0"/>
    <w:rsid w:val="00432DD5"/>
    <w:rsid w:val="00433123"/>
    <w:rsid w:val="00433FA3"/>
    <w:rsid w:val="004357E4"/>
    <w:rsid w:val="004363D1"/>
    <w:rsid w:val="00436DF7"/>
    <w:rsid w:val="00437962"/>
    <w:rsid w:val="00453559"/>
    <w:rsid w:val="004551F2"/>
    <w:rsid w:val="0045539C"/>
    <w:rsid w:val="00464D29"/>
    <w:rsid w:val="00470B08"/>
    <w:rsid w:val="00473AF6"/>
    <w:rsid w:val="00473D92"/>
    <w:rsid w:val="004742CA"/>
    <w:rsid w:val="00480D68"/>
    <w:rsid w:val="00481432"/>
    <w:rsid w:val="00481E39"/>
    <w:rsid w:val="00482AC6"/>
    <w:rsid w:val="00482DC8"/>
    <w:rsid w:val="00485A0D"/>
    <w:rsid w:val="00486E89"/>
    <w:rsid w:val="0049028A"/>
    <w:rsid w:val="00493244"/>
    <w:rsid w:val="0049350F"/>
    <w:rsid w:val="004A32E0"/>
    <w:rsid w:val="004B579D"/>
    <w:rsid w:val="004B6029"/>
    <w:rsid w:val="004B6442"/>
    <w:rsid w:val="004B6C37"/>
    <w:rsid w:val="004C2D22"/>
    <w:rsid w:val="004D5CFC"/>
    <w:rsid w:val="004E178F"/>
    <w:rsid w:val="004E17F3"/>
    <w:rsid w:val="004E180B"/>
    <w:rsid w:val="004E2472"/>
    <w:rsid w:val="004E53AC"/>
    <w:rsid w:val="004E58B7"/>
    <w:rsid w:val="004E7BB4"/>
    <w:rsid w:val="004E7EA3"/>
    <w:rsid w:val="004F0CCC"/>
    <w:rsid w:val="004F3D8E"/>
    <w:rsid w:val="004F5216"/>
    <w:rsid w:val="004F6ECF"/>
    <w:rsid w:val="00500DF2"/>
    <w:rsid w:val="00503626"/>
    <w:rsid w:val="00505104"/>
    <w:rsid w:val="00506836"/>
    <w:rsid w:val="00510330"/>
    <w:rsid w:val="0051063D"/>
    <w:rsid w:val="005149FF"/>
    <w:rsid w:val="00516180"/>
    <w:rsid w:val="00517066"/>
    <w:rsid w:val="00525091"/>
    <w:rsid w:val="00526591"/>
    <w:rsid w:val="00527CF7"/>
    <w:rsid w:val="0053381B"/>
    <w:rsid w:val="00534B8B"/>
    <w:rsid w:val="00534E4A"/>
    <w:rsid w:val="00540C0F"/>
    <w:rsid w:val="005420B9"/>
    <w:rsid w:val="005466B8"/>
    <w:rsid w:val="00553F49"/>
    <w:rsid w:val="00556193"/>
    <w:rsid w:val="005640B3"/>
    <w:rsid w:val="00564811"/>
    <w:rsid w:val="00571597"/>
    <w:rsid w:val="0057184F"/>
    <w:rsid w:val="00574CAA"/>
    <w:rsid w:val="0058062C"/>
    <w:rsid w:val="00581646"/>
    <w:rsid w:val="0058193C"/>
    <w:rsid w:val="00584674"/>
    <w:rsid w:val="00584731"/>
    <w:rsid w:val="0058706D"/>
    <w:rsid w:val="0058742C"/>
    <w:rsid w:val="00587E0F"/>
    <w:rsid w:val="00593162"/>
    <w:rsid w:val="0059441E"/>
    <w:rsid w:val="00596E48"/>
    <w:rsid w:val="005A0526"/>
    <w:rsid w:val="005A54C2"/>
    <w:rsid w:val="005A583E"/>
    <w:rsid w:val="005A70E2"/>
    <w:rsid w:val="005B0FA3"/>
    <w:rsid w:val="005B3018"/>
    <w:rsid w:val="005C00B9"/>
    <w:rsid w:val="005C0C44"/>
    <w:rsid w:val="005C2CE7"/>
    <w:rsid w:val="005D15C3"/>
    <w:rsid w:val="005D5A87"/>
    <w:rsid w:val="005E23F9"/>
    <w:rsid w:val="005E2448"/>
    <w:rsid w:val="005E40EC"/>
    <w:rsid w:val="005E5784"/>
    <w:rsid w:val="005E5797"/>
    <w:rsid w:val="005E59BE"/>
    <w:rsid w:val="005F0A6D"/>
    <w:rsid w:val="005F0F05"/>
    <w:rsid w:val="005F62E6"/>
    <w:rsid w:val="006021EE"/>
    <w:rsid w:val="006035CF"/>
    <w:rsid w:val="00610F81"/>
    <w:rsid w:val="00612B2E"/>
    <w:rsid w:val="00615FCF"/>
    <w:rsid w:val="006209AF"/>
    <w:rsid w:val="00623CDD"/>
    <w:rsid w:val="00624231"/>
    <w:rsid w:val="00624CF0"/>
    <w:rsid w:val="00624D71"/>
    <w:rsid w:val="006273F9"/>
    <w:rsid w:val="00627573"/>
    <w:rsid w:val="006321F0"/>
    <w:rsid w:val="00633008"/>
    <w:rsid w:val="00634C09"/>
    <w:rsid w:val="006421B8"/>
    <w:rsid w:val="006428C1"/>
    <w:rsid w:val="00642908"/>
    <w:rsid w:val="00642E35"/>
    <w:rsid w:val="00643369"/>
    <w:rsid w:val="006449EE"/>
    <w:rsid w:val="00651870"/>
    <w:rsid w:val="00655607"/>
    <w:rsid w:val="006560C7"/>
    <w:rsid w:val="00660D3A"/>
    <w:rsid w:val="00660DD7"/>
    <w:rsid w:val="00663104"/>
    <w:rsid w:val="00665858"/>
    <w:rsid w:val="0067225A"/>
    <w:rsid w:val="00672AA9"/>
    <w:rsid w:val="00680B35"/>
    <w:rsid w:val="00681F05"/>
    <w:rsid w:val="00681FCE"/>
    <w:rsid w:val="00683DCC"/>
    <w:rsid w:val="006875D0"/>
    <w:rsid w:val="00692737"/>
    <w:rsid w:val="00695057"/>
    <w:rsid w:val="00696905"/>
    <w:rsid w:val="00697BB7"/>
    <w:rsid w:val="006A0E27"/>
    <w:rsid w:val="006A1619"/>
    <w:rsid w:val="006A5471"/>
    <w:rsid w:val="006B2458"/>
    <w:rsid w:val="006B5D43"/>
    <w:rsid w:val="006B6466"/>
    <w:rsid w:val="006C324B"/>
    <w:rsid w:val="006C3365"/>
    <w:rsid w:val="006C3B53"/>
    <w:rsid w:val="006C3E5C"/>
    <w:rsid w:val="006C6ACA"/>
    <w:rsid w:val="006C6B96"/>
    <w:rsid w:val="006C7D1B"/>
    <w:rsid w:val="006D0729"/>
    <w:rsid w:val="006D1B0E"/>
    <w:rsid w:val="006D2941"/>
    <w:rsid w:val="006D3064"/>
    <w:rsid w:val="006D64FC"/>
    <w:rsid w:val="006D7054"/>
    <w:rsid w:val="006D720A"/>
    <w:rsid w:val="006D785D"/>
    <w:rsid w:val="006D79AB"/>
    <w:rsid w:val="006D7FB1"/>
    <w:rsid w:val="006E148D"/>
    <w:rsid w:val="006E273B"/>
    <w:rsid w:val="006E296F"/>
    <w:rsid w:val="006E61B8"/>
    <w:rsid w:val="006E714D"/>
    <w:rsid w:val="006F0577"/>
    <w:rsid w:val="006F4BA4"/>
    <w:rsid w:val="006F4BB4"/>
    <w:rsid w:val="006F4DBB"/>
    <w:rsid w:val="006F71D0"/>
    <w:rsid w:val="00701889"/>
    <w:rsid w:val="00702780"/>
    <w:rsid w:val="007032F9"/>
    <w:rsid w:val="00704730"/>
    <w:rsid w:val="00704D58"/>
    <w:rsid w:val="0070592E"/>
    <w:rsid w:val="00715543"/>
    <w:rsid w:val="00720D41"/>
    <w:rsid w:val="00721571"/>
    <w:rsid w:val="007220DC"/>
    <w:rsid w:val="00723DF4"/>
    <w:rsid w:val="00723E1A"/>
    <w:rsid w:val="00723F1D"/>
    <w:rsid w:val="00730593"/>
    <w:rsid w:val="00730B78"/>
    <w:rsid w:val="00730ED3"/>
    <w:rsid w:val="00731684"/>
    <w:rsid w:val="0073194D"/>
    <w:rsid w:val="00733384"/>
    <w:rsid w:val="0073596E"/>
    <w:rsid w:val="0073724A"/>
    <w:rsid w:val="00741636"/>
    <w:rsid w:val="00741C8F"/>
    <w:rsid w:val="0074264E"/>
    <w:rsid w:val="00743621"/>
    <w:rsid w:val="007455C8"/>
    <w:rsid w:val="00746DE0"/>
    <w:rsid w:val="007501CB"/>
    <w:rsid w:val="007531C0"/>
    <w:rsid w:val="00756735"/>
    <w:rsid w:val="00756E20"/>
    <w:rsid w:val="007575F0"/>
    <w:rsid w:val="0075791E"/>
    <w:rsid w:val="00757ABE"/>
    <w:rsid w:val="00760E6D"/>
    <w:rsid w:val="007614F1"/>
    <w:rsid w:val="00762BB1"/>
    <w:rsid w:val="00763567"/>
    <w:rsid w:val="00765133"/>
    <w:rsid w:val="00765A1E"/>
    <w:rsid w:val="0077020E"/>
    <w:rsid w:val="00770BBF"/>
    <w:rsid w:val="007715D0"/>
    <w:rsid w:val="0077248B"/>
    <w:rsid w:val="007728B5"/>
    <w:rsid w:val="00774B28"/>
    <w:rsid w:val="00775792"/>
    <w:rsid w:val="007770EC"/>
    <w:rsid w:val="00777AA4"/>
    <w:rsid w:val="00777BA6"/>
    <w:rsid w:val="00783F25"/>
    <w:rsid w:val="00785507"/>
    <w:rsid w:val="007875A8"/>
    <w:rsid w:val="00787C62"/>
    <w:rsid w:val="00790BBE"/>
    <w:rsid w:val="00791785"/>
    <w:rsid w:val="007923B2"/>
    <w:rsid w:val="007927BD"/>
    <w:rsid w:val="00793F9E"/>
    <w:rsid w:val="007968C3"/>
    <w:rsid w:val="007A2220"/>
    <w:rsid w:val="007A35C7"/>
    <w:rsid w:val="007A360A"/>
    <w:rsid w:val="007A4879"/>
    <w:rsid w:val="007A4E3F"/>
    <w:rsid w:val="007A5999"/>
    <w:rsid w:val="007A7BCE"/>
    <w:rsid w:val="007B020B"/>
    <w:rsid w:val="007B1186"/>
    <w:rsid w:val="007B2AEE"/>
    <w:rsid w:val="007B380A"/>
    <w:rsid w:val="007C0DB0"/>
    <w:rsid w:val="007C1891"/>
    <w:rsid w:val="007C1CD8"/>
    <w:rsid w:val="007D1157"/>
    <w:rsid w:val="007D1184"/>
    <w:rsid w:val="007D42CE"/>
    <w:rsid w:val="007D48F2"/>
    <w:rsid w:val="007D6010"/>
    <w:rsid w:val="007D7F17"/>
    <w:rsid w:val="007E4B68"/>
    <w:rsid w:val="007E631E"/>
    <w:rsid w:val="007E76CB"/>
    <w:rsid w:val="007F28F3"/>
    <w:rsid w:val="007F29F2"/>
    <w:rsid w:val="00800BFC"/>
    <w:rsid w:val="0080735C"/>
    <w:rsid w:val="00812FD1"/>
    <w:rsid w:val="00814F3B"/>
    <w:rsid w:val="00822738"/>
    <w:rsid w:val="00830223"/>
    <w:rsid w:val="008322C1"/>
    <w:rsid w:val="008323C8"/>
    <w:rsid w:val="00836B3E"/>
    <w:rsid w:val="0084377D"/>
    <w:rsid w:val="00844217"/>
    <w:rsid w:val="008444D3"/>
    <w:rsid w:val="008456BF"/>
    <w:rsid w:val="008469C8"/>
    <w:rsid w:val="00852A3E"/>
    <w:rsid w:val="00853D67"/>
    <w:rsid w:val="008548E2"/>
    <w:rsid w:val="008562BF"/>
    <w:rsid w:val="0086087D"/>
    <w:rsid w:val="0087047C"/>
    <w:rsid w:val="008731B9"/>
    <w:rsid w:val="00874813"/>
    <w:rsid w:val="00875988"/>
    <w:rsid w:val="00876D87"/>
    <w:rsid w:val="0087765B"/>
    <w:rsid w:val="008847C3"/>
    <w:rsid w:val="00885273"/>
    <w:rsid w:val="00890F2E"/>
    <w:rsid w:val="008926F8"/>
    <w:rsid w:val="00895AED"/>
    <w:rsid w:val="00895DD8"/>
    <w:rsid w:val="008A21F6"/>
    <w:rsid w:val="008A37B1"/>
    <w:rsid w:val="008A51CC"/>
    <w:rsid w:val="008A523B"/>
    <w:rsid w:val="008A580E"/>
    <w:rsid w:val="008A6483"/>
    <w:rsid w:val="008B0930"/>
    <w:rsid w:val="008B5F7D"/>
    <w:rsid w:val="008B7E8C"/>
    <w:rsid w:val="008C0CAE"/>
    <w:rsid w:val="008C1262"/>
    <w:rsid w:val="008C444C"/>
    <w:rsid w:val="008D380C"/>
    <w:rsid w:val="008D480B"/>
    <w:rsid w:val="008E171D"/>
    <w:rsid w:val="008E1EB3"/>
    <w:rsid w:val="008E238B"/>
    <w:rsid w:val="008F26D9"/>
    <w:rsid w:val="008F48C7"/>
    <w:rsid w:val="008F5C6C"/>
    <w:rsid w:val="008F7627"/>
    <w:rsid w:val="00904E35"/>
    <w:rsid w:val="00904FF9"/>
    <w:rsid w:val="0090526F"/>
    <w:rsid w:val="009069B4"/>
    <w:rsid w:val="0091031F"/>
    <w:rsid w:val="00910437"/>
    <w:rsid w:val="009148FD"/>
    <w:rsid w:val="00915C2F"/>
    <w:rsid w:val="00917547"/>
    <w:rsid w:val="009200A1"/>
    <w:rsid w:val="00922EF6"/>
    <w:rsid w:val="0092355B"/>
    <w:rsid w:val="009244B3"/>
    <w:rsid w:val="00924A19"/>
    <w:rsid w:val="009273B9"/>
    <w:rsid w:val="00930EE9"/>
    <w:rsid w:val="00931AD3"/>
    <w:rsid w:val="009327D7"/>
    <w:rsid w:val="0093489B"/>
    <w:rsid w:val="00934D06"/>
    <w:rsid w:val="00935F01"/>
    <w:rsid w:val="0093658A"/>
    <w:rsid w:val="00936779"/>
    <w:rsid w:val="00946DF3"/>
    <w:rsid w:val="00950472"/>
    <w:rsid w:val="00950A08"/>
    <w:rsid w:val="009557E4"/>
    <w:rsid w:val="00956F61"/>
    <w:rsid w:val="00960228"/>
    <w:rsid w:val="0096104A"/>
    <w:rsid w:val="0096567B"/>
    <w:rsid w:val="00967603"/>
    <w:rsid w:val="00970ADC"/>
    <w:rsid w:val="00971BC4"/>
    <w:rsid w:val="00972100"/>
    <w:rsid w:val="00972B32"/>
    <w:rsid w:val="009738E9"/>
    <w:rsid w:val="00975781"/>
    <w:rsid w:val="00975C33"/>
    <w:rsid w:val="00977E3D"/>
    <w:rsid w:val="0098026D"/>
    <w:rsid w:val="00980BBB"/>
    <w:rsid w:val="0098114F"/>
    <w:rsid w:val="009908EA"/>
    <w:rsid w:val="009A04D0"/>
    <w:rsid w:val="009A1B8D"/>
    <w:rsid w:val="009A588D"/>
    <w:rsid w:val="009B1A03"/>
    <w:rsid w:val="009B31FA"/>
    <w:rsid w:val="009B3471"/>
    <w:rsid w:val="009B3ADE"/>
    <w:rsid w:val="009B3D0D"/>
    <w:rsid w:val="009B66EE"/>
    <w:rsid w:val="009C2A03"/>
    <w:rsid w:val="009C6868"/>
    <w:rsid w:val="009D02D5"/>
    <w:rsid w:val="009D46DD"/>
    <w:rsid w:val="009D50EF"/>
    <w:rsid w:val="009E3FD5"/>
    <w:rsid w:val="009E6CF1"/>
    <w:rsid w:val="009F01A9"/>
    <w:rsid w:val="009F0ED6"/>
    <w:rsid w:val="009F1205"/>
    <w:rsid w:val="009F3DCE"/>
    <w:rsid w:val="009F4A53"/>
    <w:rsid w:val="009F50B3"/>
    <w:rsid w:val="009F5D74"/>
    <w:rsid w:val="009F6CCB"/>
    <w:rsid w:val="00A009F6"/>
    <w:rsid w:val="00A011CC"/>
    <w:rsid w:val="00A02628"/>
    <w:rsid w:val="00A027E3"/>
    <w:rsid w:val="00A03747"/>
    <w:rsid w:val="00A05D43"/>
    <w:rsid w:val="00A06756"/>
    <w:rsid w:val="00A140B9"/>
    <w:rsid w:val="00A1541C"/>
    <w:rsid w:val="00A155B2"/>
    <w:rsid w:val="00A15AA2"/>
    <w:rsid w:val="00A17762"/>
    <w:rsid w:val="00A22436"/>
    <w:rsid w:val="00A2249A"/>
    <w:rsid w:val="00A24811"/>
    <w:rsid w:val="00A3030B"/>
    <w:rsid w:val="00A305AA"/>
    <w:rsid w:val="00A33C60"/>
    <w:rsid w:val="00A368DA"/>
    <w:rsid w:val="00A46ED8"/>
    <w:rsid w:val="00A475FC"/>
    <w:rsid w:val="00A50DB6"/>
    <w:rsid w:val="00A524EE"/>
    <w:rsid w:val="00A53BE5"/>
    <w:rsid w:val="00A54E2C"/>
    <w:rsid w:val="00A664CE"/>
    <w:rsid w:val="00A71D85"/>
    <w:rsid w:val="00A726BD"/>
    <w:rsid w:val="00A74170"/>
    <w:rsid w:val="00A744CD"/>
    <w:rsid w:val="00A7657E"/>
    <w:rsid w:val="00A77910"/>
    <w:rsid w:val="00A77AD3"/>
    <w:rsid w:val="00A86DC8"/>
    <w:rsid w:val="00A957BA"/>
    <w:rsid w:val="00A96CB8"/>
    <w:rsid w:val="00A96E7D"/>
    <w:rsid w:val="00AA09EA"/>
    <w:rsid w:val="00AA1D23"/>
    <w:rsid w:val="00AB25D4"/>
    <w:rsid w:val="00AB3554"/>
    <w:rsid w:val="00AB440C"/>
    <w:rsid w:val="00AC256F"/>
    <w:rsid w:val="00AC4D7D"/>
    <w:rsid w:val="00AC5ACD"/>
    <w:rsid w:val="00AC7322"/>
    <w:rsid w:val="00AC7571"/>
    <w:rsid w:val="00AD1070"/>
    <w:rsid w:val="00AD125E"/>
    <w:rsid w:val="00AD1E98"/>
    <w:rsid w:val="00AD37D7"/>
    <w:rsid w:val="00AD423C"/>
    <w:rsid w:val="00AE1CF7"/>
    <w:rsid w:val="00AE30B4"/>
    <w:rsid w:val="00AE374F"/>
    <w:rsid w:val="00AE3B71"/>
    <w:rsid w:val="00AE750C"/>
    <w:rsid w:val="00AE7F4F"/>
    <w:rsid w:val="00AF128F"/>
    <w:rsid w:val="00AF4AC4"/>
    <w:rsid w:val="00AF59FF"/>
    <w:rsid w:val="00AF77F1"/>
    <w:rsid w:val="00B01A0B"/>
    <w:rsid w:val="00B02771"/>
    <w:rsid w:val="00B03C91"/>
    <w:rsid w:val="00B074FE"/>
    <w:rsid w:val="00B10581"/>
    <w:rsid w:val="00B222F9"/>
    <w:rsid w:val="00B23EFF"/>
    <w:rsid w:val="00B260F7"/>
    <w:rsid w:val="00B26D78"/>
    <w:rsid w:val="00B30762"/>
    <w:rsid w:val="00B31BAF"/>
    <w:rsid w:val="00B32730"/>
    <w:rsid w:val="00B32DF1"/>
    <w:rsid w:val="00B41312"/>
    <w:rsid w:val="00B42C1D"/>
    <w:rsid w:val="00B43E72"/>
    <w:rsid w:val="00B4684A"/>
    <w:rsid w:val="00B529D6"/>
    <w:rsid w:val="00B54732"/>
    <w:rsid w:val="00B547BB"/>
    <w:rsid w:val="00B5655B"/>
    <w:rsid w:val="00B60F50"/>
    <w:rsid w:val="00B622BC"/>
    <w:rsid w:val="00B626B4"/>
    <w:rsid w:val="00B63F83"/>
    <w:rsid w:val="00B6503C"/>
    <w:rsid w:val="00B65379"/>
    <w:rsid w:val="00B76529"/>
    <w:rsid w:val="00B779BE"/>
    <w:rsid w:val="00B83637"/>
    <w:rsid w:val="00B910A7"/>
    <w:rsid w:val="00B91B6D"/>
    <w:rsid w:val="00B96E17"/>
    <w:rsid w:val="00BA01E1"/>
    <w:rsid w:val="00BB0568"/>
    <w:rsid w:val="00BB0807"/>
    <w:rsid w:val="00BB0EB8"/>
    <w:rsid w:val="00BB11E9"/>
    <w:rsid w:val="00BB2FBF"/>
    <w:rsid w:val="00BB62C3"/>
    <w:rsid w:val="00BB7458"/>
    <w:rsid w:val="00BC18B2"/>
    <w:rsid w:val="00BC7A28"/>
    <w:rsid w:val="00BD25FC"/>
    <w:rsid w:val="00BD635D"/>
    <w:rsid w:val="00BD77AE"/>
    <w:rsid w:val="00BE01B8"/>
    <w:rsid w:val="00BE0F6D"/>
    <w:rsid w:val="00BE1847"/>
    <w:rsid w:val="00BE1908"/>
    <w:rsid w:val="00BE6722"/>
    <w:rsid w:val="00BF11D2"/>
    <w:rsid w:val="00BF1C11"/>
    <w:rsid w:val="00BF3FB1"/>
    <w:rsid w:val="00BF687A"/>
    <w:rsid w:val="00C005E0"/>
    <w:rsid w:val="00C03500"/>
    <w:rsid w:val="00C070A6"/>
    <w:rsid w:val="00C13905"/>
    <w:rsid w:val="00C13B59"/>
    <w:rsid w:val="00C16031"/>
    <w:rsid w:val="00C1655A"/>
    <w:rsid w:val="00C17A23"/>
    <w:rsid w:val="00C206FC"/>
    <w:rsid w:val="00C220FF"/>
    <w:rsid w:val="00C23876"/>
    <w:rsid w:val="00C300E4"/>
    <w:rsid w:val="00C34E03"/>
    <w:rsid w:val="00C3540C"/>
    <w:rsid w:val="00C36FA2"/>
    <w:rsid w:val="00C40C8B"/>
    <w:rsid w:val="00C44749"/>
    <w:rsid w:val="00C45721"/>
    <w:rsid w:val="00C52461"/>
    <w:rsid w:val="00C530E7"/>
    <w:rsid w:val="00C531CF"/>
    <w:rsid w:val="00C5508D"/>
    <w:rsid w:val="00C57C1A"/>
    <w:rsid w:val="00C60893"/>
    <w:rsid w:val="00C63A25"/>
    <w:rsid w:val="00C6711F"/>
    <w:rsid w:val="00C6760A"/>
    <w:rsid w:val="00C67767"/>
    <w:rsid w:val="00C67F33"/>
    <w:rsid w:val="00C718FD"/>
    <w:rsid w:val="00C763C3"/>
    <w:rsid w:val="00C77761"/>
    <w:rsid w:val="00C81F6D"/>
    <w:rsid w:val="00C82DF7"/>
    <w:rsid w:val="00C839E8"/>
    <w:rsid w:val="00C8417D"/>
    <w:rsid w:val="00C85C52"/>
    <w:rsid w:val="00C9372F"/>
    <w:rsid w:val="00C9669D"/>
    <w:rsid w:val="00C971BE"/>
    <w:rsid w:val="00C97F17"/>
    <w:rsid w:val="00CA2ECA"/>
    <w:rsid w:val="00CB25C4"/>
    <w:rsid w:val="00CB3A5F"/>
    <w:rsid w:val="00CB46E0"/>
    <w:rsid w:val="00CB7896"/>
    <w:rsid w:val="00CC10A4"/>
    <w:rsid w:val="00CC3412"/>
    <w:rsid w:val="00CC4626"/>
    <w:rsid w:val="00CC5244"/>
    <w:rsid w:val="00CC6F54"/>
    <w:rsid w:val="00CD3054"/>
    <w:rsid w:val="00CF1E48"/>
    <w:rsid w:val="00CF2461"/>
    <w:rsid w:val="00CF40CE"/>
    <w:rsid w:val="00CF56EE"/>
    <w:rsid w:val="00CF613A"/>
    <w:rsid w:val="00D00611"/>
    <w:rsid w:val="00D047A2"/>
    <w:rsid w:val="00D1155A"/>
    <w:rsid w:val="00D13E75"/>
    <w:rsid w:val="00D15AAB"/>
    <w:rsid w:val="00D23184"/>
    <w:rsid w:val="00D259B2"/>
    <w:rsid w:val="00D26D1F"/>
    <w:rsid w:val="00D323D8"/>
    <w:rsid w:val="00D37807"/>
    <w:rsid w:val="00D37A09"/>
    <w:rsid w:val="00D37C78"/>
    <w:rsid w:val="00D37FB3"/>
    <w:rsid w:val="00D40FF8"/>
    <w:rsid w:val="00D50026"/>
    <w:rsid w:val="00D50547"/>
    <w:rsid w:val="00D51C77"/>
    <w:rsid w:val="00D527F8"/>
    <w:rsid w:val="00D551AC"/>
    <w:rsid w:val="00D57A81"/>
    <w:rsid w:val="00D60476"/>
    <w:rsid w:val="00D60E53"/>
    <w:rsid w:val="00D63192"/>
    <w:rsid w:val="00D65239"/>
    <w:rsid w:val="00D67EA9"/>
    <w:rsid w:val="00D73353"/>
    <w:rsid w:val="00D74C27"/>
    <w:rsid w:val="00D80649"/>
    <w:rsid w:val="00D92756"/>
    <w:rsid w:val="00D93196"/>
    <w:rsid w:val="00D931F4"/>
    <w:rsid w:val="00D94C50"/>
    <w:rsid w:val="00D959DE"/>
    <w:rsid w:val="00DA0AF4"/>
    <w:rsid w:val="00DA42D8"/>
    <w:rsid w:val="00DA4873"/>
    <w:rsid w:val="00DA5C1F"/>
    <w:rsid w:val="00DA65A3"/>
    <w:rsid w:val="00DA68BF"/>
    <w:rsid w:val="00DB27B3"/>
    <w:rsid w:val="00DB3E71"/>
    <w:rsid w:val="00DC0277"/>
    <w:rsid w:val="00DC049E"/>
    <w:rsid w:val="00DC05C8"/>
    <w:rsid w:val="00DC07D7"/>
    <w:rsid w:val="00DC3451"/>
    <w:rsid w:val="00DC4183"/>
    <w:rsid w:val="00DC4B0D"/>
    <w:rsid w:val="00DC6037"/>
    <w:rsid w:val="00DC6409"/>
    <w:rsid w:val="00DC6B74"/>
    <w:rsid w:val="00DC7899"/>
    <w:rsid w:val="00DD04C3"/>
    <w:rsid w:val="00DD0F45"/>
    <w:rsid w:val="00DD73D4"/>
    <w:rsid w:val="00DE6733"/>
    <w:rsid w:val="00DE71B2"/>
    <w:rsid w:val="00DF0A3A"/>
    <w:rsid w:val="00DF54CE"/>
    <w:rsid w:val="00DF678D"/>
    <w:rsid w:val="00E013D0"/>
    <w:rsid w:val="00E0156D"/>
    <w:rsid w:val="00E019EE"/>
    <w:rsid w:val="00E04591"/>
    <w:rsid w:val="00E04B29"/>
    <w:rsid w:val="00E10A82"/>
    <w:rsid w:val="00E11D29"/>
    <w:rsid w:val="00E1228C"/>
    <w:rsid w:val="00E176D1"/>
    <w:rsid w:val="00E20FC1"/>
    <w:rsid w:val="00E26025"/>
    <w:rsid w:val="00E27125"/>
    <w:rsid w:val="00E27F9E"/>
    <w:rsid w:val="00E3263D"/>
    <w:rsid w:val="00E3292A"/>
    <w:rsid w:val="00E42284"/>
    <w:rsid w:val="00E4481D"/>
    <w:rsid w:val="00E44944"/>
    <w:rsid w:val="00E45D1D"/>
    <w:rsid w:val="00E46E8D"/>
    <w:rsid w:val="00E509F8"/>
    <w:rsid w:val="00E529E6"/>
    <w:rsid w:val="00E52DF7"/>
    <w:rsid w:val="00E5520B"/>
    <w:rsid w:val="00E56CB1"/>
    <w:rsid w:val="00E57308"/>
    <w:rsid w:val="00E57B2E"/>
    <w:rsid w:val="00E57B74"/>
    <w:rsid w:val="00E606F7"/>
    <w:rsid w:val="00E61EFF"/>
    <w:rsid w:val="00E6300C"/>
    <w:rsid w:val="00E675E7"/>
    <w:rsid w:val="00E67A22"/>
    <w:rsid w:val="00E7404E"/>
    <w:rsid w:val="00E764AC"/>
    <w:rsid w:val="00E76699"/>
    <w:rsid w:val="00E76D72"/>
    <w:rsid w:val="00E81B94"/>
    <w:rsid w:val="00E8368E"/>
    <w:rsid w:val="00E8370E"/>
    <w:rsid w:val="00E901D3"/>
    <w:rsid w:val="00E92225"/>
    <w:rsid w:val="00EA11FE"/>
    <w:rsid w:val="00EA3F0D"/>
    <w:rsid w:val="00EA506F"/>
    <w:rsid w:val="00EB10C2"/>
    <w:rsid w:val="00EB2357"/>
    <w:rsid w:val="00EB39DD"/>
    <w:rsid w:val="00EC2081"/>
    <w:rsid w:val="00EC2A63"/>
    <w:rsid w:val="00EC35E9"/>
    <w:rsid w:val="00EC3EA7"/>
    <w:rsid w:val="00EC4762"/>
    <w:rsid w:val="00EC4D28"/>
    <w:rsid w:val="00EC59E6"/>
    <w:rsid w:val="00EC7E4F"/>
    <w:rsid w:val="00ED017F"/>
    <w:rsid w:val="00ED2A1D"/>
    <w:rsid w:val="00ED563D"/>
    <w:rsid w:val="00ED79CB"/>
    <w:rsid w:val="00EE0683"/>
    <w:rsid w:val="00EF1131"/>
    <w:rsid w:val="00EF1D5A"/>
    <w:rsid w:val="00EF7C18"/>
    <w:rsid w:val="00F0032C"/>
    <w:rsid w:val="00F00C57"/>
    <w:rsid w:val="00F030EC"/>
    <w:rsid w:val="00F1246B"/>
    <w:rsid w:val="00F12596"/>
    <w:rsid w:val="00F21E8C"/>
    <w:rsid w:val="00F222BD"/>
    <w:rsid w:val="00F22EAA"/>
    <w:rsid w:val="00F25212"/>
    <w:rsid w:val="00F2601C"/>
    <w:rsid w:val="00F26417"/>
    <w:rsid w:val="00F26445"/>
    <w:rsid w:val="00F310BB"/>
    <w:rsid w:val="00F31A09"/>
    <w:rsid w:val="00F330F5"/>
    <w:rsid w:val="00F33BEA"/>
    <w:rsid w:val="00F33CDD"/>
    <w:rsid w:val="00F360A9"/>
    <w:rsid w:val="00F418B5"/>
    <w:rsid w:val="00F45448"/>
    <w:rsid w:val="00F457B9"/>
    <w:rsid w:val="00F45D42"/>
    <w:rsid w:val="00F472D8"/>
    <w:rsid w:val="00F54109"/>
    <w:rsid w:val="00F543F1"/>
    <w:rsid w:val="00F54DE1"/>
    <w:rsid w:val="00F56A56"/>
    <w:rsid w:val="00F574CF"/>
    <w:rsid w:val="00F57D29"/>
    <w:rsid w:val="00F60B96"/>
    <w:rsid w:val="00F622F9"/>
    <w:rsid w:val="00F6456A"/>
    <w:rsid w:val="00F71481"/>
    <w:rsid w:val="00F727CF"/>
    <w:rsid w:val="00F73E97"/>
    <w:rsid w:val="00F758CE"/>
    <w:rsid w:val="00F86649"/>
    <w:rsid w:val="00F908C1"/>
    <w:rsid w:val="00F94F4D"/>
    <w:rsid w:val="00F96790"/>
    <w:rsid w:val="00F97724"/>
    <w:rsid w:val="00FA2384"/>
    <w:rsid w:val="00FB0E80"/>
    <w:rsid w:val="00FB1464"/>
    <w:rsid w:val="00FB2E07"/>
    <w:rsid w:val="00FB347D"/>
    <w:rsid w:val="00FB57EB"/>
    <w:rsid w:val="00FB5F83"/>
    <w:rsid w:val="00FB7DF9"/>
    <w:rsid w:val="00FC13FC"/>
    <w:rsid w:val="00FC1645"/>
    <w:rsid w:val="00FC1C47"/>
    <w:rsid w:val="00FC6CDD"/>
    <w:rsid w:val="00FD41FF"/>
    <w:rsid w:val="00FE0926"/>
    <w:rsid w:val="00FE1A9A"/>
    <w:rsid w:val="00FE3612"/>
    <w:rsid w:val="00FE4452"/>
    <w:rsid w:val="00FE6AC9"/>
    <w:rsid w:val="00FE6CE4"/>
    <w:rsid w:val="00FF0FF3"/>
    <w:rsid w:val="00FF2827"/>
    <w:rsid w:val="00FF54B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3B6B55-1397-4B9B-81B8-7BBA78C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C1"/>
    <w:rPr>
      <w:rFonts w:eastAsia="SimSun"/>
      <w:sz w:val="24"/>
      <w:szCs w:val="24"/>
      <w:lang w:eastAsia="zh-CN"/>
    </w:rPr>
  </w:style>
  <w:style w:type="paragraph" w:styleId="Heading1">
    <w:name w:val="heading 1"/>
    <w:basedOn w:val="Normal"/>
    <w:next w:val="Normal"/>
    <w:link w:val="Heading1Char"/>
    <w:qFormat/>
    <w:rsid w:val="004F521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8322C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22C1"/>
    <w:pPr>
      <w:tabs>
        <w:tab w:val="center" w:pos="4819"/>
        <w:tab w:val="right" w:pos="9638"/>
      </w:tabs>
    </w:pPr>
  </w:style>
  <w:style w:type="character" w:styleId="PageNumber">
    <w:name w:val="page number"/>
    <w:basedOn w:val="DefaultParagraphFont"/>
    <w:rsid w:val="008322C1"/>
  </w:style>
  <w:style w:type="character" w:customStyle="1" w:styleId="apple-style-span">
    <w:name w:val="apple-style-span"/>
    <w:basedOn w:val="DefaultParagraphFont"/>
    <w:rsid w:val="008322C1"/>
  </w:style>
  <w:style w:type="character" w:customStyle="1" w:styleId="apple-converted-space">
    <w:name w:val="apple-converted-space"/>
    <w:basedOn w:val="DefaultParagraphFont"/>
    <w:rsid w:val="008322C1"/>
  </w:style>
  <w:style w:type="paragraph" w:customStyle="1" w:styleId="1">
    <w:name w:val="标题1"/>
    <w:basedOn w:val="Normal"/>
    <w:rsid w:val="008322C1"/>
    <w:pPr>
      <w:spacing w:before="100" w:beforeAutospacing="1" w:after="100" w:afterAutospacing="1"/>
    </w:pPr>
  </w:style>
  <w:style w:type="paragraph" w:customStyle="1" w:styleId="desc">
    <w:name w:val="desc"/>
    <w:basedOn w:val="Normal"/>
    <w:rsid w:val="008322C1"/>
    <w:pPr>
      <w:spacing w:before="100" w:beforeAutospacing="1" w:after="100" w:afterAutospacing="1"/>
    </w:pPr>
  </w:style>
  <w:style w:type="character" w:customStyle="1" w:styleId="jrnl">
    <w:name w:val="jrnl"/>
    <w:basedOn w:val="DefaultParagraphFont"/>
    <w:rsid w:val="008322C1"/>
  </w:style>
  <w:style w:type="character" w:customStyle="1" w:styleId="highlight">
    <w:name w:val="highlight"/>
    <w:basedOn w:val="DefaultParagraphFont"/>
    <w:rsid w:val="008322C1"/>
  </w:style>
  <w:style w:type="character" w:customStyle="1" w:styleId="Heading3Char">
    <w:name w:val="Heading 3 Char"/>
    <w:link w:val="Heading3"/>
    <w:rsid w:val="008322C1"/>
    <w:rPr>
      <w:rFonts w:ascii="Cambria" w:hAnsi="Cambria"/>
      <w:b/>
      <w:bCs/>
      <w:sz w:val="26"/>
      <w:szCs w:val="26"/>
      <w:lang w:val="it-IT" w:eastAsia="zh-CN" w:bidi="ar-SA"/>
    </w:rPr>
  </w:style>
  <w:style w:type="character" w:styleId="LineNumber">
    <w:name w:val="line number"/>
    <w:basedOn w:val="DefaultParagraphFont"/>
    <w:rsid w:val="008322C1"/>
  </w:style>
  <w:style w:type="character" w:styleId="Hyperlink">
    <w:name w:val="Hyperlink"/>
    <w:uiPriority w:val="99"/>
    <w:rsid w:val="00181EDF"/>
    <w:rPr>
      <w:color w:val="0000FF"/>
      <w:u w:val="single"/>
    </w:rPr>
  </w:style>
  <w:style w:type="paragraph" w:styleId="BalloonText">
    <w:name w:val="Balloon Text"/>
    <w:basedOn w:val="Normal"/>
    <w:link w:val="BalloonTextChar"/>
    <w:rsid w:val="00E6300C"/>
    <w:rPr>
      <w:rFonts w:ascii="Tahoma" w:hAnsi="Tahoma"/>
      <w:sz w:val="16"/>
      <w:szCs w:val="16"/>
    </w:rPr>
  </w:style>
  <w:style w:type="character" w:customStyle="1" w:styleId="BalloonTextChar">
    <w:name w:val="Balloon Text Char"/>
    <w:link w:val="BalloonText"/>
    <w:rsid w:val="00E6300C"/>
    <w:rPr>
      <w:rFonts w:ascii="Tahoma" w:eastAsia="SimSun" w:hAnsi="Tahoma" w:cs="Tahoma"/>
      <w:sz w:val="16"/>
      <w:szCs w:val="16"/>
      <w:lang w:eastAsia="zh-CN"/>
    </w:rPr>
  </w:style>
  <w:style w:type="character" w:customStyle="1" w:styleId="Heading1Char">
    <w:name w:val="Heading 1 Char"/>
    <w:link w:val="Heading1"/>
    <w:rsid w:val="004F5216"/>
    <w:rPr>
      <w:rFonts w:ascii="Cambria" w:eastAsia="Times New Roman" w:hAnsi="Cambria" w:cs="Times New Roman"/>
      <w:b/>
      <w:bCs/>
      <w:kern w:val="32"/>
      <w:sz w:val="32"/>
      <w:szCs w:val="32"/>
      <w:lang w:eastAsia="zh-CN"/>
    </w:rPr>
  </w:style>
  <w:style w:type="paragraph" w:customStyle="1" w:styleId="title1">
    <w:name w:val="title1"/>
    <w:basedOn w:val="Normal"/>
    <w:rsid w:val="00141A48"/>
    <w:rPr>
      <w:rFonts w:eastAsia="Times New Roman"/>
      <w:sz w:val="27"/>
      <w:szCs w:val="27"/>
      <w:lang w:eastAsia="it-IT"/>
    </w:rPr>
  </w:style>
  <w:style w:type="paragraph" w:customStyle="1" w:styleId="desc2">
    <w:name w:val="desc2"/>
    <w:basedOn w:val="Normal"/>
    <w:rsid w:val="00141A48"/>
    <w:rPr>
      <w:rFonts w:eastAsia="Times New Roman"/>
      <w:sz w:val="26"/>
      <w:szCs w:val="26"/>
      <w:lang w:eastAsia="it-IT"/>
    </w:rPr>
  </w:style>
  <w:style w:type="paragraph" w:customStyle="1" w:styleId="details1">
    <w:name w:val="details1"/>
    <w:basedOn w:val="Normal"/>
    <w:rsid w:val="00141A48"/>
    <w:rPr>
      <w:rFonts w:eastAsia="Times New Roman"/>
      <w:sz w:val="22"/>
      <w:szCs w:val="22"/>
      <w:lang w:eastAsia="it-IT"/>
    </w:rPr>
  </w:style>
  <w:style w:type="paragraph" w:styleId="ListParagraph">
    <w:name w:val="List Paragraph"/>
    <w:basedOn w:val="Normal"/>
    <w:uiPriority w:val="99"/>
    <w:qFormat/>
    <w:rsid w:val="00141A48"/>
    <w:pPr>
      <w:ind w:left="708"/>
    </w:pPr>
  </w:style>
  <w:style w:type="paragraph" w:styleId="Header">
    <w:name w:val="header"/>
    <w:basedOn w:val="Normal"/>
    <w:link w:val="HeaderChar"/>
    <w:rsid w:val="00696905"/>
    <w:pPr>
      <w:tabs>
        <w:tab w:val="center" w:pos="4819"/>
        <w:tab w:val="right" w:pos="9638"/>
      </w:tabs>
    </w:pPr>
  </w:style>
  <w:style w:type="character" w:customStyle="1" w:styleId="HeaderChar">
    <w:name w:val="Header Char"/>
    <w:link w:val="Header"/>
    <w:rsid w:val="00696905"/>
    <w:rPr>
      <w:rFonts w:eastAsia="SimSun"/>
      <w:sz w:val="24"/>
      <w:szCs w:val="24"/>
      <w:lang w:eastAsia="zh-CN"/>
    </w:rPr>
  </w:style>
  <w:style w:type="paragraph" w:styleId="NormalWeb">
    <w:name w:val="Normal (Web)"/>
    <w:basedOn w:val="Normal"/>
    <w:uiPriority w:val="99"/>
    <w:unhideWhenUsed/>
    <w:rsid w:val="00482AC6"/>
    <w:pPr>
      <w:spacing w:before="100" w:beforeAutospacing="1" w:after="100" w:afterAutospacing="1"/>
    </w:pPr>
    <w:rPr>
      <w:rFonts w:eastAsia="Times New Roman"/>
      <w:lang w:eastAsia="it-IT"/>
    </w:rPr>
  </w:style>
  <w:style w:type="paragraph" w:customStyle="1" w:styleId="Default">
    <w:name w:val="Default"/>
    <w:rsid w:val="000B11B9"/>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E4494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2">
    <w:name w:val="A2"/>
    <w:uiPriority w:val="99"/>
    <w:rsid w:val="007A5999"/>
    <w:rPr>
      <w:i/>
      <w:iCs/>
      <w:color w:val="000000"/>
      <w:sz w:val="12"/>
      <w:szCs w:val="12"/>
    </w:rPr>
  </w:style>
  <w:style w:type="character" w:customStyle="1" w:styleId="A0">
    <w:name w:val="A0"/>
    <w:uiPriority w:val="99"/>
    <w:rsid w:val="007A5999"/>
    <w:rPr>
      <w:color w:val="000000"/>
      <w:sz w:val="22"/>
      <w:szCs w:val="22"/>
    </w:rPr>
  </w:style>
  <w:style w:type="paragraph" w:customStyle="1" w:styleId="10">
    <w:name w:val="正文1"/>
    <w:uiPriority w:val="99"/>
    <w:rsid w:val="00785507"/>
    <w:pPr>
      <w:spacing w:line="276" w:lineRule="auto"/>
    </w:pPr>
    <w:rPr>
      <w:rFonts w:ascii="Arial" w:eastAsia="SimSun" w:hAnsi="Arial" w:cs="Arial"/>
      <w:color w:val="000000"/>
      <w:sz w:val="22"/>
      <w:lang w:val="pl-PL" w:eastAsia="pl-PL"/>
    </w:rPr>
  </w:style>
  <w:style w:type="numbering" w:customStyle="1" w:styleId="11">
    <w:name w:val="无列表1"/>
    <w:next w:val="NoList"/>
    <w:uiPriority w:val="99"/>
    <w:semiHidden/>
    <w:unhideWhenUsed/>
    <w:rsid w:val="00E0156D"/>
  </w:style>
  <w:style w:type="character" w:customStyle="1" w:styleId="FooterChar">
    <w:name w:val="Footer Char"/>
    <w:basedOn w:val="DefaultParagraphFont"/>
    <w:link w:val="Footer"/>
    <w:uiPriority w:val="99"/>
    <w:rsid w:val="00E0156D"/>
    <w:rPr>
      <w:rFonts w:eastAsia="SimSun"/>
      <w:sz w:val="24"/>
      <w:szCs w:val="24"/>
      <w:lang w:eastAsia="zh-CN"/>
    </w:rPr>
  </w:style>
  <w:style w:type="character" w:styleId="CommentReference">
    <w:name w:val="annotation reference"/>
    <w:basedOn w:val="DefaultParagraphFont"/>
    <w:uiPriority w:val="99"/>
    <w:rsid w:val="00A53BE5"/>
    <w:rPr>
      <w:sz w:val="21"/>
      <w:szCs w:val="21"/>
    </w:rPr>
  </w:style>
  <w:style w:type="paragraph" w:styleId="CommentText">
    <w:name w:val="annotation text"/>
    <w:basedOn w:val="Normal"/>
    <w:link w:val="CommentTextChar"/>
    <w:uiPriority w:val="99"/>
    <w:rsid w:val="00A53BE5"/>
  </w:style>
  <w:style w:type="character" w:customStyle="1" w:styleId="CommentTextChar">
    <w:name w:val="Comment Text Char"/>
    <w:basedOn w:val="DefaultParagraphFont"/>
    <w:link w:val="CommentText"/>
    <w:uiPriority w:val="99"/>
    <w:rsid w:val="00A53BE5"/>
    <w:rPr>
      <w:rFonts w:eastAsia="SimSun"/>
      <w:sz w:val="24"/>
      <w:szCs w:val="24"/>
      <w:lang w:eastAsia="zh-CN"/>
    </w:rPr>
  </w:style>
  <w:style w:type="paragraph" w:styleId="CommentSubject">
    <w:name w:val="annotation subject"/>
    <w:basedOn w:val="CommentText"/>
    <w:next w:val="CommentText"/>
    <w:link w:val="CommentSubjectChar"/>
    <w:rsid w:val="00A53BE5"/>
    <w:rPr>
      <w:b/>
      <w:bCs/>
    </w:rPr>
  </w:style>
  <w:style w:type="character" w:customStyle="1" w:styleId="CommentSubjectChar">
    <w:name w:val="Comment Subject Char"/>
    <w:basedOn w:val="CommentTextChar"/>
    <w:link w:val="CommentSubject"/>
    <w:rsid w:val="00A53BE5"/>
    <w:rPr>
      <w:rFonts w:eastAsia="SimSun"/>
      <w:b/>
      <w:bCs/>
      <w:sz w:val="24"/>
      <w:szCs w:val="24"/>
      <w:lang w:eastAsia="zh-CN"/>
    </w:rPr>
  </w:style>
  <w:style w:type="paragraph" w:customStyle="1" w:styleId="2">
    <w:name w:val="标题2"/>
    <w:basedOn w:val="Normal"/>
    <w:rsid w:val="000746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482">
      <w:bodyDiv w:val="1"/>
      <w:marLeft w:val="0"/>
      <w:marRight w:val="0"/>
      <w:marTop w:val="0"/>
      <w:marBottom w:val="0"/>
      <w:divBdr>
        <w:top w:val="none" w:sz="0" w:space="0" w:color="auto"/>
        <w:left w:val="none" w:sz="0" w:space="0" w:color="auto"/>
        <w:bottom w:val="none" w:sz="0" w:space="0" w:color="auto"/>
        <w:right w:val="none" w:sz="0" w:space="0" w:color="auto"/>
      </w:divBdr>
    </w:div>
    <w:div w:id="12267558">
      <w:bodyDiv w:val="1"/>
      <w:marLeft w:val="0"/>
      <w:marRight w:val="0"/>
      <w:marTop w:val="0"/>
      <w:marBottom w:val="0"/>
      <w:divBdr>
        <w:top w:val="none" w:sz="0" w:space="0" w:color="auto"/>
        <w:left w:val="none" w:sz="0" w:space="0" w:color="auto"/>
        <w:bottom w:val="none" w:sz="0" w:space="0" w:color="auto"/>
        <w:right w:val="none" w:sz="0" w:space="0" w:color="auto"/>
      </w:divBdr>
    </w:div>
    <w:div w:id="30501039">
      <w:bodyDiv w:val="1"/>
      <w:marLeft w:val="0"/>
      <w:marRight w:val="0"/>
      <w:marTop w:val="0"/>
      <w:marBottom w:val="0"/>
      <w:divBdr>
        <w:top w:val="none" w:sz="0" w:space="0" w:color="auto"/>
        <w:left w:val="none" w:sz="0" w:space="0" w:color="auto"/>
        <w:bottom w:val="none" w:sz="0" w:space="0" w:color="auto"/>
        <w:right w:val="none" w:sz="0" w:space="0" w:color="auto"/>
      </w:divBdr>
    </w:div>
    <w:div w:id="55015743">
      <w:bodyDiv w:val="1"/>
      <w:marLeft w:val="0"/>
      <w:marRight w:val="0"/>
      <w:marTop w:val="0"/>
      <w:marBottom w:val="0"/>
      <w:divBdr>
        <w:top w:val="none" w:sz="0" w:space="0" w:color="auto"/>
        <w:left w:val="none" w:sz="0" w:space="0" w:color="auto"/>
        <w:bottom w:val="none" w:sz="0" w:space="0" w:color="auto"/>
        <w:right w:val="none" w:sz="0" w:space="0" w:color="auto"/>
      </w:divBdr>
      <w:divsChild>
        <w:div w:id="1120537217">
          <w:marLeft w:val="0"/>
          <w:marRight w:val="0"/>
          <w:marTop w:val="0"/>
          <w:marBottom w:val="0"/>
          <w:divBdr>
            <w:top w:val="none" w:sz="0" w:space="0" w:color="auto"/>
            <w:left w:val="none" w:sz="0" w:space="0" w:color="auto"/>
            <w:bottom w:val="none" w:sz="0" w:space="0" w:color="auto"/>
            <w:right w:val="none" w:sz="0" w:space="0" w:color="auto"/>
          </w:divBdr>
          <w:divsChild>
            <w:div w:id="629675475">
              <w:marLeft w:val="0"/>
              <w:marRight w:val="0"/>
              <w:marTop w:val="0"/>
              <w:marBottom w:val="0"/>
              <w:divBdr>
                <w:top w:val="none" w:sz="0" w:space="0" w:color="auto"/>
                <w:left w:val="none" w:sz="0" w:space="0" w:color="auto"/>
                <w:bottom w:val="none" w:sz="0" w:space="0" w:color="auto"/>
                <w:right w:val="none" w:sz="0" w:space="0" w:color="auto"/>
              </w:divBdr>
              <w:divsChild>
                <w:div w:id="493376068">
                  <w:marLeft w:val="0"/>
                  <w:marRight w:val="0"/>
                  <w:marTop w:val="0"/>
                  <w:marBottom w:val="15"/>
                  <w:divBdr>
                    <w:top w:val="none" w:sz="0" w:space="0" w:color="auto"/>
                    <w:left w:val="none" w:sz="0" w:space="0" w:color="auto"/>
                    <w:bottom w:val="none" w:sz="0" w:space="0" w:color="auto"/>
                    <w:right w:val="none" w:sz="0" w:space="0" w:color="auto"/>
                  </w:divBdr>
                  <w:divsChild>
                    <w:div w:id="9626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066">
      <w:bodyDiv w:val="1"/>
      <w:marLeft w:val="0"/>
      <w:marRight w:val="0"/>
      <w:marTop w:val="0"/>
      <w:marBottom w:val="0"/>
      <w:divBdr>
        <w:top w:val="none" w:sz="0" w:space="0" w:color="auto"/>
        <w:left w:val="none" w:sz="0" w:space="0" w:color="auto"/>
        <w:bottom w:val="none" w:sz="0" w:space="0" w:color="auto"/>
        <w:right w:val="none" w:sz="0" w:space="0" w:color="auto"/>
      </w:divBdr>
    </w:div>
    <w:div w:id="168525718">
      <w:bodyDiv w:val="1"/>
      <w:marLeft w:val="0"/>
      <w:marRight w:val="0"/>
      <w:marTop w:val="0"/>
      <w:marBottom w:val="0"/>
      <w:divBdr>
        <w:top w:val="none" w:sz="0" w:space="0" w:color="auto"/>
        <w:left w:val="none" w:sz="0" w:space="0" w:color="auto"/>
        <w:bottom w:val="none" w:sz="0" w:space="0" w:color="auto"/>
        <w:right w:val="none" w:sz="0" w:space="0" w:color="auto"/>
      </w:divBdr>
    </w:div>
    <w:div w:id="175267831">
      <w:bodyDiv w:val="1"/>
      <w:marLeft w:val="0"/>
      <w:marRight w:val="0"/>
      <w:marTop w:val="0"/>
      <w:marBottom w:val="0"/>
      <w:divBdr>
        <w:top w:val="none" w:sz="0" w:space="0" w:color="auto"/>
        <w:left w:val="none" w:sz="0" w:space="0" w:color="auto"/>
        <w:bottom w:val="none" w:sz="0" w:space="0" w:color="auto"/>
        <w:right w:val="none" w:sz="0" w:space="0" w:color="auto"/>
      </w:divBdr>
      <w:divsChild>
        <w:div w:id="332681452">
          <w:marLeft w:val="0"/>
          <w:marRight w:val="1"/>
          <w:marTop w:val="0"/>
          <w:marBottom w:val="0"/>
          <w:divBdr>
            <w:top w:val="none" w:sz="0" w:space="0" w:color="auto"/>
            <w:left w:val="none" w:sz="0" w:space="0" w:color="auto"/>
            <w:bottom w:val="none" w:sz="0" w:space="0" w:color="auto"/>
            <w:right w:val="none" w:sz="0" w:space="0" w:color="auto"/>
          </w:divBdr>
          <w:divsChild>
            <w:div w:id="1123843979">
              <w:marLeft w:val="0"/>
              <w:marRight w:val="0"/>
              <w:marTop w:val="0"/>
              <w:marBottom w:val="0"/>
              <w:divBdr>
                <w:top w:val="none" w:sz="0" w:space="0" w:color="auto"/>
                <w:left w:val="none" w:sz="0" w:space="0" w:color="auto"/>
                <w:bottom w:val="none" w:sz="0" w:space="0" w:color="auto"/>
                <w:right w:val="none" w:sz="0" w:space="0" w:color="auto"/>
              </w:divBdr>
              <w:divsChild>
                <w:div w:id="1848716199">
                  <w:marLeft w:val="0"/>
                  <w:marRight w:val="1"/>
                  <w:marTop w:val="0"/>
                  <w:marBottom w:val="0"/>
                  <w:divBdr>
                    <w:top w:val="none" w:sz="0" w:space="0" w:color="auto"/>
                    <w:left w:val="none" w:sz="0" w:space="0" w:color="auto"/>
                    <w:bottom w:val="none" w:sz="0" w:space="0" w:color="auto"/>
                    <w:right w:val="none" w:sz="0" w:space="0" w:color="auto"/>
                  </w:divBdr>
                  <w:divsChild>
                    <w:div w:id="314341797">
                      <w:marLeft w:val="0"/>
                      <w:marRight w:val="0"/>
                      <w:marTop w:val="0"/>
                      <w:marBottom w:val="0"/>
                      <w:divBdr>
                        <w:top w:val="none" w:sz="0" w:space="0" w:color="auto"/>
                        <w:left w:val="none" w:sz="0" w:space="0" w:color="auto"/>
                        <w:bottom w:val="none" w:sz="0" w:space="0" w:color="auto"/>
                        <w:right w:val="none" w:sz="0" w:space="0" w:color="auto"/>
                      </w:divBdr>
                      <w:divsChild>
                        <w:div w:id="1232615335">
                          <w:marLeft w:val="0"/>
                          <w:marRight w:val="0"/>
                          <w:marTop w:val="0"/>
                          <w:marBottom w:val="0"/>
                          <w:divBdr>
                            <w:top w:val="none" w:sz="0" w:space="0" w:color="auto"/>
                            <w:left w:val="none" w:sz="0" w:space="0" w:color="auto"/>
                            <w:bottom w:val="none" w:sz="0" w:space="0" w:color="auto"/>
                            <w:right w:val="none" w:sz="0" w:space="0" w:color="auto"/>
                          </w:divBdr>
                          <w:divsChild>
                            <w:div w:id="1354763907">
                              <w:marLeft w:val="0"/>
                              <w:marRight w:val="0"/>
                              <w:marTop w:val="120"/>
                              <w:marBottom w:val="360"/>
                              <w:divBdr>
                                <w:top w:val="none" w:sz="0" w:space="0" w:color="auto"/>
                                <w:left w:val="none" w:sz="0" w:space="0" w:color="auto"/>
                                <w:bottom w:val="none" w:sz="0" w:space="0" w:color="auto"/>
                                <w:right w:val="none" w:sz="0" w:space="0" w:color="auto"/>
                              </w:divBdr>
                              <w:divsChild>
                                <w:div w:id="1680430972">
                                  <w:marLeft w:val="420"/>
                                  <w:marRight w:val="0"/>
                                  <w:marTop w:val="0"/>
                                  <w:marBottom w:val="0"/>
                                  <w:divBdr>
                                    <w:top w:val="none" w:sz="0" w:space="0" w:color="auto"/>
                                    <w:left w:val="none" w:sz="0" w:space="0" w:color="auto"/>
                                    <w:bottom w:val="none" w:sz="0" w:space="0" w:color="auto"/>
                                    <w:right w:val="none" w:sz="0" w:space="0" w:color="auto"/>
                                  </w:divBdr>
                                  <w:divsChild>
                                    <w:div w:id="3227777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72552">
      <w:bodyDiv w:val="1"/>
      <w:marLeft w:val="0"/>
      <w:marRight w:val="0"/>
      <w:marTop w:val="0"/>
      <w:marBottom w:val="0"/>
      <w:divBdr>
        <w:top w:val="none" w:sz="0" w:space="0" w:color="auto"/>
        <w:left w:val="none" w:sz="0" w:space="0" w:color="auto"/>
        <w:bottom w:val="none" w:sz="0" w:space="0" w:color="auto"/>
        <w:right w:val="none" w:sz="0" w:space="0" w:color="auto"/>
      </w:divBdr>
    </w:div>
    <w:div w:id="212350653">
      <w:bodyDiv w:val="1"/>
      <w:marLeft w:val="0"/>
      <w:marRight w:val="0"/>
      <w:marTop w:val="0"/>
      <w:marBottom w:val="0"/>
      <w:divBdr>
        <w:top w:val="none" w:sz="0" w:space="0" w:color="auto"/>
        <w:left w:val="none" w:sz="0" w:space="0" w:color="auto"/>
        <w:bottom w:val="none" w:sz="0" w:space="0" w:color="auto"/>
        <w:right w:val="none" w:sz="0" w:space="0" w:color="auto"/>
      </w:divBdr>
    </w:div>
    <w:div w:id="254166235">
      <w:bodyDiv w:val="1"/>
      <w:marLeft w:val="0"/>
      <w:marRight w:val="0"/>
      <w:marTop w:val="0"/>
      <w:marBottom w:val="0"/>
      <w:divBdr>
        <w:top w:val="none" w:sz="0" w:space="0" w:color="auto"/>
        <w:left w:val="none" w:sz="0" w:space="0" w:color="auto"/>
        <w:bottom w:val="none" w:sz="0" w:space="0" w:color="auto"/>
        <w:right w:val="none" w:sz="0" w:space="0" w:color="auto"/>
      </w:divBdr>
    </w:div>
    <w:div w:id="268316026">
      <w:bodyDiv w:val="1"/>
      <w:marLeft w:val="0"/>
      <w:marRight w:val="0"/>
      <w:marTop w:val="0"/>
      <w:marBottom w:val="0"/>
      <w:divBdr>
        <w:top w:val="none" w:sz="0" w:space="0" w:color="auto"/>
        <w:left w:val="none" w:sz="0" w:space="0" w:color="auto"/>
        <w:bottom w:val="none" w:sz="0" w:space="0" w:color="auto"/>
        <w:right w:val="none" w:sz="0" w:space="0" w:color="auto"/>
      </w:divBdr>
    </w:div>
    <w:div w:id="274486305">
      <w:bodyDiv w:val="1"/>
      <w:marLeft w:val="0"/>
      <w:marRight w:val="0"/>
      <w:marTop w:val="0"/>
      <w:marBottom w:val="0"/>
      <w:divBdr>
        <w:top w:val="none" w:sz="0" w:space="0" w:color="auto"/>
        <w:left w:val="none" w:sz="0" w:space="0" w:color="auto"/>
        <w:bottom w:val="none" w:sz="0" w:space="0" w:color="auto"/>
        <w:right w:val="none" w:sz="0" w:space="0" w:color="auto"/>
      </w:divBdr>
    </w:div>
    <w:div w:id="291324224">
      <w:bodyDiv w:val="1"/>
      <w:marLeft w:val="0"/>
      <w:marRight w:val="0"/>
      <w:marTop w:val="0"/>
      <w:marBottom w:val="0"/>
      <w:divBdr>
        <w:top w:val="none" w:sz="0" w:space="0" w:color="auto"/>
        <w:left w:val="none" w:sz="0" w:space="0" w:color="auto"/>
        <w:bottom w:val="none" w:sz="0" w:space="0" w:color="auto"/>
        <w:right w:val="none" w:sz="0" w:space="0" w:color="auto"/>
      </w:divBdr>
    </w:div>
    <w:div w:id="331564656">
      <w:bodyDiv w:val="1"/>
      <w:marLeft w:val="0"/>
      <w:marRight w:val="0"/>
      <w:marTop w:val="0"/>
      <w:marBottom w:val="0"/>
      <w:divBdr>
        <w:top w:val="none" w:sz="0" w:space="0" w:color="auto"/>
        <w:left w:val="none" w:sz="0" w:space="0" w:color="auto"/>
        <w:bottom w:val="none" w:sz="0" w:space="0" w:color="auto"/>
        <w:right w:val="none" w:sz="0" w:space="0" w:color="auto"/>
      </w:divBdr>
    </w:div>
    <w:div w:id="424812189">
      <w:bodyDiv w:val="1"/>
      <w:marLeft w:val="0"/>
      <w:marRight w:val="0"/>
      <w:marTop w:val="0"/>
      <w:marBottom w:val="0"/>
      <w:divBdr>
        <w:top w:val="none" w:sz="0" w:space="0" w:color="auto"/>
        <w:left w:val="none" w:sz="0" w:space="0" w:color="auto"/>
        <w:bottom w:val="none" w:sz="0" w:space="0" w:color="auto"/>
        <w:right w:val="none" w:sz="0" w:space="0" w:color="auto"/>
      </w:divBdr>
      <w:divsChild>
        <w:div w:id="1076245028">
          <w:marLeft w:val="0"/>
          <w:marRight w:val="1"/>
          <w:marTop w:val="0"/>
          <w:marBottom w:val="0"/>
          <w:divBdr>
            <w:top w:val="none" w:sz="0" w:space="0" w:color="auto"/>
            <w:left w:val="none" w:sz="0" w:space="0" w:color="auto"/>
            <w:bottom w:val="none" w:sz="0" w:space="0" w:color="auto"/>
            <w:right w:val="none" w:sz="0" w:space="0" w:color="auto"/>
          </w:divBdr>
          <w:divsChild>
            <w:div w:id="277152503">
              <w:marLeft w:val="0"/>
              <w:marRight w:val="0"/>
              <w:marTop w:val="0"/>
              <w:marBottom w:val="0"/>
              <w:divBdr>
                <w:top w:val="none" w:sz="0" w:space="0" w:color="auto"/>
                <w:left w:val="none" w:sz="0" w:space="0" w:color="auto"/>
                <w:bottom w:val="none" w:sz="0" w:space="0" w:color="auto"/>
                <w:right w:val="none" w:sz="0" w:space="0" w:color="auto"/>
              </w:divBdr>
              <w:divsChild>
                <w:div w:id="589120847">
                  <w:marLeft w:val="0"/>
                  <w:marRight w:val="1"/>
                  <w:marTop w:val="0"/>
                  <w:marBottom w:val="0"/>
                  <w:divBdr>
                    <w:top w:val="none" w:sz="0" w:space="0" w:color="auto"/>
                    <w:left w:val="none" w:sz="0" w:space="0" w:color="auto"/>
                    <w:bottom w:val="none" w:sz="0" w:space="0" w:color="auto"/>
                    <w:right w:val="none" w:sz="0" w:space="0" w:color="auto"/>
                  </w:divBdr>
                  <w:divsChild>
                    <w:div w:id="275527958">
                      <w:marLeft w:val="0"/>
                      <w:marRight w:val="0"/>
                      <w:marTop w:val="0"/>
                      <w:marBottom w:val="0"/>
                      <w:divBdr>
                        <w:top w:val="none" w:sz="0" w:space="0" w:color="auto"/>
                        <w:left w:val="none" w:sz="0" w:space="0" w:color="auto"/>
                        <w:bottom w:val="none" w:sz="0" w:space="0" w:color="auto"/>
                        <w:right w:val="none" w:sz="0" w:space="0" w:color="auto"/>
                      </w:divBdr>
                      <w:divsChild>
                        <w:div w:id="1359813754">
                          <w:marLeft w:val="0"/>
                          <w:marRight w:val="0"/>
                          <w:marTop w:val="0"/>
                          <w:marBottom w:val="0"/>
                          <w:divBdr>
                            <w:top w:val="none" w:sz="0" w:space="0" w:color="auto"/>
                            <w:left w:val="none" w:sz="0" w:space="0" w:color="auto"/>
                            <w:bottom w:val="none" w:sz="0" w:space="0" w:color="auto"/>
                            <w:right w:val="none" w:sz="0" w:space="0" w:color="auto"/>
                          </w:divBdr>
                          <w:divsChild>
                            <w:div w:id="1928076385">
                              <w:marLeft w:val="0"/>
                              <w:marRight w:val="0"/>
                              <w:marTop w:val="120"/>
                              <w:marBottom w:val="360"/>
                              <w:divBdr>
                                <w:top w:val="none" w:sz="0" w:space="0" w:color="auto"/>
                                <w:left w:val="none" w:sz="0" w:space="0" w:color="auto"/>
                                <w:bottom w:val="none" w:sz="0" w:space="0" w:color="auto"/>
                                <w:right w:val="none" w:sz="0" w:space="0" w:color="auto"/>
                              </w:divBdr>
                              <w:divsChild>
                                <w:div w:id="1237402457">
                                  <w:marLeft w:val="0"/>
                                  <w:marRight w:val="0"/>
                                  <w:marTop w:val="0"/>
                                  <w:marBottom w:val="0"/>
                                  <w:divBdr>
                                    <w:top w:val="none" w:sz="0" w:space="0" w:color="auto"/>
                                    <w:left w:val="none" w:sz="0" w:space="0" w:color="auto"/>
                                    <w:bottom w:val="none" w:sz="0" w:space="0" w:color="auto"/>
                                    <w:right w:val="none" w:sz="0" w:space="0" w:color="auto"/>
                                  </w:divBdr>
                                </w:div>
                                <w:div w:id="13254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507300">
      <w:bodyDiv w:val="1"/>
      <w:marLeft w:val="0"/>
      <w:marRight w:val="0"/>
      <w:marTop w:val="0"/>
      <w:marBottom w:val="0"/>
      <w:divBdr>
        <w:top w:val="none" w:sz="0" w:space="0" w:color="auto"/>
        <w:left w:val="none" w:sz="0" w:space="0" w:color="auto"/>
        <w:bottom w:val="none" w:sz="0" w:space="0" w:color="auto"/>
        <w:right w:val="none" w:sz="0" w:space="0" w:color="auto"/>
      </w:divBdr>
    </w:div>
    <w:div w:id="459151714">
      <w:bodyDiv w:val="1"/>
      <w:marLeft w:val="0"/>
      <w:marRight w:val="0"/>
      <w:marTop w:val="0"/>
      <w:marBottom w:val="0"/>
      <w:divBdr>
        <w:top w:val="none" w:sz="0" w:space="0" w:color="auto"/>
        <w:left w:val="none" w:sz="0" w:space="0" w:color="auto"/>
        <w:bottom w:val="none" w:sz="0" w:space="0" w:color="auto"/>
        <w:right w:val="none" w:sz="0" w:space="0" w:color="auto"/>
      </w:divBdr>
    </w:div>
    <w:div w:id="465271128">
      <w:bodyDiv w:val="1"/>
      <w:marLeft w:val="0"/>
      <w:marRight w:val="0"/>
      <w:marTop w:val="0"/>
      <w:marBottom w:val="0"/>
      <w:divBdr>
        <w:top w:val="none" w:sz="0" w:space="0" w:color="auto"/>
        <w:left w:val="none" w:sz="0" w:space="0" w:color="auto"/>
        <w:bottom w:val="none" w:sz="0" w:space="0" w:color="auto"/>
        <w:right w:val="none" w:sz="0" w:space="0" w:color="auto"/>
      </w:divBdr>
    </w:div>
    <w:div w:id="498040053">
      <w:bodyDiv w:val="1"/>
      <w:marLeft w:val="0"/>
      <w:marRight w:val="0"/>
      <w:marTop w:val="0"/>
      <w:marBottom w:val="0"/>
      <w:divBdr>
        <w:top w:val="none" w:sz="0" w:space="0" w:color="auto"/>
        <w:left w:val="none" w:sz="0" w:space="0" w:color="auto"/>
        <w:bottom w:val="none" w:sz="0" w:space="0" w:color="auto"/>
        <w:right w:val="none" w:sz="0" w:space="0" w:color="auto"/>
      </w:divBdr>
    </w:div>
    <w:div w:id="511531338">
      <w:bodyDiv w:val="1"/>
      <w:marLeft w:val="0"/>
      <w:marRight w:val="0"/>
      <w:marTop w:val="0"/>
      <w:marBottom w:val="0"/>
      <w:divBdr>
        <w:top w:val="none" w:sz="0" w:space="0" w:color="auto"/>
        <w:left w:val="none" w:sz="0" w:space="0" w:color="auto"/>
        <w:bottom w:val="none" w:sz="0" w:space="0" w:color="auto"/>
        <w:right w:val="none" w:sz="0" w:space="0" w:color="auto"/>
      </w:divBdr>
    </w:div>
    <w:div w:id="525295094">
      <w:bodyDiv w:val="1"/>
      <w:marLeft w:val="0"/>
      <w:marRight w:val="0"/>
      <w:marTop w:val="0"/>
      <w:marBottom w:val="0"/>
      <w:divBdr>
        <w:top w:val="none" w:sz="0" w:space="0" w:color="auto"/>
        <w:left w:val="none" w:sz="0" w:space="0" w:color="auto"/>
        <w:bottom w:val="none" w:sz="0" w:space="0" w:color="auto"/>
        <w:right w:val="none" w:sz="0" w:space="0" w:color="auto"/>
      </w:divBdr>
    </w:div>
    <w:div w:id="567036605">
      <w:bodyDiv w:val="1"/>
      <w:marLeft w:val="0"/>
      <w:marRight w:val="0"/>
      <w:marTop w:val="0"/>
      <w:marBottom w:val="0"/>
      <w:divBdr>
        <w:top w:val="none" w:sz="0" w:space="0" w:color="auto"/>
        <w:left w:val="none" w:sz="0" w:space="0" w:color="auto"/>
        <w:bottom w:val="none" w:sz="0" w:space="0" w:color="auto"/>
        <w:right w:val="none" w:sz="0" w:space="0" w:color="auto"/>
      </w:divBdr>
    </w:div>
    <w:div w:id="582955728">
      <w:bodyDiv w:val="1"/>
      <w:marLeft w:val="0"/>
      <w:marRight w:val="0"/>
      <w:marTop w:val="0"/>
      <w:marBottom w:val="0"/>
      <w:divBdr>
        <w:top w:val="none" w:sz="0" w:space="0" w:color="auto"/>
        <w:left w:val="none" w:sz="0" w:space="0" w:color="auto"/>
        <w:bottom w:val="none" w:sz="0" w:space="0" w:color="auto"/>
        <w:right w:val="none" w:sz="0" w:space="0" w:color="auto"/>
      </w:divBdr>
    </w:div>
    <w:div w:id="599601065">
      <w:bodyDiv w:val="1"/>
      <w:marLeft w:val="0"/>
      <w:marRight w:val="0"/>
      <w:marTop w:val="0"/>
      <w:marBottom w:val="0"/>
      <w:divBdr>
        <w:top w:val="none" w:sz="0" w:space="0" w:color="auto"/>
        <w:left w:val="none" w:sz="0" w:space="0" w:color="auto"/>
        <w:bottom w:val="none" w:sz="0" w:space="0" w:color="auto"/>
        <w:right w:val="none" w:sz="0" w:space="0" w:color="auto"/>
      </w:divBdr>
      <w:divsChild>
        <w:div w:id="1444836468">
          <w:marLeft w:val="0"/>
          <w:marRight w:val="1"/>
          <w:marTop w:val="0"/>
          <w:marBottom w:val="0"/>
          <w:divBdr>
            <w:top w:val="none" w:sz="0" w:space="0" w:color="auto"/>
            <w:left w:val="none" w:sz="0" w:space="0" w:color="auto"/>
            <w:bottom w:val="none" w:sz="0" w:space="0" w:color="auto"/>
            <w:right w:val="none" w:sz="0" w:space="0" w:color="auto"/>
          </w:divBdr>
          <w:divsChild>
            <w:div w:id="640306814">
              <w:marLeft w:val="0"/>
              <w:marRight w:val="0"/>
              <w:marTop w:val="0"/>
              <w:marBottom w:val="0"/>
              <w:divBdr>
                <w:top w:val="none" w:sz="0" w:space="0" w:color="auto"/>
                <w:left w:val="none" w:sz="0" w:space="0" w:color="auto"/>
                <w:bottom w:val="none" w:sz="0" w:space="0" w:color="auto"/>
                <w:right w:val="none" w:sz="0" w:space="0" w:color="auto"/>
              </w:divBdr>
              <w:divsChild>
                <w:div w:id="2003848979">
                  <w:marLeft w:val="0"/>
                  <w:marRight w:val="1"/>
                  <w:marTop w:val="0"/>
                  <w:marBottom w:val="0"/>
                  <w:divBdr>
                    <w:top w:val="none" w:sz="0" w:space="0" w:color="auto"/>
                    <w:left w:val="none" w:sz="0" w:space="0" w:color="auto"/>
                    <w:bottom w:val="none" w:sz="0" w:space="0" w:color="auto"/>
                    <w:right w:val="none" w:sz="0" w:space="0" w:color="auto"/>
                  </w:divBdr>
                  <w:divsChild>
                    <w:div w:id="1257442755">
                      <w:marLeft w:val="0"/>
                      <w:marRight w:val="0"/>
                      <w:marTop w:val="0"/>
                      <w:marBottom w:val="0"/>
                      <w:divBdr>
                        <w:top w:val="none" w:sz="0" w:space="0" w:color="auto"/>
                        <w:left w:val="none" w:sz="0" w:space="0" w:color="auto"/>
                        <w:bottom w:val="none" w:sz="0" w:space="0" w:color="auto"/>
                        <w:right w:val="none" w:sz="0" w:space="0" w:color="auto"/>
                      </w:divBdr>
                      <w:divsChild>
                        <w:div w:id="1255091729">
                          <w:marLeft w:val="0"/>
                          <w:marRight w:val="0"/>
                          <w:marTop w:val="0"/>
                          <w:marBottom w:val="0"/>
                          <w:divBdr>
                            <w:top w:val="none" w:sz="0" w:space="0" w:color="auto"/>
                            <w:left w:val="none" w:sz="0" w:space="0" w:color="auto"/>
                            <w:bottom w:val="none" w:sz="0" w:space="0" w:color="auto"/>
                            <w:right w:val="none" w:sz="0" w:space="0" w:color="auto"/>
                          </w:divBdr>
                          <w:divsChild>
                            <w:div w:id="918290474">
                              <w:marLeft w:val="0"/>
                              <w:marRight w:val="0"/>
                              <w:marTop w:val="120"/>
                              <w:marBottom w:val="360"/>
                              <w:divBdr>
                                <w:top w:val="none" w:sz="0" w:space="0" w:color="auto"/>
                                <w:left w:val="none" w:sz="0" w:space="0" w:color="auto"/>
                                <w:bottom w:val="none" w:sz="0" w:space="0" w:color="auto"/>
                                <w:right w:val="none" w:sz="0" w:space="0" w:color="auto"/>
                              </w:divBdr>
                              <w:divsChild>
                                <w:div w:id="12154082">
                                  <w:marLeft w:val="0"/>
                                  <w:marRight w:val="0"/>
                                  <w:marTop w:val="0"/>
                                  <w:marBottom w:val="0"/>
                                  <w:divBdr>
                                    <w:top w:val="none" w:sz="0" w:space="0" w:color="auto"/>
                                    <w:left w:val="none" w:sz="0" w:space="0" w:color="auto"/>
                                    <w:bottom w:val="none" w:sz="0" w:space="0" w:color="auto"/>
                                    <w:right w:val="none" w:sz="0" w:space="0" w:color="auto"/>
                                  </w:divBdr>
                                </w:div>
                                <w:div w:id="8831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26414">
      <w:bodyDiv w:val="1"/>
      <w:marLeft w:val="0"/>
      <w:marRight w:val="0"/>
      <w:marTop w:val="0"/>
      <w:marBottom w:val="0"/>
      <w:divBdr>
        <w:top w:val="none" w:sz="0" w:space="0" w:color="auto"/>
        <w:left w:val="none" w:sz="0" w:space="0" w:color="auto"/>
        <w:bottom w:val="none" w:sz="0" w:space="0" w:color="auto"/>
        <w:right w:val="none" w:sz="0" w:space="0" w:color="auto"/>
      </w:divBdr>
      <w:divsChild>
        <w:div w:id="687878729">
          <w:marLeft w:val="0"/>
          <w:marRight w:val="1"/>
          <w:marTop w:val="0"/>
          <w:marBottom w:val="0"/>
          <w:divBdr>
            <w:top w:val="none" w:sz="0" w:space="0" w:color="auto"/>
            <w:left w:val="none" w:sz="0" w:space="0" w:color="auto"/>
            <w:bottom w:val="none" w:sz="0" w:space="0" w:color="auto"/>
            <w:right w:val="none" w:sz="0" w:space="0" w:color="auto"/>
          </w:divBdr>
          <w:divsChild>
            <w:div w:id="575823783">
              <w:marLeft w:val="0"/>
              <w:marRight w:val="0"/>
              <w:marTop w:val="0"/>
              <w:marBottom w:val="0"/>
              <w:divBdr>
                <w:top w:val="none" w:sz="0" w:space="0" w:color="auto"/>
                <w:left w:val="none" w:sz="0" w:space="0" w:color="auto"/>
                <w:bottom w:val="none" w:sz="0" w:space="0" w:color="auto"/>
                <w:right w:val="none" w:sz="0" w:space="0" w:color="auto"/>
              </w:divBdr>
              <w:divsChild>
                <w:div w:id="647200331">
                  <w:marLeft w:val="0"/>
                  <w:marRight w:val="1"/>
                  <w:marTop w:val="0"/>
                  <w:marBottom w:val="0"/>
                  <w:divBdr>
                    <w:top w:val="none" w:sz="0" w:space="0" w:color="auto"/>
                    <w:left w:val="none" w:sz="0" w:space="0" w:color="auto"/>
                    <w:bottom w:val="none" w:sz="0" w:space="0" w:color="auto"/>
                    <w:right w:val="none" w:sz="0" w:space="0" w:color="auto"/>
                  </w:divBdr>
                  <w:divsChild>
                    <w:div w:id="278609805">
                      <w:marLeft w:val="0"/>
                      <w:marRight w:val="0"/>
                      <w:marTop w:val="0"/>
                      <w:marBottom w:val="0"/>
                      <w:divBdr>
                        <w:top w:val="none" w:sz="0" w:space="0" w:color="auto"/>
                        <w:left w:val="none" w:sz="0" w:space="0" w:color="auto"/>
                        <w:bottom w:val="none" w:sz="0" w:space="0" w:color="auto"/>
                        <w:right w:val="none" w:sz="0" w:space="0" w:color="auto"/>
                      </w:divBdr>
                      <w:divsChild>
                        <w:div w:id="302732845">
                          <w:marLeft w:val="0"/>
                          <w:marRight w:val="0"/>
                          <w:marTop w:val="0"/>
                          <w:marBottom w:val="0"/>
                          <w:divBdr>
                            <w:top w:val="none" w:sz="0" w:space="0" w:color="auto"/>
                            <w:left w:val="none" w:sz="0" w:space="0" w:color="auto"/>
                            <w:bottom w:val="none" w:sz="0" w:space="0" w:color="auto"/>
                            <w:right w:val="none" w:sz="0" w:space="0" w:color="auto"/>
                          </w:divBdr>
                          <w:divsChild>
                            <w:div w:id="1253852339">
                              <w:marLeft w:val="0"/>
                              <w:marRight w:val="0"/>
                              <w:marTop w:val="120"/>
                              <w:marBottom w:val="360"/>
                              <w:divBdr>
                                <w:top w:val="none" w:sz="0" w:space="0" w:color="auto"/>
                                <w:left w:val="none" w:sz="0" w:space="0" w:color="auto"/>
                                <w:bottom w:val="none" w:sz="0" w:space="0" w:color="auto"/>
                                <w:right w:val="none" w:sz="0" w:space="0" w:color="auto"/>
                              </w:divBdr>
                              <w:divsChild>
                                <w:div w:id="360978216">
                                  <w:marLeft w:val="0"/>
                                  <w:marRight w:val="0"/>
                                  <w:marTop w:val="0"/>
                                  <w:marBottom w:val="0"/>
                                  <w:divBdr>
                                    <w:top w:val="none" w:sz="0" w:space="0" w:color="auto"/>
                                    <w:left w:val="none" w:sz="0" w:space="0" w:color="auto"/>
                                    <w:bottom w:val="none" w:sz="0" w:space="0" w:color="auto"/>
                                    <w:right w:val="none" w:sz="0" w:space="0" w:color="auto"/>
                                  </w:divBdr>
                                </w:div>
                                <w:div w:id="15602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685271">
      <w:bodyDiv w:val="1"/>
      <w:marLeft w:val="0"/>
      <w:marRight w:val="0"/>
      <w:marTop w:val="0"/>
      <w:marBottom w:val="0"/>
      <w:divBdr>
        <w:top w:val="none" w:sz="0" w:space="0" w:color="auto"/>
        <w:left w:val="none" w:sz="0" w:space="0" w:color="auto"/>
        <w:bottom w:val="none" w:sz="0" w:space="0" w:color="auto"/>
        <w:right w:val="none" w:sz="0" w:space="0" w:color="auto"/>
      </w:divBdr>
    </w:div>
    <w:div w:id="606424427">
      <w:bodyDiv w:val="1"/>
      <w:marLeft w:val="0"/>
      <w:marRight w:val="0"/>
      <w:marTop w:val="0"/>
      <w:marBottom w:val="0"/>
      <w:divBdr>
        <w:top w:val="none" w:sz="0" w:space="0" w:color="auto"/>
        <w:left w:val="none" w:sz="0" w:space="0" w:color="auto"/>
        <w:bottom w:val="none" w:sz="0" w:space="0" w:color="auto"/>
        <w:right w:val="none" w:sz="0" w:space="0" w:color="auto"/>
      </w:divBdr>
    </w:div>
    <w:div w:id="612055987">
      <w:bodyDiv w:val="1"/>
      <w:marLeft w:val="0"/>
      <w:marRight w:val="0"/>
      <w:marTop w:val="0"/>
      <w:marBottom w:val="0"/>
      <w:divBdr>
        <w:top w:val="none" w:sz="0" w:space="0" w:color="auto"/>
        <w:left w:val="none" w:sz="0" w:space="0" w:color="auto"/>
        <w:bottom w:val="none" w:sz="0" w:space="0" w:color="auto"/>
        <w:right w:val="none" w:sz="0" w:space="0" w:color="auto"/>
      </w:divBdr>
    </w:div>
    <w:div w:id="622658694">
      <w:bodyDiv w:val="1"/>
      <w:marLeft w:val="0"/>
      <w:marRight w:val="0"/>
      <w:marTop w:val="0"/>
      <w:marBottom w:val="0"/>
      <w:divBdr>
        <w:top w:val="none" w:sz="0" w:space="0" w:color="auto"/>
        <w:left w:val="none" w:sz="0" w:space="0" w:color="auto"/>
        <w:bottom w:val="none" w:sz="0" w:space="0" w:color="auto"/>
        <w:right w:val="none" w:sz="0" w:space="0" w:color="auto"/>
      </w:divBdr>
    </w:div>
    <w:div w:id="771242427">
      <w:bodyDiv w:val="1"/>
      <w:marLeft w:val="0"/>
      <w:marRight w:val="0"/>
      <w:marTop w:val="0"/>
      <w:marBottom w:val="0"/>
      <w:divBdr>
        <w:top w:val="none" w:sz="0" w:space="0" w:color="auto"/>
        <w:left w:val="none" w:sz="0" w:space="0" w:color="auto"/>
        <w:bottom w:val="none" w:sz="0" w:space="0" w:color="auto"/>
        <w:right w:val="none" w:sz="0" w:space="0" w:color="auto"/>
      </w:divBdr>
    </w:div>
    <w:div w:id="851604862">
      <w:bodyDiv w:val="1"/>
      <w:marLeft w:val="0"/>
      <w:marRight w:val="0"/>
      <w:marTop w:val="0"/>
      <w:marBottom w:val="0"/>
      <w:divBdr>
        <w:top w:val="none" w:sz="0" w:space="0" w:color="auto"/>
        <w:left w:val="none" w:sz="0" w:space="0" w:color="auto"/>
        <w:bottom w:val="none" w:sz="0" w:space="0" w:color="auto"/>
        <w:right w:val="none" w:sz="0" w:space="0" w:color="auto"/>
      </w:divBdr>
    </w:div>
    <w:div w:id="971210445">
      <w:bodyDiv w:val="1"/>
      <w:marLeft w:val="0"/>
      <w:marRight w:val="0"/>
      <w:marTop w:val="0"/>
      <w:marBottom w:val="0"/>
      <w:divBdr>
        <w:top w:val="none" w:sz="0" w:space="0" w:color="auto"/>
        <w:left w:val="none" w:sz="0" w:space="0" w:color="auto"/>
        <w:bottom w:val="none" w:sz="0" w:space="0" w:color="auto"/>
        <w:right w:val="none" w:sz="0" w:space="0" w:color="auto"/>
      </w:divBdr>
      <w:divsChild>
        <w:div w:id="1166087865">
          <w:marLeft w:val="0"/>
          <w:marRight w:val="1"/>
          <w:marTop w:val="0"/>
          <w:marBottom w:val="0"/>
          <w:divBdr>
            <w:top w:val="none" w:sz="0" w:space="0" w:color="auto"/>
            <w:left w:val="none" w:sz="0" w:space="0" w:color="auto"/>
            <w:bottom w:val="none" w:sz="0" w:space="0" w:color="auto"/>
            <w:right w:val="none" w:sz="0" w:space="0" w:color="auto"/>
          </w:divBdr>
          <w:divsChild>
            <w:div w:id="1923492895">
              <w:marLeft w:val="0"/>
              <w:marRight w:val="0"/>
              <w:marTop w:val="0"/>
              <w:marBottom w:val="0"/>
              <w:divBdr>
                <w:top w:val="none" w:sz="0" w:space="0" w:color="auto"/>
                <w:left w:val="none" w:sz="0" w:space="0" w:color="auto"/>
                <w:bottom w:val="none" w:sz="0" w:space="0" w:color="auto"/>
                <w:right w:val="none" w:sz="0" w:space="0" w:color="auto"/>
              </w:divBdr>
              <w:divsChild>
                <w:div w:id="437481369">
                  <w:marLeft w:val="0"/>
                  <w:marRight w:val="1"/>
                  <w:marTop w:val="0"/>
                  <w:marBottom w:val="0"/>
                  <w:divBdr>
                    <w:top w:val="none" w:sz="0" w:space="0" w:color="auto"/>
                    <w:left w:val="none" w:sz="0" w:space="0" w:color="auto"/>
                    <w:bottom w:val="none" w:sz="0" w:space="0" w:color="auto"/>
                    <w:right w:val="none" w:sz="0" w:space="0" w:color="auto"/>
                  </w:divBdr>
                  <w:divsChild>
                    <w:div w:id="1417551655">
                      <w:marLeft w:val="0"/>
                      <w:marRight w:val="0"/>
                      <w:marTop w:val="0"/>
                      <w:marBottom w:val="0"/>
                      <w:divBdr>
                        <w:top w:val="none" w:sz="0" w:space="0" w:color="auto"/>
                        <w:left w:val="none" w:sz="0" w:space="0" w:color="auto"/>
                        <w:bottom w:val="none" w:sz="0" w:space="0" w:color="auto"/>
                        <w:right w:val="none" w:sz="0" w:space="0" w:color="auto"/>
                      </w:divBdr>
                      <w:divsChild>
                        <w:div w:id="199519929">
                          <w:marLeft w:val="0"/>
                          <w:marRight w:val="0"/>
                          <w:marTop w:val="0"/>
                          <w:marBottom w:val="0"/>
                          <w:divBdr>
                            <w:top w:val="none" w:sz="0" w:space="0" w:color="auto"/>
                            <w:left w:val="none" w:sz="0" w:space="0" w:color="auto"/>
                            <w:bottom w:val="none" w:sz="0" w:space="0" w:color="auto"/>
                            <w:right w:val="none" w:sz="0" w:space="0" w:color="auto"/>
                          </w:divBdr>
                          <w:divsChild>
                            <w:div w:id="516113470">
                              <w:marLeft w:val="0"/>
                              <w:marRight w:val="0"/>
                              <w:marTop w:val="120"/>
                              <w:marBottom w:val="360"/>
                              <w:divBdr>
                                <w:top w:val="none" w:sz="0" w:space="0" w:color="auto"/>
                                <w:left w:val="none" w:sz="0" w:space="0" w:color="auto"/>
                                <w:bottom w:val="none" w:sz="0" w:space="0" w:color="auto"/>
                                <w:right w:val="none" w:sz="0" w:space="0" w:color="auto"/>
                              </w:divBdr>
                              <w:divsChild>
                                <w:div w:id="9411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427478">
      <w:bodyDiv w:val="1"/>
      <w:marLeft w:val="0"/>
      <w:marRight w:val="0"/>
      <w:marTop w:val="0"/>
      <w:marBottom w:val="0"/>
      <w:divBdr>
        <w:top w:val="none" w:sz="0" w:space="0" w:color="auto"/>
        <w:left w:val="none" w:sz="0" w:space="0" w:color="auto"/>
        <w:bottom w:val="none" w:sz="0" w:space="0" w:color="auto"/>
        <w:right w:val="none" w:sz="0" w:space="0" w:color="auto"/>
      </w:divBdr>
    </w:div>
    <w:div w:id="1023362683">
      <w:bodyDiv w:val="1"/>
      <w:marLeft w:val="0"/>
      <w:marRight w:val="0"/>
      <w:marTop w:val="0"/>
      <w:marBottom w:val="0"/>
      <w:divBdr>
        <w:top w:val="none" w:sz="0" w:space="0" w:color="auto"/>
        <w:left w:val="none" w:sz="0" w:space="0" w:color="auto"/>
        <w:bottom w:val="none" w:sz="0" w:space="0" w:color="auto"/>
        <w:right w:val="none" w:sz="0" w:space="0" w:color="auto"/>
      </w:divBdr>
    </w:div>
    <w:div w:id="1052920604">
      <w:bodyDiv w:val="1"/>
      <w:marLeft w:val="0"/>
      <w:marRight w:val="0"/>
      <w:marTop w:val="0"/>
      <w:marBottom w:val="0"/>
      <w:divBdr>
        <w:top w:val="none" w:sz="0" w:space="0" w:color="auto"/>
        <w:left w:val="none" w:sz="0" w:space="0" w:color="auto"/>
        <w:bottom w:val="none" w:sz="0" w:space="0" w:color="auto"/>
        <w:right w:val="none" w:sz="0" w:space="0" w:color="auto"/>
      </w:divBdr>
    </w:div>
    <w:div w:id="1086027323">
      <w:bodyDiv w:val="1"/>
      <w:marLeft w:val="0"/>
      <w:marRight w:val="0"/>
      <w:marTop w:val="0"/>
      <w:marBottom w:val="0"/>
      <w:divBdr>
        <w:top w:val="none" w:sz="0" w:space="0" w:color="auto"/>
        <w:left w:val="none" w:sz="0" w:space="0" w:color="auto"/>
        <w:bottom w:val="none" w:sz="0" w:space="0" w:color="auto"/>
        <w:right w:val="none" w:sz="0" w:space="0" w:color="auto"/>
      </w:divBdr>
    </w:div>
    <w:div w:id="1086918124">
      <w:bodyDiv w:val="1"/>
      <w:marLeft w:val="0"/>
      <w:marRight w:val="0"/>
      <w:marTop w:val="0"/>
      <w:marBottom w:val="0"/>
      <w:divBdr>
        <w:top w:val="none" w:sz="0" w:space="0" w:color="auto"/>
        <w:left w:val="none" w:sz="0" w:space="0" w:color="auto"/>
        <w:bottom w:val="none" w:sz="0" w:space="0" w:color="auto"/>
        <w:right w:val="none" w:sz="0" w:space="0" w:color="auto"/>
      </w:divBdr>
    </w:div>
    <w:div w:id="1094475328">
      <w:bodyDiv w:val="1"/>
      <w:marLeft w:val="0"/>
      <w:marRight w:val="0"/>
      <w:marTop w:val="0"/>
      <w:marBottom w:val="0"/>
      <w:divBdr>
        <w:top w:val="none" w:sz="0" w:space="0" w:color="auto"/>
        <w:left w:val="none" w:sz="0" w:space="0" w:color="auto"/>
        <w:bottom w:val="none" w:sz="0" w:space="0" w:color="auto"/>
        <w:right w:val="none" w:sz="0" w:space="0" w:color="auto"/>
      </w:divBdr>
    </w:div>
    <w:div w:id="1098867235">
      <w:bodyDiv w:val="1"/>
      <w:marLeft w:val="0"/>
      <w:marRight w:val="0"/>
      <w:marTop w:val="0"/>
      <w:marBottom w:val="0"/>
      <w:divBdr>
        <w:top w:val="none" w:sz="0" w:space="0" w:color="auto"/>
        <w:left w:val="none" w:sz="0" w:space="0" w:color="auto"/>
        <w:bottom w:val="none" w:sz="0" w:space="0" w:color="auto"/>
        <w:right w:val="none" w:sz="0" w:space="0" w:color="auto"/>
      </w:divBdr>
    </w:div>
    <w:div w:id="1256553146">
      <w:bodyDiv w:val="1"/>
      <w:marLeft w:val="0"/>
      <w:marRight w:val="0"/>
      <w:marTop w:val="0"/>
      <w:marBottom w:val="0"/>
      <w:divBdr>
        <w:top w:val="none" w:sz="0" w:space="0" w:color="auto"/>
        <w:left w:val="none" w:sz="0" w:space="0" w:color="auto"/>
        <w:bottom w:val="none" w:sz="0" w:space="0" w:color="auto"/>
        <w:right w:val="none" w:sz="0" w:space="0" w:color="auto"/>
      </w:divBdr>
    </w:div>
    <w:div w:id="1293367478">
      <w:bodyDiv w:val="1"/>
      <w:marLeft w:val="0"/>
      <w:marRight w:val="0"/>
      <w:marTop w:val="0"/>
      <w:marBottom w:val="0"/>
      <w:divBdr>
        <w:top w:val="none" w:sz="0" w:space="0" w:color="auto"/>
        <w:left w:val="none" w:sz="0" w:space="0" w:color="auto"/>
        <w:bottom w:val="none" w:sz="0" w:space="0" w:color="auto"/>
        <w:right w:val="none" w:sz="0" w:space="0" w:color="auto"/>
      </w:divBdr>
    </w:div>
    <w:div w:id="1349332566">
      <w:bodyDiv w:val="1"/>
      <w:marLeft w:val="0"/>
      <w:marRight w:val="0"/>
      <w:marTop w:val="0"/>
      <w:marBottom w:val="0"/>
      <w:divBdr>
        <w:top w:val="none" w:sz="0" w:space="0" w:color="auto"/>
        <w:left w:val="none" w:sz="0" w:space="0" w:color="auto"/>
        <w:bottom w:val="none" w:sz="0" w:space="0" w:color="auto"/>
        <w:right w:val="none" w:sz="0" w:space="0" w:color="auto"/>
      </w:divBdr>
    </w:div>
    <w:div w:id="1352342684">
      <w:bodyDiv w:val="1"/>
      <w:marLeft w:val="0"/>
      <w:marRight w:val="0"/>
      <w:marTop w:val="0"/>
      <w:marBottom w:val="0"/>
      <w:divBdr>
        <w:top w:val="none" w:sz="0" w:space="0" w:color="auto"/>
        <w:left w:val="none" w:sz="0" w:space="0" w:color="auto"/>
        <w:bottom w:val="none" w:sz="0" w:space="0" w:color="auto"/>
        <w:right w:val="none" w:sz="0" w:space="0" w:color="auto"/>
      </w:divBdr>
    </w:div>
    <w:div w:id="1380665952">
      <w:bodyDiv w:val="1"/>
      <w:marLeft w:val="0"/>
      <w:marRight w:val="0"/>
      <w:marTop w:val="0"/>
      <w:marBottom w:val="0"/>
      <w:divBdr>
        <w:top w:val="none" w:sz="0" w:space="0" w:color="auto"/>
        <w:left w:val="none" w:sz="0" w:space="0" w:color="auto"/>
        <w:bottom w:val="none" w:sz="0" w:space="0" w:color="auto"/>
        <w:right w:val="none" w:sz="0" w:space="0" w:color="auto"/>
      </w:divBdr>
    </w:div>
    <w:div w:id="1392534224">
      <w:bodyDiv w:val="1"/>
      <w:marLeft w:val="0"/>
      <w:marRight w:val="0"/>
      <w:marTop w:val="0"/>
      <w:marBottom w:val="0"/>
      <w:divBdr>
        <w:top w:val="none" w:sz="0" w:space="0" w:color="auto"/>
        <w:left w:val="none" w:sz="0" w:space="0" w:color="auto"/>
        <w:bottom w:val="none" w:sz="0" w:space="0" w:color="auto"/>
        <w:right w:val="none" w:sz="0" w:space="0" w:color="auto"/>
      </w:divBdr>
    </w:div>
    <w:div w:id="1401631353">
      <w:bodyDiv w:val="1"/>
      <w:marLeft w:val="0"/>
      <w:marRight w:val="0"/>
      <w:marTop w:val="0"/>
      <w:marBottom w:val="0"/>
      <w:divBdr>
        <w:top w:val="none" w:sz="0" w:space="0" w:color="auto"/>
        <w:left w:val="none" w:sz="0" w:space="0" w:color="auto"/>
        <w:bottom w:val="none" w:sz="0" w:space="0" w:color="auto"/>
        <w:right w:val="none" w:sz="0" w:space="0" w:color="auto"/>
      </w:divBdr>
    </w:div>
    <w:div w:id="1437293422">
      <w:bodyDiv w:val="1"/>
      <w:marLeft w:val="0"/>
      <w:marRight w:val="0"/>
      <w:marTop w:val="0"/>
      <w:marBottom w:val="0"/>
      <w:divBdr>
        <w:top w:val="none" w:sz="0" w:space="0" w:color="auto"/>
        <w:left w:val="none" w:sz="0" w:space="0" w:color="auto"/>
        <w:bottom w:val="none" w:sz="0" w:space="0" w:color="auto"/>
        <w:right w:val="none" w:sz="0" w:space="0" w:color="auto"/>
      </w:divBdr>
    </w:div>
    <w:div w:id="1441224637">
      <w:bodyDiv w:val="1"/>
      <w:marLeft w:val="0"/>
      <w:marRight w:val="0"/>
      <w:marTop w:val="0"/>
      <w:marBottom w:val="0"/>
      <w:divBdr>
        <w:top w:val="none" w:sz="0" w:space="0" w:color="auto"/>
        <w:left w:val="none" w:sz="0" w:space="0" w:color="auto"/>
        <w:bottom w:val="none" w:sz="0" w:space="0" w:color="auto"/>
        <w:right w:val="none" w:sz="0" w:space="0" w:color="auto"/>
      </w:divBdr>
    </w:div>
    <w:div w:id="1445464514">
      <w:bodyDiv w:val="1"/>
      <w:marLeft w:val="0"/>
      <w:marRight w:val="0"/>
      <w:marTop w:val="0"/>
      <w:marBottom w:val="0"/>
      <w:divBdr>
        <w:top w:val="none" w:sz="0" w:space="0" w:color="auto"/>
        <w:left w:val="none" w:sz="0" w:space="0" w:color="auto"/>
        <w:bottom w:val="none" w:sz="0" w:space="0" w:color="auto"/>
        <w:right w:val="none" w:sz="0" w:space="0" w:color="auto"/>
      </w:divBdr>
    </w:div>
    <w:div w:id="1481117815">
      <w:bodyDiv w:val="1"/>
      <w:marLeft w:val="0"/>
      <w:marRight w:val="0"/>
      <w:marTop w:val="0"/>
      <w:marBottom w:val="0"/>
      <w:divBdr>
        <w:top w:val="none" w:sz="0" w:space="0" w:color="auto"/>
        <w:left w:val="none" w:sz="0" w:space="0" w:color="auto"/>
        <w:bottom w:val="none" w:sz="0" w:space="0" w:color="auto"/>
        <w:right w:val="none" w:sz="0" w:space="0" w:color="auto"/>
      </w:divBdr>
    </w:div>
    <w:div w:id="1515069671">
      <w:bodyDiv w:val="1"/>
      <w:marLeft w:val="0"/>
      <w:marRight w:val="0"/>
      <w:marTop w:val="0"/>
      <w:marBottom w:val="0"/>
      <w:divBdr>
        <w:top w:val="none" w:sz="0" w:space="0" w:color="auto"/>
        <w:left w:val="none" w:sz="0" w:space="0" w:color="auto"/>
        <w:bottom w:val="none" w:sz="0" w:space="0" w:color="auto"/>
        <w:right w:val="none" w:sz="0" w:space="0" w:color="auto"/>
      </w:divBdr>
    </w:div>
    <w:div w:id="1519075628">
      <w:bodyDiv w:val="1"/>
      <w:marLeft w:val="0"/>
      <w:marRight w:val="0"/>
      <w:marTop w:val="0"/>
      <w:marBottom w:val="0"/>
      <w:divBdr>
        <w:top w:val="none" w:sz="0" w:space="0" w:color="auto"/>
        <w:left w:val="none" w:sz="0" w:space="0" w:color="auto"/>
        <w:bottom w:val="none" w:sz="0" w:space="0" w:color="auto"/>
        <w:right w:val="none" w:sz="0" w:space="0" w:color="auto"/>
      </w:divBdr>
    </w:div>
    <w:div w:id="1554854177">
      <w:bodyDiv w:val="1"/>
      <w:marLeft w:val="0"/>
      <w:marRight w:val="0"/>
      <w:marTop w:val="0"/>
      <w:marBottom w:val="0"/>
      <w:divBdr>
        <w:top w:val="none" w:sz="0" w:space="0" w:color="auto"/>
        <w:left w:val="none" w:sz="0" w:space="0" w:color="auto"/>
        <w:bottom w:val="none" w:sz="0" w:space="0" w:color="auto"/>
        <w:right w:val="none" w:sz="0" w:space="0" w:color="auto"/>
      </w:divBdr>
    </w:div>
    <w:div w:id="1565678414">
      <w:bodyDiv w:val="1"/>
      <w:marLeft w:val="0"/>
      <w:marRight w:val="0"/>
      <w:marTop w:val="0"/>
      <w:marBottom w:val="0"/>
      <w:divBdr>
        <w:top w:val="none" w:sz="0" w:space="0" w:color="auto"/>
        <w:left w:val="none" w:sz="0" w:space="0" w:color="auto"/>
        <w:bottom w:val="none" w:sz="0" w:space="0" w:color="auto"/>
        <w:right w:val="none" w:sz="0" w:space="0" w:color="auto"/>
      </w:divBdr>
    </w:div>
    <w:div w:id="1650011631">
      <w:bodyDiv w:val="1"/>
      <w:marLeft w:val="0"/>
      <w:marRight w:val="0"/>
      <w:marTop w:val="0"/>
      <w:marBottom w:val="0"/>
      <w:divBdr>
        <w:top w:val="none" w:sz="0" w:space="0" w:color="auto"/>
        <w:left w:val="none" w:sz="0" w:space="0" w:color="auto"/>
        <w:bottom w:val="none" w:sz="0" w:space="0" w:color="auto"/>
        <w:right w:val="none" w:sz="0" w:space="0" w:color="auto"/>
      </w:divBdr>
    </w:div>
    <w:div w:id="1713574206">
      <w:bodyDiv w:val="1"/>
      <w:marLeft w:val="0"/>
      <w:marRight w:val="0"/>
      <w:marTop w:val="0"/>
      <w:marBottom w:val="0"/>
      <w:divBdr>
        <w:top w:val="none" w:sz="0" w:space="0" w:color="auto"/>
        <w:left w:val="none" w:sz="0" w:space="0" w:color="auto"/>
        <w:bottom w:val="none" w:sz="0" w:space="0" w:color="auto"/>
        <w:right w:val="none" w:sz="0" w:space="0" w:color="auto"/>
      </w:divBdr>
    </w:div>
    <w:div w:id="1744257260">
      <w:bodyDiv w:val="1"/>
      <w:marLeft w:val="0"/>
      <w:marRight w:val="0"/>
      <w:marTop w:val="0"/>
      <w:marBottom w:val="0"/>
      <w:divBdr>
        <w:top w:val="none" w:sz="0" w:space="0" w:color="auto"/>
        <w:left w:val="none" w:sz="0" w:space="0" w:color="auto"/>
        <w:bottom w:val="none" w:sz="0" w:space="0" w:color="auto"/>
        <w:right w:val="none" w:sz="0" w:space="0" w:color="auto"/>
      </w:divBdr>
    </w:div>
    <w:div w:id="1747803435">
      <w:bodyDiv w:val="1"/>
      <w:marLeft w:val="0"/>
      <w:marRight w:val="0"/>
      <w:marTop w:val="0"/>
      <w:marBottom w:val="0"/>
      <w:divBdr>
        <w:top w:val="none" w:sz="0" w:space="0" w:color="auto"/>
        <w:left w:val="none" w:sz="0" w:space="0" w:color="auto"/>
        <w:bottom w:val="none" w:sz="0" w:space="0" w:color="auto"/>
        <w:right w:val="none" w:sz="0" w:space="0" w:color="auto"/>
      </w:divBdr>
    </w:div>
    <w:div w:id="1810661049">
      <w:bodyDiv w:val="1"/>
      <w:marLeft w:val="0"/>
      <w:marRight w:val="0"/>
      <w:marTop w:val="0"/>
      <w:marBottom w:val="0"/>
      <w:divBdr>
        <w:top w:val="none" w:sz="0" w:space="0" w:color="auto"/>
        <w:left w:val="none" w:sz="0" w:space="0" w:color="auto"/>
        <w:bottom w:val="none" w:sz="0" w:space="0" w:color="auto"/>
        <w:right w:val="none" w:sz="0" w:space="0" w:color="auto"/>
      </w:divBdr>
    </w:div>
    <w:div w:id="1831215529">
      <w:bodyDiv w:val="1"/>
      <w:marLeft w:val="0"/>
      <w:marRight w:val="0"/>
      <w:marTop w:val="0"/>
      <w:marBottom w:val="0"/>
      <w:divBdr>
        <w:top w:val="none" w:sz="0" w:space="0" w:color="auto"/>
        <w:left w:val="none" w:sz="0" w:space="0" w:color="auto"/>
        <w:bottom w:val="none" w:sz="0" w:space="0" w:color="auto"/>
        <w:right w:val="none" w:sz="0" w:space="0" w:color="auto"/>
      </w:divBdr>
    </w:div>
    <w:div w:id="1858542975">
      <w:bodyDiv w:val="1"/>
      <w:marLeft w:val="0"/>
      <w:marRight w:val="0"/>
      <w:marTop w:val="0"/>
      <w:marBottom w:val="0"/>
      <w:divBdr>
        <w:top w:val="none" w:sz="0" w:space="0" w:color="auto"/>
        <w:left w:val="none" w:sz="0" w:space="0" w:color="auto"/>
        <w:bottom w:val="none" w:sz="0" w:space="0" w:color="auto"/>
        <w:right w:val="none" w:sz="0" w:space="0" w:color="auto"/>
      </w:divBdr>
      <w:divsChild>
        <w:div w:id="1071387852">
          <w:marLeft w:val="0"/>
          <w:marRight w:val="1"/>
          <w:marTop w:val="0"/>
          <w:marBottom w:val="0"/>
          <w:divBdr>
            <w:top w:val="none" w:sz="0" w:space="0" w:color="auto"/>
            <w:left w:val="none" w:sz="0" w:space="0" w:color="auto"/>
            <w:bottom w:val="none" w:sz="0" w:space="0" w:color="auto"/>
            <w:right w:val="none" w:sz="0" w:space="0" w:color="auto"/>
          </w:divBdr>
          <w:divsChild>
            <w:div w:id="1233806665">
              <w:marLeft w:val="0"/>
              <w:marRight w:val="0"/>
              <w:marTop w:val="0"/>
              <w:marBottom w:val="0"/>
              <w:divBdr>
                <w:top w:val="none" w:sz="0" w:space="0" w:color="auto"/>
                <w:left w:val="none" w:sz="0" w:space="0" w:color="auto"/>
                <w:bottom w:val="none" w:sz="0" w:space="0" w:color="auto"/>
                <w:right w:val="none" w:sz="0" w:space="0" w:color="auto"/>
              </w:divBdr>
              <w:divsChild>
                <w:div w:id="994142394">
                  <w:marLeft w:val="0"/>
                  <w:marRight w:val="1"/>
                  <w:marTop w:val="0"/>
                  <w:marBottom w:val="0"/>
                  <w:divBdr>
                    <w:top w:val="none" w:sz="0" w:space="0" w:color="auto"/>
                    <w:left w:val="none" w:sz="0" w:space="0" w:color="auto"/>
                    <w:bottom w:val="none" w:sz="0" w:space="0" w:color="auto"/>
                    <w:right w:val="none" w:sz="0" w:space="0" w:color="auto"/>
                  </w:divBdr>
                  <w:divsChild>
                    <w:div w:id="2013215399">
                      <w:marLeft w:val="0"/>
                      <w:marRight w:val="0"/>
                      <w:marTop w:val="0"/>
                      <w:marBottom w:val="0"/>
                      <w:divBdr>
                        <w:top w:val="none" w:sz="0" w:space="0" w:color="auto"/>
                        <w:left w:val="none" w:sz="0" w:space="0" w:color="auto"/>
                        <w:bottom w:val="none" w:sz="0" w:space="0" w:color="auto"/>
                        <w:right w:val="none" w:sz="0" w:space="0" w:color="auto"/>
                      </w:divBdr>
                      <w:divsChild>
                        <w:div w:id="1198349698">
                          <w:marLeft w:val="0"/>
                          <w:marRight w:val="0"/>
                          <w:marTop w:val="0"/>
                          <w:marBottom w:val="0"/>
                          <w:divBdr>
                            <w:top w:val="none" w:sz="0" w:space="0" w:color="auto"/>
                            <w:left w:val="none" w:sz="0" w:space="0" w:color="auto"/>
                            <w:bottom w:val="none" w:sz="0" w:space="0" w:color="auto"/>
                            <w:right w:val="none" w:sz="0" w:space="0" w:color="auto"/>
                          </w:divBdr>
                          <w:divsChild>
                            <w:div w:id="328487330">
                              <w:marLeft w:val="0"/>
                              <w:marRight w:val="0"/>
                              <w:marTop w:val="120"/>
                              <w:marBottom w:val="360"/>
                              <w:divBdr>
                                <w:top w:val="none" w:sz="0" w:space="0" w:color="auto"/>
                                <w:left w:val="none" w:sz="0" w:space="0" w:color="auto"/>
                                <w:bottom w:val="none" w:sz="0" w:space="0" w:color="auto"/>
                                <w:right w:val="none" w:sz="0" w:space="0" w:color="auto"/>
                              </w:divBdr>
                              <w:divsChild>
                                <w:div w:id="626857985">
                                  <w:marLeft w:val="0"/>
                                  <w:marRight w:val="0"/>
                                  <w:marTop w:val="0"/>
                                  <w:marBottom w:val="0"/>
                                  <w:divBdr>
                                    <w:top w:val="none" w:sz="0" w:space="0" w:color="auto"/>
                                    <w:left w:val="none" w:sz="0" w:space="0" w:color="auto"/>
                                    <w:bottom w:val="none" w:sz="0" w:space="0" w:color="auto"/>
                                    <w:right w:val="none" w:sz="0" w:space="0" w:color="auto"/>
                                  </w:divBdr>
                                </w:div>
                                <w:div w:id="16764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700121">
      <w:bodyDiv w:val="1"/>
      <w:marLeft w:val="0"/>
      <w:marRight w:val="0"/>
      <w:marTop w:val="0"/>
      <w:marBottom w:val="0"/>
      <w:divBdr>
        <w:top w:val="none" w:sz="0" w:space="0" w:color="auto"/>
        <w:left w:val="none" w:sz="0" w:space="0" w:color="auto"/>
        <w:bottom w:val="none" w:sz="0" w:space="0" w:color="auto"/>
        <w:right w:val="none" w:sz="0" w:space="0" w:color="auto"/>
      </w:divBdr>
    </w:div>
    <w:div w:id="1909342786">
      <w:bodyDiv w:val="1"/>
      <w:marLeft w:val="0"/>
      <w:marRight w:val="0"/>
      <w:marTop w:val="0"/>
      <w:marBottom w:val="0"/>
      <w:divBdr>
        <w:top w:val="none" w:sz="0" w:space="0" w:color="auto"/>
        <w:left w:val="none" w:sz="0" w:space="0" w:color="auto"/>
        <w:bottom w:val="none" w:sz="0" w:space="0" w:color="auto"/>
        <w:right w:val="none" w:sz="0" w:space="0" w:color="auto"/>
      </w:divBdr>
    </w:div>
    <w:div w:id="1916743132">
      <w:bodyDiv w:val="1"/>
      <w:marLeft w:val="0"/>
      <w:marRight w:val="0"/>
      <w:marTop w:val="0"/>
      <w:marBottom w:val="0"/>
      <w:divBdr>
        <w:top w:val="none" w:sz="0" w:space="0" w:color="auto"/>
        <w:left w:val="none" w:sz="0" w:space="0" w:color="auto"/>
        <w:bottom w:val="none" w:sz="0" w:space="0" w:color="auto"/>
        <w:right w:val="none" w:sz="0" w:space="0" w:color="auto"/>
      </w:divBdr>
    </w:div>
    <w:div w:id="1921910982">
      <w:bodyDiv w:val="1"/>
      <w:marLeft w:val="0"/>
      <w:marRight w:val="0"/>
      <w:marTop w:val="0"/>
      <w:marBottom w:val="0"/>
      <w:divBdr>
        <w:top w:val="none" w:sz="0" w:space="0" w:color="auto"/>
        <w:left w:val="none" w:sz="0" w:space="0" w:color="auto"/>
        <w:bottom w:val="none" w:sz="0" w:space="0" w:color="auto"/>
        <w:right w:val="none" w:sz="0" w:space="0" w:color="auto"/>
      </w:divBdr>
    </w:div>
    <w:div w:id="1938244543">
      <w:bodyDiv w:val="1"/>
      <w:marLeft w:val="0"/>
      <w:marRight w:val="0"/>
      <w:marTop w:val="0"/>
      <w:marBottom w:val="0"/>
      <w:divBdr>
        <w:top w:val="none" w:sz="0" w:space="0" w:color="auto"/>
        <w:left w:val="none" w:sz="0" w:space="0" w:color="auto"/>
        <w:bottom w:val="none" w:sz="0" w:space="0" w:color="auto"/>
        <w:right w:val="none" w:sz="0" w:space="0" w:color="auto"/>
      </w:divBdr>
    </w:div>
    <w:div w:id="1988120930">
      <w:bodyDiv w:val="1"/>
      <w:marLeft w:val="0"/>
      <w:marRight w:val="0"/>
      <w:marTop w:val="0"/>
      <w:marBottom w:val="0"/>
      <w:divBdr>
        <w:top w:val="none" w:sz="0" w:space="0" w:color="auto"/>
        <w:left w:val="none" w:sz="0" w:space="0" w:color="auto"/>
        <w:bottom w:val="none" w:sz="0" w:space="0" w:color="auto"/>
        <w:right w:val="none" w:sz="0" w:space="0" w:color="auto"/>
      </w:divBdr>
      <w:divsChild>
        <w:div w:id="814100263">
          <w:marLeft w:val="0"/>
          <w:marRight w:val="0"/>
          <w:marTop w:val="0"/>
          <w:marBottom w:val="0"/>
          <w:divBdr>
            <w:top w:val="none" w:sz="0" w:space="0" w:color="auto"/>
            <w:left w:val="none" w:sz="0" w:space="0" w:color="auto"/>
            <w:bottom w:val="none" w:sz="0" w:space="0" w:color="auto"/>
            <w:right w:val="none" w:sz="0" w:space="0" w:color="auto"/>
          </w:divBdr>
          <w:divsChild>
            <w:div w:id="1195539976">
              <w:marLeft w:val="0"/>
              <w:marRight w:val="0"/>
              <w:marTop w:val="0"/>
              <w:marBottom w:val="0"/>
              <w:divBdr>
                <w:top w:val="none" w:sz="0" w:space="0" w:color="auto"/>
                <w:left w:val="none" w:sz="0" w:space="0" w:color="auto"/>
                <w:bottom w:val="none" w:sz="0" w:space="0" w:color="auto"/>
                <w:right w:val="none" w:sz="0" w:space="0" w:color="auto"/>
              </w:divBdr>
              <w:divsChild>
                <w:div w:id="757949385">
                  <w:marLeft w:val="0"/>
                  <w:marRight w:val="0"/>
                  <w:marTop w:val="0"/>
                  <w:marBottom w:val="15"/>
                  <w:divBdr>
                    <w:top w:val="none" w:sz="0" w:space="0" w:color="auto"/>
                    <w:left w:val="none" w:sz="0" w:space="0" w:color="auto"/>
                    <w:bottom w:val="none" w:sz="0" w:space="0" w:color="auto"/>
                    <w:right w:val="none" w:sz="0" w:space="0" w:color="auto"/>
                  </w:divBdr>
                  <w:divsChild>
                    <w:div w:id="1691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74094">
      <w:bodyDiv w:val="1"/>
      <w:marLeft w:val="0"/>
      <w:marRight w:val="0"/>
      <w:marTop w:val="0"/>
      <w:marBottom w:val="0"/>
      <w:divBdr>
        <w:top w:val="none" w:sz="0" w:space="0" w:color="auto"/>
        <w:left w:val="none" w:sz="0" w:space="0" w:color="auto"/>
        <w:bottom w:val="none" w:sz="0" w:space="0" w:color="auto"/>
        <w:right w:val="none" w:sz="0" w:space="0" w:color="auto"/>
      </w:divBdr>
    </w:div>
    <w:div w:id="2029988791">
      <w:bodyDiv w:val="1"/>
      <w:marLeft w:val="0"/>
      <w:marRight w:val="0"/>
      <w:marTop w:val="0"/>
      <w:marBottom w:val="0"/>
      <w:divBdr>
        <w:top w:val="none" w:sz="0" w:space="0" w:color="auto"/>
        <w:left w:val="none" w:sz="0" w:space="0" w:color="auto"/>
        <w:bottom w:val="none" w:sz="0" w:space="0" w:color="auto"/>
        <w:right w:val="none" w:sz="0" w:space="0" w:color="auto"/>
      </w:divBdr>
    </w:div>
    <w:div w:id="2063554718">
      <w:bodyDiv w:val="1"/>
      <w:marLeft w:val="0"/>
      <w:marRight w:val="0"/>
      <w:marTop w:val="0"/>
      <w:marBottom w:val="0"/>
      <w:divBdr>
        <w:top w:val="none" w:sz="0" w:space="0" w:color="auto"/>
        <w:left w:val="none" w:sz="0" w:space="0" w:color="auto"/>
        <w:bottom w:val="none" w:sz="0" w:space="0" w:color="auto"/>
        <w:right w:val="none" w:sz="0" w:space="0" w:color="auto"/>
      </w:divBdr>
    </w:div>
    <w:div w:id="2093424324">
      <w:bodyDiv w:val="1"/>
      <w:marLeft w:val="0"/>
      <w:marRight w:val="0"/>
      <w:marTop w:val="0"/>
      <w:marBottom w:val="0"/>
      <w:divBdr>
        <w:top w:val="none" w:sz="0" w:space="0" w:color="auto"/>
        <w:left w:val="none" w:sz="0" w:space="0" w:color="auto"/>
        <w:bottom w:val="none" w:sz="0" w:space="0" w:color="auto"/>
        <w:right w:val="none" w:sz="0" w:space="0" w:color="auto"/>
      </w:divBdr>
    </w:div>
    <w:div w:id="21097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www.ncbi.nlm.nih.gov/pubmed/?term=Antiretroviral%20Therapy%20Cohort%20Collaboration%5BCorporate%20Author%5D" TargetMode="Externa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PTRRLF61T07F839V\Desktop\PASCALE\PUBBLICAZIONI\review\figure.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Documents%20and%20Settings\PTRRLF61T07F839V\Desktop\PASCALE\PUBBLICAZIONI\review\figure.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Documents%20and%20Settings\PTRRLF61T07F839V\Desktop\PASCALE\PUBBLICAZIONI\review\figure.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Documents%20and%20Settings\PTRRLF61T07F839V\Desktop\PASCALE\PUBBLICAZIONI\review\figur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PTRRLF61T07F839V\Desktop\PASCALE\PUBBLICAZIONI\review\figur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PTRRLF61T07F839V\Desktop\PASCALE\PUBBLICAZIONI\review\figur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PTRRLF61T07F839V\Desktop\PASCALE\PUBBLICAZIONI\review\figur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ocuments%20and%20Settings\PTRRLF61T07F839V\Desktop\PASCALE\PUBBLICAZIONI\review\figure.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Documents%20and%20Settings\PTRRLF61T07F839V\Desktop\PASCALE\PUBBLICAZIONI\review\figure.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Documents%20and%20Settings\PTRRLF61T07F839V\Desktop\PASCALE\PUBBLICAZIONI\review\figure.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Documents%20and%20Settings\PTRRLF61T07F839V\Desktop\PASCALE\PUBBLICAZIONI\review\figur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TRRLF61T07F839V\Desktop\PASCALE\PUBBLICAZIONI\review\fig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cat>
            <c:strRef>
              <c:f>AFRICA!$A$28:$A$61</c:f>
              <c:strCache>
                <c:ptCount val="34"/>
                <c:pt idx="0">
                  <c:v>Burundi</c:v>
                </c:pt>
                <c:pt idx="1">
                  <c:v>CAR</c:v>
                </c:pt>
                <c:pt idx="2">
                  <c:v>DRC</c:v>
                </c:pt>
                <c:pt idx="3">
                  <c:v>Cameroon</c:v>
                </c:pt>
                <c:pt idx="4">
                  <c:v>Chad</c:v>
                </c:pt>
                <c:pt idx="5">
                  <c:v>Congo</c:v>
                </c:pt>
                <c:pt idx="6">
                  <c:v>Eq. Guinea</c:v>
                </c:pt>
                <c:pt idx="7">
                  <c:v>Gabon</c:v>
                </c:pt>
                <c:pt idx="8">
                  <c:v>Rwanda</c:v>
                </c:pt>
                <c:pt idx="9">
                  <c:v>Sudan</c:v>
                </c:pt>
                <c:pt idx="10">
                  <c:v>Uganda</c:v>
                </c:pt>
                <c:pt idx="11">
                  <c:v>Benin</c:v>
                </c:pt>
                <c:pt idx="12">
                  <c:v>Burkina Faso</c:v>
                </c:pt>
                <c:pt idx="13">
                  <c:v>Cote d' Ivoire</c:v>
                </c:pt>
                <c:pt idx="14">
                  <c:v>Gambia</c:v>
                </c:pt>
                <c:pt idx="15">
                  <c:v>Ghana</c:v>
                </c:pt>
                <c:pt idx="16">
                  <c:v>Guinea</c:v>
                </c:pt>
                <c:pt idx="17">
                  <c:v>Mauritania</c:v>
                </c:pt>
                <c:pt idx="18">
                  <c:v>Niger</c:v>
                </c:pt>
                <c:pt idx="19">
                  <c:v>Nigeria</c:v>
                </c:pt>
                <c:pt idx="20">
                  <c:v>Senegal</c:v>
                </c:pt>
                <c:pt idx="21">
                  <c:v>Togo</c:v>
                </c:pt>
                <c:pt idx="22">
                  <c:v>Eritrea</c:v>
                </c:pt>
                <c:pt idx="23">
                  <c:v>Ethiopia</c:v>
                </c:pt>
                <c:pt idx="24">
                  <c:v>Kenya</c:v>
                </c:pt>
                <c:pt idx="25">
                  <c:v>Madagascar</c:v>
                </c:pt>
                <c:pt idx="26">
                  <c:v>Malawi</c:v>
                </c:pt>
                <c:pt idx="27">
                  <c:v>Monzambique</c:v>
                </c:pt>
                <c:pt idx="28">
                  <c:v>Somalia</c:v>
                </c:pt>
                <c:pt idx="29">
                  <c:v>South Africa</c:v>
                </c:pt>
                <c:pt idx="30">
                  <c:v>Swaziland</c:v>
                </c:pt>
                <c:pt idx="31">
                  <c:v>Tanzania</c:v>
                </c:pt>
                <c:pt idx="32">
                  <c:v>Zambia</c:v>
                </c:pt>
                <c:pt idx="33">
                  <c:v>Zimbabwe</c:v>
                </c:pt>
              </c:strCache>
            </c:strRef>
          </c:cat>
          <c:val>
            <c:numRef>
              <c:f>AFRICA!$B$28:$B$61</c:f>
              <c:numCache>
                <c:formatCode>General</c:formatCode>
                <c:ptCount val="34"/>
                <c:pt idx="0">
                  <c:v>11.3</c:v>
                </c:pt>
                <c:pt idx="1">
                  <c:v>2.4</c:v>
                </c:pt>
                <c:pt idx="2">
                  <c:v>5.5</c:v>
                </c:pt>
                <c:pt idx="3">
                  <c:v>13.8</c:v>
                </c:pt>
                <c:pt idx="4">
                  <c:v>4.8</c:v>
                </c:pt>
                <c:pt idx="5">
                  <c:v>5.8</c:v>
                </c:pt>
                <c:pt idx="6">
                  <c:v>1.7000000000000011</c:v>
                </c:pt>
                <c:pt idx="7">
                  <c:v>9.2000000000000011</c:v>
                </c:pt>
                <c:pt idx="8">
                  <c:v>4.0999999999999996</c:v>
                </c:pt>
                <c:pt idx="9">
                  <c:v>2.8</c:v>
                </c:pt>
                <c:pt idx="10">
                  <c:v>6.6</c:v>
                </c:pt>
                <c:pt idx="11">
                  <c:v>1.6</c:v>
                </c:pt>
                <c:pt idx="12">
                  <c:v>4.9000000000000004</c:v>
                </c:pt>
                <c:pt idx="13">
                  <c:v>3.3</c:v>
                </c:pt>
                <c:pt idx="14">
                  <c:v>2.4</c:v>
                </c:pt>
                <c:pt idx="15">
                  <c:v>1.7000000000000011</c:v>
                </c:pt>
                <c:pt idx="16">
                  <c:v>5.5</c:v>
                </c:pt>
                <c:pt idx="17">
                  <c:v>1.1000000000000001</c:v>
                </c:pt>
                <c:pt idx="18">
                  <c:v>1.8</c:v>
                </c:pt>
                <c:pt idx="19">
                  <c:v>2.1</c:v>
                </c:pt>
                <c:pt idx="20">
                  <c:v>2.2000000000000002</c:v>
                </c:pt>
                <c:pt idx="21">
                  <c:v>3.9</c:v>
                </c:pt>
                <c:pt idx="22">
                  <c:v>1.9</c:v>
                </c:pt>
                <c:pt idx="23">
                  <c:v>1.9</c:v>
                </c:pt>
                <c:pt idx="24">
                  <c:v>0.9</c:v>
                </c:pt>
                <c:pt idx="25">
                  <c:v>2.1</c:v>
                </c:pt>
                <c:pt idx="26">
                  <c:v>0.70000000000000062</c:v>
                </c:pt>
                <c:pt idx="27">
                  <c:v>2.8</c:v>
                </c:pt>
                <c:pt idx="28">
                  <c:v>1.5</c:v>
                </c:pt>
                <c:pt idx="29">
                  <c:v>0.1</c:v>
                </c:pt>
                <c:pt idx="30">
                  <c:v>1.5</c:v>
                </c:pt>
                <c:pt idx="31">
                  <c:v>3.2</c:v>
                </c:pt>
                <c:pt idx="32">
                  <c:v>0.2</c:v>
                </c:pt>
                <c:pt idx="33">
                  <c:v>2</c:v>
                </c:pt>
              </c:numCache>
            </c:numRef>
          </c:val>
        </c:ser>
        <c:dLbls>
          <c:showLegendKey val="0"/>
          <c:showVal val="0"/>
          <c:showCatName val="0"/>
          <c:showSerName val="0"/>
          <c:showPercent val="0"/>
          <c:showBubbleSize val="0"/>
        </c:dLbls>
        <c:axId val="655395816"/>
        <c:axId val="655398168"/>
      </c:areaChart>
      <c:catAx>
        <c:axId val="655395816"/>
        <c:scaling>
          <c:orientation val="minMax"/>
        </c:scaling>
        <c:delete val="0"/>
        <c:axPos val="b"/>
        <c:numFmt formatCode="General" sourceLinked="0"/>
        <c:majorTickMark val="none"/>
        <c:minorTickMark val="none"/>
        <c:tickLblPos val="nextTo"/>
        <c:txPr>
          <a:bodyPr/>
          <a:lstStyle/>
          <a:p>
            <a:pPr>
              <a:defRPr lang="zh-CN"/>
            </a:pPr>
            <a:endParaRPr lang="en-US"/>
          </a:p>
        </c:txPr>
        <c:crossAx val="655398168"/>
        <c:crosses val="autoZero"/>
        <c:auto val="1"/>
        <c:lblAlgn val="ctr"/>
        <c:lblOffset val="100"/>
        <c:noMultiLvlLbl val="0"/>
      </c:catAx>
      <c:valAx>
        <c:axId val="655398168"/>
        <c:scaling>
          <c:orientation val="minMax"/>
        </c:scaling>
        <c:delete val="0"/>
        <c:axPos val="l"/>
        <c:numFmt formatCode="General" sourceLinked="1"/>
        <c:majorTickMark val="none"/>
        <c:minorTickMark val="none"/>
        <c:tickLblPos val="nextTo"/>
        <c:txPr>
          <a:bodyPr/>
          <a:lstStyle/>
          <a:p>
            <a:pPr>
              <a:defRPr lang="zh-CN" sz="800"/>
            </a:pPr>
            <a:endParaRPr lang="en-US"/>
          </a:p>
        </c:txPr>
        <c:crossAx val="655395816"/>
        <c:crosses val="autoZero"/>
        <c:crossBetween val="midCat"/>
      </c:valAx>
    </c:plotArea>
    <c:plotVisOnly val="1"/>
    <c:dispBlanksAs val="zero"/>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AUSTRALASIA!$B$1</c:f>
              <c:strCache>
                <c:ptCount val="1"/>
                <c:pt idx="0">
                  <c:v>G1</c:v>
                </c:pt>
              </c:strCache>
            </c:strRef>
          </c:tx>
          <c:spPr>
            <a:solidFill>
              <a:srgbClr val="FF0000"/>
            </a:solidFill>
          </c:spPr>
          <c:invertIfNegative val="0"/>
          <c:cat>
            <c:strRef>
              <c:f>AUSTRALASIA!$A$2:$A$3</c:f>
              <c:strCache>
                <c:ptCount val="2"/>
                <c:pt idx="0">
                  <c:v>AUSTRALIA</c:v>
                </c:pt>
                <c:pt idx="1">
                  <c:v>NEW ZEALAND</c:v>
                </c:pt>
              </c:strCache>
            </c:strRef>
          </c:cat>
          <c:val>
            <c:numRef>
              <c:f>AUSTRALASIA!$B$2:$B$3</c:f>
              <c:numCache>
                <c:formatCode>General</c:formatCode>
                <c:ptCount val="2"/>
                <c:pt idx="0">
                  <c:v>54.5</c:v>
                </c:pt>
                <c:pt idx="1">
                  <c:v>55</c:v>
                </c:pt>
              </c:numCache>
            </c:numRef>
          </c:val>
        </c:ser>
        <c:ser>
          <c:idx val="1"/>
          <c:order val="1"/>
          <c:tx>
            <c:strRef>
              <c:f>AUSTRALASIA!$C$1</c:f>
              <c:strCache>
                <c:ptCount val="1"/>
                <c:pt idx="0">
                  <c:v>G2</c:v>
                </c:pt>
              </c:strCache>
            </c:strRef>
          </c:tx>
          <c:spPr>
            <a:solidFill>
              <a:srgbClr val="00B0F0"/>
            </a:solidFill>
          </c:spPr>
          <c:invertIfNegative val="0"/>
          <c:cat>
            <c:strRef>
              <c:f>AUSTRALASIA!$A$2:$A$3</c:f>
              <c:strCache>
                <c:ptCount val="2"/>
                <c:pt idx="0">
                  <c:v>AUSTRALIA</c:v>
                </c:pt>
                <c:pt idx="1">
                  <c:v>NEW ZEALAND</c:v>
                </c:pt>
              </c:strCache>
            </c:strRef>
          </c:cat>
          <c:val>
            <c:numRef>
              <c:f>AUSTRALASIA!$C$2:$C$3</c:f>
              <c:numCache>
                <c:formatCode>General</c:formatCode>
                <c:ptCount val="2"/>
                <c:pt idx="0">
                  <c:v>5.2</c:v>
                </c:pt>
                <c:pt idx="1">
                  <c:v>8</c:v>
                </c:pt>
              </c:numCache>
            </c:numRef>
          </c:val>
        </c:ser>
        <c:ser>
          <c:idx val="2"/>
          <c:order val="2"/>
          <c:tx>
            <c:strRef>
              <c:f>AUSTRALASIA!$D$1</c:f>
              <c:strCache>
                <c:ptCount val="1"/>
                <c:pt idx="0">
                  <c:v>G3</c:v>
                </c:pt>
              </c:strCache>
            </c:strRef>
          </c:tx>
          <c:spPr>
            <a:solidFill>
              <a:srgbClr val="00B050"/>
            </a:solidFill>
          </c:spPr>
          <c:invertIfNegative val="0"/>
          <c:cat>
            <c:strRef>
              <c:f>AUSTRALASIA!$A$2:$A$3</c:f>
              <c:strCache>
                <c:ptCount val="2"/>
                <c:pt idx="0">
                  <c:v>AUSTRALIA</c:v>
                </c:pt>
                <c:pt idx="1">
                  <c:v>NEW ZEALAND</c:v>
                </c:pt>
              </c:strCache>
            </c:strRef>
          </c:cat>
          <c:val>
            <c:numRef>
              <c:f>AUSTRALASIA!$D$2:$D$3</c:f>
              <c:numCache>
                <c:formatCode>General</c:formatCode>
                <c:ptCount val="2"/>
                <c:pt idx="0">
                  <c:v>36.800000000000004</c:v>
                </c:pt>
                <c:pt idx="1">
                  <c:v>35</c:v>
                </c:pt>
              </c:numCache>
            </c:numRef>
          </c:val>
        </c:ser>
        <c:ser>
          <c:idx val="3"/>
          <c:order val="3"/>
          <c:tx>
            <c:strRef>
              <c:f>AUSTRALASIA!$E$1</c:f>
              <c:strCache>
                <c:ptCount val="1"/>
                <c:pt idx="0">
                  <c:v>G4</c:v>
                </c:pt>
              </c:strCache>
            </c:strRef>
          </c:tx>
          <c:spPr>
            <a:solidFill>
              <a:srgbClr val="FFFF00"/>
            </a:solidFill>
          </c:spPr>
          <c:invertIfNegative val="0"/>
          <c:cat>
            <c:strRef>
              <c:f>AUSTRALASIA!$A$2:$A$3</c:f>
              <c:strCache>
                <c:ptCount val="2"/>
                <c:pt idx="0">
                  <c:v>AUSTRALIA</c:v>
                </c:pt>
                <c:pt idx="1">
                  <c:v>NEW ZEALAND</c:v>
                </c:pt>
              </c:strCache>
            </c:strRef>
          </c:cat>
          <c:val>
            <c:numRef>
              <c:f>AUSTRALASIA!$E$2:$E$3</c:f>
              <c:numCache>
                <c:formatCode>General</c:formatCode>
                <c:ptCount val="2"/>
                <c:pt idx="0">
                  <c:v>1.9000000000000001</c:v>
                </c:pt>
                <c:pt idx="1">
                  <c:v>0.5</c:v>
                </c:pt>
              </c:numCache>
            </c:numRef>
          </c:val>
        </c:ser>
        <c:ser>
          <c:idx val="4"/>
          <c:order val="4"/>
          <c:tx>
            <c:strRef>
              <c:f>AUSTRALASIA!$F$1</c:f>
              <c:strCache>
                <c:ptCount val="1"/>
                <c:pt idx="0">
                  <c:v>G5</c:v>
                </c:pt>
              </c:strCache>
            </c:strRef>
          </c:tx>
          <c:spPr>
            <a:solidFill>
              <a:srgbClr val="FF00FF"/>
            </a:solidFill>
          </c:spPr>
          <c:invertIfNegative val="0"/>
          <c:cat>
            <c:strRef>
              <c:f>AUSTRALASIA!$A$2:$A$3</c:f>
              <c:strCache>
                <c:ptCount val="2"/>
                <c:pt idx="0">
                  <c:v>AUSTRALIA</c:v>
                </c:pt>
                <c:pt idx="1">
                  <c:v>NEW ZEALAND</c:v>
                </c:pt>
              </c:strCache>
            </c:strRef>
          </c:cat>
          <c:val>
            <c:numRef>
              <c:f>AUSTRALASIA!$F$2:$F$3</c:f>
              <c:numCache>
                <c:formatCode>General</c:formatCode>
                <c:ptCount val="2"/>
                <c:pt idx="0">
                  <c:v>0</c:v>
                </c:pt>
                <c:pt idx="1">
                  <c:v>0</c:v>
                </c:pt>
              </c:numCache>
            </c:numRef>
          </c:val>
        </c:ser>
        <c:ser>
          <c:idx val="5"/>
          <c:order val="5"/>
          <c:tx>
            <c:strRef>
              <c:f>AUSTRALASIA!$G$1</c:f>
              <c:strCache>
                <c:ptCount val="1"/>
                <c:pt idx="0">
                  <c:v>G6</c:v>
                </c:pt>
              </c:strCache>
            </c:strRef>
          </c:tx>
          <c:spPr>
            <a:solidFill>
              <a:srgbClr val="0000FF"/>
            </a:solidFill>
          </c:spPr>
          <c:invertIfNegative val="0"/>
          <c:cat>
            <c:strRef>
              <c:f>AUSTRALASIA!$A$2:$A$3</c:f>
              <c:strCache>
                <c:ptCount val="2"/>
                <c:pt idx="0">
                  <c:v>AUSTRALIA</c:v>
                </c:pt>
                <c:pt idx="1">
                  <c:v>NEW ZEALAND</c:v>
                </c:pt>
              </c:strCache>
            </c:strRef>
          </c:cat>
          <c:val>
            <c:numRef>
              <c:f>AUSTRALASIA!$G$2:$G$3</c:f>
              <c:numCache>
                <c:formatCode>General</c:formatCode>
                <c:ptCount val="2"/>
                <c:pt idx="0">
                  <c:v>1.6</c:v>
                </c:pt>
                <c:pt idx="1">
                  <c:v>1</c:v>
                </c:pt>
              </c:numCache>
            </c:numRef>
          </c:val>
        </c:ser>
        <c:ser>
          <c:idx val="6"/>
          <c:order val="6"/>
          <c:tx>
            <c:strRef>
              <c:f>AUSTRALASIA!$H$1</c:f>
              <c:strCache>
                <c:ptCount val="1"/>
                <c:pt idx="0">
                  <c:v>Mixed</c:v>
                </c:pt>
              </c:strCache>
            </c:strRef>
          </c:tx>
          <c:spPr>
            <a:solidFill>
              <a:srgbClr val="C00000"/>
            </a:solidFill>
          </c:spPr>
          <c:invertIfNegative val="0"/>
          <c:cat>
            <c:strRef>
              <c:f>AUSTRALASIA!$A$2:$A$3</c:f>
              <c:strCache>
                <c:ptCount val="2"/>
                <c:pt idx="0">
                  <c:v>AUSTRALIA</c:v>
                </c:pt>
                <c:pt idx="1">
                  <c:v>NEW ZEALAND</c:v>
                </c:pt>
              </c:strCache>
            </c:strRef>
          </c:cat>
          <c:val>
            <c:numRef>
              <c:f>AUSTRALASIA!$H$2:$H$3</c:f>
              <c:numCache>
                <c:formatCode>General</c:formatCode>
                <c:ptCount val="2"/>
                <c:pt idx="0">
                  <c:v>0</c:v>
                </c:pt>
                <c:pt idx="1">
                  <c:v>0</c:v>
                </c:pt>
              </c:numCache>
            </c:numRef>
          </c:val>
        </c:ser>
        <c:dLbls>
          <c:showLegendKey val="0"/>
          <c:showVal val="0"/>
          <c:showCatName val="0"/>
          <c:showSerName val="0"/>
          <c:showPercent val="0"/>
          <c:showBubbleSize val="0"/>
        </c:dLbls>
        <c:gapWidth val="150"/>
        <c:overlap val="100"/>
        <c:axId val="804066192"/>
        <c:axId val="804066584"/>
      </c:barChart>
      <c:catAx>
        <c:axId val="804066192"/>
        <c:scaling>
          <c:orientation val="minMax"/>
        </c:scaling>
        <c:delete val="0"/>
        <c:axPos val="b"/>
        <c:numFmt formatCode="General" sourceLinked="0"/>
        <c:majorTickMark val="out"/>
        <c:minorTickMark val="none"/>
        <c:tickLblPos val="nextTo"/>
        <c:txPr>
          <a:bodyPr/>
          <a:lstStyle/>
          <a:p>
            <a:pPr>
              <a:defRPr lang="zh-CN"/>
            </a:pPr>
            <a:endParaRPr lang="en-US"/>
          </a:p>
        </c:txPr>
        <c:crossAx val="804066584"/>
        <c:crosses val="autoZero"/>
        <c:auto val="1"/>
        <c:lblAlgn val="ctr"/>
        <c:lblOffset val="100"/>
        <c:noMultiLvlLbl val="0"/>
      </c:catAx>
      <c:valAx>
        <c:axId val="804066584"/>
        <c:scaling>
          <c:orientation val="minMax"/>
        </c:scaling>
        <c:delete val="0"/>
        <c:axPos val="l"/>
        <c:numFmt formatCode="General" sourceLinked="1"/>
        <c:majorTickMark val="out"/>
        <c:minorTickMark val="none"/>
        <c:tickLblPos val="nextTo"/>
        <c:txPr>
          <a:bodyPr/>
          <a:lstStyle/>
          <a:p>
            <a:pPr>
              <a:defRPr lang="zh-CN"/>
            </a:pPr>
            <a:endParaRPr lang="en-US"/>
          </a:p>
        </c:txPr>
        <c:crossAx val="804066192"/>
        <c:crosses val="autoZero"/>
        <c:crossBetween val="between"/>
      </c:valAx>
    </c:plotArea>
    <c:legend>
      <c:legendPos val="r"/>
      <c:overlay val="0"/>
      <c:txPr>
        <a:bodyPr/>
        <a:lstStyle/>
        <a:p>
          <a:pPr>
            <a:defRPr lang="zh-CN"/>
          </a:pPr>
          <a:endParaRPr lang="en-US"/>
        </a:p>
      </c:txPr>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cat>
            <c:strRef>
              <c:f>europe!$A$1:$A$31</c:f>
              <c:strCache>
                <c:ptCount val="31"/>
                <c:pt idx="0">
                  <c:v>Bulgaria</c:v>
                </c:pt>
                <c:pt idx="1">
                  <c:v>Czech Rep.</c:v>
                </c:pt>
                <c:pt idx="2">
                  <c:v>Hungary</c:v>
                </c:pt>
                <c:pt idx="3">
                  <c:v>Poland</c:v>
                </c:pt>
                <c:pt idx="4">
                  <c:v>Romania</c:v>
                </c:pt>
                <c:pt idx="5">
                  <c:v>Slovakia</c:v>
                </c:pt>
                <c:pt idx="6">
                  <c:v>Belarus</c:v>
                </c:pt>
                <c:pt idx="7">
                  <c:v>Lithuania</c:v>
                </c:pt>
                <c:pt idx="8">
                  <c:v>Latvia</c:v>
                </c:pt>
                <c:pt idx="9">
                  <c:v>Moldova</c:v>
                </c:pt>
                <c:pt idx="10">
                  <c:v>Russia</c:v>
                </c:pt>
                <c:pt idx="11">
                  <c:v>Ukraine</c:v>
                </c:pt>
                <c:pt idx="12">
                  <c:v>Austria</c:v>
                </c:pt>
                <c:pt idx="13">
                  <c:v>Belgium</c:v>
                </c:pt>
                <c:pt idx="14">
                  <c:v>Cyprus</c:v>
                </c:pt>
                <c:pt idx="15">
                  <c:v>Denmark</c:v>
                </c:pt>
                <c:pt idx="16">
                  <c:v>Germany</c:v>
                </c:pt>
                <c:pt idx="17">
                  <c:v>Finland</c:v>
                </c:pt>
                <c:pt idx="18">
                  <c:v>France</c:v>
                </c:pt>
                <c:pt idx="19">
                  <c:v>Greece</c:v>
                </c:pt>
                <c:pt idx="20">
                  <c:v>Ireland</c:v>
                </c:pt>
                <c:pt idx="21">
                  <c:v>Iceland</c:v>
                </c:pt>
                <c:pt idx="22">
                  <c:v>Italy</c:v>
                </c:pt>
                <c:pt idx="23">
                  <c:v>Luxembroug</c:v>
                </c:pt>
                <c:pt idx="24">
                  <c:v>Netherland</c:v>
                </c:pt>
                <c:pt idx="25">
                  <c:v>Norway</c:v>
                </c:pt>
                <c:pt idx="26">
                  <c:v>Portugal</c:v>
                </c:pt>
                <c:pt idx="27">
                  <c:v>Spain</c:v>
                </c:pt>
                <c:pt idx="28">
                  <c:v>Sweden</c:v>
                </c:pt>
                <c:pt idx="29">
                  <c:v>Switzerland</c:v>
                </c:pt>
                <c:pt idx="30">
                  <c:v>United Kingdom</c:v>
                </c:pt>
              </c:strCache>
            </c:strRef>
          </c:cat>
          <c:val>
            <c:numRef>
              <c:f>europe!$B$1:$B$31</c:f>
              <c:numCache>
                <c:formatCode>General</c:formatCode>
                <c:ptCount val="31"/>
                <c:pt idx="0">
                  <c:v>1.1000000000000001</c:v>
                </c:pt>
                <c:pt idx="1">
                  <c:v>0.70000000000000062</c:v>
                </c:pt>
                <c:pt idx="2">
                  <c:v>0.8</c:v>
                </c:pt>
                <c:pt idx="3">
                  <c:v>0.9</c:v>
                </c:pt>
                <c:pt idx="4">
                  <c:v>3.2</c:v>
                </c:pt>
                <c:pt idx="5">
                  <c:v>1.4</c:v>
                </c:pt>
                <c:pt idx="6">
                  <c:v>1.3</c:v>
                </c:pt>
                <c:pt idx="7">
                  <c:v>2.9</c:v>
                </c:pt>
                <c:pt idx="8">
                  <c:v>2.4</c:v>
                </c:pt>
                <c:pt idx="9">
                  <c:v>4.5</c:v>
                </c:pt>
                <c:pt idx="10">
                  <c:v>4.0999999999999996</c:v>
                </c:pt>
                <c:pt idx="11">
                  <c:v>3.6</c:v>
                </c:pt>
                <c:pt idx="12">
                  <c:v>0.5</c:v>
                </c:pt>
                <c:pt idx="13">
                  <c:v>0.9</c:v>
                </c:pt>
                <c:pt idx="14">
                  <c:v>0.60000000000000064</c:v>
                </c:pt>
                <c:pt idx="15">
                  <c:v>0.70000000000000062</c:v>
                </c:pt>
                <c:pt idx="16">
                  <c:v>0.60000000000000064</c:v>
                </c:pt>
                <c:pt idx="17">
                  <c:v>0.70000000000000062</c:v>
                </c:pt>
                <c:pt idx="18">
                  <c:v>0.60000000000000064</c:v>
                </c:pt>
                <c:pt idx="19">
                  <c:v>1.9000000000000001</c:v>
                </c:pt>
                <c:pt idx="20">
                  <c:v>1.1000000000000001</c:v>
                </c:pt>
                <c:pt idx="21">
                  <c:v>0.4</c:v>
                </c:pt>
                <c:pt idx="22">
                  <c:v>2</c:v>
                </c:pt>
                <c:pt idx="23">
                  <c:v>0.9</c:v>
                </c:pt>
                <c:pt idx="24">
                  <c:v>0.2</c:v>
                </c:pt>
                <c:pt idx="25">
                  <c:v>0.70000000000000062</c:v>
                </c:pt>
                <c:pt idx="26">
                  <c:v>1.8</c:v>
                </c:pt>
                <c:pt idx="27">
                  <c:v>1.7</c:v>
                </c:pt>
                <c:pt idx="28">
                  <c:v>0.70000000000000062</c:v>
                </c:pt>
                <c:pt idx="29">
                  <c:v>1.5</c:v>
                </c:pt>
                <c:pt idx="30">
                  <c:v>0.60000000000000064</c:v>
                </c:pt>
              </c:numCache>
            </c:numRef>
          </c:val>
        </c:ser>
        <c:dLbls>
          <c:showLegendKey val="0"/>
          <c:showVal val="0"/>
          <c:showCatName val="0"/>
          <c:showSerName val="0"/>
          <c:showPercent val="0"/>
          <c:showBubbleSize val="0"/>
        </c:dLbls>
        <c:axId val="804067760"/>
        <c:axId val="804068152"/>
      </c:areaChart>
      <c:catAx>
        <c:axId val="804067760"/>
        <c:scaling>
          <c:orientation val="minMax"/>
        </c:scaling>
        <c:delete val="0"/>
        <c:axPos val="b"/>
        <c:numFmt formatCode="General" sourceLinked="0"/>
        <c:majorTickMark val="out"/>
        <c:minorTickMark val="none"/>
        <c:tickLblPos val="nextTo"/>
        <c:txPr>
          <a:bodyPr/>
          <a:lstStyle/>
          <a:p>
            <a:pPr>
              <a:defRPr lang="zh-CN"/>
            </a:pPr>
            <a:endParaRPr lang="en-US"/>
          </a:p>
        </c:txPr>
        <c:crossAx val="804068152"/>
        <c:crosses val="autoZero"/>
        <c:auto val="1"/>
        <c:lblAlgn val="ctr"/>
        <c:lblOffset val="100"/>
        <c:noMultiLvlLbl val="0"/>
      </c:catAx>
      <c:valAx>
        <c:axId val="804068152"/>
        <c:scaling>
          <c:orientation val="minMax"/>
        </c:scaling>
        <c:delete val="0"/>
        <c:axPos val="l"/>
        <c:numFmt formatCode="General" sourceLinked="1"/>
        <c:majorTickMark val="out"/>
        <c:minorTickMark val="none"/>
        <c:tickLblPos val="nextTo"/>
        <c:txPr>
          <a:bodyPr/>
          <a:lstStyle/>
          <a:p>
            <a:pPr>
              <a:defRPr lang="zh-CN"/>
            </a:pPr>
            <a:endParaRPr lang="en-US"/>
          </a:p>
        </c:txPr>
        <c:crossAx val="804067760"/>
        <c:crosses val="autoZero"/>
        <c:crossBetween val="midCat"/>
      </c:valAx>
      <c:spPr>
        <a:noFill/>
        <a:ln w="25400">
          <a:noFill/>
        </a:ln>
      </c:spPr>
    </c:plotArea>
    <c:plotVisOnly val="1"/>
    <c:dispBlanksAs val="zero"/>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europe!$B$45</c:f>
              <c:strCache>
                <c:ptCount val="1"/>
                <c:pt idx="0">
                  <c:v>G1</c:v>
                </c:pt>
              </c:strCache>
            </c:strRef>
          </c:tx>
          <c:spPr>
            <a:solidFill>
              <a:srgbClr val="FF0000"/>
            </a:solidFill>
          </c:spPr>
          <c:invertIfNegative val="0"/>
          <c:cat>
            <c:strRef>
              <c:f>europe!$A$46:$A$79</c:f>
              <c:strCache>
                <c:ptCount val="34"/>
                <c:pt idx="0">
                  <c:v>Albania</c:v>
                </c:pt>
                <c:pt idx="1">
                  <c:v>Bosnia</c:v>
                </c:pt>
                <c:pt idx="2">
                  <c:v>Czech Rep.</c:v>
                </c:pt>
                <c:pt idx="3">
                  <c:v>Croatia</c:v>
                </c:pt>
                <c:pt idx="4">
                  <c:v>Hungary</c:v>
                </c:pt>
                <c:pt idx="5">
                  <c:v>Macedonia</c:v>
                </c:pt>
                <c:pt idx="6">
                  <c:v>Montenegro</c:v>
                </c:pt>
                <c:pt idx="7">
                  <c:v>Poland</c:v>
                </c:pt>
                <c:pt idx="8">
                  <c:v>Romania</c:v>
                </c:pt>
                <c:pt idx="9">
                  <c:v>Serbia</c:v>
                </c:pt>
                <c:pt idx="10">
                  <c:v>Slovakia</c:v>
                </c:pt>
                <c:pt idx="11">
                  <c:v>Slovenia</c:v>
                </c:pt>
                <c:pt idx="12">
                  <c:v>Belarus</c:v>
                </c:pt>
                <c:pt idx="13">
                  <c:v>Estonia</c:v>
                </c:pt>
                <c:pt idx="14">
                  <c:v>Latvia</c:v>
                </c:pt>
                <c:pt idx="15">
                  <c:v>Lithuania</c:v>
                </c:pt>
                <c:pt idx="16">
                  <c:v>Russia</c:v>
                </c:pt>
                <c:pt idx="17">
                  <c:v>Austria</c:v>
                </c:pt>
                <c:pt idx="18">
                  <c:v>Belgium</c:v>
                </c:pt>
                <c:pt idx="19">
                  <c:v>Denmark</c:v>
                </c:pt>
                <c:pt idx="20">
                  <c:v>Finland</c:v>
                </c:pt>
                <c:pt idx="21">
                  <c:v>France</c:v>
                </c:pt>
                <c:pt idx="22">
                  <c:v>Germany</c:v>
                </c:pt>
                <c:pt idx="23">
                  <c:v>Greece</c:v>
                </c:pt>
                <c:pt idx="24">
                  <c:v>Ireland</c:v>
                </c:pt>
                <c:pt idx="25">
                  <c:v>Italy</c:v>
                </c:pt>
                <c:pt idx="26">
                  <c:v>Luxembroug</c:v>
                </c:pt>
                <c:pt idx="27">
                  <c:v>Netherlands</c:v>
                </c:pt>
                <c:pt idx="28">
                  <c:v>Norway</c:v>
                </c:pt>
                <c:pt idx="29">
                  <c:v>Portugal</c:v>
                </c:pt>
                <c:pt idx="30">
                  <c:v>Spain</c:v>
                </c:pt>
                <c:pt idx="31">
                  <c:v>Sweden</c:v>
                </c:pt>
                <c:pt idx="32">
                  <c:v>Switzerland</c:v>
                </c:pt>
                <c:pt idx="33">
                  <c:v>United Kingdom</c:v>
                </c:pt>
              </c:strCache>
            </c:strRef>
          </c:cat>
          <c:val>
            <c:numRef>
              <c:f>europe!$B$46:$B$79</c:f>
              <c:numCache>
                <c:formatCode>General</c:formatCode>
                <c:ptCount val="34"/>
                <c:pt idx="0">
                  <c:v>56</c:v>
                </c:pt>
                <c:pt idx="1">
                  <c:v>73.3</c:v>
                </c:pt>
                <c:pt idx="2">
                  <c:v>66</c:v>
                </c:pt>
                <c:pt idx="3">
                  <c:v>58.8</c:v>
                </c:pt>
                <c:pt idx="4">
                  <c:v>94.1</c:v>
                </c:pt>
                <c:pt idx="5">
                  <c:v>55.4</c:v>
                </c:pt>
                <c:pt idx="6">
                  <c:v>54.6</c:v>
                </c:pt>
                <c:pt idx="7">
                  <c:v>79.400000000000006</c:v>
                </c:pt>
                <c:pt idx="8">
                  <c:v>98</c:v>
                </c:pt>
                <c:pt idx="9">
                  <c:v>57.9</c:v>
                </c:pt>
                <c:pt idx="10">
                  <c:v>89.9</c:v>
                </c:pt>
                <c:pt idx="11">
                  <c:v>56</c:v>
                </c:pt>
                <c:pt idx="12">
                  <c:v>58.9</c:v>
                </c:pt>
                <c:pt idx="13">
                  <c:v>72</c:v>
                </c:pt>
                <c:pt idx="14">
                  <c:v>89.2</c:v>
                </c:pt>
                <c:pt idx="15">
                  <c:v>64.900000000000006</c:v>
                </c:pt>
                <c:pt idx="16">
                  <c:v>55.7</c:v>
                </c:pt>
                <c:pt idx="17">
                  <c:v>71.900000000000006</c:v>
                </c:pt>
                <c:pt idx="18">
                  <c:v>59</c:v>
                </c:pt>
                <c:pt idx="19">
                  <c:v>46</c:v>
                </c:pt>
                <c:pt idx="20">
                  <c:v>32</c:v>
                </c:pt>
                <c:pt idx="21">
                  <c:v>59.9</c:v>
                </c:pt>
                <c:pt idx="22">
                  <c:v>62.5</c:v>
                </c:pt>
                <c:pt idx="23">
                  <c:v>45.1</c:v>
                </c:pt>
                <c:pt idx="24">
                  <c:v>55</c:v>
                </c:pt>
                <c:pt idx="25">
                  <c:v>64.7</c:v>
                </c:pt>
                <c:pt idx="26">
                  <c:v>55.3</c:v>
                </c:pt>
                <c:pt idx="27">
                  <c:v>49.3</c:v>
                </c:pt>
                <c:pt idx="28">
                  <c:v>58</c:v>
                </c:pt>
                <c:pt idx="29">
                  <c:v>52.2</c:v>
                </c:pt>
                <c:pt idx="30">
                  <c:v>69.3</c:v>
                </c:pt>
                <c:pt idx="31">
                  <c:v>45.2</c:v>
                </c:pt>
                <c:pt idx="32">
                  <c:v>51.8</c:v>
                </c:pt>
                <c:pt idx="33">
                  <c:v>45.1</c:v>
                </c:pt>
              </c:numCache>
            </c:numRef>
          </c:val>
        </c:ser>
        <c:ser>
          <c:idx val="1"/>
          <c:order val="1"/>
          <c:tx>
            <c:strRef>
              <c:f>europe!$C$45</c:f>
              <c:strCache>
                <c:ptCount val="1"/>
                <c:pt idx="0">
                  <c:v>G2</c:v>
                </c:pt>
              </c:strCache>
            </c:strRef>
          </c:tx>
          <c:spPr>
            <a:solidFill>
              <a:srgbClr val="00B0F0"/>
            </a:solidFill>
          </c:spPr>
          <c:invertIfNegative val="0"/>
          <c:cat>
            <c:strRef>
              <c:f>europe!$A$46:$A$79</c:f>
              <c:strCache>
                <c:ptCount val="34"/>
                <c:pt idx="0">
                  <c:v>Albania</c:v>
                </c:pt>
                <c:pt idx="1">
                  <c:v>Bosnia</c:v>
                </c:pt>
                <c:pt idx="2">
                  <c:v>Czech Rep.</c:v>
                </c:pt>
                <c:pt idx="3">
                  <c:v>Croatia</c:v>
                </c:pt>
                <c:pt idx="4">
                  <c:v>Hungary</c:v>
                </c:pt>
                <c:pt idx="5">
                  <c:v>Macedonia</c:v>
                </c:pt>
                <c:pt idx="6">
                  <c:v>Montenegro</c:v>
                </c:pt>
                <c:pt idx="7">
                  <c:v>Poland</c:v>
                </c:pt>
                <c:pt idx="8">
                  <c:v>Romania</c:v>
                </c:pt>
                <c:pt idx="9">
                  <c:v>Serbia</c:v>
                </c:pt>
                <c:pt idx="10">
                  <c:v>Slovakia</c:v>
                </c:pt>
                <c:pt idx="11">
                  <c:v>Slovenia</c:v>
                </c:pt>
                <c:pt idx="12">
                  <c:v>Belarus</c:v>
                </c:pt>
                <c:pt idx="13">
                  <c:v>Estonia</c:v>
                </c:pt>
                <c:pt idx="14">
                  <c:v>Latvia</c:v>
                </c:pt>
                <c:pt idx="15">
                  <c:v>Lithuania</c:v>
                </c:pt>
                <c:pt idx="16">
                  <c:v>Russia</c:v>
                </c:pt>
                <c:pt idx="17">
                  <c:v>Austria</c:v>
                </c:pt>
                <c:pt idx="18">
                  <c:v>Belgium</c:v>
                </c:pt>
                <c:pt idx="19">
                  <c:v>Denmark</c:v>
                </c:pt>
                <c:pt idx="20">
                  <c:v>Finland</c:v>
                </c:pt>
                <c:pt idx="21">
                  <c:v>France</c:v>
                </c:pt>
                <c:pt idx="22">
                  <c:v>Germany</c:v>
                </c:pt>
                <c:pt idx="23">
                  <c:v>Greece</c:v>
                </c:pt>
                <c:pt idx="24">
                  <c:v>Ireland</c:v>
                </c:pt>
                <c:pt idx="25">
                  <c:v>Italy</c:v>
                </c:pt>
                <c:pt idx="26">
                  <c:v>Luxembroug</c:v>
                </c:pt>
                <c:pt idx="27">
                  <c:v>Netherlands</c:v>
                </c:pt>
                <c:pt idx="28">
                  <c:v>Norway</c:v>
                </c:pt>
                <c:pt idx="29">
                  <c:v>Portugal</c:v>
                </c:pt>
                <c:pt idx="30">
                  <c:v>Spain</c:v>
                </c:pt>
                <c:pt idx="31">
                  <c:v>Sweden</c:v>
                </c:pt>
                <c:pt idx="32">
                  <c:v>Switzerland</c:v>
                </c:pt>
                <c:pt idx="33">
                  <c:v>United Kingdom</c:v>
                </c:pt>
              </c:strCache>
            </c:strRef>
          </c:cat>
          <c:val>
            <c:numRef>
              <c:f>europe!$C$46:$C$79</c:f>
              <c:numCache>
                <c:formatCode>General</c:formatCode>
                <c:ptCount val="34"/>
                <c:pt idx="0">
                  <c:v>20</c:v>
                </c:pt>
                <c:pt idx="1">
                  <c:v>4</c:v>
                </c:pt>
                <c:pt idx="2">
                  <c:v>0.5</c:v>
                </c:pt>
                <c:pt idx="3">
                  <c:v>2.2000000000000002</c:v>
                </c:pt>
                <c:pt idx="4">
                  <c:v>0.9</c:v>
                </c:pt>
                <c:pt idx="5">
                  <c:v>0</c:v>
                </c:pt>
                <c:pt idx="6">
                  <c:v>1.1000000000000001</c:v>
                </c:pt>
                <c:pt idx="7">
                  <c:v>0.1</c:v>
                </c:pt>
                <c:pt idx="8">
                  <c:v>0</c:v>
                </c:pt>
                <c:pt idx="9">
                  <c:v>3.7</c:v>
                </c:pt>
                <c:pt idx="10">
                  <c:v>1.5</c:v>
                </c:pt>
                <c:pt idx="11">
                  <c:v>5</c:v>
                </c:pt>
                <c:pt idx="12">
                  <c:v>0</c:v>
                </c:pt>
                <c:pt idx="13">
                  <c:v>3</c:v>
                </c:pt>
                <c:pt idx="14">
                  <c:v>1.5</c:v>
                </c:pt>
                <c:pt idx="15">
                  <c:v>8.7000000000000011</c:v>
                </c:pt>
                <c:pt idx="16">
                  <c:v>8.2000000000000011</c:v>
                </c:pt>
                <c:pt idx="17">
                  <c:v>5</c:v>
                </c:pt>
                <c:pt idx="18">
                  <c:v>6</c:v>
                </c:pt>
                <c:pt idx="19">
                  <c:v>8</c:v>
                </c:pt>
                <c:pt idx="20">
                  <c:v>16</c:v>
                </c:pt>
                <c:pt idx="21">
                  <c:v>9.1</c:v>
                </c:pt>
                <c:pt idx="22">
                  <c:v>6.4</c:v>
                </c:pt>
                <c:pt idx="23">
                  <c:v>7</c:v>
                </c:pt>
                <c:pt idx="24">
                  <c:v>4</c:v>
                </c:pt>
                <c:pt idx="25">
                  <c:v>26</c:v>
                </c:pt>
                <c:pt idx="26">
                  <c:v>4.3</c:v>
                </c:pt>
                <c:pt idx="27">
                  <c:v>9.7000000000000011</c:v>
                </c:pt>
                <c:pt idx="28">
                  <c:v>10.5</c:v>
                </c:pt>
                <c:pt idx="29">
                  <c:v>2.4</c:v>
                </c:pt>
                <c:pt idx="30">
                  <c:v>3.1</c:v>
                </c:pt>
                <c:pt idx="31">
                  <c:v>19.3</c:v>
                </c:pt>
                <c:pt idx="32">
                  <c:v>8.5</c:v>
                </c:pt>
                <c:pt idx="33">
                  <c:v>7.3</c:v>
                </c:pt>
              </c:numCache>
            </c:numRef>
          </c:val>
        </c:ser>
        <c:ser>
          <c:idx val="2"/>
          <c:order val="2"/>
          <c:tx>
            <c:strRef>
              <c:f>europe!$D$45</c:f>
              <c:strCache>
                <c:ptCount val="1"/>
                <c:pt idx="0">
                  <c:v>G3</c:v>
                </c:pt>
              </c:strCache>
            </c:strRef>
          </c:tx>
          <c:spPr>
            <a:solidFill>
              <a:srgbClr val="00B050"/>
            </a:solidFill>
          </c:spPr>
          <c:invertIfNegative val="0"/>
          <c:cat>
            <c:strRef>
              <c:f>europe!$A$46:$A$79</c:f>
              <c:strCache>
                <c:ptCount val="34"/>
                <c:pt idx="0">
                  <c:v>Albania</c:v>
                </c:pt>
                <c:pt idx="1">
                  <c:v>Bosnia</c:v>
                </c:pt>
                <c:pt idx="2">
                  <c:v>Czech Rep.</c:v>
                </c:pt>
                <c:pt idx="3">
                  <c:v>Croatia</c:v>
                </c:pt>
                <c:pt idx="4">
                  <c:v>Hungary</c:v>
                </c:pt>
                <c:pt idx="5">
                  <c:v>Macedonia</c:v>
                </c:pt>
                <c:pt idx="6">
                  <c:v>Montenegro</c:v>
                </c:pt>
                <c:pt idx="7">
                  <c:v>Poland</c:v>
                </c:pt>
                <c:pt idx="8">
                  <c:v>Romania</c:v>
                </c:pt>
                <c:pt idx="9">
                  <c:v>Serbia</c:v>
                </c:pt>
                <c:pt idx="10">
                  <c:v>Slovakia</c:v>
                </c:pt>
                <c:pt idx="11">
                  <c:v>Slovenia</c:v>
                </c:pt>
                <c:pt idx="12">
                  <c:v>Belarus</c:v>
                </c:pt>
                <c:pt idx="13">
                  <c:v>Estonia</c:v>
                </c:pt>
                <c:pt idx="14">
                  <c:v>Latvia</c:v>
                </c:pt>
                <c:pt idx="15">
                  <c:v>Lithuania</c:v>
                </c:pt>
                <c:pt idx="16">
                  <c:v>Russia</c:v>
                </c:pt>
                <c:pt idx="17">
                  <c:v>Austria</c:v>
                </c:pt>
                <c:pt idx="18">
                  <c:v>Belgium</c:v>
                </c:pt>
                <c:pt idx="19">
                  <c:v>Denmark</c:v>
                </c:pt>
                <c:pt idx="20">
                  <c:v>Finland</c:v>
                </c:pt>
                <c:pt idx="21">
                  <c:v>France</c:v>
                </c:pt>
                <c:pt idx="22">
                  <c:v>Germany</c:v>
                </c:pt>
                <c:pt idx="23">
                  <c:v>Greece</c:v>
                </c:pt>
                <c:pt idx="24">
                  <c:v>Ireland</c:v>
                </c:pt>
                <c:pt idx="25">
                  <c:v>Italy</c:v>
                </c:pt>
                <c:pt idx="26">
                  <c:v>Luxembroug</c:v>
                </c:pt>
                <c:pt idx="27">
                  <c:v>Netherlands</c:v>
                </c:pt>
                <c:pt idx="28">
                  <c:v>Norway</c:v>
                </c:pt>
                <c:pt idx="29">
                  <c:v>Portugal</c:v>
                </c:pt>
                <c:pt idx="30">
                  <c:v>Spain</c:v>
                </c:pt>
                <c:pt idx="31">
                  <c:v>Sweden</c:v>
                </c:pt>
                <c:pt idx="32">
                  <c:v>Switzerland</c:v>
                </c:pt>
                <c:pt idx="33">
                  <c:v>United Kingdom</c:v>
                </c:pt>
              </c:strCache>
            </c:strRef>
          </c:cat>
          <c:val>
            <c:numRef>
              <c:f>europe!$D$46:$D$79</c:f>
              <c:numCache>
                <c:formatCode>General</c:formatCode>
                <c:ptCount val="34"/>
                <c:pt idx="0">
                  <c:v>8</c:v>
                </c:pt>
                <c:pt idx="1">
                  <c:v>21.3</c:v>
                </c:pt>
                <c:pt idx="2">
                  <c:v>31.1</c:v>
                </c:pt>
                <c:pt idx="3">
                  <c:v>35.6</c:v>
                </c:pt>
                <c:pt idx="4">
                  <c:v>3.4</c:v>
                </c:pt>
                <c:pt idx="5">
                  <c:v>44.6</c:v>
                </c:pt>
                <c:pt idx="6">
                  <c:v>24.7</c:v>
                </c:pt>
                <c:pt idx="7">
                  <c:v>13.8</c:v>
                </c:pt>
                <c:pt idx="8">
                  <c:v>0.8</c:v>
                </c:pt>
                <c:pt idx="9">
                  <c:v>23.2</c:v>
                </c:pt>
                <c:pt idx="10">
                  <c:v>6.6</c:v>
                </c:pt>
                <c:pt idx="11">
                  <c:v>37.800000000000004</c:v>
                </c:pt>
                <c:pt idx="12">
                  <c:v>38.5</c:v>
                </c:pt>
                <c:pt idx="13">
                  <c:v>24</c:v>
                </c:pt>
                <c:pt idx="14">
                  <c:v>9.2000000000000011</c:v>
                </c:pt>
                <c:pt idx="15">
                  <c:v>26.3</c:v>
                </c:pt>
                <c:pt idx="16">
                  <c:v>35.1</c:v>
                </c:pt>
                <c:pt idx="17">
                  <c:v>19</c:v>
                </c:pt>
                <c:pt idx="18">
                  <c:v>19</c:v>
                </c:pt>
                <c:pt idx="19">
                  <c:v>43</c:v>
                </c:pt>
                <c:pt idx="20">
                  <c:v>46</c:v>
                </c:pt>
                <c:pt idx="21">
                  <c:v>19.7</c:v>
                </c:pt>
                <c:pt idx="22">
                  <c:v>27.4</c:v>
                </c:pt>
                <c:pt idx="23">
                  <c:v>34</c:v>
                </c:pt>
                <c:pt idx="24">
                  <c:v>39</c:v>
                </c:pt>
                <c:pt idx="25">
                  <c:v>3.6</c:v>
                </c:pt>
                <c:pt idx="26">
                  <c:v>33.6</c:v>
                </c:pt>
                <c:pt idx="27">
                  <c:v>29.3</c:v>
                </c:pt>
                <c:pt idx="28">
                  <c:v>28.1</c:v>
                </c:pt>
                <c:pt idx="29">
                  <c:v>34</c:v>
                </c:pt>
                <c:pt idx="30">
                  <c:v>19.600000000000001</c:v>
                </c:pt>
                <c:pt idx="31">
                  <c:v>33.800000000000004</c:v>
                </c:pt>
                <c:pt idx="32">
                  <c:v>29.2</c:v>
                </c:pt>
                <c:pt idx="33">
                  <c:v>43.8</c:v>
                </c:pt>
              </c:numCache>
            </c:numRef>
          </c:val>
        </c:ser>
        <c:ser>
          <c:idx val="3"/>
          <c:order val="3"/>
          <c:tx>
            <c:strRef>
              <c:f>europe!$E$45</c:f>
              <c:strCache>
                <c:ptCount val="1"/>
                <c:pt idx="0">
                  <c:v>G4</c:v>
                </c:pt>
              </c:strCache>
            </c:strRef>
          </c:tx>
          <c:spPr>
            <a:solidFill>
              <a:srgbClr val="FFFF00"/>
            </a:solidFill>
          </c:spPr>
          <c:invertIfNegative val="0"/>
          <c:cat>
            <c:strRef>
              <c:f>europe!$A$46:$A$79</c:f>
              <c:strCache>
                <c:ptCount val="34"/>
                <c:pt idx="0">
                  <c:v>Albania</c:v>
                </c:pt>
                <c:pt idx="1">
                  <c:v>Bosnia</c:v>
                </c:pt>
                <c:pt idx="2">
                  <c:v>Czech Rep.</c:v>
                </c:pt>
                <c:pt idx="3">
                  <c:v>Croatia</c:v>
                </c:pt>
                <c:pt idx="4">
                  <c:v>Hungary</c:v>
                </c:pt>
                <c:pt idx="5">
                  <c:v>Macedonia</c:v>
                </c:pt>
                <c:pt idx="6">
                  <c:v>Montenegro</c:v>
                </c:pt>
                <c:pt idx="7">
                  <c:v>Poland</c:v>
                </c:pt>
                <c:pt idx="8">
                  <c:v>Romania</c:v>
                </c:pt>
                <c:pt idx="9">
                  <c:v>Serbia</c:v>
                </c:pt>
                <c:pt idx="10">
                  <c:v>Slovakia</c:v>
                </c:pt>
                <c:pt idx="11">
                  <c:v>Slovenia</c:v>
                </c:pt>
                <c:pt idx="12">
                  <c:v>Belarus</c:v>
                </c:pt>
                <c:pt idx="13">
                  <c:v>Estonia</c:v>
                </c:pt>
                <c:pt idx="14">
                  <c:v>Latvia</c:v>
                </c:pt>
                <c:pt idx="15">
                  <c:v>Lithuania</c:v>
                </c:pt>
                <c:pt idx="16">
                  <c:v>Russia</c:v>
                </c:pt>
                <c:pt idx="17">
                  <c:v>Austria</c:v>
                </c:pt>
                <c:pt idx="18">
                  <c:v>Belgium</c:v>
                </c:pt>
                <c:pt idx="19">
                  <c:v>Denmark</c:v>
                </c:pt>
                <c:pt idx="20">
                  <c:v>Finland</c:v>
                </c:pt>
                <c:pt idx="21">
                  <c:v>France</c:v>
                </c:pt>
                <c:pt idx="22">
                  <c:v>Germany</c:v>
                </c:pt>
                <c:pt idx="23">
                  <c:v>Greece</c:v>
                </c:pt>
                <c:pt idx="24">
                  <c:v>Ireland</c:v>
                </c:pt>
                <c:pt idx="25">
                  <c:v>Italy</c:v>
                </c:pt>
                <c:pt idx="26">
                  <c:v>Luxembroug</c:v>
                </c:pt>
                <c:pt idx="27">
                  <c:v>Netherlands</c:v>
                </c:pt>
                <c:pt idx="28">
                  <c:v>Norway</c:v>
                </c:pt>
                <c:pt idx="29">
                  <c:v>Portugal</c:v>
                </c:pt>
                <c:pt idx="30">
                  <c:v>Spain</c:v>
                </c:pt>
                <c:pt idx="31">
                  <c:v>Sweden</c:v>
                </c:pt>
                <c:pt idx="32">
                  <c:v>Switzerland</c:v>
                </c:pt>
                <c:pt idx="33">
                  <c:v>United Kingdom</c:v>
                </c:pt>
              </c:strCache>
            </c:strRef>
          </c:cat>
          <c:val>
            <c:numRef>
              <c:f>europe!$E$46:$E$79</c:f>
              <c:numCache>
                <c:formatCode>General</c:formatCode>
                <c:ptCount val="34"/>
                <c:pt idx="0">
                  <c:v>16</c:v>
                </c:pt>
                <c:pt idx="1">
                  <c:v>1.3</c:v>
                </c:pt>
                <c:pt idx="2">
                  <c:v>2.4</c:v>
                </c:pt>
                <c:pt idx="3">
                  <c:v>3.4</c:v>
                </c:pt>
                <c:pt idx="4">
                  <c:v>1.7</c:v>
                </c:pt>
                <c:pt idx="5">
                  <c:v>0</c:v>
                </c:pt>
                <c:pt idx="6">
                  <c:v>19.600000000000001</c:v>
                </c:pt>
                <c:pt idx="7">
                  <c:v>4.9000000000000004</c:v>
                </c:pt>
                <c:pt idx="8">
                  <c:v>1.2</c:v>
                </c:pt>
                <c:pt idx="9">
                  <c:v>6.7</c:v>
                </c:pt>
                <c:pt idx="10">
                  <c:v>0.5</c:v>
                </c:pt>
                <c:pt idx="11">
                  <c:v>1.2</c:v>
                </c:pt>
                <c:pt idx="12">
                  <c:v>2.6</c:v>
                </c:pt>
                <c:pt idx="13">
                  <c:v>0</c:v>
                </c:pt>
                <c:pt idx="14">
                  <c:v>0</c:v>
                </c:pt>
                <c:pt idx="15">
                  <c:v>0</c:v>
                </c:pt>
                <c:pt idx="16">
                  <c:v>0</c:v>
                </c:pt>
                <c:pt idx="17">
                  <c:v>4</c:v>
                </c:pt>
                <c:pt idx="18">
                  <c:v>14</c:v>
                </c:pt>
                <c:pt idx="19">
                  <c:v>3</c:v>
                </c:pt>
                <c:pt idx="20">
                  <c:v>6</c:v>
                </c:pt>
                <c:pt idx="21">
                  <c:v>9.2000000000000011</c:v>
                </c:pt>
                <c:pt idx="22">
                  <c:v>3.3</c:v>
                </c:pt>
                <c:pt idx="23">
                  <c:v>13.9</c:v>
                </c:pt>
                <c:pt idx="24">
                  <c:v>1</c:v>
                </c:pt>
                <c:pt idx="25">
                  <c:v>3.8</c:v>
                </c:pt>
                <c:pt idx="26">
                  <c:v>6.4</c:v>
                </c:pt>
                <c:pt idx="27">
                  <c:v>10.5</c:v>
                </c:pt>
                <c:pt idx="28">
                  <c:v>0</c:v>
                </c:pt>
                <c:pt idx="29">
                  <c:v>7</c:v>
                </c:pt>
                <c:pt idx="30">
                  <c:v>8</c:v>
                </c:pt>
                <c:pt idx="31">
                  <c:v>1.7</c:v>
                </c:pt>
                <c:pt idx="32">
                  <c:v>10.3</c:v>
                </c:pt>
                <c:pt idx="33">
                  <c:v>0</c:v>
                </c:pt>
              </c:numCache>
            </c:numRef>
          </c:val>
        </c:ser>
        <c:ser>
          <c:idx val="4"/>
          <c:order val="4"/>
          <c:tx>
            <c:strRef>
              <c:f>europe!$F$45</c:f>
              <c:strCache>
                <c:ptCount val="1"/>
                <c:pt idx="0">
                  <c:v>G5</c:v>
                </c:pt>
              </c:strCache>
            </c:strRef>
          </c:tx>
          <c:spPr>
            <a:solidFill>
              <a:srgbClr val="FF33CC"/>
            </a:solidFill>
          </c:spPr>
          <c:invertIfNegative val="0"/>
          <c:cat>
            <c:strRef>
              <c:f>europe!$A$46:$A$79</c:f>
              <c:strCache>
                <c:ptCount val="34"/>
                <c:pt idx="0">
                  <c:v>Albania</c:v>
                </c:pt>
                <c:pt idx="1">
                  <c:v>Bosnia</c:v>
                </c:pt>
                <c:pt idx="2">
                  <c:v>Czech Rep.</c:v>
                </c:pt>
                <c:pt idx="3">
                  <c:v>Croatia</c:v>
                </c:pt>
                <c:pt idx="4">
                  <c:v>Hungary</c:v>
                </c:pt>
                <c:pt idx="5">
                  <c:v>Macedonia</c:v>
                </c:pt>
                <c:pt idx="6">
                  <c:v>Montenegro</c:v>
                </c:pt>
                <c:pt idx="7">
                  <c:v>Poland</c:v>
                </c:pt>
                <c:pt idx="8">
                  <c:v>Romania</c:v>
                </c:pt>
                <c:pt idx="9">
                  <c:v>Serbia</c:v>
                </c:pt>
                <c:pt idx="10">
                  <c:v>Slovakia</c:v>
                </c:pt>
                <c:pt idx="11">
                  <c:v>Slovenia</c:v>
                </c:pt>
                <c:pt idx="12">
                  <c:v>Belarus</c:v>
                </c:pt>
                <c:pt idx="13">
                  <c:v>Estonia</c:v>
                </c:pt>
                <c:pt idx="14">
                  <c:v>Latvia</c:v>
                </c:pt>
                <c:pt idx="15">
                  <c:v>Lithuania</c:v>
                </c:pt>
                <c:pt idx="16">
                  <c:v>Russia</c:v>
                </c:pt>
                <c:pt idx="17">
                  <c:v>Austria</c:v>
                </c:pt>
                <c:pt idx="18">
                  <c:v>Belgium</c:v>
                </c:pt>
                <c:pt idx="19">
                  <c:v>Denmark</c:v>
                </c:pt>
                <c:pt idx="20">
                  <c:v>Finland</c:v>
                </c:pt>
                <c:pt idx="21">
                  <c:v>France</c:v>
                </c:pt>
                <c:pt idx="22">
                  <c:v>Germany</c:v>
                </c:pt>
                <c:pt idx="23">
                  <c:v>Greece</c:v>
                </c:pt>
                <c:pt idx="24">
                  <c:v>Ireland</c:v>
                </c:pt>
                <c:pt idx="25">
                  <c:v>Italy</c:v>
                </c:pt>
                <c:pt idx="26">
                  <c:v>Luxembroug</c:v>
                </c:pt>
                <c:pt idx="27">
                  <c:v>Netherlands</c:v>
                </c:pt>
                <c:pt idx="28">
                  <c:v>Norway</c:v>
                </c:pt>
                <c:pt idx="29">
                  <c:v>Portugal</c:v>
                </c:pt>
                <c:pt idx="30">
                  <c:v>Spain</c:v>
                </c:pt>
                <c:pt idx="31">
                  <c:v>Sweden</c:v>
                </c:pt>
                <c:pt idx="32">
                  <c:v>Switzerland</c:v>
                </c:pt>
                <c:pt idx="33">
                  <c:v>United Kingdom</c:v>
                </c:pt>
              </c:strCache>
            </c:strRef>
          </c:cat>
          <c:val>
            <c:numRef>
              <c:f>europe!$F$46:$F$79</c:f>
              <c:numCache>
                <c:formatCode>General</c:formatCode>
                <c:ptCount val="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2</c:v>
                </c:pt>
                <c:pt idx="19">
                  <c:v>0</c:v>
                </c:pt>
                <c:pt idx="20">
                  <c:v>0</c:v>
                </c:pt>
                <c:pt idx="21">
                  <c:v>2</c:v>
                </c:pt>
                <c:pt idx="22">
                  <c:v>0.2</c:v>
                </c:pt>
                <c:pt idx="23">
                  <c:v>0</c:v>
                </c:pt>
                <c:pt idx="24">
                  <c:v>0.1</c:v>
                </c:pt>
                <c:pt idx="25">
                  <c:v>0.30000000000000032</c:v>
                </c:pt>
                <c:pt idx="26">
                  <c:v>0.4</c:v>
                </c:pt>
                <c:pt idx="27">
                  <c:v>0</c:v>
                </c:pt>
                <c:pt idx="28">
                  <c:v>0</c:v>
                </c:pt>
                <c:pt idx="29">
                  <c:v>0</c:v>
                </c:pt>
                <c:pt idx="30">
                  <c:v>0</c:v>
                </c:pt>
                <c:pt idx="31">
                  <c:v>0</c:v>
                </c:pt>
                <c:pt idx="32">
                  <c:v>0.1</c:v>
                </c:pt>
                <c:pt idx="33">
                  <c:v>0</c:v>
                </c:pt>
              </c:numCache>
            </c:numRef>
          </c:val>
        </c:ser>
        <c:ser>
          <c:idx val="5"/>
          <c:order val="5"/>
          <c:tx>
            <c:strRef>
              <c:f>europe!$G$45</c:f>
              <c:strCache>
                <c:ptCount val="1"/>
                <c:pt idx="0">
                  <c:v>G6</c:v>
                </c:pt>
              </c:strCache>
            </c:strRef>
          </c:tx>
          <c:spPr>
            <a:solidFill>
              <a:srgbClr val="0000FF"/>
            </a:solidFill>
          </c:spPr>
          <c:invertIfNegative val="0"/>
          <c:cat>
            <c:strRef>
              <c:f>europe!$A$46:$A$79</c:f>
              <c:strCache>
                <c:ptCount val="34"/>
                <c:pt idx="0">
                  <c:v>Albania</c:v>
                </c:pt>
                <c:pt idx="1">
                  <c:v>Bosnia</c:v>
                </c:pt>
                <c:pt idx="2">
                  <c:v>Czech Rep.</c:v>
                </c:pt>
                <c:pt idx="3">
                  <c:v>Croatia</c:v>
                </c:pt>
                <c:pt idx="4">
                  <c:v>Hungary</c:v>
                </c:pt>
                <c:pt idx="5">
                  <c:v>Macedonia</c:v>
                </c:pt>
                <c:pt idx="6">
                  <c:v>Montenegro</c:v>
                </c:pt>
                <c:pt idx="7">
                  <c:v>Poland</c:v>
                </c:pt>
                <c:pt idx="8">
                  <c:v>Romania</c:v>
                </c:pt>
                <c:pt idx="9">
                  <c:v>Serbia</c:v>
                </c:pt>
                <c:pt idx="10">
                  <c:v>Slovakia</c:v>
                </c:pt>
                <c:pt idx="11">
                  <c:v>Slovenia</c:v>
                </c:pt>
                <c:pt idx="12">
                  <c:v>Belarus</c:v>
                </c:pt>
                <c:pt idx="13">
                  <c:v>Estonia</c:v>
                </c:pt>
                <c:pt idx="14">
                  <c:v>Latvia</c:v>
                </c:pt>
                <c:pt idx="15">
                  <c:v>Lithuania</c:v>
                </c:pt>
                <c:pt idx="16">
                  <c:v>Russia</c:v>
                </c:pt>
                <c:pt idx="17">
                  <c:v>Austria</c:v>
                </c:pt>
                <c:pt idx="18">
                  <c:v>Belgium</c:v>
                </c:pt>
                <c:pt idx="19">
                  <c:v>Denmark</c:v>
                </c:pt>
                <c:pt idx="20">
                  <c:v>Finland</c:v>
                </c:pt>
                <c:pt idx="21">
                  <c:v>France</c:v>
                </c:pt>
                <c:pt idx="22">
                  <c:v>Germany</c:v>
                </c:pt>
                <c:pt idx="23">
                  <c:v>Greece</c:v>
                </c:pt>
                <c:pt idx="24">
                  <c:v>Ireland</c:v>
                </c:pt>
                <c:pt idx="25">
                  <c:v>Italy</c:v>
                </c:pt>
                <c:pt idx="26">
                  <c:v>Luxembroug</c:v>
                </c:pt>
                <c:pt idx="27">
                  <c:v>Netherlands</c:v>
                </c:pt>
                <c:pt idx="28">
                  <c:v>Norway</c:v>
                </c:pt>
                <c:pt idx="29">
                  <c:v>Portugal</c:v>
                </c:pt>
                <c:pt idx="30">
                  <c:v>Spain</c:v>
                </c:pt>
                <c:pt idx="31">
                  <c:v>Sweden</c:v>
                </c:pt>
                <c:pt idx="32">
                  <c:v>Switzerland</c:v>
                </c:pt>
                <c:pt idx="33">
                  <c:v>United Kingdom</c:v>
                </c:pt>
              </c:strCache>
            </c:strRef>
          </c:cat>
          <c:val>
            <c:numRef>
              <c:f>europe!$G$46:$G$79</c:f>
              <c:numCache>
                <c:formatCode>General</c:formatCode>
                <c:ptCount val="34"/>
                <c:pt idx="0">
                  <c:v>0</c:v>
                </c:pt>
                <c:pt idx="1">
                  <c:v>0</c:v>
                </c:pt>
                <c:pt idx="2">
                  <c:v>0</c:v>
                </c:pt>
                <c:pt idx="3">
                  <c:v>0</c:v>
                </c:pt>
                <c:pt idx="4">
                  <c:v>0</c:v>
                </c:pt>
                <c:pt idx="5">
                  <c:v>0</c:v>
                </c:pt>
                <c:pt idx="6">
                  <c:v>0</c:v>
                </c:pt>
                <c:pt idx="7">
                  <c:v>0.1</c:v>
                </c:pt>
                <c:pt idx="8">
                  <c:v>0</c:v>
                </c:pt>
                <c:pt idx="9">
                  <c:v>0</c:v>
                </c:pt>
                <c:pt idx="10">
                  <c:v>0.5</c:v>
                </c:pt>
                <c:pt idx="11">
                  <c:v>0</c:v>
                </c:pt>
                <c:pt idx="12">
                  <c:v>0</c:v>
                </c:pt>
                <c:pt idx="13">
                  <c:v>0</c:v>
                </c:pt>
                <c:pt idx="14">
                  <c:v>0</c:v>
                </c:pt>
                <c:pt idx="15">
                  <c:v>0</c:v>
                </c:pt>
                <c:pt idx="16">
                  <c:v>0</c:v>
                </c:pt>
                <c:pt idx="17">
                  <c:v>0.1</c:v>
                </c:pt>
                <c:pt idx="18">
                  <c:v>0</c:v>
                </c:pt>
                <c:pt idx="19">
                  <c:v>0</c:v>
                </c:pt>
                <c:pt idx="20">
                  <c:v>0</c:v>
                </c:pt>
                <c:pt idx="21">
                  <c:v>0.2</c:v>
                </c:pt>
                <c:pt idx="22">
                  <c:v>0.2</c:v>
                </c:pt>
                <c:pt idx="23">
                  <c:v>0</c:v>
                </c:pt>
                <c:pt idx="24">
                  <c:v>0</c:v>
                </c:pt>
                <c:pt idx="25">
                  <c:v>0</c:v>
                </c:pt>
                <c:pt idx="26">
                  <c:v>0</c:v>
                </c:pt>
                <c:pt idx="27">
                  <c:v>0</c:v>
                </c:pt>
                <c:pt idx="28">
                  <c:v>0</c:v>
                </c:pt>
                <c:pt idx="29">
                  <c:v>0.2</c:v>
                </c:pt>
                <c:pt idx="30">
                  <c:v>0</c:v>
                </c:pt>
                <c:pt idx="31">
                  <c:v>0</c:v>
                </c:pt>
                <c:pt idx="32">
                  <c:v>0.1</c:v>
                </c:pt>
                <c:pt idx="33">
                  <c:v>0</c:v>
                </c:pt>
              </c:numCache>
            </c:numRef>
          </c:val>
        </c:ser>
        <c:ser>
          <c:idx val="6"/>
          <c:order val="6"/>
          <c:tx>
            <c:strRef>
              <c:f>europe!$H$45</c:f>
              <c:strCache>
                <c:ptCount val="1"/>
                <c:pt idx="0">
                  <c:v>Mixed</c:v>
                </c:pt>
              </c:strCache>
            </c:strRef>
          </c:tx>
          <c:spPr>
            <a:solidFill>
              <a:srgbClr val="C00000"/>
            </a:solidFill>
          </c:spPr>
          <c:invertIfNegative val="0"/>
          <c:cat>
            <c:strRef>
              <c:f>europe!$A$46:$A$79</c:f>
              <c:strCache>
                <c:ptCount val="34"/>
                <c:pt idx="0">
                  <c:v>Albania</c:v>
                </c:pt>
                <c:pt idx="1">
                  <c:v>Bosnia</c:v>
                </c:pt>
                <c:pt idx="2">
                  <c:v>Czech Rep.</c:v>
                </c:pt>
                <c:pt idx="3">
                  <c:v>Croatia</c:v>
                </c:pt>
                <c:pt idx="4">
                  <c:v>Hungary</c:v>
                </c:pt>
                <c:pt idx="5">
                  <c:v>Macedonia</c:v>
                </c:pt>
                <c:pt idx="6">
                  <c:v>Montenegro</c:v>
                </c:pt>
                <c:pt idx="7">
                  <c:v>Poland</c:v>
                </c:pt>
                <c:pt idx="8">
                  <c:v>Romania</c:v>
                </c:pt>
                <c:pt idx="9">
                  <c:v>Serbia</c:v>
                </c:pt>
                <c:pt idx="10">
                  <c:v>Slovakia</c:v>
                </c:pt>
                <c:pt idx="11">
                  <c:v>Slovenia</c:v>
                </c:pt>
                <c:pt idx="12">
                  <c:v>Belarus</c:v>
                </c:pt>
                <c:pt idx="13">
                  <c:v>Estonia</c:v>
                </c:pt>
                <c:pt idx="14">
                  <c:v>Latvia</c:v>
                </c:pt>
                <c:pt idx="15">
                  <c:v>Lithuania</c:v>
                </c:pt>
                <c:pt idx="16">
                  <c:v>Russia</c:v>
                </c:pt>
                <c:pt idx="17">
                  <c:v>Austria</c:v>
                </c:pt>
                <c:pt idx="18">
                  <c:v>Belgium</c:v>
                </c:pt>
                <c:pt idx="19">
                  <c:v>Denmark</c:v>
                </c:pt>
                <c:pt idx="20">
                  <c:v>Finland</c:v>
                </c:pt>
                <c:pt idx="21">
                  <c:v>France</c:v>
                </c:pt>
                <c:pt idx="22">
                  <c:v>Germany</c:v>
                </c:pt>
                <c:pt idx="23">
                  <c:v>Greece</c:v>
                </c:pt>
                <c:pt idx="24">
                  <c:v>Ireland</c:v>
                </c:pt>
                <c:pt idx="25">
                  <c:v>Italy</c:v>
                </c:pt>
                <c:pt idx="26">
                  <c:v>Luxembroug</c:v>
                </c:pt>
                <c:pt idx="27">
                  <c:v>Netherlands</c:v>
                </c:pt>
                <c:pt idx="28">
                  <c:v>Norway</c:v>
                </c:pt>
                <c:pt idx="29">
                  <c:v>Portugal</c:v>
                </c:pt>
                <c:pt idx="30">
                  <c:v>Spain</c:v>
                </c:pt>
                <c:pt idx="31">
                  <c:v>Sweden</c:v>
                </c:pt>
                <c:pt idx="32">
                  <c:v>Switzerland</c:v>
                </c:pt>
                <c:pt idx="33">
                  <c:v>United Kingdom</c:v>
                </c:pt>
              </c:strCache>
            </c:strRef>
          </c:cat>
          <c:val>
            <c:numRef>
              <c:f>europe!$H$46:$H$79</c:f>
              <c:numCache>
                <c:formatCode>General</c:formatCode>
                <c:ptCount val="34"/>
                <c:pt idx="0">
                  <c:v>0</c:v>
                </c:pt>
                <c:pt idx="1">
                  <c:v>0</c:v>
                </c:pt>
                <c:pt idx="2">
                  <c:v>0</c:v>
                </c:pt>
                <c:pt idx="3">
                  <c:v>0</c:v>
                </c:pt>
                <c:pt idx="4">
                  <c:v>0</c:v>
                </c:pt>
                <c:pt idx="5">
                  <c:v>0</c:v>
                </c:pt>
                <c:pt idx="6">
                  <c:v>0</c:v>
                </c:pt>
                <c:pt idx="7">
                  <c:v>1.6</c:v>
                </c:pt>
                <c:pt idx="8">
                  <c:v>0</c:v>
                </c:pt>
                <c:pt idx="9">
                  <c:v>8.5</c:v>
                </c:pt>
                <c:pt idx="10">
                  <c:v>1</c:v>
                </c:pt>
                <c:pt idx="11">
                  <c:v>0</c:v>
                </c:pt>
                <c:pt idx="12">
                  <c:v>0</c:v>
                </c:pt>
                <c:pt idx="13">
                  <c:v>1</c:v>
                </c:pt>
                <c:pt idx="14">
                  <c:v>0</c:v>
                </c:pt>
                <c:pt idx="15">
                  <c:v>0</c:v>
                </c:pt>
                <c:pt idx="16">
                  <c:v>1.1000000000000001</c:v>
                </c:pt>
                <c:pt idx="17">
                  <c:v>0</c:v>
                </c:pt>
                <c:pt idx="18">
                  <c:v>0</c:v>
                </c:pt>
                <c:pt idx="19">
                  <c:v>0</c:v>
                </c:pt>
                <c:pt idx="20">
                  <c:v>0</c:v>
                </c:pt>
                <c:pt idx="21">
                  <c:v>0</c:v>
                </c:pt>
                <c:pt idx="22">
                  <c:v>0</c:v>
                </c:pt>
                <c:pt idx="23">
                  <c:v>0</c:v>
                </c:pt>
                <c:pt idx="24">
                  <c:v>1.2</c:v>
                </c:pt>
                <c:pt idx="25">
                  <c:v>1.5</c:v>
                </c:pt>
                <c:pt idx="26">
                  <c:v>0</c:v>
                </c:pt>
                <c:pt idx="27">
                  <c:v>1.1000000000000001</c:v>
                </c:pt>
                <c:pt idx="28">
                  <c:v>3.5</c:v>
                </c:pt>
                <c:pt idx="29">
                  <c:v>4</c:v>
                </c:pt>
                <c:pt idx="30">
                  <c:v>0</c:v>
                </c:pt>
                <c:pt idx="31">
                  <c:v>0</c:v>
                </c:pt>
                <c:pt idx="32">
                  <c:v>0</c:v>
                </c:pt>
                <c:pt idx="33">
                  <c:v>3.8</c:v>
                </c:pt>
              </c:numCache>
            </c:numRef>
          </c:val>
        </c:ser>
        <c:dLbls>
          <c:showLegendKey val="0"/>
          <c:showVal val="0"/>
          <c:showCatName val="0"/>
          <c:showSerName val="0"/>
          <c:showPercent val="0"/>
          <c:showBubbleSize val="0"/>
        </c:dLbls>
        <c:gapWidth val="150"/>
        <c:overlap val="100"/>
        <c:axId val="804068544"/>
        <c:axId val="804068936"/>
      </c:barChart>
      <c:catAx>
        <c:axId val="804068544"/>
        <c:scaling>
          <c:orientation val="minMax"/>
        </c:scaling>
        <c:delete val="0"/>
        <c:axPos val="b"/>
        <c:numFmt formatCode="General" sourceLinked="0"/>
        <c:majorTickMark val="out"/>
        <c:minorTickMark val="none"/>
        <c:tickLblPos val="nextTo"/>
        <c:txPr>
          <a:bodyPr/>
          <a:lstStyle/>
          <a:p>
            <a:pPr>
              <a:defRPr lang="zh-CN"/>
            </a:pPr>
            <a:endParaRPr lang="en-US"/>
          </a:p>
        </c:txPr>
        <c:crossAx val="804068936"/>
        <c:crosses val="autoZero"/>
        <c:auto val="1"/>
        <c:lblAlgn val="ctr"/>
        <c:lblOffset val="100"/>
        <c:noMultiLvlLbl val="0"/>
      </c:catAx>
      <c:valAx>
        <c:axId val="804068936"/>
        <c:scaling>
          <c:orientation val="minMax"/>
        </c:scaling>
        <c:delete val="0"/>
        <c:axPos val="l"/>
        <c:numFmt formatCode="General" sourceLinked="1"/>
        <c:majorTickMark val="out"/>
        <c:minorTickMark val="none"/>
        <c:tickLblPos val="nextTo"/>
        <c:txPr>
          <a:bodyPr/>
          <a:lstStyle/>
          <a:p>
            <a:pPr>
              <a:defRPr lang="zh-CN"/>
            </a:pPr>
            <a:endParaRPr lang="en-US"/>
          </a:p>
        </c:txPr>
        <c:crossAx val="804068544"/>
        <c:crosses val="autoZero"/>
        <c:crossBetween val="between"/>
      </c:valAx>
    </c:plotArea>
    <c:legend>
      <c:legendPos val="r"/>
      <c:legendEntry>
        <c:idx val="6"/>
        <c:txPr>
          <a:bodyPr/>
          <a:lstStyle/>
          <a:p>
            <a:pPr>
              <a:defRPr>
                <a:solidFill>
                  <a:schemeClr val="tx1"/>
                </a:solidFill>
              </a:defRPr>
            </a:pPr>
            <a:endParaRPr lang="en-US"/>
          </a:p>
        </c:txPr>
      </c:legendEntry>
      <c:overlay val="0"/>
      <c:txPr>
        <a:bodyPr/>
        <a:lstStyle/>
        <a:p>
          <a:pPr>
            <a:defRPr lang="zh-CN"/>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AFRICA!$B$1</c:f>
              <c:strCache>
                <c:ptCount val="1"/>
                <c:pt idx="0">
                  <c:v>G1</c:v>
                </c:pt>
              </c:strCache>
            </c:strRef>
          </c:tx>
          <c:spPr>
            <a:solidFill>
              <a:srgbClr val="FF0000"/>
            </a:solidFill>
          </c:spPr>
          <c:invertIfNegative val="0"/>
          <c:cat>
            <c:strRef>
              <c:f>AFRICA!$A$2:$A$14</c:f>
              <c:strCache>
                <c:ptCount val="13"/>
                <c:pt idx="0">
                  <c:v>CAR</c:v>
                </c:pt>
                <c:pt idx="1">
                  <c:v>DRC</c:v>
                </c:pt>
                <c:pt idx="2">
                  <c:v>Gabon</c:v>
                </c:pt>
                <c:pt idx="3">
                  <c:v>Equatorial Guinea</c:v>
                </c:pt>
                <c:pt idx="4">
                  <c:v>Burkina Faso</c:v>
                </c:pt>
                <c:pt idx="5">
                  <c:v>Ghana</c:v>
                </c:pt>
                <c:pt idx="6">
                  <c:v>Gambia</c:v>
                </c:pt>
                <c:pt idx="7">
                  <c:v>Guinea Bissau</c:v>
                </c:pt>
                <c:pt idx="8">
                  <c:v>Nigeria</c:v>
                </c:pt>
                <c:pt idx="9">
                  <c:v>Ethiopia</c:v>
                </c:pt>
                <c:pt idx="10">
                  <c:v>Madagascar</c:v>
                </c:pt>
                <c:pt idx="11">
                  <c:v>Mozambique</c:v>
                </c:pt>
                <c:pt idx="12">
                  <c:v>South Africa</c:v>
                </c:pt>
              </c:strCache>
            </c:strRef>
          </c:cat>
          <c:val>
            <c:numRef>
              <c:f>AFRICA!$B$2:$B$14</c:f>
              <c:numCache>
                <c:formatCode>General</c:formatCode>
                <c:ptCount val="13"/>
                <c:pt idx="0">
                  <c:v>8.6</c:v>
                </c:pt>
                <c:pt idx="1">
                  <c:v>0</c:v>
                </c:pt>
                <c:pt idx="2">
                  <c:v>5.7</c:v>
                </c:pt>
                <c:pt idx="3">
                  <c:v>35</c:v>
                </c:pt>
                <c:pt idx="4">
                  <c:v>12.5</c:v>
                </c:pt>
                <c:pt idx="5">
                  <c:v>8.7000000000000011</c:v>
                </c:pt>
                <c:pt idx="6">
                  <c:v>19.399999999999999</c:v>
                </c:pt>
                <c:pt idx="7">
                  <c:v>1.8</c:v>
                </c:pt>
                <c:pt idx="8">
                  <c:v>85</c:v>
                </c:pt>
                <c:pt idx="9">
                  <c:v>5.6</c:v>
                </c:pt>
                <c:pt idx="10">
                  <c:v>52.9</c:v>
                </c:pt>
                <c:pt idx="11">
                  <c:v>50</c:v>
                </c:pt>
                <c:pt idx="12">
                  <c:v>31.4</c:v>
                </c:pt>
              </c:numCache>
            </c:numRef>
          </c:val>
        </c:ser>
        <c:ser>
          <c:idx val="1"/>
          <c:order val="1"/>
          <c:tx>
            <c:strRef>
              <c:f>AFRICA!$C$1</c:f>
              <c:strCache>
                <c:ptCount val="1"/>
                <c:pt idx="0">
                  <c:v>G2</c:v>
                </c:pt>
              </c:strCache>
            </c:strRef>
          </c:tx>
          <c:spPr>
            <a:solidFill>
              <a:srgbClr val="00B0F0"/>
            </a:solidFill>
          </c:spPr>
          <c:invertIfNegative val="0"/>
          <c:cat>
            <c:strRef>
              <c:f>AFRICA!$A$2:$A$14</c:f>
              <c:strCache>
                <c:ptCount val="13"/>
                <c:pt idx="0">
                  <c:v>CAR</c:v>
                </c:pt>
                <c:pt idx="1">
                  <c:v>DRC</c:v>
                </c:pt>
                <c:pt idx="2">
                  <c:v>Gabon</c:v>
                </c:pt>
                <c:pt idx="3">
                  <c:v>Equatorial Guinea</c:v>
                </c:pt>
                <c:pt idx="4">
                  <c:v>Burkina Faso</c:v>
                </c:pt>
                <c:pt idx="5">
                  <c:v>Ghana</c:v>
                </c:pt>
                <c:pt idx="6">
                  <c:v>Gambia</c:v>
                </c:pt>
                <c:pt idx="7">
                  <c:v>Guinea Bissau</c:v>
                </c:pt>
                <c:pt idx="8">
                  <c:v>Nigeria</c:v>
                </c:pt>
                <c:pt idx="9">
                  <c:v>Ethiopia</c:v>
                </c:pt>
                <c:pt idx="10">
                  <c:v>Madagascar</c:v>
                </c:pt>
                <c:pt idx="11">
                  <c:v>Mozambique</c:v>
                </c:pt>
                <c:pt idx="12">
                  <c:v>South Africa</c:v>
                </c:pt>
              </c:strCache>
            </c:strRef>
          </c:cat>
          <c:val>
            <c:numRef>
              <c:f>AFRICA!$C$2:$C$14</c:f>
              <c:numCache>
                <c:formatCode>General</c:formatCode>
                <c:ptCount val="13"/>
                <c:pt idx="0">
                  <c:v>8.6</c:v>
                </c:pt>
                <c:pt idx="1">
                  <c:v>3.2</c:v>
                </c:pt>
                <c:pt idx="2">
                  <c:v>2.4</c:v>
                </c:pt>
                <c:pt idx="3">
                  <c:v>1.7</c:v>
                </c:pt>
                <c:pt idx="4">
                  <c:v>56.3</c:v>
                </c:pt>
                <c:pt idx="5">
                  <c:v>87</c:v>
                </c:pt>
                <c:pt idx="6">
                  <c:v>58.1</c:v>
                </c:pt>
                <c:pt idx="7">
                  <c:v>98.2</c:v>
                </c:pt>
                <c:pt idx="8">
                  <c:v>15</c:v>
                </c:pt>
                <c:pt idx="9">
                  <c:v>33.300000000000004</c:v>
                </c:pt>
                <c:pt idx="10">
                  <c:v>47.1</c:v>
                </c:pt>
                <c:pt idx="11">
                  <c:v>0</c:v>
                </c:pt>
                <c:pt idx="12">
                  <c:v>1.2</c:v>
                </c:pt>
              </c:numCache>
            </c:numRef>
          </c:val>
        </c:ser>
        <c:ser>
          <c:idx val="2"/>
          <c:order val="2"/>
          <c:tx>
            <c:strRef>
              <c:f>AFRICA!$D$1</c:f>
              <c:strCache>
                <c:ptCount val="1"/>
                <c:pt idx="0">
                  <c:v>G3</c:v>
                </c:pt>
              </c:strCache>
            </c:strRef>
          </c:tx>
          <c:spPr>
            <a:solidFill>
              <a:srgbClr val="00B050"/>
            </a:solidFill>
          </c:spPr>
          <c:invertIfNegative val="0"/>
          <c:cat>
            <c:strRef>
              <c:f>AFRICA!$A$2:$A$14</c:f>
              <c:strCache>
                <c:ptCount val="13"/>
                <c:pt idx="0">
                  <c:v>CAR</c:v>
                </c:pt>
                <c:pt idx="1">
                  <c:v>DRC</c:v>
                </c:pt>
                <c:pt idx="2">
                  <c:v>Gabon</c:v>
                </c:pt>
                <c:pt idx="3">
                  <c:v>Equatorial Guinea</c:v>
                </c:pt>
                <c:pt idx="4">
                  <c:v>Burkina Faso</c:v>
                </c:pt>
                <c:pt idx="5">
                  <c:v>Ghana</c:v>
                </c:pt>
                <c:pt idx="6">
                  <c:v>Gambia</c:v>
                </c:pt>
                <c:pt idx="7">
                  <c:v>Guinea Bissau</c:v>
                </c:pt>
                <c:pt idx="8">
                  <c:v>Nigeria</c:v>
                </c:pt>
                <c:pt idx="9">
                  <c:v>Ethiopia</c:v>
                </c:pt>
                <c:pt idx="10">
                  <c:v>Madagascar</c:v>
                </c:pt>
                <c:pt idx="11">
                  <c:v>Mozambique</c:v>
                </c:pt>
                <c:pt idx="12">
                  <c:v>South Africa</c:v>
                </c:pt>
              </c:strCache>
            </c:strRef>
          </c:cat>
          <c:val>
            <c:numRef>
              <c:f>AFRICA!$D$2:$D$14</c:f>
              <c:numCache>
                <c:formatCode>General</c:formatCode>
                <c:ptCount val="13"/>
                <c:pt idx="0">
                  <c:v>0</c:v>
                </c:pt>
                <c:pt idx="1">
                  <c:v>0</c:v>
                </c:pt>
                <c:pt idx="2">
                  <c:v>0</c:v>
                </c:pt>
                <c:pt idx="3">
                  <c:v>3.3</c:v>
                </c:pt>
                <c:pt idx="4">
                  <c:v>15.6</c:v>
                </c:pt>
                <c:pt idx="5">
                  <c:v>0</c:v>
                </c:pt>
                <c:pt idx="6">
                  <c:v>6.5</c:v>
                </c:pt>
                <c:pt idx="7">
                  <c:v>0</c:v>
                </c:pt>
                <c:pt idx="8">
                  <c:v>0</c:v>
                </c:pt>
                <c:pt idx="9">
                  <c:v>0</c:v>
                </c:pt>
                <c:pt idx="10">
                  <c:v>0</c:v>
                </c:pt>
                <c:pt idx="11">
                  <c:v>22.2</c:v>
                </c:pt>
                <c:pt idx="12">
                  <c:v>12.6</c:v>
                </c:pt>
              </c:numCache>
            </c:numRef>
          </c:val>
        </c:ser>
        <c:ser>
          <c:idx val="3"/>
          <c:order val="3"/>
          <c:tx>
            <c:strRef>
              <c:f>AFRICA!$E$1</c:f>
              <c:strCache>
                <c:ptCount val="1"/>
                <c:pt idx="0">
                  <c:v>G4</c:v>
                </c:pt>
              </c:strCache>
            </c:strRef>
          </c:tx>
          <c:spPr>
            <a:solidFill>
              <a:srgbClr val="FFFF00"/>
            </a:solidFill>
          </c:spPr>
          <c:invertIfNegative val="0"/>
          <c:cat>
            <c:strRef>
              <c:f>AFRICA!$A$2:$A$14</c:f>
              <c:strCache>
                <c:ptCount val="13"/>
                <c:pt idx="0">
                  <c:v>CAR</c:v>
                </c:pt>
                <c:pt idx="1">
                  <c:v>DRC</c:v>
                </c:pt>
                <c:pt idx="2">
                  <c:v>Gabon</c:v>
                </c:pt>
                <c:pt idx="3">
                  <c:v>Equatorial Guinea</c:v>
                </c:pt>
                <c:pt idx="4">
                  <c:v>Burkina Faso</c:v>
                </c:pt>
                <c:pt idx="5">
                  <c:v>Ghana</c:v>
                </c:pt>
                <c:pt idx="6">
                  <c:v>Gambia</c:v>
                </c:pt>
                <c:pt idx="7">
                  <c:v>Guinea Bissau</c:v>
                </c:pt>
                <c:pt idx="8">
                  <c:v>Nigeria</c:v>
                </c:pt>
                <c:pt idx="9">
                  <c:v>Ethiopia</c:v>
                </c:pt>
                <c:pt idx="10">
                  <c:v>Madagascar</c:v>
                </c:pt>
                <c:pt idx="11">
                  <c:v>Mozambique</c:v>
                </c:pt>
                <c:pt idx="12">
                  <c:v>South Africa</c:v>
                </c:pt>
              </c:strCache>
            </c:strRef>
          </c:cat>
          <c:val>
            <c:numRef>
              <c:f>AFRICA!$E$2:$E$14</c:f>
              <c:numCache>
                <c:formatCode>General</c:formatCode>
                <c:ptCount val="13"/>
                <c:pt idx="0">
                  <c:v>82.8</c:v>
                </c:pt>
                <c:pt idx="1">
                  <c:v>96.8</c:v>
                </c:pt>
                <c:pt idx="2">
                  <c:v>91.9</c:v>
                </c:pt>
                <c:pt idx="3">
                  <c:v>60</c:v>
                </c:pt>
                <c:pt idx="4">
                  <c:v>3.1</c:v>
                </c:pt>
                <c:pt idx="5">
                  <c:v>0</c:v>
                </c:pt>
                <c:pt idx="6">
                  <c:v>0</c:v>
                </c:pt>
                <c:pt idx="7">
                  <c:v>0</c:v>
                </c:pt>
                <c:pt idx="8">
                  <c:v>0</c:v>
                </c:pt>
                <c:pt idx="9">
                  <c:v>50</c:v>
                </c:pt>
                <c:pt idx="10">
                  <c:v>0</c:v>
                </c:pt>
                <c:pt idx="11">
                  <c:v>0</c:v>
                </c:pt>
                <c:pt idx="12">
                  <c:v>12.4</c:v>
                </c:pt>
              </c:numCache>
            </c:numRef>
          </c:val>
        </c:ser>
        <c:ser>
          <c:idx val="4"/>
          <c:order val="4"/>
          <c:tx>
            <c:strRef>
              <c:f>AFRICA!$F$1</c:f>
              <c:strCache>
                <c:ptCount val="1"/>
                <c:pt idx="0">
                  <c:v>G5</c:v>
                </c:pt>
              </c:strCache>
            </c:strRef>
          </c:tx>
          <c:spPr>
            <a:solidFill>
              <a:srgbClr val="FF00FF"/>
            </a:solidFill>
          </c:spPr>
          <c:invertIfNegative val="0"/>
          <c:cat>
            <c:strRef>
              <c:f>AFRICA!$A$2:$A$14</c:f>
              <c:strCache>
                <c:ptCount val="13"/>
                <c:pt idx="0">
                  <c:v>CAR</c:v>
                </c:pt>
                <c:pt idx="1">
                  <c:v>DRC</c:v>
                </c:pt>
                <c:pt idx="2">
                  <c:v>Gabon</c:v>
                </c:pt>
                <c:pt idx="3">
                  <c:v>Equatorial Guinea</c:v>
                </c:pt>
                <c:pt idx="4">
                  <c:v>Burkina Faso</c:v>
                </c:pt>
                <c:pt idx="5">
                  <c:v>Ghana</c:v>
                </c:pt>
                <c:pt idx="6">
                  <c:v>Gambia</c:v>
                </c:pt>
                <c:pt idx="7">
                  <c:v>Guinea Bissau</c:v>
                </c:pt>
                <c:pt idx="8">
                  <c:v>Nigeria</c:v>
                </c:pt>
                <c:pt idx="9">
                  <c:v>Ethiopia</c:v>
                </c:pt>
                <c:pt idx="10">
                  <c:v>Madagascar</c:v>
                </c:pt>
                <c:pt idx="11">
                  <c:v>Mozambique</c:v>
                </c:pt>
                <c:pt idx="12">
                  <c:v>South Africa</c:v>
                </c:pt>
              </c:strCache>
            </c:strRef>
          </c:cat>
          <c:val>
            <c:numRef>
              <c:f>AFRICA!$F$2:$F$14</c:f>
              <c:numCache>
                <c:formatCode>General</c:formatCode>
                <c:ptCount val="13"/>
                <c:pt idx="0">
                  <c:v>0</c:v>
                </c:pt>
                <c:pt idx="1">
                  <c:v>0</c:v>
                </c:pt>
                <c:pt idx="2">
                  <c:v>0</c:v>
                </c:pt>
                <c:pt idx="3">
                  <c:v>0</c:v>
                </c:pt>
                <c:pt idx="4">
                  <c:v>0</c:v>
                </c:pt>
                <c:pt idx="5">
                  <c:v>0</c:v>
                </c:pt>
                <c:pt idx="6">
                  <c:v>0</c:v>
                </c:pt>
                <c:pt idx="7">
                  <c:v>0</c:v>
                </c:pt>
                <c:pt idx="8">
                  <c:v>0</c:v>
                </c:pt>
                <c:pt idx="9">
                  <c:v>11.1</c:v>
                </c:pt>
                <c:pt idx="10">
                  <c:v>0</c:v>
                </c:pt>
                <c:pt idx="11">
                  <c:v>27.8</c:v>
                </c:pt>
                <c:pt idx="12">
                  <c:v>35.700000000000003</c:v>
                </c:pt>
              </c:numCache>
            </c:numRef>
          </c:val>
        </c:ser>
        <c:ser>
          <c:idx val="5"/>
          <c:order val="5"/>
          <c:tx>
            <c:strRef>
              <c:f>AFRICA!$G$1</c:f>
              <c:strCache>
                <c:ptCount val="1"/>
                <c:pt idx="0">
                  <c:v>G6</c:v>
                </c:pt>
              </c:strCache>
            </c:strRef>
          </c:tx>
          <c:spPr>
            <a:solidFill>
              <a:schemeClr val="tx2">
                <a:lumMod val="75000"/>
              </a:schemeClr>
            </a:solidFill>
          </c:spPr>
          <c:invertIfNegative val="0"/>
          <c:cat>
            <c:strRef>
              <c:f>AFRICA!$A$2:$A$14</c:f>
              <c:strCache>
                <c:ptCount val="13"/>
                <c:pt idx="0">
                  <c:v>CAR</c:v>
                </c:pt>
                <c:pt idx="1">
                  <c:v>DRC</c:v>
                </c:pt>
                <c:pt idx="2">
                  <c:v>Gabon</c:v>
                </c:pt>
                <c:pt idx="3">
                  <c:v>Equatorial Guinea</c:v>
                </c:pt>
                <c:pt idx="4">
                  <c:v>Burkina Faso</c:v>
                </c:pt>
                <c:pt idx="5">
                  <c:v>Ghana</c:v>
                </c:pt>
                <c:pt idx="6">
                  <c:v>Gambia</c:v>
                </c:pt>
                <c:pt idx="7">
                  <c:v>Guinea Bissau</c:v>
                </c:pt>
                <c:pt idx="8">
                  <c:v>Nigeria</c:v>
                </c:pt>
                <c:pt idx="9">
                  <c:v>Ethiopia</c:v>
                </c:pt>
                <c:pt idx="10">
                  <c:v>Madagascar</c:v>
                </c:pt>
                <c:pt idx="11">
                  <c:v>Mozambique</c:v>
                </c:pt>
                <c:pt idx="12">
                  <c:v>South Africa</c:v>
                </c:pt>
              </c:strCache>
            </c:strRef>
          </c:cat>
          <c:val>
            <c:numRef>
              <c:f>AFRICA!$G$2:$G$14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ser>
          <c:idx val="6"/>
          <c:order val="6"/>
          <c:tx>
            <c:strRef>
              <c:f>AFRICA!$H$1</c:f>
              <c:strCache>
                <c:ptCount val="1"/>
                <c:pt idx="0">
                  <c:v>Mixed</c:v>
                </c:pt>
              </c:strCache>
            </c:strRef>
          </c:tx>
          <c:spPr>
            <a:solidFill>
              <a:srgbClr val="C00000"/>
            </a:solidFill>
          </c:spPr>
          <c:invertIfNegative val="0"/>
          <c:cat>
            <c:strRef>
              <c:f>AFRICA!$A$2:$A$14</c:f>
              <c:strCache>
                <c:ptCount val="13"/>
                <c:pt idx="0">
                  <c:v>CAR</c:v>
                </c:pt>
                <c:pt idx="1">
                  <c:v>DRC</c:v>
                </c:pt>
                <c:pt idx="2">
                  <c:v>Gabon</c:v>
                </c:pt>
                <c:pt idx="3">
                  <c:v>Equatorial Guinea</c:v>
                </c:pt>
                <c:pt idx="4">
                  <c:v>Burkina Faso</c:v>
                </c:pt>
                <c:pt idx="5">
                  <c:v>Ghana</c:v>
                </c:pt>
                <c:pt idx="6">
                  <c:v>Gambia</c:v>
                </c:pt>
                <c:pt idx="7">
                  <c:v>Guinea Bissau</c:v>
                </c:pt>
                <c:pt idx="8">
                  <c:v>Nigeria</c:v>
                </c:pt>
                <c:pt idx="9">
                  <c:v>Ethiopia</c:v>
                </c:pt>
                <c:pt idx="10">
                  <c:v>Madagascar</c:v>
                </c:pt>
                <c:pt idx="11">
                  <c:v>Mozambique</c:v>
                </c:pt>
                <c:pt idx="12">
                  <c:v>South Africa</c:v>
                </c:pt>
              </c:strCache>
            </c:strRef>
          </c:cat>
          <c:val>
            <c:numRef>
              <c:f>AFRICA!$H$2:$H$14</c:f>
              <c:numCache>
                <c:formatCode>General</c:formatCode>
                <c:ptCount val="13"/>
                <c:pt idx="0">
                  <c:v>0</c:v>
                </c:pt>
                <c:pt idx="1">
                  <c:v>0</c:v>
                </c:pt>
                <c:pt idx="2">
                  <c:v>0</c:v>
                </c:pt>
                <c:pt idx="3">
                  <c:v>0</c:v>
                </c:pt>
                <c:pt idx="4">
                  <c:v>12.5</c:v>
                </c:pt>
                <c:pt idx="5">
                  <c:v>4.3</c:v>
                </c:pt>
                <c:pt idx="6">
                  <c:v>16.100000000000001</c:v>
                </c:pt>
                <c:pt idx="7">
                  <c:v>0</c:v>
                </c:pt>
                <c:pt idx="8">
                  <c:v>0</c:v>
                </c:pt>
                <c:pt idx="9">
                  <c:v>0</c:v>
                </c:pt>
                <c:pt idx="10">
                  <c:v>0</c:v>
                </c:pt>
                <c:pt idx="11">
                  <c:v>0</c:v>
                </c:pt>
                <c:pt idx="12">
                  <c:v>6.7</c:v>
                </c:pt>
              </c:numCache>
            </c:numRef>
          </c:val>
        </c:ser>
        <c:dLbls>
          <c:showLegendKey val="0"/>
          <c:showVal val="0"/>
          <c:showCatName val="0"/>
          <c:showSerName val="0"/>
          <c:showPercent val="0"/>
          <c:showBubbleSize val="0"/>
        </c:dLbls>
        <c:gapWidth val="150"/>
        <c:overlap val="100"/>
        <c:axId val="655396992"/>
        <c:axId val="655396600"/>
      </c:barChart>
      <c:catAx>
        <c:axId val="655396992"/>
        <c:scaling>
          <c:orientation val="minMax"/>
        </c:scaling>
        <c:delete val="0"/>
        <c:axPos val="b"/>
        <c:numFmt formatCode="General" sourceLinked="0"/>
        <c:majorTickMark val="out"/>
        <c:minorTickMark val="none"/>
        <c:tickLblPos val="nextTo"/>
        <c:txPr>
          <a:bodyPr/>
          <a:lstStyle/>
          <a:p>
            <a:pPr>
              <a:defRPr lang="zh-CN"/>
            </a:pPr>
            <a:endParaRPr lang="en-US"/>
          </a:p>
        </c:txPr>
        <c:crossAx val="655396600"/>
        <c:crosses val="autoZero"/>
        <c:auto val="1"/>
        <c:lblAlgn val="ctr"/>
        <c:lblOffset val="100"/>
        <c:noMultiLvlLbl val="0"/>
      </c:catAx>
      <c:valAx>
        <c:axId val="655396600"/>
        <c:scaling>
          <c:orientation val="minMax"/>
        </c:scaling>
        <c:delete val="0"/>
        <c:axPos val="l"/>
        <c:numFmt formatCode="General" sourceLinked="1"/>
        <c:majorTickMark val="out"/>
        <c:minorTickMark val="none"/>
        <c:tickLblPos val="nextTo"/>
        <c:txPr>
          <a:bodyPr/>
          <a:lstStyle/>
          <a:p>
            <a:pPr>
              <a:defRPr lang="zh-CN"/>
            </a:pPr>
            <a:endParaRPr lang="en-US"/>
          </a:p>
        </c:txPr>
        <c:crossAx val="655396992"/>
        <c:crosses val="autoZero"/>
        <c:crossBetween val="between"/>
      </c:valAx>
    </c:plotArea>
    <c:legend>
      <c:legendPos val="r"/>
      <c:overlay val="0"/>
      <c:txPr>
        <a:bodyPr/>
        <a:lstStyle/>
        <a:p>
          <a:pPr>
            <a:defRPr lang="zh-CN"/>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cat>
            <c:strRef>
              <c:f>'north africa_middle east'!$A$21:$A$32</c:f>
              <c:strCache>
                <c:ptCount val="12"/>
                <c:pt idx="0">
                  <c:v>Algeria</c:v>
                </c:pt>
                <c:pt idx="1">
                  <c:v>Egypt</c:v>
                </c:pt>
                <c:pt idx="2">
                  <c:v>Iran</c:v>
                </c:pt>
                <c:pt idx="3">
                  <c:v>Iraq</c:v>
                </c:pt>
                <c:pt idx="4">
                  <c:v>Israel</c:v>
                </c:pt>
                <c:pt idx="5">
                  <c:v>Libya</c:v>
                </c:pt>
                <c:pt idx="6">
                  <c:v>Morocco</c:v>
                </c:pt>
                <c:pt idx="7">
                  <c:v>Qatar</c:v>
                </c:pt>
                <c:pt idx="8">
                  <c:v>Saudi Arabia</c:v>
                </c:pt>
                <c:pt idx="9">
                  <c:v>Tunisia</c:v>
                </c:pt>
                <c:pt idx="10">
                  <c:v>Turkey</c:v>
                </c:pt>
                <c:pt idx="11">
                  <c:v>Yemen</c:v>
                </c:pt>
              </c:strCache>
            </c:strRef>
          </c:cat>
          <c:val>
            <c:numRef>
              <c:f>'north africa_middle east'!$B$21:$B$32</c:f>
              <c:numCache>
                <c:formatCode>General</c:formatCode>
                <c:ptCount val="12"/>
                <c:pt idx="0">
                  <c:v>1.4</c:v>
                </c:pt>
                <c:pt idx="1">
                  <c:v>14.7</c:v>
                </c:pt>
                <c:pt idx="2">
                  <c:v>0.5</c:v>
                </c:pt>
                <c:pt idx="3">
                  <c:v>3.2</c:v>
                </c:pt>
                <c:pt idx="4">
                  <c:v>2</c:v>
                </c:pt>
                <c:pt idx="5">
                  <c:v>1.2</c:v>
                </c:pt>
                <c:pt idx="6">
                  <c:v>1.6</c:v>
                </c:pt>
                <c:pt idx="7">
                  <c:v>0.9</c:v>
                </c:pt>
                <c:pt idx="8">
                  <c:v>1.5</c:v>
                </c:pt>
                <c:pt idx="9">
                  <c:v>1.3</c:v>
                </c:pt>
                <c:pt idx="10">
                  <c:v>1</c:v>
                </c:pt>
                <c:pt idx="11">
                  <c:v>2.2000000000000002</c:v>
                </c:pt>
              </c:numCache>
            </c:numRef>
          </c:val>
        </c:ser>
        <c:dLbls>
          <c:showLegendKey val="0"/>
          <c:showVal val="0"/>
          <c:showCatName val="0"/>
          <c:showSerName val="0"/>
          <c:showPercent val="0"/>
          <c:showBubbleSize val="0"/>
        </c:dLbls>
        <c:axId val="655398560"/>
        <c:axId val="655398952"/>
      </c:areaChart>
      <c:catAx>
        <c:axId val="655398560"/>
        <c:scaling>
          <c:orientation val="minMax"/>
        </c:scaling>
        <c:delete val="0"/>
        <c:axPos val="b"/>
        <c:numFmt formatCode="General" sourceLinked="0"/>
        <c:majorTickMark val="out"/>
        <c:minorTickMark val="none"/>
        <c:tickLblPos val="nextTo"/>
        <c:txPr>
          <a:bodyPr/>
          <a:lstStyle/>
          <a:p>
            <a:pPr>
              <a:defRPr lang="zh-CN"/>
            </a:pPr>
            <a:endParaRPr lang="en-US"/>
          </a:p>
        </c:txPr>
        <c:crossAx val="655398952"/>
        <c:crosses val="autoZero"/>
        <c:auto val="1"/>
        <c:lblAlgn val="ctr"/>
        <c:lblOffset val="100"/>
        <c:noMultiLvlLbl val="0"/>
      </c:catAx>
      <c:valAx>
        <c:axId val="655398952"/>
        <c:scaling>
          <c:orientation val="minMax"/>
        </c:scaling>
        <c:delete val="0"/>
        <c:axPos val="l"/>
        <c:numFmt formatCode="General" sourceLinked="1"/>
        <c:majorTickMark val="out"/>
        <c:minorTickMark val="none"/>
        <c:tickLblPos val="nextTo"/>
        <c:txPr>
          <a:bodyPr/>
          <a:lstStyle/>
          <a:p>
            <a:pPr>
              <a:defRPr lang="zh-CN"/>
            </a:pPr>
            <a:endParaRPr lang="en-US"/>
          </a:p>
        </c:txPr>
        <c:crossAx val="655398560"/>
        <c:crosses val="autoZero"/>
        <c:crossBetween val="midCat"/>
      </c:valAx>
    </c:plotArea>
    <c:plotVisOnly val="1"/>
    <c:dispBlanksAs val="zero"/>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'north africa_middle east'!$B$1</c:f>
              <c:strCache>
                <c:ptCount val="1"/>
                <c:pt idx="0">
                  <c:v>G1</c:v>
                </c:pt>
              </c:strCache>
            </c:strRef>
          </c:tx>
          <c:spPr>
            <a:solidFill>
              <a:srgbClr val="FF0000"/>
            </a:solidFill>
          </c:spPr>
          <c:invertIfNegative val="0"/>
          <c:cat>
            <c:strRef>
              <c:f>'north africa_middle east'!$A$2:$A$17</c:f>
              <c:strCache>
                <c:ptCount val="16"/>
                <c:pt idx="0">
                  <c:v>Algeria</c:v>
                </c:pt>
                <c:pt idx="1">
                  <c:v>Egypt</c:v>
                </c:pt>
                <c:pt idx="2">
                  <c:v>Iran</c:v>
                </c:pt>
                <c:pt idx="3">
                  <c:v>Iraq</c:v>
                </c:pt>
                <c:pt idx="4">
                  <c:v>Israel</c:v>
                </c:pt>
                <c:pt idx="5">
                  <c:v>Jordan</c:v>
                </c:pt>
                <c:pt idx="6">
                  <c:v>Kuwait</c:v>
                </c:pt>
                <c:pt idx="7">
                  <c:v>Lebanon</c:v>
                </c:pt>
                <c:pt idx="8">
                  <c:v>Libya</c:v>
                </c:pt>
                <c:pt idx="9">
                  <c:v>Morocco</c:v>
                </c:pt>
                <c:pt idx="10">
                  <c:v>Palestine</c:v>
                </c:pt>
                <c:pt idx="11">
                  <c:v>Saudi Arabia</c:v>
                </c:pt>
                <c:pt idx="12">
                  <c:v>Syria</c:v>
                </c:pt>
                <c:pt idx="13">
                  <c:v>Tunisia</c:v>
                </c:pt>
                <c:pt idx="14">
                  <c:v>Turkey</c:v>
                </c:pt>
                <c:pt idx="15">
                  <c:v>UAE</c:v>
                </c:pt>
              </c:strCache>
            </c:strRef>
          </c:cat>
          <c:val>
            <c:numRef>
              <c:f>'north africa_middle east'!$B$2:$B$17</c:f>
              <c:numCache>
                <c:formatCode>General</c:formatCode>
                <c:ptCount val="16"/>
                <c:pt idx="0">
                  <c:v>69.2</c:v>
                </c:pt>
                <c:pt idx="1">
                  <c:v>6.1</c:v>
                </c:pt>
                <c:pt idx="2">
                  <c:v>53.1</c:v>
                </c:pt>
                <c:pt idx="3">
                  <c:v>14.3</c:v>
                </c:pt>
                <c:pt idx="4">
                  <c:v>69</c:v>
                </c:pt>
                <c:pt idx="5">
                  <c:v>73.3</c:v>
                </c:pt>
                <c:pt idx="6">
                  <c:v>19.399999999999999</c:v>
                </c:pt>
                <c:pt idx="7">
                  <c:v>42.3</c:v>
                </c:pt>
                <c:pt idx="8">
                  <c:v>32.700000000000003</c:v>
                </c:pt>
                <c:pt idx="9">
                  <c:v>75.900000000000006</c:v>
                </c:pt>
                <c:pt idx="10">
                  <c:v>28.3</c:v>
                </c:pt>
                <c:pt idx="11">
                  <c:v>25.9</c:v>
                </c:pt>
                <c:pt idx="12">
                  <c:v>28.5</c:v>
                </c:pt>
                <c:pt idx="13">
                  <c:v>84</c:v>
                </c:pt>
                <c:pt idx="14">
                  <c:v>91.8</c:v>
                </c:pt>
                <c:pt idx="15">
                  <c:v>27</c:v>
                </c:pt>
              </c:numCache>
            </c:numRef>
          </c:val>
        </c:ser>
        <c:ser>
          <c:idx val="1"/>
          <c:order val="1"/>
          <c:tx>
            <c:strRef>
              <c:f>'north africa_middle east'!$C$1</c:f>
              <c:strCache>
                <c:ptCount val="1"/>
                <c:pt idx="0">
                  <c:v>G2</c:v>
                </c:pt>
              </c:strCache>
            </c:strRef>
          </c:tx>
          <c:spPr>
            <a:solidFill>
              <a:srgbClr val="00B0F0"/>
            </a:solidFill>
          </c:spPr>
          <c:invertIfNegative val="0"/>
          <c:cat>
            <c:strRef>
              <c:f>'north africa_middle east'!$A$2:$A$17</c:f>
              <c:strCache>
                <c:ptCount val="16"/>
                <c:pt idx="0">
                  <c:v>Algeria</c:v>
                </c:pt>
                <c:pt idx="1">
                  <c:v>Egypt</c:v>
                </c:pt>
                <c:pt idx="2">
                  <c:v>Iran</c:v>
                </c:pt>
                <c:pt idx="3">
                  <c:v>Iraq</c:v>
                </c:pt>
                <c:pt idx="4">
                  <c:v>Israel</c:v>
                </c:pt>
                <c:pt idx="5">
                  <c:v>Jordan</c:v>
                </c:pt>
                <c:pt idx="6">
                  <c:v>Kuwait</c:v>
                </c:pt>
                <c:pt idx="7">
                  <c:v>Lebanon</c:v>
                </c:pt>
                <c:pt idx="8">
                  <c:v>Libya</c:v>
                </c:pt>
                <c:pt idx="9">
                  <c:v>Morocco</c:v>
                </c:pt>
                <c:pt idx="10">
                  <c:v>Palestine</c:v>
                </c:pt>
                <c:pt idx="11">
                  <c:v>Saudi Arabia</c:v>
                </c:pt>
                <c:pt idx="12">
                  <c:v>Syria</c:v>
                </c:pt>
                <c:pt idx="13">
                  <c:v>Tunisia</c:v>
                </c:pt>
                <c:pt idx="14">
                  <c:v>Turkey</c:v>
                </c:pt>
                <c:pt idx="15">
                  <c:v>UAE</c:v>
                </c:pt>
              </c:strCache>
            </c:strRef>
          </c:cat>
          <c:val>
            <c:numRef>
              <c:f>'north africa_middle east'!$C$2:$C$17</c:f>
              <c:numCache>
                <c:formatCode>General</c:formatCode>
                <c:ptCount val="16"/>
                <c:pt idx="0">
                  <c:v>11.3</c:v>
                </c:pt>
                <c:pt idx="1">
                  <c:v>0</c:v>
                </c:pt>
                <c:pt idx="2">
                  <c:v>1.4</c:v>
                </c:pt>
                <c:pt idx="3">
                  <c:v>0</c:v>
                </c:pt>
                <c:pt idx="4">
                  <c:v>8</c:v>
                </c:pt>
                <c:pt idx="5">
                  <c:v>0</c:v>
                </c:pt>
                <c:pt idx="6">
                  <c:v>0.70000000000000062</c:v>
                </c:pt>
                <c:pt idx="7">
                  <c:v>4.9000000000000004</c:v>
                </c:pt>
                <c:pt idx="8">
                  <c:v>14.9</c:v>
                </c:pt>
                <c:pt idx="9">
                  <c:v>22.7</c:v>
                </c:pt>
                <c:pt idx="10">
                  <c:v>0</c:v>
                </c:pt>
                <c:pt idx="11">
                  <c:v>4.4000000000000004</c:v>
                </c:pt>
                <c:pt idx="12">
                  <c:v>0.8</c:v>
                </c:pt>
                <c:pt idx="13">
                  <c:v>10.1</c:v>
                </c:pt>
                <c:pt idx="14">
                  <c:v>2.2000000000000002</c:v>
                </c:pt>
                <c:pt idx="15">
                  <c:v>3</c:v>
                </c:pt>
              </c:numCache>
            </c:numRef>
          </c:val>
        </c:ser>
        <c:ser>
          <c:idx val="2"/>
          <c:order val="2"/>
          <c:tx>
            <c:strRef>
              <c:f>'north africa_middle east'!$D$1</c:f>
              <c:strCache>
                <c:ptCount val="1"/>
                <c:pt idx="0">
                  <c:v>G3</c:v>
                </c:pt>
              </c:strCache>
            </c:strRef>
          </c:tx>
          <c:spPr>
            <a:solidFill>
              <a:srgbClr val="00B050"/>
            </a:solidFill>
          </c:spPr>
          <c:invertIfNegative val="0"/>
          <c:cat>
            <c:strRef>
              <c:f>'north africa_middle east'!$A$2:$A$17</c:f>
              <c:strCache>
                <c:ptCount val="16"/>
                <c:pt idx="0">
                  <c:v>Algeria</c:v>
                </c:pt>
                <c:pt idx="1">
                  <c:v>Egypt</c:v>
                </c:pt>
                <c:pt idx="2">
                  <c:v>Iran</c:v>
                </c:pt>
                <c:pt idx="3">
                  <c:v>Iraq</c:v>
                </c:pt>
                <c:pt idx="4">
                  <c:v>Israel</c:v>
                </c:pt>
                <c:pt idx="5">
                  <c:v>Jordan</c:v>
                </c:pt>
                <c:pt idx="6">
                  <c:v>Kuwait</c:v>
                </c:pt>
                <c:pt idx="7">
                  <c:v>Lebanon</c:v>
                </c:pt>
                <c:pt idx="8">
                  <c:v>Libya</c:v>
                </c:pt>
                <c:pt idx="9">
                  <c:v>Morocco</c:v>
                </c:pt>
                <c:pt idx="10">
                  <c:v>Palestine</c:v>
                </c:pt>
                <c:pt idx="11">
                  <c:v>Saudi Arabia</c:v>
                </c:pt>
                <c:pt idx="12">
                  <c:v>Syria</c:v>
                </c:pt>
                <c:pt idx="13">
                  <c:v>Tunisia</c:v>
                </c:pt>
                <c:pt idx="14">
                  <c:v>Turkey</c:v>
                </c:pt>
                <c:pt idx="15">
                  <c:v>UAE</c:v>
                </c:pt>
              </c:strCache>
            </c:strRef>
          </c:cat>
          <c:val>
            <c:numRef>
              <c:f>'north africa_middle east'!$D$2:$D$17</c:f>
              <c:numCache>
                <c:formatCode>General</c:formatCode>
                <c:ptCount val="16"/>
                <c:pt idx="0">
                  <c:v>10</c:v>
                </c:pt>
                <c:pt idx="1">
                  <c:v>0.8</c:v>
                </c:pt>
                <c:pt idx="2">
                  <c:v>27.5</c:v>
                </c:pt>
                <c:pt idx="3">
                  <c:v>17.100000000000001</c:v>
                </c:pt>
                <c:pt idx="4">
                  <c:v>20</c:v>
                </c:pt>
                <c:pt idx="5">
                  <c:v>0</c:v>
                </c:pt>
                <c:pt idx="6">
                  <c:v>6.9</c:v>
                </c:pt>
                <c:pt idx="7">
                  <c:v>6.3</c:v>
                </c:pt>
                <c:pt idx="8">
                  <c:v>16.7</c:v>
                </c:pt>
                <c:pt idx="9">
                  <c:v>0</c:v>
                </c:pt>
                <c:pt idx="10">
                  <c:v>0</c:v>
                </c:pt>
                <c:pt idx="11">
                  <c:v>2.9</c:v>
                </c:pt>
                <c:pt idx="12">
                  <c:v>1.8</c:v>
                </c:pt>
                <c:pt idx="13">
                  <c:v>1.4</c:v>
                </c:pt>
                <c:pt idx="14">
                  <c:v>4.9000000000000004</c:v>
                </c:pt>
                <c:pt idx="15">
                  <c:v>23.8</c:v>
                </c:pt>
              </c:numCache>
            </c:numRef>
          </c:val>
        </c:ser>
        <c:ser>
          <c:idx val="3"/>
          <c:order val="3"/>
          <c:tx>
            <c:strRef>
              <c:f>'north africa_middle east'!$E$1</c:f>
              <c:strCache>
                <c:ptCount val="1"/>
                <c:pt idx="0">
                  <c:v>G4</c:v>
                </c:pt>
              </c:strCache>
            </c:strRef>
          </c:tx>
          <c:spPr>
            <a:solidFill>
              <a:srgbClr val="FFFF00"/>
            </a:solidFill>
          </c:spPr>
          <c:invertIfNegative val="0"/>
          <c:cat>
            <c:strRef>
              <c:f>'north africa_middle east'!$A$2:$A$17</c:f>
              <c:strCache>
                <c:ptCount val="16"/>
                <c:pt idx="0">
                  <c:v>Algeria</c:v>
                </c:pt>
                <c:pt idx="1">
                  <c:v>Egypt</c:v>
                </c:pt>
                <c:pt idx="2">
                  <c:v>Iran</c:v>
                </c:pt>
                <c:pt idx="3">
                  <c:v>Iraq</c:v>
                </c:pt>
                <c:pt idx="4">
                  <c:v>Israel</c:v>
                </c:pt>
                <c:pt idx="5">
                  <c:v>Jordan</c:v>
                </c:pt>
                <c:pt idx="6">
                  <c:v>Kuwait</c:v>
                </c:pt>
                <c:pt idx="7">
                  <c:v>Lebanon</c:v>
                </c:pt>
                <c:pt idx="8">
                  <c:v>Libya</c:v>
                </c:pt>
                <c:pt idx="9">
                  <c:v>Morocco</c:v>
                </c:pt>
                <c:pt idx="10">
                  <c:v>Palestine</c:v>
                </c:pt>
                <c:pt idx="11">
                  <c:v>Saudi Arabia</c:v>
                </c:pt>
                <c:pt idx="12">
                  <c:v>Syria</c:v>
                </c:pt>
                <c:pt idx="13">
                  <c:v>Tunisia</c:v>
                </c:pt>
                <c:pt idx="14">
                  <c:v>Turkey</c:v>
                </c:pt>
                <c:pt idx="15">
                  <c:v>UAE</c:v>
                </c:pt>
              </c:strCache>
            </c:strRef>
          </c:cat>
          <c:val>
            <c:numRef>
              <c:f>'north africa_middle east'!$E$2:$E$17</c:f>
              <c:numCache>
                <c:formatCode>General</c:formatCode>
                <c:ptCount val="16"/>
                <c:pt idx="0">
                  <c:v>4.7</c:v>
                </c:pt>
                <c:pt idx="1">
                  <c:v>93.1</c:v>
                </c:pt>
                <c:pt idx="2">
                  <c:v>0.9</c:v>
                </c:pt>
                <c:pt idx="3">
                  <c:v>52.9</c:v>
                </c:pt>
                <c:pt idx="4">
                  <c:v>3</c:v>
                </c:pt>
                <c:pt idx="5">
                  <c:v>26.7</c:v>
                </c:pt>
                <c:pt idx="6">
                  <c:v>54.2</c:v>
                </c:pt>
                <c:pt idx="7">
                  <c:v>45.8</c:v>
                </c:pt>
                <c:pt idx="8">
                  <c:v>35.700000000000003</c:v>
                </c:pt>
                <c:pt idx="9">
                  <c:v>0.70000000000000062</c:v>
                </c:pt>
                <c:pt idx="10">
                  <c:v>64.099999999999994</c:v>
                </c:pt>
                <c:pt idx="11">
                  <c:v>60</c:v>
                </c:pt>
                <c:pt idx="12">
                  <c:v>59</c:v>
                </c:pt>
                <c:pt idx="13">
                  <c:v>0</c:v>
                </c:pt>
                <c:pt idx="14">
                  <c:v>1.1000000000000001</c:v>
                </c:pt>
                <c:pt idx="15">
                  <c:v>46.2</c:v>
                </c:pt>
              </c:numCache>
            </c:numRef>
          </c:val>
        </c:ser>
        <c:ser>
          <c:idx val="4"/>
          <c:order val="4"/>
          <c:tx>
            <c:strRef>
              <c:f>'north africa_middle east'!$F$1</c:f>
              <c:strCache>
                <c:ptCount val="1"/>
                <c:pt idx="0">
                  <c:v>G5</c:v>
                </c:pt>
              </c:strCache>
            </c:strRef>
          </c:tx>
          <c:spPr>
            <a:solidFill>
              <a:srgbClr val="FF00FF"/>
            </a:solidFill>
          </c:spPr>
          <c:invertIfNegative val="0"/>
          <c:cat>
            <c:strRef>
              <c:f>'north africa_middle east'!$A$2:$A$17</c:f>
              <c:strCache>
                <c:ptCount val="16"/>
                <c:pt idx="0">
                  <c:v>Algeria</c:v>
                </c:pt>
                <c:pt idx="1">
                  <c:v>Egypt</c:v>
                </c:pt>
                <c:pt idx="2">
                  <c:v>Iran</c:v>
                </c:pt>
                <c:pt idx="3">
                  <c:v>Iraq</c:v>
                </c:pt>
                <c:pt idx="4">
                  <c:v>Israel</c:v>
                </c:pt>
                <c:pt idx="5">
                  <c:v>Jordan</c:v>
                </c:pt>
                <c:pt idx="6">
                  <c:v>Kuwait</c:v>
                </c:pt>
                <c:pt idx="7">
                  <c:v>Lebanon</c:v>
                </c:pt>
                <c:pt idx="8">
                  <c:v>Libya</c:v>
                </c:pt>
                <c:pt idx="9">
                  <c:v>Morocco</c:v>
                </c:pt>
                <c:pt idx="10">
                  <c:v>Palestine</c:v>
                </c:pt>
                <c:pt idx="11">
                  <c:v>Saudi Arabia</c:v>
                </c:pt>
                <c:pt idx="12">
                  <c:v>Syria</c:v>
                </c:pt>
                <c:pt idx="13">
                  <c:v>Tunisia</c:v>
                </c:pt>
                <c:pt idx="14">
                  <c:v>Turkey</c:v>
                </c:pt>
                <c:pt idx="15">
                  <c:v>UAE</c:v>
                </c:pt>
              </c:strCache>
            </c:strRef>
          </c:cat>
          <c:val>
            <c:numRef>
              <c:f>'north africa_middle east'!$F$2:$F$17</c:f>
              <c:numCache>
                <c:formatCode>General</c:formatCode>
                <c:ptCount val="16"/>
                <c:pt idx="0">
                  <c:v>0.9</c:v>
                </c:pt>
                <c:pt idx="1">
                  <c:v>0</c:v>
                </c:pt>
                <c:pt idx="2">
                  <c:v>0</c:v>
                </c:pt>
                <c:pt idx="3">
                  <c:v>0</c:v>
                </c:pt>
                <c:pt idx="4">
                  <c:v>0</c:v>
                </c:pt>
                <c:pt idx="5">
                  <c:v>0</c:v>
                </c:pt>
                <c:pt idx="6">
                  <c:v>0</c:v>
                </c:pt>
                <c:pt idx="7">
                  <c:v>0.70000000000000062</c:v>
                </c:pt>
                <c:pt idx="8">
                  <c:v>0</c:v>
                </c:pt>
                <c:pt idx="9">
                  <c:v>0</c:v>
                </c:pt>
                <c:pt idx="10">
                  <c:v>0</c:v>
                </c:pt>
                <c:pt idx="11">
                  <c:v>0.30000000000000032</c:v>
                </c:pt>
                <c:pt idx="12">
                  <c:v>10</c:v>
                </c:pt>
                <c:pt idx="13">
                  <c:v>0</c:v>
                </c:pt>
                <c:pt idx="14">
                  <c:v>0</c:v>
                </c:pt>
                <c:pt idx="15">
                  <c:v>0</c:v>
                </c:pt>
              </c:numCache>
            </c:numRef>
          </c:val>
        </c:ser>
        <c:ser>
          <c:idx val="5"/>
          <c:order val="5"/>
          <c:tx>
            <c:strRef>
              <c:f>'north africa_middle east'!$G$1</c:f>
              <c:strCache>
                <c:ptCount val="1"/>
                <c:pt idx="0">
                  <c:v>G6</c:v>
                </c:pt>
              </c:strCache>
            </c:strRef>
          </c:tx>
          <c:spPr>
            <a:solidFill>
              <a:srgbClr val="0000FF"/>
            </a:solidFill>
          </c:spPr>
          <c:invertIfNegative val="0"/>
          <c:cat>
            <c:strRef>
              <c:f>'north africa_middle east'!$A$2:$A$17</c:f>
              <c:strCache>
                <c:ptCount val="16"/>
                <c:pt idx="0">
                  <c:v>Algeria</c:v>
                </c:pt>
                <c:pt idx="1">
                  <c:v>Egypt</c:v>
                </c:pt>
                <c:pt idx="2">
                  <c:v>Iran</c:v>
                </c:pt>
                <c:pt idx="3">
                  <c:v>Iraq</c:v>
                </c:pt>
                <c:pt idx="4">
                  <c:v>Israel</c:v>
                </c:pt>
                <c:pt idx="5">
                  <c:v>Jordan</c:v>
                </c:pt>
                <c:pt idx="6">
                  <c:v>Kuwait</c:v>
                </c:pt>
                <c:pt idx="7">
                  <c:v>Lebanon</c:v>
                </c:pt>
                <c:pt idx="8">
                  <c:v>Libya</c:v>
                </c:pt>
                <c:pt idx="9">
                  <c:v>Morocco</c:v>
                </c:pt>
                <c:pt idx="10">
                  <c:v>Palestine</c:v>
                </c:pt>
                <c:pt idx="11">
                  <c:v>Saudi Arabia</c:v>
                </c:pt>
                <c:pt idx="12">
                  <c:v>Syria</c:v>
                </c:pt>
                <c:pt idx="13">
                  <c:v>Tunisia</c:v>
                </c:pt>
                <c:pt idx="14">
                  <c:v>Turkey</c:v>
                </c:pt>
                <c:pt idx="15">
                  <c:v>UAE</c:v>
                </c:pt>
              </c:strCache>
            </c:strRef>
          </c:cat>
          <c:val>
            <c:numRef>
              <c:f>'north africa_middle east'!$G$2:$G$17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0.30000000000000032</c:v>
                </c:pt>
                <c:pt idx="12">
                  <c:v>0</c:v>
                </c:pt>
                <c:pt idx="13">
                  <c:v>0</c:v>
                </c:pt>
                <c:pt idx="14">
                  <c:v>0</c:v>
                </c:pt>
                <c:pt idx="15">
                  <c:v>0</c:v>
                </c:pt>
              </c:numCache>
            </c:numRef>
          </c:val>
        </c:ser>
        <c:ser>
          <c:idx val="6"/>
          <c:order val="6"/>
          <c:tx>
            <c:strRef>
              <c:f>'north africa_middle east'!$H$1</c:f>
              <c:strCache>
                <c:ptCount val="1"/>
                <c:pt idx="0">
                  <c:v>Mixed</c:v>
                </c:pt>
              </c:strCache>
            </c:strRef>
          </c:tx>
          <c:spPr>
            <a:solidFill>
              <a:srgbClr val="C00000"/>
            </a:solidFill>
          </c:spPr>
          <c:invertIfNegative val="0"/>
          <c:cat>
            <c:strRef>
              <c:f>'north africa_middle east'!$A$2:$A$17</c:f>
              <c:strCache>
                <c:ptCount val="16"/>
                <c:pt idx="0">
                  <c:v>Algeria</c:v>
                </c:pt>
                <c:pt idx="1">
                  <c:v>Egypt</c:v>
                </c:pt>
                <c:pt idx="2">
                  <c:v>Iran</c:v>
                </c:pt>
                <c:pt idx="3">
                  <c:v>Iraq</c:v>
                </c:pt>
                <c:pt idx="4">
                  <c:v>Israel</c:v>
                </c:pt>
                <c:pt idx="5">
                  <c:v>Jordan</c:v>
                </c:pt>
                <c:pt idx="6">
                  <c:v>Kuwait</c:v>
                </c:pt>
                <c:pt idx="7">
                  <c:v>Lebanon</c:v>
                </c:pt>
                <c:pt idx="8">
                  <c:v>Libya</c:v>
                </c:pt>
                <c:pt idx="9">
                  <c:v>Morocco</c:v>
                </c:pt>
                <c:pt idx="10">
                  <c:v>Palestine</c:v>
                </c:pt>
                <c:pt idx="11">
                  <c:v>Saudi Arabia</c:v>
                </c:pt>
                <c:pt idx="12">
                  <c:v>Syria</c:v>
                </c:pt>
                <c:pt idx="13">
                  <c:v>Tunisia</c:v>
                </c:pt>
                <c:pt idx="14">
                  <c:v>Turkey</c:v>
                </c:pt>
                <c:pt idx="15">
                  <c:v>UAE</c:v>
                </c:pt>
              </c:strCache>
            </c:strRef>
          </c:cat>
          <c:val>
            <c:numRef>
              <c:f>'north africa_middle east'!$H$2:$H$17</c:f>
              <c:numCache>
                <c:formatCode>General</c:formatCode>
                <c:ptCount val="16"/>
                <c:pt idx="0">
                  <c:v>4</c:v>
                </c:pt>
                <c:pt idx="1">
                  <c:v>0</c:v>
                </c:pt>
                <c:pt idx="2">
                  <c:v>18.399999999999999</c:v>
                </c:pt>
                <c:pt idx="3">
                  <c:v>15.7</c:v>
                </c:pt>
                <c:pt idx="4">
                  <c:v>0</c:v>
                </c:pt>
                <c:pt idx="5">
                  <c:v>0</c:v>
                </c:pt>
                <c:pt idx="6">
                  <c:v>18.8</c:v>
                </c:pt>
                <c:pt idx="7">
                  <c:v>0</c:v>
                </c:pt>
                <c:pt idx="8">
                  <c:v>0</c:v>
                </c:pt>
                <c:pt idx="9">
                  <c:v>0.70000000000000062</c:v>
                </c:pt>
                <c:pt idx="10">
                  <c:v>7.6</c:v>
                </c:pt>
                <c:pt idx="11">
                  <c:v>6.3</c:v>
                </c:pt>
                <c:pt idx="12">
                  <c:v>0</c:v>
                </c:pt>
                <c:pt idx="13">
                  <c:v>4.3</c:v>
                </c:pt>
                <c:pt idx="14">
                  <c:v>0</c:v>
                </c:pt>
                <c:pt idx="15">
                  <c:v>0</c:v>
                </c:pt>
              </c:numCache>
            </c:numRef>
          </c:val>
        </c:ser>
        <c:dLbls>
          <c:showLegendKey val="0"/>
          <c:showVal val="0"/>
          <c:showCatName val="0"/>
          <c:showSerName val="0"/>
          <c:showPercent val="0"/>
          <c:showBubbleSize val="0"/>
        </c:dLbls>
        <c:gapWidth val="150"/>
        <c:overlap val="100"/>
        <c:axId val="804296216"/>
        <c:axId val="804296608"/>
      </c:barChart>
      <c:catAx>
        <c:axId val="804296216"/>
        <c:scaling>
          <c:orientation val="minMax"/>
        </c:scaling>
        <c:delete val="0"/>
        <c:axPos val="b"/>
        <c:numFmt formatCode="General" sourceLinked="0"/>
        <c:majorTickMark val="out"/>
        <c:minorTickMark val="none"/>
        <c:tickLblPos val="nextTo"/>
        <c:txPr>
          <a:bodyPr/>
          <a:lstStyle/>
          <a:p>
            <a:pPr>
              <a:defRPr lang="zh-CN"/>
            </a:pPr>
            <a:endParaRPr lang="en-US"/>
          </a:p>
        </c:txPr>
        <c:crossAx val="804296608"/>
        <c:crosses val="autoZero"/>
        <c:auto val="1"/>
        <c:lblAlgn val="ctr"/>
        <c:lblOffset val="100"/>
        <c:noMultiLvlLbl val="0"/>
      </c:catAx>
      <c:valAx>
        <c:axId val="804296608"/>
        <c:scaling>
          <c:orientation val="minMax"/>
        </c:scaling>
        <c:delete val="0"/>
        <c:axPos val="l"/>
        <c:numFmt formatCode="General" sourceLinked="1"/>
        <c:majorTickMark val="out"/>
        <c:minorTickMark val="none"/>
        <c:tickLblPos val="nextTo"/>
        <c:txPr>
          <a:bodyPr/>
          <a:lstStyle/>
          <a:p>
            <a:pPr>
              <a:defRPr lang="zh-CN"/>
            </a:pPr>
            <a:endParaRPr lang="en-US"/>
          </a:p>
        </c:txPr>
        <c:crossAx val="804296216"/>
        <c:crosses val="autoZero"/>
        <c:crossBetween val="between"/>
      </c:valAx>
    </c:plotArea>
    <c:legend>
      <c:legendPos val="r"/>
      <c:overlay val="0"/>
      <c:txPr>
        <a:bodyPr/>
        <a:lstStyle/>
        <a:p>
          <a:pPr>
            <a:defRPr lang="zh-CN"/>
          </a:pPr>
          <a:endParaRPr lang="en-US"/>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cat>
            <c:strRef>
              <c:f>america!$A$2:$A$10</c:f>
              <c:strCache>
                <c:ptCount val="9"/>
                <c:pt idx="0">
                  <c:v>Canada</c:v>
                </c:pt>
                <c:pt idx="1">
                  <c:v>USA</c:v>
                </c:pt>
                <c:pt idx="2">
                  <c:v>Puerto Rico</c:v>
                </c:pt>
                <c:pt idx="3">
                  <c:v>Peru</c:v>
                </c:pt>
                <c:pt idx="4">
                  <c:v>Bolivia</c:v>
                </c:pt>
                <c:pt idx="5">
                  <c:v>Mexico</c:v>
                </c:pt>
                <c:pt idx="6">
                  <c:v>Venezuela</c:v>
                </c:pt>
                <c:pt idx="7">
                  <c:v>Argentina</c:v>
                </c:pt>
                <c:pt idx="8">
                  <c:v>Brazil</c:v>
                </c:pt>
              </c:strCache>
            </c:strRef>
          </c:cat>
          <c:val>
            <c:numRef>
              <c:f>america!$B$2:$B$10</c:f>
              <c:numCache>
                <c:formatCode>General</c:formatCode>
                <c:ptCount val="9"/>
                <c:pt idx="0">
                  <c:v>1.1000000000000001</c:v>
                </c:pt>
                <c:pt idx="1">
                  <c:v>1.3</c:v>
                </c:pt>
                <c:pt idx="2">
                  <c:v>2.2999999999999998</c:v>
                </c:pt>
                <c:pt idx="3">
                  <c:v>1.2</c:v>
                </c:pt>
                <c:pt idx="4">
                  <c:v>0.4</c:v>
                </c:pt>
                <c:pt idx="5">
                  <c:v>1.4</c:v>
                </c:pt>
                <c:pt idx="6">
                  <c:v>1.5</c:v>
                </c:pt>
                <c:pt idx="7">
                  <c:v>1.5</c:v>
                </c:pt>
                <c:pt idx="8">
                  <c:v>1.6</c:v>
                </c:pt>
              </c:numCache>
            </c:numRef>
          </c:val>
        </c:ser>
        <c:dLbls>
          <c:showLegendKey val="0"/>
          <c:showVal val="0"/>
          <c:showCatName val="0"/>
          <c:showSerName val="0"/>
          <c:showPercent val="0"/>
          <c:showBubbleSize val="0"/>
        </c:dLbls>
        <c:axId val="804297392"/>
        <c:axId val="804297784"/>
      </c:areaChart>
      <c:catAx>
        <c:axId val="804297392"/>
        <c:scaling>
          <c:orientation val="minMax"/>
        </c:scaling>
        <c:delete val="0"/>
        <c:axPos val="b"/>
        <c:numFmt formatCode="General" sourceLinked="0"/>
        <c:majorTickMark val="out"/>
        <c:minorTickMark val="none"/>
        <c:tickLblPos val="nextTo"/>
        <c:txPr>
          <a:bodyPr/>
          <a:lstStyle/>
          <a:p>
            <a:pPr>
              <a:defRPr lang="zh-CN"/>
            </a:pPr>
            <a:endParaRPr lang="en-US"/>
          </a:p>
        </c:txPr>
        <c:crossAx val="804297784"/>
        <c:crosses val="autoZero"/>
        <c:auto val="1"/>
        <c:lblAlgn val="ctr"/>
        <c:lblOffset val="100"/>
        <c:noMultiLvlLbl val="0"/>
      </c:catAx>
      <c:valAx>
        <c:axId val="804297784"/>
        <c:scaling>
          <c:orientation val="minMax"/>
          <c:max val="5"/>
        </c:scaling>
        <c:delete val="0"/>
        <c:axPos val="l"/>
        <c:numFmt formatCode="General" sourceLinked="1"/>
        <c:majorTickMark val="out"/>
        <c:minorTickMark val="none"/>
        <c:tickLblPos val="nextTo"/>
        <c:txPr>
          <a:bodyPr/>
          <a:lstStyle/>
          <a:p>
            <a:pPr>
              <a:defRPr lang="zh-CN"/>
            </a:pPr>
            <a:endParaRPr lang="en-US"/>
          </a:p>
        </c:txPr>
        <c:crossAx val="804297392"/>
        <c:crosses val="autoZero"/>
        <c:crossBetween val="midCat"/>
      </c:valAx>
    </c:plotArea>
    <c:plotVisOnly val="1"/>
    <c:dispBlanksAs val="zero"/>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america!$B$18</c:f>
              <c:strCache>
                <c:ptCount val="1"/>
                <c:pt idx="0">
                  <c:v>G1</c:v>
                </c:pt>
              </c:strCache>
            </c:strRef>
          </c:tx>
          <c:spPr>
            <a:solidFill>
              <a:srgbClr val="FF0000"/>
            </a:solidFill>
          </c:spPr>
          <c:invertIfNegative val="0"/>
          <c:cat>
            <c:strRef>
              <c:f>america!$A$19:$A$30</c:f>
              <c:strCache>
                <c:ptCount val="12"/>
                <c:pt idx="0">
                  <c:v>Canada</c:v>
                </c:pt>
                <c:pt idx="1">
                  <c:v>USA</c:v>
                </c:pt>
                <c:pt idx="2">
                  <c:v>Cuba</c:v>
                </c:pt>
                <c:pt idx="3">
                  <c:v>Dominic Rep.</c:v>
                </c:pt>
                <c:pt idx="4">
                  <c:v>Puerto Rico</c:v>
                </c:pt>
                <c:pt idx="5">
                  <c:v>Peru</c:v>
                </c:pt>
                <c:pt idx="6">
                  <c:v>Colombia</c:v>
                </c:pt>
                <c:pt idx="7">
                  <c:v>Mexico</c:v>
                </c:pt>
                <c:pt idx="8">
                  <c:v>Venezuela</c:v>
                </c:pt>
                <c:pt idx="9">
                  <c:v>Argentina</c:v>
                </c:pt>
                <c:pt idx="10">
                  <c:v>Chile</c:v>
                </c:pt>
                <c:pt idx="11">
                  <c:v>Brazil</c:v>
                </c:pt>
              </c:strCache>
            </c:strRef>
          </c:cat>
          <c:val>
            <c:numRef>
              <c:f>america!$B$19:$B$30</c:f>
              <c:numCache>
                <c:formatCode>General</c:formatCode>
                <c:ptCount val="12"/>
                <c:pt idx="0">
                  <c:v>60</c:v>
                </c:pt>
                <c:pt idx="1">
                  <c:v>72.5</c:v>
                </c:pt>
                <c:pt idx="2">
                  <c:v>98</c:v>
                </c:pt>
                <c:pt idx="3">
                  <c:v>61.6</c:v>
                </c:pt>
                <c:pt idx="4">
                  <c:v>82.1</c:v>
                </c:pt>
                <c:pt idx="5">
                  <c:v>86</c:v>
                </c:pt>
                <c:pt idx="6">
                  <c:v>88.5</c:v>
                </c:pt>
                <c:pt idx="7">
                  <c:v>70.3</c:v>
                </c:pt>
                <c:pt idx="8">
                  <c:v>65.099999999999994</c:v>
                </c:pt>
                <c:pt idx="9">
                  <c:v>63.5</c:v>
                </c:pt>
                <c:pt idx="10">
                  <c:v>80.599999999999994</c:v>
                </c:pt>
                <c:pt idx="11">
                  <c:v>64.8</c:v>
                </c:pt>
              </c:numCache>
            </c:numRef>
          </c:val>
        </c:ser>
        <c:ser>
          <c:idx val="1"/>
          <c:order val="1"/>
          <c:tx>
            <c:strRef>
              <c:f>america!$C$18</c:f>
              <c:strCache>
                <c:ptCount val="1"/>
                <c:pt idx="0">
                  <c:v>G2</c:v>
                </c:pt>
              </c:strCache>
            </c:strRef>
          </c:tx>
          <c:spPr>
            <a:solidFill>
              <a:srgbClr val="00B0F0"/>
            </a:solidFill>
          </c:spPr>
          <c:invertIfNegative val="0"/>
          <c:cat>
            <c:strRef>
              <c:f>america!$A$19:$A$30</c:f>
              <c:strCache>
                <c:ptCount val="12"/>
                <c:pt idx="0">
                  <c:v>Canada</c:v>
                </c:pt>
                <c:pt idx="1">
                  <c:v>USA</c:v>
                </c:pt>
                <c:pt idx="2">
                  <c:v>Cuba</c:v>
                </c:pt>
                <c:pt idx="3">
                  <c:v>Dominic Rep.</c:v>
                </c:pt>
                <c:pt idx="4">
                  <c:v>Puerto Rico</c:v>
                </c:pt>
                <c:pt idx="5">
                  <c:v>Peru</c:v>
                </c:pt>
                <c:pt idx="6">
                  <c:v>Colombia</c:v>
                </c:pt>
                <c:pt idx="7">
                  <c:v>Mexico</c:v>
                </c:pt>
                <c:pt idx="8">
                  <c:v>Venezuela</c:v>
                </c:pt>
                <c:pt idx="9">
                  <c:v>Argentina</c:v>
                </c:pt>
                <c:pt idx="10">
                  <c:v>Chile</c:v>
                </c:pt>
                <c:pt idx="11">
                  <c:v>Brazil</c:v>
                </c:pt>
              </c:strCache>
            </c:strRef>
          </c:cat>
          <c:val>
            <c:numRef>
              <c:f>america!$C$19:$C$30</c:f>
              <c:numCache>
                <c:formatCode>General</c:formatCode>
                <c:ptCount val="12"/>
                <c:pt idx="0">
                  <c:v>14.4</c:v>
                </c:pt>
                <c:pt idx="1">
                  <c:v>10.7</c:v>
                </c:pt>
                <c:pt idx="2">
                  <c:v>0</c:v>
                </c:pt>
                <c:pt idx="3">
                  <c:v>9.5</c:v>
                </c:pt>
                <c:pt idx="4">
                  <c:v>12.1</c:v>
                </c:pt>
                <c:pt idx="5">
                  <c:v>2</c:v>
                </c:pt>
                <c:pt idx="6">
                  <c:v>8.5</c:v>
                </c:pt>
                <c:pt idx="7">
                  <c:v>21.8</c:v>
                </c:pt>
                <c:pt idx="8">
                  <c:v>34.4</c:v>
                </c:pt>
                <c:pt idx="9">
                  <c:v>24.7</c:v>
                </c:pt>
                <c:pt idx="10">
                  <c:v>2</c:v>
                </c:pt>
                <c:pt idx="11">
                  <c:v>4.5999999999999996</c:v>
                </c:pt>
              </c:numCache>
            </c:numRef>
          </c:val>
        </c:ser>
        <c:ser>
          <c:idx val="2"/>
          <c:order val="2"/>
          <c:tx>
            <c:strRef>
              <c:f>america!$D$18</c:f>
              <c:strCache>
                <c:ptCount val="1"/>
                <c:pt idx="0">
                  <c:v>G3</c:v>
                </c:pt>
              </c:strCache>
            </c:strRef>
          </c:tx>
          <c:spPr>
            <a:solidFill>
              <a:srgbClr val="00B050"/>
            </a:solidFill>
          </c:spPr>
          <c:invertIfNegative val="0"/>
          <c:cat>
            <c:strRef>
              <c:f>america!$A$19:$A$30</c:f>
              <c:strCache>
                <c:ptCount val="12"/>
                <c:pt idx="0">
                  <c:v>Canada</c:v>
                </c:pt>
                <c:pt idx="1">
                  <c:v>USA</c:v>
                </c:pt>
                <c:pt idx="2">
                  <c:v>Cuba</c:v>
                </c:pt>
                <c:pt idx="3">
                  <c:v>Dominic Rep.</c:v>
                </c:pt>
                <c:pt idx="4">
                  <c:v>Puerto Rico</c:v>
                </c:pt>
                <c:pt idx="5">
                  <c:v>Peru</c:v>
                </c:pt>
                <c:pt idx="6">
                  <c:v>Colombia</c:v>
                </c:pt>
                <c:pt idx="7">
                  <c:v>Mexico</c:v>
                </c:pt>
                <c:pt idx="8">
                  <c:v>Venezuela</c:v>
                </c:pt>
                <c:pt idx="9">
                  <c:v>Argentina</c:v>
                </c:pt>
                <c:pt idx="10">
                  <c:v>Chile</c:v>
                </c:pt>
                <c:pt idx="11">
                  <c:v>Brazil</c:v>
                </c:pt>
              </c:strCache>
            </c:strRef>
          </c:cat>
          <c:val>
            <c:numRef>
              <c:f>america!$D$19:$D$30</c:f>
              <c:numCache>
                <c:formatCode>General</c:formatCode>
                <c:ptCount val="12"/>
                <c:pt idx="0">
                  <c:v>22.3</c:v>
                </c:pt>
                <c:pt idx="1">
                  <c:v>8.9</c:v>
                </c:pt>
                <c:pt idx="2">
                  <c:v>0</c:v>
                </c:pt>
                <c:pt idx="3">
                  <c:v>2.4</c:v>
                </c:pt>
                <c:pt idx="4">
                  <c:v>3.8</c:v>
                </c:pt>
                <c:pt idx="5">
                  <c:v>10</c:v>
                </c:pt>
                <c:pt idx="6">
                  <c:v>2.8</c:v>
                </c:pt>
                <c:pt idx="7">
                  <c:v>7.2</c:v>
                </c:pt>
                <c:pt idx="8">
                  <c:v>0</c:v>
                </c:pt>
                <c:pt idx="9">
                  <c:v>10.6</c:v>
                </c:pt>
                <c:pt idx="10">
                  <c:v>16.5</c:v>
                </c:pt>
                <c:pt idx="11">
                  <c:v>30.2</c:v>
                </c:pt>
              </c:numCache>
            </c:numRef>
          </c:val>
        </c:ser>
        <c:ser>
          <c:idx val="3"/>
          <c:order val="3"/>
          <c:tx>
            <c:strRef>
              <c:f>america!$E$18</c:f>
              <c:strCache>
                <c:ptCount val="1"/>
                <c:pt idx="0">
                  <c:v>G4</c:v>
                </c:pt>
              </c:strCache>
            </c:strRef>
          </c:tx>
          <c:spPr>
            <a:solidFill>
              <a:srgbClr val="FFFF00"/>
            </a:solidFill>
          </c:spPr>
          <c:invertIfNegative val="0"/>
          <c:cat>
            <c:strRef>
              <c:f>america!$A$19:$A$30</c:f>
              <c:strCache>
                <c:ptCount val="12"/>
                <c:pt idx="0">
                  <c:v>Canada</c:v>
                </c:pt>
                <c:pt idx="1">
                  <c:v>USA</c:v>
                </c:pt>
                <c:pt idx="2">
                  <c:v>Cuba</c:v>
                </c:pt>
                <c:pt idx="3">
                  <c:v>Dominic Rep.</c:v>
                </c:pt>
                <c:pt idx="4">
                  <c:v>Puerto Rico</c:v>
                </c:pt>
                <c:pt idx="5">
                  <c:v>Peru</c:v>
                </c:pt>
                <c:pt idx="6">
                  <c:v>Colombia</c:v>
                </c:pt>
                <c:pt idx="7">
                  <c:v>Mexico</c:v>
                </c:pt>
                <c:pt idx="8">
                  <c:v>Venezuela</c:v>
                </c:pt>
                <c:pt idx="9">
                  <c:v>Argentina</c:v>
                </c:pt>
                <c:pt idx="10">
                  <c:v>Chile</c:v>
                </c:pt>
                <c:pt idx="11">
                  <c:v>Brazil</c:v>
                </c:pt>
              </c:strCache>
            </c:strRef>
          </c:cat>
          <c:val>
            <c:numRef>
              <c:f>america!$E$19:$E$30</c:f>
              <c:numCache>
                <c:formatCode>General</c:formatCode>
                <c:ptCount val="12"/>
                <c:pt idx="0">
                  <c:v>2.2999999999999998</c:v>
                </c:pt>
                <c:pt idx="1">
                  <c:v>6.3</c:v>
                </c:pt>
                <c:pt idx="2">
                  <c:v>0</c:v>
                </c:pt>
                <c:pt idx="3">
                  <c:v>0</c:v>
                </c:pt>
                <c:pt idx="4">
                  <c:v>1.8</c:v>
                </c:pt>
                <c:pt idx="5">
                  <c:v>0</c:v>
                </c:pt>
                <c:pt idx="6">
                  <c:v>0</c:v>
                </c:pt>
                <c:pt idx="7">
                  <c:v>0.30000000000000032</c:v>
                </c:pt>
                <c:pt idx="8">
                  <c:v>0</c:v>
                </c:pt>
                <c:pt idx="9">
                  <c:v>1.3</c:v>
                </c:pt>
                <c:pt idx="10">
                  <c:v>0.60000000000000064</c:v>
                </c:pt>
                <c:pt idx="11">
                  <c:v>0.2</c:v>
                </c:pt>
              </c:numCache>
            </c:numRef>
          </c:val>
        </c:ser>
        <c:ser>
          <c:idx val="4"/>
          <c:order val="4"/>
          <c:tx>
            <c:strRef>
              <c:f>america!$F$18</c:f>
              <c:strCache>
                <c:ptCount val="1"/>
                <c:pt idx="0">
                  <c:v>G5</c:v>
                </c:pt>
              </c:strCache>
            </c:strRef>
          </c:tx>
          <c:spPr>
            <a:solidFill>
              <a:srgbClr val="FF33CC"/>
            </a:solidFill>
          </c:spPr>
          <c:invertIfNegative val="0"/>
          <c:cat>
            <c:strRef>
              <c:f>america!$A$19:$A$30</c:f>
              <c:strCache>
                <c:ptCount val="12"/>
                <c:pt idx="0">
                  <c:v>Canada</c:v>
                </c:pt>
                <c:pt idx="1">
                  <c:v>USA</c:v>
                </c:pt>
                <c:pt idx="2">
                  <c:v>Cuba</c:v>
                </c:pt>
                <c:pt idx="3">
                  <c:v>Dominic Rep.</c:v>
                </c:pt>
                <c:pt idx="4">
                  <c:v>Puerto Rico</c:v>
                </c:pt>
                <c:pt idx="5">
                  <c:v>Peru</c:v>
                </c:pt>
                <c:pt idx="6">
                  <c:v>Colombia</c:v>
                </c:pt>
                <c:pt idx="7">
                  <c:v>Mexico</c:v>
                </c:pt>
                <c:pt idx="8">
                  <c:v>Venezuela</c:v>
                </c:pt>
                <c:pt idx="9">
                  <c:v>Argentina</c:v>
                </c:pt>
                <c:pt idx="10">
                  <c:v>Chile</c:v>
                </c:pt>
                <c:pt idx="11">
                  <c:v>Brazil</c:v>
                </c:pt>
              </c:strCache>
            </c:strRef>
          </c:cat>
          <c:val>
            <c:numRef>
              <c:f>america!$F$19:$F$30</c:f>
              <c:numCache>
                <c:formatCode>General</c:formatCode>
                <c:ptCount val="12"/>
                <c:pt idx="0">
                  <c:v>0</c:v>
                </c:pt>
                <c:pt idx="1">
                  <c:v>0</c:v>
                </c:pt>
                <c:pt idx="2">
                  <c:v>0</c:v>
                </c:pt>
                <c:pt idx="3">
                  <c:v>0</c:v>
                </c:pt>
                <c:pt idx="4">
                  <c:v>0</c:v>
                </c:pt>
                <c:pt idx="5">
                  <c:v>0</c:v>
                </c:pt>
                <c:pt idx="6">
                  <c:v>0</c:v>
                </c:pt>
                <c:pt idx="7">
                  <c:v>0.1</c:v>
                </c:pt>
                <c:pt idx="8">
                  <c:v>0</c:v>
                </c:pt>
                <c:pt idx="9">
                  <c:v>0</c:v>
                </c:pt>
                <c:pt idx="10">
                  <c:v>0.30000000000000032</c:v>
                </c:pt>
                <c:pt idx="11">
                  <c:v>0.1</c:v>
                </c:pt>
              </c:numCache>
            </c:numRef>
          </c:val>
        </c:ser>
        <c:ser>
          <c:idx val="5"/>
          <c:order val="5"/>
          <c:tx>
            <c:strRef>
              <c:f>america!$G$18</c:f>
              <c:strCache>
                <c:ptCount val="1"/>
                <c:pt idx="0">
                  <c:v>G6</c:v>
                </c:pt>
              </c:strCache>
            </c:strRef>
          </c:tx>
          <c:spPr>
            <a:solidFill>
              <a:srgbClr val="0000FF"/>
            </a:solidFill>
          </c:spPr>
          <c:invertIfNegative val="0"/>
          <c:cat>
            <c:strRef>
              <c:f>america!$A$19:$A$30</c:f>
              <c:strCache>
                <c:ptCount val="12"/>
                <c:pt idx="0">
                  <c:v>Canada</c:v>
                </c:pt>
                <c:pt idx="1">
                  <c:v>USA</c:v>
                </c:pt>
                <c:pt idx="2">
                  <c:v>Cuba</c:v>
                </c:pt>
                <c:pt idx="3">
                  <c:v>Dominic Rep.</c:v>
                </c:pt>
                <c:pt idx="4">
                  <c:v>Puerto Rico</c:v>
                </c:pt>
                <c:pt idx="5">
                  <c:v>Peru</c:v>
                </c:pt>
                <c:pt idx="6">
                  <c:v>Colombia</c:v>
                </c:pt>
                <c:pt idx="7">
                  <c:v>Mexico</c:v>
                </c:pt>
                <c:pt idx="8">
                  <c:v>Venezuela</c:v>
                </c:pt>
                <c:pt idx="9">
                  <c:v>Argentina</c:v>
                </c:pt>
                <c:pt idx="10">
                  <c:v>Chile</c:v>
                </c:pt>
                <c:pt idx="11">
                  <c:v>Brazil</c:v>
                </c:pt>
              </c:strCache>
            </c:strRef>
          </c:cat>
          <c:val>
            <c:numRef>
              <c:f>america!$G$19:$G$30</c:f>
              <c:numCache>
                <c:formatCode>General</c:formatCode>
                <c:ptCount val="12"/>
                <c:pt idx="0">
                  <c:v>0</c:v>
                </c:pt>
                <c:pt idx="1">
                  <c:v>1.1000000000000001</c:v>
                </c:pt>
                <c:pt idx="2">
                  <c:v>0</c:v>
                </c:pt>
                <c:pt idx="3">
                  <c:v>0</c:v>
                </c:pt>
                <c:pt idx="4">
                  <c:v>0.2</c:v>
                </c:pt>
                <c:pt idx="5">
                  <c:v>0</c:v>
                </c:pt>
                <c:pt idx="6">
                  <c:v>0</c:v>
                </c:pt>
                <c:pt idx="7">
                  <c:v>0</c:v>
                </c:pt>
                <c:pt idx="8">
                  <c:v>0</c:v>
                </c:pt>
                <c:pt idx="9">
                  <c:v>0</c:v>
                </c:pt>
                <c:pt idx="10">
                  <c:v>0.1</c:v>
                </c:pt>
                <c:pt idx="11">
                  <c:v>0</c:v>
                </c:pt>
              </c:numCache>
            </c:numRef>
          </c:val>
        </c:ser>
        <c:ser>
          <c:idx val="6"/>
          <c:order val="6"/>
          <c:tx>
            <c:strRef>
              <c:f>america!$H$18</c:f>
              <c:strCache>
                <c:ptCount val="1"/>
                <c:pt idx="0">
                  <c:v>Mixed</c:v>
                </c:pt>
              </c:strCache>
            </c:strRef>
          </c:tx>
          <c:spPr>
            <a:solidFill>
              <a:srgbClr val="C00000"/>
            </a:solidFill>
          </c:spPr>
          <c:invertIfNegative val="0"/>
          <c:cat>
            <c:strRef>
              <c:f>america!$A$19:$A$30</c:f>
              <c:strCache>
                <c:ptCount val="12"/>
                <c:pt idx="0">
                  <c:v>Canada</c:v>
                </c:pt>
                <c:pt idx="1">
                  <c:v>USA</c:v>
                </c:pt>
                <c:pt idx="2">
                  <c:v>Cuba</c:v>
                </c:pt>
                <c:pt idx="3">
                  <c:v>Dominic Rep.</c:v>
                </c:pt>
                <c:pt idx="4">
                  <c:v>Puerto Rico</c:v>
                </c:pt>
                <c:pt idx="5">
                  <c:v>Peru</c:v>
                </c:pt>
                <c:pt idx="6">
                  <c:v>Colombia</c:v>
                </c:pt>
                <c:pt idx="7">
                  <c:v>Mexico</c:v>
                </c:pt>
                <c:pt idx="8">
                  <c:v>Venezuela</c:v>
                </c:pt>
                <c:pt idx="9">
                  <c:v>Argentina</c:v>
                </c:pt>
                <c:pt idx="10">
                  <c:v>Chile</c:v>
                </c:pt>
                <c:pt idx="11">
                  <c:v>Brazil</c:v>
                </c:pt>
              </c:strCache>
            </c:strRef>
          </c:cat>
          <c:val>
            <c:numRef>
              <c:f>america!$H$19:$H$30</c:f>
              <c:numCache>
                <c:formatCode>General</c:formatCode>
                <c:ptCount val="12"/>
                <c:pt idx="0">
                  <c:v>1</c:v>
                </c:pt>
                <c:pt idx="1">
                  <c:v>0.5</c:v>
                </c:pt>
                <c:pt idx="2">
                  <c:v>2</c:v>
                </c:pt>
                <c:pt idx="3">
                  <c:v>26.5</c:v>
                </c:pt>
                <c:pt idx="4">
                  <c:v>0</c:v>
                </c:pt>
                <c:pt idx="5">
                  <c:v>2</c:v>
                </c:pt>
                <c:pt idx="6">
                  <c:v>0</c:v>
                </c:pt>
                <c:pt idx="7">
                  <c:v>0.30000000000000032</c:v>
                </c:pt>
                <c:pt idx="8">
                  <c:v>0.5</c:v>
                </c:pt>
                <c:pt idx="9">
                  <c:v>0</c:v>
                </c:pt>
                <c:pt idx="10">
                  <c:v>0</c:v>
                </c:pt>
                <c:pt idx="11">
                  <c:v>0</c:v>
                </c:pt>
              </c:numCache>
            </c:numRef>
          </c:val>
        </c:ser>
        <c:dLbls>
          <c:showLegendKey val="0"/>
          <c:showVal val="0"/>
          <c:showCatName val="0"/>
          <c:showSerName val="0"/>
          <c:showPercent val="0"/>
          <c:showBubbleSize val="0"/>
        </c:dLbls>
        <c:gapWidth val="150"/>
        <c:overlap val="100"/>
        <c:axId val="804298568"/>
        <c:axId val="804298960"/>
      </c:barChart>
      <c:catAx>
        <c:axId val="804298568"/>
        <c:scaling>
          <c:orientation val="minMax"/>
        </c:scaling>
        <c:delete val="0"/>
        <c:axPos val="b"/>
        <c:numFmt formatCode="General" sourceLinked="0"/>
        <c:majorTickMark val="out"/>
        <c:minorTickMark val="none"/>
        <c:tickLblPos val="nextTo"/>
        <c:txPr>
          <a:bodyPr/>
          <a:lstStyle/>
          <a:p>
            <a:pPr>
              <a:defRPr lang="zh-CN"/>
            </a:pPr>
            <a:endParaRPr lang="en-US"/>
          </a:p>
        </c:txPr>
        <c:crossAx val="804298960"/>
        <c:crosses val="autoZero"/>
        <c:auto val="1"/>
        <c:lblAlgn val="ctr"/>
        <c:lblOffset val="100"/>
        <c:noMultiLvlLbl val="0"/>
      </c:catAx>
      <c:valAx>
        <c:axId val="804298960"/>
        <c:scaling>
          <c:orientation val="minMax"/>
        </c:scaling>
        <c:delete val="0"/>
        <c:axPos val="l"/>
        <c:numFmt formatCode="General" sourceLinked="1"/>
        <c:majorTickMark val="out"/>
        <c:minorTickMark val="none"/>
        <c:tickLblPos val="nextTo"/>
        <c:txPr>
          <a:bodyPr/>
          <a:lstStyle/>
          <a:p>
            <a:pPr>
              <a:defRPr lang="zh-CN"/>
            </a:pPr>
            <a:endParaRPr lang="en-US"/>
          </a:p>
        </c:txPr>
        <c:crossAx val="804298568"/>
        <c:crosses val="autoZero"/>
        <c:crossBetween val="between"/>
      </c:valAx>
    </c:plotArea>
    <c:legend>
      <c:legendPos val="r"/>
      <c:overlay val="0"/>
      <c:txPr>
        <a:bodyPr/>
        <a:lstStyle/>
        <a:p>
          <a:pPr>
            <a:defRPr lang="zh-CN"/>
          </a:pPr>
          <a:endParaRPr lang="en-US"/>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cat>
            <c:strRef>
              <c:f>ASIA!$A$94:$A$115</c:f>
              <c:strCache>
                <c:ptCount val="22"/>
                <c:pt idx="0">
                  <c:v>Japan</c:v>
                </c:pt>
                <c:pt idx="1">
                  <c:v>Republic of korea</c:v>
                </c:pt>
                <c:pt idx="2">
                  <c:v>Azerbaijan</c:v>
                </c:pt>
                <c:pt idx="3">
                  <c:v>Georgia</c:v>
                </c:pt>
                <c:pt idx="4">
                  <c:v>Kazakhstan</c:v>
                </c:pt>
                <c:pt idx="5">
                  <c:v>Kyrgyzstan</c:v>
                </c:pt>
                <c:pt idx="6">
                  <c:v>Mongolia</c:v>
                </c:pt>
                <c:pt idx="7">
                  <c:v>Tajikistan</c:v>
                </c:pt>
                <c:pt idx="8">
                  <c:v>Turkmenistan</c:v>
                </c:pt>
                <c:pt idx="9">
                  <c:v>Uzbekistan</c:v>
                </c:pt>
                <c:pt idx="10">
                  <c:v>China</c:v>
                </c:pt>
                <c:pt idx="11">
                  <c:v>Taiwan</c:v>
                </c:pt>
                <c:pt idx="12">
                  <c:v>Afghanistan</c:v>
                </c:pt>
                <c:pt idx="13">
                  <c:v>Bangladesh</c:v>
                </c:pt>
                <c:pt idx="14">
                  <c:v>India</c:v>
                </c:pt>
                <c:pt idx="15">
                  <c:v>Pakistan</c:v>
                </c:pt>
                <c:pt idx="16">
                  <c:v>Indonesia</c:v>
                </c:pt>
                <c:pt idx="17">
                  <c:v>Cambodia</c:v>
                </c:pt>
                <c:pt idx="18">
                  <c:v>Myanmar</c:v>
                </c:pt>
                <c:pt idx="19">
                  <c:v>Malaysia</c:v>
                </c:pt>
                <c:pt idx="20">
                  <c:v>Philippines</c:v>
                </c:pt>
                <c:pt idx="21">
                  <c:v>Thailand</c:v>
                </c:pt>
              </c:strCache>
            </c:strRef>
          </c:cat>
          <c:val>
            <c:numRef>
              <c:f>ASIA!$B$94:$B$115</c:f>
              <c:numCache>
                <c:formatCode>General</c:formatCode>
                <c:ptCount val="22"/>
                <c:pt idx="0">
                  <c:v>1.5</c:v>
                </c:pt>
                <c:pt idx="1">
                  <c:v>0.8</c:v>
                </c:pt>
                <c:pt idx="2">
                  <c:v>3.1</c:v>
                </c:pt>
                <c:pt idx="3">
                  <c:v>6.7</c:v>
                </c:pt>
                <c:pt idx="4">
                  <c:v>3.3</c:v>
                </c:pt>
                <c:pt idx="5">
                  <c:v>2.5</c:v>
                </c:pt>
                <c:pt idx="6">
                  <c:v>10.8</c:v>
                </c:pt>
                <c:pt idx="7">
                  <c:v>3.1</c:v>
                </c:pt>
                <c:pt idx="8">
                  <c:v>5.6</c:v>
                </c:pt>
                <c:pt idx="9">
                  <c:v>11.3</c:v>
                </c:pt>
                <c:pt idx="10">
                  <c:v>1.3</c:v>
                </c:pt>
                <c:pt idx="11">
                  <c:v>4.4000000000000004</c:v>
                </c:pt>
                <c:pt idx="12">
                  <c:v>1.1000000000000001</c:v>
                </c:pt>
                <c:pt idx="13">
                  <c:v>1.3</c:v>
                </c:pt>
                <c:pt idx="14">
                  <c:v>0.8</c:v>
                </c:pt>
                <c:pt idx="15">
                  <c:v>6.7</c:v>
                </c:pt>
                <c:pt idx="16">
                  <c:v>0.8</c:v>
                </c:pt>
                <c:pt idx="17">
                  <c:v>2.2999999999999998</c:v>
                </c:pt>
                <c:pt idx="18">
                  <c:v>1.7</c:v>
                </c:pt>
                <c:pt idx="19">
                  <c:v>1.5</c:v>
                </c:pt>
                <c:pt idx="20">
                  <c:v>0.9</c:v>
                </c:pt>
                <c:pt idx="21">
                  <c:v>2.7</c:v>
                </c:pt>
              </c:numCache>
            </c:numRef>
          </c:val>
        </c:ser>
        <c:dLbls>
          <c:showLegendKey val="0"/>
          <c:showVal val="0"/>
          <c:showCatName val="0"/>
          <c:showSerName val="0"/>
          <c:showPercent val="0"/>
          <c:showBubbleSize val="0"/>
        </c:dLbls>
        <c:axId val="804062664"/>
        <c:axId val="804063056"/>
      </c:areaChart>
      <c:catAx>
        <c:axId val="804062664"/>
        <c:scaling>
          <c:orientation val="minMax"/>
        </c:scaling>
        <c:delete val="0"/>
        <c:axPos val="b"/>
        <c:numFmt formatCode="General" sourceLinked="0"/>
        <c:majorTickMark val="out"/>
        <c:minorTickMark val="none"/>
        <c:tickLblPos val="nextTo"/>
        <c:txPr>
          <a:bodyPr/>
          <a:lstStyle/>
          <a:p>
            <a:pPr>
              <a:defRPr lang="zh-CN"/>
            </a:pPr>
            <a:endParaRPr lang="en-US"/>
          </a:p>
        </c:txPr>
        <c:crossAx val="804063056"/>
        <c:crosses val="autoZero"/>
        <c:auto val="1"/>
        <c:lblAlgn val="ctr"/>
        <c:lblOffset val="100"/>
        <c:noMultiLvlLbl val="0"/>
      </c:catAx>
      <c:valAx>
        <c:axId val="804063056"/>
        <c:scaling>
          <c:orientation val="minMax"/>
        </c:scaling>
        <c:delete val="0"/>
        <c:axPos val="l"/>
        <c:numFmt formatCode="General" sourceLinked="1"/>
        <c:majorTickMark val="out"/>
        <c:minorTickMark val="none"/>
        <c:tickLblPos val="nextTo"/>
        <c:txPr>
          <a:bodyPr/>
          <a:lstStyle/>
          <a:p>
            <a:pPr>
              <a:defRPr lang="zh-CN"/>
            </a:pPr>
            <a:endParaRPr lang="en-US"/>
          </a:p>
        </c:txPr>
        <c:crossAx val="804062664"/>
        <c:crosses val="autoZero"/>
        <c:crossBetween val="midCat"/>
      </c:valAx>
    </c:plotArea>
    <c:plotVisOnly val="1"/>
    <c:dispBlanksAs val="zero"/>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ASIA!$B$119</c:f>
              <c:strCache>
                <c:ptCount val="1"/>
                <c:pt idx="0">
                  <c:v>G1</c:v>
                </c:pt>
              </c:strCache>
            </c:strRef>
          </c:tx>
          <c:spPr>
            <a:solidFill>
              <a:srgbClr val="FF0000"/>
            </a:solidFill>
          </c:spPr>
          <c:invertIfNegative val="0"/>
          <c:cat>
            <c:strRef>
              <c:f>ASIA!$A$120:$A$137</c:f>
              <c:strCache>
                <c:ptCount val="18"/>
                <c:pt idx="0">
                  <c:v>Japan</c:v>
                </c:pt>
                <c:pt idx="1">
                  <c:v>Republic of korea</c:v>
                </c:pt>
                <c:pt idx="2">
                  <c:v>Armenia</c:v>
                </c:pt>
                <c:pt idx="3">
                  <c:v>Georgia</c:v>
                </c:pt>
                <c:pt idx="4">
                  <c:v>Mongolia</c:v>
                </c:pt>
                <c:pt idx="5">
                  <c:v>Tajikistan</c:v>
                </c:pt>
                <c:pt idx="6">
                  <c:v>Uzbekistan</c:v>
                </c:pt>
                <c:pt idx="7">
                  <c:v>China</c:v>
                </c:pt>
                <c:pt idx="8">
                  <c:v>Taiwan</c:v>
                </c:pt>
                <c:pt idx="9">
                  <c:v>India</c:v>
                </c:pt>
                <c:pt idx="10">
                  <c:v>Pakistan</c:v>
                </c:pt>
                <c:pt idx="11">
                  <c:v>Indonesia</c:v>
                </c:pt>
                <c:pt idx="12">
                  <c:v>Cambodia</c:v>
                </c:pt>
                <c:pt idx="13">
                  <c:v>Myanmar</c:v>
                </c:pt>
                <c:pt idx="14">
                  <c:v>Malaysia</c:v>
                </c:pt>
                <c:pt idx="15">
                  <c:v>Philippines</c:v>
                </c:pt>
                <c:pt idx="16">
                  <c:v>Thailand</c:v>
                </c:pt>
                <c:pt idx="17">
                  <c:v>Viet Nam</c:v>
                </c:pt>
              </c:strCache>
            </c:strRef>
          </c:cat>
          <c:val>
            <c:numRef>
              <c:f>ASIA!$B$120:$B$137</c:f>
              <c:numCache>
                <c:formatCode>General</c:formatCode>
                <c:ptCount val="18"/>
                <c:pt idx="0">
                  <c:v>64.7</c:v>
                </c:pt>
                <c:pt idx="1">
                  <c:v>52.7</c:v>
                </c:pt>
                <c:pt idx="2">
                  <c:v>41</c:v>
                </c:pt>
                <c:pt idx="3">
                  <c:v>62</c:v>
                </c:pt>
                <c:pt idx="4">
                  <c:v>98.8</c:v>
                </c:pt>
                <c:pt idx="5">
                  <c:v>82.7</c:v>
                </c:pt>
                <c:pt idx="6">
                  <c:v>67.099999999999994</c:v>
                </c:pt>
                <c:pt idx="7">
                  <c:v>58.2</c:v>
                </c:pt>
                <c:pt idx="8">
                  <c:v>48.8</c:v>
                </c:pt>
                <c:pt idx="9">
                  <c:v>24</c:v>
                </c:pt>
                <c:pt idx="10">
                  <c:v>7</c:v>
                </c:pt>
                <c:pt idx="11">
                  <c:v>61.5</c:v>
                </c:pt>
                <c:pt idx="12">
                  <c:v>24</c:v>
                </c:pt>
                <c:pt idx="13">
                  <c:v>11</c:v>
                </c:pt>
                <c:pt idx="14">
                  <c:v>31.9</c:v>
                </c:pt>
                <c:pt idx="15">
                  <c:v>73.2</c:v>
                </c:pt>
                <c:pt idx="16">
                  <c:v>33.700000000000003</c:v>
                </c:pt>
                <c:pt idx="17">
                  <c:v>30.4</c:v>
                </c:pt>
              </c:numCache>
            </c:numRef>
          </c:val>
        </c:ser>
        <c:ser>
          <c:idx val="1"/>
          <c:order val="1"/>
          <c:tx>
            <c:strRef>
              <c:f>ASIA!$C$119</c:f>
              <c:strCache>
                <c:ptCount val="1"/>
                <c:pt idx="0">
                  <c:v>G2</c:v>
                </c:pt>
              </c:strCache>
            </c:strRef>
          </c:tx>
          <c:spPr>
            <a:solidFill>
              <a:srgbClr val="00B0F0"/>
            </a:solidFill>
          </c:spPr>
          <c:invertIfNegative val="0"/>
          <c:cat>
            <c:strRef>
              <c:f>ASIA!$A$120:$A$137</c:f>
              <c:strCache>
                <c:ptCount val="18"/>
                <c:pt idx="0">
                  <c:v>Japan</c:v>
                </c:pt>
                <c:pt idx="1">
                  <c:v>Republic of korea</c:v>
                </c:pt>
                <c:pt idx="2">
                  <c:v>Armenia</c:v>
                </c:pt>
                <c:pt idx="3">
                  <c:v>Georgia</c:v>
                </c:pt>
                <c:pt idx="4">
                  <c:v>Mongolia</c:v>
                </c:pt>
                <c:pt idx="5">
                  <c:v>Tajikistan</c:v>
                </c:pt>
                <c:pt idx="6">
                  <c:v>Uzbekistan</c:v>
                </c:pt>
                <c:pt idx="7">
                  <c:v>China</c:v>
                </c:pt>
                <c:pt idx="8">
                  <c:v>Taiwan</c:v>
                </c:pt>
                <c:pt idx="9">
                  <c:v>India</c:v>
                </c:pt>
                <c:pt idx="10">
                  <c:v>Pakistan</c:v>
                </c:pt>
                <c:pt idx="11">
                  <c:v>Indonesia</c:v>
                </c:pt>
                <c:pt idx="12">
                  <c:v>Cambodia</c:v>
                </c:pt>
                <c:pt idx="13">
                  <c:v>Myanmar</c:v>
                </c:pt>
                <c:pt idx="14">
                  <c:v>Malaysia</c:v>
                </c:pt>
                <c:pt idx="15">
                  <c:v>Philippines</c:v>
                </c:pt>
                <c:pt idx="16">
                  <c:v>Thailand</c:v>
                </c:pt>
                <c:pt idx="17">
                  <c:v>Viet Nam</c:v>
                </c:pt>
              </c:strCache>
            </c:strRef>
          </c:cat>
          <c:val>
            <c:numRef>
              <c:f>ASIA!$C$120:$C$137</c:f>
              <c:numCache>
                <c:formatCode>General</c:formatCode>
                <c:ptCount val="18"/>
                <c:pt idx="0">
                  <c:v>34.200000000000003</c:v>
                </c:pt>
                <c:pt idx="1">
                  <c:v>45.3</c:v>
                </c:pt>
                <c:pt idx="2">
                  <c:v>18</c:v>
                </c:pt>
                <c:pt idx="3">
                  <c:v>11</c:v>
                </c:pt>
                <c:pt idx="4">
                  <c:v>1.2</c:v>
                </c:pt>
                <c:pt idx="5">
                  <c:v>5.8</c:v>
                </c:pt>
                <c:pt idx="6">
                  <c:v>6.7</c:v>
                </c:pt>
                <c:pt idx="7">
                  <c:v>24.1</c:v>
                </c:pt>
                <c:pt idx="8">
                  <c:v>39.5</c:v>
                </c:pt>
                <c:pt idx="10">
                  <c:v>3.8</c:v>
                </c:pt>
                <c:pt idx="11">
                  <c:v>20.2</c:v>
                </c:pt>
                <c:pt idx="12">
                  <c:v>0</c:v>
                </c:pt>
                <c:pt idx="13">
                  <c:v>0.70000000000000062</c:v>
                </c:pt>
                <c:pt idx="14">
                  <c:v>0</c:v>
                </c:pt>
                <c:pt idx="15">
                  <c:v>26.4</c:v>
                </c:pt>
                <c:pt idx="16">
                  <c:v>0.30000000000000032</c:v>
                </c:pt>
                <c:pt idx="17">
                  <c:v>15.2</c:v>
                </c:pt>
              </c:numCache>
            </c:numRef>
          </c:val>
        </c:ser>
        <c:ser>
          <c:idx val="2"/>
          <c:order val="2"/>
          <c:tx>
            <c:strRef>
              <c:f>ASIA!$D$119</c:f>
              <c:strCache>
                <c:ptCount val="1"/>
                <c:pt idx="0">
                  <c:v>G3</c:v>
                </c:pt>
              </c:strCache>
            </c:strRef>
          </c:tx>
          <c:spPr>
            <a:solidFill>
              <a:srgbClr val="00B050"/>
            </a:solidFill>
          </c:spPr>
          <c:invertIfNegative val="0"/>
          <c:cat>
            <c:strRef>
              <c:f>ASIA!$A$120:$A$137</c:f>
              <c:strCache>
                <c:ptCount val="18"/>
                <c:pt idx="0">
                  <c:v>Japan</c:v>
                </c:pt>
                <c:pt idx="1">
                  <c:v>Republic of korea</c:v>
                </c:pt>
                <c:pt idx="2">
                  <c:v>Armenia</c:v>
                </c:pt>
                <c:pt idx="3">
                  <c:v>Georgia</c:v>
                </c:pt>
                <c:pt idx="4">
                  <c:v>Mongolia</c:v>
                </c:pt>
                <c:pt idx="5">
                  <c:v>Tajikistan</c:v>
                </c:pt>
                <c:pt idx="6">
                  <c:v>Uzbekistan</c:v>
                </c:pt>
                <c:pt idx="7">
                  <c:v>China</c:v>
                </c:pt>
                <c:pt idx="8">
                  <c:v>Taiwan</c:v>
                </c:pt>
                <c:pt idx="9">
                  <c:v>India</c:v>
                </c:pt>
                <c:pt idx="10">
                  <c:v>Pakistan</c:v>
                </c:pt>
                <c:pt idx="11">
                  <c:v>Indonesia</c:v>
                </c:pt>
                <c:pt idx="12">
                  <c:v>Cambodia</c:v>
                </c:pt>
                <c:pt idx="13">
                  <c:v>Myanmar</c:v>
                </c:pt>
                <c:pt idx="14">
                  <c:v>Malaysia</c:v>
                </c:pt>
                <c:pt idx="15">
                  <c:v>Philippines</c:v>
                </c:pt>
                <c:pt idx="16">
                  <c:v>Thailand</c:v>
                </c:pt>
                <c:pt idx="17">
                  <c:v>Viet Nam</c:v>
                </c:pt>
              </c:strCache>
            </c:strRef>
          </c:cat>
          <c:val>
            <c:numRef>
              <c:f>ASIA!$D$120:$D$137</c:f>
              <c:numCache>
                <c:formatCode>General</c:formatCode>
                <c:ptCount val="18"/>
                <c:pt idx="0">
                  <c:v>0</c:v>
                </c:pt>
                <c:pt idx="1">
                  <c:v>0.8</c:v>
                </c:pt>
                <c:pt idx="2">
                  <c:v>37</c:v>
                </c:pt>
                <c:pt idx="3">
                  <c:v>27</c:v>
                </c:pt>
                <c:pt idx="4">
                  <c:v>0</c:v>
                </c:pt>
                <c:pt idx="5">
                  <c:v>7.7</c:v>
                </c:pt>
                <c:pt idx="6">
                  <c:v>26</c:v>
                </c:pt>
                <c:pt idx="7">
                  <c:v>9.1</c:v>
                </c:pt>
                <c:pt idx="8">
                  <c:v>1</c:v>
                </c:pt>
                <c:pt idx="9">
                  <c:v>54.4</c:v>
                </c:pt>
                <c:pt idx="10">
                  <c:v>79</c:v>
                </c:pt>
                <c:pt idx="11">
                  <c:v>17.399999999999999</c:v>
                </c:pt>
                <c:pt idx="12">
                  <c:v>20</c:v>
                </c:pt>
                <c:pt idx="13">
                  <c:v>39.300000000000004</c:v>
                </c:pt>
                <c:pt idx="14">
                  <c:v>58.6</c:v>
                </c:pt>
                <c:pt idx="15">
                  <c:v>0</c:v>
                </c:pt>
                <c:pt idx="16">
                  <c:v>44.2</c:v>
                </c:pt>
                <c:pt idx="17">
                  <c:v>0</c:v>
                </c:pt>
              </c:numCache>
            </c:numRef>
          </c:val>
        </c:ser>
        <c:ser>
          <c:idx val="3"/>
          <c:order val="3"/>
          <c:tx>
            <c:strRef>
              <c:f>ASIA!$E$119</c:f>
              <c:strCache>
                <c:ptCount val="1"/>
                <c:pt idx="0">
                  <c:v>G4</c:v>
                </c:pt>
              </c:strCache>
            </c:strRef>
          </c:tx>
          <c:spPr>
            <a:solidFill>
              <a:srgbClr val="FFFF00"/>
            </a:solidFill>
          </c:spPr>
          <c:invertIfNegative val="0"/>
          <c:cat>
            <c:strRef>
              <c:f>ASIA!$A$120:$A$137</c:f>
              <c:strCache>
                <c:ptCount val="18"/>
                <c:pt idx="0">
                  <c:v>Japan</c:v>
                </c:pt>
                <c:pt idx="1">
                  <c:v>Republic of korea</c:v>
                </c:pt>
                <c:pt idx="2">
                  <c:v>Armenia</c:v>
                </c:pt>
                <c:pt idx="3">
                  <c:v>Georgia</c:v>
                </c:pt>
                <c:pt idx="4">
                  <c:v>Mongolia</c:v>
                </c:pt>
                <c:pt idx="5">
                  <c:v>Tajikistan</c:v>
                </c:pt>
                <c:pt idx="6">
                  <c:v>Uzbekistan</c:v>
                </c:pt>
                <c:pt idx="7">
                  <c:v>China</c:v>
                </c:pt>
                <c:pt idx="8">
                  <c:v>Taiwan</c:v>
                </c:pt>
                <c:pt idx="9">
                  <c:v>India</c:v>
                </c:pt>
                <c:pt idx="10">
                  <c:v>Pakistan</c:v>
                </c:pt>
                <c:pt idx="11">
                  <c:v>Indonesia</c:v>
                </c:pt>
                <c:pt idx="12">
                  <c:v>Cambodia</c:v>
                </c:pt>
                <c:pt idx="13">
                  <c:v>Myanmar</c:v>
                </c:pt>
                <c:pt idx="14">
                  <c:v>Malaysia</c:v>
                </c:pt>
                <c:pt idx="15">
                  <c:v>Philippines</c:v>
                </c:pt>
                <c:pt idx="16">
                  <c:v>Thailand</c:v>
                </c:pt>
                <c:pt idx="17">
                  <c:v>Viet Nam</c:v>
                </c:pt>
              </c:strCache>
            </c:strRef>
          </c:cat>
          <c:val>
            <c:numRef>
              <c:f>ASIA!$E$120:$E$137</c:f>
              <c:numCache>
                <c:formatCode>General</c:formatCode>
                <c:ptCount val="18"/>
                <c:pt idx="0">
                  <c:v>0</c:v>
                </c:pt>
                <c:pt idx="1">
                  <c:v>0.2</c:v>
                </c:pt>
                <c:pt idx="2">
                  <c:v>0</c:v>
                </c:pt>
                <c:pt idx="3">
                  <c:v>0</c:v>
                </c:pt>
                <c:pt idx="4">
                  <c:v>0</c:v>
                </c:pt>
                <c:pt idx="5">
                  <c:v>0</c:v>
                </c:pt>
                <c:pt idx="6">
                  <c:v>0</c:v>
                </c:pt>
                <c:pt idx="7">
                  <c:v>0</c:v>
                </c:pt>
                <c:pt idx="8">
                  <c:v>0</c:v>
                </c:pt>
                <c:pt idx="9">
                  <c:v>5.8</c:v>
                </c:pt>
                <c:pt idx="10">
                  <c:v>1.6</c:v>
                </c:pt>
                <c:pt idx="11">
                  <c:v>1</c:v>
                </c:pt>
                <c:pt idx="12">
                  <c:v>0</c:v>
                </c:pt>
                <c:pt idx="13">
                  <c:v>0</c:v>
                </c:pt>
                <c:pt idx="14">
                  <c:v>6</c:v>
                </c:pt>
                <c:pt idx="15">
                  <c:v>0.2</c:v>
                </c:pt>
                <c:pt idx="16">
                  <c:v>0</c:v>
                </c:pt>
                <c:pt idx="17">
                  <c:v>0</c:v>
                </c:pt>
              </c:numCache>
            </c:numRef>
          </c:val>
        </c:ser>
        <c:ser>
          <c:idx val="4"/>
          <c:order val="4"/>
          <c:tx>
            <c:strRef>
              <c:f>ASIA!$F$119</c:f>
              <c:strCache>
                <c:ptCount val="1"/>
                <c:pt idx="0">
                  <c:v>G5</c:v>
                </c:pt>
              </c:strCache>
            </c:strRef>
          </c:tx>
          <c:spPr>
            <a:solidFill>
              <a:srgbClr val="FF33CC"/>
            </a:solidFill>
          </c:spPr>
          <c:invertIfNegative val="0"/>
          <c:cat>
            <c:strRef>
              <c:f>ASIA!$A$120:$A$137</c:f>
              <c:strCache>
                <c:ptCount val="18"/>
                <c:pt idx="0">
                  <c:v>Japan</c:v>
                </c:pt>
                <c:pt idx="1">
                  <c:v>Republic of korea</c:v>
                </c:pt>
                <c:pt idx="2">
                  <c:v>Armenia</c:v>
                </c:pt>
                <c:pt idx="3">
                  <c:v>Georgia</c:v>
                </c:pt>
                <c:pt idx="4">
                  <c:v>Mongolia</c:v>
                </c:pt>
                <c:pt idx="5">
                  <c:v>Tajikistan</c:v>
                </c:pt>
                <c:pt idx="6">
                  <c:v>Uzbekistan</c:v>
                </c:pt>
                <c:pt idx="7">
                  <c:v>China</c:v>
                </c:pt>
                <c:pt idx="8">
                  <c:v>Taiwan</c:v>
                </c:pt>
                <c:pt idx="9">
                  <c:v>India</c:v>
                </c:pt>
                <c:pt idx="10">
                  <c:v>Pakistan</c:v>
                </c:pt>
                <c:pt idx="11">
                  <c:v>Indonesia</c:v>
                </c:pt>
                <c:pt idx="12">
                  <c:v>Cambodia</c:v>
                </c:pt>
                <c:pt idx="13">
                  <c:v>Myanmar</c:v>
                </c:pt>
                <c:pt idx="14">
                  <c:v>Malaysia</c:v>
                </c:pt>
                <c:pt idx="15">
                  <c:v>Philippines</c:v>
                </c:pt>
                <c:pt idx="16">
                  <c:v>Thailand</c:v>
                </c:pt>
                <c:pt idx="17">
                  <c:v>Viet Nam</c:v>
                </c:pt>
              </c:strCache>
            </c:strRef>
          </c:cat>
          <c:val>
            <c:numRef>
              <c:f>ASIA!$F$120:$F$137</c:f>
              <c:numCache>
                <c:formatCode>General</c:formatCode>
                <c:ptCount val="18"/>
                <c:pt idx="0">
                  <c:v>0</c:v>
                </c:pt>
                <c:pt idx="1">
                  <c:v>0</c:v>
                </c:pt>
                <c:pt idx="2">
                  <c:v>0</c:v>
                </c:pt>
                <c:pt idx="3">
                  <c:v>0</c:v>
                </c:pt>
                <c:pt idx="4">
                  <c:v>0</c:v>
                </c:pt>
                <c:pt idx="5">
                  <c:v>0</c:v>
                </c:pt>
                <c:pt idx="6">
                  <c:v>0</c:v>
                </c:pt>
                <c:pt idx="7">
                  <c:v>0</c:v>
                </c:pt>
                <c:pt idx="8">
                  <c:v>0</c:v>
                </c:pt>
                <c:pt idx="9">
                  <c:v>0.2</c:v>
                </c:pt>
                <c:pt idx="10">
                  <c:v>0.1</c:v>
                </c:pt>
                <c:pt idx="11">
                  <c:v>0</c:v>
                </c:pt>
                <c:pt idx="12">
                  <c:v>0</c:v>
                </c:pt>
                <c:pt idx="13">
                  <c:v>0</c:v>
                </c:pt>
                <c:pt idx="14">
                  <c:v>3.5</c:v>
                </c:pt>
                <c:pt idx="15">
                  <c:v>0</c:v>
                </c:pt>
                <c:pt idx="16">
                  <c:v>0</c:v>
                </c:pt>
                <c:pt idx="17">
                  <c:v>0</c:v>
                </c:pt>
              </c:numCache>
            </c:numRef>
          </c:val>
        </c:ser>
        <c:ser>
          <c:idx val="5"/>
          <c:order val="5"/>
          <c:tx>
            <c:strRef>
              <c:f>ASIA!$G$119</c:f>
              <c:strCache>
                <c:ptCount val="1"/>
                <c:pt idx="0">
                  <c:v>G6</c:v>
                </c:pt>
              </c:strCache>
            </c:strRef>
          </c:tx>
          <c:spPr>
            <a:solidFill>
              <a:srgbClr val="002060"/>
            </a:solidFill>
          </c:spPr>
          <c:invertIfNegative val="0"/>
          <c:cat>
            <c:strRef>
              <c:f>ASIA!$A$120:$A$137</c:f>
              <c:strCache>
                <c:ptCount val="18"/>
                <c:pt idx="0">
                  <c:v>Japan</c:v>
                </c:pt>
                <c:pt idx="1">
                  <c:v>Republic of korea</c:v>
                </c:pt>
                <c:pt idx="2">
                  <c:v>Armenia</c:v>
                </c:pt>
                <c:pt idx="3">
                  <c:v>Georgia</c:v>
                </c:pt>
                <c:pt idx="4">
                  <c:v>Mongolia</c:v>
                </c:pt>
                <c:pt idx="5">
                  <c:v>Tajikistan</c:v>
                </c:pt>
                <c:pt idx="6">
                  <c:v>Uzbekistan</c:v>
                </c:pt>
                <c:pt idx="7">
                  <c:v>China</c:v>
                </c:pt>
                <c:pt idx="8">
                  <c:v>Taiwan</c:v>
                </c:pt>
                <c:pt idx="9">
                  <c:v>India</c:v>
                </c:pt>
                <c:pt idx="10">
                  <c:v>Pakistan</c:v>
                </c:pt>
                <c:pt idx="11">
                  <c:v>Indonesia</c:v>
                </c:pt>
                <c:pt idx="12">
                  <c:v>Cambodia</c:v>
                </c:pt>
                <c:pt idx="13">
                  <c:v>Myanmar</c:v>
                </c:pt>
                <c:pt idx="14">
                  <c:v>Malaysia</c:v>
                </c:pt>
                <c:pt idx="15">
                  <c:v>Philippines</c:v>
                </c:pt>
                <c:pt idx="16">
                  <c:v>Thailand</c:v>
                </c:pt>
                <c:pt idx="17">
                  <c:v>Viet Nam</c:v>
                </c:pt>
              </c:strCache>
            </c:strRef>
          </c:cat>
          <c:val>
            <c:numRef>
              <c:f>ASIA!$G$120:$G$137</c:f>
              <c:numCache>
                <c:formatCode>General</c:formatCode>
                <c:ptCount val="18"/>
                <c:pt idx="0">
                  <c:v>0</c:v>
                </c:pt>
                <c:pt idx="1">
                  <c:v>1</c:v>
                </c:pt>
                <c:pt idx="2">
                  <c:v>0</c:v>
                </c:pt>
                <c:pt idx="3">
                  <c:v>0</c:v>
                </c:pt>
                <c:pt idx="4">
                  <c:v>0</c:v>
                </c:pt>
                <c:pt idx="5">
                  <c:v>0</c:v>
                </c:pt>
                <c:pt idx="6">
                  <c:v>0</c:v>
                </c:pt>
                <c:pt idx="7">
                  <c:v>6.3</c:v>
                </c:pt>
                <c:pt idx="8">
                  <c:v>0.5</c:v>
                </c:pt>
                <c:pt idx="9">
                  <c:v>0</c:v>
                </c:pt>
                <c:pt idx="10">
                  <c:v>0.1</c:v>
                </c:pt>
                <c:pt idx="11">
                  <c:v>0</c:v>
                </c:pt>
                <c:pt idx="12">
                  <c:v>56</c:v>
                </c:pt>
                <c:pt idx="13">
                  <c:v>49</c:v>
                </c:pt>
                <c:pt idx="14">
                  <c:v>0</c:v>
                </c:pt>
                <c:pt idx="15">
                  <c:v>0.2</c:v>
                </c:pt>
                <c:pt idx="16">
                  <c:v>21.8</c:v>
                </c:pt>
                <c:pt idx="17">
                  <c:v>54.4</c:v>
                </c:pt>
              </c:numCache>
            </c:numRef>
          </c:val>
        </c:ser>
        <c:ser>
          <c:idx val="6"/>
          <c:order val="6"/>
          <c:tx>
            <c:strRef>
              <c:f>ASIA!$H$119</c:f>
              <c:strCache>
                <c:ptCount val="1"/>
                <c:pt idx="0">
                  <c:v>Mixed</c:v>
                </c:pt>
              </c:strCache>
            </c:strRef>
          </c:tx>
          <c:spPr>
            <a:solidFill>
              <a:srgbClr val="C00000"/>
            </a:solidFill>
          </c:spPr>
          <c:invertIfNegative val="0"/>
          <c:cat>
            <c:strRef>
              <c:f>ASIA!$A$120:$A$137</c:f>
              <c:strCache>
                <c:ptCount val="18"/>
                <c:pt idx="0">
                  <c:v>Japan</c:v>
                </c:pt>
                <c:pt idx="1">
                  <c:v>Republic of korea</c:v>
                </c:pt>
                <c:pt idx="2">
                  <c:v>Armenia</c:v>
                </c:pt>
                <c:pt idx="3">
                  <c:v>Georgia</c:v>
                </c:pt>
                <c:pt idx="4">
                  <c:v>Mongolia</c:v>
                </c:pt>
                <c:pt idx="5">
                  <c:v>Tajikistan</c:v>
                </c:pt>
                <c:pt idx="6">
                  <c:v>Uzbekistan</c:v>
                </c:pt>
                <c:pt idx="7">
                  <c:v>China</c:v>
                </c:pt>
                <c:pt idx="8">
                  <c:v>Taiwan</c:v>
                </c:pt>
                <c:pt idx="9">
                  <c:v>India</c:v>
                </c:pt>
                <c:pt idx="10">
                  <c:v>Pakistan</c:v>
                </c:pt>
                <c:pt idx="11">
                  <c:v>Indonesia</c:v>
                </c:pt>
                <c:pt idx="12">
                  <c:v>Cambodia</c:v>
                </c:pt>
                <c:pt idx="13">
                  <c:v>Myanmar</c:v>
                </c:pt>
                <c:pt idx="14">
                  <c:v>Malaysia</c:v>
                </c:pt>
                <c:pt idx="15">
                  <c:v>Philippines</c:v>
                </c:pt>
                <c:pt idx="16">
                  <c:v>Thailand</c:v>
                </c:pt>
                <c:pt idx="17">
                  <c:v>Viet Nam</c:v>
                </c:pt>
              </c:strCache>
            </c:strRef>
          </c:cat>
          <c:val>
            <c:numRef>
              <c:f>ASIA!$H$120:$H$137</c:f>
              <c:numCache>
                <c:formatCode>General</c:formatCode>
                <c:ptCount val="18"/>
                <c:pt idx="0">
                  <c:v>1</c:v>
                </c:pt>
                <c:pt idx="1">
                  <c:v>0</c:v>
                </c:pt>
                <c:pt idx="2">
                  <c:v>3</c:v>
                </c:pt>
                <c:pt idx="3">
                  <c:v>0</c:v>
                </c:pt>
                <c:pt idx="4">
                  <c:v>0</c:v>
                </c:pt>
                <c:pt idx="5">
                  <c:v>3.8</c:v>
                </c:pt>
                <c:pt idx="6">
                  <c:v>0</c:v>
                </c:pt>
                <c:pt idx="7">
                  <c:v>2.1</c:v>
                </c:pt>
                <c:pt idx="8">
                  <c:v>10</c:v>
                </c:pt>
                <c:pt idx="9">
                  <c:v>15.6</c:v>
                </c:pt>
                <c:pt idx="10">
                  <c:v>8.3000000000000007</c:v>
                </c:pt>
                <c:pt idx="11">
                  <c:v>0</c:v>
                </c:pt>
                <c:pt idx="12">
                  <c:v>0</c:v>
                </c:pt>
                <c:pt idx="13">
                  <c:v>0</c:v>
                </c:pt>
                <c:pt idx="14">
                  <c:v>0</c:v>
                </c:pt>
                <c:pt idx="15">
                  <c:v>0</c:v>
                </c:pt>
                <c:pt idx="16">
                  <c:v>0</c:v>
                </c:pt>
                <c:pt idx="17">
                  <c:v>0</c:v>
                </c:pt>
              </c:numCache>
            </c:numRef>
          </c:val>
        </c:ser>
        <c:dLbls>
          <c:showLegendKey val="0"/>
          <c:showVal val="0"/>
          <c:showCatName val="0"/>
          <c:showSerName val="0"/>
          <c:showPercent val="0"/>
          <c:showBubbleSize val="0"/>
        </c:dLbls>
        <c:gapWidth val="150"/>
        <c:overlap val="100"/>
        <c:axId val="804063840"/>
        <c:axId val="804064232"/>
      </c:barChart>
      <c:catAx>
        <c:axId val="804063840"/>
        <c:scaling>
          <c:orientation val="minMax"/>
        </c:scaling>
        <c:delete val="0"/>
        <c:axPos val="b"/>
        <c:numFmt formatCode="General" sourceLinked="0"/>
        <c:majorTickMark val="out"/>
        <c:minorTickMark val="none"/>
        <c:tickLblPos val="nextTo"/>
        <c:txPr>
          <a:bodyPr/>
          <a:lstStyle/>
          <a:p>
            <a:pPr>
              <a:defRPr lang="zh-CN"/>
            </a:pPr>
            <a:endParaRPr lang="en-US"/>
          </a:p>
        </c:txPr>
        <c:crossAx val="804064232"/>
        <c:crosses val="autoZero"/>
        <c:auto val="1"/>
        <c:lblAlgn val="ctr"/>
        <c:lblOffset val="100"/>
        <c:noMultiLvlLbl val="0"/>
      </c:catAx>
      <c:valAx>
        <c:axId val="804064232"/>
        <c:scaling>
          <c:orientation val="minMax"/>
        </c:scaling>
        <c:delete val="0"/>
        <c:axPos val="l"/>
        <c:numFmt formatCode="General" sourceLinked="1"/>
        <c:majorTickMark val="out"/>
        <c:minorTickMark val="none"/>
        <c:tickLblPos val="nextTo"/>
        <c:txPr>
          <a:bodyPr/>
          <a:lstStyle/>
          <a:p>
            <a:pPr>
              <a:defRPr lang="zh-CN"/>
            </a:pPr>
            <a:endParaRPr lang="en-US"/>
          </a:p>
        </c:txPr>
        <c:crossAx val="804063840"/>
        <c:crosses val="autoZero"/>
        <c:crossBetween val="between"/>
      </c:valAx>
    </c:plotArea>
    <c:legend>
      <c:legendPos val="r"/>
      <c:legendEntry>
        <c:idx val="6"/>
        <c:txPr>
          <a:bodyPr/>
          <a:lstStyle/>
          <a:p>
            <a:pPr>
              <a:defRPr>
                <a:solidFill>
                  <a:schemeClr val="tx1"/>
                </a:solidFill>
              </a:defRPr>
            </a:pPr>
            <a:endParaRPr lang="en-US"/>
          </a:p>
        </c:txPr>
      </c:legendEntry>
      <c:overlay val="0"/>
      <c:txPr>
        <a:bodyPr/>
        <a:lstStyle/>
        <a:p>
          <a:pPr>
            <a:defRPr lang="zh-CN"/>
          </a:pPr>
          <a:endParaRPr lang="en-US"/>
        </a:p>
      </c:txPr>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zh-CN"/>
            </a:pPr>
            <a:r>
              <a:rPr lang="en-US"/>
              <a:t>Australasia</a:t>
            </a:r>
          </a:p>
        </c:rich>
      </c:tx>
      <c:overlay val="0"/>
    </c:title>
    <c:autoTitleDeleted val="0"/>
    <c:plotArea>
      <c:layout/>
      <c:areaChart>
        <c:grouping val="standard"/>
        <c:varyColors val="0"/>
        <c:ser>
          <c:idx val="0"/>
          <c:order val="0"/>
          <c:tx>
            <c:strRef>
              <c:f>AUSTRALASIA!$B$21</c:f>
              <c:strCache>
                <c:ptCount val="1"/>
                <c:pt idx="0">
                  <c:v>Anti-HCV +</c:v>
                </c:pt>
              </c:strCache>
            </c:strRef>
          </c:tx>
          <c:cat>
            <c:strRef>
              <c:f>AUSTRALASIA!$A$22:$A$23</c:f>
              <c:strCache>
                <c:ptCount val="2"/>
                <c:pt idx="0">
                  <c:v>AUSTRALIA</c:v>
                </c:pt>
                <c:pt idx="1">
                  <c:v>NEW ZEALAND</c:v>
                </c:pt>
              </c:strCache>
            </c:strRef>
          </c:cat>
          <c:val>
            <c:numRef>
              <c:f>AUSTRALASIA!$B$22:$B$23</c:f>
              <c:numCache>
                <c:formatCode>General</c:formatCode>
                <c:ptCount val="2"/>
                <c:pt idx="0">
                  <c:v>1.7</c:v>
                </c:pt>
                <c:pt idx="1">
                  <c:v>1.9000000000000001</c:v>
                </c:pt>
              </c:numCache>
            </c:numRef>
          </c:val>
        </c:ser>
        <c:dLbls>
          <c:showLegendKey val="0"/>
          <c:showVal val="0"/>
          <c:showCatName val="0"/>
          <c:showSerName val="0"/>
          <c:showPercent val="0"/>
          <c:showBubbleSize val="0"/>
        </c:dLbls>
        <c:axId val="804065016"/>
        <c:axId val="804065408"/>
      </c:areaChart>
      <c:catAx>
        <c:axId val="804065016"/>
        <c:scaling>
          <c:orientation val="minMax"/>
        </c:scaling>
        <c:delete val="0"/>
        <c:axPos val="b"/>
        <c:numFmt formatCode="General" sourceLinked="0"/>
        <c:majorTickMark val="none"/>
        <c:minorTickMark val="none"/>
        <c:tickLblPos val="nextTo"/>
        <c:txPr>
          <a:bodyPr/>
          <a:lstStyle/>
          <a:p>
            <a:pPr>
              <a:defRPr lang="zh-CN"/>
            </a:pPr>
            <a:endParaRPr lang="en-US"/>
          </a:p>
        </c:txPr>
        <c:crossAx val="804065408"/>
        <c:crosses val="autoZero"/>
        <c:auto val="1"/>
        <c:lblAlgn val="ctr"/>
        <c:lblOffset val="100"/>
        <c:noMultiLvlLbl val="0"/>
      </c:catAx>
      <c:valAx>
        <c:axId val="804065408"/>
        <c:scaling>
          <c:orientation val="minMax"/>
          <c:max val="5"/>
        </c:scaling>
        <c:delete val="0"/>
        <c:axPos val="l"/>
        <c:numFmt formatCode="General" sourceLinked="1"/>
        <c:majorTickMark val="none"/>
        <c:minorTickMark val="none"/>
        <c:tickLblPos val="nextTo"/>
        <c:txPr>
          <a:bodyPr/>
          <a:lstStyle/>
          <a:p>
            <a:pPr>
              <a:defRPr lang="zh-CN"/>
            </a:pPr>
            <a:endParaRPr lang="en-US"/>
          </a:p>
        </c:txPr>
        <c:crossAx val="804065016"/>
        <c:crosses val="autoZero"/>
        <c:crossBetween val="midCat"/>
      </c:valAx>
    </c:plotArea>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0.36191</cdr:x>
      <cdr:y>0.04157</cdr:y>
    </cdr:from>
    <cdr:to>
      <cdr:x>0.622</cdr:x>
      <cdr:y>0.13903</cdr:y>
    </cdr:to>
    <cdr:sp macro="" textlink="">
      <cdr:nvSpPr>
        <cdr:cNvPr id="8" name="CasellaDiTesto 3"/>
        <cdr:cNvSpPr txBox="1"/>
      </cdr:nvSpPr>
      <cdr:spPr>
        <a:xfrm xmlns:a="http://schemas.openxmlformats.org/drawingml/2006/main">
          <a:off x="2214936" y="138038"/>
          <a:ext cx="1591785" cy="32359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baseline="0"/>
            <a:t>West Africa</a:t>
          </a:r>
          <a:endParaRPr lang="it-IT" sz="1100" b="1"/>
        </a:p>
      </cdr:txBody>
    </cdr:sp>
  </cdr:relSizeAnchor>
  <cdr:relSizeAnchor xmlns:cdr="http://schemas.openxmlformats.org/drawingml/2006/chartDrawing">
    <cdr:from>
      <cdr:x>0.68011</cdr:x>
      <cdr:y>0.04295</cdr:y>
    </cdr:from>
    <cdr:to>
      <cdr:x>0.94021</cdr:x>
      <cdr:y>0.14041</cdr:y>
    </cdr:to>
    <cdr:sp macro="" textlink="">
      <cdr:nvSpPr>
        <cdr:cNvPr id="11" name="CasellaDiTesto 3"/>
        <cdr:cNvSpPr txBox="1"/>
      </cdr:nvSpPr>
      <cdr:spPr>
        <a:xfrm xmlns:a="http://schemas.openxmlformats.org/drawingml/2006/main">
          <a:off x="4162362" y="142598"/>
          <a:ext cx="1591845" cy="32359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baseline="0"/>
            <a:t>East - South Africa</a:t>
          </a:r>
          <a:endParaRPr lang="it-IT" sz="1100" b="1"/>
        </a:p>
      </cdr:txBody>
    </cdr:sp>
  </cdr:relSizeAnchor>
  <cdr:relSizeAnchor xmlns:cdr="http://schemas.openxmlformats.org/drawingml/2006/chartDrawing">
    <cdr:from>
      <cdr:x>0.06537</cdr:x>
      <cdr:y>0.04016</cdr:y>
    </cdr:from>
    <cdr:to>
      <cdr:x>0.31594</cdr:x>
      <cdr:y>0.11984</cdr:y>
    </cdr:to>
    <cdr:sp macro="" textlink="">
      <cdr:nvSpPr>
        <cdr:cNvPr id="4" name="CasellaDiTesto 1"/>
        <cdr:cNvSpPr txBox="1"/>
      </cdr:nvSpPr>
      <cdr:spPr>
        <a:xfrm xmlns:a="http://schemas.openxmlformats.org/drawingml/2006/main">
          <a:off x="400050" y="133350"/>
          <a:ext cx="1533521"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Central</a:t>
          </a:r>
          <a:r>
            <a:rPr lang="it-IT" sz="1100" b="1" baseline="0"/>
            <a:t> Africa</a:t>
          </a:r>
          <a:endParaRPr lang="it-IT" sz="1100" b="1"/>
        </a:p>
      </cdr:txBody>
    </cdr:sp>
  </cdr:relSizeAnchor>
</c:userShapes>
</file>

<file path=word/drawings/drawing10.xml><?xml version="1.0" encoding="utf-8"?>
<c:userShapes xmlns:c="http://schemas.openxmlformats.org/drawingml/2006/chart">
  <cdr:relSizeAnchor xmlns:cdr="http://schemas.openxmlformats.org/drawingml/2006/chartDrawing">
    <cdr:from>
      <cdr:x>0.0592</cdr:x>
      <cdr:y>0</cdr:y>
    </cdr:from>
    <cdr:to>
      <cdr:x>0.2624</cdr:x>
      <cdr:y>0.09644</cdr:y>
    </cdr:to>
    <cdr:sp macro="" textlink="">
      <cdr:nvSpPr>
        <cdr:cNvPr id="2" name="CasellaDiTesto 3"/>
        <cdr:cNvSpPr txBox="1"/>
      </cdr:nvSpPr>
      <cdr:spPr>
        <a:xfrm xmlns:a="http://schemas.openxmlformats.org/drawingml/2006/main">
          <a:off x="352425" y="0"/>
          <a:ext cx="1209674"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l"/>
          <a:r>
            <a:rPr lang="it-IT" sz="1100" b="1"/>
            <a:t>Central</a:t>
          </a:r>
          <a:r>
            <a:rPr lang="it-IT" sz="1100" b="1" baseline="0"/>
            <a:t> Europe</a:t>
          </a:r>
          <a:endParaRPr lang="it-IT" sz="1100" b="1"/>
        </a:p>
      </cdr:txBody>
    </cdr:sp>
  </cdr:relSizeAnchor>
  <cdr:relSizeAnchor xmlns:cdr="http://schemas.openxmlformats.org/drawingml/2006/chartDrawing">
    <cdr:from>
      <cdr:x>0.2128</cdr:x>
      <cdr:y>0</cdr:y>
    </cdr:from>
    <cdr:to>
      <cdr:x>0.4128</cdr:x>
      <cdr:y>0.09644</cdr:y>
    </cdr:to>
    <cdr:sp macro="" textlink="">
      <cdr:nvSpPr>
        <cdr:cNvPr id="3" name="CasellaDiTesto 4"/>
        <cdr:cNvSpPr txBox="1"/>
      </cdr:nvSpPr>
      <cdr:spPr>
        <a:xfrm xmlns:a="http://schemas.openxmlformats.org/drawingml/2006/main">
          <a:off x="1266825" y="-9525"/>
          <a:ext cx="1190625"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Eastern </a:t>
          </a:r>
          <a:r>
            <a:rPr lang="it-IT" sz="1100" b="1" baseline="0"/>
            <a:t>Europe</a:t>
          </a:r>
          <a:endParaRPr lang="it-IT" sz="1100" b="1"/>
        </a:p>
      </cdr:txBody>
    </cdr:sp>
  </cdr:relSizeAnchor>
  <cdr:relSizeAnchor xmlns:cdr="http://schemas.openxmlformats.org/drawingml/2006/chartDrawing">
    <cdr:from>
      <cdr:x>0.5712</cdr:x>
      <cdr:y>0</cdr:y>
    </cdr:from>
    <cdr:to>
      <cdr:x>0.856</cdr:x>
      <cdr:y>0.09644</cdr:y>
    </cdr:to>
    <cdr:sp macro="" textlink="">
      <cdr:nvSpPr>
        <cdr:cNvPr id="4" name="CasellaDiTesto 6"/>
        <cdr:cNvSpPr txBox="1"/>
      </cdr:nvSpPr>
      <cdr:spPr>
        <a:xfrm xmlns:a="http://schemas.openxmlformats.org/drawingml/2006/main">
          <a:off x="3400425" y="0"/>
          <a:ext cx="1695450"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Western Europe</a:t>
          </a:r>
        </a:p>
      </cdr:txBody>
    </cdr:sp>
  </cdr:relSizeAnchor>
</c:userShapes>
</file>

<file path=word/drawings/drawing11.xml><?xml version="1.0" encoding="utf-8"?>
<c:userShapes xmlns:c="http://schemas.openxmlformats.org/drawingml/2006/chart">
  <cdr:relSizeAnchor xmlns:cdr="http://schemas.openxmlformats.org/drawingml/2006/chartDrawing">
    <cdr:from>
      <cdr:x>0.06311</cdr:x>
      <cdr:y>0.00272</cdr:y>
    </cdr:from>
    <cdr:to>
      <cdr:x>0.24123</cdr:x>
      <cdr:y>0.08647</cdr:y>
    </cdr:to>
    <cdr:sp macro="" textlink="">
      <cdr:nvSpPr>
        <cdr:cNvPr id="2" name="CasellaDiTesto 3"/>
        <cdr:cNvSpPr txBox="1"/>
      </cdr:nvSpPr>
      <cdr:spPr>
        <a:xfrm xmlns:a="http://schemas.openxmlformats.org/drawingml/2006/main">
          <a:off x="386241" y="8592"/>
          <a:ext cx="1090118"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 Central</a:t>
          </a:r>
          <a:r>
            <a:rPr lang="it-IT" sz="1100" b="1" baseline="0"/>
            <a:t> Europe</a:t>
          </a:r>
          <a:endParaRPr lang="it-IT" sz="1100" b="1"/>
        </a:p>
      </cdr:txBody>
    </cdr:sp>
  </cdr:relSizeAnchor>
  <cdr:relSizeAnchor xmlns:cdr="http://schemas.openxmlformats.org/drawingml/2006/chartDrawing">
    <cdr:from>
      <cdr:x>0.37167</cdr:x>
      <cdr:y>0.00272</cdr:y>
    </cdr:from>
    <cdr:to>
      <cdr:x>0.54698</cdr:x>
      <cdr:y>0.07819</cdr:y>
    </cdr:to>
    <cdr:sp macro="" textlink="">
      <cdr:nvSpPr>
        <cdr:cNvPr id="3" name="CasellaDiTesto 4"/>
        <cdr:cNvSpPr txBox="1"/>
      </cdr:nvSpPr>
      <cdr:spPr>
        <a:xfrm xmlns:a="http://schemas.openxmlformats.org/drawingml/2006/main">
          <a:off x="2524125" y="9525"/>
          <a:ext cx="1190625"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Eastern </a:t>
          </a:r>
          <a:r>
            <a:rPr lang="it-IT" sz="1100" b="1" baseline="0"/>
            <a:t>Europe</a:t>
          </a:r>
          <a:endParaRPr lang="it-IT" sz="1100" b="1"/>
        </a:p>
      </cdr:txBody>
    </cdr:sp>
  </cdr:relSizeAnchor>
  <cdr:relSizeAnchor xmlns:cdr="http://schemas.openxmlformats.org/drawingml/2006/chartDrawing">
    <cdr:from>
      <cdr:x>0.62973</cdr:x>
      <cdr:y>0.00272</cdr:y>
    </cdr:from>
    <cdr:to>
      <cdr:x>0.87938</cdr:x>
      <cdr:y>0.08647</cdr:y>
    </cdr:to>
    <cdr:sp macro="" textlink="">
      <cdr:nvSpPr>
        <cdr:cNvPr id="4" name="CasellaDiTesto 6"/>
        <cdr:cNvSpPr txBox="1"/>
      </cdr:nvSpPr>
      <cdr:spPr>
        <a:xfrm xmlns:a="http://schemas.openxmlformats.org/drawingml/2006/main">
          <a:off x="3854029" y="8592"/>
          <a:ext cx="1527891"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Western Europe</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0.40794</cdr:x>
      <cdr:y>0.09644</cdr:y>
    </cdr:to>
    <cdr:sp macro="" textlink="">
      <cdr:nvSpPr>
        <cdr:cNvPr id="2" name="CasellaDiTesto 3"/>
        <cdr:cNvSpPr txBox="1"/>
      </cdr:nvSpPr>
      <cdr:spPr>
        <a:xfrm xmlns:a="http://schemas.openxmlformats.org/drawingml/2006/main">
          <a:off x="0" y="0"/>
          <a:ext cx="1865098"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Central</a:t>
          </a:r>
          <a:r>
            <a:rPr lang="it-IT" sz="1100" b="1" baseline="0"/>
            <a:t> Africa</a:t>
          </a:r>
          <a:endParaRPr lang="it-IT" sz="1100" b="1"/>
        </a:p>
      </cdr:txBody>
    </cdr:sp>
  </cdr:relSizeAnchor>
  <cdr:relSizeAnchor xmlns:cdr="http://schemas.openxmlformats.org/drawingml/2006/chartDrawing">
    <cdr:from>
      <cdr:x>0.24375</cdr:x>
      <cdr:y>0</cdr:y>
    </cdr:from>
    <cdr:to>
      <cdr:x>0.65169</cdr:x>
      <cdr:y>0.09644</cdr:y>
    </cdr:to>
    <cdr:sp macro="" textlink="">
      <cdr:nvSpPr>
        <cdr:cNvPr id="3" name="CasellaDiTesto 3"/>
        <cdr:cNvSpPr txBox="1"/>
      </cdr:nvSpPr>
      <cdr:spPr>
        <a:xfrm xmlns:a="http://schemas.openxmlformats.org/drawingml/2006/main">
          <a:off x="1114425" y="0"/>
          <a:ext cx="1865098"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baseline="0"/>
            <a:t>West Africa</a:t>
          </a:r>
          <a:endParaRPr lang="it-IT" sz="1100" b="1"/>
        </a:p>
      </cdr:txBody>
    </cdr:sp>
  </cdr:relSizeAnchor>
  <cdr:relSizeAnchor xmlns:cdr="http://schemas.openxmlformats.org/drawingml/2006/chartDrawing">
    <cdr:from>
      <cdr:x>0.52917</cdr:x>
      <cdr:y>0.00347</cdr:y>
    </cdr:from>
    <cdr:to>
      <cdr:x>0.93711</cdr:x>
      <cdr:y>0.09991</cdr:y>
    </cdr:to>
    <cdr:sp macro="" textlink="">
      <cdr:nvSpPr>
        <cdr:cNvPr id="5" name="CasellaDiTesto 1"/>
        <cdr:cNvSpPr txBox="1"/>
      </cdr:nvSpPr>
      <cdr:spPr>
        <a:xfrm xmlns:a="http://schemas.openxmlformats.org/drawingml/2006/main">
          <a:off x="2419350" y="9525"/>
          <a:ext cx="1865098"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baseline="0"/>
            <a:t>East-South Africa</a:t>
          </a:r>
          <a:endParaRPr lang="it-IT"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0.08958</cdr:x>
      <cdr:y>0.03125</cdr:y>
    </cdr:from>
    <cdr:to>
      <cdr:x>0.94792</cdr:x>
      <cdr:y>0.1334</cdr:y>
    </cdr:to>
    <cdr:sp macro="" textlink="">
      <cdr:nvSpPr>
        <cdr:cNvPr id="2" name="CasellaDiTesto 2"/>
        <cdr:cNvSpPr txBox="1"/>
      </cdr:nvSpPr>
      <cdr:spPr>
        <a:xfrm xmlns:a="http://schemas.openxmlformats.org/drawingml/2006/main">
          <a:off x="409575" y="85725"/>
          <a:ext cx="3924300" cy="28020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ctr">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200" b="1"/>
            <a:t>North Africa / Middle East </a:t>
          </a:r>
        </a:p>
      </cdr:txBody>
    </cdr:sp>
  </cdr:relSizeAnchor>
</c:userShapes>
</file>

<file path=word/drawings/drawing4.xml><?xml version="1.0" encoding="utf-8"?>
<c:userShapes xmlns:c="http://schemas.openxmlformats.org/drawingml/2006/chart">
  <cdr:relSizeAnchor xmlns:cdr="http://schemas.openxmlformats.org/drawingml/2006/chartDrawing">
    <cdr:from>
      <cdr:x>0.08795</cdr:x>
      <cdr:y>0.02083</cdr:y>
    </cdr:from>
    <cdr:to>
      <cdr:x>0.87572</cdr:x>
      <cdr:y>0.12298</cdr:y>
    </cdr:to>
    <cdr:sp macro="" textlink="">
      <cdr:nvSpPr>
        <cdr:cNvPr id="2" name="CasellaDiTesto 2"/>
        <cdr:cNvSpPr txBox="1"/>
      </cdr:nvSpPr>
      <cdr:spPr>
        <a:xfrm xmlns:a="http://schemas.openxmlformats.org/drawingml/2006/main">
          <a:off x="438150" y="57150"/>
          <a:ext cx="3924300" cy="28020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ctr">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200" b="1"/>
            <a:t>North Africa / Middle East </a:t>
          </a:r>
        </a:p>
      </cdr:txBody>
    </cdr:sp>
  </cdr:relSizeAnchor>
</c:userShapes>
</file>

<file path=word/drawings/drawing5.xml><?xml version="1.0" encoding="utf-8"?>
<c:userShapes xmlns:c="http://schemas.openxmlformats.org/drawingml/2006/chart">
  <cdr:relSizeAnchor xmlns:cdr="http://schemas.openxmlformats.org/drawingml/2006/chartDrawing">
    <cdr:from>
      <cdr:x>0.07516</cdr:x>
      <cdr:y>0.05903</cdr:y>
    </cdr:from>
    <cdr:to>
      <cdr:x>0.94771</cdr:x>
      <cdr:y>0.39236</cdr:y>
    </cdr:to>
    <cdr:sp macro="" textlink="">
      <cdr:nvSpPr>
        <cdr:cNvPr id="2" name="CasellaDiTesto 1"/>
        <cdr:cNvSpPr txBox="1"/>
      </cdr:nvSpPr>
      <cdr:spPr>
        <a:xfrm xmlns:a="http://schemas.openxmlformats.org/drawingml/2006/main">
          <a:off x="438150" y="161925"/>
          <a:ext cx="508635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t-IT" sz="1800"/>
            <a:t>Americas</a:t>
          </a:r>
        </a:p>
      </cdr:txBody>
    </cdr:sp>
  </cdr:relSizeAnchor>
</c:userShapes>
</file>

<file path=word/drawings/drawing6.xml><?xml version="1.0" encoding="utf-8"?>
<c:userShapes xmlns:c="http://schemas.openxmlformats.org/drawingml/2006/chart">
  <cdr:relSizeAnchor xmlns:cdr="http://schemas.openxmlformats.org/drawingml/2006/chartDrawing">
    <cdr:from>
      <cdr:x>0.18854</cdr:x>
      <cdr:y>0</cdr:y>
    </cdr:from>
    <cdr:to>
      <cdr:x>0.80995</cdr:x>
      <cdr:y>0.33333</cdr:y>
    </cdr:to>
    <cdr:sp macro="" textlink="">
      <cdr:nvSpPr>
        <cdr:cNvPr id="2" name="CasellaDiTesto 1"/>
        <cdr:cNvSpPr txBox="1"/>
      </cdr:nvSpPr>
      <cdr:spPr>
        <a:xfrm xmlns:a="http://schemas.openxmlformats.org/drawingml/2006/main">
          <a:off x="1190625" y="0"/>
          <a:ext cx="3924285" cy="9143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t-IT" sz="1800"/>
            <a:t>Americas</a:t>
          </a:r>
        </a:p>
      </cdr:txBody>
    </cdr:sp>
  </cdr:relSizeAnchor>
</c:userShapes>
</file>

<file path=word/drawings/drawing7.xml><?xml version="1.0" encoding="utf-8"?>
<c:userShapes xmlns:c="http://schemas.openxmlformats.org/drawingml/2006/chart">
  <cdr:relSizeAnchor xmlns:cdr="http://schemas.openxmlformats.org/drawingml/2006/chartDrawing">
    <cdr:from>
      <cdr:x>0.13198</cdr:x>
      <cdr:y>0.0133</cdr:y>
    </cdr:from>
    <cdr:to>
      <cdr:x>0.43655</cdr:x>
      <cdr:y>0.08717</cdr:y>
    </cdr:to>
    <cdr:sp macro="" textlink="">
      <cdr:nvSpPr>
        <cdr:cNvPr id="2" name="CasellaDiTesto 6"/>
        <cdr:cNvSpPr txBox="1"/>
      </cdr:nvSpPr>
      <cdr:spPr>
        <a:xfrm xmlns:a="http://schemas.openxmlformats.org/drawingml/2006/main">
          <a:off x="742950" y="47625"/>
          <a:ext cx="1714500"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Pacific and Central</a:t>
          </a:r>
          <a:r>
            <a:rPr lang="it-IT" sz="1100" b="1" baseline="0"/>
            <a:t> </a:t>
          </a:r>
          <a:r>
            <a:rPr lang="it-IT" sz="1100" b="1"/>
            <a:t>Asia </a:t>
          </a:r>
        </a:p>
      </cdr:txBody>
    </cdr:sp>
  </cdr:relSizeAnchor>
  <cdr:relSizeAnchor xmlns:cdr="http://schemas.openxmlformats.org/drawingml/2006/chartDrawing">
    <cdr:from>
      <cdr:x>0.48562</cdr:x>
      <cdr:y>0.01862</cdr:y>
    </cdr:from>
    <cdr:to>
      <cdr:x>0.75465</cdr:x>
      <cdr:y>0.10389</cdr:y>
    </cdr:to>
    <cdr:sp macro="" textlink="">
      <cdr:nvSpPr>
        <cdr:cNvPr id="3" name="CasellaDiTesto 8"/>
        <cdr:cNvSpPr txBox="1"/>
      </cdr:nvSpPr>
      <cdr:spPr>
        <a:xfrm xmlns:a="http://schemas.openxmlformats.org/drawingml/2006/main">
          <a:off x="2664306" y="57771"/>
          <a:ext cx="1476006"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East and South</a:t>
          </a:r>
          <a:r>
            <a:rPr lang="it-IT" sz="1100" b="1">
              <a:solidFill>
                <a:sysClr val="windowText" lastClr="000000"/>
              </a:solidFill>
              <a:latin typeface="Calibri"/>
              <a:ea typeface="+mn-ea"/>
              <a:cs typeface="+mn-cs"/>
            </a:rPr>
            <a:t> </a:t>
          </a:r>
          <a:r>
            <a:rPr lang="it-IT" sz="1100" b="1"/>
            <a:t>Asia </a:t>
          </a:r>
        </a:p>
      </cdr:txBody>
    </cdr:sp>
  </cdr:relSizeAnchor>
  <cdr:relSizeAnchor xmlns:cdr="http://schemas.openxmlformats.org/drawingml/2006/chartDrawing">
    <cdr:from>
      <cdr:x>0.74788</cdr:x>
      <cdr:y>0.01596</cdr:y>
    </cdr:from>
    <cdr:to>
      <cdr:x>0.93909</cdr:x>
      <cdr:y>0.08983</cdr:y>
    </cdr:to>
    <cdr:sp macro="" textlink="">
      <cdr:nvSpPr>
        <cdr:cNvPr id="4" name="CasellaDiTesto 9"/>
        <cdr:cNvSpPr txBox="1"/>
      </cdr:nvSpPr>
      <cdr:spPr>
        <a:xfrm xmlns:a="http://schemas.openxmlformats.org/drawingml/2006/main">
          <a:off x="4210050" y="57150"/>
          <a:ext cx="1076325"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Southeast Asia </a:t>
          </a:r>
        </a:p>
      </cdr:txBody>
    </cdr:sp>
  </cdr:relSizeAnchor>
</c:userShapes>
</file>

<file path=word/drawings/drawing8.xml><?xml version="1.0" encoding="utf-8"?>
<c:userShapes xmlns:c="http://schemas.openxmlformats.org/drawingml/2006/chart">
  <cdr:relSizeAnchor xmlns:cdr="http://schemas.openxmlformats.org/drawingml/2006/chartDrawing">
    <cdr:from>
      <cdr:x>0.09194</cdr:x>
      <cdr:y>0.03458</cdr:y>
    </cdr:from>
    <cdr:to>
      <cdr:x>0.40289</cdr:x>
      <cdr:y>0.11079</cdr:y>
    </cdr:to>
    <cdr:sp macro="" textlink="">
      <cdr:nvSpPr>
        <cdr:cNvPr id="4" name="CasellaDiTesto 6"/>
        <cdr:cNvSpPr txBox="1"/>
      </cdr:nvSpPr>
      <cdr:spPr>
        <a:xfrm xmlns:a="http://schemas.openxmlformats.org/drawingml/2006/main">
          <a:off x="542925" y="114300"/>
          <a:ext cx="1836352" cy="25189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Pacific and Central</a:t>
          </a:r>
          <a:r>
            <a:rPr lang="it-IT" sz="1100" b="1" baseline="0"/>
            <a:t> </a:t>
          </a:r>
          <a:r>
            <a:rPr lang="it-IT" sz="1100" b="1"/>
            <a:t>Asia </a:t>
          </a:r>
        </a:p>
      </cdr:txBody>
    </cdr:sp>
  </cdr:relSizeAnchor>
  <cdr:relSizeAnchor xmlns:cdr="http://schemas.openxmlformats.org/drawingml/2006/chartDrawing">
    <cdr:from>
      <cdr:x>0.37419</cdr:x>
      <cdr:y>0.02882</cdr:y>
    </cdr:from>
    <cdr:to>
      <cdr:x>0.64886</cdr:x>
      <cdr:y>0.11499</cdr:y>
    </cdr:to>
    <cdr:sp macro="" textlink="">
      <cdr:nvSpPr>
        <cdr:cNvPr id="5" name="CasellaDiTesto 8"/>
        <cdr:cNvSpPr txBox="1"/>
      </cdr:nvSpPr>
      <cdr:spPr>
        <a:xfrm xmlns:a="http://schemas.openxmlformats.org/drawingml/2006/main">
          <a:off x="2052956" y="88484"/>
          <a:ext cx="1506950" cy="2645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East and South</a:t>
          </a:r>
          <a:r>
            <a:rPr lang="it-IT" sz="1100" b="1">
              <a:solidFill>
                <a:sysClr val="windowText" lastClr="000000"/>
              </a:solidFill>
              <a:latin typeface="Calibri"/>
              <a:ea typeface="+mn-ea"/>
              <a:cs typeface="+mn-cs"/>
            </a:rPr>
            <a:t> </a:t>
          </a:r>
          <a:r>
            <a:rPr lang="it-IT" sz="1100" b="1"/>
            <a:t>Asia </a:t>
          </a:r>
        </a:p>
      </cdr:txBody>
    </cdr:sp>
  </cdr:relSizeAnchor>
  <cdr:relSizeAnchor xmlns:cdr="http://schemas.openxmlformats.org/drawingml/2006/chartDrawing">
    <cdr:from>
      <cdr:x>0.66774</cdr:x>
      <cdr:y>0.02305</cdr:y>
    </cdr:from>
    <cdr:to>
      <cdr:x>0.86296</cdr:x>
      <cdr:y>0.09927</cdr:y>
    </cdr:to>
    <cdr:sp macro="" textlink="">
      <cdr:nvSpPr>
        <cdr:cNvPr id="6" name="CasellaDiTesto 9"/>
        <cdr:cNvSpPr txBox="1"/>
      </cdr:nvSpPr>
      <cdr:spPr>
        <a:xfrm xmlns:a="http://schemas.openxmlformats.org/drawingml/2006/main">
          <a:off x="3943350" y="76200"/>
          <a:ext cx="1152867" cy="25189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100" b="1"/>
            <a:t>Southeast Asia </a:t>
          </a:r>
        </a:p>
      </cdr:txBody>
    </cdr:sp>
  </cdr:relSizeAnchor>
</c:userShapes>
</file>

<file path=word/drawings/drawing9.xml><?xml version="1.0" encoding="utf-8"?>
<c:userShapes xmlns:c="http://schemas.openxmlformats.org/drawingml/2006/chart">
  <cdr:relSizeAnchor xmlns:cdr="http://schemas.openxmlformats.org/drawingml/2006/chartDrawing">
    <cdr:from>
      <cdr:x>0.2704</cdr:x>
      <cdr:y>0.01984</cdr:y>
    </cdr:from>
    <cdr:to>
      <cdr:x>0.7198</cdr:x>
      <cdr:y>0.13658</cdr:y>
    </cdr:to>
    <cdr:sp macro="" textlink="">
      <cdr:nvSpPr>
        <cdr:cNvPr id="4" name="CasellaDiTesto 6"/>
        <cdr:cNvSpPr txBox="1"/>
      </cdr:nvSpPr>
      <cdr:spPr>
        <a:xfrm xmlns:a="http://schemas.openxmlformats.org/drawingml/2006/main">
          <a:off x="1104900" y="47625"/>
          <a:ext cx="1836352" cy="28020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t-IT" sz="1200" b="1">
              <a:latin typeface="Book Antiqua" pitchFamily="18" charset="0"/>
            </a:rPr>
            <a:t>Australasia</a:t>
          </a:r>
          <a:r>
            <a:rPr lang="it-IT" sz="1100" b="1"/>
            <a:t> </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D2B0-168A-4800-B676-1C5FBECE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11237</Words>
  <Characters>64053</Characters>
  <Application>Microsoft Office Word</Application>
  <DocSecurity>0</DocSecurity>
  <Lines>533</Lines>
  <Paragraphs>150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AGE AND GENDER DISTRIBUTION OF HEPATITIS C VIRUS (HCV) GENOTYPES IN THE METROPOLITAN AREA OF NAPLES</vt:lpstr>
      <vt:lpstr>AGE AND GENDER DISTRIBUTION OF HEPATITIS C VIRUS (HCV) GENOTYPES IN THE METROPOLITAN AREA OF NAPLES</vt:lpstr>
    </vt:vector>
  </TitlesOfParts>
  <Company>family</Company>
  <LinksUpToDate>false</LinksUpToDate>
  <CharactersWithSpaces>75140</CharactersWithSpaces>
  <SharedDoc>false</SharedDoc>
  <HLinks>
    <vt:vector size="234" baseType="variant">
      <vt:variant>
        <vt:i4>917606</vt:i4>
      </vt:variant>
      <vt:variant>
        <vt:i4>114</vt:i4>
      </vt:variant>
      <vt:variant>
        <vt:i4>0</vt:i4>
      </vt:variant>
      <vt:variant>
        <vt:i4>5</vt:i4>
      </vt:variant>
      <vt:variant>
        <vt:lpwstr>http://www.ncbi.nlm.nih.gov/pubmed?term=Sakamoto%20N%5BAuthor%5D&amp;cauthor=true&amp;cauthor_uid=19749757</vt:lpwstr>
      </vt:variant>
      <vt:variant>
        <vt:lpwstr/>
      </vt:variant>
      <vt:variant>
        <vt:i4>852089</vt:i4>
      </vt:variant>
      <vt:variant>
        <vt:i4>111</vt:i4>
      </vt:variant>
      <vt:variant>
        <vt:i4>0</vt:i4>
      </vt:variant>
      <vt:variant>
        <vt:i4>5</vt:i4>
      </vt:variant>
      <vt:variant>
        <vt:lpwstr>http://www.ncbi.nlm.nih.gov/pubmed?term=Matsuura%20K%5BAuthor%5D&amp;cauthor=true&amp;cauthor_uid=19749757</vt:lpwstr>
      </vt:variant>
      <vt:variant>
        <vt:lpwstr/>
      </vt:variant>
      <vt:variant>
        <vt:i4>2031718</vt:i4>
      </vt:variant>
      <vt:variant>
        <vt:i4>108</vt:i4>
      </vt:variant>
      <vt:variant>
        <vt:i4>0</vt:i4>
      </vt:variant>
      <vt:variant>
        <vt:i4>5</vt:i4>
      </vt:variant>
      <vt:variant>
        <vt:lpwstr>http://www.ncbi.nlm.nih.gov/pubmed?term=Kurosaki%20M%5BAuthor%5D&amp;cauthor=true&amp;cauthor_uid=19749757</vt:lpwstr>
      </vt:variant>
      <vt:variant>
        <vt:lpwstr/>
      </vt:variant>
      <vt:variant>
        <vt:i4>3407939</vt:i4>
      </vt:variant>
      <vt:variant>
        <vt:i4>105</vt:i4>
      </vt:variant>
      <vt:variant>
        <vt:i4>0</vt:i4>
      </vt:variant>
      <vt:variant>
        <vt:i4>5</vt:i4>
      </vt:variant>
      <vt:variant>
        <vt:lpwstr>http://www.ncbi.nlm.nih.gov/pubmed?term=Urban%20TJ%5BAuthor%5D&amp;cauthor=true&amp;cauthor_uid=19684573</vt:lpwstr>
      </vt:variant>
      <vt:variant>
        <vt:lpwstr/>
      </vt:variant>
      <vt:variant>
        <vt:i4>6029360</vt:i4>
      </vt:variant>
      <vt:variant>
        <vt:i4>102</vt:i4>
      </vt:variant>
      <vt:variant>
        <vt:i4>0</vt:i4>
      </vt:variant>
      <vt:variant>
        <vt:i4>5</vt:i4>
      </vt:variant>
      <vt:variant>
        <vt:lpwstr>http://www.ncbi.nlm.nih.gov/pubmed?term=Shianna%20KV%5BAuthor%5D&amp;cauthor=true&amp;cauthor_uid=19684573</vt:lpwstr>
      </vt:variant>
      <vt:variant>
        <vt:lpwstr/>
      </vt:variant>
      <vt:variant>
        <vt:i4>3670100</vt:i4>
      </vt:variant>
      <vt:variant>
        <vt:i4>99</vt:i4>
      </vt:variant>
      <vt:variant>
        <vt:i4>0</vt:i4>
      </vt:variant>
      <vt:variant>
        <vt:i4>5</vt:i4>
      </vt:variant>
      <vt:variant>
        <vt:lpwstr>http://www.ncbi.nlm.nih.gov/pubmed?term=Simon%20JS%5BAuthor%5D&amp;cauthor=true&amp;cauthor_uid=19684573</vt:lpwstr>
      </vt:variant>
      <vt:variant>
        <vt:lpwstr/>
      </vt:variant>
      <vt:variant>
        <vt:i4>6226022</vt:i4>
      </vt:variant>
      <vt:variant>
        <vt:i4>96</vt:i4>
      </vt:variant>
      <vt:variant>
        <vt:i4>0</vt:i4>
      </vt:variant>
      <vt:variant>
        <vt:i4>5</vt:i4>
      </vt:variant>
      <vt:variant>
        <vt:lpwstr>http://www.ncbi.nlm.nih.gov/pubmed?term=O'Huigin%20C%5BAuthor%5D&amp;cauthor=true&amp;cauthor_uid=19759533</vt:lpwstr>
      </vt:variant>
      <vt:variant>
        <vt:lpwstr/>
      </vt:variant>
      <vt:variant>
        <vt:i4>6684678</vt:i4>
      </vt:variant>
      <vt:variant>
        <vt:i4>93</vt:i4>
      </vt:variant>
      <vt:variant>
        <vt:i4>0</vt:i4>
      </vt:variant>
      <vt:variant>
        <vt:i4>5</vt:i4>
      </vt:variant>
      <vt:variant>
        <vt:lpwstr>http://www.ncbi.nlm.nih.gov/pubmed?term=Ge%20D%5BAuthor%5D&amp;cauthor=true&amp;cauthor_uid=19759533</vt:lpwstr>
      </vt:variant>
      <vt:variant>
        <vt:lpwstr/>
      </vt:variant>
      <vt:variant>
        <vt:i4>7798800</vt:i4>
      </vt:variant>
      <vt:variant>
        <vt:i4>90</vt:i4>
      </vt:variant>
      <vt:variant>
        <vt:i4>0</vt:i4>
      </vt:variant>
      <vt:variant>
        <vt:i4>5</vt:i4>
      </vt:variant>
      <vt:variant>
        <vt:lpwstr>http://www.ncbi.nlm.nih.gov/pubmed?term=Qi%20Y%5BAuthor%5D&amp;cauthor=true&amp;cauthor_uid=19759533</vt:lpwstr>
      </vt:variant>
      <vt:variant>
        <vt:lpwstr/>
      </vt:variant>
      <vt:variant>
        <vt:i4>3539064</vt:i4>
      </vt:variant>
      <vt:variant>
        <vt:i4>87</vt:i4>
      </vt:variant>
      <vt:variant>
        <vt:i4>0</vt:i4>
      </vt:variant>
      <vt:variant>
        <vt:i4>5</vt:i4>
      </vt:variant>
      <vt:variant>
        <vt:lpwstr>http://www.ncbi.nlm.nih.gov/pubmed/?term=Abdominal+fat+interacts+with+PNPLA3+I148M%2C+but+not+with+the+APOC3+variant+in+the+pathogenesis+of+liver+steatosis+in+chronic+hepatitis+C</vt:lpwstr>
      </vt:variant>
      <vt:variant>
        <vt:lpwstr/>
      </vt:variant>
      <vt:variant>
        <vt:i4>6684699</vt:i4>
      </vt:variant>
      <vt:variant>
        <vt:i4>84</vt:i4>
      </vt:variant>
      <vt:variant>
        <vt:i4>0</vt:i4>
      </vt:variant>
      <vt:variant>
        <vt:i4>5</vt:i4>
      </vt:variant>
      <vt:variant>
        <vt:lpwstr>http://www.ncbi.nlm.nih.gov/pubmed?term=Macera%20M%5BAuthor%5D&amp;cauthor=true&amp;cauthor_uid=23808989</vt:lpwstr>
      </vt:variant>
      <vt:variant>
        <vt:lpwstr/>
      </vt:variant>
      <vt:variant>
        <vt:i4>2031654</vt:i4>
      </vt:variant>
      <vt:variant>
        <vt:i4>81</vt:i4>
      </vt:variant>
      <vt:variant>
        <vt:i4>0</vt:i4>
      </vt:variant>
      <vt:variant>
        <vt:i4>5</vt:i4>
      </vt:variant>
      <vt:variant>
        <vt:lpwstr>http://www.ncbi.nlm.nih.gov/pubmed?term=Marrone%20A%5BAuthor%5D&amp;cauthor=true&amp;cauthor_uid=23808989</vt:lpwstr>
      </vt:variant>
      <vt:variant>
        <vt:lpwstr/>
      </vt:variant>
      <vt:variant>
        <vt:i4>1114210</vt:i4>
      </vt:variant>
      <vt:variant>
        <vt:i4>78</vt:i4>
      </vt:variant>
      <vt:variant>
        <vt:i4>0</vt:i4>
      </vt:variant>
      <vt:variant>
        <vt:i4>5</vt:i4>
      </vt:variant>
      <vt:variant>
        <vt:lpwstr>http://www.ncbi.nlm.nih.gov/pubmed?term=Pisaturo%20M%5BAuthor%5D&amp;cauthor=true&amp;cauthor_uid=23808989</vt:lpwstr>
      </vt:variant>
      <vt:variant>
        <vt:lpwstr/>
      </vt:variant>
      <vt:variant>
        <vt:i4>6422537</vt:i4>
      </vt:variant>
      <vt:variant>
        <vt:i4>75</vt:i4>
      </vt:variant>
      <vt:variant>
        <vt:i4>0</vt:i4>
      </vt:variant>
      <vt:variant>
        <vt:i4>5</vt:i4>
      </vt:variant>
      <vt:variant>
        <vt:lpwstr>http://www.ncbi.nlm.nih.gov/pubmed?term=Boemio%20A%5BAuthor%5D&amp;cauthor=true&amp;cauthor_uid=23808989</vt:lpwstr>
      </vt:variant>
      <vt:variant>
        <vt:lpwstr/>
      </vt:variant>
      <vt:variant>
        <vt:i4>917543</vt:i4>
      </vt:variant>
      <vt:variant>
        <vt:i4>72</vt:i4>
      </vt:variant>
      <vt:variant>
        <vt:i4>0</vt:i4>
      </vt:variant>
      <vt:variant>
        <vt:i4>5</vt:i4>
      </vt:variant>
      <vt:variant>
        <vt:lpwstr>http://www.ncbi.nlm.nih.gov/pubmed?term=Cirillo%20G%5BAuthor%5D&amp;cauthor=true&amp;cauthor_uid=23808989</vt:lpwstr>
      </vt:variant>
      <vt:variant>
        <vt:lpwstr/>
      </vt:variant>
      <vt:variant>
        <vt:i4>1114145</vt:i4>
      </vt:variant>
      <vt:variant>
        <vt:i4>69</vt:i4>
      </vt:variant>
      <vt:variant>
        <vt:i4>0</vt:i4>
      </vt:variant>
      <vt:variant>
        <vt:i4>5</vt:i4>
      </vt:variant>
      <vt:variant>
        <vt:lpwstr>http://www.ncbi.nlm.nih.gov/pubmed?term=Coppola%20N%5BAuthor%5D&amp;cauthor=true&amp;cauthor_uid=23808989</vt:lpwstr>
      </vt:variant>
      <vt:variant>
        <vt:lpwstr/>
      </vt:variant>
      <vt:variant>
        <vt:i4>1900593</vt:i4>
      </vt:variant>
      <vt:variant>
        <vt:i4>66</vt:i4>
      </vt:variant>
      <vt:variant>
        <vt:i4>0</vt:i4>
      </vt:variant>
      <vt:variant>
        <vt:i4>5</vt:i4>
      </vt:variant>
      <vt:variant>
        <vt:lpwstr>http://www.ncbi.nlm.nih.gov/pubmed?term=Zampino%20R%5BAuthor%5D&amp;cauthor=true&amp;cauthor_uid=23808989</vt:lpwstr>
      </vt:variant>
      <vt:variant>
        <vt:lpwstr/>
      </vt:variant>
      <vt:variant>
        <vt:i4>3145788</vt:i4>
      </vt:variant>
      <vt:variant>
        <vt:i4>63</vt:i4>
      </vt:variant>
      <vt:variant>
        <vt:i4>0</vt:i4>
      </vt:variant>
      <vt:variant>
        <vt:i4>5</vt:i4>
      </vt:variant>
      <vt:variant>
        <vt:lpwstr>http://www.ncbi.nlm.nih.gov/pubmed/?term=Clinical+presentation%2C+outcome%2C+and+response+to+therapy+among+patients+with+acute+exacerbation+of+chronic+hepatitis+C</vt:lpwstr>
      </vt:variant>
      <vt:variant>
        <vt:lpwstr/>
      </vt:variant>
      <vt:variant>
        <vt:i4>196651</vt:i4>
      </vt:variant>
      <vt:variant>
        <vt:i4>60</vt:i4>
      </vt:variant>
      <vt:variant>
        <vt:i4>0</vt:i4>
      </vt:variant>
      <vt:variant>
        <vt:i4>5</vt:i4>
      </vt:variant>
      <vt:variant>
        <vt:lpwstr>http://www.ncbi.nlm.nih.gov/pubmed?term=Starace%20M%5BAuthor%5D&amp;cauthor=true&amp;cauthor_uid=23591280</vt:lpwstr>
      </vt:variant>
      <vt:variant>
        <vt:lpwstr/>
      </vt:variant>
      <vt:variant>
        <vt:i4>786558</vt:i4>
      </vt:variant>
      <vt:variant>
        <vt:i4>57</vt:i4>
      </vt:variant>
      <vt:variant>
        <vt:i4>0</vt:i4>
      </vt:variant>
      <vt:variant>
        <vt:i4>5</vt:i4>
      </vt:variant>
      <vt:variant>
        <vt:lpwstr>http://www.ncbi.nlm.nih.gov/pubmed?term=Sagnelli%20C%5BAuthor%5D&amp;cauthor=true&amp;cauthor_uid=23591280</vt:lpwstr>
      </vt:variant>
      <vt:variant>
        <vt:lpwstr/>
      </vt:variant>
      <vt:variant>
        <vt:i4>1048612</vt:i4>
      </vt:variant>
      <vt:variant>
        <vt:i4>54</vt:i4>
      </vt:variant>
      <vt:variant>
        <vt:i4>0</vt:i4>
      </vt:variant>
      <vt:variant>
        <vt:i4>5</vt:i4>
      </vt:variant>
      <vt:variant>
        <vt:lpwstr>http://www.ncbi.nlm.nih.gov/pubmed?term=Alessio%20L%5BAuthor%5D&amp;cauthor=true&amp;cauthor_uid=23591280</vt:lpwstr>
      </vt:variant>
      <vt:variant>
        <vt:lpwstr/>
      </vt:variant>
      <vt:variant>
        <vt:i4>1966128</vt:i4>
      </vt:variant>
      <vt:variant>
        <vt:i4>51</vt:i4>
      </vt:variant>
      <vt:variant>
        <vt:i4>0</vt:i4>
      </vt:variant>
      <vt:variant>
        <vt:i4>5</vt:i4>
      </vt:variant>
      <vt:variant>
        <vt:lpwstr>http://www.ncbi.nlm.nih.gov/pubmed?term=Messina%20V%5BAuthor%5D&amp;cauthor=true&amp;cauthor_uid=23591280</vt:lpwstr>
      </vt:variant>
      <vt:variant>
        <vt:lpwstr/>
      </vt:variant>
      <vt:variant>
        <vt:i4>8061023</vt:i4>
      </vt:variant>
      <vt:variant>
        <vt:i4>48</vt:i4>
      </vt:variant>
      <vt:variant>
        <vt:i4>0</vt:i4>
      </vt:variant>
      <vt:variant>
        <vt:i4>5</vt:i4>
      </vt:variant>
      <vt:variant>
        <vt:lpwstr>http://www.ncbi.nlm.nih.gov/pubmed?term=Stanzione%20M%5BAuthor%5D&amp;cauthor=true&amp;cauthor_uid=23591280</vt:lpwstr>
      </vt:variant>
      <vt:variant>
        <vt:lpwstr/>
      </vt:variant>
      <vt:variant>
        <vt:i4>1704038</vt:i4>
      </vt:variant>
      <vt:variant>
        <vt:i4>45</vt:i4>
      </vt:variant>
      <vt:variant>
        <vt:i4>0</vt:i4>
      </vt:variant>
      <vt:variant>
        <vt:i4>5</vt:i4>
      </vt:variant>
      <vt:variant>
        <vt:lpwstr>http://www.ncbi.nlm.nih.gov/pubmed?term=Pisaturo%20M%5BAuthor%5D&amp;cauthor=true&amp;cauthor_uid=23591280</vt:lpwstr>
      </vt:variant>
      <vt:variant>
        <vt:lpwstr/>
      </vt:variant>
      <vt:variant>
        <vt:i4>655486</vt:i4>
      </vt:variant>
      <vt:variant>
        <vt:i4>42</vt:i4>
      </vt:variant>
      <vt:variant>
        <vt:i4>0</vt:i4>
      </vt:variant>
      <vt:variant>
        <vt:i4>5</vt:i4>
      </vt:variant>
      <vt:variant>
        <vt:lpwstr>http://www.ncbi.nlm.nih.gov/pubmed?term=Sagnelli%20E%5BAuthor%5D&amp;cauthor=true&amp;cauthor_uid=23591280</vt:lpwstr>
      </vt:variant>
      <vt:variant>
        <vt:lpwstr/>
      </vt:variant>
      <vt:variant>
        <vt:i4>3670061</vt:i4>
      </vt:variant>
      <vt:variant>
        <vt:i4>39</vt:i4>
      </vt:variant>
      <vt:variant>
        <vt:i4>0</vt:i4>
      </vt:variant>
      <vt:variant>
        <vt:i4>5</vt:i4>
      </vt:variant>
      <vt:variant>
        <vt:lpwstr>http://www.ncbi.nlm.nih.gov/pubmed/11439948</vt:lpwstr>
      </vt:variant>
      <vt:variant>
        <vt:lpwstr/>
      </vt:variant>
      <vt:variant>
        <vt:i4>3211302</vt:i4>
      </vt:variant>
      <vt:variant>
        <vt:i4>36</vt:i4>
      </vt:variant>
      <vt:variant>
        <vt:i4>0</vt:i4>
      </vt:variant>
      <vt:variant>
        <vt:i4>5</vt:i4>
      </vt:variant>
      <vt:variant>
        <vt:lpwstr>http://www.ncbi.nlm.nih.gov/pubmed/16225479</vt:lpwstr>
      </vt:variant>
      <vt:variant>
        <vt:lpwstr/>
      </vt:variant>
      <vt:variant>
        <vt:i4>7864326</vt:i4>
      </vt:variant>
      <vt:variant>
        <vt:i4>33</vt:i4>
      </vt:variant>
      <vt:variant>
        <vt:i4>0</vt:i4>
      </vt:variant>
      <vt:variant>
        <vt:i4>5</vt:i4>
      </vt:variant>
      <vt:variant>
        <vt:lpwstr>http://www.ncbi.nlm.nih.gov/pubmed?term=Pistis%20R%5BAuthor%5D&amp;cauthor=true&amp;cauthor_uid=16225479</vt:lpwstr>
      </vt:variant>
      <vt:variant>
        <vt:lpwstr/>
      </vt:variant>
      <vt:variant>
        <vt:i4>786469</vt:i4>
      </vt:variant>
      <vt:variant>
        <vt:i4>30</vt:i4>
      </vt:variant>
      <vt:variant>
        <vt:i4>0</vt:i4>
      </vt:variant>
      <vt:variant>
        <vt:i4>5</vt:i4>
      </vt:variant>
      <vt:variant>
        <vt:lpwstr>http://www.ncbi.nlm.nih.gov/pubmed?term=Ferrari%20A%5BAuthor%5D&amp;cauthor=true&amp;cauthor_uid=16225479</vt:lpwstr>
      </vt:variant>
      <vt:variant>
        <vt:lpwstr/>
      </vt:variant>
      <vt:variant>
        <vt:i4>6357074</vt:i4>
      </vt:variant>
      <vt:variant>
        <vt:i4>27</vt:i4>
      </vt:variant>
      <vt:variant>
        <vt:i4>0</vt:i4>
      </vt:variant>
      <vt:variant>
        <vt:i4>5</vt:i4>
      </vt:variant>
      <vt:variant>
        <vt:lpwstr>http://www.ncbi.nlm.nih.gov/pubmed?term=Vario%20A%5BAuthor%5D&amp;cauthor=true&amp;cauthor_uid=16225479</vt:lpwstr>
      </vt:variant>
      <vt:variant>
        <vt:lpwstr/>
      </vt:variant>
      <vt:variant>
        <vt:i4>1310753</vt:i4>
      </vt:variant>
      <vt:variant>
        <vt:i4>24</vt:i4>
      </vt:variant>
      <vt:variant>
        <vt:i4>0</vt:i4>
      </vt:variant>
      <vt:variant>
        <vt:i4>5</vt:i4>
      </vt:variant>
      <vt:variant>
        <vt:lpwstr>http://www.ncbi.nlm.nih.gov/pubmed?term=Alberti%20A%5BAuthor%5D&amp;cauthor=true&amp;cauthor_uid=16225479</vt:lpwstr>
      </vt:variant>
      <vt:variant>
        <vt:lpwstr/>
      </vt:variant>
      <vt:variant>
        <vt:i4>3538981</vt:i4>
      </vt:variant>
      <vt:variant>
        <vt:i4>21</vt:i4>
      </vt:variant>
      <vt:variant>
        <vt:i4>0</vt:i4>
      </vt:variant>
      <vt:variant>
        <vt:i4>5</vt:i4>
      </vt:variant>
      <vt:variant>
        <vt:lpwstr>http://www.ncbi.nlm.nih.gov/pubmed/22475658</vt:lpwstr>
      </vt:variant>
      <vt:variant>
        <vt:lpwstr/>
      </vt:variant>
      <vt:variant>
        <vt:i4>524300</vt:i4>
      </vt:variant>
      <vt:variant>
        <vt:i4>18</vt:i4>
      </vt:variant>
      <vt:variant>
        <vt:i4>0</vt:i4>
      </vt:variant>
      <vt:variant>
        <vt:i4>5</vt:i4>
      </vt:variant>
      <vt:variant>
        <vt:lpwstr>http://www.ncbi.nlm.nih.gov/pubmed?term=SIMIT%20group%5BCorporate%20Author%5D</vt:lpwstr>
      </vt:variant>
      <vt:variant>
        <vt:lpwstr/>
      </vt:variant>
      <vt:variant>
        <vt:i4>6553665</vt:i4>
      </vt:variant>
      <vt:variant>
        <vt:i4>15</vt:i4>
      </vt:variant>
      <vt:variant>
        <vt:i4>0</vt:i4>
      </vt:variant>
      <vt:variant>
        <vt:i4>5</vt:i4>
      </vt:variant>
      <vt:variant>
        <vt:lpwstr>http://www.ncbi.nlm.nih.gov/pubmed?term=Piccinino%20F%5BAuthor%5D&amp;cauthor=true&amp;cauthor_uid=22475658</vt:lpwstr>
      </vt:variant>
      <vt:variant>
        <vt:lpwstr/>
      </vt:variant>
      <vt:variant>
        <vt:i4>1376369</vt:i4>
      </vt:variant>
      <vt:variant>
        <vt:i4>12</vt:i4>
      </vt:variant>
      <vt:variant>
        <vt:i4>0</vt:i4>
      </vt:variant>
      <vt:variant>
        <vt:i4>5</vt:i4>
      </vt:variant>
      <vt:variant>
        <vt:lpwstr>http://www.ncbi.nlm.nih.gov/pubmed?term=Pasquale%20G%5BAuthor%5D&amp;cauthor=true&amp;cauthor_uid=22475658</vt:lpwstr>
      </vt:variant>
      <vt:variant>
        <vt:lpwstr/>
      </vt:variant>
      <vt:variant>
        <vt:i4>1900584</vt:i4>
      </vt:variant>
      <vt:variant>
        <vt:i4>9</vt:i4>
      </vt:variant>
      <vt:variant>
        <vt:i4>0</vt:i4>
      </vt:variant>
      <vt:variant>
        <vt:i4>5</vt:i4>
      </vt:variant>
      <vt:variant>
        <vt:lpwstr>http://www.ncbi.nlm.nih.gov/pubmed?term=Coppola%20N%5BAuthor%5D&amp;cauthor=true&amp;cauthor_uid=22475658</vt:lpwstr>
      </vt:variant>
      <vt:variant>
        <vt:lpwstr/>
      </vt:variant>
      <vt:variant>
        <vt:i4>3538968</vt:i4>
      </vt:variant>
      <vt:variant>
        <vt:i4>6</vt:i4>
      </vt:variant>
      <vt:variant>
        <vt:i4>0</vt:i4>
      </vt:variant>
      <vt:variant>
        <vt:i4>5</vt:i4>
      </vt:variant>
      <vt:variant>
        <vt:lpwstr>http://www.ncbi.nlm.nih.gov/pubmed?term=Pisaturo%20MA%5BAuthor%5D&amp;cauthor=true&amp;cauthor_uid=22475658</vt:lpwstr>
      </vt:variant>
      <vt:variant>
        <vt:lpwstr/>
      </vt:variant>
      <vt:variant>
        <vt:i4>983158</vt:i4>
      </vt:variant>
      <vt:variant>
        <vt:i4>3</vt:i4>
      </vt:variant>
      <vt:variant>
        <vt:i4>0</vt:i4>
      </vt:variant>
      <vt:variant>
        <vt:i4>5</vt:i4>
      </vt:variant>
      <vt:variant>
        <vt:lpwstr>http://www.ncbi.nlm.nih.gov/pubmed?term=Sagnelli%20C%5BAuthor%5D&amp;cauthor=true&amp;cauthor_uid=22475658</vt:lpwstr>
      </vt:variant>
      <vt:variant>
        <vt:lpwstr/>
      </vt:variant>
      <vt:variant>
        <vt:i4>589942</vt:i4>
      </vt:variant>
      <vt:variant>
        <vt:i4>0</vt:i4>
      </vt:variant>
      <vt:variant>
        <vt:i4>0</vt:i4>
      </vt:variant>
      <vt:variant>
        <vt:i4>5</vt:i4>
      </vt:variant>
      <vt:variant>
        <vt:lpwstr>http://www.ncbi.nlm.nih.gov/pubmed?term=Sagnelli%20E%5BAuthor%5D&amp;cauthor=true&amp;cauthor_uid=22475658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AND GENDER DISTRIBUTION OF HEPATITIS C VIRUS (HCV) GENOTYPES IN THE METROPOLITAN AREA OF NAPLES</dc:title>
  <dc:subject/>
  <dc:creator>Giordy</dc:creator>
  <cp:keywords/>
  <dc:description/>
  <cp:lastModifiedBy>LS Ma</cp:lastModifiedBy>
  <cp:revision>2</cp:revision>
  <cp:lastPrinted>2016-03-31T09:03:00Z</cp:lastPrinted>
  <dcterms:created xsi:type="dcterms:W3CDTF">2016-08-06T23:39:00Z</dcterms:created>
  <dcterms:modified xsi:type="dcterms:W3CDTF">2016-08-06T23:39:00Z</dcterms:modified>
</cp:coreProperties>
</file>