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F" w:rsidRPr="00FB5CEB" w:rsidRDefault="0043733F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t xml:space="preserve">Name of Journal: </w:t>
      </w:r>
      <w:r w:rsidRPr="00FB5CEB">
        <w:rPr>
          <w:rFonts w:ascii="Book Antiqua" w:hAnsi="Book Antiqua" w:cs="Arial"/>
          <w:b/>
          <w:i/>
          <w:sz w:val="24"/>
          <w:szCs w:val="24"/>
        </w:rPr>
        <w:t>World Journal of Transplantation</w:t>
      </w:r>
    </w:p>
    <w:p w:rsidR="0043733F" w:rsidRPr="00FB5CEB" w:rsidRDefault="0043733F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/>
          <w:b/>
          <w:sz w:val="24"/>
          <w:szCs w:val="24"/>
        </w:rPr>
        <w:t>ESPS Manuscript NO:</w:t>
      </w:r>
      <w:r w:rsidRPr="00FB5CEB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FB5CEB">
        <w:rPr>
          <w:rFonts w:ascii="Book Antiqua" w:hAnsi="Book Antiqua" w:cs="Arial"/>
          <w:b/>
          <w:sz w:val="24"/>
          <w:szCs w:val="24"/>
        </w:rPr>
        <w:t>26566</w:t>
      </w:r>
    </w:p>
    <w:p w:rsidR="0043733F" w:rsidRPr="00FB5CEB" w:rsidRDefault="0043733F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t>Manuscript type: Review</w:t>
      </w:r>
    </w:p>
    <w:p w:rsidR="0043733F" w:rsidRPr="00FB5CEB" w:rsidRDefault="0043733F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43733F" w:rsidRPr="00FB5CEB" w:rsidRDefault="0043733F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t>Biology of chronic graft-</w:t>
      </w:r>
      <w:r w:rsidRPr="00FB5CEB">
        <w:rPr>
          <w:rFonts w:ascii="Book Antiqua" w:hAnsi="Book Antiqua" w:cs="Arial"/>
          <w:b/>
          <w:i/>
          <w:sz w:val="24"/>
          <w:szCs w:val="24"/>
        </w:rPr>
        <w:t>vs</w:t>
      </w:r>
      <w:r w:rsidRPr="00FB5CEB">
        <w:rPr>
          <w:rFonts w:ascii="Book Antiqua" w:hAnsi="Book Antiqua" w:cs="Arial"/>
          <w:b/>
          <w:sz w:val="24"/>
          <w:szCs w:val="24"/>
        </w:rPr>
        <w:t xml:space="preserve">-host disease: </w:t>
      </w:r>
      <w:r w:rsidR="00C676CC" w:rsidRPr="00FB5CEB">
        <w:rPr>
          <w:rFonts w:ascii="Book Antiqua" w:hAnsi="Book Antiqua" w:cs="Arial"/>
          <w:b/>
          <w:sz w:val="24"/>
          <w:szCs w:val="24"/>
        </w:rPr>
        <w:t>I</w:t>
      </w:r>
      <w:r w:rsidRPr="00FB5CEB">
        <w:rPr>
          <w:rFonts w:ascii="Book Antiqua" w:hAnsi="Book Antiqua" w:cs="Arial"/>
          <w:b/>
          <w:sz w:val="24"/>
          <w:szCs w:val="24"/>
        </w:rPr>
        <w:t>mmune mechanisms and progress in biomarker discovery</w:t>
      </w:r>
    </w:p>
    <w:p w:rsidR="0043733F" w:rsidRPr="00FB5CEB" w:rsidRDefault="0043733F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43733F" w:rsidRPr="00FB5CEB" w:rsidRDefault="00C676CC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Presland </w:t>
      </w:r>
      <w:r w:rsidRPr="00FB5CEB">
        <w:rPr>
          <w:rFonts w:ascii="Book Antiqua" w:hAnsi="Book Antiqua" w:cs="Arial" w:hint="eastAsia"/>
          <w:sz w:val="24"/>
          <w:szCs w:val="24"/>
          <w:lang w:eastAsia="zh-CN"/>
        </w:rPr>
        <w:t xml:space="preserve">RB. </w:t>
      </w:r>
      <w:r w:rsidR="0043733F" w:rsidRPr="00FB5CEB">
        <w:rPr>
          <w:rFonts w:ascii="Book Antiqua" w:hAnsi="Book Antiqua" w:cs="Arial"/>
          <w:sz w:val="24"/>
          <w:szCs w:val="24"/>
        </w:rPr>
        <w:t>Biology of chronic graft-</w:t>
      </w:r>
      <w:r w:rsidR="0043733F" w:rsidRPr="00FB5CEB">
        <w:rPr>
          <w:rFonts w:ascii="Book Antiqua" w:hAnsi="Book Antiqua" w:cs="Arial"/>
          <w:i/>
          <w:sz w:val="24"/>
          <w:szCs w:val="24"/>
        </w:rPr>
        <w:t>vs</w:t>
      </w:r>
      <w:r w:rsidR="0043733F" w:rsidRPr="00FB5CEB">
        <w:rPr>
          <w:rFonts w:ascii="Book Antiqua" w:hAnsi="Book Antiqua" w:cs="Arial"/>
          <w:sz w:val="24"/>
          <w:szCs w:val="24"/>
        </w:rPr>
        <w:t>-host disease</w:t>
      </w:r>
    </w:p>
    <w:p w:rsidR="0043733F" w:rsidRPr="00FB5CEB" w:rsidRDefault="0043733F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43733F" w:rsidRPr="00FB5CEB" w:rsidRDefault="0043733F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t>Richard B</w:t>
      </w:r>
      <w:r w:rsidRPr="00FB5CEB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Pr="00FB5CEB">
        <w:rPr>
          <w:rFonts w:ascii="Book Antiqua" w:hAnsi="Book Antiqua" w:cs="Arial"/>
          <w:b/>
          <w:sz w:val="24"/>
          <w:szCs w:val="24"/>
        </w:rPr>
        <w:t>Presland</w:t>
      </w:r>
    </w:p>
    <w:p w:rsidR="00814D8F" w:rsidRPr="00FB5CEB" w:rsidRDefault="00814D8F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C87B66" w:rsidRPr="00FB5CEB" w:rsidRDefault="00814D8F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t>Richard B</w:t>
      </w:r>
      <w:r w:rsidRPr="00FB5CEB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Pr="00FB5CEB">
        <w:rPr>
          <w:rFonts w:ascii="Book Antiqua" w:hAnsi="Book Antiqua" w:cs="Arial"/>
          <w:b/>
          <w:sz w:val="24"/>
          <w:szCs w:val="24"/>
        </w:rPr>
        <w:t>Presland</w:t>
      </w:r>
      <w:r w:rsidRPr="00FB5CEB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, </w:t>
      </w:r>
      <w:r w:rsidR="00DA6254" w:rsidRPr="00FB5CEB">
        <w:rPr>
          <w:rFonts w:ascii="Book Antiqua" w:hAnsi="Book Antiqua" w:cs="Arial"/>
          <w:sz w:val="24"/>
          <w:szCs w:val="24"/>
        </w:rPr>
        <w:t>Department of Oral Health Sciences, School of Dentistry, University of</w:t>
      </w:r>
      <w:r w:rsidR="00377FA0" w:rsidRPr="00FB5CEB">
        <w:rPr>
          <w:rFonts w:ascii="Book Antiqua" w:hAnsi="Book Antiqua" w:cs="Arial"/>
          <w:sz w:val="24"/>
          <w:szCs w:val="24"/>
        </w:rPr>
        <w:t xml:space="preserve"> Washington, Seattle, WA 98195</w:t>
      </w:r>
      <w:r w:rsidR="00377FA0" w:rsidRPr="00FB5CEB">
        <w:rPr>
          <w:rFonts w:ascii="Book Antiqua" w:hAnsi="Book Antiqua" w:cs="Arial" w:hint="eastAsia"/>
          <w:sz w:val="24"/>
          <w:szCs w:val="24"/>
          <w:lang w:eastAsia="zh-CN"/>
        </w:rPr>
        <w:t>, United States</w:t>
      </w:r>
    </w:p>
    <w:p w:rsidR="00D30ABC" w:rsidRPr="00FB5CEB" w:rsidRDefault="00D30ABC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DA6254" w:rsidRPr="00FB5CEB" w:rsidRDefault="00D30ABC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t>Richard B</w:t>
      </w:r>
      <w:r w:rsidRPr="00FB5CEB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Pr="00FB5CEB">
        <w:rPr>
          <w:rFonts w:ascii="Book Antiqua" w:hAnsi="Book Antiqua" w:cs="Arial"/>
          <w:b/>
          <w:sz w:val="24"/>
          <w:szCs w:val="24"/>
        </w:rPr>
        <w:t>Presland</w:t>
      </w:r>
      <w:r w:rsidRPr="00FB5CEB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, </w:t>
      </w:r>
      <w:r w:rsidR="00DA6254" w:rsidRPr="00FB5CEB">
        <w:rPr>
          <w:rFonts w:ascii="Book Antiqua" w:hAnsi="Book Antiqua" w:cs="Arial"/>
          <w:sz w:val="24"/>
          <w:szCs w:val="24"/>
        </w:rPr>
        <w:t>Division of Dermatology, Department of Medicine, University of Washington, Seattle, WA 98195</w:t>
      </w:r>
      <w:r w:rsidRPr="00FB5CEB">
        <w:rPr>
          <w:rFonts w:ascii="Book Antiqua" w:hAnsi="Book Antiqua" w:cs="Arial" w:hint="eastAsia"/>
          <w:sz w:val="24"/>
          <w:szCs w:val="24"/>
          <w:lang w:eastAsia="zh-CN"/>
        </w:rPr>
        <w:t>, United States</w:t>
      </w:r>
    </w:p>
    <w:p w:rsidR="00CD18D7" w:rsidRPr="00FB5CEB" w:rsidRDefault="00CD18D7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D18D7" w:rsidRPr="00FB5CEB" w:rsidRDefault="00957E1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/>
          <w:b/>
          <w:sz w:val="24"/>
          <w:szCs w:val="24"/>
        </w:rPr>
        <w:t>Author contributions:</w:t>
      </w:r>
      <w:r w:rsidRPr="00FB5CEB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FB5CEB">
        <w:rPr>
          <w:rFonts w:ascii="Book Antiqua" w:hAnsi="Book Antiqua" w:hint="eastAsia"/>
          <w:sz w:val="24"/>
          <w:szCs w:val="24"/>
          <w:lang w:eastAsia="zh-CN"/>
        </w:rPr>
        <w:t>The author solely contributes to the manuscript.</w:t>
      </w:r>
    </w:p>
    <w:p w:rsidR="00D30ABC" w:rsidRPr="00FB5CEB" w:rsidRDefault="00D30ABC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7F26D4" w:rsidRPr="00FB5CEB" w:rsidRDefault="007F26D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t xml:space="preserve">Conflict-of-interest statement: </w:t>
      </w:r>
      <w:r w:rsidRPr="00FB5CEB">
        <w:rPr>
          <w:rFonts w:ascii="Book Antiqua" w:hAnsi="Book Antiqua" w:cs="Arial"/>
          <w:sz w:val="24"/>
          <w:szCs w:val="24"/>
        </w:rPr>
        <w:t>The author declares no conflict of interest</w:t>
      </w:r>
      <w:r w:rsidR="00236F97" w:rsidRPr="00FB5CEB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6F3693" w:rsidRPr="00FB5CEB" w:rsidRDefault="006F3693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A647E5" w:rsidRPr="00FB5CEB" w:rsidRDefault="00A647E5" w:rsidP="00BC0BDD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A647E5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t xml:space="preserve">Open-Access: </w:t>
      </w:r>
      <w:r w:rsidRPr="00A647E5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FB5CEB">
          <w:rPr>
            <w:rFonts w:ascii="Book Antiqua" w:eastAsia="宋体" w:hAnsi="Book Antiqua" w:cs="Times New Roman"/>
            <w:kern w:val="2"/>
            <w:sz w:val="24"/>
            <w:szCs w:val="24"/>
            <w:lang w:eastAsia="zh-CN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DC6E66" w:rsidRPr="00FB5CEB" w:rsidRDefault="00DC6E66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5C038E" w:rsidRPr="00FB5CEB" w:rsidRDefault="005C038E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5C038E" w:rsidRPr="00FB5CEB" w:rsidRDefault="005C038E" w:rsidP="00BC0BDD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bookmarkStart w:id="4" w:name="OLE_LINK264"/>
      <w:bookmarkStart w:id="5" w:name="OLE_LINK265"/>
      <w:r w:rsidRPr="005C038E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lastRenderedPageBreak/>
        <w:t xml:space="preserve">Manuscript source: </w:t>
      </w:r>
      <w:r w:rsidRPr="005C038E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>Invited manuscript</w:t>
      </w:r>
    </w:p>
    <w:p w:rsidR="005C038E" w:rsidRPr="005C038E" w:rsidRDefault="005C038E" w:rsidP="00BC0BDD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</w:p>
    <w:p w:rsidR="00766AAE" w:rsidRPr="00FB5CEB" w:rsidRDefault="002154EB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bookmarkStart w:id="6" w:name="OLE_LINK95"/>
      <w:bookmarkStart w:id="7" w:name="OLE_LINK96"/>
      <w:bookmarkStart w:id="8" w:name="OLE_LINK174"/>
      <w:bookmarkEnd w:id="4"/>
      <w:bookmarkEnd w:id="5"/>
      <w:r w:rsidRPr="00FB5CEB">
        <w:rPr>
          <w:rFonts w:ascii="Book Antiqua" w:hAnsi="Book Antiqua"/>
          <w:b/>
          <w:sz w:val="24"/>
          <w:szCs w:val="24"/>
        </w:rPr>
        <w:t>Correspondence to:</w:t>
      </w:r>
      <w:bookmarkEnd w:id="6"/>
      <w:bookmarkEnd w:id="7"/>
      <w:bookmarkEnd w:id="8"/>
      <w:r w:rsidR="009464FF" w:rsidRPr="00FB5CEB">
        <w:rPr>
          <w:rFonts w:ascii="Book Antiqua" w:hAnsi="Book Antiqua" w:cs="Arial"/>
          <w:sz w:val="24"/>
          <w:szCs w:val="24"/>
        </w:rPr>
        <w:t xml:space="preserve"> </w:t>
      </w:r>
      <w:r w:rsidR="009464FF" w:rsidRPr="00FB5CEB">
        <w:rPr>
          <w:rFonts w:ascii="Book Antiqua" w:hAnsi="Book Antiqua" w:cs="Arial"/>
          <w:b/>
          <w:sz w:val="24"/>
          <w:szCs w:val="24"/>
        </w:rPr>
        <w:t>Richard B</w:t>
      </w:r>
      <w:r w:rsidR="00A047D8" w:rsidRPr="00FB5CEB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="009464FF" w:rsidRPr="00FB5CEB">
        <w:rPr>
          <w:rFonts w:ascii="Book Antiqua" w:hAnsi="Book Antiqua" w:cs="Arial"/>
          <w:b/>
          <w:sz w:val="24"/>
          <w:szCs w:val="24"/>
        </w:rPr>
        <w:t xml:space="preserve">Presland, </w:t>
      </w:r>
      <w:r w:rsidR="00DC6E66" w:rsidRPr="00FB5CEB">
        <w:rPr>
          <w:rFonts w:ascii="Book Antiqua" w:hAnsi="Book Antiqua" w:cs="Arial"/>
          <w:b/>
          <w:sz w:val="24"/>
          <w:szCs w:val="24"/>
        </w:rPr>
        <w:t>PhD,</w:t>
      </w:r>
      <w:r w:rsidR="00DC6E66" w:rsidRPr="00FB5CEB">
        <w:rPr>
          <w:rFonts w:ascii="Book Antiqua" w:hAnsi="Book Antiqua" w:cs="Arial"/>
          <w:sz w:val="24"/>
          <w:szCs w:val="24"/>
        </w:rPr>
        <w:t xml:space="preserve"> </w:t>
      </w:r>
      <w:r w:rsidR="00DA6254" w:rsidRPr="00FB5CEB">
        <w:rPr>
          <w:rFonts w:ascii="Book Antiqua" w:hAnsi="Book Antiqua" w:cs="Arial"/>
          <w:sz w:val="24"/>
          <w:szCs w:val="24"/>
        </w:rPr>
        <w:t>Department of Oral Health Sciences</w:t>
      </w:r>
      <w:r w:rsidR="00DC6E66" w:rsidRPr="00FB5CEB">
        <w:rPr>
          <w:rFonts w:ascii="Book Antiqua" w:hAnsi="Book Antiqua" w:cs="Arial"/>
          <w:sz w:val="24"/>
          <w:szCs w:val="24"/>
        </w:rPr>
        <w:t xml:space="preserve">, School of Dentistry, University of Washington, </w:t>
      </w:r>
      <w:r w:rsidR="00DA6254" w:rsidRPr="00FB5CEB">
        <w:rPr>
          <w:rFonts w:ascii="Book Antiqua" w:hAnsi="Book Antiqua" w:cs="Arial"/>
          <w:sz w:val="24"/>
          <w:szCs w:val="24"/>
        </w:rPr>
        <w:t>1959 NE Pacific St</w:t>
      </w:r>
      <w:r w:rsidR="00DC6E66" w:rsidRPr="00FB5CEB">
        <w:rPr>
          <w:rFonts w:ascii="Book Antiqua" w:hAnsi="Book Antiqua" w:cs="Arial"/>
          <w:sz w:val="24"/>
          <w:szCs w:val="24"/>
        </w:rPr>
        <w:t xml:space="preserve">, </w:t>
      </w:r>
      <w:r w:rsidR="00DA6254" w:rsidRPr="00FB5CEB">
        <w:rPr>
          <w:rFonts w:ascii="Book Antiqua" w:hAnsi="Book Antiqua" w:cs="Arial"/>
          <w:sz w:val="24"/>
          <w:szCs w:val="24"/>
        </w:rPr>
        <w:t>Box 357475</w:t>
      </w:r>
      <w:r w:rsidR="00DC6E66" w:rsidRPr="00FB5CEB">
        <w:rPr>
          <w:rFonts w:ascii="Book Antiqua" w:hAnsi="Book Antiqua" w:cs="Arial"/>
          <w:sz w:val="24"/>
          <w:szCs w:val="24"/>
        </w:rPr>
        <w:t xml:space="preserve">, </w:t>
      </w:r>
      <w:r w:rsidR="007E500E" w:rsidRPr="00FB5CEB">
        <w:rPr>
          <w:rFonts w:ascii="Book Antiqua" w:hAnsi="Book Antiqua" w:cs="Arial"/>
          <w:sz w:val="24"/>
          <w:szCs w:val="24"/>
        </w:rPr>
        <w:t>Seattle, WA 98195</w:t>
      </w:r>
      <w:r w:rsidR="007E500E" w:rsidRPr="00FB5CEB">
        <w:rPr>
          <w:rFonts w:ascii="Book Antiqua" w:hAnsi="Book Antiqua" w:cs="Arial" w:hint="eastAsia"/>
          <w:sz w:val="24"/>
          <w:szCs w:val="24"/>
          <w:lang w:eastAsia="zh-CN"/>
        </w:rPr>
        <w:t>, United States</w:t>
      </w:r>
      <w:r w:rsidR="00DC6E66" w:rsidRPr="00FB5CEB">
        <w:rPr>
          <w:rFonts w:ascii="Book Antiqua" w:hAnsi="Book Antiqua" w:cs="Arial"/>
          <w:sz w:val="24"/>
          <w:szCs w:val="24"/>
        </w:rPr>
        <w:t xml:space="preserve">. </w:t>
      </w:r>
      <w:hyperlink r:id="rId9" w:history="1">
        <w:r w:rsidR="00DC6E66" w:rsidRPr="00FB5CEB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rp@uw.edu</w:t>
        </w:r>
      </w:hyperlink>
    </w:p>
    <w:p w:rsidR="00DA6254" w:rsidRPr="00FB5CEB" w:rsidRDefault="005C038E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t>Telephone:</w:t>
      </w:r>
      <w:r w:rsidRPr="00FB5CEB">
        <w:rPr>
          <w:rFonts w:ascii="Book Antiqua" w:hAnsi="Book Antiqua" w:cs="Arial"/>
          <w:sz w:val="24"/>
          <w:szCs w:val="24"/>
        </w:rPr>
        <w:t xml:space="preserve"> </w:t>
      </w:r>
      <w:r w:rsidR="00D8164D" w:rsidRPr="00FB5CEB">
        <w:rPr>
          <w:rFonts w:ascii="Book Antiqua" w:hAnsi="Book Antiqua" w:cs="Arial" w:hint="eastAsia"/>
          <w:sz w:val="24"/>
          <w:szCs w:val="24"/>
          <w:lang w:eastAsia="zh-CN"/>
        </w:rPr>
        <w:t>+</w:t>
      </w:r>
      <w:r w:rsidR="00D8164D" w:rsidRPr="00FB5CEB">
        <w:rPr>
          <w:rFonts w:ascii="Book Antiqua" w:hAnsi="Book Antiqua" w:cs="Arial"/>
          <w:sz w:val="24"/>
          <w:szCs w:val="24"/>
        </w:rPr>
        <w:t>1</w:t>
      </w:r>
      <w:r w:rsidR="00D8164D" w:rsidRPr="00FB5CEB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D8164D" w:rsidRPr="00FB5CEB">
        <w:rPr>
          <w:rFonts w:ascii="Book Antiqua" w:hAnsi="Book Antiqua" w:cs="Arial"/>
          <w:sz w:val="24"/>
          <w:szCs w:val="24"/>
        </w:rPr>
        <w:t>206</w:t>
      </w:r>
      <w:r w:rsidR="00D8164D" w:rsidRPr="00FB5CEB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D8164D" w:rsidRPr="00FB5CEB">
        <w:rPr>
          <w:rFonts w:ascii="Book Antiqua" w:hAnsi="Book Antiqua" w:cs="Arial"/>
          <w:sz w:val="24"/>
          <w:szCs w:val="24"/>
        </w:rPr>
        <w:t>616</w:t>
      </w:r>
      <w:r w:rsidR="00AF60D5" w:rsidRPr="00FB5CEB">
        <w:rPr>
          <w:rFonts w:ascii="Book Antiqua" w:hAnsi="Book Antiqua" w:cs="Arial"/>
          <w:sz w:val="24"/>
          <w:szCs w:val="24"/>
        </w:rPr>
        <w:t>6706</w:t>
      </w:r>
    </w:p>
    <w:p w:rsidR="002A688E" w:rsidRPr="00FB5CEB" w:rsidRDefault="002A688E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777F37" w:rsidRPr="00FB5CEB" w:rsidRDefault="00777F37" w:rsidP="00BC0BDD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9" w:name="OLE_LINK284"/>
      <w:bookmarkStart w:id="10" w:name="OLE_LINK285"/>
      <w:r w:rsidRPr="00FB5CEB">
        <w:rPr>
          <w:rFonts w:ascii="Book Antiqua" w:hAnsi="Book Antiqua" w:cs="Times New Roman"/>
          <w:b/>
          <w:sz w:val="24"/>
          <w:szCs w:val="24"/>
        </w:rPr>
        <w:t>Received:</w:t>
      </w:r>
      <w:r w:rsidRPr="00FB5CEB">
        <w:rPr>
          <w:rFonts w:ascii="Book Antiqua" w:hAnsi="Book Antiqua" w:cs="Times New Roman"/>
          <w:sz w:val="24"/>
          <w:szCs w:val="24"/>
        </w:rPr>
        <w:t xml:space="preserve"> </w:t>
      </w:r>
      <w:r w:rsidRPr="00FB5CEB">
        <w:rPr>
          <w:rFonts w:ascii="Book Antiqua" w:hAnsi="Book Antiqua" w:cs="Times New Roman" w:hint="eastAsia"/>
          <w:sz w:val="24"/>
          <w:szCs w:val="24"/>
        </w:rPr>
        <w:t>April</w:t>
      </w:r>
      <w:r w:rsidRPr="00FB5CEB">
        <w:rPr>
          <w:rFonts w:ascii="Book Antiqua" w:hAnsi="Book Antiqua" w:cs="Times New Roman"/>
          <w:sz w:val="24"/>
          <w:szCs w:val="24"/>
        </w:rPr>
        <w:t xml:space="preserve"> </w:t>
      </w:r>
      <w:r w:rsidR="00D74676" w:rsidRPr="00FB5CEB">
        <w:rPr>
          <w:rFonts w:ascii="Book Antiqua" w:hAnsi="Book Antiqua" w:cs="Times New Roman" w:hint="eastAsia"/>
          <w:sz w:val="24"/>
          <w:szCs w:val="24"/>
        </w:rPr>
        <w:t>16</w:t>
      </w:r>
      <w:r w:rsidRPr="00FB5CEB">
        <w:rPr>
          <w:rFonts w:ascii="Book Antiqua" w:hAnsi="Book Antiqua" w:cs="Times New Roman"/>
          <w:sz w:val="24"/>
          <w:szCs w:val="24"/>
        </w:rPr>
        <w:t>, 2016</w:t>
      </w:r>
    </w:p>
    <w:p w:rsidR="00777F37" w:rsidRPr="00FB5CEB" w:rsidRDefault="00777F37" w:rsidP="00BC0BDD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B5CEB">
        <w:rPr>
          <w:rFonts w:ascii="Book Antiqua" w:hAnsi="Book Antiqua" w:cs="Times New Roman"/>
          <w:b/>
          <w:sz w:val="24"/>
          <w:szCs w:val="24"/>
        </w:rPr>
        <w:t>Peer-review started:</w:t>
      </w:r>
      <w:r w:rsidRPr="00FB5CEB">
        <w:rPr>
          <w:rFonts w:ascii="Book Antiqua" w:hAnsi="Book Antiqua" w:cs="Times New Roman"/>
          <w:sz w:val="24"/>
          <w:szCs w:val="24"/>
        </w:rPr>
        <w:t xml:space="preserve"> </w:t>
      </w:r>
      <w:r w:rsidRPr="00FB5CEB">
        <w:rPr>
          <w:rFonts w:ascii="Book Antiqua" w:hAnsi="Book Antiqua" w:cs="Times New Roman" w:hint="eastAsia"/>
          <w:sz w:val="24"/>
          <w:szCs w:val="24"/>
        </w:rPr>
        <w:t>April</w:t>
      </w:r>
      <w:r w:rsidRPr="00FB5CEB">
        <w:rPr>
          <w:rFonts w:ascii="Book Antiqua" w:hAnsi="Book Antiqua" w:cs="Times New Roman"/>
          <w:sz w:val="24"/>
          <w:szCs w:val="24"/>
        </w:rPr>
        <w:t xml:space="preserve"> </w:t>
      </w:r>
      <w:r w:rsidR="00D74676" w:rsidRPr="00FB5CEB">
        <w:rPr>
          <w:rFonts w:ascii="Book Antiqua" w:hAnsi="Book Antiqua" w:cs="Times New Roman" w:hint="eastAsia"/>
          <w:sz w:val="24"/>
          <w:szCs w:val="24"/>
        </w:rPr>
        <w:t>19</w:t>
      </w:r>
      <w:r w:rsidRPr="00FB5CEB">
        <w:rPr>
          <w:rFonts w:ascii="Book Antiqua" w:hAnsi="Book Antiqua" w:cs="Times New Roman"/>
          <w:sz w:val="24"/>
          <w:szCs w:val="24"/>
        </w:rPr>
        <w:t>, 2016</w:t>
      </w:r>
    </w:p>
    <w:p w:rsidR="00777F37" w:rsidRPr="00FB5CEB" w:rsidRDefault="00777F37" w:rsidP="00BC0BDD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B5CEB">
        <w:rPr>
          <w:rFonts w:ascii="Book Antiqua" w:hAnsi="Book Antiqua" w:cs="Times New Roman"/>
          <w:b/>
          <w:sz w:val="24"/>
          <w:szCs w:val="24"/>
        </w:rPr>
        <w:t>First decision:</w:t>
      </w:r>
      <w:r w:rsidRPr="00FB5CEB">
        <w:rPr>
          <w:rFonts w:ascii="Book Antiqua" w:hAnsi="Book Antiqua" w:cs="Times New Roman"/>
          <w:sz w:val="24"/>
          <w:szCs w:val="24"/>
        </w:rPr>
        <w:t xml:space="preserve"> </w:t>
      </w:r>
      <w:r w:rsidR="0054680B" w:rsidRPr="00FB5CEB">
        <w:rPr>
          <w:rFonts w:ascii="Book Antiqua" w:hAnsi="Book Antiqua" w:cs="Times New Roman" w:hint="eastAsia"/>
          <w:sz w:val="24"/>
          <w:szCs w:val="24"/>
        </w:rPr>
        <w:t>June</w:t>
      </w:r>
      <w:r w:rsidRPr="00FB5CEB">
        <w:rPr>
          <w:rFonts w:ascii="Book Antiqua" w:hAnsi="Book Antiqua" w:cs="Times New Roman"/>
          <w:sz w:val="24"/>
          <w:szCs w:val="24"/>
        </w:rPr>
        <w:t xml:space="preserve"> </w:t>
      </w:r>
      <w:r w:rsidR="0054680B" w:rsidRPr="00FB5CEB">
        <w:rPr>
          <w:rFonts w:ascii="Book Antiqua" w:hAnsi="Book Antiqua" w:cs="Times New Roman" w:hint="eastAsia"/>
          <w:sz w:val="24"/>
          <w:szCs w:val="24"/>
        </w:rPr>
        <w:t>7</w:t>
      </w:r>
      <w:r w:rsidRPr="00FB5CEB">
        <w:rPr>
          <w:rFonts w:ascii="Book Antiqua" w:hAnsi="Book Antiqua" w:cs="Times New Roman"/>
          <w:sz w:val="24"/>
          <w:szCs w:val="24"/>
        </w:rPr>
        <w:t>, 2016</w:t>
      </w:r>
    </w:p>
    <w:p w:rsidR="00777F37" w:rsidRPr="00FB5CEB" w:rsidRDefault="00777F37" w:rsidP="00BC0BDD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B5CEB">
        <w:rPr>
          <w:rFonts w:ascii="Book Antiqua" w:hAnsi="Book Antiqua" w:cs="Times New Roman"/>
          <w:b/>
          <w:sz w:val="24"/>
          <w:szCs w:val="24"/>
        </w:rPr>
        <w:t xml:space="preserve">Revised: </w:t>
      </w:r>
      <w:r w:rsidR="0054680B" w:rsidRPr="00FB5CEB">
        <w:rPr>
          <w:rFonts w:ascii="Book Antiqua" w:hAnsi="Book Antiqua" w:cs="Times New Roman" w:hint="eastAsia"/>
          <w:sz w:val="24"/>
          <w:szCs w:val="24"/>
        </w:rPr>
        <w:t>August</w:t>
      </w:r>
      <w:r w:rsidRPr="00FB5CEB">
        <w:rPr>
          <w:rFonts w:ascii="Book Antiqua" w:hAnsi="Book Antiqua" w:cs="Times New Roman"/>
          <w:sz w:val="24"/>
          <w:szCs w:val="24"/>
        </w:rPr>
        <w:t xml:space="preserve"> </w:t>
      </w:r>
      <w:r w:rsidR="0054680B" w:rsidRPr="00FB5CEB">
        <w:rPr>
          <w:rFonts w:ascii="Book Antiqua" w:hAnsi="Book Antiqua" w:cs="Times New Roman" w:hint="eastAsia"/>
          <w:sz w:val="24"/>
          <w:szCs w:val="24"/>
        </w:rPr>
        <w:t>15</w:t>
      </w:r>
      <w:r w:rsidRPr="00FB5CEB">
        <w:rPr>
          <w:rFonts w:ascii="Book Antiqua" w:hAnsi="Book Antiqua" w:cs="Times New Roman"/>
          <w:sz w:val="24"/>
          <w:szCs w:val="24"/>
        </w:rPr>
        <w:t>, 2016</w:t>
      </w:r>
    </w:p>
    <w:p w:rsidR="00777F37" w:rsidRPr="00392300" w:rsidRDefault="00777F37" w:rsidP="00392300">
      <w:pPr>
        <w:rPr>
          <w:rFonts w:ascii="Book Antiqua" w:hAnsi="Book Antiqua"/>
          <w:iCs/>
          <w:sz w:val="24"/>
        </w:rPr>
      </w:pPr>
      <w:r w:rsidRPr="00FB5CEB">
        <w:rPr>
          <w:rFonts w:ascii="Book Antiqua" w:hAnsi="Book Antiqua" w:cs="Times New Roman"/>
          <w:b/>
          <w:sz w:val="24"/>
          <w:szCs w:val="24"/>
        </w:rPr>
        <w:t xml:space="preserve">Accepted: </w:t>
      </w:r>
      <w:r w:rsidR="00392300">
        <w:rPr>
          <w:rStyle w:val="Emphasis"/>
        </w:rPr>
        <w:t xml:space="preserve">September </w:t>
      </w:r>
      <w:r w:rsidR="00392300">
        <w:rPr>
          <w:rStyle w:val="Emphasis"/>
          <w:rFonts w:ascii="宋体" w:hAnsi="宋体" w:cs="宋体" w:hint="eastAsia"/>
        </w:rPr>
        <w:t>13</w:t>
      </w:r>
      <w:r w:rsidR="00392300" w:rsidRPr="00235CD4">
        <w:rPr>
          <w:rStyle w:val="Emphasis"/>
        </w:rPr>
        <w:t>,</w:t>
      </w:r>
      <w:r w:rsidR="00392300">
        <w:rPr>
          <w:rStyle w:val="Emphasis"/>
        </w:rPr>
        <w:t xml:space="preserve"> 2016</w:t>
      </w:r>
    </w:p>
    <w:p w:rsidR="00777F37" w:rsidRPr="00FB5CEB" w:rsidRDefault="00777F37" w:rsidP="00BC0BDD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B5CEB">
        <w:rPr>
          <w:rFonts w:ascii="Book Antiqua" w:hAnsi="Book Antiqua" w:cs="Times New Roman"/>
          <w:b/>
          <w:sz w:val="24"/>
          <w:szCs w:val="24"/>
        </w:rPr>
        <w:t xml:space="preserve">Article in press: </w:t>
      </w:r>
    </w:p>
    <w:p w:rsidR="00777F37" w:rsidRPr="00FB5CEB" w:rsidRDefault="00777F37" w:rsidP="00BC0BDD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B5CEB">
        <w:rPr>
          <w:rFonts w:ascii="Book Antiqua" w:hAnsi="Book Antiqua" w:cs="Times New Roman"/>
          <w:b/>
          <w:sz w:val="24"/>
          <w:szCs w:val="24"/>
        </w:rPr>
        <w:t xml:space="preserve">Published online: </w:t>
      </w:r>
    </w:p>
    <w:bookmarkEnd w:id="9"/>
    <w:bookmarkEnd w:id="10"/>
    <w:p w:rsidR="00DC6E66" w:rsidRPr="00FB5CEB" w:rsidRDefault="00DC6E66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br w:type="page"/>
      </w:r>
    </w:p>
    <w:p w:rsidR="0054680B" w:rsidRPr="00FB5CEB" w:rsidRDefault="00DA6254" w:rsidP="00BC0BDD">
      <w:pPr>
        <w:pStyle w:val="NoSpacing"/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FB5CEB">
        <w:rPr>
          <w:rFonts w:ascii="Book Antiqua" w:hAnsi="Book Antiqua" w:cs="Arial"/>
          <w:b/>
        </w:rPr>
        <w:lastRenderedPageBreak/>
        <w:t>A</w:t>
      </w:r>
      <w:r w:rsidR="0054680B" w:rsidRPr="00FB5CEB">
        <w:rPr>
          <w:rFonts w:ascii="Book Antiqua" w:hAnsi="Book Antiqua" w:cs="Arial"/>
          <w:b/>
        </w:rPr>
        <w:t>bstract</w:t>
      </w:r>
    </w:p>
    <w:p w:rsidR="00DA6254" w:rsidRPr="00FB5CEB" w:rsidRDefault="00DA6254" w:rsidP="00BC0BDD">
      <w:pPr>
        <w:pStyle w:val="NoSpacing"/>
        <w:spacing w:line="360" w:lineRule="auto"/>
        <w:jc w:val="both"/>
        <w:rPr>
          <w:rFonts w:ascii="Book Antiqua" w:hAnsi="Book Antiqua" w:cs="Arial"/>
          <w:lang w:eastAsia="zh-CN"/>
        </w:rPr>
      </w:pPr>
      <w:r w:rsidRPr="00FB5CEB">
        <w:rPr>
          <w:rFonts w:ascii="Book Antiqua" w:hAnsi="Book Antiqua" w:cs="Arial"/>
        </w:rPr>
        <w:t>Chronic graft</w:t>
      </w:r>
      <w:r w:rsidR="00305E4F" w:rsidRPr="00FB5CEB">
        <w:rPr>
          <w:rFonts w:ascii="Book Antiqua" w:hAnsi="Book Antiqua" w:cs="Arial"/>
          <w:sz w:val="24"/>
          <w:szCs w:val="24"/>
        </w:rPr>
        <w:t>-</w:t>
      </w:r>
      <w:r w:rsidR="00305E4F" w:rsidRPr="00FB5CEB">
        <w:rPr>
          <w:rFonts w:ascii="Book Antiqua" w:hAnsi="Book Antiqua" w:cs="Arial"/>
          <w:i/>
          <w:sz w:val="24"/>
          <w:szCs w:val="24"/>
        </w:rPr>
        <w:t>vs</w:t>
      </w:r>
      <w:r w:rsidR="00305E4F" w:rsidRPr="00FB5CEB">
        <w:rPr>
          <w:rFonts w:ascii="Book Antiqua" w:hAnsi="Book Antiqua" w:cs="Arial"/>
          <w:sz w:val="24"/>
          <w:szCs w:val="24"/>
        </w:rPr>
        <w:t>-</w:t>
      </w:r>
      <w:r w:rsidRPr="00FB5CEB">
        <w:rPr>
          <w:rFonts w:ascii="Book Antiqua" w:hAnsi="Book Antiqua" w:cs="Arial"/>
        </w:rPr>
        <w:t>host disease (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>) is the leading cause of long-term morbidity and mortality following allogeneic hematopoietic stem cell transplantation.</w:t>
      </w:r>
      <w:r w:rsidR="001F5328"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>It presents as a chronic inflammatory and sclerotic autoimmune-like condition that most frequently affects the skin, oral mucosa, liver, eyes and gastrointestinal tract.</w:t>
      </w:r>
      <w:r w:rsidR="001F5328"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>Both clinical and animal stu</w:t>
      </w:r>
      <w:r w:rsidR="007A1D63" w:rsidRPr="00FB5CEB">
        <w:rPr>
          <w:rFonts w:ascii="Book Antiqua" w:hAnsi="Book Antiqua" w:cs="Arial"/>
        </w:rPr>
        <w:t xml:space="preserve">dies have shown that multiple T </w:t>
      </w:r>
      <w:r w:rsidRPr="00FB5CEB">
        <w:rPr>
          <w:rFonts w:ascii="Book Antiqua" w:hAnsi="Book Antiqua" w:cs="Arial"/>
        </w:rPr>
        <w:t xml:space="preserve">cell subsets including Th1, Th2, Th17, T follicular helper cells and regulatory T-cells play some role in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development and progression; B</w:t>
      </w:r>
      <w:r w:rsidR="007A1D63" w:rsidRPr="00FB5CEB"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>cells also play an important role in the disease including the production of antibodies to HY and nuclear antigens that can cause serious tissue damage.</w:t>
      </w:r>
      <w:r w:rsidR="001F5328"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 xml:space="preserve">An array of cytokines and chemokines produced by different types of immune cells also mediate tissue inflammation and damage of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target tissues such as the skin and oral cavity.</w:t>
      </w:r>
      <w:r w:rsidR="001F5328"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 xml:space="preserve">Many of these same immune regulators have been studied as candidate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biomarkers.</w:t>
      </w:r>
      <w:r w:rsidR="001F5328"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 xml:space="preserve">Recent studies suggest that some of these biomarkers may be useful for determining disease prognosis and planning long-term clinical follow-up of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patients.</w:t>
      </w:r>
    </w:p>
    <w:p w:rsidR="00CE2716" w:rsidRPr="00FB5CEB" w:rsidRDefault="00CE2716" w:rsidP="00BC0BDD">
      <w:pPr>
        <w:pStyle w:val="NoSpacing"/>
        <w:spacing w:line="360" w:lineRule="auto"/>
        <w:jc w:val="both"/>
        <w:rPr>
          <w:rFonts w:ascii="Book Antiqua" w:hAnsi="Book Antiqua" w:cs="Arial"/>
          <w:lang w:eastAsia="zh-CN"/>
        </w:rPr>
      </w:pPr>
    </w:p>
    <w:p w:rsidR="00CE2716" w:rsidRPr="00FB5CEB" w:rsidRDefault="00CE2716" w:rsidP="0007663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t>Key words:</w:t>
      </w:r>
      <w:r w:rsidRPr="00FB5CEB">
        <w:rPr>
          <w:rFonts w:ascii="Book Antiqua" w:hAnsi="Book Antiqua" w:cs="Arial"/>
          <w:sz w:val="24"/>
          <w:szCs w:val="24"/>
        </w:rPr>
        <w:t xml:space="preserve"> Chronic graft-</w:t>
      </w:r>
      <w:r w:rsidRPr="00FB5CEB">
        <w:rPr>
          <w:rFonts w:ascii="Book Antiqua" w:hAnsi="Book Antiqua" w:cs="Arial"/>
          <w:i/>
          <w:sz w:val="24"/>
          <w:szCs w:val="24"/>
        </w:rPr>
        <w:t>vs</w:t>
      </w:r>
      <w:r w:rsidRPr="00FB5CEB">
        <w:rPr>
          <w:rFonts w:ascii="Book Antiqua" w:hAnsi="Book Antiqua" w:cs="Arial"/>
          <w:sz w:val="24"/>
          <w:szCs w:val="24"/>
        </w:rPr>
        <w:t xml:space="preserve">-host disease;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Allogeneic</w:t>
      </w:r>
      <w:proofErr w:type="gramEnd"/>
      <w:r w:rsidRPr="00FB5CEB">
        <w:rPr>
          <w:rFonts w:ascii="Book Antiqua" w:hAnsi="Book Antiqua" w:cs="Arial"/>
          <w:sz w:val="24"/>
          <w:szCs w:val="24"/>
        </w:rPr>
        <w:t xml:space="preserve"> hematopoietic stem cell transplantation; C</w:t>
      </w:r>
      <w:r w:rsidR="0075405D" w:rsidRPr="00FB5CEB">
        <w:rPr>
          <w:rFonts w:ascii="Book Antiqua" w:hAnsi="Book Antiqua" w:cs="Arial"/>
          <w:sz w:val="24"/>
          <w:szCs w:val="24"/>
        </w:rPr>
        <w:t>ytokine; Biomarker</w:t>
      </w:r>
      <w:r w:rsidRPr="00FB5CEB">
        <w:rPr>
          <w:rFonts w:ascii="Book Antiqua" w:hAnsi="Book Antiqua" w:cs="Arial"/>
          <w:sz w:val="24"/>
          <w:szCs w:val="24"/>
        </w:rPr>
        <w:t xml:space="preserve"> </w:t>
      </w:r>
    </w:p>
    <w:p w:rsidR="00464E45" w:rsidRPr="00FB5CEB" w:rsidRDefault="00464E45" w:rsidP="0007663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464E45" w:rsidRPr="00FB5CEB" w:rsidRDefault="00BC0BDD" w:rsidP="0007663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gramStart"/>
      <w:r w:rsidRPr="00FB5CEB">
        <w:rPr>
          <w:rFonts w:ascii="Book Antiqua" w:hAnsi="Book Antiqua"/>
          <w:b/>
          <w:sz w:val="24"/>
          <w:szCs w:val="24"/>
        </w:rPr>
        <w:t xml:space="preserve">© </w:t>
      </w:r>
      <w:r w:rsidRPr="00FB5CEB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FB5CEB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CE2716" w:rsidRPr="00FB5CEB" w:rsidRDefault="00CE2716" w:rsidP="00BC0BDD">
      <w:pPr>
        <w:pStyle w:val="NoSpacing"/>
        <w:spacing w:line="360" w:lineRule="auto"/>
        <w:jc w:val="both"/>
        <w:rPr>
          <w:rFonts w:ascii="Book Antiqua" w:hAnsi="Book Antiqua" w:cs="Arial"/>
          <w:lang w:eastAsia="zh-CN"/>
        </w:rPr>
      </w:pPr>
    </w:p>
    <w:p w:rsidR="00DA6254" w:rsidRPr="00FB5CEB" w:rsidRDefault="00DA6254" w:rsidP="00BC0BDD">
      <w:pPr>
        <w:pStyle w:val="NoSpacing"/>
        <w:spacing w:line="360" w:lineRule="auto"/>
        <w:jc w:val="both"/>
        <w:rPr>
          <w:rFonts w:ascii="Book Antiqua" w:hAnsi="Book Antiqua" w:cs="Arial"/>
          <w:lang w:eastAsia="zh-CN"/>
        </w:rPr>
      </w:pPr>
      <w:r w:rsidRPr="00FB5CEB">
        <w:rPr>
          <w:rFonts w:ascii="Book Antiqua" w:hAnsi="Book Antiqua" w:cs="Arial"/>
          <w:b/>
        </w:rPr>
        <w:t>C</w:t>
      </w:r>
      <w:r w:rsidR="00A84290" w:rsidRPr="00FB5CEB">
        <w:rPr>
          <w:rFonts w:ascii="Book Antiqua" w:hAnsi="Book Antiqua" w:cs="Arial"/>
          <w:b/>
        </w:rPr>
        <w:t>ore tip</w:t>
      </w:r>
      <w:r w:rsidRPr="00FB5CEB">
        <w:rPr>
          <w:rFonts w:ascii="Book Antiqua" w:hAnsi="Book Antiqua" w:cs="Arial"/>
          <w:b/>
        </w:rPr>
        <w:t>:</w:t>
      </w:r>
      <w:r w:rsidR="001F5328"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>Chronic graft</w:t>
      </w:r>
      <w:r w:rsidR="00305E4F" w:rsidRPr="00FB5CEB">
        <w:rPr>
          <w:rFonts w:ascii="Book Antiqua" w:hAnsi="Book Antiqua" w:cs="Arial"/>
          <w:sz w:val="24"/>
          <w:szCs w:val="24"/>
        </w:rPr>
        <w:t>-</w:t>
      </w:r>
      <w:r w:rsidR="00305E4F" w:rsidRPr="00FB5CEB">
        <w:rPr>
          <w:rFonts w:ascii="Book Antiqua" w:hAnsi="Book Antiqua" w:cs="Arial"/>
          <w:i/>
          <w:sz w:val="24"/>
          <w:szCs w:val="24"/>
        </w:rPr>
        <w:t>vs</w:t>
      </w:r>
      <w:r w:rsidR="00305E4F" w:rsidRPr="00FB5CEB">
        <w:rPr>
          <w:rFonts w:ascii="Book Antiqua" w:hAnsi="Book Antiqua" w:cs="Arial"/>
          <w:sz w:val="24"/>
          <w:szCs w:val="24"/>
        </w:rPr>
        <w:t>-</w:t>
      </w:r>
      <w:r w:rsidRPr="00FB5CEB">
        <w:rPr>
          <w:rFonts w:ascii="Book Antiqua" w:hAnsi="Book Antiqua" w:cs="Arial"/>
        </w:rPr>
        <w:t>host disease (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>) is a frequent long-term medical complication of allogeneic hematopoietic stem cell transplantation which can have a devastating impact on overall health and quality of life. This immune-mediated disorder manifests as an inflammatory and autoimmune-like disorder that can affect multiple tissues in an individual patient. Both clinical and animal stud</w:t>
      </w:r>
      <w:r w:rsidR="007A1D63" w:rsidRPr="00FB5CEB">
        <w:rPr>
          <w:rFonts w:ascii="Book Antiqua" w:hAnsi="Book Antiqua" w:cs="Arial"/>
        </w:rPr>
        <w:t xml:space="preserve">ies demonstrate that multiple T cell subsets, as well as B </w:t>
      </w:r>
      <w:r w:rsidRPr="00FB5CEB">
        <w:rPr>
          <w:rFonts w:ascii="Book Antiqua" w:hAnsi="Book Antiqua" w:cs="Arial"/>
        </w:rPr>
        <w:t xml:space="preserve">cells, and their secreted cytokines play important roles in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initiation and progression. In the last decade many molecular biomarkers have been identified that correlate with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onset and/or progression, and some might have applications clinically in the near future.</w:t>
      </w:r>
    </w:p>
    <w:p w:rsidR="002C2A3D" w:rsidRPr="00FB5CEB" w:rsidRDefault="002C2A3D" w:rsidP="00BC0BDD">
      <w:pPr>
        <w:pStyle w:val="NoSpacing"/>
        <w:spacing w:line="360" w:lineRule="auto"/>
        <w:jc w:val="both"/>
        <w:rPr>
          <w:rFonts w:ascii="Book Antiqua" w:hAnsi="Book Antiqua" w:cs="Arial"/>
          <w:lang w:eastAsia="zh-CN"/>
        </w:rPr>
      </w:pPr>
    </w:p>
    <w:p w:rsidR="008A4872" w:rsidRPr="00FB5CEB" w:rsidRDefault="008A4872" w:rsidP="00076636">
      <w:pPr>
        <w:spacing w:after="0" w:line="360" w:lineRule="auto"/>
        <w:jc w:val="both"/>
        <w:rPr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Presland </w:t>
      </w:r>
      <w:r w:rsidRPr="00FB5CEB">
        <w:rPr>
          <w:rFonts w:ascii="Book Antiqua" w:hAnsi="Book Antiqua" w:cs="Arial" w:hint="eastAsia"/>
          <w:sz w:val="24"/>
          <w:szCs w:val="24"/>
          <w:lang w:eastAsia="zh-CN"/>
        </w:rPr>
        <w:t>RB.</w:t>
      </w:r>
      <w:r w:rsidRPr="00FB5CEB">
        <w:rPr>
          <w:rFonts w:hint="eastAsia"/>
          <w:lang w:eastAsia="zh-CN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Biology of chronic graft-</w:t>
      </w:r>
      <w:r w:rsidRPr="00FB5CEB">
        <w:rPr>
          <w:rFonts w:ascii="Book Antiqua" w:hAnsi="Book Antiqua" w:cs="Arial"/>
          <w:i/>
          <w:sz w:val="24"/>
          <w:szCs w:val="24"/>
        </w:rPr>
        <w:t>vs</w:t>
      </w:r>
      <w:r w:rsidRPr="00FB5CEB">
        <w:rPr>
          <w:rFonts w:ascii="Book Antiqua" w:hAnsi="Book Antiqua" w:cs="Arial"/>
          <w:sz w:val="24"/>
          <w:szCs w:val="24"/>
        </w:rPr>
        <w:t>-host disease: Immune mechanisms and progress in biomarker discovery</w:t>
      </w:r>
      <w:r w:rsidR="00282693" w:rsidRPr="00FB5CEB">
        <w:rPr>
          <w:rFonts w:ascii="Book Antiqua" w:hAnsi="Book Antiqua" w:cs="Arial" w:hint="eastAsia"/>
          <w:sz w:val="24"/>
          <w:szCs w:val="24"/>
          <w:lang w:eastAsia="zh-CN"/>
        </w:rPr>
        <w:t>.</w:t>
      </w:r>
      <w:r w:rsidR="00282693" w:rsidRPr="00FB5CEB">
        <w:rPr>
          <w:rFonts w:ascii="Book Antiqua" w:hAnsi="Book Antiqua"/>
          <w:i/>
          <w:iCs/>
          <w:sz w:val="24"/>
          <w:szCs w:val="24"/>
        </w:rPr>
        <w:t xml:space="preserve"> World J Transplant</w:t>
      </w:r>
      <w:r w:rsidR="00282693" w:rsidRPr="00FB5CEB">
        <w:rPr>
          <w:rFonts w:ascii="Book Antiqua" w:hAnsi="Book Antiqua" w:hint="eastAsia"/>
          <w:iCs/>
          <w:sz w:val="24"/>
          <w:szCs w:val="24"/>
        </w:rPr>
        <w:t xml:space="preserve"> 2016; </w:t>
      </w:r>
      <w:proofErr w:type="gramStart"/>
      <w:r w:rsidR="00282693" w:rsidRPr="00FB5CEB">
        <w:rPr>
          <w:rFonts w:ascii="Book Antiqua" w:hAnsi="Book Antiqua" w:hint="eastAsia"/>
          <w:iCs/>
          <w:sz w:val="24"/>
          <w:szCs w:val="24"/>
        </w:rPr>
        <w:t>In</w:t>
      </w:r>
      <w:proofErr w:type="gramEnd"/>
      <w:r w:rsidR="00282693" w:rsidRPr="00FB5CEB">
        <w:rPr>
          <w:rFonts w:ascii="Book Antiqua" w:hAnsi="Book Antiqua" w:hint="eastAsia"/>
          <w:iCs/>
          <w:sz w:val="24"/>
          <w:szCs w:val="24"/>
        </w:rPr>
        <w:t xml:space="preserve"> press</w:t>
      </w:r>
    </w:p>
    <w:p w:rsidR="002C2A3D" w:rsidRPr="00FB5CEB" w:rsidRDefault="002C2A3D" w:rsidP="00BC0BDD">
      <w:pPr>
        <w:pStyle w:val="NoSpacing"/>
        <w:spacing w:line="360" w:lineRule="auto"/>
        <w:jc w:val="both"/>
        <w:rPr>
          <w:rFonts w:ascii="Book Antiqua" w:hAnsi="Book Antiqua" w:cs="Arial"/>
          <w:lang w:eastAsia="zh-CN"/>
        </w:rPr>
      </w:pPr>
    </w:p>
    <w:p w:rsidR="001B7E5D" w:rsidRPr="00FB5CEB" w:rsidRDefault="001B7E5D" w:rsidP="00BC0BDD">
      <w:pPr>
        <w:spacing w:after="0" w:line="360" w:lineRule="auto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br w:type="page"/>
      </w:r>
    </w:p>
    <w:p w:rsidR="00DA6254" w:rsidRPr="00FB5CEB" w:rsidRDefault="00DC6E66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lastRenderedPageBreak/>
        <w:t>INTRODUCTION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>Allogeneic hematopoietic stem cell transplantation (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-HSCT) is utilized primarily as a curative treatment for both hematological and non-hematological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malignancies</w:t>
      </w:r>
      <w:r w:rsidR="004C0F4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C0F42" w:rsidRPr="00FB5CEB">
        <w:rPr>
          <w:rFonts w:ascii="Book Antiqua" w:hAnsi="Book Antiqua" w:cs="Arial"/>
          <w:sz w:val="24"/>
          <w:szCs w:val="24"/>
          <w:vertAlign w:val="superscript"/>
        </w:rPr>
        <w:t>1]</w:t>
      </w:r>
      <w:r w:rsidRPr="00FB5CEB">
        <w:rPr>
          <w:rFonts w:ascii="Book Antiqua" w:hAnsi="Book Antiqua" w:cs="Arial"/>
          <w:sz w:val="24"/>
          <w:szCs w:val="24"/>
        </w:rPr>
        <w:t>, although it has been used successfully in small-scale clinical trials as a stem cell therapy for some inherited diseases such as Recessive Dystrophic Epidermolysis Bullosa</w:t>
      </w:r>
      <w:r w:rsidR="004C0F42" w:rsidRPr="00FB5CEB">
        <w:rPr>
          <w:rFonts w:ascii="Book Antiqua" w:hAnsi="Book Antiqua" w:cs="Arial"/>
          <w:sz w:val="24"/>
          <w:szCs w:val="24"/>
          <w:vertAlign w:val="superscript"/>
        </w:rPr>
        <w:t>[2]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In the case of hematolog</w:t>
      </w:r>
      <w:r w:rsidR="001B7E5D" w:rsidRPr="00FB5CEB">
        <w:rPr>
          <w:rFonts w:ascii="Book Antiqua" w:hAnsi="Book Antiqua" w:cs="Arial"/>
          <w:sz w:val="24"/>
          <w:szCs w:val="24"/>
        </w:rPr>
        <w:t>ic malignancies, the graft-</w:t>
      </w:r>
      <w:r w:rsidR="001B7E5D" w:rsidRPr="00FB5CEB">
        <w:rPr>
          <w:rFonts w:ascii="Book Antiqua" w:hAnsi="Book Antiqua" w:cs="Arial"/>
          <w:i/>
          <w:sz w:val="24"/>
          <w:szCs w:val="24"/>
        </w:rPr>
        <w:t>v</w:t>
      </w:r>
      <w:r w:rsidRPr="00FB5CEB">
        <w:rPr>
          <w:rFonts w:ascii="Book Antiqua" w:hAnsi="Book Antiqua" w:cs="Arial"/>
          <w:i/>
          <w:sz w:val="24"/>
          <w:szCs w:val="24"/>
        </w:rPr>
        <w:t>s</w:t>
      </w:r>
      <w:r w:rsidRPr="00FB5CEB">
        <w:rPr>
          <w:rFonts w:ascii="Book Antiqua" w:hAnsi="Book Antiqua" w:cs="Arial"/>
          <w:sz w:val="24"/>
          <w:szCs w:val="24"/>
        </w:rPr>
        <w:t>-leukemia or graft</w:t>
      </w:r>
      <w:r w:rsidR="001B7E5D" w:rsidRPr="00FB5CEB">
        <w:rPr>
          <w:rFonts w:ascii="Book Antiqua" w:hAnsi="Book Antiqua" w:cs="Arial"/>
          <w:sz w:val="24"/>
          <w:szCs w:val="24"/>
        </w:rPr>
        <w:t>-</w:t>
      </w:r>
      <w:r w:rsidR="001B7E5D" w:rsidRPr="00FB5CEB">
        <w:rPr>
          <w:rFonts w:ascii="Book Antiqua" w:hAnsi="Book Antiqua" w:cs="Arial"/>
          <w:i/>
          <w:sz w:val="24"/>
          <w:szCs w:val="24"/>
        </w:rPr>
        <w:t>vs</w:t>
      </w:r>
      <w:r w:rsidR="001B7E5D" w:rsidRPr="00FB5CEB">
        <w:rPr>
          <w:rFonts w:ascii="Book Antiqua" w:hAnsi="Book Antiqua" w:cs="Arial"/>
          <w:sz w:val="24"/>
          <w:szCs w:val="24"/>
        </w:rPr>
        <w:t>-</w:t>
      </w:r>
      <w:r w:rsidRPr="00FB5CEB">
        <w:rPr>
          <w:rFonts w:ascii="Book Antiqua" w:hAnsi="Book Antiqua" w:cs="Arial"/>
          <w:sz w:val="24"/>
          <w:szCs w:val="24"/>
        </w:rPr>
        <w:t xml:space="preserve">tumor </w:t>
      </w:r>
      <w:r w:rsidR="004C0F42" w:rsidRPr="00FB5CEB">
        <w:rPr>
          <w:rFonts w:ascii="Book Antiqua" w:hAnsi="Book Antiqua" w:cs="Arial"/>
          <w:sz w:val="24"/>
          <w:szCs w:val="24"/>
        </w:rPr>
        <w:t xml:space="preserve">(GVL or GVT) </w:t>
      </w:r>
      <w:r w:rsidRPr="00FB5CEB">
        <w:rPr>
          <w:rFonts w:ascii="Book Antiqua" w:hAnsi="Book Antiqua" w:cs="Arial"/>
          <w:sz w:val="24"/>
          <w:szCs w:val="24"/>
        </w:rPr>
        <w:t>eff</w:t>
      </w:r>
      <w:r w:rsidR="007A1D63" w:rsidRPr="00FB5CEB">
        <w:rPr>
          <w:rFonts w:ascii="Book Antiqua" w:hAnsi="Book Antiqua" w:cs="Arial"/>
          <w:sz w:val="24"/>
          <w:szCs w:val="24"/>
        </w:rPr>
        <w:t xml:space="preserve">ect mediated by donor-derived T </w:t>
      </w:r>
      <w:r w:rsidRPr="00FB5CEB">
        <w:rPr>
          <w:rFonts w:ascii="Book Antiqua" w:hAnsi="Book Antiqua" w:cs="Arial"/>
          <w:sz w:val="24"/>
          <w:szCs w:val="24"/>
        </w:rPr>
        <w:t xml:space="preserve">cells helps to eliminate malignant cells in the transplant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recipient</w:t>
      </w:r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3]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However, a major long-term complication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>-HSCT is chronic Graft</w:t>
      </w:r>
      <w:r w:rsidR="001B7E5D" w:rsidRPr="00FB5CEB">
        <w:rPr>
          <w:rFonts w:ascii="Book Antiqua" w:hAnsi="Book Antiqua" w:cs="Arial"/>
          <w:sz w:val="24"/>
          <w:szCs w:val="24"/>
        </w:rPr>
        <w:t>-</w:t>
      </w:r>
      <w:r w:rsidR="001B7E5D" w:rsidRPr="00FB5CEB">
        <w:rPr>
          <w:rFonts w:ascii="Book Antiqua" w:hAnsi="Book Antiqua" w:cs="Arial"/>
          <w:i/>
          <w:sz w:val="24"/>
          <w:szCs w:val="24"/>
        </w:rPr>
        <w:t>vs</w:t>
      </w:r>
      <w:r w:rsidR="001B7E5D" w:rsidRPr="00FB5CEB">
        <w:rPr>
          <w:rFonts w:ascii="Book Antiqua" w:hAnsi="Book Antiqua" w:cs="Arial"/>
          <w:sz w:val="24"/>
          <w:szCs w:val="24"/>
        </w:rPr>
        <w:t>-h</w:t>
      </w:r>
      <w:r w:rsidRPr="00FB5CEB">
        <w:rPr>
          <w:rFonts w:ascii="Book Antiqua" w:hAnsi="Book Antiqua" w:cs="Arial"/>
          <w:sz w:val="24"/>
          <w:szCs w:val="24"/>
        </w:rPr>
        <w:t>ost Disease (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>), which occurs in 30</w:t>
      </w:r>
      <w:r w:rsidR="00AC758A" w:rsidRPr="00FB5CEB">
        <w:rPr>
          <w:rFonts w:ascii="Book Antiqua" w:hAnsi="Book Antiqua" w:cs="Arial"/>
          <w:sz w:val="24"/>
          <w:szCs w:val="24"/>
        </w:rPr>
        <w:t>%</w:t>
      </w:r>
      <w:r w:rsidRPr="00FB5CEB">
        <w:rPr>
          <w:rFonts w:ascii="Book Antiqua" w:hAnsi="Book Antiqua" w:cs="Arial"/>
          <w:sz w:val="24"/>
          <w:szCs w:val="24"/>
        </w:rPr>
        <w:t xml:space="preserve">-70% of patients, with adults more frequently affected than pediatric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patients</w:t>
      </w:r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4]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Chronic GVHD manifests as an autoimmune-like inflammatory disease that can affect a single organ, but more typically it presents as a multi-organ disease affecting the skin (</w:t>
      </w:r>
      <w:r w:rsidR="00673E1A" w:rsidRPr="00FB5CEB">
        <w:rPr>
          <w:rFonts w:ascii="Book Antiqua" w:hAnsi="Book Antiqua" w:cs="Arial"/>
          <w:sz w:val="24"/>
          <w:szCs w:val="24"/>
        </w:rPr>
        <w:t>75</w:t>
      </w:r>
      <w:r w:rsidRPr="00FB5CEB">
        <w:rPr>
          <w:rFonts w:ascii="Book Antiqua" w:hAnsi="Book Antiqua" w:cs="Arial"/>
          <w:sz w:val="24"/>
          <w:szCs w:val="24"/>
        </w:rPr>
        <w:t>% of patients), oral mucosa (</w:t>
      </w:r>
      <w:r w:rsidR="00673E1A" w:rsidRPr="00FB5CEB">
        <w:rPr>
          <w:rFonts w:ascii="Book Antiqua" w:hAnsi="Book Antiqua" w:cs="Arial"/>
          <w:sz w:val="24"/>
          <w:szCs w:val="24"/>
        </w:rPr>
        <w:t>51</w:t>
      </w:r>
      <w:r w:rsidR="00362A0C" w:rsidRPr="00FB5CEB">
        <w:rPr>
          <w:rFonts w:ascii="Book Antiqua" w:hAnsi="Book Antiqua" w:cs="Arial"/>
          <w:sz w:val="24"/>
          <w:szCs w:val="24"/>
        </w:rPr>
        <w:t>%</w:t>
      </w:r>
      <w:r w:rsidR="00673E1A" w:rsidRPr="00FB5CEB">
        <w:rPr>
          <w:rFonts w:ascii="Book Antiqua" w:hAnsi="Book Antiqua" w:cs="Arial"/>
          <w:sz w:val="24"/>
          <w:szCs w:val="24"/>
        </w:rPr>
        <w:t>-63</w:t>
      </w:r>
      <w:r w:rsidRPr="00FB5CEB">
        <w:rPr>
          <w:rFonts w:ascii="Book Antiqua" w:hAnsi="Book Antiqua" w:cs="Arial"/>
          <w:sz w:val="24"/>
          <w:szCs w:val="24"/>
        </w:rPr>
        <w:t>% of patients), liver, eyes and gastrointestinal tract (</w:t>
      </w:r>
      <w:r w:rsidR="00673E1A" w:rsidRPr="00FB5CEB">
        <w:rPr>
          <w:rFonts w:ascii="Book Antiqua" w:hAnsi="Book Antiqua" w:cs="Arial"/>
          <w:sz w:val="24"/>
          <w:szCs w:val="24"/>
        </w:rPr>
        <w:t>22</w:t>
      </w:r>
      <w:r w:rsidR="00362A0C" w:rsidRPr="00FB5CEB">
        <w:rPr>
          <w:rFonts w:ascii="Book Antiqua" w:hAnsi="Book Antiqua" w:cs="Arial"/>
          <w:sz w:val="24"/>
          <w:szCs w:val="24"/>
        </w:rPr>
        <w:t>%</w:t>
      </w:r>
      <w:r w:rsidRPr="00FB5CEB">
        <w:rPr>
          <w:rFonts w:ascii="Book Antiqua" w:hAnsi="Book Antiqua" w:cs="Arial"/>
          <w:sz w:val="24"/>
          <w:szCs w:val="24"/>
        </w:rPr>
        <w:t>-</w:t>
      </w:r>
      <w:r w:rsidR="00673E1A" w:rsidRPr="00FB5CEB">
        <w:rPr>
          <w:rFonts w:ascii="Book Antiqua" w:hAnsi="Book Antiqua" w:cs="Arial"/>
          <w:sz w:val="24"/>
          <w:szCs w:val="24"/>
        </w:rPr>
        <w:t>51</w:t>
      </w:r>
      <w:r w:rsidRPr="00FB5CEB">
        <w:rPr>
          <w:rFonts w:ascii="Book Antiqua" w:hAnsi="Book Antiqua" w:cs="Arial"/>
          <w:sz w:val="24"/>
          <w:szCs w:val="24"/>
        </w:rPr>
        <w:t>% of patients)</w:t>
      </w:r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[4]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Oral mucosal disease can include salivary gland pathology or sclerosis of the </w:t>
      </w:r>
      <w:r w:rsidRPr="00FB5CEB">
        <w:rPr>
          <w:rFonts w:ascii="Book Antiqua" w:hAnsi="Book Antiqua" w:cs="Arial"/>
          <w:i/>
          <w:sz w:val="24"/>
          <w:szCs w:val="24"/>
        </w:rPr>
        <w:t xml:space="preserve">lamina </w:t>
      </w:r>
      <w:proofErr w:type="spellStart"/>
      <w:r w:rsidRPr="00FB5CEB">
        <w:rPr>
          <w:rFonts w:ascii="Book Antiqua" w:hAnsi="Book Antiqua" w:cs="Arial"/>
          <w:i/>
          <w:sz w:val="24"/>
          <w:szCs w:val="24"/>
        </w:rPr>
        <w:t>propria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or </w:t>
      </w:r>
      <w:r w:rsidRPr="00FB5CEB">
        <w:rPr>
          <w:rFonts w:ascii="Book Antiqua" w:hAnsi="Book Antiqua" w:cs="Arial"/>
          <w:i/>
          <w:sz w:val="24"/>
          <w:szCs w:val="24"/>
        </w:rPr>
        <w:t>submucosa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Other tissues including the lung, esophagus, joints, muscles and genitalia can also be involved (Table 1).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Chronic GVHD is often preceded by acute GVHD, which typically occurs wi</w:t>
      </w:r>
      <w:r w:rsidR="00362A0C" w:rsidRPr="00FB5CEB">
        <w:rPr>
          <w:rFonts w:ascii="Book Antiqua" w:hAnsi="Book Antiqua" w:cs="Arial"/>
          <w:sz w:val="24"/>
          <w:szCs w:val="24"/>
        </w:rPr>
        <w:t>thin 100 d</w:t>
      </w:r>
      <w:r w:rsidRPr="00FB5CEB">
        <w:rPr>
          <w:rFonts w:ascii="Book Antiqua" w:hAnsi="Book Antiqua" w:cs="Arial"/>
          <w:sz w:val="24"/>
          <w:szCs w:val="24"/>
        </w:rPr>
        <w:t xml:space="preserve"> after transplantation, although the</w:t>
      </w:r>
      <w:r w:rsidR="00362A0C" w:rsidRPr="00FB5CEB">
        <w:rPr>
          <w:rFonts w:ascii="Book Antiqua" w:hAnsi="Book Antiqua" w:cs="Arial"/>
          <w:sz w:val="24"/>
          <w:szCs w:val="24"/>
        </w:rPr>
        <w:t xml:space="preserve"> acute form can persist longer.</w:t>
      </w:r>
    </w:p>
    <w:p w:rsidR="00DA6254" w:rsidRPr="00FB5CEB" w:rsidRDefault="00DA6254" w:rsidP="00AF184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 patients,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is the most common cause of non-relapse mortality (NRM, which refers to mortality not related to the primary malignancy or disease) among patients surviving more than two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years</w:t>
      </w:r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5]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Other important contributing factors to patient mortality are viral or bacterial infection and secondary malignancies (</w:t>
      </w:r>
      <w:r w:rsidR="00362A0C" w:rsidRPr="00FB5CEB">
        <w:rPr>
          <w:rFonts w:ascii="Book Antiqua" w:hAnsi="Book Antiqua" w:cs="Arial"/>
          <w:sz w:val="24"/>
          <w:szCs w:val="24"/>
        </w:rPr>
        <w:t>Fig</w:t>
      </w:r>
      <w:r w:rsidR="00362A0C" w:rsidRPr="00FB5CEB">
        <w:rPr>
          <w:rFonts w:ascii="Book Antiqua" w:hAnsi="Book Antiqua" w:cs="Arial" w:hint="eastAsia"/>
          <w:sz w:val="24"/>
          <w:szCs w:val="24"/>
          <w:lang w:eastAsia="zh-CN"/>
        </w:rPr>
        <w:t>ure</w:t>
      </w:r>
      <w:r w:rsidRPr="00FB5CEB">
        <w:rPr>
          <w:rFonts w:ascii="Book Antiqua" w:hAnsi="Book Antiqua" w:cs="Arial"/>
          <w:sz w:val="24"/>
          <w:szCs w:val="24"/>
        </w:rPr>
        <w:t xml:space="preserve"> 1)</w:t>
      </w:r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[4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,6</w:t>
      </w:r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C7085"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A recent analysis by the Center for International Blood and Marrow Transplant Re</w:t>
      </w:r>
      <w:r w:rsidR="00362A0C" w:rsidRPr="00FB5CEB">
        <w:rPr>
          <w:rFonts w:ascii="Book Antiqua" w:hAnsi="Book Antiqua" w:cs="Arial"/>
          <w:sz w:val="24"/>
          <w:szCs w:val="24"/>
        </w:rPr>
        <w:t>search (CIBMTR) of more than 26</w:t>
      </w:r>
      <w:r w:rsidRPr="00FB5CEB">
        <w:rPr>
          <w:rFonts w:ascii="Book Antiqua" w:hAnsi="Book Antiqua" w:cs="Arial"/>
          <w:sz w:val="24"/>
          <w:szCs w:val="24"/>
        </w:rPr>
        <w:t xml:space="preserve">000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 patients demonstrated that the incidence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is increasing worldwide, making it imperative that we fully understand the etiology of this disease</w:t>
      </w:r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[7]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</w:p>
    <w:p w:rsidR="00DA6254" w:rsidRPr="00FB5CEB" w:rsidRDefault="00DA6254" w:rsidP="00AF184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 xml:space="preserve">This review will focus on the pathobiology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, which has features of both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alloimmune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and autoimmune disease and involves altered activiti</w:t>
      </w:r>
      <w:r w:rsidR="00623596" w:rsidRPr="00FB5CEB">
        <w:rPr>
          <w:rFonts w:ascii="Book Antiqua" w:hAnsi="Book Antiqua" w:cs="Arial"/>
          <w:sz w:val="24"/>
          <w:szCs w:val="24"/>
        </w:rPr>
        <w:t xml:space="preserve">es and function of various T </w:t>
      </w:r>
      <w:r w:rsidRPr="00FB5CEB">
        <w:rPr>
          <w:rFonts w:ascii="Book Antiqua" w:hAnsi="Book Antiqua" w:cs="Arial"/>
          <w:sz w:val="24"/>
          <w:szCs w:val="24"/>
        </w:rPr>
        <w:t>cell populations (T</w:t>
      </w:r>
      <w:r w:rsidR="00673E1A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h</w:t>
      </w:r>
      <w:r w:rsidR="00673E1A" w:rsidRPr="00FB5CEB">
        <w:rPr>
          <w:rFonts w:ascii="Book Antiqua" w:hAnsi="Book Antiqua" w:cs="Arial"/>
          <w:sz w:val="24"/>
          <w:szCs w:val="24"/>
        </w:rPr>
        <w:t>elper (</w:t>
      </w:r>
      <w:proofErr w:type="spellStart"/>
      <w:r w:rsidR="00673E1A" w:rsidRPr="00FB5CEB">
        <w:rPr>
          <w:rFonts w:ascii="Book Antiqua" w:hAnsi="Book Antiqua" w:cs="Arial"/>
          <w:sz w:val="24"/>
          <w:szCs w:val="24"/>
        </w:rPr>
        <w:t>Th</w:t>
      </w:r>
      <w:proofErr w:type="spellEnd"/>
      <w:r w:rsidR="00673E1A" w:rsidRPr="00FB5CEB">
        <w:rPr>
          <w:rFonts w:ascii="Book Antiqua" w:hAnsi="Book Antiqua" w:cs="Arial"/>
          <w:sz w:val="24"/>
          <w:szCs w:val="24"/>
        </w:rPr>
        <w:t>) 1</w:t>
      </w:r>
      <w:r w:rsidRPr="00FB5CEB">
        <w:rPr>
          <w:rFonts w:ascii="Book Antiqua" w:hAnsi="Book Antiqua" w:cs="Arial"/>
          <w:sz w:val="24"/>
          <w:szCs w:val="24"/>
        </w:rPr>
        <w:t>, Th2, Th17, T follicular helper cells and regu</w:t>
      </w:r>
      <w:r w:rsidR="00623596" w:rsidRPr="00FB5CEB">
        <w:rPr>
          <w:rFonts w:ascii="Book Antiqua" w:hAnsi="Book Antiqua" w:cs="Arial"/>
          <w:sz w:val="24"/>
          <w:szCs w:val="24"/>
        </w:rPr>
        <w:t xml:space="preserve">latory T-cells) as well as of B </w:t>
      </w:r>
      <w:r w:rsidRPr="00FB5CEB">
        <w:rPr>
          <w:rFonts w:ascii="Book Antiqua" w:hAnsi="Book Antiqua" w:cs="Arial"/>
          <w:sz w:val="24"/>
          <w:szCs w:val="24"/>
        </w:rPr>
        <w:t>cells.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Equally important are the various cytokines and </w:t>
      </w:r>
      <w:r w:rsidRPr="00FB5CEB">
        <w:rPr>
          <w:rFonts w:ascii="Book Antiqua" w:hAnsi="Book Antiqua" w:cs="Arial"/>
          <w:sz w:val="24"/>
          <w:szCs w:val="24"/>
        </w:rPr>
        <w:lastRenderedPageBreak/>
        <w:t>chemokines produced by immune cells and their target tissues, which cause inflammation and tissue damage.</w:t>
      </w:r>
      <w:r w:rsidR="00D848E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 second productive area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research is biomarker discovery; high-throughput approaches including mass spectrometry have led to the identification of a number of </w:t>
      </w:r>
      <w:r w:rsidR="004E08B6" w:rsidRPr="00FB5CEB">
        <w:rPr>
          <w:rFonts w:ascii="Book Antiqua" w:hAnsi="Book Antiqua" w:cs="Arial"/>
          <w:sz w:val="24"/>
          <w:szCs w:val="24"/>
        </w:rPr>
        <w:t xml:space="preserve">molecular </w:t>
      </w:r>
      <w:r w:rsidRPr="00FB5CEB">
        <w:rPr>
          <w:rFonts w:ascii="Book Antiqua" w:hAnsi="Book Antiqua" w:cs="Arial"/>
          <w:sz w:val="24"/>
          <w:szCs w:val="24"/>
        </w:rPr>
        <w:t>markers from blood and saliva that correlate with active disease.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Not surprisingly, many of these markers are associated with altered host immunity and/or tissue inflammation.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This review will not discuss current primary and secondary therapeutic strategies for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; for an in-depth discussion of this topic, the reader is referred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elsewhere</w:t>
      </w:r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C7085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-10</w:t>
      </w:r>
      <w:r w:rsidR="008C49E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. 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DA6254" w:rsidRPr="00FB5CEB" w:rsidRDefault="00DC6E66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t>CLINICAL FEATURES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According to the NIH consensus criteria published in 2005, chronic GVHD can be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subclassified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into </w:t>
      </w:r>
      <w:r w:rsidR="00124CC0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Pr="00FB5CEB">
        <w:rPr>
          <w:rFonts w:ascii="Book Antiqua" w:hAnsi="Book Antiqua" w:cs="Arial"/>
          <w:sz w:val="24"/>
          <w:szCs w:val="24"/>
        </w:rPr>
        <w:t xml:space="preserve">1) Classic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presenting with manifestations that can be ascribed only to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124CC0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Pr="00FB5CEB">
        <w:rPr>
          <w:rFonts w:ascii="Book Antiqua" w:hAnsi="Book Antiqua" w:cs="Arial"/>
          <w:sz w:val="24"/>
          <w:szCs w:val="24"/>
        </w:rPr>
        <w:t xml:space="preserve"> and </w:t>
      </w:r>
      <w:r w:rsidR="00124CC0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Pr="00FB5CEB">
        <w:rPr>
          <w:rFonts w:ascii="Book Antiqua" w:hAnsi="Book Antiqua" w:cs="Arial"/>
          <w:sz w:val="24"/>
          <w:szCs w:val="24"/>
        </w:rPr>
        <w:t xml:space="preserve">2) Overlap syndrome that has diagnostic or distinctive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manifestations together with features typical of acute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GVHD</w:t>
      </w:r>
      <w:r w:rsidR="008C49E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8C49EC" w:rsidRPr="00FB5CEB">
        <w:rPr>
          <w:rFonts w:ascii="Book Antiqua" w:hAnsi="Book Antiqua" w:cs="Arial"/>
          <w:sz w:val="24"/>
          <w:szCs w:val="24"/>
          <w:vertAlign w:val="superscript"/>
        </w:rPr>
        <w:t>1]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Acute GVHD occurs in 40</w:t>
      </w:r>
      <w:r w:rsidR="00124CC0" w:rsidRPr="00FB5CEB">
        <w:rPr>
          <w:rFonts w:ascii="Book Antiqua" w:hAnsi="Book Antiqua" w:cs="Arial"/>
          <w:sz w:val="24"/>
          <w:szCs w:val="24"/>
        </w:rPr>
        <w:t>%</w:t>
      </w:r>
      <w:r w:rsidRPr="00FB5CEB">
        <w:rPr>
          <w:rFonts w:ascii="Book Antiqua" w:hAnsi="Book Antiqua" w:cs="Arial"/>
          <w:sz w:val="24"/>
          <w:szCs w:val="24"/>
        </w:rPr>
        <w:t xml:space="preserve">-60% of patients receiving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 and is one of the major risk factors for subsequent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To improve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classification, the NIH severity score was developed which documents the number of organs involved and numerically scores the degree of functional impairment.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Generally, patients are assessed as having mild, moderate or severe disease on a scale of 1 to 4 for each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tissue</w:t>
      </w:r>
      <w:r w:rsidR="008C49E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8C49EC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1-13</w:t>
      </w:r>
      <w:r w:rsidR="008C49E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However, clinical symptoms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often overlap with other autoimmune diseases such as lichen planus and scleroderma and the degree of organ involvement is highly variable, which can make diagnosis challenging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[8,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14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CE51F5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CE51F5">
        <w:rPr>
          <w:rFonts w:ascii="Book Antiqua" w:hAnsi="Book Antiqua" w:cs="Arial"/>
          <w:sz w:val="24"/>
          <w:szCs w:val="24"/>
        </w:rPr>
        <w:t>Table 1 li</w:t>
      </w:r>
      <w:r w:rsidRPr="00FB5CEB">
        <w:rPr>
          <w:rFonts w:ascii="Book Antiqua" w:hAnsi="Book Antiqua" w:cs="Arial"/>
          <w:sz w:val="24"/>
          <w:szCs w:val="24"/>
        </w:rPr>
        <w:t xml:space="preserve">sts signs and symptoms that are considered to be diagnostic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as well as some of the commonly observed clinical features that are considered to be insufficient for disease diagnosis.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As many as three or more tissues can be affected in a single patient, as reflected in the NIH global severity classification of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Skin manifestations that are considered diagnostic include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poikiloderma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(altered pigmentation with erythema), lichen planus-like lesions, sclerosis and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morphea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-like </w:t>
      </w:r>
      <w:r w:rsidRPr="004169B4">
        <w:rPr>
          <w:rFonts w:ascii="Book Antiqua" w:hAnsi="Book Antiqua" w:cs="Arial"/>
          <w:sz w:val="24"/>
          <w:szCs w:val="24"/>
        </w:rPr>
        <w:t>features (Table 1).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Distinctive features (</w:t>
      </w:r>
      <w:r w:rsidR="009875FB" w:rsidRPr="00FB5CEB">
        <w:rPr>
          <w:rFonts w:ascii="Book Antiqua" w:hAnsi="Book Antiqua" w:cs="Arial"/>
          <w:sz w:val="24"/>
          <w:szCs w:val="24"/>
        </w:rPr>
        <w:t xml:space="preserve">often </w:t>
      </w:r>
      <w:r w:rsidRPr="00FB5CEB">
        <w:rPr>
          <w:rFonts w:ascii="Book Antiqua" w:hAnsi="Book Antiqua" w:cs="Arial"/>
          <w:sz w:val="24"/>
          <w:szCs w:val="24"/>
        </w:rPr>
        <w:t xml:space="preserve">observed in skin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but not sufficient for diagnosis) include depigmentation,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papulosquamous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lesions, ichthyosis and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pruritis</w:t>
      </w:r>
      <w:proofErr w:type="spellEnd"/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Skin appendages are often targeted as well but </w:t>
      </w:r>
      <w:r w:rsidR="0079074A" w:rsidRPr="00FB5CEB">
        <w:rPr>
          <w:rFonts w:ascii="Book Antiqua" w:hAnsi="Book Antiqua" w:cs="Arial"/>
          <w:sz w:val="24"/>
          <w:szCs w:val="24"/>
        </w:rPr>
        <w:t xml:space="preserve">these </w:t>
      </w:r>
      <w:r w:rsidR="0079074A" w:rsidRPr="00FB5CEB">
        <w:rPr>
          <w:rFonts w:ascii="Book Antiqua" w:hAnsi="Book Antiqua" w:cs="Arial"/>
          <w:sz w:val="24"/>
          <w:szCs w:val="24"/>
        </w:rPr>
        <w:lastRenderedPageBreak/>
        <w:t xml:space="preserve">signs </w:t>
      </w:r>
      <w:r w:rsidRPr="00FB5CEB">
        <w:rPr>
          <w:rFonts w:ascii="Book Antiqua" w:hAnsi="Book Antiqua" w:cs="Arial"/>
          <w:sz w:val="24"/>
          <w:szCs w:val="24"/>
        </w:rPr>
        <w:t xml:space="preserve">are not </w:t>
      </w:r>
      <w:r w:rsidR="0079074A" w:rsidRPr="00FB5CEB">
        <w:rPr>
          <w:rFonts w:ascii="Book Antiqua" w:hAnsi="Book Antiqua" w:cs="Arial"/>
          <w:sz w:val="24"/>
          <w:szCs w:val="24"/>
        </w:rPr>
        <w:t xml:space="preserve">considered </w:t>
      </w:r>
      <w:r w:rsidRPr="00FB5CEB">
        <w:rPr>
          <w:rFonts w:ascii="Book Antiqua" w:hAnsi="Book Antiqua" w:cs="Arial"/>
          <w:sz w:val="24"/>
          <w:szCs w:val="24"/>
        </w:rPr>
        <w:t xml:space="preserve">diagnostic: </w:t>
      </w:r>
      <w:r w:rsidR="00B26A59">
        <w:rPr>
          <w:rFonts w:ascii="Book Antiqua" w:hAnsi="Book Antiqua" w:cs="Arial" w:hint="eastAsia"/>
          <w:sz w:val="24"/>
          <w:szCs w:val="24"/>
          <w:lang w:eastAsia="zh-CN"/>
        </w:rPr>
        <w:t>S</w:t>
      </w:r>
      <w:r w:rsidRPr="00FB5CEB">
        <w:rPr>
          <w:rFonts w:ascii="Book Antiqua" w:hAnsi="Book Antiqua" w:cs="Arial"/>
          <w:sz w:val="24"/>
          <w:szCs w:val="24"/>
        </w:rPr>
        <w:t xml:space="preserve">ymptoms can include scalp hair thinning or alopecia, sweat impairment and nail dystrophy or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onycholysis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(nail loss)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11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,13]</w:t>
      </w:r>
      <w:r w:rsidR="00B55CCF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</w:p>
    <w:p w:rsidR="00DA6254" w:rsidRPr="00FB5CEB" w:rsidRDefault="00DA6254" w:rsidP="00B55CC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Cutaneous chronic GVHD can occur in two forms termed lichenoid and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schlerodermatous</w:t>
      </w:r>
      <w:proofErr w:type="spellEnd"/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Lichenoid lesions usually occur early in the course of the disease, presenting as erythematous papules or plaques, with a squamous surface.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Typical affected sites include the face, ears, palms and soles.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Schlerodermatous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, which generally develops as a later complication, appear as sclerotic, shiny, white or yellow plaques with patchy hyperpigmentation or a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poikilodermal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appearance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.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Sclerodermatous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can be localized or generalized and affect underlying tissues including the fascia, ligaments and peripheral nerves</w:t>
      </w:r>
      <w:r w:rsidR="00966E80" w:rsidRPr="00FB5CEB">
        <w:rPr>
          <w:rFonts w:ascii="Book Antiqua" w:hAnsi="Book Antiqua" w:cs="Arial"/>
          <w:sz w:val="24"/>
          <w:szCs w:val="24"/>
        </w:rPr>
        <w:t>,</w:t>
      </w:r>
      <w:r w:rsidRPr="00FB5CEB">
        <w:rPr>
          <w:rFonts w:ascii="Book Antiqua" w:hAnsi="Book Antiqua" w:cs="Arial"/>
          <w:sz w:val="24"/>
          <w:szCs w:val="24"/>
        </w:rPr>
        <w:t xml:space="preserve"> causing pain and morbidity for the affected patient.</w:t>
      </w:r>
    </w:p>
    <w:p w:rsidR="004D1F07" w:rsidRPr="00FB5CEB" w:rsidRDefault="00DA6254" w:rsidP="00F02F4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>Oral symptoms vary but commonly involve lichenoid changes, xerostomia as a result of salivary gl</w:t>
      </w:r>
      <w:r w:rsidR="0079074A" w:rsidRPr="00FB5CEB">
        <w:rPr>
          <w:rFonts w:ascii="Book Antiqua" w:hAnsi="Book Antiqua" w:cs="Arial"/>
          <w:sz w:val="24"/>
          <w:szCs w:val="24"/>
        </w:rPr>
        <w:t xml:space="preserve">and damage, mucositis, erythema, </w:t>
      </w:r>
      <w:proofErr w:type="spellStart"/>
      <w:r w:rsidR="0079074A" w:rsidRPr="00FB5CEB">
        <w:rPr>
          <w:rFonts w:ascii="Book Antiqua" w:hAnsi="Book Antiqua" w:cs="Arial"/>
          <w:sz w:val="24"/>
          <w:szCs w:val="24"/>
        </w:rPr>
        <w:t>mucoceles</w:t>
      </w:r>
      <w:proofErr w:type="spellEnd"/>
      <w:r w:rsidR="0079074A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and restricted mouth opening (trismus) due primarily to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sclerosis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6-18</w:t>
      </w:r>
      <w:r w:rsidR="00966E80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79074A" w:rsidRPr="00FB5CEB">
        <w:rPr>
          <w:rFonts w:ascii="Book Antiqua" w:hAnsi="Book Antiqua" w:cs="Arial"/>
          <w:sz w:val="24"/>
          <w:szCs w:val="24"/>
        </w:rPr>
        <w:t>However, under current guidelines only lichen planus-like features are considered to be dia</w:t>
      </w:r>
      <w:r w:rsidR="0079074A" w:rsidRPr="00B55CCF">
        <w:rPr>
          <w:rFonts w:ascii="Book Antiqua" w:hAnsi="Book Antiqua" w:cs="Arial"/>
          <w:sz w:val="24"/>
          <w:szCs w:val="24"/>
        </w:rPr>
        <w:t>gnostic (Table 1)</w:t>
      </w:r>
      <w:r w:rsidR="00966E80" w:rsidRPr="00B55CCF">
        <w:rPr>
          <w:rFonts w:ascii="Book Antiqua" w:hAnsi="Book Antiqua" w:cs="Arial"/>
          <w:sz w:val="24"/>
          <w:szCs w:val="24"/>
          <w:vertAlign w:val="superscript"/>
        </w:rPr>
        <w:t>[1</w:t>
      </w:r>
      <w:r w:rsidR="008E201D" w:rsidRPr="00B55CCF">
        <w:rPr>
          <w:rFonts w:ascii="Book Antiqua" w:hAnsi="Book Antiqua" w:cs="Arial"/>
          <w:sz w:val="24"/>
          <w:szCs w:val="24"/>
          <w:vertAlign w:val="superscript"/>
        </w:rPr>
        <w:t>3</w:t>
      </w:r>
      <w:r w:rsidR="00966E80" w:rsidRPr="00B55CCF">
        <w:rPr>
          <w:rFonts w:ascii="Book Antiqua" w:hAnsi="Book Antiqua" w:cs="Arial"/>
          <w:sz w:val="24"/>
          <w:szCs w:val="24"/>
          <w:vertAlign w:val="superscript"/>
        </w:rPr>
        <w:t>]</w:t>
      </w:r>
      <w:r w:rsidR="0079074A" w:rsidRPr="00B55CCF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Oral sensitivity and pain is often observed, which in more severe cases manifests as dysphagia (difficulty with swallowing) and weight loss.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In one recent study of 210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patients, 29% of cases were classified as malnourished by measurement using the Patient-Generated Subjective Global Assessment.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Malnutrition was correlated with a lower Body-Mass Index and poorer overall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survival</w:t>
      </w:r>
      <w:r w:rsidR="005F5F1F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5F5F1F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9</w:t>
      </w:r>
      <w:r w:rsidR="005F5F1F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Gingivitis and tooth decay also occur because of xerostomia and altered oral immunity related to immunosuppression and reduced salivary IgG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production</w:t>
      </w:r>
      <w:r w:rsidR="005C3156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5C3156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5C3156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</w:p>
    <w:p w:rsidR="00DA6254" w:rsidRPr="00FB5CEB" w:rsidRDefault="00DA6254" w:rsidP="00F02F4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>Clinical symptoms seen in other involved tissues such as the liver, eyes, gastrointestinal tract, lungs, muscles/fascia and genitalia are summarized</w:t>
      </w:r>
      <w:r w:rsidRPr="00694AE5">
        <w:rPr>
          <w:rFonts w:ascii="Book Antiqua" w:hAnsi="Book Antiqua" w:cs="Arial"/>
          <w:sz w:val="24"/>
          <w:szCs w:val="24"/>
        </w:rPr>
        <w:t xml:space="preserve"> in Table 1, </w:t>
      </w:r>
      <w:r w:rsidRPr="00FB5CEB">
        <w:rPr>
          <w:rFonts w:ascii="Book Antiqua" w:hAnsi="Book Antiqua" w:cs="Arial"/>
          <w:sz w:val="24"/>
          <w:szCs w:val="24"/>
        </w:rPr>
        <w:t>and have been reviewed extensively elsewhere</w:t>
      </w:r>
      <w:r w:rsidR="00D346F0" w:rsidRPr="00FB5CEB">
        <w:rPr>
          <w:rFonts w:ascii="Book Antiqua" w:hAnsi="Book Antiqua" w:cs="Arial"/>
          <w:sz w:val="24"/>
          <w:szCs w:val="24"/>
          <w:vertAlign w:val="superscript"/>
        </w:rPr>
        <w:t>[9,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13</w:t>
      </w:r>
      <w:r w:rsidR="00D346F0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Neurological manifestations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are rare, but when present can include Myositis and </w:t>
      </w:r>
      <w:r w:rsidRPr="00FB5CEB">
        <w:rPr>
          <w:rFonts w:ascii="Book Antiqua" w:hAnsi="Book Antiqua" w:cs="Arial"/>
          <w:i/>
          <w:sz w:val="24"/>
          <w:szCs w:val="24"/>
        </w:rPr>
        <w:t>Myasthenia gravis</w:t>
      </w:r>
      <w:r w:rsidRPr="00FB5CEB">
        <w:rPr>
          <w:rFonts w:ascii="Book Antiqua" w:hAnsi="Book Antiqua" w:cs="Arial"/>
          <w:sz w:val="24"/>
          <w:szCs w:val="24"/>
        </w:rPr>
        <w:t xml:space="preserve"> that affect the peripheral nervous system, and less commonly, various complications that affect the central nervous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system</w:t>
      </w:r>
      <w:r w:rsidR="00D346F0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346F0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D346F0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Clinical features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do not seem to vary with patient age, graft source (typically either bone marrow or </w:t>
      </w:r>
      <w:r w:rsidR="004D1F07" w:rsidRPr="00FB5CEB">
        <w:rPr>
          <w:rFonts w:ascii="Book Antiqua" w:hAnsi="Book Antiqua" w:cs="Arial"/>
          <w:sz w:val="24"/>
          <w:szCs w:val="24"/>
        </w:rPr>
        <w:t>PBSC</w:t>
      </w:r>
      <w:r w:rsidRPr="00FB5CEB">
        <w:rPr>
          <w:rFonts w:ascii="Book Antiqua" w:hAnsi="Book Antiqua" w:cs="Arial"/>
          <w:sz w:val="24"/>
          <w:szCs w:val="24"/>
        </w:rPr>
        <w:t xml:space="preserve">s) and type of pre-transplant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conditioning</w:t>
      </w:r>
      <w:r w:rsidR="00496A4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96A4A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2C2BBE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9</w:t>
      </w:r>
      <w:r w:rsidR="00496A4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Most cases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occur 4-6 months after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-HSCT, but </w:t>
      </w:r>
      <w:r w:rsidRPr="00FB5CEB">
        <w:rPr>
          <w:rFonts w:ascii="Book Antiqua" w:hAnsi="Book Antiqua" w:cs="Arial"/>
          <w:sz w:val="24"/>
          <w:szCs w:val="24"/>
        </w:rPr>
        <w:lastRenderedPageBreak/>
        <w:t>5</w:t>
      </w:r>
      <w:r w:rsidR="002C2BBE" w:rsidRPr="00FB5CEB">
        <w:rPr>
          <w:rFonts w:ascii="Book Antiqua" w:hAnsi="Book Antiqua" w:cs="Arial"/>
          <w:sz w:val="24"/>
          <w:szCs w:val="24"/>
        </w:rPr>
        <w:t>%</w:t>
      </w:r>
      <w:r w:rsidRPr="00FB5CEB">
        <w:rPr>
          <w:rFonts w:ascii="Book Antiqua" w:hAnsi="Book Antiqua" w:cs="Arial"/>
          <w:sz w:val="24"/>
          <w:szCs w:val="24"/>
        </w:rPr>
        <w:t xml:space="preserve">-10% of patients are diagnosed more than one year following allogeneic transplantation. 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DA6254" w:rsidRPr="00FB5CEB" w:rsidRDefault="00DC6E66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t>RISK FACTORS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 xml:space="preserve">The best documented risk factors for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are a history of acute GVHD (seen in 40-60%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patients), the use of PBSCs for grafting, a female donor-male recipient combination, older patient age and the use of HLA-mismatched or unrelated donors</w:t>
      </w:r>
      <w:r w:rsidR="00496A4A" w:rsidRPr="00FB5CEB">
        <w:rPr>
          <w:rFonts w:ascii="Book Antiqua" w:hAnsi="Book Antiqua" w:cs="Arial"/>
          <w:sz w:val="24"/>
          <w:szCs w:val="24"/>
          <w:vertAlign w:val="superscript"/>
        </w:rPr>
        <w:t>[1</w:t>
      </w:r>
      <w:r w:rsidR="00230943">
        <w:rPr>
          <w:rFonts w:ascii="Book Antiqua" w:hAnsi="Book Antiqua" w:cs="Arial"/>
          <w:sz w:val="24"/>
          <w:szCs w:val="24"/>
          <w:vertAlign w:val="superscript"/>
        </w:rPr>
        <w:t>3,22,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23</w:t>
      </w:r>
      <w:r w:rsidR="00496A4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The increasing use</w:t>
      </w:r>
      <w:r w:rsidR="00623596" w:rsidRPr="00FB5CEB">
        <w:rPr>
          <w:rFonts w:ascii="Book Antiqua" w:hAnsi="Book Antiqua" w:cs="Arial"/>
          <w:sz w:val="24"/>
          <w:szCs w:val="24"/>
        </w:rPr>
        <w:t xml:space="preserve"> of PBSCs (which contain more T </w:t>
      </w:r>
      <w:r w:rsidRPr="00FB5CEB">
        <w:rPr>
          <w:rFonts w:ascii="Book Antiqua" w:hAnsi="Book Antiqua" w:cs="Arial"/>
          <w:sz w:val="24"/>
          <w:szCs w:val="24"/>
        </w:rPr>
        <w:t>cells compared to aspirated bone marrow) is one factor that influences the incidence and severity</w:t>
      </w:r>
      <w:r w:rsidR="00623596" w:rsidRPr="00FB5CEB">
        <w:rPr>
          <w:rFonts w:ascii="Book Antiqua" w:hAnsi="Book Antiqua" w:cs="Arial"/>
          <w:sz w:val="24"/>
          <w:szCs w:val="24"/>
        </w:rPr>
        <w:t xml:space="preserve"> of </w:t>
      </w:r>
      <w:proofErr w:type="spellStart"/>
      <w:r w:rsidR="00623596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623596" w:rsidRPr="00FB5CEB">
        <w:rPr>
          <w:rFonts w:ascii="Book Antiqua" w:hAnsi="Book Antiqua" w:cs="Arial"/>
          <w:sz w:val="24"/>
          <w:szCs w:val="24"/>
        </w:rPr>
        <w:t xml:space="preserve">, since </w:t>
      </w:r>
      <w:proofErr w:type="spellStart"/>
      <w:r w:rsidR="00623596" w:rsidRPr="00FB5CEB">
        <w:rPr>
          <w:rFonts w:ascii="Book Antiqua" w:hAnsi="Book Antiqua" w:cs="Arial"/>
          <w:sz w:val="24"/>
          <w:szCs w:val="24"/>
        </w:rPr>
        <w:t>alloreactive</w:t>
      </w:r>
      <w:proofErr w:type="spellEnd"/>
      <w:r w:rsidR="00623596" w:rsidRPr="00FB5CEB">
        <w:rPr>
          <w:rFonts w:ascii="Book Antiqua" w:hAnsi="Book Antiqua" w:cs="Arial"/>
          <w:sz w:val="24"/>
          <w:szCs w:val="24"/>
        </w:rPr>
        <w:t xml:space="preserve"> T </w:t>
      </w:r>
      <w:r w:rsidRPr="00FB5CEB">
        <w:rPr>
          <w:rFonts w:ascii="Book Antiqua" w:hAnsi="Book Antiqua" w:cs="Arial"/>
          <w:sz w:val="24"/>
          <w:szCs w:val="24"/>
        </w:rPr>
        <w:t xml:space="preserve">cells are a major player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pathobiology</w:t>
      </w:r>
      <w:r w:rsidR="00496A4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496A4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These risk factors appear to largely explain the increasing incidence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worldwide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-HSCT; however, additionally, a significant decline in </w:t>
      </w:r>
      <w:r w:rsidR="004D1F07" w:rsidRPr="00FB5CEB">
        <w:rPr>
          <w:rFonts w:ascii="Book Antiqua" w:hAnsi="Book Antiqua" w:cs="Arial"/>
          <w:sz w:val="24"/>
          <w:szCs w:val="24"/>
        </w:rPr>
        <w:t xml:space="preserve">early </w:t>
      </w:r>
      <w:r w:rsidRPr="00FB5CEB">
        <w:rPr>
          <w:rFonts w:ascii="Book Antiqua" w:hAnsi="Book Antiqua" w:cs="Arial"/>
          <w:sz w:val="24"/>
          <w:szCs w:val="24"/>
        </w:rPr>
        <w:t xml:space="preserve">NRM appears to be contributing to the increased incidence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in long-term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survivors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496A4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Notably, the frequency of GVHD-associated mortality is similar in HLA-matched sibling transplants compared to transplants performed using an unrelated donor (</w:t>
      </w:r>
      <w:r w:rsidR="00362A0C" w:rsidRPr="00FB5CEB">
        <w:rPr>
          <w:rFonts w:ascii="Book Antiqua" w:hAnsi="Book Antiqua" w:cs="Arial"/>
          <w:sz w:val="24"/>
          <w:szCs w:val="24"/>
        </w:rPr>
        <w:t>Fig</w:t>
      </w:r>
      <w:r w:rsidR="00362A0C" w:rsidRPr="00FB5CEB">
        <w:rPr>
          <w:rFonts w:ascii="Book Antiqua" w:hAnsi="Book Antiqua" w:cs="Arial" w:hint="eastAsia"/>
          <w:sz w:val="24"/>
          <w:szCs w:val="24"/>
          <w:lang w:eastAsia="zh-CN"/>
        </w:rPr>
        <w:t>ure</w:t>
      </w:r>
      <w:r w:rsidRPr="00FB5CEB">
        <w:rPr>
          <w:rFonts w:ascii="Book Antiqua" w:hAnsi="Book Antiqua" w:cs="Arial"/>
          <w:sz w:val="24"/>
          <w:szCs w:val="24"/>
        </w:rPr>
        <w:t xml:space="preserve"> 1).</w:t>
      </w:r>
    </w:p>
    <w:p w:rsidR="00DA6254" w:rsidRPr="00FB5CEB" w:rsidRDefault="00DA6254" w:rsidP="00655AB7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A number of studies have also implicated certain genetic polymorphisms in addition to HLA antigen disparity between donor and recipient in the risk of GVHD risk (reviewed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Pidala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i/>
          <w:sz w:val="24"/>
          <w:szCs w:val="24"/>
        </w:rPr>
        <w:t xml:space="preserve">et </w:t>
      </w:r>
      <w:proofErr w:type="gramStart"/>
      <w:r w:rsidRPr="00FB5CEB">
        <w:rPr>
          <w:rFonts w:ascii="Book Antiqua" w:hAnsi="Book Antiqua" w:cs="Arial"/>
          <w:i/>
          <w:sz w:val="24"/>
          <w:szCs w:val="24"/>
        </w:rPr>
        <w:t>al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).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For example, polymorphisms in a considerable number of genes that encode cytokines, chemokines or their receptors are associated with increased risk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These include genetic variants in the donor and/or recipient </w:t>
      </w:r>
      <w:r w:rsidRPr="009A67C0">
        <w:rPr>
          <w:rFonts w:ascii="Book Antiqua" w:hAnsi="Book Antiqua" w:cs="Arial"/>
          <w:i/>
          <w:sz w:val="24"/>
          <w:szCs w:val="24"/>
        </w:rPr>
        <w:t xml:space="preserve">IL-10 </w:t>
      </w:r>
      <w:r w:rsidRPr="00FB5CEB">
        <w:rPr>
          <w:rFonts w:ascii="Book Antiqua" w:hAnsi="Book Antiqua" w:cs="Arial"/>
          <w:sz w:val="24"/>
          <w:szCs w:val="24"/>
        </w:rPr>
        <w:t>genes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[2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-2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, donor </w:t>
      </w:r>
      <w:r w:rsidRPr="009A67C0">
        <w:rPr>
          <w:rFonts w:ascii="Book Antiqua" w:hAnsi="Book Antiqua" w:cs="Arial"/>
          <w:i/>
          <w:sz w:val="24"/>
          <w:szCs w:val="24"/>
        </w:rPr>
        <w:t>IL-1</w:t>
      </w:r>
      <w:r w:rsidR="004D1F07" w:rsidRPr="009A67C0">
        <w:rPr>
          <w:rFonts w:ascii="Symbol" w:hAnsi="Symbol" w:cs="Arial"/>
          <w:i/>
          <w:sz w:val="24"/>
          <w:szCs w:val="24"/>
        </w:rPr>
        <w:t></w:t>
      </w:r>
      <w:r w:rsidRPr="009A67C0">
        <w:rPr>
          <w:rFonts w:ascii="Book Antiqua" w:hAnsi="Book Antiqua" w:cs="Arial"/>
          <w:i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gene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[2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, recipient </w:t>
      </w:r>
      <w:r w:rsidRPr="009A67C0">
        <w:rPr>
          <w:rFonts w:ascii="Book Antiqua" w:hAnsi="Book Antiqua" w:cs="Arial"/>
          <w:i/>
          <w:sz w:val="24"/>
          <w:szCs w:val="24"/>
        </w:rPr>
        <w:t xml:space="preserve">IL-6 </w:t>
      </w:r>
      <w:r w:rsidRPr="00FB5CEB">
        <w:rPr>
          <w:rFonts w:ascii="Book Antiqua" w:hAnsi="Book Antiqua" w:cs="Arial"/>
          <w:sz w:val="24"/>
          <w:szCs w:val="24"/>
        </w:rPr>
        <w:t>gene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29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, recipient MHC class I-related chain A (MICA) gene (Val allele)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[3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, and donor and recipient</w:t>
      </w:r>
      <w:r w:rsidRPr="00D5286A">
        <w:rPr>
          <w:rFonts w:ascii="Book Antiqua" w:hAnsi="Book Antiqua" w:cs="Arial"/>
          <w:i/>
          <w:sz w:val="24"/>
          <w:szCs w:val="24"/>
        </w:rPr>
        <w:t xml:space="preserve"> IL-1</w:t>
      </w:r>
      <w:r w:rsidRPr="00FB5CEB">
        <w:rPr>
          <w:rFonts w:ascii="Book Antiqua" w:hAnsi="Book Antiqua" w:cs="Arial"/>
          <w:sz w:val="24"/>
          <w:szCs w:val="24"/>
        </w:rPr>
        <w:t xml:space="preserve"> receptor antagonist (IL-1ra) genes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[2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For MICA, which acts as an activating ligand for the NKG2D receptor on certain types of T-cells,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incidence was positively correlated with serum MICA levels in patients post-HSCT; on the other hand, the presence of MICA antibodies prior to transplantation conferred protection against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[3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 smaller number of </w:t>
      </w:r>
      <w:r w:rsidR="00417268" w:rsidRPr="00FB5CEB">
        <w:rPr>
          <w:rFonts w:ascii="Book Antiqua" w:hAnsi="Book Antiqua" w:cs="Arial"/>
          <w:sz w:val="24"/>
          <w:szCs w:val="24"/>
        </w:rPr>
        <w:t xml:space="preserve">genetic </w:t>
      </w:r>
      <w:r w:rsidRPr="00FB5CEB">
        <w:rPr>
          <w:rFonts w:ascii="Book Antiqua" w:hAnsi="Book Antiqua" w:cs="Arial"/>
          <w:sz w:val="24"/>
          <w:szCs w:val="24"/>
        </w:rPr>
        <w:t xml:space="preserve">polymorphisms have been associated with decreased risk of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</w:p>
    <w:p w:rsidR="00DA6254" w:rsidRPr="00FB5CEB" w:rsidRDefault="00DA6254" w:rsidP="00655AB7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>Baron and colleagues utilized gene expression profiling of donor CD4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and CD8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="00623596" w:rsidRPr="00FB5CEB">
        <w:rPr>
          <w:rFonts w:ascii="Book Antiqua" w:hAnsi="Book Antiqua" w:cs="Arial"/>
          <w:sz w:val="24"/>
          <w:szCs w:val="24"/>
        </w:rPr>
        <w:t xml:space="preserve"> T </w:t>
      </w:r>
      <w:r w:rsidRPr="00FB5CEB">
        <w:rPr>
          <w:rFonts w:ascii="Book Antiqua" w:hAnsi="Book Antiqua" w:cs="Arial"/>
          <w:sz w:val="24"/>
          <w:szCs w:val="24"/>
        </w:rPr>
        <w:t xml:space="preserve">cells to develop a “GVHD-predictive signature”, demonstrating the central importance </w:t>
      </w:r>
      <w:r w:rsidRPr="00FB5CEB">
        <w:rPr>
          <w:rFonts w:ascii="Book Antiqua" w:hAnsi="Book Antiqua" w:cs="Arial"/>
          <w:sz w:val="24"/>
          <w:szCs w:val="24"/>
        </w:rPr>
        <w:lastRenderedPageBreak/>
        <w:t>of the TGF-</w:t>
      </w:r>
      <w:r w:rsidR="004D1F07" w:rsidRPr="00FB5CEB">
        <w:rPr>
          <w:rFonts w:ascii="Symbol" w:hAnsi="Symbol" w:cs="Arial"/>
          <w:sz w:val="24"/>
          <w:szCs w:val="24"/>
        </w:rPr>
        <w:t></w:t>
      </w:r>
      <w:r w:rsidRPr="00FB5CEB">
        <w:rPr>
          <w:rFonts w:ascii="Book Antiqua" w:hAnsi="Book Antiqua" w:cs="Arial"/>
          <w:sz w:val="24"/>
          <w:szCs w:val="24"/>
        </w:rPr>
        <w:t xml:space="preserve"> signalin</w:t>
      </w:r>
      <w:r w:rsidR="00623596" w:rsidRPr="00FB5CEB">
        <w:rPr>
          <w:rFonts w:ascii="Book Antiqua" w:hAnsi="Book Antiqua" w:cs="Arial"/>
          <w:sz w:val="24"/>
          <w:szCs w:val="24"/>
        </w:rPr>
        <w:t xml:space="preserve">g pathway in regulating donor T </w:t>
      </w:r>
      <w:r w:rsidRPr="00FB5CEB">
        <w:rPr>
          <w:rFonts w:ascii="Book Antiqua" w:hAnsi="Book Antiqua" w:cs="Arial"/>
          <w:sz w:val="24"/>
          <w:szCs w:val="24"/>
        </w:rPr>
        <w:t>cell function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[3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AE1D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Remarkably, the so-called “danger</w:t>
      </w:r>
      <w:r w:rsidR="00623596" w:rsidRPr="00FB5CEB">
        <w:rPr>
          <w:rFonts w:ascii="Book Antiqua" w:hAnsi="Book Antiqua" w:cs="Arial"/>
          <w:sz w:val="24"/>
          <w:szCs w:val="24"/>
        </w:rPr>
        <w:t xml:space="preserve">ous donor” trait derived from T </w:t>
      </w:r>
      <w:r w:rsidRPr="00FB5CEB">
        <w:rPr>
          <w:rFonts w:ascii="Book Antiqua" w:hAnsi="Book Antiqua" w:cs="Arial"/>
          <w:sz w:val="24"/>
          <w:szCs w:val="24"/>
        </w:rPr>
        <w:t xml:space="preserve">cell gene expression profiling not only predicted early (acute) GVHD, but also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occurrence in the recipient at one year post-transplantation.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These observations reinforces other studies in humans and mice showing that the growth factor TGF-</w:t>
      </w:r>
      <w:r w:rsidR="004D1F07" w:rsidRPr="00FB5CEB">
        <w:rPr>
          <w:rFonts w:ascii="Symbol" w:hAnsi="Symbol" w:cs="Arial"/>
          <w:sz w:val="24"/>
          <w:szCs w:val="24"/>
        </w:rPr>
        <w:t></w:t>
      </w:r>
      <w:r w:rsidR="00A06D2F" w:rsidRPr="00FB5CEB">
        <w:rPr>
          <w:rFonts w:ascii="Book Antiqua" w:hAnsi="Book Antiqua" w:cs="Arial"/>
          <w:sz w:val="24"/>
          <w:szCs w:val="24"/>
        </w:rPr>
        <w:t xml:space="preserve"> has pleiotropic effects on T </w:t>
      </w:r>
      <w:r w:rsidRPr="00FB5CEB">
        <w:rPr>
          <w:rFonts w:ascii="Book Antiqua" w:hAnsi="Book Antiqua" w:cs="Arial"/>
          <w:sz w:val="24"/>
          <w:szCs w:val="24"/>
        </w:rPr>
        <w:t>cells, including inhibition of Th1 cell differentiation and promoting expansion of regulatory T</w:t>
      </w:r>
      <w:r w:rsidR="00A06D2F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cells that are protective against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A06D2F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A06D2F" w:rsidRPr="00FB5CEB">
        <w:rPr>
          <w:rFonts w:ascii="Book Antiqua" w:hAnsi="Book Antiqua" w:cs="Arial"/>
          <w:sz w:val="24"/>
          <w:szCs w:val="24"/>
          <w:vertAlign w:val="superscript"/>
        </w:rPr>
        <w:t>9,3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A06D2F" w:rsidRPr="00FB5CEB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DB01A9"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A06D2F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It also suggests that the grafted stem cells can have a long-term, dominant influence </w:t>
      </w:r>
      <w:r w:rsidR="00A06D2F" w:rsidRPr="00FB5CEB">
        <w:rPr>
          <w:rFonts w:ascii="Book Antiqua" w:hAnsi="Book Antiqua" w:cs="Arial"/>
          <w:sz w:val="24"/>
          <w:szCs w:val="24"/>
        </w:rPr>
        <w:t xml:space="preserve">on the transplant recipient’s T </w:t>
      </w:r>
      <w:r w:rsidRPr="00FB5CEB">
        <w:rPr>
          <w:rFonts w:ascii="Book Antiqua" w:hAnsi="Book Antiqua" w:cs="Arial"/>
          <w:sz w:val="24"/>
          <w:szCs w:val="24"/>
        </w:rPr>
        <w:t>cell profile and consequently the overall health of the patient.</w:t>
      </w:r>
    </w:p>
    <w:p w:rsidR="009464FF" w:rsidRPr="00FB5CEB" w:rsidRDefault="009464FF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7B3B33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t>P</w:t>
      </w:r>
      <w:r w:rsidR="007B3B33" w:rsidRPr="00FB5CEB">
        <w:rPr>
          <w:rFonts w:ascii="Book Antiqua" w:hAnsi="Book Antiqua" w:cs="Arial"/>
          <w:b/>
          <w:sz w:val="24"/>
          <w:szCs w:val="24"/>
        </w:rPr>
        <w:t>ATHOBIOLOGY OF CHRONIC GVHD: ROLE OF T CELLS, B CELLS AND THEIR CYTOKINES</w:t>
      </w:r>
    </w:p>
    <w:p w:rsidR="00DA6254" w:rsidRPr="00FB5CEB" w:rsidRDefault="00A06D2F" w:rsidP="00BC0BD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FB5CEB">
        <w:rPr>
          <w:rFonts w:ascii="Book Antiqua" w:hAnsi="Book Antiqua" w:cs="Arial"/>
          <w:b/>
          <w:i/>
          <w:sz w:val="24"/>
          <w:szCs w:val="24"/>
        </w:rPr>
        <w:t xml:space="preserve">T </w:t>
      </w:r>
      <w:r w:rsidR="00DA6254" w:rsidRPr="00FB5CEB">
        <w:rPr>
          <w:rFonts w:ascii="Book Antiqua" w:hAnsi="Book Antiqua" w:cs="Arial"/>
          <w:b/>
          <w:i/>
          <w:sz w:val="24"/>
          <w:szCs w:val="24"/>
        </w:rPr>
        <w:t>cells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 xml:space="preserve">While the mechanisms that cause the inflammation and tissue damage of acute GVHD are now quite well understood, the pathobiology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is more complex and less well understood.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Many investigators believe that the destructive immunological and autoimmune mechanisms that cause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are distinct from acute GVHD, irrespective of whether or not the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evolves from acute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GVHD</w:t>
      </w:r>
      <w:r w:rsidR="0015780B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15780B" w:rsidRPr="00FB5CEB">
        <w:rPr>
          <w:rFonts w:ascii="Book Antiqua" w:hAnsi="Book Antiqua" w:cs="Arial"/>
          <w:sz w:val="24"/>
          <w:szCs w:val="24"/>
          <w:vertAlign w:val="superscript"/>
        </w:rPr>
        <w:t>6,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15780B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C6C77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Activated donor T</w:t>
      </w:r>
      <w:r w:rsidR="0015780B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cells are the most important cell population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>, since T</w:t>
      </w:r>
      <w:r w:rsidR="0015780B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 depletion from the graft prevents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in both human and animal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studies</w:t>
      </w:r>
      <w:r w:rsidR="0015780B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15780B"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15780B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The use of rabbit anti-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thymocyte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globulin (ATG) in conditioning regimens prior to transplant reduces the risk of subsequent acute and chronic GVHD, either by depleting donor T</w:t>
      </w:r>
      <w:r w:rsidR="0015780B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cells or by interfering with their activation by recipient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alloantigens</w:t>
      </w:r>
      <w:proofErr w:type="spellEnd"/>
      <w:r w:rsidR="0015780B" w:rsidRPr="00FB5CEB">
        <w:rPr>
          <w:rFonts w:ascii="Book Antiqua" w:hAnsi="Book Antiqua" w:cs="Arial"/>
          <w:sz w:val="24"/>
          <w:szCs w:val="24"/>
          <w:vertAlign w:val="superscript"/>
        </w:rPr>
        <w:t>[22,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15780B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The major T cell subsets proposed to be involved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include CD4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="0015780B" w:rsidRPr="00FB5CEB">
        <w:rPr>
          <w:rFonts w:ascii="Book Antiqua" w:hAnsi="Book Antiqua" w:cs="Arial"/>
          <w:sz w:val="24"/>
          <w:szCs w:val="24"/>
        </w:rPr>
        <w:t xml:space="preserve"> T </w:t>
      </w:r>
      <w:r w:rsidRPr="00FB5CEB">
        <w:rPr>
          <w:rFonts w:ascii="Book Antiqua" w:hAnsi="Book Antiqua" w:cs="Arial"/>
          <w:sz w:val="24"/>
          <w:szCs w:val="24"/>
        </w:rPr>
        <w:t>cells, CD4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="0015780B" w:rsidRPr="00FB5CEB">
        <w:rPr>
          <w:rFonts w:ascii="Book Antiqua" w:hAnsi="Book Antiqua" w:cs="Arial"/>
          <w:sz w:val="24"/>
          <w:szCs w:val="24"/>
        </w:rPr>
        <w:t xml:space="preserve"> regulatory T </w:t>
      </w:r>
      <w:r w:rsidRPr="00FB5CEB">
        <w:rPr>
          <w:rFonts w:ascii="Book Antiqua" w:hAnsi="Book Antiqua" w:cs="Arial"/>
          <w:sz w:val="24"/>
          <w:szCs w:val="24"/>
        </w:rPr>
        <w:t>cells (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Tregs</w:t>
      </w:r>
      <w:proofErr w:type="spellEnd"/>
      <w:r w:rsidRPr="00FB5CEB">
        <w:rPr>
          <w:rFonts w:ascii="Book Antiqua" w:hAnsi="Book Antiqua" w:cs="Arial"/>
          <w:sz w:val="24"/>
          <w:szCs w:val="24"/>
        </w:rPr>
        <w:t>) an</w:t>
      </w:r>
      <w:r w:rsidRPr="001C6C77">
        <w:rPr>
          <w:rFonts w:ascii="Book Antiqua" w:hAnsi="Book Antiqua" w:cs="Arial"/>
          <w:sz w:val="24"/>
          <w:szCs w:val="24"/>
        </w:rPr>
        <w:t>d CD8</w:t>
      </w:r>
      <w:r w:rsidRPr="001C6C77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1C6C77">
        <w:rPr>
          <w:rFonts w:ascii="Book Antiqua" w:hAnsi="Book Antiqua" w:cs="Arial"/>
          <w:sz w:val="24"/>
          <w:szCs w:val="24"/>
        </w:rPr>
        <w:t xml:space="preserve"> T</w:t>
      </w:r>
      <w:r w:rsidR="0015780B" w:rsidRPr="001C6C77">
        <w:rPr>
          <w:rFonts w:ascii="Book Antiqua" w:hAnsi="Book Antiqua" w:cs="Arial"/>
          <w:sz w:val="24"/>
          <w:szCs w:val="24"/>
        </w:rPr>
        <w:t xml:space="preserve"> </w:t>
      </w:r>
      <w:r w:rsidRPr="001C6C77">
        <w:rPr>
          <w:rFonts w:ascii="Book Antiqua" w:hAnsi="Book Antiqua" w:cs="Arial"/>
          <w:sz w:val="24"/>
          <w:szCs w:val="24"/>
        </w:rPr>
        <w:t>cells (Table 2).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t>Th1, Th2 and Th17 cells</w:t>
      </w:r>
      <w:r w:rsidR="00DB2211">
        <w:rPr>
          <w:rFonts w:ascii="Book Antiqua" w:hAnsi="Book Antiqua" w:cs="Arial" w:hint="eastAsia"/>
          <w:b/>
          <w:sz w:val="24"/>
          <w:szCs w:val="24"/>
          <w:lang w:eastAsia="zh-CN"/>
        </w:rPr>
        <w:t>: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Alloreactive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CD4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T</w:t>
      </w:r>
      <w:r w:rsidR="0015780B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cells that react to foreign (donor-derived) antigens include several T helper (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Th</w:t>
      </w:r>
      <w:proofErr w:type="spellEnd"/>
      <w:r w:rsidRPr="00FB5CEB">
        <w:rPr>
          <w:rFonts w:ascii="Book Antiqua" w:hAnsi="Book Antiqua" w:cs="Arial"/>
          <w:sz w:val="24"/>
          <w:szCs w:val="24"/>
        </w:rPr>
        <w:t>) cell subsets, primarily Th1, Th2 and Th17 cells.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 central role for Th1 cells in acute GVHD is well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established</w:t>
      </w:r>
      <w:r w:rsidR="00A90985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A90985" w:rsidRPr="00FB5CEB">
        <w:rPr>
          <w:rFonts w:ascii="Book Antiqua" w:hAnsi="Book Antiqua" w:cs="Arial"/>
          <w:sz w:val="24"/>
          <w:szCs w:val="24"/>
          <w:vertAlign w:val="superscript"/>
        </w:rPr>
        <w:t>6]</w:t>
      </w:r>
      <w:r w:rsidRPr="00FB5CEB">
        <w:rPr>
          <w:rFonts w:ascii="Book Antiqua" w:hAnsi="Book Antiqua" w:cs="Arial"/>
          <w:sz w:val="24"/>
          <w:szCs w:val="24"/>
        </w:rPr>
        <w:t xml:space="preserve">; however, the importance of Th1 (and Th2) cells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is still a matter of debate, even though Th1 cytokines such as interferon-</w:t>
      </w:r>
      <w:r w:rsidR="004D1F07" w:rsidRPr="00FB5CEB">
        <w:rPr>
          <w:rFonts w:ascii="Symbol" w:hAnsi="Symbol" w:cs="Arial"/>
          <w:sz w:val="24"/>
          <w:szCs w:val="24"/>
        </w:rPr>
        <w:t></w:t>
      </w:r>
      <w:r w:rsidRPr="00FB5CEB">
        <w:rPr>
          <w:rFonts w:ascii="Book Antiqua" w:hAnsi="Book Antiqua" w:cs="Arial"/>
          <w:sz w:val="24"/>
          <w:szCs w:val="24"/>
        </w:rPr>
        <w:t xml:space="preserve"> (IFN-</w:t>
      </w:r>
      <w:r w:rsidR="004D1F07" w:rsidRPr="00FB5CEB">
        <w:rPr>
          <w:rFonts w:ascii="Symbol" w:hAnsi="Symbol" w:cs="Arial"/>
          <w:sz w:val="24"/>
          <w:szCs w:val="24"/>
        </w:rPr>
        <w:t></w:t>
      </w:r>
      <w:r w:rsidR="00B65FB5" w:rsidRPr="00FB5CEB">
        <w:rPr>
          <w:rFonts w:ascii="Symbol" w:hAnsi="Symbol" w:cs="Arial"/>
          <w:sz w:val="24"/>
          <w:szCs w:val="24"/>
        </w:rPr>
        <w:t></w:t>
      </w:r>
      <w:r w:rsidRPr="00FB5CEB">
        <w:rPr>
          <w:rFonts w:ascii="Book Antiqua" w:hAnsi="Book Antiqua" w:cs="Arial"/>
          <w:sz w:val="24"/>
          <w:szCs w:val="24"/>
        </w:rPr>
        <w:t xml:space="preserve"> can be found in skin and other tissues of affected patients</w:t>
      </w:r>
      <w:r w:rsidR="00A90985" w:rsidRPr="00FB5CEB">
        <w:rPr>
          <w:rFonts w:ascii="Book Antiqua" w:hAnsi="Book Antiqua" w:cs="Arial"/>
          <w:sz w:val="24"/>
          <w:szCs w:val="24"/>
          <w:vertAlign w:val="superscript"/>
        </w:rPr>
        <w:t>[3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A90985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lastRenderedPageBreak/>
        <w:t>Infusion of murine IFN-</w:t>
      </w:r>
      <w:r w:rsidR="00B65FB5" w:rsidRPr="00FB5CEB">
        <w:rPr>
          <w:rFonts w:ascii="Symbol" w:hAnsi="Symbol" w:cs="Arial"/>
          <w:sz w:val="24"/>
          <w:szCs w:val="24"/>
        </w:rPr>
        <w:t></w:t>
      </w:r>
      <w:r w:rsidR="00CB35A4" w:rsidRPr="00FB5CEB">
        <w:rPr>
          <w:rFonts w:ascii="Book Antiqua" w:hAnsi="Book Antiqua" w:cs="Arial"/>
          <w:sz w:val="24"/>
          <w:szCs w:val="24"/>
        </w:rPr>
        <w:t xml:space="preserve">-null donor T </w:t>
      </w:r>
      <w:r w:rsidRPr="00FB5CEB">
        <w:rPr>
          <w:rFonts w:ascii="Book Antiqua" w:hAnsi="Book Antiqua" w:cs="Arial"/>
          <w:sz w:val="24"/>
          <w:szCs w:val="24"/>
        </w:rPr>
        <w:t xml:space="preserve">cells reduced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symptoms in skin and salivary glands, indicating a role for Th1 cells in certain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tissues</w:t>
      </w:r>
      <w:r w:rsidR="00127A75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127A75"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127A75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A role for Th2 cells has been suggested because of the role of Th2 cytokines such as IL-4 and IL-1</w:t>
      </w:r>
      <w:r w:rsidRPr="00DB2211">
        <w:rPr>
          <w:rFonts w:ascii="Book Antiqua" w:hAnsi="Book Antiqua" w:cs="Arial"/>
          <w:sz w:val="24"/>
          <w:szCs w:val="24"/>
        </w:rPr>
        <w:t xml:space="preserve">3 (Table 2) </w:t>
      </w:r>
      <w:r w:rsidRPr="00FB5CEB">
        <w:rPr>
          <w:rFonts w:ascii="Book Antiqua" w:hAnsi="Book Antiqua" w:cs="Arial"/>
          <w:sz w:val="24"/>
          <w:szCs w:val="24"/>
        </w:rPr>
        <w:t>in the production of antibodies to both self and non-self</w:t>
      </w:r>
      <w:r w:rsidR="00DB2211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Pr="00FB5CEB">
        <w:rPr>
          <w:rFonts w:ascii="Book Antiqua" w:hAnsi="Book Antiqua" w:cs="Arial"/>
          <w:sz w:val="24"/>
          <w:szCs w:val="24"/>
        </w:rPr>
        <w:t>antige</w:t>
      </w:r>
      <w:r w:rsidR="00DB2211">
        <w:rPr>
          <w:rFonts w:ascii="Book Antiqua" w:hAnsi="Book Antiqua" w:cs="Arial"/>
          <w:sz w:val="24"/>
          <w:szCs w:val="24"/>
        </w:rPr>
        <w:t>n</w:t>
      </w:r>
      <w:r w:rsidRPr="00FB5CEB">
        <w:rPr>
          <w:rFonts w:ascii="Book Antiqua" w:hAnsi="Book Antiqua" w:cs="Arial"/>
          <w:sz w:val="24"/>
          <w:szCs w:val="24"/>
        </w:rPr>
        <w:t xml:space="preserve"> in patients; murine studies support the involvement of the Th2 cytokines IL-4 and IL-10 in stimulating B</w:t>
      </w:r>
      <w:r w:rsidR="003A0F42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 expansion in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39</w:t>
      </w:r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B2211">
        <w:rPr>
          <w:rFonts w:ascii="Book Antiqua" w:hAnsi="Book Antiqua" w:cs="Arial"/>
          <w:sz w:val="24"/>
          <w:szCs w:val="24"/>
        </w:rPr>
        <w:t>.</w:t>
      </w:r>
    </w:p>
    <w:p w:rsidR="00DA6254" w:rsidRDefault="00DA6254" w:rsidP="00DB221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Th17 cells produce several cytokines including IL-17, IL-21 and IL-22, which have potent pro-inflammatory functions in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IL-17A, produced mainly by CD8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T</w:t>
      </w:r>
      <w:r w:rsidR="003A0F42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cells, stimulates scleroderma which is an important feature of cutaneous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; however, current data suggests that co-expressed Th1 cytokines such as Tumor necrosis factor-α (TNF-α) contribute to the observed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pathology</w:t>
      </w:r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Improvement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symptoms correlates with a reduction in Th-17 cell numbers in peripheral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blood</w:t>
      </w:r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In liver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>, there are increased numbers of Th17 cells and an increased Th17/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Treg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ratio observed in liver biopsies, suggesting that Th17 cells are an important driver of clinical liver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disease</w:t>
      </w:r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3A0F4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</w:p>
    <w:p w:rsidR="00CC6BA5" w:rsidRPr="00FB5CEB" w:rsidRDefault="00CC6BA5" w:rsidP="00DB2211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A6254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t>T follicular helper cells</w:t>
      </w:r>
      <w:r w:rsidR="00CC6BA5">
        <w:rPr>
          <w:rFonts w:ascii="Book Antiqua" w:hAnsi="Book Antiqua" w:cs="Arial" w:hint="eastAsia"/>
          <w:b/>
          <w:sz w:val="24"/>
          <w:szCs w:val="24"/>
          <w:lang w:eastAsia="zh-CN"/>
        </w:rPr>
        <w:t>:</w:t>
      </w:r>
      <w:r w:rsidR="001F5328">
        <w:rPr>
          <w:rFonts w:ascii="Book Antiqua" w:hAnsi="Book Antiqua" w:cs="Arial"/>
          <w:b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 follicular helper </w:t>
      </w:r>
      <w:r w:rsidR="00B65FB5" w:rsidRPr="00FB5CEB">
        <w:rPr>
          <w:rFonts w:ascii="Book Antiqua" w:hAnsi="Book Antiqua" w:cs="Arial"/>
          <w:sz w:val="24"/>
          <w:szCs w:val="24"/>
        </w:rPr>
        <w:t xml:space="preserve">(TFH) </w:t>
      </w:r>
      <w:r w:rsidR="00CC6BA5">
        <w:rPr>
          <w:rFonts w:ascii="Book Antiqua" w:hAnsi="Book Antiqua" w:cs="Arial"/>
          <w:sz w:val="24"/>
          <w:szCs w:val="24"/>
        </w:rPr>
        <w:t>cells</w:t>
      </w:r>
      <w:r w:rsidRPr="00FB5CEB">
        <w:rPr>
          <w:rFonts w:ascii="Book Antiqua" w:hAnsi="Book Antiqua" w:cs="Arial"/>
          <w:sz w:val="24"/>
          <w:szCs w:val="24"/>
        </w:rPr>
        <w:t xml:space="preserve"> promote differentiation of naïve B cells into memory B cells and class switching of </w:t>
      </w:r>
      <w:r w:rsidRPr="006216FB">
        <w:rPr>
          <w:rFonts w:ascii="Book Antiqua" w:hAnsi="Book Antiqua" w:cs="Arial"/>
          <w:i/>
          <w:sz w:val="24"/>
          <w:szCs w:val="24"/>
        </w:rPr>
        <w:t>IgG</w:t>
      </w:r>
      <w:r w:rsidRPr="00FB5CEB">
        <w:rPr>
          <w:rFonts w:ascii="Book Antiqua" w:hAnsi="Book Antiqua" w:cs="Arial"/>
          <w:sz w:val="24"/>
          <w:szCs w:val="24"/>
        </w:rPr>
        <w:t xml:space="preserve"> genes in the germinal center, within secondary lymphoid organs.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 recent study showed that TFH cells were unusually active with prolonged survival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patients, which correlates with the aberrant survival of B cells and hypersecretion of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immunoglobulins</w:t>
      </w:r>
      <w:r w:rsidR="00177529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177529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177529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The increased survival of Th2- and Th17-type TFH cells was correlated with increased cellular expression of the pro-survival marker Bcl-2.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Overall, the study by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Forcade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i/>
          <w:sz w:val="24"/>
          <w:szCs w:val="24"/>
        </w:rPr>
        <w:t xml:space="preserve">et </w:t>
      </w:r>
      <w:proofErr w:type="gramStart"/>
      <w:r w:rsidRPr="00FB5CEB">
        <w:rPr>
          <w:rFonts w:ascii="Book Antiqua" w:hAnsi="Book Antiqua" w:cs="Arial"/>
          <w:i/>
          <w:sz w:val="24"/>
          <w:szCs w:val="24"/>
        </w:rPr>
        <w:t>al</w:t>
      </w:r>
      <w:r w:rsidR="0098667E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98667E" w:rsidRPr="00FB5CEB">
        <w:rPr>
          <w:rFonts w:ascii="Book Antiqua" w:hAnsi="Book Antiqua" w:cs="Arial"/>
          <w:sz w:val="24"/>
          <w:szCs w:val="24"/>
          <w:vertAlign w:val="superscript"/>
        </w:rPr>
        <w:t>44]</w:t>
      </w:r>
      <w:r w:rsidRPr="00FB5CEB">
        <w:rPr>
          <w:rFonts w:ascii="Book Antiqua" w:hAnsi="Book Antiqua" w:cs="Arial"/>
          <w:sz w:val="24"/>
          <w:szCs w:val="24"/>
        </w:rPr>
        <w:t xml:space="preserve"> suggests that aberrant B cell activity including production of antibodies is driven, at least in part, by abnormal TFH cell activity.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Studies using a murine model have confirmed the importance of TFH cells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pathogenesis, particularly for the development of bronchiolitis obliterans syndrome which is a signature feature of lung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</w:t>
      </w:r>
      <w:r w:rsidRPr="00994967">
        <w:rPr>
          <w:rFonts w:ascii="Book Antiqua" w:hAnsi="Book Antiqua" w:cs="Arial"/>
          <w:sz w:val="24"/>
          <w:szCs w:val="24"/>
        </w:rPr>
        <w:t>GVHD</w:t>
      </w:r>
      <w:proofErr w:type="spellEnd"/>
      <w:r w:rsidR="00B1735F" w:rsidRPr="00994967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1735F" w:rsidRPr="00994967">
        <w:rPr>
          <w:rFonts w:ascii="Book Antiqua" w:hAnsi="Book Antiqua" w:cs="Arial"/>
          <w:sz w:val="24"/>
          <w:szCs w:val="24"/>
          <w:vertAlign w:val="superscript"/>
        </w:rPr>
        <w:t>4</w:t>
      </w:r>
      <w:r w:rsidR="009F0C94" w:rsidRPr="00994967">
        <w:rPr>
          <w:rFonts w:ascii="Book Antiqua" w:hAnsi="Book Antiqua" w:cs="Arial"/>
          <w:sz w:val="24"/>
          <w:szCs w:val="24"/>
          <w:vertAlign w:val="superscript"/>
        </w:rPr>
        <w:t>5</w:t>
      </w:r>
      <w:r w:rsidR="00B1735F" w:rsidRPr="00994967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994967">
        <w:rPr>
          <w:rFonts w:ascii="Book Antiqua" w:hAnsi="Book Antiqua" w:cs="Arial"/>
          <w:sz w:val="24"/>
          <w:szCs w:val="24"/>
        </w:rPr>
        <w:t xml:space="preserve"> (Table 1).</w:t>
      </w:r>
    </w:p>
    <w:p w:rsidR="00994967" w:rsidRPr="00FB5CEB" w:rsidRDefault="00994967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A6254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sz w:val="24"/>
          <w:szCs w:val="24"/>
        </w:rPr>
        <w:lastRenderedPageBreak/>
        <w:t>Regulatory T</w:t>
      </w:r>
      <w:r w:rsidR="00B1735F" w:rsidRPr="00FB5CEB">
        <w:rPr>
          <w:rFonts w:ascii="Book Antiqua" w:hAnsi="Book Antiqua" w:cs="Arial"/>
          <w:b/>
          <w:sz w:val="24"/>
          <w:szCs w:val="24"/>
        </w:rPr>
        <w:t xml:space="preserve"> </w:t>
      </w:r>
      <w:r w:rsidRPr="00FB5CEB">
        <w:rPr>
          <w:rFonts w:ascii="Book Antiqua" w:hAnsi="Book Antiqua" w:cs="Arial"/>
          <w:b/>
          <w:sz w:val="24"/>
          <w:szCs w:val="24"/>
        </w:rPr>
        <w:t>cells</w:t>
      </w:r>
      <w:r w:rsidR="00994967">
        <w:rPr>
          <w:rFonts w:ascii="Book Antiqua" w:hAnsi="Book Antiqua" w:cs="Arial" w:hint="eastAsia"/>
          <w:b/>
          <w:sz w:val="24"/>
          <w:szCs w:val="24"/>
          <w:lang w:eastAsia="zh-CN"/>
        </w:rPr>
        <w:t>: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Regulatory T</w:t>
      </w:r>
      <w:r w:rsidR="00B1735F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cells (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Tregs</w:t>
      </w:r>
      <w:proofErr w:type="spellEnd"/>
      <w:r w:rsidRPr="00FB5CEB">
        <w:rPr>
          <w:rFonts w:ascii="Book Antiqua" w:hAnsi="Book Antiqua" w:cs="Arial"/>
          <w:sz w:val="24"/>
          <w:szCs w:val="24"/>
        </w:rPr>
        <w:t>), which are CD4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CD25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and also express the transcription factor</w:t>
      </w:r>
      <w:r w:rsidR="00B1735F" w:rsidRPr="00FB5CEB">
        <w:rPr>
          <w:rFonts w:ascii="Book Antiqua" w:hAnsi="Book Antiqua" w:cs="Arial"/>
          <w:sz w:val="24"/>
          <w:szCs w:val="24"/>
        </w:rPr>
        <w:t xml:space="preserve"> FOXP3, suppress autoreactive T </w:t>
      </w:r>
      <w:r w:rsidRPr="00FB5CEB">
        <w:rPr>
          <w:rFonts w:ascii="Book Antiqua" w:hAnsi="Book Antiqua" w:cs="Arial"/>
          <w:sz w:val="24"/>
          <w:szCs w:val="24"/>
        </w:rPr>
        <w:t>cells and are important for immune syste</w:t>
      </w:r>
      <w:r w:rsidR="00B1735F" w:rsidRPr="00FB5CEB">
        <w:rPr>
          <w:rFonts w:ascii="Book Antiqua" w:hAnsi="Book Antiqua" w:cs="Arial"/>
          <w:sz w:val="24"/>
          <w:szCs w:val="24"/>
        </w:rPr>
        <w:t>m homeostasis.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B1735F" w:rsidRPr="00FB5CEB">
        <w:rPr>
          <w:rFonts w:ascii="Book Antiqua" w:hAnsi="Book Antiqua" w:cs="Arial"/>
          <w:sz w:val="24"/>
          <w:szCs w:val="24"/>
        </w:rPr>
        <w:t xml:space="preserve">Specifically, </w:t>
      </w:r>
      <w:proofErr w:type="spellStart"/>
      <w:r w:rsidR="00B1735F" w:rsidRPr="00FB5CEB">
        <w:rPr>
          <w:rFonts w:ascii="Book Antiqua" w:hAnsi="Book Antiqua" w:cs="Arial"/>
          <w:sz w:val="24"/>
          <w:szCs w:val="24"/>
        </w:rPr>
        <w:t>T</w:t>
      </w:r>
      <w:r w:rsidRPr="00FB5CEB">
        <w:rPr>
          <w:rFonts w:ascii="Book Antiqua" w:hAnsi="Book Antiqua" w:cs="Arial"/>
          <w:sz w:val="24"/>
          <w:szCs w:val="24"/>
        </w:rPr>
        <w:t>regs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are essential for the establishment and maintenance of tolerance after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>-</w:t>
      </w:r>
      <w:proofErr w:type="gramStart"/>
      <w:r w:rsidRPr="00FB5CEB">
        <w:rPr>
          <w:rFonts w:ascii="Book Antiqua" w:hAnsi="Book Antiqua" w:cs="Arial"/>
          <w:sz w:val="24"/>
          <w:szCs w:val="24"/>
        </w:rPr>
        <w:t>HSCT</w:t>
      </w:r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B1735F" w:rsidRPr="00FB5CEB">
        <w:rPr>
          <w:rFonts w:ascii="Book Antiqua" w:hAnsi="Book Antiqua" w:cs="Arial"/>
          <w:sz w:val="24"/>
          <w:szCs w:val="24"/>
        </w:rPr>
        <w:t>.</w:t>
      </w:r>
      <w:r w:rsidR="00994967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proofErr w:type="spellStart"/>
      <w:r w:rsidR="00B1735F" w:rsidRPr="00FB5CEB">
        <w:rPr>
          <w:rFonts w:ascii="Book Antiqua" w:hAnsi="Book Antiqua" w:cs="Arial"/>
          <w:sz w:val="24"/>
          <w:szCs w:val="24"/>
        </w:rPr>
        <w:t>T</w:t>
      </w:r>
      <w:r w:rsidRPr="00FB5CEB">
        <w:rPr>
          <w:rFonts w:ascii="Book Antiqua" w:hAnsi="Book Antiqua" w:cs="Arial"/>
          <w:sz w:val="24"/>
          <w:szCs w:val="24"/>
        </w:rPr>
        <w:t>regs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are depleted in both acute and chronic GVHD, demonstrating their importance as suppressors of inflammation and disease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development</w:t>
      </w:r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B1735F"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B1735F" w:rsidRPr="00FB5CEB">
        <w:rPr>
          <w:rFonts w:ascii="Book Antiqua" w:hAnsi="Book Antiqua" w:cs="Arial"/>
          <w:sz w:val="24"/>
          <w:szCs w:val="24"/>
        </w:rPr>
        <w:t xml:space="preserve">Impaired </w:t>
      </w:r>
      <w:proofErr w:type="spellStart"/>
      <w:r w:rsidR="00B1735F" w:rsidRPr="00FB5CEB">
        <w:rPr>
          <w:rFonts w:ascii="Book Antiqua" w:hAnsi="Book Antiqua" w:cs="Arial"/>
          <w:sz w:val="24"/>
          <w:szCs w:val="24"/>
        </w:rPr>
        <w:t>T</w:t>
      </w:r>
      <w:r w:rsidRPr="00FB5CEB">
        <w:rPr>
          <w:rFonts w:ascii="Book Antiqua" w:hAnsi="Book Antiqua" w:cs="Arial"/>
          <w:sz w:val="24"/>
          <w:szCs w:val="24"/>
        </w:rPr>
        <w:t>reg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production and function has been linked to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thymic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damage as a result of CD4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lymphopenia following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-HSCT, at least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myeloablative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patients</w:t>
      </w:r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B1735F"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B1735F" w:rsidRPr="00FB5CEB">
        <w:rPr>
          <w:rFonts w:ascii="Book Antiqua" w:hAnsi="Book Antiqua" w:cs="Arial"/>
          <w:sz w:val="24"/>
          <w:szCs w:val="24"/>
        </w:rPr>
        <w:t xml:space="preserve">The presence of </w:t>
      </w:r>
      <w:proofErr w:type="spellStart"/>
      <w:r w:rsidR="00B1735F" w:rsidRPr="00FB5CEB">
        <w:rPr>
          <w:rFonts w:ascii="Book Antiqua" w:hAnsi="Book Antiqua" w:cs="Arial"/>
          <w:sz w:val="24"/>
          <w:szCs w:val="24"/>
        </w:rPr>
        <w:t>T</w:t>
      </w:r>
      <w:r w:rsidRPr="00FB5CEB">
        <w:rPr>
          <w:rFonts w:ascii="Book Antiqua" w:hAnsi="Book Antiqua" w:cs="Arial"/>
          <w:sz w:val="24"/>
          <w:szCs w:val="24"/>
        </w:rPr>
        <w:t>regs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in the skin and oral mucosa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 in a functional (</w:t>
      </w:r>
      <w:r w:rsidRPr="004146D3">
        <w:rPr>
          <w:rFonts w:ascii="Book Antiqua" w:hAnsi="Book Antiqua" w:cs="Arial"/>
          <w:i/>
          <w:sz w:val="24"/>
          <w:szCs w:val="24"/>
        </w:rPr>
        <w:t>e.g.</w:t>
      </w:r>
      <w:r w:rsidR="004146D3" w:rsidRPr="004146D3">
        <w:rPr>
          <w:rFonts w:ascii="Book Antiqua" w:hAnsi="Book Antiqua" w:cs="Arial" w:hint="eastAsia"/>
          <w:i/>
          <w:sz w:val="24"/>
          <w:szCs w:val="24"/>
          <w:lang w:eastAsia="zh-CN"/>
        </w:rPr>
        <w:t>,</w:t>
      </w:r>
      <w:r w:rsidRPr="00FB5CEB">
        <w:rPr>
          <w:rFonts w:ascii="Book Antiqua" w:hAnsi="Book Antiqua" w:cs="Arial"/>
          <w:sz w:val="24"/>
          <w:szCs w:val="24"/>
        </w:rPr>
        <w:t xml:space="preserve"> CXCR3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) state suggests they may play a role in limiting </w:t>
      </w:r>
      <w:r w:rsidR="00B1735F" w:rsidRPr="00FB5CEB">
        <w:rPr>
          <w:rFonts w:ascii="Book Antiqua" w:hAnsi="Book Antiqua" w:cs="Arial"/>
          <w:sz w:val="24"/>
          <w:szCs w:val="24"/>
        </w:rPr>
        <w:t xml:space="preserve">tissue damage by </w:t>
      </w:r>
      <w:proofErr w:type="spellStart"/>
      <w:r w:rsidR="00B1735F" w:rsidRPr="00FB5CEB">
        <w:rPr>
          <w:rFonts w:ascii="Book Antiqua" w:hAnsi="Book Antiqua" w:cs="Arial"/>
          <w:sz w:val="24"/>
          <w:szCs w:val="24"/>
        </w:rPr>
        <w:t>alloreactive</w:t>
      </w:r>
      <w:proofErr w:type="spellEnd"/>
      <w:r w:rsidR="00B1735F" w:rsidRPr="00FB5CEB">
        <w:rPr>
          <w:rFonts w:ascii="Book Antiqua" w:hAnsi="Book Antiqua" w:cs="Arial"/>
          <w:sz w:val="24"/>
          <w:szCs w:val="24"/>
        </w:rPr>
        <w:t xml:space="preserve"> T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cells</w:t>
      </w:r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9F0C94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B1735F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Pharmacological approaches used to treat steroid-re</w:t>
      </w:r>
      <w:r w:rsidR="00B1735F" w:rsidRPr="00FB5CEB">
        <w:rPr>
          <w:rFonts w:ascii="Book Antiqua" w:hAnsi="Book Antiqua" w:cs="Arial"/>
          <w:sz w:val="24"/>
          <w:szCs w:val="24"/>
        </w:rPr>
        <w:t xml:space="preserve">fractory </w:t>
      </w:r>
      <w:proofErr w:type="spellStart"/>
      <w:r w:rsidR="00B1735F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B1735F" w:rsidRPr="00FB5CEB">
        <w:rPr>
          <w:rFonts w:ascii="Book Antiqua" w:hAnsi="Book Antiqua" w:cs="Arial"/>
          <w:sz w:val="24"/>
          <w:szCs w:val="24"/>
        </w:rPr>
        <w:t xml:space="preserve"> that increased </w:t>
      </w:r>
      <w:proofErr w:type="spellStart"/>
      <w:r w:rsidR="00B1735F" w:rsidRPr="00FB5CEB">
        <w:rPr>
          <w:rFonts w:ascii="Book Antiqua" w:hAnsi="Book Antiqua" w:cs="Arial"/>
          <w:sz w:val="24"/>
          <w:szCs w:val="24"/>
        </w:rPr>
        <w:t>T</w:t>
      </w:r>
      <w:r w:rsidRPr="00FB5CEB">
        <w:rPr>
          <w:rFonts w:ascii="Book Antiqua" w:hAnsi="Book Antiqua" w:cs="Arial"/>
          <w:sz w:val="24"/>
          <w:szCs w:val="24"/>
        </w:rPr>
        <w:t>reg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cell numbers have shown promise clinically in treating cutaneous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711DFB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49</w:t>
      </w:r>
      <w:r w:rsidR="00711DFB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Further, in a study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>-HSCT patients with acute</w:t>
      </w:r>
      <w:r w:rsidR="00711DFB" w:rsidRPr="00FB5CEB">
        <w:rPr>
          <w:rFonts w:ascii="Book Antiqua" w:hAnsi="Book Antiqua" w:cs="Arial"/>
          <w:sz w:val="24"/>
          <w:szCs w:val="24"/>
        </w:rPr>
        <w:t xml:space="preserve"> leukemia, direct infusion of </w:t>
      </w:r>
      <w:proofErr w:type="spellStart"/>
      <w:r w:rsidR="00711DFB" w:rsidRPr="00FB5CEB">
        <w:rPr>
          <w:rFonts w:ascii="Book Antiqua" w:hAnsi="Book Antiqua" w:cs="Arial"/>
          <w:sz w:val="24"/>
          <w:szCs w:val="24"/>
        </w:rPr>
        <w:t>T</w:t>
      </w:r>
      <w:r w:rsidRPr="00FB5CEB">
        <w:rPr>
          <w:rFonts w:ascii="Book Antiqua" w:hAnsi="Book Antiqua" w:cs="Arial"/>
          <w:sz w:val="24"/>
          <w:szCs w:val="24"/>
        </w:rPr>
        <w:t>re</w:t>
      </w:r>
      <w:r w:rsidR="00711DFB" w:rsidRPr="00FB5CEB">
        <w:rPr>
          <w:rFonts w:ascii="Book Antiqua" w:hAnsi="Book Antiqua" w:cs="Arial"/>
          <w:sz w:val="24"/>
          <w:szCs w:val="24"/>
        </w:rPr>
        <w:t>gs</w:t>
      </w:r>
      <w:proofErr w:type="spellEnd"/>
      <w:r w:rsidR="00711DFB" w:rsidRPr="00FB5CEB">
        <w:rPr>
          <w:rFonts w:ascii="Book Antiqua" w:hAnsi="Book Antiqua" w:cs="Arial"/>
          <w:sz w:val="24"/>
          <w:szCs w:val="24"/>
        </w:rPr>
        <w:t xml:space="preserve"> together with conventional T </w:t>
      </w:r>
      <w:r w:rsidRPr="00FB5CEB">
        <w:rPr>
          <w:rFonts w:ascii="Book Antiqua" w:hAnsi="Book Antiqua" w:cs="Arial"/>
          <w:sz w:val="24"/>
          <w:szCs w:val="24"/>
        </w:rPr>
        <w:t>cells protected against GVHD in almost 90% of engrafted patients, while still maintaining the GVT anti-tumor eff</w:t>
      </w:r>
      <w:r w:rsidR="00711DFB" w:rsidRPr="00FB5CEB">
        <w:rPr>
          <w:rFonts w:ascii="Book Antiqua" w:hAnsi="Book Antiqua" w:cs="Arial"/>
          <w:sz w:val="24"/>
          <w:szCs w:val="24"/>
        </w:rPr>
        <w:t xml:space="preserve">ect conferred by conventional T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cells</w:t>
      </w:r>
      <w:r w:rsidR="00711DFB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711DFB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711DFB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. These studies suggest that manipulation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Treg</w:t>
      </w:r>
      <w:r w:rsidR="00711DFB" w:rsidRPr="00FB5CEB">
        <w:rPr>
          <w:rFonts w:ascii="Book Antiqua" w:hAnsi="Book Antiqua" w:cs="Arial"/>
          <w:sz w:val="24"/>
          <w:szCs w:val="24"/>
        </w:rPr>
        <w:t>s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might be a feasible approach to </w:t>
      </w:r>
      <w:r w:rsidR="00B65FB5" w:rsidRPr="00FB5CEB">
        <w:rPr>
          <w:rFonts w:ascii="Book Antiqua" w:hAnsi="Book Antiqua" w:cs="Arial"/>
          <w:sz w:val="24"/>
          <w:szCs w:val="24"/>
        </w:rPr>
        <w:t xml:space="preserve">reducing or preventing </w:t>
      </w:r>
      <w:r w:rsidRPr="00FB5CEB">
        <w:rPr>
          <w:rFonts w:ascii="Book Antiqua" w:hAnsi="Book Antiqua" w:cs="Arial"/>
          <w:sz w:val="24"/>
          <w:szCs w:val="24"/>
        </w:rPr>
        <w:t>GVHD</w:t>
      </w:r>
      <w:r w:rsidR="00B65FB5" w:rsidRPr="00FB5CEB">
        <w:rPr>
          <w:rFonts w:ascii="Book Antiqua" w:hAnsi="Book Antiqua" w:cs="Arial"/>
          <w:sz w:val="24"/>
          <w:szCs w:val="24"/>
        </w:rPr>
        <w:t xml:space="preserve"> without compromising the anti-tumor surveillance capacity of the patient’s immune system. </w:t>
      </w:r>
    </w:p>
    <w:p w:rsidR="00F7553C" w:rsidRPr="00FB5CEB" w:rsidRDefault="00F7553C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t>CD8</w:t>
      </w:r>
      <w:r w:rsidRPr="00FB5CEB">
        <w:rPr>
          <w:rFonts w:ascii="Book Antiqua" w:hAnsi="Book Antiqua" w:cs="Arial"/>
          <w:b/>
          <w:sz w:val="24"/>
          <w:szCs w:val="24"/>
          <w:vertAlign w:val="superscript"/>
        </w:rPr>
        <w:t>+</w:t>
      </w:r>
      <w:r w:rsidR="00711DFB" w:rsidRPr="00FB5CEB">
        <w:rPr>
          <w:rFonts w:ascii="Book Antiqua" w:hAnsi="Book Antiqua" w:cs="Arial"/>
          <w:b/>
          <w:sz w:val="24"/>
          <w:szCs w:val="24"/>
        </w:rPr>
        <w:t xml:space="preserve"> T </w:t>
      </w:r>
      <w:r w:rsidRPr="00FB5CEB">
        <w:rPr>
          <w:rFonts w:ascii="Book Antiqua" w:hAnsi="Book Antiqua" w:cs="Arial"/>
          <w:b/>
          <w:sz w:val="24"/>
          <w:szCs w:val="24"/>
        </w:rPr>
        <w:t>cells</w:t>
      </w:r>
      <w:r w:rsidR="00F7553C">
        <w:rPr>
          <w:rFonts w:ascii="Book Antiqua" w:hAnsi="Book Antiqua" w:cs="Arial" w:hint="eastAsia"/>
          <w:b/>
          <w:sz w:val="24"/>
          <w:szCs w:val="24"/>
          <w:lang w:eastAsia="zh-CN"/>
        </w:rPr>
        <w:t>:</w:t>
      </w:r>
      <w:r w:rsidR="001F5328">
        <w:rPr>
          <w:rFonts w:ascii="Book Antiqua" w:hAnsi="Book Antiqua" w:cs="Arial"/>
          <w:b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CD8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="00623596" w:rsidRPr="00FB5CEB">
        <w:rPr>
          <w:rFonts w:ascii="Book Antiqua" w:hAnsi="Book Antiqua" w:cs="Arial"/>
          <w:sz w:val="24"/>
          <w:szCs w:val="24"/>
        </w:rPr>
        <w:t xml:space="preserve"> T </w:t>
      </w:r>
      <w:r w:rsidRPr="00FB5CEB">
        <w:rPr>
          <w:rFonts w:ascii="Book Antiqua" w:hAnsi="Book Antiqua" w:cs="Arial"/>
          <w:sz w:val="24"/>
          <w:szCs w:val="24"/>
        </w:rPr>
        <w:t xml:space="preserve">cells are another immune cell population present in tissues affected by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, including the skin and oral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mucosa</w:t>
      </w:r>
      <w:r w:rsidR="00F13EE0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F13EE0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F13EE0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Donor CD8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cells mediate the GVT effect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>-HSCT that typically results in the eradication of malignant cells from the patient.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Among the cytokines produced by CD8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cells are CXCL9 and CXCL10; CXCL9 is elevated in </w:t>
      </w:r>
      <w:r w:rsidR="00961532" w:rsidRPr="00FB5CEB">
        <w:rPr>
          <w:rFonts w:ascii="Book Antiqua" w:hAnsi="Book Antiqua" w:cs="Arial"/>
          <w:sz w:val="24"/>
          <w:szCs w:val="24"/>
        </w:rPr>
        <w:t xml:space="preserve">the </w:t>
      </w:r>
      <w:r w:rsidRPr="00FB5CEB">
        <w:rPr>
          <w:rFonts w:ascii="Book Antiqua" w:hAnsi="Book Antiqua" w:cs="Arial"/>
          <w:sz w:val="24"/>
          <w:szCs w:val="24"/>
        </w:rPr>
        <w:t xml:space="preserve">serum of early-stage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patients, with CXCL9 levels being correlated with disease se</w:t>
      </w:r>
      <w:r w:rsidRPr="009E5CC1">
        <w:rPr>
          <w:rFonts w:ascii="Book Antiqua" w:hAnsi="Book Antiqua" w:cs="Arial"/>
          <w:sz w:val="24"/>
          <w:szCs w:val="24"/>
        </w:rPr>
        <w:t>verity</w:t>
      </w:r>
      <w:r w:rsidR="00F13EE0" w:rsidRPr="009E5CC1">
        <w:rPr>
          <w:rFonts w:ascii="Book Antiqua" w:hAnsi="Book Antiqua" w:cs="Arial"/>
          <w:sz w:val="24"/>
          <w:szCs w:val="24"/>
          <w:vertAlign w:val="superscript"/>
        </w:rPr>
        <w:t>[5</w:t>
      </w:r>
      <w:r w:rsidR="00E023A7" w:rsidRPr="009E5CC1">
        <w:rPr>
          <w:rFonts w:ascii="Book Antiqua" w:hAnsi="Book Antiqua" w:cs="Arial"/>
          <w:sz w:val="24"/>
          <w:szCs w:val="24"/>
          <w:vertAlign w:val="superscript"/>
        </w:rPr>
        <w:t>1</w:t>
      </w:r>
      <w:r w:rsidR="00F13EE0" w:rsidRPr="009E5CC1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9E5CC1">
        <w:rPr>
          <w:rFonts w:ascii="Book Antiqua" w:hAnsi="Book Antiqua" w:cs="Arial"/>
          <w:sz w:val="24"/>
          <w:szCs w:val="24"/>
        </w:rPr>
        <w:t xml:space="preserve"> (Tables 2 and 3).</w:t>
      </w:r>
    </w:p>
    <w:p w:rsidR="00DA6254" w:rsidRPr="00FB5CEB" w:rsidRDefault="00DA6254" w:rsidP="00BC0BDD">
      <w:pPr>
        <w:pStyle w:val="ListParagraph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DA6254" w:rsidRPr="00FB5CEB" w:rsidRDefault="007B3B33" w:rsidP="00BC0BD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FB5CEB">
        <w:rPr>
          <w:rFonts w:ascii="Book Antiqua" w:hAnsi="Book Antiqua" w:cs="Arial"/>
          <w:b/>
          <w:i/>
          <w:sz w:val="24"/>
          <w:szCs w:val="24"/>
        </w:rPr>
        <w:t xml:space="preserve">B </w:t>
      </w:r>
      <w:r w:rsidR="00DA6254" w:rsidRPr="00FB5CEB">
        <w:rPr>
          <w:rFonts w:ascii="Book Antiqua" w:hAnsi="Book Antiqua" w:cs="Arial"/>
          <w:b/>
          <w:i/>
          <w:sz w:val="24"/>
          <w:szCs w:val="24"/>
        </w:rPr>
        <w:t>cells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>In addition to T</w:t>
      </w:r>
      <w:r w:rsidR="00F13EE0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cells, there is increasing evidence that B</w:t>
      </w:r>
      <w:r w:rsidR="00F13EE0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cells play a number of important roles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pathogenesis</w:t>
      </w:r>
      <w:r w:rsidR="00F13EE0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F13EE0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F13EE0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Patients with active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consistently have lower number</w:t>
      </w:r>
      <w:r w:rsidRPr="00ED6DE6">
        <w:rPr>
          <w:rFonts w:ascii="Book Antiqua" w:hAnsi="Book Antiqua" w:cs="Arial"/>
          <w:sz w:val="24"/>
          <w:szCs w:val="24"/>
        </w:rPr>
        <w:t>s of naïve and transitional B cells as well as total B</w:t>
      </w:r>
      <w:r w:rsidR="00113554" w:rsidRPr="00ED6DE6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ED6DE6">
        <w:rPr>
          <w:rFonts w:ascii="Book Antiqua" w:hAnsi="Book Antiqua" w:cs="Arial"/>
          <w:sz w:val="24"/>
          <w:szCs w:val="24"/>
        </w:rPr>
        <w:t>cells</w:t>
      </w:r>
      <w:r w:rsidR="00113554" w:rsidRPr="00ED6DE6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113554" w:rsidRPr="00ED6DE6">
        <w:rPr>
          <w:rFonts w:ascii="Book Antiqua" w:hAnsi="Book Antiqua" w:cs="Arial"/>
          <w:sz w:val="24"/>
          <w:szCs w:val="24"/>
          <w:vertAlign w:val="superscript"/>
        </w:rPr>
        <w:t>5</w:t>
      </w:r>
      <w:r w:rsidR="00E023A7" w:rsidRPr="00ED6DE6">
        <w:rPr>
          <w:rFonts w:ascii="Book Antiqua" w:hAnsi="Book Antiqua" w:cs="Arial"/>
          <w:sz w:val="24"/>
          <w:szCs w:val="24"/>
          <w:vertAlign w:val="superscript"/>
        </w:rPr>
        <w:t>3</w:t>
      </w:r>
      <w:r w:rsidRPr="00ED6DE6">
        <w:rPr>
          <w:rFonts w:ascii="Book Antiqua" w:hAnsi="Book Antiqua" w:cs="Arial"/>
          <w:sz w:val="24"/>
          <w:szCs w:val="24"/>
          <w:vertAlign w:val="superscript"/>
        </w:rPr>
        <w:t>,5</w:t>
      </w:r>
      <w:r w:rsidR="00E023A7" w:rsidRPr="00ED6DE6">
        <w:rPr>
          <w:rFonts w:ascii="Book Antiqua" w:hAnsi="Book Antiqua" w:cs="Arial"/>
          <w:sz w:val="24"/>
          <w:szCs w:val="24"/>
          <w:vertAlign w:val="superscript"/>
        </w:rPr>
        <w:t>4</w:t>
      </w:r>
      <w:r w:rsidR="00113554" w:rsidRPr="00ED6DE6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ED6DE6">
        <w:rPr>
          <w:rFonts w:ascii="Book Antiqua" w:hAnsi="Book Antiqua" w:cs="Arial"/>
          <w:sz w:val="24"/>
          <w:szCs w:val="24"/>
        </w:rPr>
        <w:t xml:space="preserve"> (Table </w:t>
      </w:r>
      <w:r w:rsidRPr="00ED6DE6">
        <w:rPr>
          <w:rFonts w:ascii="Book Antiqua" w:hAnsi="Book Antiqua" w:cs="Arial"/>
          <w:sz w:val="24"/>
          <w:szCs w:val="24"/>
        </w:rPr>
        <w:lastRenderedPageBreak/>
        <w:t>3).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ED6DE6">
        <w:rPr>
          <w:rFonts w:ascii="Book Antiqua" w:hAnsi="Book Antiqua" w:cs="Arial"/>
          <w:sz w:val="24"/>
          <w:szCs w:val="24"/>
        </w:rPr>
        <w:t>Regulatory B</w:t>
      </w:r>
      <w:r w:rsidR="00113554" w:rsidRPr="00ED6DE6">
        <w:rPr>
          <w:rFonts w:ascii="Book Antiqua" w:hAnsi="Book Antiqua" w:cs="Arial"/>
          <w:sz w:val="24"/>
          <w:szCs w:val="24"/>
        </w:rPr>
        <w:t xml:space="preserve"> </w:t>
      </w:r>
      <w:r w:rsidRPr="00ED6DE6">
        <w:rPr>
          <w:rFonts w:ascii="Book Antiqua" w:hAnsi="Book Antiqua" w:cs="Arial"/>
          <w:sz w:val="24"/>
          <w:szCs w:val="24"/>
        </w:rPr>
        <w:t>cells that secrete the anti-inflammatory cytokine IL-10 (and form a subpopulation w</w:t>
      </w:r>
      <w:r w:rsidRPr="00FB5CEB">
        <w:rPr>
          <w:rFonts w:ascii="Book Antiqua" w:hAnsi="Book Antiqua" w:cs="Arial"/>
          <w:sz w:val="24"/>
          <w:szCs w:val="24"/>
        </w:rPr>
        <w:t>ithin the transitional and memory B</w:t>
      </w:r>
      <w:r w:rsidR="00113554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 compartments) were also less frequent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 and displayed a deficiency in IL-10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production</w:t>
      </w:r>
      <w:r w:rsidR="00113554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113554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113554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Together with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Tregs</w:t>
      </w:r>
      <w:proofErr w:type="spellEnd"/>
      <w:r w:rsidRPr="00FB5CEB">
        <w:rPr>
          <w:rFonts w:ascii="Book Antiqua" w:hAnsi="Book Antiqua" w:cs="Arial"/>
          <w:sz w:val="24"/>
          <w:szCs w:val="24"/>
        </w:rPr>
        <w:t>, regulatory B</w:t>
      </w:r>
      <w:r w:rsidR="00113554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cells play a central role in graft tolerance and the prevention of autoimmune disease and hence represent a topic worthy of further investigation in relation to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113554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113554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113554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Chronic GVHD patients are susceptible to pneumococcal infection which can cause severe or fatal infections in long term transplant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survivors</w:t>
      </w:r>
      <w:r w:rsidR="00B7446B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7446B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B7446B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This susceptibility to infections </w:t>
      </w:r>
      <w:r w:rsidR="00B7446B" w:rsidRPr="00FB5CEB">
        <w:rPr>
          <w:rFonts w:ascii="Book Antiqua" w:hAnsi="Book Antiqua" w:cs="Arial"/>
          <w:sz w:val="24"/>
          <w:szCs w:val="24"/>
        </w:rPr>
        <w:t xml:space="preserve">is associated with </w:t>
      </w:r>
      <w:r w:rsidRPr="00FB5CEB">
        <w:rPr>
          <w:rFonts w:ascii="Book Antiqua" w:hAnsi="Book Antiqua" w:cs="Arial"/>
          <w:sz w:val="24"/>
          <w:szCs w:val="24"/>
        </w:rPr>
        <w:t>the a</w:t>
      </w:r>
      <w:r w:rsidR="00B7446B" w:rsidRPr="00FB5CEB">
        <w:rPr>
          <w:rFonts w:ascii="Book Antiqua" w:hAnsi="Book Antiqua" w:cs="Arial"/>
          <w:sz w:val="24"/>
          <w:szCs w:val="24"/>
        </w:rPr>
        <w:t xml:space="preserve">bnormal B </w:t>
      </w:r>
      <w:r w:rsidRPr="00FB5CEB">
        <w:rPr>
          <w:rFonts w:ascii="Book Antiqua" w:hAnsi="Book Antiqua" w:cs="Arial"/>
          <w:sz w:val="24"/>
          <w:szCs w:val="24"/>
        </w:rPr>
        <w:t>cell profile, includin</w:t>
      </w:r>
      <w:r w:rsidR="00B7446B" w:rsidRPr="00FB5CEB">
        <w:rPr>
          <w:rFonts w:ascii="Book Antiqua" w:hAnsi="Book Antiqua" w:cs="Arial"/>
          <w:sz w:val="24"/>
          <w:szCs w:val="24"/>
        </w:rPr>
        <w:t xml:space="preserve">g decreased numbers of memory B </w:t>
      </w:r>
      <w:r w:rsidRPr="00FB5CEB">
        <w:rPr>
          <w:rFonts w:ascii="Book Antiqua" w:hAnsi="Book Antiqua" w:cs="Arial"/>
          <w:sz w:val="24"/>
          <w:szCs w:val="24"/>
        </w:rPr>
        <w:t xml:space="preserve">cells that are critical for a normal immune response including IgG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production</w:t>
      </w:r>
      <w:r w:rsidR="00B7446B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7446B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,5</w:t>
      </w:r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B7446B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Like many other autoimmune conditions,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 frequently produce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>- and auto-antibodies to DNA and/or other antigens such as male HY antigen, which can correlate with disease onset and sev</w:t>
      </w:r>
      <w:r w:rsidR="00B7446B" w:rsidRPr="00FB5CEB">
        <w:rPr>
          <w:rFonts w:ascii="Book Antiqua" w:hAnsi="Book Antiqua" w:cs="Arial"/>
          <w:sz w:val="24"/>
          <w:szCs w:val="24"/>
        </w:rPr>
        <w:t>erity (see below).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B7446B" w:rsidRPr="00FB5CEB">
        <w:rPr>
          <w:rFonts w:ascii="Book Antiqua" w:hAnsi="Book Antiqua" w:cs="Arial"/>
          <w:sz w:val="24"/>
          <w:szCs w:val="24"/>
        </w:rPr>
        <w:t xml:space="preserve">Activated B </w:t>
      </w:r>
      <w:r w:rsidRPr="00FB5CEB">
        <w:rPr>
          <w:rFonts w:ascii="Book Antiqua" w:hAnsi="Book Antiqua" w:cs="Arial"/>
          <w:sz w:val="24"/>
          <w:szCs w:val="24"/>
        </w:rPr>
        <w:t>cells secrete an array of Th1 and Th2 cytokines that</w:t>
      </w:r>
      <w:r w:rsidR="00B7446B" w:rsidRPr="00FB5CEB">
        <w:rPr>
          <w:rFonts w:ascii="Book Antiqua" w:hAnsi="Book Antiqua" w:cs="Arial"/>
          <w:sz w:val="24"/>
          <w:szCs w:val="24"/>
        </w:rPr>
        <w:t xml:space="preserve"> can r</w:t>
      </w:r>
      <w:r w:rsidR="00E023A7" w:rsidRPr="00FB5CEB">
        <w:rPr>
          <w:rFonts w:ascii="Book Antiqua" w:hAnsi="Book Antiqua" w:cs="Arial"/>
          <w:sz w:val="24"/>
          <w:szCs w:val="24"/>
        </w:rPr>
        <w:t xml:space="preserve">egulate the function of T cell populations </w:t>
      </w:r>
      <w:r w:rsidR="00B7446B" w:rsidRPr="00FB5CEB">
        <w:rPr>
          <w:rFonts w:ascii="Book Antiqua" w:hAnsi="Book Antiqua" w:cs="Arial"/>
          <w:sz w:val="24"/>
          <w:szCs w:val="24"/>
        </w:rPr>
        <w:t xml:space="preserve">including </w:t>
      </w:r>
      <w:proofErr w:type="spellStart"/>
      <w:r w:rsidR="00B7446B" w:rsidRPr="00FB5CEB">
        <w:rPr>
          <w:rFonts w:ascii="Book Antiqua" w:hAnsi="Book Antiqua" w:cs="Arial"/>
          <w:sz w:val="24"/>
          <w:szCs w:val="24"/>
        </w:rPr>
        <w:t>T</w:t>
      </w:r>
      <w:r w:rsidRPr="00FB5CEB">
        <w:rPr>
          <w:rFonts w:ascii="Book Antiqua" w:hAnsi="Book Antiqua" w:cs="Arial"/>
          <w:sz w:val="24"/>
          <w:szCs w:val="24"/>
        </w:rPr>
        <w:t>regs</w:t>
      </w:r>
      <w:proofErr w:type="spellEnd"/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Levels of B</w:t>
      </w:r>
      <w:r w:rsidR="00B7446B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cell activation factor (BAFF), a cytokine that promotes the survival and differentiation of activated B</w:t>
      </w:r>
      <w:r w:rsidR="00B7446B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cells are consistently increased relative to B cell numbers in patients with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B7446B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59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,6</w:t>
      </w:r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B7446B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As discussed above, the increased activity of T</w:t>
      </w:r>
      <w:r w:rsidR="00B344C0" w:rsidRPr="00FB5CEB">
        <w:rPr>
          <w:rFonts w:ascii="Book Antiqua" w:hAnsi="Book Antiqua" w:cs="Arial"/>
          <w:sz w:val="24"/>
          <w:szCs w:val="24"/>
        </w:rPr>
        <w:t>FH</w:t>
      </w:r>
      <w:r w:rsidRPr="00FB5CEB">
        <w:rPr>
          <w:rFonts w:ascii="Book Antiqua" w:hAnsi="Book Antiqua" w:cs="Arial"/>
          <w:sz w:val="24"/>
          <w:szCs w:val="24"/>
        </w:rPr>
        <w:t xml:space="preserve"> cells appears to play a significant role in producing the abnormal B cell profile characteristic of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E023A7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BB0B4E">
        <w:rPr>
          <w:rFonts w:ascii="Book Antiqua" w:hAnsi="Book Antiqua" w:cs="Arial"/>
          <w:sz w:val="24"/>
          <w:szCs w:val="24"/>
        </w:rPr>
        <w:t>.</w:t>
      </w:r>
    </w:p>
    <w:p w:rsidR="00DA6254" w:rsidRPr="00FB5CEB" w:rsidRDefault="00DA6254" w:rsidP="00BB0B4E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>P</w:t>
      </w:r>
      <w:r w:rsidR="00CB35A4" w:rsidRPr="00FB5CEB">
        <w:rPr>
          <w:rFonts w:ascii="Book Antiqua" w:hAnsi="Book Antiqua" w:cs="Arial"/>
          <w:sz w:val="24"/>
          <w:szCs w:val="24"/>
        </w:rPr>
        <w:t xml:space="preserve">erhaps the best evidence that B </w:t>
      </w:r>
      <w:r w:rsidRPr="00FB5CEB">
        <w:rPr>
          <w:rFonts w:ascii="Book Antiqua" w:hAnsi="Book Antiqua" w:cs="Arial"/>
          <w:sz w:val="24"/>
          <w:szCs w:val="24"/>
        </w:rPr>
        <w:t xml:space="preserve">cells are functionally important in human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are the numerous clinical observations with Rituximab, a humanized monoclonal antibody that targets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 the membrane protein CD20 of B </w:t>
      </w:r>
      <w:r w:rsidRPr="00FB5CEB">
        <w:rPr>
          <w:rFonts w:ascii="Book Antiqua" w:hAnsi="Book Antiqua" w:cs="Arial"/>
          <w:sz w:val="24"/>
          <w:szCs w:val="24"/>
        </w:rPr>
        <w:t>cells, causing their cell death.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Rituximab (and other anti-CD20 drugs) are effective in the treatment of steroid-refractory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>, resulting in rapid and selective depletion of B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cells and diminished activation of cyt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otoxic T </w:t>
      </w:r>
      <w:r w:rsidR="00B344C0" w:rsidRPr="00FB5CEB">
        <w:rPr>
          <w:rFonts w:ascii="Book Antiqua" w:hAnsi="Book Antiqua" w:cs="Arial"/>
          <w:sz w:val="24"/>
          <w:szCs w:val="24"/>
        </w:rPr>
        <w:t xml:space="preserve">cells; concurrently, the </w:t>
      </w:r>
      <w:r w:rsidRPr="00FB5CEB">
        <w:rPr>
          <w:rFonts w:ascii="Book Antiqua" w:hAnsi="Book Antiqua" w:cs="Arial"/>
          <w:sz w:val="24"/>
          <w:szCs w:val="24"/>
        </w:rPr>
        <w:t xml:space="preserve">number and activity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Tregs</w:t>
      </w:r>
      <w:proofErr w:type="spellEnd"/>
      <w:r w:rsidR="00BB281C">
        <w:rPr>
          <w:rFonts w:ascii="Book Antiqua" w:hAnsi="Book Antiqua" w:cs="Arial"/>
          <w:sz w:val="24"/>
          <w:szCs w:val="24"/>
        </w:rPr>
        <w:t xml:space="preserve"> are elevated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[5</w:t>
      </w:r>
      <w:r w:rsidR="00643CCB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,6</w:t>
      </w:r>
      <w:r w:rsidR="00643CCB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,6</w:t>
      </w:r>
      <w:r w:rsidR="00643CCB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6970A2"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In one study, the prophylactic use of Rituximab after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 significantly reduced the incidence of both acute and chronic GVHD as well as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NRM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643CCB"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Hence, inhibiting B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cell function has profound effects on both B and T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 homeostasis, with significant benefits to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 </w:t>
      </w:r>
      <w:r w:rsidR="00B60D6B" w:rsidRPr="00FB5CEB">
        <w:rPr>
          <w:rFonts w:ascii="Book Antiqua" w:hAnsi="Book Antiqua" w:cs="Arial"/>
          <w:sz w:val="24"/>
          <w:szCs w:val="24"/>
        </w:rPr>
        <w:t xml:space="preserve">especially </w:t>
      </w:r>
      <w:r w:rsidRPr="00FB5CEB">
        <w:rPr>
          <w:rFonts w:ascii="Book Antiqua" w:hAnsi="Book Antiqua" w:cs="Arial"/>
          <w:sz w:val="24"/>
          <w:szCs w:val="24"/>
        </w:rPr>
        <w:t>in cases where other primary and/or secondary treatments have been unsatisfactory.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7B3B33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lastRenderedPageBreak/>
        <w:t>A</w:t>
      </w:r>
      <w:r w:rsidR="007B3B33" w:rsidRPr="00FB5CEB">
        <w:rPr>
          <w:rFonts w:ascii="Book Antiqua" w:hAnsi="Book Antiqua" w:cs="Arial"/>
          <w:b/>
          <w:sz w:val="24"/>
          <w:szCs w:val="24"/>
        </w:rPr>
        <w:t>NIMAL MODELS OF CHRONIC GVHD</w:t>
      </w:r>
    </w:p>
    <w:p w:rsidR="00B60D6B" w:rsidRPr="00BB281C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Several types of murine models have been utilized for studies of GVHD pathobiology including: </w:t>
      </w:r>
      <w:r w:rsidR="00BB281C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Pr="00FB5CEB">
        <w:rPr>
          <w:rFonts w:ascii="Book Antiqua" w:hAnsi="Book Antiqua" w:cs="Arial"/>
          <w:sz w:val="24"/>
          <w:szCs w:val="24"/>
        </w:rPr>
        <w:t>1) a bone marrow transplantation (BMT) model involving lethal radiation (total body irradiation, TBI) and transplantation of syngeneic marrow into treated mice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[6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; </w:t>
      </w:r>
      <w:r w:rsidR="00BB281C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Pr="00FB5CEB">
        <w:rPr>
          <w:rFonts w:ascii="Book Antiqua" w:hAnsi="Book Antiqua" w:cs="Arial"/>
          <w:sz w:val="24"/>
          <w:szCs w:val="24"/>
        </w:rPr>
        <w:t>2) a parent-into-F1 model where donor spleen cells are infused into non-irradiated mice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39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; and </w:t>
      </w:r>
      <w:r w:rsidR="00BB281C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Pr="00FB5CEB">
        <w:rPr>
          <w:rFonts w:ascii="Book Antiqua" w:hAnsi="Book Antiqua" w:cs="Arial"/>
          <w:sz w:val="24"/>
          <w:szCs w:val="24"/>
        </w:rPr>
        <w:t>3) a transgenic model utilizing a self-antigen, membrane-associated chick ovalbumin, expressed under the control of the K14 promoter (K14-mOVA), where autoreactive skin disease is promoted by adoptive transfer of CD8 T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cells from a second mouse strain,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 OT-1, that has an engineered T </w:t>
      </w:r>
      <w:r w:rsidRPr="00FB5CEB">
        <w:rPr>
          <w:rFonts w:ascii="Book Antiqua" w:hAnsi="Book Antiqua" w:cs="Arial"/>
          <w:sz w:val="24"/>
          <w:szCs w:val="24"/>
        </w:rPr>
        <w:t>cell receptor specific for an ovalbumin peptide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[6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These animal models each demonstrate one or more manifestations of clinical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including the presence of anti-DNA antibodies, sclerosis, weight loss and chronic inflammation of skin and mucosal tissues associated with elevated Th-1, Th-2 and/or Th-17 cytokines.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The K14-mOVA adoptive transfer model </w:t>
      </w:r>
      <w:r w:rsidR="00B344C0" w:rsidRPr="00FB5CEB">
        <w:rPr>
          <w:rFonts w:ascii="Book Antiqua" w:hAnsi="Book Antiqua" w:cs="Arial"/>
          <w:sz w:val="24"/>
          <w:szCs w:val="24"/>
        </w:rPr>
        <w:t xml:space="preserve">has been used </w:t>
      </w:r>
      <w:r w:rsidRPr="00FB5CEB">
        <w:rPr>
          <w:rFonts w:ascii="Book Antiqua" w:hAnsi="Book Antiqua" w:cs="Arial"/>
          <w:sz w:val="24"/>
          <w:szCs w:val="24"/>
        </w:rPr>
        <w:t>to test the efficacy of novel anti-inflammatory biologics that target the Janus kinase (JAK)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[6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 and Histone Deacetylase 6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[6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 enzymes, which were shown to be effective at suppressing and/or reversing cutaneous disease.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Tofacitinib</w:t>
      </w:r>
      <w:proofErr w:type="spellEnd"/>
      <w:r w:rsidRPr="00FB5CEB">
        <w:rPr>
          <w:rFonts w:ascii="Book Antiqua" w:hAnsi="Book Antiqua" w:cs="Arial"/>
          <w:sz w:val="24"/>
          <w:szCs w:val="24"/>
        </w:rPr>
        <w:t>, the JAK inhibitor, block</w:t>
      </w:r>
      <w:r w:rsidR="00B60D6B" w:rsidRPr="00FB5CEB">
        <w:rPr>
          <w:rFonts w:ascii="Book Antiqua" w:hAnsi="Book Antiqua" w:cs="Arial"/>
          <w:sz w:val="24"/>
          <w:szCs w:val="24"/>
        </w:rPr>
        <w:t>ed</w:t>
      </w:r>
      <w:r w:rsidRPr="00FB5CEB">
        <w:rPr>
          <w:rFonts w:ascii="Book Antiqua" w:hAnsi="Book Antiqua" w:cs="Arial"/>
          <w:sz w:val="24"/>
          <w:szCs w:val="24"/>
        </w:rPr>
        <w:t xml:space="preserve"> the expansion and activation of CD8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cells thereby reducing IFN-</w:t>
      </w:r>
      <w:r w:rsidR="00B344C0" w:rsidRPr="00FB5CEB">
        <w:rPr>
          <w:rFonts w:ascii="Symbol" w:hAnsi="Symbol" w:cs="Arial"/>
          <w:sz w:val="24"/>
          <w:szCs w:val="24"/>
        </w:rPr>
        <w:t></w:t>
      </w:r>
      <w:r w:rsidRPr="00FB5CEB">
        <w:rPr>
          <w:rFonts w:ascii="Book Antiqua" w:hAnsi="Book Antiqua" w:cs="Arial"/>
          <w:sz w:val="24"/>
          <w:szCs w:val="24"/>
        </w:rPr>
        <w:t xml:space="preserve"> secretion by CD8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cells and keratinocytes as well as preventing the downstream consequences of </w:t>
      </w:r>
      <w:r w:rsidR="00B344C0" w:rsidRPr="00FB5CEB">
        <w:rPr>
          <w:rFonts w:ascii="Book Antiqua" w:hAnsi="Book Antiqua" w:cs="Arial"/>
          <w:sz w:val="24"/>
          <w:szCs w:val="24"/>
        </w:rPr>
        <w:t xml:space="preserve">interferon </w:t>
      </w:r>
      <w:r w:rsidRPr="00FB5CEB">
        <w:rPr>
          <w:rFonts w:ascii="Book Antiqua" w:hAnsi="Book Antiqua" w:cs="Arial"/>
          <w:sz w:val="24"/>
          <w:szCs w:val="24"/>
        </w:rPr>
        <w:t xml:space="preserve">signaling such as chemokine production and keratinocyte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apoptosis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Another JAK inhibitor,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Ruxolitinib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(INCB018424), reduced murine GVHD (acute GVHD) symptoms and the levels of pro-inflammatory cytokines by both impairing differentiation of CD4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 T </w:t>
      </w:r>
      <w:r w:rsidRPr="00FB5CEB">
        <w:rPr>
          <w:rFonts w:ascii="Book Antiqua" w:hAnsi="Book Antiqua" w:cs="Arial"/>
          <w:sz w:val="24"/>
          <w:szCs w:val="24"/>
        </w:rPr>
        <w:t>cells into IFN-</w:t>
      </w:r>
      <w:r w:rsidR="00B344C0" w:rsidRPr="00FB5CEB">
        <w:rPr>
          <w:rFonts w:ascii="Symbol" w:hAnsi="Symbol" w:cs="Arial"/>
          <w:sz w:val="24"/>
          <w:szCs w:val="24"/>
        </w:rPr>
        <w:t></w:t>
      </w:r>
      <w:r w:rsidRPr="00FB5CEB">
        <w:rPr>
          <w:rFonts w:ascii="Book Antiqua" w:hAnsi="Book Antiqua" w:cs="Arial"/>
          <w:sz w:val="24"/>
          <w:szCs w:val="24"/>
        </w:rPr>
        <w:t xml:space="preserve"> and IL-17-producing cells</w:t>
      </w:r>
      <w:r w:rsidR="008261B4" w:rsidRPr="00FB5CEB">
        <w:rPr>
          <w:rFonts w:ascii="Book Antiqua" w:hAnsi="Book Antiqua" w:cs="Arial"/>
          <w:sz w:val="24"/>
          <w:szCs w:val="24"/>
        </w:rPr>
        <w:t>,</w:t>
      </w:r>
      <w:r w:rsidRPr="00FB5CEB">
        <w:rPr>
          <w:rFonts w:ascii="Book Antiqua" w:hAnsi="Book Antiqua" w:cs="Arial"/>
          <w:sz w:val="24"/>
          <w:szCs w:val="24"/>
        </w:rPr>
        <w:t xml:space="preserve"> and by promoting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 the production of protective </w:t>
      </w:r>
      <w:proofErr w:type="spellStart"/>
      <w:proofErr w:type="gramStart"/>
      <w:r w:rsidR="006970A2" w:rsidRPr="00FB5CEB">
        <w:rPr>
          <w:rFonts w:ascii="Book Antiqua" w:hAnsi="Book Antiqua" w:cs="Arial"/>
          <w:sz w:val="24"/>
          <w:szCs w:val="24"/>
        </w:rPr>
        <w:t>T</w:t>
      </w:r>
      <w:r w:rsidRPr="00FB5CEB">
        <w:rPr>
          <w:rFonts w:ascii="Book Antiqua" w:hAnsi="Book Antiqua" w:cs="Arial"/>
          <w:sz w:val="24"/>
          <w:szCs w:val="24"/>
        </w:rPr>
        <w:t>regs</w:t>
      </w:r>
      <w:proofErr w:type="spell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69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. Notably this JAK 1/2 inhibitor reduced GVHD symptoms and improved overall animal survival while still maintaining the anti-tumor (GVT)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effect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BB281C">
        <w:rPr>
          <w:rFonts w:ascii="Book Antiqua" w:hAnsi="Book Antiqua" w:cs="Arial"/>
          <w:sz w:val="24"/>
          <w:szCs w:val="24"/>
        </w:rPr>
        <w:t>.</w:t>
      </w:r>
    </w:p>
    <w:p w:rsidR="00DA6254" w:rsidRPr="00FB5CEB" w:rsidRDefault="00DA6254" w:rsidP="00BB281C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 xml:space="preserve">While these pre-clinical models have been valuable in defining the immune mediators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, the animal models do not typically parallel the evolution of the human disease, especially the common clinical presentation of classic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8]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Additionally, in mice receiving intensive conditioning regimens (especially radiation), there is a well characterized scenario of inflammatory cytokine </w:t>
      </w:r>
      <w:r w:rsidR="006970A2" w:rsidRPr="00FB5CEB">
        <w:rPr>
          <w:rFonts w:ascii="Book Antiqua" w:hAnsi="Book Antiqua" w:cs="Arial"/>
          <w:sz w:val="24"/>
          <w:szCs w:val="24"/>
        </w:rPr>
        <w:t xml:space="preserve">release, T </w:t>
      </w:r>
      <w:r w:rsidRPr="00FB5CEB">
        <w:rPr>
          <w:rFonts w:ascii="Book Antiqua" w:hAnsi="Book Antiqua" w:cs="Arial"/>
          <w:sz w:val="24"/>
          <w:szCs w:val="24"/>
        </w:rPr>
        <w:t xml:space="preserve">cell activation </w:t>
      </w:r>
      <w:r w:rsidRPr="00FB5CEB">
        <w:rPr>
          <w:rFonts w:ascii="Book Antiqua" w:hAnsi="Book Antiqua" w:cs="Arial"/>
          <w:sz w:val="24"/>
          <w:szCs w:val="24"/>
        </w:rPr>
        <w:lastRenderedPageBreak/>
        <w:t>and homing to target organs whe</w:t>
      </w:r>
      <w:r w:rsidR="00B344C0" w:rsidRPr="00FB5CEB">
        <w:rPr>
          <w:rFonts w:ascii="Book Antiqua" w:hAnsi="Book Antiqua" w:cs="Arial"/>
          <w:sz w:val="24"/>
          <w:szCs w:val="24"/>
        </w:rPr>
        <w:t xml:space="preserve">re tissue destruction occurs through the action of </w:t>
      </w:r>
      <w:r w:rsidRPr="00FB5CEB">
        <w:rPr>
          <w:rFonts w:ascii="Book Antiqua" w:hAnsi="Book Antiqua" w:cs="Arial"/>
          <w:sz w:val="24"/>
          <w:szCs w:val="24"/>
        </w:rPr>
        <w:t>PBMCs and their associated cytokines.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However, in humans the preparative regimen is only one factor involved in GVHD initiation, and its influence may be diminished in patients who now receive reduced-intensity conditioning prior to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>-</w:t>
      </w:r>
      <w:proofErr w:type="gramStart"/>
      <w:r w:rsidRPr="00FB5CEB">
        <w:rPr>
          <w:rFonts w:ascii="Book Antiqua" w:hAnsi="Book Antiqua" w:cs="Arial"/>
          <w:sz w:val="24"/>
          <w:szCs w:val="24"/>
        </w:rPr>
        <w:t>HSCT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8]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Some recently described animal models exhibit systemic disease with multi-organ involvement including the lung, which appears to more closely resemble human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6970A2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Despite some weaknesses, animal models will undoubtedly continue to provide insight into specific aspects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pathobiology and will be essential for preclinical testing of new therapies for acute and chronic GVHD. 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7B3B33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t>C</w:t>
      </w:r>
      <w:r w:rsidR="007B3B33" w:rsidRPr="00FB5CEB">
        <w:rPr>
          <w:rFonts w:ascii="Book Antiqua" w:hAnsi="Book Antiqua" w:cs="Arial"/>
          <w:b/>
          <w:sz w:val="24"/>
          <w:szCs w:val="24"/>
        </w:rPr>
        <w:t>HRONIC GVHD BIOMARKERS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 xml:space="preserve">An emerging area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research involves the discovery and validation of biomarkers that might eventually be used in clinical diagnosis or treatment planning.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To date, most studies have focused on protein and immune cell biomarkers, even though RNAs (including mRNAs and micro RNAs) might also have utility as disease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biomarkers</w:t>
      </w:r>
      <w:r w:rsidR="00030CD6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030CD6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C340EA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030CD6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As defined at the first meeting of the NIH </w:t>
      </w:r>
      <w:r w:rsidR="00B82536" w:rsidRPr="00FB5CEB">
        <w:rPr>
          <w:rFonts w:ascii="Book Antiqua" w:hAnsi="Book Antiqua" w:cs="Arial"/>
          <w:sz w:val="24"/>
          <w:szCs w:val="24"/>
        </w:rPr>
        <w:t>B</w:t>
      </w:r>
      <w:r w:rsidRPr="00FB5CEB">
        <w:rPr>
          <w:rFonts w:ascii="Book Antiqua" w:hAnsi="Book Antiqua" w:cs="Arial"/>
          <w:sz w:val="24"/>
          <w:szCs w:val="24"/>
        </w:rPr>
        <w:t xml:space="preserve">iomarker </w:t>
      </w:r>
      <w:r w:rsidR="00B82536" w:rsidRPr="00FB5CEB">
        <w:rPr>
          <w:rFonts w:ascii="Book Antiqua" w:hAnsi="Book Antiqua" w:cs="Arial"/>
          <w:sz w:val="24"/>
          <w:szCs w:val="24"/>
        </w:rPr>
        <w:t>Working G</w:t>
      </w:r>
      <w:r w:rsidRPr="00FB5CEB">
        <w:rPr>
          <w:rFonts w:ascii="Book Antiqua" w:hAnsi="Book Antiqua" w:cs="Arial"/>
          <w:sz w:val="24"/>
          <w:szCs w:val="24"/>
        </w:rPr>
        <w:t xml:space="preserve">roup in 2006,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biomarkers could be used in disease man</w:t>
      </w:r>
      <w:r w:rsidR="00C340EA">
        <w:rPr>
          <w:rFonts w:ascii="Book Antiqua" w:hAnsi="Book Antiqua" w:cs="Arial"/>
          <w:sz w:val="24"/>
          <w:szCs w:val="24"/>
        </w:rPr>
        <w:t>agement or clinical trials to (</w:t>
      </w:r>
      <w:r w:rsidR="00C340EA">
        <w:rPr>
          <w:rFonts w:ascii="Book Antiqua" w:hAnsi="Book Antiqua" w:cs="Arial" w:hint="eastAsia"/>
          <w:sz w:val="24"/>
          <w:szCs w:val="24"/>
          <w:lang w:eastAsia="zh-CN"/>
        </w:rPr>
        <w:t>1</w:t>
      </w:r>
      <w:r w:rsidRPr="00FB5CEB">
        <w:rPr>
          <w:rFonts w:ascii="Book Antiqua" w:hAnsi="Book Antiqua" w:cs="Arial"/>
          <w:sz w:val="24"/>
          <w:szCs w:val="24"/>
        </w:rPr>
        <w:t>) predict response to therapy</w:t>
      </w:r>
      <w:r w:rsidR="00C340EA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C340EA">
        <w:rPr>
          <w:rFonts w:ascii="Book Antiqua" w:hAnsi="Book Antiqua" w:cs="Arial"/>
          <w:sz w:val="24"/>
          <w:szCs w:val="24"/>
        </w:rPr>
        <w:t xml:space="preserve"> (</w:t>
      </w:r>
      <w:r w:rsidR="00C340EA">
        <w:rPr>
          <w:rFonts w:ascii="Book Antiqua" w:hAnsi="Book Antiqua" w:cs="Arial" w:hint="eastAsia"/>
          <w:sz w:val="24"/>
          <w:szCs w:val="24"/>
          <w:lang w:eastAsia="zh-CN"/>
        </w:rPr>
        <w:t>2</w:t>
      </w:r>
      <w:r w:rsidRPr="00FB5CEB">
        <w:rPr>
          <w:rFonts w:ascii="Book Antiqua" w:hAnsi="Book Antiqua" w:cs="Arial"/>
          <w:sz w:val="24"/>
          <w:szCs w:val="24"/>
        </w:rPr>
        <w:t>) measure disease activity</w:t>
      </w:r>
      <w:r w:rsidR="00C340EA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C340EA">
        <w:rPr>
          <w:rFonts w:ascii="Book Antiqua" w:hAnsi="Book Antiqua" w:cs="Arial"/>
          <w:sz w:val="24"/>
          <w:szCs w:val="24"/>
        </w:rPr>
        <w:t xml:space="preserve"> (</w:t>
      </w:r>
      <w:r w:rsidR="00C340EA">
        <w:rPr>
          <w:rFonts w:ascii="Book Antiqua" w:hAnsi="Book Antiqua" w:cs="Arial" w:hint="eastAsia"/>
          <w:sz w:val="24"/>
          <w:szCs w:val="24"/>
          <w:lang w:eastAsia="zh-CN"/>
        </w:rPr>
        <w:t>3</w:t>
      </w:r>
      <w:r w:rsidRPr="00FB5CEB">
        <w:rPr>
          <w:rFonts w:ascii="Book Antiqua" w:hAnsi="Book Antiqua" w:cs="Arial"/>
          <w:sz w:val="24"/>
          <w:szCs w:val="24"/>
        </w:rPr>
        <w:t>) predi</w:t>
      </w:r>
      <w:r w:rsidR="00C340EA">
        <w:rPr>
          <w:rFonts w:ascii="Book Antiqua" w:hAnsi="Book Antiqua" w:cs="Arial"/>
          <w:sz w:val="24"/>
          <w:szCs w:val="24"/>
        </w:rPr>
        <w:t xml:space="preserve">ct the risk of developing </w:t>
      </w:r>
      <w:proofErr w:type="spellStart"/>
      <w:r w:rsidR="00C340EA">
        <w:rPr>
          <w:rFonts w:ascii="Book Antiqua" w:hAnsi="Book Antiqua" w:cs="Arial"/>
          <w:sz w:val="24"/>
          <w:szCs w:val="24"/>
        </w:rPr>
        <w:t>cGVHD</w:t>
      </w:r>
      <w:proofErr w:type="spellEnd"/>
      <w:r w:rsidR="00C340EA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C340EA">
        <w:rPr>
          <w:rFonts w:ascii="Book Antiqua" w:hAnsi="Book Antiqua" w:cs="Arial"/>
          <w:sz w:val="24"/>
          <w:szCs w:val="24"/>
        </w:rPr>
        <w:t xml:space="preserve"> (</w:t>
      </w:r>
      <w:r w:rsidR="00C340EA">
        <w:rPr>
          <w:rFonts w:ascii="Book Antiqua" w:hAnsi="Book Antiqua" w:cs="Arial" w:hint="eastAsia"/>
          <w:sz w:val="24"/>
          <w:szCs w:val="24"/>
          <w:lang w:eastAsia="zh-CN"/>
        </w:rPr>
        <w:t>4</w:t>
      </w:r>
      <w:r w:rsidRPr="00FB5CEB">
        <w:rPr>
          <w:rFonts w:ascii="Book Antiqua" w:hAnsi="Book Antiqua" w:cs="Arial"/>
          <w:sz w:val="24"/>
          <w:szCs w:val="24"/>
        </w:rPr>
        <w:t xml:space="preserve">) diagnose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or predict prognosis</w:t>
      </w:r>
      <w:r w:rsidR="008B4AF5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8B4AF5">
        <w:rPr>
          <w:rFonts w:ascii="Book Antiqua" w:hAnsi="Book Antiqua" w:cs="Arial"/>
          <w:sz w:val="24"/>
          <w:szCs w:val="24"/>
        </w:rPr>
        <w:t xml:space="preserve"> and (</w:t>
      </w:r>
      <w:r w:rsidR="008B4AF5">
        <w:rPr>
          <w:rFonts w:ascii="Book Antiqua" w:hAnsi="Book Antiqua" w:cs="Arial" w:hint="eastAsia"/>
          <w:sz w:val="24"/>
          <w:szCs w:val="24"/>
          <w:lang w:eastAsia="zh-CN"/>
        </w:rPr>
        <w:t>5</w:t>
      </w:r>
      <w:r w:rsidRPr="00FB5CEB">
        <w:rPr>
          <w:rFonts w:ascii="Book Antiqua" w:hAnsi="Book Antiqua" w:cs="Arial"/>
          <w:sz w:val="24"/>
          <w:szCs w:val="24"/>
        </w:rPr>
        <w:t xml:space="preserve">) serve </w:t>
      </w:r>
      <w:r w:rsidR="002E76AE" w:rsidRPr="00FB5CEB">
        <w:rPr>
          <w:rFonts w:ascii="Book Antiqua" w:hAnsi="Book Antiqua" w:cs="Arial"/>
          <w:sz w:val="24"/>
          <w:szCs w:val="24"/>
        </w:rPr>
        <w:t xml:space="preserve">as </w:t>
      </w:r>
      <w:r w:rsidRPr="00FB5CEB">
        <w:rPr>
          <w:rFonts w:ascii="Book Antiqua" w:hAnsi="Book Antiqua" w:cs="Arial"/>
          <w:sz w:val="24"/>
          <w:szCs w:val="24"/>
        </w:rPr>
        <w:t xml:space="preserve">a surrogate end point for therapeutic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response</w:t>
      </w:r>
      <w:r w:rsidR="002E76AE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E76AE"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2E76AE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</w:p>
    <w:p w:rsidR="00DA6254" w:rsidRDefault="00DA6254" w:rsidP="00BA195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To date, researchers have utilized mass spectrometry-based discovery approaches as well as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Luminex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and antibody arrays to screen clinical samples for potential serum and saliva protein biomarkers.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Biomarkers identified to date can be broadly divided into proteins that function as cytokines and chemokines, immune (</w:t>
      </w:r>
      <w:r w:rsidR="004146D3" w:rsidRPr="004146D3">
        <w:rPr>
          <w:rFonts w:ascii="Book Antiqua" w:hAnsi="Book Antiqua" w:cs="Arial"/>
          <w:i/>
          <w:sz w:val="24"/>
          <w:szCs w:val="24"/>
        </w:rPr>
        <w:t>e.g.</w:t>
      </w:r>
      <w:r w:rsidR="004146D3" w:rsidRPr="004146D3">
        <w:rPr>
          <w:rFonts w:ascii="Book Antiqua" w:hAnsi="Book Antiqua" w:cs="Arial" w:hint="eastAsia"/>
          <w:i/>
          <w:sz w:val="24"/>
          <w:szCs w:val="24"/>
          <w:lang w:eastAsia="zh-CN"/>
        </w:rPr>
        <w:t>,</w:t>
      </w:r>
      <w:r w:rsidRPr="00FB5CEB">
        <w:rPr>
          <w:rFonts w:ascii="Book Antiqua" w:hAnsi="Book Antiqua" w:cs="Arial"/>
          <w:sz w:val="24"/>
          <w:szCs w:val="24"/>
        </w:rPr>
        <w:t xml:space="preserve"> cytokine) receptors and other types of imm</w:t>
      </w:r>
      <w:r w:rsidR="003D197C">
        <w:rPr>
          <w:rFonts w:ascii="Book Antiqua" w:hAnsi="Book Antiqua" w:cs="Arial"/>
          <w:sz w:val="24"/>
          <w:szCs w:val="24"/>
        </w:rPr>
        <w:t>une or non-immune proteins (</w:t>
      </w:r>
      <w:proofErr w:type="spellStart"/>
      <w:r w:rsidR="00623596" w:rsidRPr="00FB5CEB">
        <w:rPr>
          <w:rFonts w:ascii="Book Antiqua" w:hAnsi="Book Antiqua" w:cs="Arial"/>
          <w:sz w:val="24"/>
          <w:szCs w:val="24"/>
        </w:rPr>
        <w:t>Paczesny</w:t>
      </w:r>
      <w:proofErr w:type="spellEnd"/>
      <w:r w:rsidR="00623596" w:rsidRPr="00FB5CEB">
        <w:rPr>
          <w:rFonts w:ascii="Book Antiqua" w:hAnsi="Book Antiqua" w:cs="Arial"/>
          <w:sz w:val="24"/>
          <w:szCs w:val="24"/>
        </w:rPr>
        <w:t xml:space="preserve"> </w:t>
      </w:r>
      <w:r w:rsidR="003D197C">
        <w:rPr>
          <w:rFonts w:ascii="Book Antiqua" w:hAnsi="Book Antiqua" w:cs="Arial"/>
          <w:i/>
          <w:sz w:val="24"/>
          <w:szCs w:val="24"/>
        </w:rPr>
        <w:t>et al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[7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 xml:space="preserve"> for a recent review).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Identified serum biomarkers that migh</w:t>
      </w:r>
      <w:r w:rsidR="00052E1C" w:rsidRPr="00FB5CEB">
        <w:rPr>
          <w:rFonts w:ascii="Book Antiqua" w:hAnsi="Book Antiqua" w:cs="Arial"/>
          <w:sz w:val="24"/>
          <w:szCs w:val="24"/>
        </w:rPr>
        <w:t>t indicate overall disease (and/</w:t>
      </w:r>
      <w:r w:rsidRPr="00FB5CEB">
        <w:rPr>
          <w:rFonts w:ascii="Book Antiqua" w:hAnsi="Book Antiqua" w:cs="Arial"/>
          <w:sz w:val="24"/>
          <w:szCs w:val="24"/>
        </w:rPr>
        <w:t xml:space="preserve">or altered immune </w:t>
      </w:r>
      <w:r w:rsidR="00CB35A4" w:rsidRPr="00FB5CEB">
        <w:rPr>
          <w:rFonts w:ascii="Book Antiqua" w:hAnsi="Book Antiqua" w:cs="Arial"/>
          <w:sz w:val="24"/>
          <w:szCs w:val="24"/>
        </w:rPr>
        <w:t xml:space="preserve">cell) activity include B </w:t>
      </w:r>
      <w:r w:rsidRPr="00FB5CEB">
        <w:rPr>
          <w:rFonts w:ascii="Book Antiqua" w:hAnsi="Book Antiqua" w:cs="Arial"/>
          <w:sz w:val="24"/>
          <w:szCs w:val="24"/>
        </w:rPr>
        <w:t>cell activation factor (BAFF), MICA and anti-MICA antibodies, TNF-</w:t>
      </w:r>
      <w:r w:rsidR="00B344C0" w:rsidRPr="00FB5CEB">
        <w:rPr>
          <w:rFonts w:ascii="Symbol" w:hAnsi="Symbol" w:cs="Arial"/>
          <w:sz w:val="24"/>
          <w:szCs w:val="24"/>
        </w:rPr>
        <w:t></w:t>
      </w:r>
      <w:r w:rsidRPr="00FB5CEB">
        <w:rPr>
          <w:rFonts w:ascii="Book Antiqua" w:hAnsi="Book Antiqua" w:cs="Arial"/>
          <w:sz w:val="24"/>
          <w:szCs w:val="24"/>
        </w:rPr>
        <w:t>, IL-15 and Chemokine (C-X-C motif) ligand 9 (CXCL9).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Salivary biomarkers, associated mainly with oral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, include IL-1ra, cystatin B, </w:t>
      </w:r>
      <w:proofErr w:type="spellStart"/>
      <w:r w:rsidRPr="00FB5CEB">
        <w:rPr>
          <w:rFonts w:ascii="Book Antiqua" w:hAnsi="Book Antiqua" w:cs="Arial"/>
          <w:sz w:val="24"/>
          <w:szCs w:val="24"/>
        </w:rPr>
        <w:lastRenderedPageBreak/>
        <w:t>lactotransferrin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lactoperox</w:t>
      </w:r>
      <w:r w:rsidRPr="00ED4C71">
        <w:rPr>
          <w:rFonts w:ascii="Book Antiqua" w:hAnsi="Book Antiqua" w:cs="Arial"/>
          <w:sz w:val="24"/>
          <w:szCs w:val="24"/>
        </w:rPr>
        <w:t>idase</w:t>
      </w:r>
      <w:proofErr w:type="spellEnd"/>
      <w:r w:rsidR="00260027" w:rsidRPr="00ED4C71">
        <w:rPr>
          <w:rFonts w:ascii="Book Antiqua" w:hAnsi="Book Antiqua" w:cs="Arial"/>
          <w:sz w:val="24"/>
          <w:szCs w:val="24"/>
        </w:rPr>
        <w:t xml:space="preserve"> (Table 3)</w:t>
      </w:r>
      <w:r w:rsidRPr="00ED4C71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ED4C71">
        <w:rPr>
          <w:rFonts w:ascii="Book Antiqua" w:hAnsi="Book Antiqua" w:cs="Arial"/>
          <w:sz w:val="24"/>
          <w:szCs w:val="24"/>
        </w:rPr>
        <w:t xml:space="preserve">Cellular markers primarily comprise immune cell populations that are altered in </w:t>
      </w:r>
      <w:proofErr w:type="spellStart"/>
      <w:r w:rsidRPr="00ED4C71">
        <w:rPr>
          <w:rFonts w:ascii="Book Antiqua" w:hAnsi="Book Antiqua" w:cs="Arial"/>
          <w:sz w:val="24"/>
          <w:szCs w:val="24"/>
        </w:rPr>
        <w:t>cGVHD</w:t>
      </w:r>
      <w:proofErr w:type="spellEnd"/>
      <w:r w:rsidRPr="00ED4C71">
        <w:rPr>
          <w:rFonts w:ascii="Book Antiqua" w:hAnsi="Book Antiqua" w:cs="Arial"/>
          <w:sz w:val="24"/>
          <w:szCs w:val="24"/>
        </w:rPr>
        <w:t xml:space="preserve"> (Table 2). </w:t>
      </w:r>
    </w:p>
    <w:p w:rsidR="00E10362" w:rsidRPr="00FB5CEB" w:rsidRDefault="00E10362" w:rsidP="00BA195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1A0AAA" w:rsidRPr="001A0AAA" w:rsidRDefault="008569F1" w:rsidP="00BC0BD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1A0AAA">
        <w:rPr>
          <w:rFonts w:ascii="Book Antiqua" w:hAnsi="Book Antiqua" w:cs="Arial"/>
          <w:b/>
          <w:i/>
          <w:sz w:val="24"/>
          <w:szCs w:val="24"/>
        </w:rPr>
        <w:t>S</w:t>
      </w:r>
      <w:r w:rsidR="00DA6254" w:rsidRPr="001A0AAA">
        <w:rPr>
          <w:rFonts w:ascii="Book Antiqua" w:hAnsi="Book Antiqua" w:cs="Arial"/>
          <w:b/>
          <w:i/>
          <w:sz w:val="24"/>
          <w:szCs w:val="24"/>
        </w:rPr>
        <w:t>erum biomarkers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 xml:space="preserve">Chronic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onset and/or persistence is associated with increased levels of TNF-</w:t>
      </w:r>
      <w:r w:rsidR="00260027" w:rsidRPr="00FB5CEB">
        <w:rPr>
          <w:rFonts w:ascii="Symbol" w:hAnsi="Symbol" w:cs="Arial"/>
          <w:sz w:val="24"/>
          <w:szCs w:val="24"/>
        </w:rPr>
        <w:t></w:t>
      </w:r>
      <w:r w:rsidRPr="00FB5CEB">
        <w:rPr>
          <w:rFonts w:ascii="Book Antiqua" w:hAnsi="Book Antiqua" w:cs="Arial"/>
          <w:sz w:val="24"/>
          <w:szCs w:val="24"/>
        </w:rPr>
        <w:t>, BAFF, IL-6, sIL-2R (soluble</w:t>
      </w:r>
      <w:r w:rsidRPr="00E10362">
        <w:rPr>
          <w:rFonts w:ascii="Book Antiqua" w:hAnsi="Book Antiqua" w:cs="Arial"/>
          <w:sz w:val="24"/>
          <w:szCs w:val="24"/>
        </w:rPr>
        <w:t xml:space="preserve"> IL-2 receptor alpha), and IL-10, and decreased levels of TGF-</w:t>
      </w:r>
      <w:r w:rsidR="00260027" w:rsidRPr="00E10362">
        <w:rPr>
          <w:rFonts w:ascii="Symbol" w:hAnsi="Symbol" w:cs="Arial"/>
          <w:sz w:val="24"/>
          <w:szCs w:val="24"/>
        </w:rPr>
        <w:t></w:t>
      </w:r>
      <w:r w:rsidRPr="00E10362">
        <w:rPr>
          <w:rFonts w:ascii="Book Antiqua" w:hAnsi="Book Antiqua" w:cs="Arial"/>
          <w:sz w:val="24"/>
          <w:szCs w:val="24"/>
        </w:rPr>
        <w:t xml:space="preserve"> and IL-15 (Table 3).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E10362">
        <w:rPr>
          <w:rFonts w:ascii="Book Antiqua" w:hAnsi="Book Antiqua" w:cs="Arial"/>
          <w:sz w:val="24"/>
          <w:szCs w:val="24"/>
        </w:rPr>
        <w:t>Several studies have reported elevated levels of the pro-inflammatory cytokine TNF-</w:t>
      </w:r>
      <w:r w:rsidR="00260027" w:rsidRPr="00E10362">
        <w:rPr>
          <w:rFonts w:ascii="Symbol" w:hAnsi="Symbol" w:cs="Arial"/>
          <w:sz w:val="24"/>
          <w:szCs w:val="24"/>
        </w:rPr>
        <w:t></w:t>
      </w:r>
      <w:r w:rsidRPr="00E10362">
        <w:rPr>
          <w:rFonts w:ascii="Book Antiqua" w:hAnsi="Book Antiqua" w:cs="Arial"/>
          <w:sz w:val="24"/>
          <w:szCs w:val="24"/>
        </w:rPr>
        <w:t xml:space="preserve"> in acute</w:t>
      </w:r>
      <w:r w:rsidRPr="00FB5CEB">
        <w:rPr>
          <w:rFonts w:ascii="Book Antiqua" w:hAnsi="Book Antiqua" w:cs="Arial"/>
          <w:sz w:val="24"/>
          <w:szCs w:val="24"/>
        </w:rPr>
        <w:t xml:space="preserve"> and chronic GVHD, with measured levels correlating with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severity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-7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IL-6 shows a similar trend and correlation with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severity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B60D6B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Soluble IL-2 receptor alpha (sIL-2R</w:t>
      </w:r>
      <w:r w:rsidR="00260027" w:rsidRPr="00FB5CEB">
        <w:rPr>
          <w:rFonts w:ascii="Symbol" w:hAnsi="Symbol" w:cs="Arial"/>
          <w:sz w:val="24"/>
          <w:szCs w:val="24"/>
        </w:rPr>
        <w:t></w:t>
      </w:r>
      <w:r w:rsidRPr="00FB5CEB">
        <w:rPr>
          <w:rFonts w:ascii="Book Antiqua" w:hAnsi="Book Antiqua" w:cs="Arial"/>
          <w:sz w:val="24"/>
          <w:szCs w:val="24"/>
        </w:rPr>
        <w:t xml:space="preserve">) is another example of a serum marker that is increased in pediatric and adult patients with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6E7291" w:rsidRPr="00FB5CEB">
        <w:rPr>
          <w:rFonts w:ascii="Book Antiqua" w:hAnsi="Book Antiqua" w:cs="Arial"/>
          <w:sz w:val="24"/>
          <w:szCs w:val="24"/>
          <w:vertAlign w:val="superscript"/>
        </w:rPr>
        <w:t>59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6E7291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BAFF, </w:t>
      </w:r>
      <w:r w:rsidR="00052E1C" w:rsidRPr="00FB5CEB">
        <w:rPr>
          <w:rFonts w:ascii="Book Antiqua" w:hAnsi="Book Antiqua" w:cs="Arial"/>
          <w:sz w:val="24"/>
          <w:szCs w:val="24"/>
        </w:rPr>
        <w:t xml:space="preserve">a growth factor that promotes B </w:t>
      </w:r>
      <w:r w:rsidRPr="00FB5CEB">
        <w:rPr>
          <w:rFonts w:ascii="Book Antiqua" w:hAnsi="Book Antiqua" w:cs="Arial"/>
          <w:sz w:val="24"/>
          <w:szCs w:val="24"/>
        </w:rPr>
        <w:t xml:space="preserve">cell differentiation and immunoglobulin production, is increased in both pediatric and adult patients with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; levels of this growth factor are often reported relative to the number of B cells in blood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samples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6E7291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,</w:t>
      </w:r>
      <w:r w:rsidR="006E7291" w:rsidRPr="00FB5CEB">
        <w:rPr>
          <w:rFonts w:ascii="Book Antiqua" w:hAnsi="Book Antiqua" w:cs="Arial"/>
          <w:sz w:val="24"/>
          <w:szCs w:val="24"/>
          <w:vertAlign w:val="superscript"/>
        </w:rPr>
        <w:t>59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,6</w:t>
      </w:r>
      <w:r w:rsidR="006E7291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6E7291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High levels of BAFF protein were present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 patients who subsequently developed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, confirming its role in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alloimmunity</w:t>
      </w:r>
      <w:proofErr w:type="spellEnd"/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6E7291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CXCL9 levels are </w:t>
      </w:r>
      <w:r w:rsidR="000C011C" w:rsidRPr="00FB5CEB">
        <w:rPr>
          <w:rFonts w:ascii="Book Antiqua" w:hAnsi="Book Antiqua" w:cs="Arial"/>
          <w:sz w:val="24"/>
          <w:szCs w:val="24"/>
        </w:rPr>
        <w:t xml:space="preserve">also </w:t>
      </w:r>
      <w:r w:rsidRPr="00FB5CEB">
        <w:rPr>
          <w:rFonts w:ascii="Book Antiqua" w:hAnsi="Book Antiqua" w:cs="Arial"/>
          <w:sz w:val="24"/>
          <w:szCs w:val="24"/>
        </w:rPr>
        <w:t xml:space="preserve">elevated in newly diagnosed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 and were correlated with disease severity in three different cohorts studied </w:t>
      </w:r>
      <w:r w:rsidR="006E7291" w:rsidRPr="00FB5CEB">
        <w:rPr>
          <w:rFonts w:ascii="Book Antiqua" w:hAnsi="Book Antiqua" w:cs="Arial"/>
          <w:sz w:val="24"/>
          <w:szCs w:val="24"/>
        </w:rPr>
        <w:t xml:space="preserve">at </w:t>
      </w:r>
      <w:r w:rsidRPr="00FB5CEB">
        <w:rPr>
          <w:rFonts w:ascii="Book Antiqua" w:hAnsi="Book Antiqua" w:cs="Arial"/>
          <w:sz w:val="24"/>
          <w:szCs w:val="24"/>
        </w:rPr>
        <w:t xml:space="preserve">two transplant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centers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6E7291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</w:p>
    <w:p w:rsidR="00DA6254" w:rsidRPr="000C6BFE" w:rsidRDefault="00DA6254" w:rsidP="000C6BFE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 xml:space="preserve">Other markers besides BAFF </w:t>
      </w:r>
      <w:r w:rsidR="006E7291" w:rsidRPr="00FB5CEB">
        <w:rPr>
          <w:rFonts w:ascii="Book Antiqua" w:hAnsi="Book Antiqua" w:cs="Arial"/>
          <w:sz w:val="24"/>
          <w:szCs w:val="24"/>
        </w:rPr>
        <w:t xml:space="preserve">and CXCL9 </w:t>
      </w:r>
      <w:r w:rsidRPr="00FB5CEB">
        <w:rPr>
          <w:rFonts w:ascii="Book Antiqua" w:hAnsi="Book Antiqua" w:cs="Arial"/>
          <w:sz w:val="24"/>
          <w:szCs w:val="24"/>
        </w:rPr>
        <w:t xml:space="preserve">have been shown to have potential predictive value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>-HSCT patients for determining future disease.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For example, </w:t>
      </w:r>
      <w:r w:rsidR="00530621" w:rsidRPr="00FB5CEB">
        <w:rPr>
          <w:rFonts w:ascii="Book Antiqua" w:hAnsi="Book Antiqua" w:cs="Arial"/>
          <w:sz w:val="24"/>
          <w:szCs w:val="24"/>
        </w:rPr>
        <w:t xml:space="preserve">elevated </w:t>
      </w:r>
      <w:r w:rsidRPr="00FB5CEB">
        <w:rPr>
          <w:rFonts w:ascii="Book Antiqua" w:hAnsi="Book Antiqua" w:cs="Arial"/>
          <w:sz w:val="24"/>
          <w:szCs w:val="24"/>
        </w:rPr>
        <w:t xml:space="preserve">levels </w:t>
      </w:r>
      <w:r w:rsidR="008569F1" w:rsidRPr="00FB5CEB">
        <w:rPr>
          <w:rFonts w:ascii="Book Antiqua" w:hAnsi="Book Antiqua" w:cs="Arial"/>
          <w:sz w:val="24"/>
          <w:szCs w:val="24"/>
        </w:rPr>
        <w:t xml:space="preserve">of soluble MICA protein </w:t>
      </w:r>
      <w:r w:rsidRPr="00FB5CEB">
        <w:rPr>
          <w:rFonts w:ascii="Book Antiqua" w:hAnsi="Book Antiqua" w:cs="Arial"/>
          <w:sz w:val="24"/>
          <w:szCs w:val="24"/>
        </w:rPr>
        <w:t>post-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 were associated with an increased risk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(</w:t>
      </w:r>
      <w:r w:rsidR="00235C1F" w:rsidRPr="00FB5CEB">
        <w:rPr>
          <w:rFonts w:ascii="Book Antiqua" w:hAnsi="Book Antiqua" w:cs="Arial"/>
          <w:sz w:val="24"/>
          <w:szCs w:val="24"/>
        </w:rPr>
        <w:t>b</w:t>
      </w:r>
      <w:r w:rsidRPr="00FB5CEB">
        <w:rPr>
          <w:rFonts w:ascii="Book Antiqua" w:hAnsi="Book Antiqua" w:cs="Arial"/>
          <w:sz w:val="24"/>
          <w:szCs w:val="24"/>
        </w:rPr>
        <w:t xml:space="preserve">y contrast, as stated above, the presence of MICA antibodies before transplantation conferred some protection from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>)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[3</w:t>
      </w:r>
      <w:r w:rsidR="006E7291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Similarly, Pratt and colleagues have shown that patients with low serum levels of IL-1</w:t>
      </w:r>
      <w:r w:rsidR="00595912">
        <w:rPr>
          <w:rFonts w:ascii="Book Antiqua" w:hAnsi="Book Antiqua" w:cs="Arial"/>
          <w:sz w:val="24"/>
          <w:szCs w:val="24"/>
        </w:rPr>
        <w:t xml:space="preserve">5 at day 7 post-transplant had </w:t>
      </w:r>
      <w:r w:rsidRPr="00FB5CEB">
        <w:rPr>
          <w:rFonts w:ascii="Book Antiqua" w:hAnsi="Book Antiqua" w:cs="Arial"/>
          <w:sz w:val="24"/>
          <w:szCs w:val="24"/>
        </w:rPr>
        <w:t xml:space="preserve">3-fold higher risk of developing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subsequently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IL-15 levels were observed to be </w:t>
      </w:r>
      <w:r w:rsidR="00052E1C" w:rsidRPr="00FB5CEB">
        <w:rPr>
          <w:rFonts w:ascii="Book Antiqua" w:hAnsi="Book Antiqua" w:cs="Arial"/>
          <w:sz w:val="24"/>
          <w:szCs w:val="24"/>
        </w:rPr>
        <w:t xml:space="preserve">inversely correlated with CD8 T </w:t>
      </w:r>
      <w:r w:rsidRPr="00FB5CEB">
        <w:rPr>
          <w:rFonts w:ascii="Book Antiqua" w:hAnsi="Book Antiqua" w:cs="Arial"/>
          <w:sz w:val="24"/>
          <w:szCs w:val="24"/>
        </w:rPr>
        <w:t xml:space="preserve">cell levels, which are important for the GVT effect but also influence the development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(see above). </w:t>
      </w:r>
    </w:p>
    <w:p w:rsidR="00DA6254" w:rsidRPr="00FB5CEB" w:rsidRDefault="00DA6254" w:rsidP="000C6BFE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>In addition to intrinsic, host-dependent (</w:t>
      </w:r>
      <w:r w:rsidR="004146D3" w:rsidRPr="004146D3">
        <w:rPr>
          <w:rFonts w:ascii="Book Antiqua" w:hAnsi="Book Antiqua" w:cs="Arial"/>
          <w:i/>
          <w:sz w:val="24"/>
          <w:szCs w:val="24"/>
        </w:rPr>
        <w:t>e.g.</w:t>
      </w:r>
      <w:r w:rsidR="004146D3" w:rsidRPr="004146D3">
        <w:rPr>
          <w:rFonts w:ascii="Book Antiqua" w:hAnsi="Book Antiqua" w:cs="Arial" w:hint="eastAsia"/>
          <w:i/>
          <w:sz w:val="24"/>
          <w:szCs w:val="24"/>
          <w:lang w:eastAsia="zh-CN"/>
        </w:rPr>
        <w:t>,</w:t>
      </w:r>
      <w:r w:rsidRPr="00FB5CEB">
        <w:rPr>
          <w:rFonts w:ascii="Book Antiqua" w:hAnsi="Book Antiqua" w:cs="Arial"/>
          <w:sz w:val="24"/>
          <w:szCs w:val="24"/>
        </w:rPr>
        <w:t xml:space="preserve"> immune) factors, the levels of biomarkers such as BAFF and CXCL9 can be modified by extrinsic factors including </w:t>
      </w:r>
      <w:r w:rsidRPr="00FB5CEB">
        <w:rPr>
          <w:rFonts w:ascii="Book Antiqua" w:hAnsi="Book Antiqua" w:cs="Arial"/>
          <w:sz w:val="24"/>
          <w:szCs w:val="24"/>
        </w:rPr>
        <w:lastRenderedPageBreak/>
        <w:t xml:space="preserve">immunosuppressive drugs such as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corticosteroids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1,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Hence, as recognized by </w:t>
      </w:r>
      <w:r w:rsidR="007422CA" w:rsidRPr="00FB5CEB">
        <w:rPr>
          <w:rFonts w:ascii="Book Antiqua" w:hAnsi="Book Antiqua" w:cs="Arial"/>
          <w:sz w:val="24"/>
          <w:szCs w:val="24"/>
        </w:rPr>
        <w:t xml:space="preserve">many </w:t>
      </w:r>
      <w:r w:rsidRPr="00FB5CEB">
        <w:rPr>
          <w:rFonts w:ascii="Book Antiqua" w:hAnsi="Book Antiqua" w:cs="Arial"/>
          <w:sz w:val="24"/>
          <w:szCs w:val="24"/>
        </w:rPr>
        <w:t>investigators, independent validation of promising biomarker candidates is essential.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CXCL9 was recently validated as a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biomarker in a multicenter U.S. study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-HSCT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patients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79</w:t>
      </w:r>
      <w:r w:rsidR="00052E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1A0AAA" w:rsidRDefault="008569F1" w:rsidP="00BC0BD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i/>
          <w:sz w:val="24"/>
          <w:szCs w:val="24"/>
        </w:rPr>
        <w:t>S</w:t>
      </w:r>
      <w:r w:rsidR="00DA6254" w:rsidRPr="00FB5CEB">
        <w:rPr>
          <w:rFonts w:ascii="Book Antiqua" w:hAnsi="Book Antiqua" w:cs="Arial"/>
          <w:b/>
          <w:i/>
          <w:sz w:val="24"/>
          <w:szCs w:val="24"/>
        </w:rPr>
        <w:t>alivary biomarkers</w:t>
      </w:r>
    </w:p>
    <w:p w:rsidR="00DA6254" w:rsidRPr="00FB5CEB" w:rsidRDefault="009464FF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>T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wo recent studies utilizing mass spectrometry approaches identified a total of 82 and 102 salivary proteins, respectively, that showed altered expression in oral </w:t>
      </w:r>
      <w:proofErr w:type="spellStart"/>
      <w:proofErr w:type="gramStart"/>
      <w:r w:rsidR="00DA6254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0,</w:t>
      </w:r>
      <w:r w:rsidR="00DA6254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. IL-1 receptor antagonist (IL-1ra) exhibited reduced expression in patients with oral </w:t>
      </w:r>
      <w:proofErr w:type="spellStart"/>
      <w:proofErr w:type="gramStart"/>
      <w:r w:rsidR="00DA6254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0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The changes in IL-1ra expression coupled with higher levels of IL-1 family </w:t>
      </w:r>
      <w:proofErr w:type="gramStart"/>
      <w:r w:rsidR="00DA6254" w:rsidRPr="00FB5CEB">
        <w:rPr>
          <w:rFonts w:ascii="Book Antiqua" w:hAnsi="Book Antiqua" w:cs="Arial"/>
          <w:sz w:val="24"/>
          <w:szCs w:val="24"/>
        </w:rPr>
        <w:t>cytokines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DA6254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 in saliva likely enhance oral inflammation and subsequent tissue damage.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In particular, IL-6 levels </w:t>
      </w:r>
      <w:r w:rsidR="008569F1" w:rsidRPr="00FB5CEB">
        <w:rPr>
          <w:rFonts w:ascii="Book Antiqua" w:hAnsi="Book Antiqua" w:cs="Arial"/>
          <w:sz w:val="24"/>
          <w:szCs w:val="24"/>
        </w:rPr>
        <w:t xml:space="preserve">have been 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shown to correlate with oral </w:t>
      </w:r>
      <w:proofErr w:type="spellStart"/>
      <w:r w:rsidR="00DA6254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DA6254" w:rsidRPr="00FB5CEB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DA6254" w:rsidRPr="00FB5CEB">
        <w:rPr>
          <w:rFonts w:ascii="Book Antiqua" w:hAnsi="Book Antiqua" w:cs="Arial"/>
          <w:sz w:val="24"/>
          <w:szCs w:val="24"/>
        </w:rPr>
        <w:t>severity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DA6254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Changes in expression of salivary </w:t>
      </w:r>
      <w:proofErr w:type="spellStart"/>
      <w:r w:rsidR="00DA6254" w:rsidRPr="00FB5CEB">
        <w:rPr>
          <w:rFonts w:ascii="Book Antiqua" w:hAnsi="Book Antiqua" w:cs="Arial"/>
          <w:sz w:val="24"/>
          <w:szCs w:val="24"/>
        </w:rPr>
        <w:t>lactoperoxidase</w:t>
      </w:r>
      <w:proofErr w:type="spellEnd"/>
      <w:r w:rsidR="00DA6254" w:rsidRPr="00FB5CEB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DA6254" w:rsidRPr="00FB5CEB">
        <w:rPr>
          <w:rFonts w:ascii="Book Antiqua" w:hAnsi="Book Antiqua" w:cs="Arial"/>
          <w:sz w:val="24"/>
          <w:szCs w:val="24"/>
        </w:rPr>
        <w:t>lactotransferr</w:t>
      </w:r>
      <w:r w:rsidR="00DA6254" w:rsidRPr="001A0AAA">
        <w:rPr>
          <w:rFonts w:ascii="Book Antiqua" w:hAnsi="Book Antiqua" w:cs="Arial"/>
          <w:sz w:val="24"/>
          <w:szCs w:val="24"/>
        </w:rPr>
        <w:t>in</w:t>
      </w:r>
      <w:proofErr w:type="spellEnd"/>
      <w:r w:rsidR="00DA6254" w:rsidRPr="001A0AAA">
        <w:rPr>
          <w:rFonts w:ascii="Book Antiqua" w:hAnsi="Book Antiqua" w:cs="Arial"/>
          <w:sz w:val="24"/>
          <w:szCs w:val="24"/>
        </w:rPr>
        <w:t xml:space="preserve"> have also been reported, indicative of impaired innate immunity in oral </w:t>
      </w:r>
      <w:proofErr w:type="spellStart"/>
      <w:proofErr w:type="gramStart"/>
      <w:r w:rsidR="00DA6254" w:rsidRPr="001A0AAA">
        <w:rPr>
          <w:rFonts w:ascii="Book Antiqua" w:hAnsi="Book Antiqua" w:cs="Arial"/>
          <w:sz w:val="24"/>
          <w:szCs w:val="24"/>
        </w:rPr>
        <w:t>cGVHD</w:t>
      </w:r>
      <w:proofErr w:type="spellEnd"/>
      <w:r w:rsidR="003C6D6A" w:rsidRPr="001A0AAA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C6D6A" w:rsidRPr="001A0AAA">
        <w:rPr>
          <w:rFonts w:ascii="Book Antiqua" w:hAnsi="Book Antiqua" w:cs="Arial"/>
          <w:sz w:val="24"/>
          <w:szCs w:val="24"/>
          <w:vertAlign w:val="superscript"/>
        </w:rPr>
        <w:t>8</w:t>
      </w:r>
      <w:r w:rsidR="00F23627" w:rsidRPr="001A0AAA">
        <w:rPr>
          <w:rFonts w:ascii="Book Antiqua" w:hAnsi="Book Antiqua" w:cs="Arial"/>
          <w:sz w:val="24"/>
          <w:szCs w:val="24"/>
          <w:vertAlign w:val="superscript"/>
        </w:rPr>
        <w:t>1</w:t>
      </w:r>
      <w:r w:rsidR="003C6D6A" w:rsidRPr="001A0AAA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1A0AAA">
        <w:rPr>
          <w:rFonts w:ascii="Book Antiqua" w:hAnsi="Book Antiqua" w:cs="Arial"/>
          <w:sz w:val="24"/>
          <w:szCs w:val="24"/>
        </w:rPr>
        <w:t xml:space="preserve"> (Table 3).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DA6254" w:rsidRPr="001A0AAA">
        <w:rPr>
          <w:rFonts w:ascii="Book Antiqua" w:hAnsi="Book Antiqua" w:cs="Arial"/>
          <w:sz w:val="24"/>
          <w:szCs w:val="24"/>
        </w:rPr>
        <w:t xml:space="preserve">The alterations in the salivary proteome </w:t>
      </w:r>
      <w:r w:rsidR="008569F1" w:rsidRPr="001A0AAA">
        <w:rPr>
          <w:rFonts w:ascii="Book Antiqua" w:hAnsi="Book Antiqua" w:cs="Arial"/>
          <w:sz w:val="24"/>
          <w:szCs w:val="24"/>
        </w:rPr>
        <w:t xml:space="preserve">among </w:t>
      </w:r>
      <w:r w:rsidR="00DA6254" w:rsidRPr="001A0AAA">
        <w:rPr>
          <w:rFonts w:ascii="Book Antiqua" w:hAnsi="Book Antiqua" w:cs="Arial"/>
          <w:sz w:val="24"/>
          <w:szCs w:val="24"/>
        </w:rPr>
        <w:t xml:space="preserve">proteins involved in innate and acquired immunity are consistent with the clinical features of oral </w:t>
      </w:r>
      <w:proofErr w:type="spellStart"/>
      <w:r w:rsidR="00DA6254" w:rsidRPr="001A0AAA">
        <w:rPr>
          <w:rFonts w:ascii="Book Antiqua" w:hAnsi="Book Antiqua" w:cs="Arial"/>
          <w:sz w:val="24"/>
          <w:szCs w:val="24"/>
        </w:rPr>
        <w:t>cGVHD</w:t>
      </w:r>
      <w:proofErr w:type="spellEnd"/>
      <w:r w:rsidR="00DA6254" w:rsidRPr="001A0AAA">
        <w:rPr>
          <w:rFonts w:ascii="Book Antiqua" w:hAnsi="Book Antiqua" w:cs="Arial"/>
          <w:sz w:val="24"/>
          <w:szCs w:val="24"/>
        </w:rPr>
        <w:t>, in particular patient susceptibility to bacterial and viral infections</w:t>
      </w:r>
      <w:r w:rsidR="003C6D6A" w:rsidRPr="001A0AAA">
        <w:rPr>
          <w:rFonts w:ascii="Book Antiqua" w:hAnsi="Book Antiqua" w:cs="Arial"/>
          <w:sz w:val="24"/>
          <w:szCs w:val="24"/>
          <w:vertAlign w:val="superscript"/>
        </w:rPr>
        <w:t>[4</w:t>
      </w:r>
      <w:r w:rsidR="00F23627" w:rsidRPr="001A0AAA">
        <w:rPr>
          <w:rFonts w:ascii="Book Antiqua" w:hAnsi="Book Antiqua" w:cs="Arial"/>
          <w:sz w:val="24"/>
          <w:szCs w:val="24"/>
          <w:vertAlign w:val="superscript"/>
        </w:rPr>
        <w:t>,18</w:t>
      </w:r>
      <w:r w:rsidR="003C6D6A" w:rsidRPr="001A0AAA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1A0AAA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DA6254" w:rsidRPr="001A0AAA">
        <w:rPr>
          <w:rFonts w:ascii="Book Antiqua" w:hAnsi="Book Antiqua" w:cs="Arial"/>
          <w:sz w:val="24"/>
          <w:szCs w:val="24"/>
        </w:rPr>
        <w:t xml:space="preserve">Changes in inorganic salivary components, </w:t>
      </w:r>
      <w:r w:rsidR="003C6D6A" w:rsidRPr="001A0AAA">
        <w:rPr>
          <w:rFonts w:ascii="Book Antiqua" w:hAnsi="Book Antiqua" w:cs="Arial"/>
          <w:sz w:val="24"/>
          <w:szCs w:val="24"/>
        </w:rPr>
        <w:t xml:space="preserve">especially </w:t>
      </w:r>
      <w:r w:rsidR="00DA6254" w:rsidRPr="001A0AAA">
        <w:rPr>
          <w:rFonts w:ascii="Book Antiqua" w:hAnsi="Book Antiqua" w:cs="Arial"/>
          <w:sz w:val="24"/>
          <w:szCs w:val="24"/>
        </w:rPr>
        <w:t>Na</w:t>
      </w:r>
      <w:r w:rsidR="00DA6254" w:rsidRPr="001A0AAA">
        <w:rPr>
          <w:rFonts w:ascii="Book Antiqua" w:hAnsi="Book Antiqua" w:cs="Arial"/>
          <w:sz w:val="24"/>
          <w:szCs w:val="24"/>
          <w:vertAlign w:val="superscript"/>
        </w:rPr>
        <w:t>+</w:t>
      </w:r>
      <w:r w:rsidR="00DA6254" w:rsidRPr="001A0AAA">
        <w:rPr>
          <w:rFonts w:ascii="Book Antiqua" w:hAnsi="Book Antiqua" w:cs="Arial"/>
          <w:sz w:val="24"/>
          <w:szCs w:val="24"/>
        </w:rPr>
        <w:t xml:space="preserve"> and Cl</w:t>
      </w:r>
      <w:r w:rsidR="00DA6254" w:rsidRPr="001A0AAA">
        <w:rPr>
          <w:rFonts w:ascii="Book Antiqua" w:hAnsi="Book Antiqua" w:cs="Arial"/>
          <w:sz w:val="24"/>
          <w:szCs w:val="24"/>
          <w:vertAlign w:val="superscript"/>
        </w:rPr>
        <w:t>-</w:t>
      </w:r>
      <w:r w:rsidR="00DA6254" w:rsidRPr="001A0AAA">
        <w:rPr>
          <w:rFonts w:ascii="Book Antiqua" w:hAnsi="Book Antiqua" w:cs="Arial"/>
          <w:sz w:val="24"/>
          <w:szCs w:val="24"/>
        </w:rPr>
        <w:t xml:space="preserve"> ions and inorganic phosphate, also occur in concert with </w:t>
      </w:r>
      <w:proofErr w:type="spellStart"/>
      <w:r w:rsidR="00DA6254" w:rsidRPr="001A0AAA">
        <w:rPr>
          <w:rFonts w:ascii="Book Antiqua" w:hAnsi="Book Antiqua" w:cs="Arial"/>
          <w:sz w:val="24"/>
          <w:szCs w:val="24"/>
        </w:rPr>
        <w:t>cGVHD</w:t>
      </w:r>
      <w:proofErr w:type="spellEnd"/>
      <w:r w:rsidR="00DA6254" w:rsidRPr="001A0AAA">
        <w:rPr>
          <w:rFonts w:ascii="Book Antiqua" w:hAnsi="Book Antiqua" w:cs="Arial"/>
          <w:sz w:val="24"/>
          <w:szCs w:val="24"/>
        </w:rPr>
        <w:t xml:space="preserve"> onset</w:t>
      </w:r>
      <w:r w:rsidR="008569F1" w:rsidRPr="001A0AAA">
        <w:rPr>
          <w:rFonts w:ascii="Book Antiqua" w:hAnsi="Book Antiqua" w:cs="Arial"/>
          <w:sz w:val="24"/>
          <w:szCs w:val="24"/>
        </w:rPr>
        <w:t>,</w:t>
      </w:r>
      <w:r w:rsidR="00DA6254" w:rsidRPr="001A0AAA">
        <w:rPr>
          <w:rFonts w:ascii="Book Antiqua" w:hAnsi="Book Antiqua" w:cs="Arial"/>
          <w:sz w:val="24"/>
          <w:szCs w:val="24"/>
        </w:rPr>
        <w:t xml:space="preserve"> correlating with </w:t>
      </w:r>
      <w:proofErr w:type="spellStart"/>
      <w:r w:rsidR="00DA6254" w:rsidRPr="001A0AAA">
        <w:rPr>
          <w:rFonts w:ascii="Book Antiqua" w:hAnsi="Book Antiqua" w:cs="Arial"/>
          <w:sz w:val="24"/>
          <w:szCs w:val="24"/>
        </w:rPr>
        <w:t>hyposalivation</w:t>
      </w:r>
      <w:proofErr w:type="spellEnd"/>
      <w:r w:rsidR="00DA6254" w:rsidRPr="001A0AAA">
        <w:rPr>
          <w:rFonts w:ascii="Book Antiqua" w:hAnsi="Book Antiqua" w:cs="Arial"/>
          <w:sz w:val="24"/>
          <w:szCs w:val="24"/>
        </w:rPr>
        <w:t xml:space="preserve"> and damage to the sa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livary </w:t>
      </w:r>
      <w:proofErr w:type="gramStart"/>
      <w:r w:rsidR="00DA6254" w:rsidRPr="00FB5CEB">
        <w:rPr>
          <w:rFonts w:ascii="Book Antiqua" w:hAnsi="Book Antiqua" w:cs="Arial"/>
          <w:sz w:val="24"/>
          <w:szCs w:val="24"/>
        </w:rPr>
        <w:t>glands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1A0AAA">
        <w:rPr>
          <w:rFonts w:ascii="Book Antiqua" w:hAnsi="Book Antiqua" w:cs="Arial"/>
          <w:sz w:val="24"/>
          <w:szCs w:val="24"/>
          <w:vertAlign w:val="superscript"/>
        </w:rPr>
        <w:t>,</w:t>
      </w:r>
      <w:r w:rsidR="00DA6254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. </w:t>
      </w:r>
    </w:p>
    <w:p w:rsidR="001A0AAA" w:rsidRDefault="00CB35A4" w:rsidP="00BC0BD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i/>
          <w:sz w:val="24"/>
          <w:szCs w:val="24"/>
        </w:rPr>
        <w:t xml:space="preserve">Other </w:t>
      </w:r>
      <w:proofErr w:type="spellStart"/>
      <w:r w:rsidRPr="00FB5CEB">
        <w:rPr>
          <w:rFonts w:ascii="Book Antiqua" w:hAnsi="Book Antiqua" w:cs="Arial"/>
          <w:b/>
          <w:i/>
          <w:sz w:val="24"/>
          <w:szCs w:val="24"/>
        </w:rPr>
        <w:t>biofluids</w:t>
      </w:r>
      <w:proofErr w:type="spellEnd"/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>Certain Th2 and Th17 cytokines, in particular IL-6, IL-10, IL-17A and TNF-</w:t>
      </w:r>
      <w:r w:rsidR="008569F1" w:rsidRPr="00FB5CEB">
        <w:rPr>
          <w:rFonts w:ascii="Symbol" w:hAnsi="Symbol" w:cs="Arial"/>
          <w:sz w:val="24"/>
          <w:szCs w:val="24"/>
        </w:rPr>
        <w:t></w:t>
      </w:r>
      <w:r w:rsidRPr="00FB5CEB">
        <w:rPr>
          <w:rFonts w:ascii="Book Antiqua" w:hAnsi="Book Antiqua" w:cs="Arial"/>
          <w:sz w:val="24"/>
          <w:szCs w:val="24"/>
        </w:rPr>
        <w:t xml:space="preserve"> </w:t>
      </w:r>
      <w:r w:rsidR="008569F1" w:rsidRPr="00FB5CEB">
        <w:rPr>
          <w:rFonts w:ascii="Book Antiqua" w:hAnsi="Book Antiqua" w:cs="Arial"/>
          <w:sz w:val="24"/>
          <w:szCs w:val="24"/>
        </w:rPr>
        <w:t xml:space="preserve">are </w:t>
      </w:r>
      <w:r w:rsidRPr="00FB5CEB">
        <w:rPr>
          <w:rFonts w:ascii="Book Antiqua" w:hAnsi="Book Antiqua" w:cs="Arial"/>
          <w:sz w:val="24"/>
          <w:szCs w:val="24"/>
        </w:rPr>
        <w:t xml:space="preserve">elevated in </w:t>
      </w:r>
      <w:r w:rsidR="008569F1" w:rsidRPr="00FB5CEB">
        <w:rPr>
          <w:rFonts w:ascii="Book Antiqua" w:hAnsi="Book Antiqua" w:cs="Arial"/>
          <w:sz w:val="24"/>
          <w:szCs w:val="24"/>
        </w:rPr>
        <w:t xml:space="preserve">the </w:t>
      </w:r>
      <w:r w:rsidRPr="00FB5CEB">
        <w:rPr>
          <w:rFonts w:ascii="Book Antiqua" w:hAnsi="Book Antiqua" w:cs="Arial"/>
          <w:sz w:val="24"/>
          <w:szCs w:val="24"/>
        </w:rPr>
        <w:t xml:space="preserve">tear fluid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 and correlated with systemic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regardless of ocular symptoms; levels of </w:t>
      </w:r>
      <w:r w:rsidR="008569F1" w:rsidRPr="00FB5CEB">
        <w:rPr>
          <w:rFonts w:ascii="Book Antiqua" w:hAnsi="Book Antiqua" w:cs="Arial"/>
          <w:sz w:val="24"/>
          <w:szCs w:val="24"/>
        </w:rPr>
        <w:t xml:space="preserve">three </w:t>
      </w:r>
      <w:r w:rsidRPr="00FB5CEB">
        <w:rPr>
          <w:rFonts w:ascii="Book Antiqua" w:hAnsi="Book Antiqua" w:cs="Arial"/>
          <w:sz w:val="24"/>
          <w:szCs w:val="24"/>
        </w:rPr>
        <w:t>of these cytokines (IL-6, IL-10 and TNF-</w:t>
      </w:r>
      <w:r w:rsidR="008569F1" w:rsidRPr="00FB5CEB">
        <w:rPr>
          <w:rFonts w:ascii="Symbol" w:hAnsi="Symbol" w:cs="Arial"/>
          <w:sz w:val="24"/>
          <w:szCs w:val="24"/>
        </w:rPr>
        <w:t></w:t>
      </w:r>
      <w:r w:rsidRPr="00FB5CEB">
        <w:rPr>
          <w:rFonts w:ascii="Book Antiqua" w:hAnsi="Book Antiqua" w:cs="Arial"/>
          <w:sz w:val="24"/>
          <w:szCs w:val="24"/>
        </w:rPr>
        <w:t xml:space="preserve">) also were significantly correlated with ocular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parameters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[8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</w:p>
    <w:p w:rsidR="00F23627" w:rsidRPr="00FB5CEB" w:rsidRDefault="00F23627" w:rsidP="00BC0BD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</w:p>
    <w:p w:rsidR="001A0AAA" w:rsidRDefault="008569F1" w:rsidP="00BC0BD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i/>
          <w:sz w:val="24"/>
          <w:szCs w:val="24"/>
        </w:rPr>
        <w:t>C</w:t>
      </w:r>
      <w:r w:rsidR="00DA6254" w:rsidRPr="00FB5CEB">
        <w:rPr>
          <w:rFonts w:ascii="Book Antiqua" w:hAnsi="Book Antiqua" w:cs="Arial"/>
          <w:b/>
          <w:i/>
          <w:sz w:val="24"/>
          <w:szCs w:val="24"/>
        </w:rPr>
        <w:t>ellular biomarkers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 xml:space="preserve">In addition to protein biomarkers, a large number of immune cell populations have been studied as potential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biomarkers.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Some of the best studied are listed in </w:t>
      </w:r>
      <w:r w:rsidRPr="001A0AAA">
        <w:rPr>
          <w:rFonts w:ascii="Book Antiqua" w:hAnsi="Book Antiqua" w:cs="Arial"/>
          <w:sz w:val="24"/>
          <w:szCs w:val="24"/>
        </w:rPr>
        <w:t>Table 2.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As discussed in the Pathobiology section above, CD4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IL-17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FB5CEB">
        <w:rPr>
          <w:rFonts w:ascii="Book Antiqua" w:hAnsi="Book Antiqua" w:cs="Arial"/>
          <w:sz w:val="24"/>
          <w:szCs w:val="24"/>
        </w:rPr>
        <w:t xml:space="preserve"> Th17 cells are </w:t>
      </w:r>
      <w:r w:rsidRPr="00FB5CEB">
        <w:rPr>
          <w:rFonts w:ascii="Book Antiqua" w:hAnsi="Book Antiqua" w:cs="Arial"/>
          <w:sz w:val="24"/>
          <w:szCs w:val="24"/>
        </w:rPr>
        <w:lastRenderedPageBreak/>
        <w:t>e</w:t>
      </w:r>
      <w:r w:rsidR="003C6D6A" w:rsidRPr="00FB5CEB">
        <w:rPr>
          <w:rFonts w:ascii="Book Antiqua" w:hAnsi="Book Antiqua" w:cs="Arial"/>
          <w:sz w:val="24"/>
          <w:szCs w:val="24"/>
        </w:rPr>
        <w:t xml:space="preserve">levated in active </w:t>
      </w:r>
      <w:proofErr w:type="spellStart"/>
      <w:r w:rsidR="003C6D6A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3C6D6A" w:rsidRPr="00FB5CEB">
        <w:rPr>
          <w:rFonts w:ascii="Book Antiqua" w:hAnsi="Book Antiqua" w:cs="Arial"/>
          <w:sz w:val="24"/>
          <w:szCs w:val="24"/>
        </w:rPr>
        <w:t xml:space="preserve"> while </w:t>
      </w:r>
      <w:proofErr w:type="spellStart"/>
      <w:r w:rsidR="003C6D6A" w:rsidRPr="00FB5CEB">
        <w:rPr>
          <w:rFonts w:ascii="Book Antiqua" w:hAnsi="Book Antiqua" w:cs="Arial"/>
          <w:sz w:val="24"/>
          <w:szCs w:val="24"/>
        </w:rPr>
        <w:t>Treg</w:t>
      </w:r>
      <w:r w:rsidRPr="00FB5CEB">
        <w:rPr>
          <w:rFonts w:ascii="Book Antiqua" w:hAnsi="Book Antiqua" w:cs="Arial"/>
          <w:sz w:val="24"/>
          <w:szCs w:val="24"/>
        </w:rPr>
        <w:t>s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that express the markers CD4, CD25 and FoxP3 are typically decreased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[4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7D7C04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There are also complex changes in the B</w:t>
      </w:r>
      <w:r w:rsidR="003C6D6A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 population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Overall, total B</w:t>
      </w:r>
      <w:r w:rsidR="003C6D6A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 counts are decreased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patients as are the levels of naïve</w:t>
      </w:r>
      <w:r w:rsidR="003C6D6A" w:rsidRPr="00FB5CEB">
        <w:rPr>
          <w:rFonts w:ascii="Book Antiqua" w:hAnsi="Book Antiqua" w:cs="Arial"/>
          <w:sz w:val="24"/>
          <w:szCs w:val="24"/>
        </w:rPr>
        <w:t>, transitiona</w:t>
      </w:r>
      <w:r w:rsidR="003C6D6A" w:rsidRPr="00046A70">
        <w:rPr>
          <w:rFonts w:ascii="Book Antiqua" w:hAnsi="Book Antiqua" w:cs="Arial"/>
          <w:sz w:val="24"/>
          <w:szCs w:val="24"/>
        </w:rPr>
        <w:t xml:space="preserve">l and regulatory B </w:t>
      </w:r>
      <w:r w:rsidRPr="00046A70">
        <w:rPr>
          <w:rFonts w:ascii="Book Antiqua" w:hAnsi="Book Antiqua" w:cs="Arial"/>
          <w:sz w:val="24"/>
          <w:szCs w:val="24"/>
        </w:rPr>
        <w:t>cells.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046A70">
        <w:rPr>
          <w:rFonts w:ascii="Book Antiqua" w:hAnsi="Book Antiqua" w:cs="Arial"/>
          <w:sz w:val="24"/>
          <w:szCs w:val="24"/>
        </w:rPr>
        <w:t>In contrast, differentiated CD38</w:t>
      </w:r>
      <w:r w:rsidRPr="00046A70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046A70">
        <w:rPr>
          <w:rFonts w:ascii="Book Antiqua" w:hAnsi="Book Antiqua" w:cs="Arial"/>
          <w:sz w:val="24"/>
          <w:szCs w:val="24"/>
        </w:rPr>
        <w:t xml:space="preserve"> CD27</w:t>
      </w:r>
      <w:r w:rsidRPr="00046A70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046A70">
        <w:rPr>
          <w:rFonts w:ascii="Book Antiqua" w:hAnsi="Book Antiqua" w:cs="Arial"/>
          <w:sz w:val="24"/>
          <w:szCs w:val="24"/>
        </w:rPr>
        <w:t xml:space="preserve"> IgG-secreting plasma cells are increased in </w:t>
      </w:r>
      <w:r w:rsidR="003C6D6A" w:rsidRPr="00046A70">
        <w:rPr>
          <w:rFonts w:ascii="Book Antiqua" w:hAnsi="Book Antiqua" w:cs="Arial"/>
          <w:sz w:val="24"/>
          <w:szCs w:val="24"/>
        </w:rPr>
        <w:t xml:space="preserve">patients with </w:t>
      </w:r>
      <w:r w:rsidRPr="00046A70">
        <w:rPr>
          <w:rFonts w:ascii="Book Antiqua" w:hAnsi="Book Antiqua" w:cs="Arial"/>
          <w:sz w:val="24"/>
          <w:szCs w:val="24"/>
        </w:rPr>
        <w:t xml:space="preserve">active </w:t>
      </w:r>
      <w:proofErr w:type="spellStart"/>
      <w:r w:rsidRPr="00046A70">
        <w:rPr>
          <w:rFonts w:ascii="Book Antiqua" w:hAnsi="Book Antiqua" w:cs="Arial"/>
          <w:sz w:val="24"/>
          <w:szCs w:val="24"/>
        </w:rPr>
        <w:t>cGVHD</w:t>
      </w:r>
      <w:proofErr w:type="spellEnd"/>
      <w:r w:rsidR="008569F1" w:rsidRPr="00046A70">
        <w:rPr>
          <w:rFonts w:ascii="Book Antiqua" w:hAnsi="Book Antiqua" w:cs="Arial"/>
          <w:sz w:val="24"/>
          <w:szCs w:val="24"/>
        </w:rPr>
        <w:t xml:space="preserve"> (Table 2)</w:t>
      </w:r>
      <w:r w:rsidR="003C6D6A" w:rsidRPr="00046A70">
        <w:rPr>
          <w:rFonts w:ascii="Book Antiqua" w:hAnsi="Book Antiqua" w:cs="Arial"/>
          <w:sz w:val="24"/>
          <w:szCs w:val="24"/>
          <w:vertAlign w:val="superscript"/>
        </w:rPr>
        <w:t>[5</w:t>
      </w:r>
      <w:r w:rsidR="00F23627" w:rsidRPr="00046A70">
        <w:rPr>
          <w:rFonts w:ascii="Book Antiqua" w:hAnsi="Book Antiqua" w:cs="Arial"/>
          <w:sz w:val="24"/>
          <w:szCs w:val="24"/>
          <w:vertAlign w:val="superscript"/>
        </w:rPr>
        <w:t>3</w:t>
      </w:r>
      <w:r w:rsidR="003C6D6A" w:rsidRPr="00046A70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046A70">
        <w:rPr>
          <w:rFonts w:ascii="Book Antiqua" w:hAnsi="Book Antiqua" w:cs="Arial"/>
          <w:sz w:val="24"/>
          <w:szCs w:val="24"/>
          <w:vertAlign w:val="superscript"/>
        </w:rPr>
        <w:t>5</w:t>
      </w:r>
      <w:r w:rsidR="00F23627" w:rsidRPr="00046A70">
        <w:rPr>
          <w:rFonts w:ascii="Book Antiqua" w:hAnsi="Book Antiqua" w:cs="Arial"/>
          <w:sz w:val="24"/>
          <w:szCs w:val="24"/>
          <w:vertAlign w:val="superscript"/>
        </w:rPr>
        <w:t>4</w:t>
      </w:r>
      <w:r w:rsidR="003C6D6A" w:rsidRPr="00046A70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046A70">
        <w:rPr>
          <w:rFonts w:ascii="Book Antiqua" w:hAnsi="Book Antiqua" w:cs="Arial"/>
          <w:sz w:val="24"/>
          <w:szCs w:val="24"/>
        </w:rPr>
        <w:t>.</w:t>
      </w:r>
    </w:p>
    <w:p w:rsidR="00F23627" w:rsidRPr="00FB5CEB" w:rsidRDefault="00F23627" w:rsidP="00BC0BD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</w:p>
    <w:p w:rsidR="007D7C04" w:rsidRDefault="008569F1" w:rsidP="00BC0BDD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FB5CEB">
        <w:rPr>
          <w:rFonts w:ascii="Book Antiqua" w:hAnsi="Book Antiqua" w:cs="Arial"/>
          <w:b/>
          <w:i/>
          <w:sz w:val="24"/>
          <w:szCs w:val="24"/>
        </w:rPr>
        <w:t>A</w:t>
      </w:r>
      <w:r w:rsidR="00DA6254" w:rsidRPr="00FB5CEB">
        <w:rPr>
          <w:rFonts w:ascii="Book Antiqua" w:hAnsi="Book Antiqua" w:cs="Arial"/>
          <w:b/>
          <w:i/>
          <w:sz w:val="24"/>
          <w:szCs w:val="24"/>
        </w:rPr>
        <w:t>ntibodies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 xml:space="preserve">Antibodies including autoantibodies are another group of well-studied potential biomarkers that are produced in </w:t>
      </w:r>
      <w:proofErr w:type="spellStart"/>
      <w:r w:rsidR="003C6D6A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3C6D6A" w:rsidRPr="00FB5CEB">
        <w:rPr>
          <w:rFonts w:ascii="Book Antiqua" w:hAnsi="Book Antiqua" w:cs="Arial"/>
          <w:sz w:val="24"/>
          <w:szCs w:val="24"/>
        </w:rPr>
        <w:t xml:space="preserve"> patients by an aberrant B </w:t>
      </w:r>
      <w:r w:rsidRPr="00FB5CEB">
        <w:rPr>
          <w:rFonts w:ascii="Book Antiqua" w:hAnsi="Book Antiqua" w:cs="Arial"/>
          <w:sz w:val="24"/>
          <w:szCs w:val="24"/>
        </w:rPr>
        <w:t>cell population.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Up to 80% of allogeneic transplants involving a female donor-male recipient combination produce antibodies against Y-chromosome-encoded HY proteins, and these antibodies appear to predict the development of </w:t>
      </w:r>
      <w:proofErr w:type="spellStart"/>
      <w:proofErr w:type="gram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8,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3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Antibodies to Platelet-derived Growth Factor (PDGF) Receptor, double stranded DNA and anti-nuclear antibody (ANA) are also common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patients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59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Anti-PDGF receptor antibodies cause accumulation of reactive oxygen species and stimulate type I collagen expression, suggesting a role for these antibodies in skin and lung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fibrosis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,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6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Patients with classic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were found to have higher levels of ANA and anti-DNA antibodies compared to patients who had a prior history of acute GVHD where B cells have limited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involvement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59</w:t>
      </w:r>
      <w:r w:rsidR="003C6D6A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FB5CEB">
        <w:rPr>
          <w:rFonts w:ascii="Book Antiqua" w:hAnsi="Book Antiqua" w:cs="Arial"/>
          <w:sz w:val="24"/>
          <w:szCs w:val="24"/>
        </w:rPr>
        <w:t>.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DA6254" w:rsidRPr="00FB5CEB" w:rsidRDefault="007B3B33" w:rsidP="00BC0BD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B5CEB">
        <w:rPr>
          <w:rFonts w:ascii="Book Antiqua" w:hAnsi="Book Antiqua" w:cs="Arial"/>
          <w:b/>
          <w:sz w:val="24"/>
          <w:szCs w:val="24"/>
        </w:rPr>
        <w:t>CONCLUDING REMARKS</w:t>
      </w:r>
    </w:p>
    <w:p w:rsidR="00DA6254" w:rsidRPr="000B0638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B5CEB">
        <w:rPr>
          <w:rFonts w:ascii="Book Antiqua" w:hAnsi="Book Antiqua" w:cs="Arial"/>
          <w:sz w:val="24"/>
          <w:szCs w:val="24"/>
        </w:rPr>
        <w:t>Chronic GVHD is a chronic inflammatory and autoimmune-like condition that involves a complex interplay between the immune sys</w:t>
      </w:r>
      <w:r w:rsidR="008569F1" w:rsidRPr="00FB5CEB">
        <w:rPr>
          <w:rFonts w:ascii="Book Antiqua" w:hAnsi="Book Antiqua" w:cs="Arial"/>
          <w:sz w:val="24"/>
          <w:szCs w:val="24"/>
        </w:rPr>
        <w:t>tems of the transplant donor and recipient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Despite significant progress in understanding the risk factors</w:t>
      </w:r>
      <w:r w:rsidR="004D5D73" w:rsidRPr="00FB5CEB">
        <w:rPr>
          <w:rFonts w:ascii="Book Antiqua" w:hAnsi="Book Antiqua" w:cs="Arial"/>
          <w:sz w:val="24"/>
          <w:szCs w:val="24"/>
        </w:rPr>
        <w:t>,</w:t>
      </w:r>
      <w:r w:rsidRPr="00FB5CEB">
        <w:rPr>
          <w:rFonts w:ascii="Book Antiqua" w:hAnsi="Book Antiqua" w:cs="Arial"/>
          <w:sz w:val="24"/>
          <w:szCs w:val="24"/>
        </w:rPr>
        <w:t xml:space="preserve"> and the development of effective second-line treatments for steroid-refractory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, the incidence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is increasing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worldwide</w:t>
      </w:r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7]</w:t>
      </w:r>
      <w:r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While donor-derived T</w:t>
      </w:r>
      <w:r w:rsidR="004D5D73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cells are still considered to be the preeminent mediators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>, aberrant B</w:t>
      </w:r>
      <w:r w:rsidR="004D5D73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cells clearly play a significant role in promoting autoimmunity and inflammation, and conferring susceptibility to serious, often life-threatening infections.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The enhanced activity of T follicular helper cells in </w:t>
      </w:r>
      <w:proofErr w:type="spellStart"/>
      <w:r w:rsidRPr="00FB5CEB">
        <w:rPr>
          <w:rFonts w:ascii="Book Antiqua" w:hAnsi="Book Antiqua" w:cs="Arial"/>
          <w:sz w:val="24"/>
          <w:szCs w:val="24"/>
        </w:rPr>
        <w:lastRenderedPageBreak/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 also appears to play a key role in </w:t>
      </w:r>
      <w:r w:rsidR="007422CA" w:rsidRPr="00FB5CEB">
        <w:rPr>
          <w:rFonts w:ascii="Book Antiqua" w:hAnsi="Book Antiqua" w:cs="Arial"/>
          <w:sz w:val="24"/>
          <w:szCs w:val="24"/>
        </w:rPr>
        <w:t xml:space="preserve">the </w:t>
      </w:r>
      <w:r w:rsidRPr="00FB5CEB">
        <w:rPr>
          <w:rFonts w:ascii="Book Antiqua" w:hAnsi="Book Antiqua" w:cs="Arial"/>
          <w:sz w:val="24"/>
          <w:szCs w:val="24"/>
        </w:rPr>
        <w:t>a</w:t>
      </w:r>
      <w:r w:rsidR="007422CA" w:rsidRPr="00FB5CEB">
        <w:rPr>
          <w:rFonts w:ascii="Book Antiqua" w:hAnsi="Book Antiqua" w:cs="Arial"/>
          <w:sz w:val="24"/>
          <w:szCs w:val="24"/>
        </w:rPr>
        <w:t>berrant</w:t>
      </w:r>
      <w:r w:rsidRPr="00FB5CEB">
        <w:rPr>
          <w:rFonts w:ascii="Book Antiqua" w:hAnsi="Book Antiqua" w:cs="Arial"/>
          <w:sz w:val="24"/>
          <w:szCs w:val="24"/>
        </w:rPr>
        <w:t xml:space="preserve"> B</w:t>
      </w:r>
      <w:r w:rsidR="004D5D73" w:rsidRPr="00FB5CEB"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 xml:space="preserve">cell activity and the resulting autoimmune-like features of </w:t>
      </w:r>
      <w:proofErr w:type="spellStart"/>
      <w:r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Pr="00FB5CEB">
        <w:rPr>
          <w:rFonts w:ascii="Book Antiqua" w:hAnsi="Book Antiqua" w:cs="Arial"/>
          <w:sz w:val="24"/>
          <w:szCs w:val="24"/>
        </w:rPr>
        <w:t xml:space="preserve">, including the presence of antibodies that target HY and nuclear </w:t>
      </w:r>
      <w:proofErr w:type="gramStart"/>
      <w:r w:rsidRPr="00FB5CEB">
        <w:rPr>
          <w:rFonts w:ascii="Book Antiqua" w:hAnsi="Book Antiqua" w:cs="Arial"/>
          <w:sz w:val="24"/>
          <w:szCs w:val="24"/>
        </w:rPr>
        <w:t>proteins</w:t>
      </w:r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F23627" w:rsidRPr="00FB5CEB">
        <w:rPr>
          <w:rFonts w:ascii="Book Antiqua" w:hAnsi="Book Antiqua" w:cs="Arial"/>
          <w:sz w:val="24"/>
          <w:szCs w:val="24"/>
          <w:vertAlign w:val="superscript"/>
        </w:rPr>
        <w:t>4</w:t>
      </w:r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0B0638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</w:p>
    <w:p w:rsidR="00DA6254" w:rsidRPr="00FB5CEB" w:rsidRDefault="008569F1" w:rsidP="000B063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t xml:space="preserve">In addition to </w:t>
      </w:r>
      <w:r w:rsidR="00897F70" w:rsidRPr="00FB5CEB">
        <w:rPr>
          <w:rFonts w:ascii="Book Antiqua" w:hAnsi="Book Antiqua" w:cs="Arial"/>
          <w:sz w:val="24"/>
          <w:szCs w:val="24"/>
        </w:rPr>
        <w:t xml:space="preserve">the significant progress in our understanding of </w:t>
      </w:r>
      <w:proofErr w:type="spellStart"/>
      <w:r w:rsidR="00DA6254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897F70" w:rsidRPr="00FB5CEB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897F70" w:rsidRPr="00FB5CEB">
        <w:rPr>
          <w:rFonts w:ascii="Book Antiqua" w:hAnsi="Book Antiqua" w:cs="Arial"/>
          <w:sz w:val="24"/>
          <w:szCs w:val="24"/>
        </w:rPr>
        <w:t>immunobiology</w:t>
      </w:r>
      <w:proofErr w:type="spellEnd"/>
      <w:r w:rsidR="00897F70" w:rsidRPr="00FB5CEB">
        <w:rPr>
          <w:rFonts w:ascii="Book Antiqua" w:hAnsi="Book Antiqua" w:cs="Arial"/>
          <w:sz w:val="24"/>
          <w:szCs w:val="24"/>
        </w:rPr>
        <w:t xml:space="preserve"> and pathobiology</w:t>
      </w:r>
      <w:r w:rsidR="00DA6254" w:rsidRPr="00FB5CEB">
        <w:rPr>
          <w:rFonts w:ascii="Book Antiqua" w:hAnsi="Book Antiqua" w:cs="Arial"/>
          <w:sz w:val="24"/>
          <w:szCs w:val="24"/>
        </w:rPr>
        <w:t>, guidelines for biomarker development and validation were recently updated.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DA6254" w:rsidRPr="00FB5CEB">
        <w:rPr>
          <w:rFonts w:ascii="Book Antiqua" w:hAnsi="Book Antiqua" w:cs="Arial"/>
          <w:sz w:val="24"/>
          <w:szCs w:val="24"/>
        </w:rPr>
        <w:t>The updated guidelines include recommendations for biomarker identification,</w:t>
      </w:r>
      <w:r w:rsidR="000B0638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verification, qualification, and application with terminology based on Food and Drug Administration and European Medicines Agency </w:t>
      </w:r>
      <w:proofErr w:type="gramStart"/>
      <w:r w:rsidR="00DA6254" w:rsidRPr="00FB5CEB">
        <w:rPr>
          <w:rFonts w:ascii="Book Antiqua" w:hAnsi="Book Antiqua" w:cs="Arial"/>
          <w:sz w:val="24"/>
          <w:szCs w:val="24"/>
        </w:rPr>
        <w:t>guidelines</w:t>
      </w:r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0D43CE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Suggested areas of focus for validation include biomarkers that are prognostic, stratify </w:t>
      </w:r>
      <w:proofErr w:type="spellStart"/>
      <w:r w:rsidR="00DA6254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DA6254" w:rsidRPr="00FB5CEB">
        <w:rPr>
          <w:rFonts w:ascii="Book Antiqua" w:hAnsi="Book Antiqua" w:cs="Arial"/>
          <w:sz w:val="24"/>
          <w:szCs w:val="24"/>
        </w:rPr>
        <w:t xml:space="preserve"> risk or are predictive of future disease.</w:t>
      </w:r>
      <w:r w:rsidR="000B0638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Biobank repositories that can serially collect peripheral blood and cell samples from </w:t>
      </w:r>
      <w:proofErr w:type="spellStart"/>
      <w:r w:rsidR="00DA6254" w:rsidRPr="00FB5CEB">
        <w:rPr>
          <w:rFonts w:ascii="Book Antiqua" w:hAnsi="Book Antiqua" w:cs="Arial"/>
          <w:sz w:val="24"/>
          <w:szCs w:val="24"/>
        </w:rPr>
        <w:t>allo</w:t>
      </w:r>
      <w:proofErr w:type="spellEnd"/>
      <w:r w:rsidR="00DA6254" w:rsidRPr="00FB5CEB">
        <w:rPr>
          <w:rFonts w:ascii="Book Antiqua" w:hAnsi="Book Antiqua" w:cs="Arial"/>
          <w:sz w:val="24"/>
          <w:szCs w:val="24"/>
        </w:rPr>
        <w:t xml:space="preserve">-HSCT patients in a standardized format will also be an important tool for pre-clinical biomarker </w:t>
      </w:r>
      <w:proofErr w:type="gramStart"/>
      <w:r w:rsidR="00DA6254" w:rsidRPr="00FB5CEB">
        <w:rPr>
          <w:rFonts w:ascii="Book Antiqua" w:hAnsi="Book Antiqua" w:cs="Arial"/>
          <w:sz w:val="24"/>
          <w:szCs w:val="24"/>
        </w:rPr>
        <w:t>validation</w:t>
      </w:r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0D43CE" w:rsidRPr="00FB5CEB">
        <w:rPr>
          <w:rFonts w:ascii="Book Antiqua" w:hAnsi="Book Antiqua" w:cs="Arial"/>
          <w:sz w:val="24"/>
          <w:szCs w:val="24"/>
          <w:vertAlign w:val="superscript"/>
        </w:rPr>
        <w:t>2</w:t>
      </w:r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FB5CEB">
        <w:rPr>
          <w:rFonts w:ascii="Book Antiqua" w:hAnsi="Book Antiqua" w:cs="Arial"/>
          <w:sz w:val="24"/>
          <w:szCs w:val="24"/>
        </w:rPr>
        <w:t>.</w:t>
      </w:r>
      <w:r w:rsidR="001F5328">
        <w:rPr>
          <w:rFonts w:ascii="Book Antiqua" w:hAnsi="Book Antiqua" w:cs="Arial"/>
          <w:sz w:val="24"/>
          <w:szCs w:val="24"/>
        </w:rPr>
        <w:t xml:space="preserve"> 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The French National </w:t>
      </w:r>
      <w:proofErr w:type="spellStart"/>
      <w:r w:rsidR="00DA6254" w:rsidRPr="00FB5CEB">
        <w:rPr>
          <w:rFonts w:ascii="Book Antiqua" w:hAnsi="Book Antiqua" w:cs="Arial"/>
          <w:sz w:val="24"/>
          <w:szCs w:val="24"/>
        </w:rPr>
        <w:t>Cryostem</w:t>
      </w:r>
      <w:proofErr w:type="spellEnd"/>
      <w:r w:rsidR="00DA6254" w:rsidRPr="00FB5CEB">
        <w:rPr>
          <w:rFonts w:ascii="Book Antiqua" w:hAnsi="Book Antiqua" w:cs="Arial"/>
          <w:sz w:val="24"/>
          <w:szCs w:val="24"/>
        </w:rPr>
        <w:t xml:space="preserve"> Project is one example of such a national </w:t>
      </w:r>
      <w:proofErr w:type="gramStart"/>
      <w:r w:rsidR="00DA6254" w:rsidRPr="00FB5CEB">
        <w:rPr>
          <w:rFonts w:ascii="Book Antiqua" w:hAnsi="Book Antiqua" w:cs="Arial"/>
          <w:sz w:val="24"/>
          <w:szCs w:val="24"/>
        </w:rPr>
        <w:t>effort</w:t>
      </w:r>
      <w:r w:rsidR="00D96A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D96A1C" w:rsidRPr="00FB5CEB">
        <w:rPr>
          <w:rFonts w:ascii="Book Antiqua" w:hAnsi="Book Antiqua" w:cs="Arial"/>
          <w:sz w:val="24"/>
          <w:szCs w:val="24"/>
          <w:vertAlign w:val="superscript"/>
        </w:rPr>
        <w:t>8</w:t>
      </w:r>
      <w:r w:rsidR="000D43CE" w:rsidRPr="00FB5CEB">
        <w:rPr>
          <w:rFonts w:ascii="Book Antiqua" w:hAnsi="Book Antiqua" w:cs="Arial"/>
          <w:sz w:val="24"/>
          <w:szCs w:val="24"/>
          <w:vertAlign w:val="superscript"/>
        </w:rPr>
        <w:t>7</w:t>
      </w:r>
      <w:r w:rsidR="004D5D73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 which, together with multicenter collaborations</w:t>
      </w:r>
      <w:r w:rsidR="00D96A1C" w:rsidRPr="00FB5CEB">
        <w:rPr>
          <w:rFonts w:ascii="Book Antiqua" w:hAnsi="Book Antiqua" w:cs="Arial"/>
          <w:sz w:val="24"/>
          <w:szCs w:val="24"/>
          <w:vertAlign w:val="superscript"/>
        </w:rPr>
        <w:t>[</w:t>
      </w:r>
      <w:r w:rsidR="00B47AD8" w:rsidRPr="00FB5CEB">
        <w:rPr>
          <w:rFonts w:ascii="Book Antiqua" w:hAnsi="Book Antiqua" w:cs="Arial"/>
          <w:sz w:val="24"/>
          <w:szCs w:val="24"/>
          <w:vertAlign w:val="superscript"/>
        </w:rPr>
        <w:t>5</w:t>
      </w:r>
      <w:r w:rsidR="000D43CE" w:rsidRPr="00FB5CEB">
        <w:rPr>
          <w:rFonts w:ascii="Book Antiqua" w:hAnsi="Book Antiqua" w:cs="Arial"/>
          <w:sz w:val="24"/>
          <w:szCs w:val="24"/>
          <w:vertAlign w:val="superscript"/>
        </w:rPr>
        <w:t>1</w:t>
      </w:r>
      <w:r w:rsidR="00B47AD8" w:rsidRPr="00FB5CEB">
        <w:rPr>
          <w:rFonts w:ascii="Book Antiqua" w:hAnsi="Book Antiqua" w:cs="Arial"/>
          <w:sz w:val="24"/>
          <w:szCs w:val="24"/>
          <w:vertAlign w:val="superscript"/>
        </w:rPr>
        <w:t>,</w:t>
      </w:r>
      <w:r w:rsidR="000D43CE" w:rsidRPr="00FB5CEB">
        <w:rPr>
          <w:rFonts w:ascii="Book Antiqua" w:hAnsi="Book Antiqua" w:cs="Arial"/>
          <w:sz w:val="24"/>
          <w:szCs w:val="24"/>
          <w:vertAlign w:val="superscript"/>
        </w:rPr>
        <w:t>79</w:t>
      </w:r>
      <w:r w:rsidR="00D96A1C" w:rsidRPr="00FB5CEB">
        <w:rPr>
          <w:rFonts w:ascii="Book Antiqua" w:hAnsi="Book Antiqua" w:cs="Arial"/>
          <w:sz w:val="24"/>
          <w:szCs w:val="24"/>
          <w:vertAlign w:val="superscript"/>
        </w:rPr>
        <w:t>]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, should enable protein biomarkers to be added to the clinician’s toolkit for </w:t>
      </w:r>
      <w:proofErr w:type="spellStart"/>
      <w:r w:rsidR="00DA6254" w:rsidRPr="00FB5CEB">
        <w:rPr>
          <w:rFonts w:ascii="Book Antiqua" w:hAnsi="Book Antiqua" w:cs="Arial"/>
          <w:sz w:val="24"/>
          <w:szCs w:val="24"/>
        </w:rPr>
        <w:t>cGVHD</w:t>
      </w:r>
      <w:proofErr w:type="spellEnd"/>
      <w:r w:rsidR="00DA6254" w:rsidRPr="00FB5CEB">
        <w:rPr>
          <w:rFonts w:ascii="Book Antiqua" w:hAnsi="Book Antiqua" w:cs="Arial"/>
          <w:sz w:val="24"/>
          <w:szCs w:val="24"/>
        </w:rPr>
        <w:t xml:space="preserve"> patient care in the n</w:t>
      </w:r>
      <w:r w:rsidR="000D43CE" w:rsidRPr="00FB5CEB">
        <w:rPr>
          <w:rFonts w:ascii="Book Antiqua" w:hAnsi="Book Antiqua" w:cs="Arial"/>
          <w:sz w:val="24"/>
          <w:szCs w:val="24"/>
        </w:rPr>
        <w:t>ot-too-distant</w:t>
      </w:r>
      <w:r w:rsidR="00DA6254" w:rsidRPr="00FB5CEB">
        <w:rPr>
          <w:rFonts w:ascii="Book Antiqua" w:hAnsi="Book Antiqua" w:cs="Arial"/>
          <w:sz w:val="24"/>
          <w:szCs w:val="24"/>
        </w:rPr>
        <w:t xml:space="preserve"> future. 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DA6254" w:rsidRPr="00FB5CEB" w:rsidRDefault="00365E39" w:rsidP="00BC0BDD">
      <w:pPr>
        <w:spacing w:after="0" w:line="360" w:lineRule="auto"/>
        <w:jc w:val="both"/>
        <w:rPr>
          <w:rFonts w:ascii="Book Antiqua" w:hAnsi="Book Antiqua" w:cs="Arial"/>
          <w:b/>
        </w:rPr>
      </w:pPr>
      <w:r w:rsidRPr="00FB5CEB">
        <w:rPr>
          <w:rFonts w:ascii="Book Antiqua" w:hAnsi="Book Antiqua" w:cs="Arial"/>
          <w:b/>
        </w:rPr>
        <w:t xml:space="preserve">ACKNOWLEDGMENTS 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</w:rPr>
      </w:pPr>
      <w:r w:rsidRPr="00FB5CEB">
        <w:rPr>
          <w:rFonts w:ascii="Book Antiqua" w:hAnsi="Book Antiqua" w:cs="Arial"/>
        </w:rPr>
        <w:t>I thank Dr. Thomas Morton for critically reading this manuscript.</w:t>
      </w:r>
      <w:r w:rsidR="001F5328"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>I also thank th</w:t>
      </w:r>
      <w:r w:rsidR="00EA1EC6" w:rsidRPr="00FB5CEB">
        <w:rPr>
          <w:rFonts w:ascii="Book Antiqua" w:hAnsi="Book Antiqua" w:cs="Arial"/>
        </w:rPr>
        <w:t xml:space="preserve">e anonymous reviewers for their </w:t>
      </w:r>
      <w:r w:rsidRPr="00FB5CEB">
        <w:rPr>
          <w:rFonts w:ascii="Book Antiqua" w:hAnsi="Book Antiqua" w:cs="Arial"/>
        </w:rPr>
        <w:t xml:space="preserve">many helpful </w:t>
      </w:r>
      <w:r w:rsidR="00EA1EC6" w:rsidRPr="00FB5CEB">
        <w:rPr>
          <w:rFonts w:ascii="Book Antiqua" w:hAnsi="Book Antiqua" w:cs="Arial"/>
        </w:rPr>
        <w:t xml:space="preserve">comments and </w:t>
      </w:r>
      <w:r w:rsidRPr="00FB5CEB">
        <w:rPr>
          <w:rFonts w:ascii="Book Antiqua" w:hAnsi="Book Antiqua" w:cs="Arial"/>
        </w:rPr>
        <w:t xml:space="preserve">suggestions. </w:t>
      </w:r>
    </w:p>
    <w:p w:rsidR="00DA6254" w:rsidRPr="00FB5CEB" w:rsidRDefault="00DA6254" w:rsidP="00BC0BD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B5CEB">
        <w:rPr>
          <w:rFonts w:ascii="Book Antiqua" w:hAnsi="Book Antiqua" w:cs="Arial"/>
          <w:sz w:val="24"/>
          <w:szCs w:val="24"/>
        </w:rPr>
        <w:br w:type="page"/>
      </w:r>
    </w:p>
    <w:p w:rsidR="00715C7B" w:rsidRPr="00715C7B" w:rsidRDefault="00715C7B" w:rsidP="00BC0BDD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</w:pPr>
      <w:bookmarkStart w:id="11" w:name="OLE_LINK1"/>
      <w:bookmarkStart w:id="12" w:name="OLE_LINK2"/>
      <w:bookmarkStart w:id="13" w:name="OLE_LINK8"/>
      <w:bookmarkStart w:id="14" w:name="OLE_LINK176"/>
      <w:bookmarkStart w:id="15" w:name="OLE_LINK187"/>
      <w:bookmarkStart w:id="16" w:name="OLE_LINK188"/>
      <w:r w:rsidRPr="00715C7B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lastRenderedPageBreak/>
        <w:t>REFERENCES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Copelan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EA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Hematopoietic stem-cell transplantation.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1813-1826 [PMID: 16641398 DOI: 10.1056/NEJMra052638]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Tolar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, Wagner JE. Allogeneic blood and bone marrow cells for the treatment of severe epidermolysis bullosa: repair of the extracellular matrix.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382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1214-1223 [PMID: 24095195 DOI: 10.1016/S0140-6736(13)61897-8]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Appelbaum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FR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Haematopoietic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cell transplantation as immunotherapy.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385-389 [PMID: 11357147 DOI: 10.1038/35077251]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Lee SJ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, Flowers ME. Recognizing and managing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Hematology Am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Soc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Hematol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Educ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Program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2008; 134-141 [PMID: 19074071 DOI: 10.1182/asheducation-2008.1.134]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Socié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Stone JV,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Wingard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Weisdorf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Henslee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-Downey PJ,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Bredeson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C, Cahn JY,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Passweg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Rowlings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PA, Schouten HC, Kolb HJ, Klein JP.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Long-term survival and late deaths after allogeneic bone marrow transplantation.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Late Effects Working Committee of the International Bone Marrow Transplant Registry.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1999;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14-21 [PMID: 10387937 DOI: 10.1056/NEJM199907013410103]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Ferrara JL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, Levine JE, Reddy P, Holler E.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1550-1561 [PMID: 19282026 DOI: 10.1016/S0140-6736(09)60237-3]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Arai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Arora M, Wang T, Spellman SR, He W,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Couriel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Urbano-Ispizua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Cutler CS,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Bacigalupo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Battiwalla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Flowers ME,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Juckett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MB, Lee SJ, Loren AW,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Klumpp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Prockup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Ringdén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OT,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Savani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Socié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Schultz KR, Spitzer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Teshima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Bredeson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Jacobsohn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DA, Hayashi RJ,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Drobyski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WR,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Frangoul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Akpek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Ho VT, Lewis VA, Gale RP,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Koreth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Chao NJ,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Aljurf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MD, Cooper BW, Laughlin MJ, Hsu JW,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Hematti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Verdonck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Solh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Norkin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Reddy V, Martino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Gadalla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Goldberg JD, McCarthy PL, Pérez-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Simón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Khera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N, Lewis ID, Atsuta Y, Olsson RF, Saber W, Waller EK, Blaise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Pidala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JA, Martin PJ,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Satwani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Bornhäuser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Inamoto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Weisdorf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DJ, Horowitz MM,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SZ. Increasing incidence of chronic graft-versus-host disease in allogeneic transplantation: a report from the Center for International Blood and Marrow Transplant Research.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266-274 [PMID: 25445023 DOI: 10.1016/j.bbmt.2014.10.021]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8 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Socié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, Ritz J. Current issues in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374-384 [PMID: 24914139 DOI: 10.1182/blood-2014-01-514752]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9 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Jacobsohn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DA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Optimal management of chronic graft-versus-host disease in children.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Haematol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150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278-292 [PMID: 20553274 DOI: 10.1111/j.1365-2141.2010.08247.x]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10 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Wolff 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Schleuning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von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Harsdorf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Bacher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U,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Gerbitz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Stadler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Ayuk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Kiani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Schwerdtfeger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Vogelsang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Kobbe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Gramatzki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Lawitschka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Mohty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Greinix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Holler E. Consensus Conference on Clinical Practice in Chronic GVHD: Second-Line Treatment of Chronic Graft-versus-Host Disease.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1-17 [PMID: 20685255 DOI: 10.1016/j.bbmt.2010.05.011]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11 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Filipovich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AH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Weisdorf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Socie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Wingard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JR, Lee SJ, Martin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Chien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Przepiorka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Couriel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Cowen EW,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Dinndorf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Farrell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Hartzman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Henslee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-Downey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Jacobsohn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McDonald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Mittleman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Rizzo JD, Robinson M, Schubert M, Schultz K, Shulman H, Turner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Vogelsang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Flowers ME. National Institutes of Health consensus development project on criteria for clinical trials in chronic graft-versus-host disease: I. Diagnosis and staging working group report.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2005;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945-956 [PMID: 16338616 DOI: 10.1016/j.bbmt.2005.09.004]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12 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Grkovic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Baird K, Steinberg SM, Williams KM,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Pulanic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Cowen EW, Mitchell SA, Hakim FT,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Martires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KJ, Avila DN, Taylor TN,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Salit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RB, Rowley SD, Zhang D, Fowler DH, Bishop MR,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Gress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Clinical laboratory markers of inflammation as determinants of chronic graft-versus-host disease activity and NIH global severity.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Leukemia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633-643 [PMID: 22005783 DOI: 10.1038/leu.2011.254]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13 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Jagasia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MH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Greinix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HT, Arora M, Williams KM, Wolff D, Cowen EW, Palmer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Weisdorf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Treister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NS, Cheng GS, Kerr H, Stratton P, Duarte RF, McDonald GB,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Inamoto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Vigorito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Arai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Datiles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Jacobsohn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Heller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Kitko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CL, Mitchell SA, Martin PJ, Shulman H, Wu RS, Cutler CS,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Vogelsang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GB, Lee SJ,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SZ, Flowers ME. National Institutes of Health Consensus Development Project on Criteria for Clinical Trials in Chronic Graft-versus-Host Disease: I.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The 2014 Diagnosis and Staging Working Group report.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389-401.e1 [PMID: 25529383 DOI: 10.1016/j.bbmt.2014.12.001]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14 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Lee SJ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Vogelsang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Flowers ME.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Chronic graft-versus-host disease.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2003;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215-233 [PMID: 12720215 DOI: 10.1053/bbmt.2003.50026]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15 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Aractingi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Chosidow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O. Cutaneous graft-versus-host disease.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Arch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1998;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602-612 [PMID: 9606330 DOI: 10.1001/archderm.134.5.602]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16 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Fall-Dickson JM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Mitchell SA,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Marden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Ramsay ES,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Guadagnini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JP, Wu T, St John 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Oral symptom intensity, health-related quality of life, and correlative salivary cytokines in adult survivors of hematopoietic stem cell transplantation with oral chronic graft-versus-host disease.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948-956 [PMID: 20139026 DOI: 10.1016/j.bbmt.2010.01.017]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17 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Mays JW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Fassil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Edwards DA,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Bassim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CW. Oral chronic graft-versus-host disease: current pathogenesis, therapy, and research.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Oral Dis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327-346 [PMID: 23107104 DOI: 10.1111/odi.12028]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18 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Schubert MM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Sullivan KM, Morton TH,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Izutsu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KT, Peterson DE, Flournoy N, Truelove EL, Sale GE, Buckner CD,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Storb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R. Oral manifestations of chronic graft-v-host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Arch Intern Med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1984;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1591-1595 [PMID: 6380439 DOI: 10.1001/archinte.1984.00350200087014]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19 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Bassim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CW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Fassil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Dobbin M, Steinberg SM, Baird K, Cole K, Joe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Comis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LE, Mitchell SA,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Grkovic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L, Edwards D, Mays JW, Cowen EW,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Pulanic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Williams KM,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Gress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Malnutrition in patients with chronic GVHD.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1300-1306 [PMID: 25029231 DOI: 10.1038/bmt.2014.145]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20 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Nagler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RM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Nagler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The molecular basis of salivary gland involvement in graft--vs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.-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Dent Res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98-103 [PMID: 14742644 DOI: 10.1177/154405910408300203]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21 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Grauer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O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Wolff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Bertz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Greinix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Kühl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Lawitschka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Lee SJ,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SZ, Holler 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Kleiter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I. Neurological manifestations of chronic graft-versus-host disease after allogeneic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haematopoietic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stem cell transplantation: report from the Consensus Conference on Clinical Practice in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Brain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2852-2865 [PMID: 20846944 DOI: 10.1093/brain/awq245]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22 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Flowers ME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Inamoto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Carpenter PA, Lee SJ,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Kiem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Petersdorf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EW, Pereira SE, Nash RA,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Mielcarek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Fero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ML, Warren EH, Sanders JE,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Storb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Appelbaum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FR,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Storer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BE, Martin PJ. Comparative analysis of risk factors for acute graft-versus-host disease and for chronic graft-versus-host disease according to National Institutes of Health consensus criteria.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117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3214-3219 [PMID: 21263156 DOI: 10.1182/blood-2010-08-302109]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23 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Subramaniam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Fowler DH,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Chronic graft-versus-host disease in the era of reduced-intensity conditioning.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Leukemia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853-859 [PMID: 17377592 DOI: 10.1038/sj.leu.2404642]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24 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Pidala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Sarwal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Roedder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Lee SJ.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Biologic markers of chronic GVHD.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324-331 [PMID: 23872737 DOI: 10.1038/bmt.2013.97]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25 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Rocha V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Franco RF,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Porcher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Bittencourt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Silva WA,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Latouche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Devergie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Esperou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Ribaud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Socie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Zago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Gluckman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E. Host defense and inflammatory gene polymorphisms are associated with outcomes after HLA-identical sibling bone marrow transplantation.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100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3908-</w:t>
      </w:r>
      <w:r w:rsidR="007F2931">
        <w:rPr>
          <w:rFonts w:ascii="Book Antiqua" w:eastAsia="宋体" w:hAnsi="Book Antiqua" w:cs="宋体"/>
          <w:sz w:val="24"/>
          <w:szCs w:val="24"/>
          <w:lang w:eastAsia="zh-CN"/>
        </w:rPr>
        <w:t>3918 [PMID: 12393699 DOI:</w:t>
      </w:r>
      <w:r w:rsidR="007F2931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10.1182/blood-2002-04-1033]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26 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Kim DH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Lee NY,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Sohn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Baek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JH, Kim JG, Suh JS, Lee KB, Shin IH. IL-10 promoter gene polymorphism associated with the occurrence of chronic GVHD and its clinical course during systemic immunosuppressive treatment for chronic GVHD after allogeneic peripheral blood stem cell transplantation.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1615-1622 [PMID: 15940053]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27 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Mullighan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Heatley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Doherty K, Szabo 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Grigg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Hughes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Schwarer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Szer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Tait B, To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Bardy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P. Non-HLA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immunogenetic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polymorphisms and the risk of complications after allogeneic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hemopoietic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stem-cell transplantation.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77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587-596 [PMID: 15084940]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28 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Cullup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Dickinson AM,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Cavet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Jackson GH, Middleton PG. Polymorphisms of interleukin-1alpha constitute independent risk factors for chronic graft-versus-host disease after allogeneic bone marrow transplantation.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Haematol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2003;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122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778-787 [PMID: 12930389 DOI: 10.1046/j.1365-2141.2003.04510.x]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29 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Cavet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Dickinson AM,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Norden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Taylor PR, Jackson GH, Middleton PG. Interferon-gamma and interleukin-6 gene polymorphisms associate with graft-versus-host disease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in HLA-matched sibling bone marrow transplantation.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98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1594-1600 [PMID: 11520812 DOI: 10.1182/blood.V98.5.1594]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30 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Boukouaci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Busson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Peffault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de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Latour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Rocha V,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Suberbielle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Bengoufa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Dulphy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N, Haas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Scieux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Amroun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Gluckman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Krishnamoorthy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Toubert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Charron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Socié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Tamouza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R. MICA-129 genotype, soluble MICA, and anti-MICA antibodies as biomarkers of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5216-5224 [PMID: 19786616 DOI: 10.1182/blood-2009-04-217430]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31 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Baron C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Somogyi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Greller LD,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Rineau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V, Wilkinson P, Cho CR, Cameron MJ, Kelvin DJ,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Chagnon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Roy DC,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Busque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Sékaly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RP, Perreault C. Prediction of graft-versus-host disease in humans by donor gene-expression profiling.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e23 [PMID: 17378698 DOI: 10.1371/journal.pmed.0040023]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32 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Edinger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Hoffmann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Ermann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Drago 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Fathman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CG, Strober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Negrin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RS. CD4+CD25+ regulatory T cells preserve graft-versus-tumor activity while inhibiting graft-versus-host disease after bone marrow transplantation.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Med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2003;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1144-1150 [PMID: 12925844 DOI: 10.1038/nm915]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33 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 MO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Wan YY,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Sanjabi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Robertson AK,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Flavell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RA. Transforming growth factor-beta regulation of immune responses.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Annu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Rev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99-146 [PMID: 16551245 DOI: 10.1146/annurev.immunol.24.021605.090737]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34 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Shlomchik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. Graft-versus-host disease.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Rev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340-352 [PMID: 17438575 DOI: 10.1038/nri2000]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35 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 VT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Soiffer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RJ.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The history and future of T-cell depletion as graft-versus-host disease prophylaxis for allogeneic hematopoietic stem cell transplantation.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98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3192-</w:t>
      </w:r>
      <w:r w:rsidR="007F2931">
        <w:rPr>
          <w:rFonts w:ascii="Book Antiqua" w:eastAsia="宋体" w:hAnsi="Book Antiqua" w:cs="宋体"/>
          <w:sz w:val="24"/>
          <w:szCs w:val="24"/>
          <w:lang w:eastAsia="zh-CN"/>
        </w:rPr>
        <w:t>3204 [PMID: 11719354 DOI:</w:t>
      </w:r>
      <w:r w:rsidR="007F2931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10.1182/blood.V98.12.3192]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36 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Finke 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Bethge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WA,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Schmoor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Ottinger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Stelljes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Zander AR,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Volin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Ruutu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T, Heim DA,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Schwerdtfeger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Kolbe K, Mayer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Maertens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Linkesch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W, Holler 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Koza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Bornhäuser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Einsele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Kolb HJ,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Bertz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Egger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Grishina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Socié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G. Standard graft-versus-host disease prophylaxis with or without anti-T-cell globulin in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haematopoietic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cell transplantation from matched unrelated donors: a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randomised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open-label,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multicentre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phase 3 trial.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Lancet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855-864 [PMID: 19695955 DOI: 10.1016/S1470-2045(09)70225-6]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37 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Schultz KR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Miklos DB, Fowler D, Cooke 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Shizuru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Zorn E, Holler E, Ferrara J, Shulman H, Lee SJ, Martin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Filipovich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AH, Flowers ME,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Weisdorf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Couriel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Lachenbruch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Mittleman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Vogelsang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SZ. Toward biomarkers for chronic graft-versus-host disease: National Institutes of Health consensus development project on criteria for clinical trials in chronic graft-versus-host disease: III.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Biomarker Working Group Report.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126-137 [PMID: 16443511 DOI: 10.1016/j.bbmt.2005.11.010]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38 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Nishimori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Maeda 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Teshima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T, Sugiyama H, Kobayashi 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Yamasuji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Kadohisa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Uryu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Takeuchi K, Tanaka T, Yoshino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Iwakura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Tanimoto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M. Synthetic retinoid Am80 ameliorates chronic graft-versus-host disease by down-regulating Th1 and Th17.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285</w:t>
      </w:r>
      <w:r w:rsidR="007F2931">
        <w:rPr>
          <w:rFonts w:ascii="Book Antiqua" w:eastAsia="宋体" w:hAnsi="Book Antiqua" w:cs="宋体"/>
          <w:sz w:val="24"/>
          <w:szCs w:val="24"/>
          <w:lang w:eastAsia="zh-CN"/>
        </w:rPr>
        <w:t xml:space="preserve">-295 [PMID: 22077062 DOI: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10.1182/blood-2011-01-332478]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39 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Kataoka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Y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Iwasaki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Kuroiwa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Seto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Iwata N, Hashimoto N, Ogata A, Hamano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Kakishita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E. The role of donor T cells for target organ injuries in acute and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Immunology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310-318 [PMID: 11454060 DOI: 10.1046/j.1365-2567.2001.01240.x]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40 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Serody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, Hill GR. The IL-17 differentiation pathway and its role in transplant outcome.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S56-S61 [PMID: 22226114 DOI: 10.1016/j.bbmt.2011.10.001]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41 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Hill GR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Olver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Kuns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Varelias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Raffelt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NC, Don AL, Markey KA, Wilson YA, Smyth MJ,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Iwakura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Tocker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Clouston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AD, Macdonald KP. Stem cell mobilization with G-CSF induces type 17 differentiation and promotes scleroderma.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116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819-828 [PMID: 20435882 DOI: 10.1182/blood-2009-11-256495]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42 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Dander E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Balduzzi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Zappa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Lucchini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Perseghin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Andrè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V, Todisco E, Rahal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Migliavacca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Longoni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Solinas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Villa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Berti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E, Mina PD, Parma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Allavena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Biagi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Rovelli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Biondi A, D'Amico G. Interleukin-17-producing T-helper cells as new potential player mediating graft-versus-host disease in patients undergoing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allogeneic stem-cell transplantation.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88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1261-1272 [PMID: 19996925 DOI: 10.1097/TP.0b013e3181bc267e]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43 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Malard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Bossard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Brissot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Chevallier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Guillaume T, Delaunay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Mosnier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JF, Moreau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Grégoire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Gaugler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Mohty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M. Increased Th17/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Treg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ratio in chronic liver GVHD.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539-544 [PMID: 24419519 DOI: 10.1038/bmt.2013.215]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44 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Forcade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Kim HT, Cutler C, Wang 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Alho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Nikiforow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Ho VT,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Koreth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Armand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Alyea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EP, Blazar BR,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Soiffer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Antin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JH, Ritz J. Circulating T follicular helper cells with increased function during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127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2489-2497 [PMID: 26944544]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45 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Flynn R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Du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Veenstra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Reichenbach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Panoskaltsis-Mortari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Taylor PA, Freeman GJ,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Serody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JS, Murphy WJ, Munn DH, Sarantopoulos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Luznik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Maillard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Koreth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Cutler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Soiffer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Antin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JH, Ritz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Dubovsky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JA, Byrd JC, MacDonald KP, Hill GR, Blazar BR. Increased T follicular helper cells and germinal center B cells are required for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cGVHD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and bronchiolitis obliterans.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3988-3998 [PMID: 24820310 DOI: 10.1182/blood-2014-03-562231]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46 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Sakaguchi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Ono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Setoguchi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Yagi H, Hori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Fehervari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Z, Shimizu J, Takahashi T, Nomura T. Foxp3+ CD25+ CD4+ natural regulatory T cells in dominant self-tolerance and autoimmune disease.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Rev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212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8-27 [PMID: 16903903 DOI: 10.1111/j.0105-2896.2006.00427.x]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47 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Matsuoka K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Kim HT, McDonough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Bascug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Warshauer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Koreth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Cutler C, Ho VT,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Alyea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Antin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Soiffer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RJ, Ritz J. Altered regulatory T cell homeostasis in patients with CD4+ lymphopenia following allogeneic hematopoietic stem cell transplantation.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Invest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120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1479-1493 [PMID: 20389017 DOI: 10.1172/JCI41072]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48 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Imanguli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MM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Cowen EW, Rose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Dhamala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Swaim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Lafond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Yagi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Gress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SZ, Hakim FT. Comparative analysis of FoxP3(+) regulatory T cells in the target tissues and blood in chronic graft versus 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Leukemia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2016-2027 [PMID: 24577531 DOI: 10.1038/leu.2014.92]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49 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Koreth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Matsuoka K, Kim HT, McDonough SM,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Bindra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Alyea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EP, Armand P, Cutler C, Ho VT,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Treister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Bienfang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DC, Prasad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Tzachanis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Joyce RM,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Avigan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Antin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JH, Ritz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Soiffer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RJ. Interleukin-2 and regulatory T cells in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365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2055-2066 [PMID: 22129252 DOI: 10.1056/NEJMoa1108188]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50 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Martelli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MF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Di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Ianni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Ruggeri 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Falzetti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Carotti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Terenzi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Pierini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Massei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Amico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Urbani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E, Del Papa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Zei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Iacucci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Ostini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Cecchini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Tognellini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Reisner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Aversa 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Falini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Velardi A. HLA-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haploidentical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transplantation with regulatory and conventional T-cell adoptive immunotherapy prevents acute leukemia relapse.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638-644 [PMID: 24923299 DOI: 10.1182/blood-2014-03-564401]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51 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Kitko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CL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Levine JE,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Storer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BE, Chai X, Fox DA, Braun TM,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Couriel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DR, Martin PJ, Flowers ME, Hansen JA, Chang L, Conlon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Fiema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BJ, Morgan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Pongtornpipat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Lamiman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K, Ferrara JL, Lee SJ,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Paczesny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S. Plasma CXCL9 elevations correlate with chronic GVHD diagnosis.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786-793 [PMID: 24363401 DOI: 10.1182/blood-2013-08-520072]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52 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Shimabukuro-Vornhagen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Hallek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Storb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RF, von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Bergwelt-Baildon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MS.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The role of B cells in the pathogenesis of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4919-4927 [PMID: 19749094 DOI: 10.1182/blood-2008-10-161638]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53 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Kuzmina Z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Greinix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Knobler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Worel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Kouba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Weigl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Körmöczi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U,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Rottal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Pohlreich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Zielinski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Pickl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WF. Proportions of immature CD19+CD21- B lymphocytes predict the response to extracorporeal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photopheresis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in patients with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744-746 [PMID: 19608761 DOI: 10.1182/blood-2009-05-221028]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54 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Sarantopoulos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Stevenson KE, Kim HT, Cutler CS,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Bhuiya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Schowalter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Ho VT,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Alyea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Koreth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Blazar BR,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Soiffer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Antin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JH, Ritz J. Altered B-cell homeostasis and excess BAFF in human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3865-3874 [PMID: 19168788 DOI: 10.1182/blood-2008-09-177840]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55 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Khoder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Sarvaria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Alsuliman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Chew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Sekine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T, Cooper 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Mielke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de Lavallade 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Muftuoglu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Fernandez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Curbelo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I, Liu 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Muraro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Alousi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Stringaris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Parmar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Shah 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Shaim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Yvon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Molldrem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Rouce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Champlin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McNiece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I, Mauri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Shpall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Rezvani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K. Regulatory B cells are enriched within the IgM memory and transitional subsets in healthy donors but are deficient in chronic GVHD.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2034-2045 [PMID: 25051962 DOI: 10.1182/blood-2014-04-571125]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56 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Durand 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Chiffoleau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E. B cells with regulatory properties in transplantation tolerance.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World J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196-208 [PMID: 26722647 DOI: 10.5500/wjt.v5.i4.196]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57 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Kulkarni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Powles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Treleaven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Riley U,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Singhal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Horton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Sirohi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Bhagwati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Meller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Saso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Mehta J. Chronic graft versus host disease is associated with long-term risk for pneumococcal infections in recipients of bone marrow transplants.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2000;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95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3683-3686 [PMID: 10845897]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58 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D'Orsogna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Wright MP, Krueger RG, McKinnon EJ,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Buffery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SI, Witt CS, Staples 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Loh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Cannell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PK, Christiansen FT, French MA. Allogeneic hematopoietic stem cell transplantation recipients have defects of both switched and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igm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memory B cells.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795-803 [PMID: 19539210 DOI: 10.1016/j.bbmt.2008.11.024]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59 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Fujii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Cuvelier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She 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Aslanian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Shimizu 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Kariminia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Krailo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Chen Z, McMaster R, Bergman A, Goldman 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Grupp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SA, Wall DA, Gilman AL, Schultz KR. Biomarkers in newly diagnosed pediatric-extensive chronic graft-versus-host disease: a report from the Children's Oncology Group.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3276-3285 [PMID: 17925486 DOI: 10.1182/blood-2007-08-106286]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60 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Levine JE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Paczesny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Sarantopoulos S. Clinical applications for biomarkers of acute and chronic graft-versus-host disease.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S116-S124 [PMID: 22226094 DOI: 10.1016/j.bbmt.2011.10.019]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61 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Cutler C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Miklos D, Kim HT,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Treister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N, Woo SB,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Bienfang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Klickstein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LB, Levin J, Miller K, Reynolds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Macdonell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Pasek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Lee SJ, Ho V,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Soiffer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Antin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JH, Ritz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Alyea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E. Rituximab for steroid-refractory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756-762 [PMID: 16551963 DOI: 10.1182/blood-2006-01-0233]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62 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Mohty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Marchetti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N, El-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Cheikh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Faucher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Fürst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Blaise D. Rituximab as salvage therapy for refractory chronic GVHD.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909-911 [PMID: 18278073 DOI: 10.1038/bmt.2008.12]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63 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Arai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Sahaf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Narasimhan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Chen GL, Jones CD,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Lowsky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Shizuru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JA, Johnston LJ,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Laport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Weng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WK, Benjamin JE,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Schaenman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Brown J, Ramirez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Zehnder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Negrin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RS, Miklos DB. Prophylactic rituximab after allogeneic transplantation decreases B-cell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alloimmunity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with low chronic GVHD incidence.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6145-6154 [PMID: 22563089 DOI: 10.1182/blood-2011-12-395970]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64 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Hill GR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, Crawford JM, Cooke KR, Brinson YS, Pan L, Ferrara JL.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Total body irradiation and acute graft-versus-host disease: the role of gastrointestinal damage and inflammatory cytokines.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1997;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90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3204-3213 [PMID: 9376604]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65 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Miyagawa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Gutermuth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Zhang H, Katz SI. The use of mouse models to better understand mechanisms of autoimmunity and tolerance.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Autoimmun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192-198 [PMID: 20655706 DOI: 10.1016/j.jaut.2010.06.007]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66 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Miyagawa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Tagaya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Kim BS, Patel HJ, Ishida 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Ohteki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Waldmann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TA, Katz SI. IL-15 serves as a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costimulator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in determining the activity of autoreactive CD8 T cells in an experimental mouse model of graft-versus-host-like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1109-1119 [PMID: 18606663 DOI: 10.4049/jimmunol.181.2.1109]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67 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Okiyama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Furumoto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Villarroel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VA, Linton JT, Tsai WL,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Gutermuth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Ghoreschi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Gadina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O'Shea JJ, Katz SI.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Reversal of CD8 T-cell-mediated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mucocutaneous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graft-versus-host-like disease by the JAK inhibitor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tofacitinib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Invest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992-1000 [PMID: 24213371 DOI: 10.1038/jid.2013.476]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68 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Tsuji G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Okiyama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Villarroel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VA, Katz SI. Histone deacetylase 6 inhibition impairs effector CD8 T-cell functions during skin inflammation.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Allergy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135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1228-1239 [PMID: 25458911 DOI: 10.1016/j.jaci.2014.10.002]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69 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Spoerl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Mathew NR,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Bscheider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Schmitt-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Graeff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Chen S, Mueller T, Verbeek M, Fischer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Otten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Schmickl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Maas-Bauer K, Finke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Peschel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Duyster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Poeck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Zeiser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von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Bubnoff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N. Activity of therapeutic JAK 1/2 blockade in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3832-3842 [PMID: 24711661 DOI: 10.1182/blood-2013-12-543736]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70 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Choi 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Cooper ML,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Alahmari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B, Ritchey J, Collins L, Holt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DiPersio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JF. Pharmacologic blockade of JAK1/JAK2 reduces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GvHD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and preserves the graft-versus-leukemia effect.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e109799 [PMID: 25289677 DOI: 10.1371/journal.pone.0109799]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71 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Srinivasan M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Flynn R, Price A, Ranger A, Browning JL, Taylor PA, Ritz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Antin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JH, Murphy WJ,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Luznik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Shlomchik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Panoskaltsis-Mortari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Blazar BR. Donor B-cell alloantibody deposition and germinal center formation are required for the development of murine chronic GVHD and bronchiolitis obliterans.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119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1570-1580 [PMID: 22072556 DOI: 10.1182/blood-2011-07-364414]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72 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Paczesny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Hakim FT,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Pidala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Cooke KR, Lathrop J, Griffith LM, Hansen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Jagasia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Miklos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Parkman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Russek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-Cohen E, Flowers ME, Lee S, Martin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Vogelsang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Walton M, Schultz KR. National Institutes of Health Consensus Development Project on Criteria for Clinical Trials in Chronic Graft-versus-Host Disease: III. The 2014 Biomarker Working Group Report.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780-792 [PMID: 25644957 DOI: 10.1016/j.bbmt.2015.01.003]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73 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Skert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Damiani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Michelutti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Patriarca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Arpinati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Filì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Lucchi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Malagola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Bergonzi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Roccaro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Peli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Ricotta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Caimi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Fanin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Baccarani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Russo D. Kinetics of Th1/Th2 cytokines and lymphocyte subsets to predict chronic GVHD after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allo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-SCT: results of a prospective study.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729-737 [PMID: 19398965 DOI: 10.1038/bmt.2009.80]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74 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Ritchie 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Seconi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Wood C, Walton J, Watt V. Prospective monitoring of tumor necrosis factor alpha and interferon gamma to predict the onset of acute and chronic graft-versus-host disease after allogeneic stem cell transplantation.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706-712 [PMID: 16125641 DOI: 10.1016/j.bbmt.2005.05.015]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75 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Barak V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Levi-Schaffer F, Nisman B,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Nagler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A. Cytokine dysregulation in chronic graft versus host disease.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Lymphoma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1995;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169-173 [PMID: 7773155 DOI: 10.3109/10428199509051718]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76 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Kobayashi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Imamura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Hashino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Tanaka 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Asaka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M. Clinical relevance of serum soluble interleukin-2 receptor levels in acute and chronic graft-versus-host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disease.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Lymphoma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1997;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159-169 [PMID: 9498715 DOI: 10.3109/10428199709058342]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77 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Sarantopoulos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Stevenson KE, Kim HT,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Bhuiya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NS, Cutler CS,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Soiffer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Antin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JH, Ritz J. High levels of B-cell activating factor in patients with active chronic graft-versus-host disease.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Cancer Res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6107-6114 [PMID: 17947475 DOI: 10.1158/1078-0432.CCR-07-1290]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78 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Pratt LM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Liu Y,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Ugarte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-Torres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Hoegh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-Petersen M, Podgorny PJ, Lyon AW, Williamson TS, Khan FM, Chaudhry MA, Daly A, Stewart DA, Russell JA,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Grigg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Ritchie D,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Storek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J. IL15 levels on day 7 after hematopoietic cell transplantation predict chronic GVHD.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48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722-728 [PMID: 23165502 DOI: 10.1038/bmt.2012.210]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79 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 J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Storer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BE,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Kushekhar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K, Abu Zaid M, Zhang Q,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Gafken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PR, Ogata Y, Martin PJ, Flowers ME, Hansen JA, Arora M, Cutler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Jagasia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Pidala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J, Hamilton BK, Chen GL,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Pusic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I, Lee SJ,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Paczesny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S. Biomarker Panel for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2583-2590 [PMID: 27217465 DOI: 10.1200/JCO.2015.65.9615]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80 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Devic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Shi M, Schubert MM,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Lloid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Izutsu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KT, Pan C,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Missaghi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Morton TH,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Mancl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LA, Zhang J, Presland RB.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Proteomic analysis of saliva from patients with oral chronic graft-versus-host disease.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1048-1055 [PMID: 24704387 DOI: 10.1016/j.bbmt.2014.03.031]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81 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Bassim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CW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Ambatipudi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KS, Mays JW, Edwards DA,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Swatkoski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Fassil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H, Baird K,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Gucek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Melvin JE,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Pavletic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SZ.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Quantitative salivary proteomic differences in oral chronic graft-versus-host disease.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1390-1399 [PMID: 22806177 DOI: 10.1007/s10875-012-9738-4]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82 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Izutsu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Sullivan KM, Schubert MM, Truelove EL, Shulman HM, Sale GE, Morton TH, Rice JC, Witherspoon RP,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Storb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R, Thomas ED. Disordered salivary immunoglobulin secretion and sodium transport in human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1983;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441-446 [PMID: 6342224]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83 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Boer CC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Correa ME,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Tenuta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LM, Souza CA,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Vigorito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AC. Post-allogeneic Hematopoietic Stem Cell Transplantation (HSCT) </w:t>
      </w:r>
      <w:proofErr w:type="gram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changes</w:t>
      </w:r>
      <w:proofErr w:type="gram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in inorganic salivary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components.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Support Care Cancer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2561-2567 [PMID: 25652148 DOI: 10.1007/s00520-015-2613-0]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84 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Jung JW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Han SJ, Song MK, Kim TI, Kim EK, Min YH, Cheong JW,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Seo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KY. Tear Cytokines as Biomarkers for Chronic Graft-versus-Host Disease. 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2079-2085 [PMID: 26303101 DOI: 10.1016/j.bbmt.2015.08.020]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85 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Svegliati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Olivieri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Campelli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Luchetti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Poloni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Trappolini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Moroncini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Bacigalupo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Leoni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Avvedimento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EV,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Gabrielli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A. Stimulatory autoantibodies to PDGF receptor in patients with extensive chronic graft-versus-host disease.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110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237</w:t>
      </w:r>
      <w:r w:rsidR="007F2931">
        <w:rPr>
          <w:rFonts w:ascii="Book Antiqua" w:eastAsia="宋体" w:hAnsi="Book Antiqua" w:cs="宋体"/>
          <w:sz w:val="24"/>
          <w:szCs w:val="24"/>
          <w:lang w:eastAsia="zh-CN"/>
        </w:rPr>
        <w:t xml:space="preserve">-241 [PMID: 17363728 DOI: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10.1182/blood-2007-01-071043]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86 </w:t>
      </w:r>
      <w:proofErr w:type="spellStart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Baroni</w:t>
      </w:r>
      <w:proofErr w:type="spellEnd"/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SS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Santillo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Bevilacqua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Luchetti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Spadoni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T, Mancini M,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Fraticelli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P, Sambo P,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Funaro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Kazlauskas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Avvedimento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EV, </w:t>
      </w:r>
      <w:proofErr w:type="spellStart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Gabrielli</w:t>
      </w:r>
      <w:proofErr w:type="spellEnd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A. Stimulatory autoantibodies to the PDGF receptor in systemic sclerosis. </w:t>
      </w:r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715C7B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715C7B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354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: 2667-2676 [PMID: 16790699 DOI: 10.1056/NEJMoa052955]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87</w:t>
      </w:r>
      <w:r w:rsidRPr="00715C7B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The </w:t>
      </w:r>
      <w:r w:rsidR="00392300">
        <w:rPr>
          <w:rFonts w:ascii="Book Antiqua" w:eastAsia="宋体" w:hAnsi="Book Antiqua" w:cs="宋体"/>
          <w:sz w:val="24"/>
          <w:szCs w:val="24"/>
          <w:lang w:eastAsia="zh-CN"/>
        </w:rPr>
        <w:t xml:space="preserve">French National </w:t>
      </w:r>
      <w:proofErr w:type="spellStart"/>
      <w:r w:rsidR="00392300">
        <w:rPr>
          <w:rFonts w:ascii="Book Antiqua" w:eastAsia="宋体" w:hAnsi="Book Antiqua" w:cs="宋体"/>
          <w:sz w:val="24"/>
          <w:szCs w:val="24"/>
          <w:lang w:eastAsia="zh-CN"/>
        </w:rPr>
        <w:t>Cryostem</w:t>
      </w:r>
      <w:proofErr w:type="spellEnd"/>
      <w:r w:rsidR="00392300">
        <w:rPr>
          <w:rFonts w:ascii="Book Antiqua" w:eastAsia="宋体" w:hAnsi="Book Antiqua" w:cs="宋体"/>
          <w:sz w:val="24"/>
          <w:szCs w:val="24"/>
          <w:lang w:eastAsia="zh-CN"/>
        </w:rPr>
        <w:t xml:space="preserve"> Effort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2015.</w:t>
      </w:r>
      <w:r w:rsidR="00392300">
        <w:rPr>
          <w:rFonts w:ascii="Book Antiqua" w:eastAsia="宋体" w:hAnsi="Book Antiqua" w:cs="宋体"/>
          <w:sz w:val="24"/>
          <w:szCs w:val="24"/>
          <w:lang w:eastAsia="zh-CN"/>
        </w:rPr>
        <w:t xml:space="preserve"> [</w:t>
      </w:r>
      <w:proofErr w:type="gramStart"/>
      <w:r w:rsidR="00392300">
        <w:rPr>
          <w:rFonts w:ascii="Book Antiqua" w:eastAsia="宋体" w:hAnsi="Book Antiqua" w:cs="宋体"/>
          <w:sz w:val="24"/>
          <w:szCs w:val="24"/>
          <w:lang w:eastAsia="zh-CN"/>
        </w:rPr>
        <w:t>updated</w:t>
      </w:r>
      <w:proofErr w:type="gramEnd"/>
      <w:r w:rsidR="00392300">
        <w:rPr>
          <w:rFonts w:ascii="Book Antiqua" w:eastAsia="宋体" w:hAnsi="Book Antiqua" w:cs="宋体"/>
          <w:sz w:val="24"/>
          <w:szCs w:val="24"/>
          <w:lang w:eastAsia="zh-CN"/>
        </w:rPr>
        <w:t xml:space="preserve"> 2015 Jan 20].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bookmarkStart w:id="17" w:name="OLE_LINK1065"/>
      <w:bookmarkStart w:id="18" w:name="OLE_LINK290"/>
      <w:bookmarkStart w:id="19" w:name="OLE_LINK291"/>
      <w:r w:rsidRPr="00715C7B">
        <w:rPr>
          <w:rFonts w:ascii="Book Antiqua" w:eastAsia="宋体" w:hAnsi="Book Antiqua" w:cs="Garamond"/>
          <w:sz w:val="24"/>
          <w:szCs w:val="24"/>
          <w:lang w:val="fr-FR" w:eastAsia="fr-FR"/>
        </w:rPr>
        <w:t xml:space="preserve">Available from: URL: </w:t>
      </w:r>
      <w:bookmarkEnd w:id="17"/>
      <w:r w:rsidRPr="00715C7B">
        <w:rPr>
          <w:rFonts w:ascii="Book Antiqua" w:eastAsia="宋体" w:hAnsi="Book Antiqua" w:cs="Garamond"/>
          <w:sz w:val="24"/>
          <w:szCs w:val="24"/>
          <w:lang w:val="fr-FR" w:eastAsia="fr-FR"/>
        </w:rPr>
        <w:t>http//</w:t>
      </w:r>
      <w:bookmarkEnd w:id="18"/>
      <w:bookmarkEnd w:id="19"/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www.cibmtr.org/NewsEvents/CryoStem_call_for_research_project.pdf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88</w:t>
      </w:r>
      <w:r w:rsidRPr="00715C7B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proofErr w:type="spellStart"/>
      <w:r w:rsidRPr="00715C7B">
        <w:rPr>
          <w:rFonts w:ascii="Book Antiqua" w:eastAsia="宋体" w:hAnsi="Book Antiqua" w:cs="宋体"/>
          <w:b/>
          <w:sz w:val="24"/>
          <w:szCs w:val="24"/>
          <w:lang w:eastAsia="zh-CN"/>
        </w:rPr>
        <w:t>Pasquini</w:t>
      </w:r>
      <w:proofErr w:type="spellEnd"/>
      <w:r w:rsidRPr="00715C7B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MC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 xml:space="preserve">, Zhu X. Current uses and outcomes of hematopoietic stem cell transplantation: CIBMTR Summary Slides, 2015. </w:t>
      </w:r>
      <w:r w:rsidRPr="00715C7B">
        <w:rPr>
          <w:rFonts w:ascii="Book Antiqua" w:eastAsia="宋体" w:hAnsi="Book Antiqua" w:cs="Garamond"/>
          <w:sz w:val="24"/>
          <w:szCs w:val="24"/>
          <w:lang w:val="fr-FR" w:eastAsia="fr-FR"/>
        </w:rPr>
        <w:t>Available from: URL: http//</w:t>
      </w:r>
      <w:r w:rsidRPr="00715C7B">
        <w:rPr>
          <w:rFonts w:ascii="Book Antiqua" w:eastAsia="宋体" w:hAnsi="Book Antiqua" w:cs="宋体"/>
          <w:sz w:val="24"/>
          <w:szCs w:val="24"/>
          <w:lang w:eastAsia="zh-CN"/>
        </w:rPr>
        <w:t>www.cibmtr.org</w:t>
      </w:r>
    </w:p>
    <w:p w:rsidR="00715C7B" w:rsidRPr="00715C7B" w:rsidRDefault="00715C7B" w:rsidP="00BC0BDD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</w:p>
    <w:p w:rsidR="007D1393" w:rsidRDefault="00715C7B" w:rsidP="00BC0BDD">
      <w:pPr>
        <w:widowControl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</w:pPr>
      <w:r w:rsidRPr="00715C7B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>P-Reviewer:</w:t>
      </w:r>
      <w:r w:rsidRPr="00715C7B">
        <w:rPr>
          <w:rFonts w:ascii="Book Antiqua" w:eastAsia="宋体" w:hAnsi="Book Antiqua" w:cs="Courier New"/>
          <w:kern w:val="2"/>
          <w:sz w:val="21"/>
          <w:szCs w:val="21"/>
          <w:lang w:eastAsia="zh-CN"/>
        </w:rPr>
        <w:t xml:space="preserve"> </w:t>
      </w:r>
      <w:proofErr w:type="spellStart"/>
      <w:r w:rsidRPr="00715C7B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Budde</w:t>
      </w:r>
      <w:proofErr w:type="spellEnd"/>
      <w:r w:rsidRPr="00715C7B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H, </w:t>
      </w:r>
      <w:proofErr w:type="spellStart"/>
      <w:r w:rsidRPr="00715C7B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Crocchiolo</w:t>
      </w:r>
      <w:proofErr w:type="spellEnd"/>
      <w:r w:rsidRPr="00715C7B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R, </w:t>
      </w:r>
      <w:proofErr w:type="spellStart"/>
      <w:r w:rsidRPr="00715C7B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Greinix</w:t>
      </w:r>
      <w:proofErr w:type="spellEnd"/>
      <w:r w:rsidRPr="00715C7B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HT, </w:t>
      </w:r>
      <w:proofErr w:type="spellStart"/>
      <w:r w:rsidRPr="00715C7B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Inamoto</w:t>
      </w:r>
      <w:proofErr w:type="spellEnd"/>
      <w:r w:rsidRPr="00715C7B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Y, </w:t>
      </w:r>
      <w:r w:rsidRPr="00715C7B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Kelly</w:t>
      </w:r>
      <w:r w:rsidRPr="00715C7B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DL, </w:t>
      </w:r>
      <w:proofErr w:type="spellStart"/>
      <w:r w:rsidRPr="00715C7B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Teofili</w:t>
      </w:r>
      <w:proofErr w:type="spellEnd"/>
      <w:r w:rsidRPr="00715C7B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L, </w:t>
      </w:r>
      <w:r w:rsidRPr="00715C7B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Zhang</w:t>
      </w:r>
      <w:r w:rsidRPr="00715C7B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LL </w:t>
      </w:r>
      <w:r w:rsidRPr="00715C7B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 xml:space="preserve">S-Editor: </w:t>
      </w:r>
      <w:proofErr w:type="spellStart"/>
      <w:r w:rsidRPr="00715C7B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Qiu</w:t>
      </w:r>
      <w:proofErr w:type="spellEnd"/>
      <w:r w:rsidRPr="00715C7B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 xml:space="preserve"> S</w:t>
      </w:r>
      <w:r w:rsidRPr="00715C7B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 xml:space="preserve"> L-Editor: E-Editor:</w:t>
      </w:r>
      <w:bookmarkEnd w:id="11"/>
      <w:bookmarkEnd w:id="12"/>
      <w:bookmarkEnd w:id="13"/>
      <w:bookmarkEnd w:id="14"/>
      <w:bookmarkEnd w:id="15"/>
      <w:bookmarkEnd w:id="16"/>
    </w:p>
    <w:p w:rsidR="007D1393" w:rsidRDefault="007D1393">
      <w:pPr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</w:pPr>
      <w:r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br w:type="page"/>
      </w:r>
    </w:p>
    <w:p w:rsidR="007D1393" w:rsidRPr="00606B8D" w:rsidRDefault="007D1393" w:rsidP="007D139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606B8D">
        <w:rPr>
          <w:rFonts w:ascii="Book Antiqua" w:hAnsi="Book Antiqua" w:cs="Arial"/>
          <w:b/>
          <w:sz w:val="24"/>
          <w:szCs w:val="24"/>
        </w:rPr>
        <w:lastRenderedPageBreak/>
        <w:t>Table 1</w:t>
      </w:r>
      <w:r w:rsidRPr="00606B8D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Pr="00606B8D">
        <w:rPr>
          <w:rFonts w:ascii="Book Antiqua" w:hAnsi="Book Antiqua" w:cs="Arial"/>
          <w:b/>
          <w:sz w:val="24"/>
          <w:szCs w:val="24"/>
        </w:rPr>
        <w:t>Signs, symptoms and prevalence of</w:t>
      </w:r>
      <w:r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Pr="00606B8D">
        <w:rPr>
          <w:rFonts w:ascii="Book Antiqua" w:hAnsi="Book Antiqua" w:cs="Arial"/>
          <w:b/>
        </w:rPr>
        <w:t>chronic graft</w:t>
      </w:r>
      <w:r w:rsidRPr="00606B8D">
        <w:rPr>
          <w:rFonts w:ascii="Book Antiqua" w:hAnsi="Book Antiqua" w:cs="Arial"/>
          <w:b/>
          <w:sz w:val="24"/>
          <w:szCs w:val="24"/>
        </w:rPr>
        <w:t>-</w:t>
      </w:r>
      <w:r w:rsidRPr="00606B8D">
        <w:rPr>
          <w:rFonts w:ascii="Book Antiqua" w:hAnsi="Book Antiqua" w:cs="Arial"/>
          <w:b/>
          <w:i/>
          <w:sz w:val="24"/>
          <w:szCs w:val="24"/>
        </w:rPr>
        <w:t>vs</w:t>
      </w:r>
      <w:r w:rsidRPr="00606B8D">
        <w:rPr>
          <w:rFonts w:ascii="Book Antiqua" w:hAnsi="Book Antiqua" w:cs="Arial"/>
          <w:b/>
          <w:sz w:val="24"/>
          <w:szCs w:val="24"/>
        </w:rPr>
        <w:t>-</w:t>
      </w:r>
      <w:r w:rsidRPr="00606B8D">
        <w:rPr>
          <w:rFonts w:ascii="Book Antiqua" w:hAnsi="Book Antiqua" w:cs="Arial"/>
          <w:b/>
        </w:rPr>
        <w:t>host disease</w:t>
      </w:r>
      <w:r w:rsidRPr="00606B8D">
        <w:rPr>
          <w:rFonts w:ascii="Book Antiqua" w:hAnsi="Book Antiqua" w:cs="Arial"/>
          <w:b/>
          <w:sz w:val="24"/>
          <w:szCs w:val="24"/>
        </w:rPr>
        <w:t xml:space="preserve"> in selected organs and tissues</w:t>
      </w:r>
    </w:p>
    <w:tbl>
      <w:tblPr>
        <w:tblStyle w:val="LightShading"/>
        <w:tblW w:w="9648" w:type="dxa"/>
        <w:tblLook w:val="04A0" w:firstRow="1" w:lastRow="0" w:firstColumn="1" w:lastColumn="0" w:noHBand="0" w:noVBand="1"/>
      </w:tblPr>
      <w:tblGrid>
        <w:gridCol w:w="2088"/>
        <w:gridCol w:w="1710"/>
        <w:gridCol w:w="3384"/>
        <w:gridCol w:w="2466"/>
      </w:tblGrid>
      <w:tr w:rsidR="007D1393" w:rsidRPr="00FB5CEB" w:rsidTr="0043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Organ or tissue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Prevalence, %</w:t>
            </w:r>
            <w:r w:rsidRPr="00FB5CEB">
              <w:rPr>
                <w:rFonts w:ascii="Book Antiqua" w:hAnsi="Book Antiqua" w:cs="Arial"/>
                <w:color w:val="auto"/>
                <w:vertAlign w:val="superscript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Diagnostic features</w:t>
            </w:r>
            <w:r w:rsidRPr="00FB5CEB">
              <w:rPr>
                <w:rFonts w:ascii="Book Antiqua" w:hAnsi="Book Antiqua" w:cs="Arial"/>
                <w:color w:val="auto"/>
                <w:vertAlign w:val="superscript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Distinctive features</w:t>
            </w:r>
            <w:r w:rsidRPr="00FB5CEB">
              <w:rPr>
                <w:rFonts w:ascii="Book Antiqua" w:hAnsi="Book Antiqua" w:cs="Arial"/>
                <w:color w:val="auto"/>
                <w:vertAlign w:val="superscript"/>
              </w:rPr>
              <w:t>3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</w:rPr>
              <w:t xml:space="preserve">Skin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75%</w:t>
            </w:r>
          </w:p>
        </w:tc>
        <w:tc>
          <w:tcPr>
            <w:tcW w:w="3384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</w:rPr>
              <w:t>Poikiloderma</w:t>
            </w:r>
            <w:proofErr w:type="spellEnd"/>
            <w:r w:rsidRPr="00FB5CEB">
              <w:rPr>
                <w:rFonts w:ascii="Book Antiqua" w:hAnsi="Book Antiqua" w:cs="Arial"/>
                <w:color w:val="auto"/>
              </w:rPr>
              <w:t xml:space="preserve"> 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Lichen planus-like features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Sclerosis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</w:rPr>
              <w:t>Morphea</w:t>
            </w:r>
            <w:proofErr w:type="spellEnd"/>
            <w:r w:rsidRPr="00FB5CEB">
              <w:rPr>
                <w:rFonts w:ascii="Book Antiqua" w:hAnsi="Book Antiqua" w:cs="Arial"/>
                <w:color w:val="auto"/>
              </w:rPr>
              <w:t>-like features</w:t>
            </w:r>
            <w:r>
              <w:rPr>
                <w:rFonts w:ascii="Book Antiqua" w:hAnsi="Book Antiqua" w:cs="Arial"/>
                <w:color w:val="auto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Depigmentation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</w:rPr>
              <w:t>Papulosquamous</w:t>
            </w:r>
            <w:proofErr w:type="spellEnd"/>
            <w:r w:rsidRPr="00FB5CEB">
              <w:rPr>
                <w:rFonts w:ascii="Book Antiqua" w:hAnsi="Book Antiqua" w:cs="Arial"/>
                <w:color w:val="auto"/>
              </w:rPr>
              <w:t xml:space="preserve"> lesions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</w:rPr>
              <w:t xml:space="preserve">Mouth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51%-63%</w:t>
            </w:r>
          </w:p>
        </w:tc>
        <w:tc>
          <w:tcPr>
            <w:tcW w:w="3384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Lichen planus-like features</w:t>
            </w:r>
          </w:p>
        </w:tc>
        <w:tc>
          <w:tcPr>
            <w:tcW w:w="2466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Xerostomia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</w:rPr>
              <w:t>Mucoceles</w:t>
            </w:r>
            <w:proofErr w:type="spellEnd"/>
          </w:p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Mucosal atrophy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Ulcers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</w:rPr>
              <w:t>Pseudomembranes</w:t>
            </w:r>
            <w:proofErr w:type="spellEnd"/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</w:rPr>
              <w:t xml:space="preserve">Liver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29%-51%</w:t>
            </w:r>
          </w:p>
        </w:tc>
        <w:tc>
          <w:tcPr>
            <w:tcW w:w="3384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None</w:t>
            </w:r>
            <w:r w:rsidRPr="00FB5CEB">
              <w:rPr>
                <w:rFonts w:ascii="Book Antiqua" w:hAnsi="Book Antiqua" w:cs="Arial"/>
                <w:color w:val="auto"/>
                <w:vertAlign w:val="superscript"/>
              </w:rPr>
              <w:t>4</w:t>
            </w:r>
            <w:r w:rsidRPr="00FB5CEB">
              <w:rPr>
                <w:rFonts w:ascii="Book Antiqua" w:hAnsi="Book Antiqua" w:cs="Arial"/>
                <w:color w:val="auto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None</w:t>
            </w:r>
            <w:r w:rsidRPr="00FB5CEB">
              <w:rPr>
                <w:rFonts w:ascii="Book Antiqua" w:hAnsi="Book Antiqua" w:cs="Arial"/>
                <w:color w:val="auto"/>
                <w:vertAlign w:val="superscript"/>
              </w:rPr>
              <w:t>4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</w:rPr>
              <w:t>Eye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22%-33%</w:t>
            </w:r>
          </w:p>
        </w:tc>
        <w:tc>
          <w:tcPr>
            <w:tcW w:w="3384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</w:p>
        </w:tc>
        <w:tc>
          <w:tcPr>
            <w:tcW w:w="2466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Dry, gritty or painful eyes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</w:rPr>
              <w:t>Cicatricial</w:t>
            </w:r>
            <w:proofErr w:type="spellEnd"/>
            <w:r w:rsidRPr="00FB5CEB">
              <w:rPr>
                <w:rFonts w:ascii="Book Antiqua" w:hAnsi="Book Antiqua" w:cs="Arial"/>
                <w:color w:val="auto"/>
              </w:rPr>
              <w:t xml:space="preserve"> conjunctivitis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</w:rPr>
              <w:t>Keratoconjunctivitis-Sicca</w:t>
            </w:r>
            <w:proofErr w:type="spellEnd"/>
            <w:r w:rsidRPr="00FB5CEB">
              <w:rPr>
                <w:rFonts w:ascii="Book Antiqua" w:hAnsi="Book Antiqua" w:cs="Arial"/>
                <w:color w:val="auto"/>
              </w:rPr>
              <w:t xml:space="preserve"> syndrome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</w:rPr>
              <w:t xml:space="preserve">GI tract and esophagus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7%-45%</w:t>
            </w:r>
          </w:p>
        </w:tc>
        <w:tc>
          <w:tcPr>
            <w:tcW w:w="3384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Esophageal web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 xml:space="preserve">Strictures or stenosis in upper esophagus </w:t>
            </w:r>
          </w:p>
        </w:tc>
        <w:tc>
          <w:tcPr>
            <w:tcW w:w="2466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</w:rPr>
              <w:t xml:space="preserve">Lung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4%-19%</w:t>
            </w:r>
          </w:p>
        </w:tc>
        <w:tc>
          <w:tcPr>
            <w:tcW w:w="3384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Bronchiolitis obliterans (BO)</w:t>
            </w:r>
          </w:p>
        </w:tc>
        <w:tc>
          <w:tcPr>
            <w:tcW w:w="2466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 xml:space="preserve">Air trapping and bronchiectasis on chest CT scan 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</w:rPr>
              <w:t>Muscles, fascia and joints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6%</w:t>
            </w:r>
          </w:p>
        </w:tc>
        <w:tc>
          <w:tcPr>
            <w:tcW w:w="3384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</w:rPr>
              <w:t>Fascitis</w:t>
            </w:r>
            <w:proofErr w:type="spellEnd"/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 xml:space="preserve">Sclerosis 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 xml:space="preserve">Joint stiffness or contractures </w:t>
            </w:r>
          </w:p>
        </w:tc>
        <w:tc>
          <w:tcPr>
            <w:tcW w:w="2466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Myositis or polymyositis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</w:rPr>
              <w:t>Genitalia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1%</w:t>
            </w:r>
          </w:p>
        </w:tc>
        <w:tc>
          <w:tcPr>
            <w:tcW w:w="3384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>Lichen planus-like features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 xml:space="preserve">Lichen </w:t>
            </w:r>
            <w:proofErr w:type="spellStart"/>
            <w:r w:rsidRPr="00FB5CEB">
              <w:rPr>
                <w:rFonts w:ascii="Book Antiqua" w:hAnsi="Book Antiqua" w:cs="Arial"/>
                <w:color w:val="auto"/>
              </w:rPr>
              <w:t>sclerosus</w:t>
            </w:r>
            <w:proofErr w:type="spellEnd"/>
            <w:r w:rsidRPr="00FB5CEB">
              <w:rPr>
                <w:rFonts w:ascii="Book Antiqua" w:hAnsi="Book Antiqua" w:cs="Arial"/>
                <w:color w:val="auto"/>
              </w:rPr>
              <w:t>-like features</w:t>
            </w:r>
          </w:p>
        </w:tc>
        <w:tc>
          <w:tcPr>
            <w:tcW w:w="2466" w:type="dxa"/>
            <w:shd w:val="clear" w:color="auto" w:fill="auto"/>
          </w:tcPr>
          <w:p w:rsidR="007D1393" w:rsidRPr="00FB5CEB" w:rsidRDefault="007D1393" w:rsidP="004372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</w:rPr>
            </w:pPr>
            <w:r w:rsidRPr="00FB5CEB">
              <w:rPr>
                <w:rFonts w:ascii="Book Antiqua" w:hAnsi="Book Antiqua" w:cs="Arial"/>
                <w:color w:val="auto"/>
              </w:rPr>
              <w:t xml:space="preserve">Erosions, Fissures, Ulcers </w:t>
            </w:r>
          </w:p>
        </w:tc>
      </w:tr>
    </w:tbl>
    <w:p w:rsidR="007D1393" w:rsidRPr="00FB5CEB" w:rsidRDefault="007D1393" w:rsidP="007D1393">
      <w:pPr>
        <w:spacing w:after="0" w:line="360" w:lineRule="auto"/>
        <w:jc w:val="both"/>
        <w:rPr>
          <w:rFonts w:ascii="Book Antiqua" w:hAnsi="Book Antiqua" w:cs="Arial"/>
        </w:rPr>
      </w:pPr>
    </w:p>
    <w:p w:rsidR="007D1393" w:rsidRPr="00FB5CEB" w:rsidRDefault="007D1393" w:rsidP="007D1393">
      <w:pPr>
        <w:spacing w:after="0" w:line="360" w:lineRule="auto"/>
        <w:jc w:val="both"/>
        <w:rPr>
          <w:rFonts w:ascii="Book Antiqua" w:hAnsi="Book Antiqua" w:cs="Arial"/>
          <w:lang w:eastAsia="zh-CN"/>
        </w:rPr>
      </w:pPr>
      <w:r w:rsidRPr="00FB5CEB">
        <w:rPr>
          <w:rFonts w:ascii="Book Antiqua" w:hAnsi="Book Antiqua" w:cs="Arial"/>
          <w:vertAlign w:val="superscript"/>
        </w:rPr>
        <w:lastRenderedPageBreak/>
        <w:t>1</w:t>
      </w:r>
      <w:r w:rsidRPr="00FB5CEB">
        <w:rPr>
          <w:rFonts w:ascii="Book Antiqua" w:hAnsi="Book Antiqua" w:cs="Arial"/>
        </w:rPr>
        <w:t xml:space="preserve">Frequency of tissue involvement at initial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>
        <w:rPr>
          <w:rFonts w:ascii="Book Antiqua" w:hAnsi="Book Antiqua" w:cs="Arial"/>
        </w:rPr>
        <w:t xml:space="preserve"> diagnosis (from Lee </w:t>
      </w:r>
      <w:r w:rsidRPr="0014060B">
        <w:rPr>
          <w:rFonts w:ascii="Book Antiqua" w:hAnsi="Book Antiqua" w:cs="Arial" w:hint="eastAsia"/>
          <w:i/>
          <w:lang w:eastAsia="zh-CN"/>
        </w:rPr>
        <w:t xml:space="preserve">et </w:t>
      </w:r>
      <w:proofErr w:type="gramStart"/>
      <w:r w:rsidRPr="0014060B">
        <w:rPr>
          <w:rFonts w:ascii="Book Antiqua" w:hAnsi="Book Antiqua" w:cs="Arial" w:hint="eastAsia"/>
          <w:i/>
          <w:lang w:eastAsia="zh-CN"/>
        </w:rPr>
        <w:t>al</w:t>
      </w:r>
      <w:r w:rsidRPr="00FB5CEB">
        <w:rPr>
          <w:rFonts w:ascii="Book Antiqua" w:hAnsi="Book Antiqua" w:cs="Arial"/>
          <w:vertAlign w:val="superscript"/>
        </w:rPr>
        <w:t>[</w:t>
      </w:r>
      <w:proofErr w:type="gramEnd"/>
      <w:r w:rsidRPr="00FB5CEB">
        <w:rPr>
          <w:rFonts w:ascii="Book Antiqua" w:hAnsi="Book Antiqua" w:cs="Arial"/>
          <w:vertAlign w:val="superscript"/>
        </w:rPr>
        <w:t>4]</w:t>
      </w:r>
      <w:r>
        <w:rPr>
          <w:rFonts w:ascii="Book Antiqua" w:hAnsi="Book Antiqua" w:cs="Arial"/>
        </w:rPr>
        <w:t>)</w:t>
      </w:r>
      <w:r>
        <w:rPr>
          <w:rFonts w:ascii="Book Antiqua" w:hAnsi="Book Antiqua" w:cs="Arial" w:hint="eastAsia"/>
          <w:lang w:eastAsia="zh-CN"/>
        </w:rPr>
        <w:t xml:space="preserve">; </w:t>
      </w:r>
      <w:r w:rsidRPr="00FB5CEB">
        <w:rPr>
          <w:rFonts w:ascii="Book Antiqua" w:hAnsi="Book Antiqua" w:cs="Arial"/>
          <w:vertAlign w:val="superscript"/>
        </w:rPr>
        <w:t>2</w:t>
      </w:r>
      <w:r w:rsidRPr="00FB5CEB">
        <w:rPr>
          <w:rFonts w:ascii="Book Antiqua" w:hAnsi="Book Antiqua" w:cs="Arial"/>
        </w:rPr>
        <w:t xml:space="preserve">clinical symptoms that are sufficient for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diagnosis.</w:t>
      </w:r>
      <w:r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>Information ada</w:t>
      </w:r>
      <w:r>
        <w:rPr>
          <w:rFonts w:ascii="Book Antiqua" w:hAnsi="Book Antiqua" w:cs="Arial"/>
        </w:rPr>
        <w:t>pted from references 8 and 13</w:t>
      </w:r>
      <w:r>
        <w:rPr>
          <w:rFonts w:ascii="Book Antiqua" w:hAnsi="Book Antiqua" w:cs="Arial" w:hint="eastAsia"/>
          <w:lang w:eastAsia="zh-CN"/>
        </w:rPr>
        <w:t xml:space="preserve">; </w:t>
      </w:r>
      <w:r w:rsidRPr="00FB5CEB">
        <w:rPr>
          <w:rFonts w:ascii="Book Antiqua" w:hAnsi="Book Antiqua" w:cs="Arial"/>
          <w:vertAlign w:val="superscript"/>
        </w:rPr>
        <w:t>3</w:t>
      </w:r>
      <w:r w:rsidRPr="00FB5CEB">
        <w:rPr>
          <w:rFonts w:ascii="Book Antiqua" w:hAnsi="Book Antiqua" w:cs="Arial"/>
        </w:rPr>
        <w:t xml:space="preserve">clinical symptoms that are frequently seen in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, but insufficient for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diagnosis.</w:t>
      </w:r>
      <w:r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>Information ada</w:t>
      </w:r>
      <w:r>
        <w:rPr>
          <w:rFonts w:ascii="Book Antiqua" w:hAnsi="Book Antiqua" w:cs="Arial"/>
        </w:rPr>
        <w:t>pted from references 8 and 13</w:t>
      </w:r>
      <w:r>
        <w:rPr>
          <w:rFonts w:ascii="Book Antiqua" w:hAnsi="Book Antiqua" w:cs="Arial" w:hint="eastAsia"/>
          <w:lang w:eastAsia="zh-CN"/>
        </w:rPr>
        <w:t xml:space="preserve">; </w:t>
      </w:r>
      <w:r w:rsidRPr="00FB5CEB">
        <w:rPr>
          <w:rFonts w:ascii="Book Antiqua" w:hAnsi="Book Antiqua" w:cs="Arial"/>
          <w:vertAlign w:val="superscript"/>
        </w:rPr>
        <w:t>4</w:t>
      </w:r>
      <w:r w:rsidRPr="00FB5CEB">
        <w:rPr>
          <w:rFonts w:ascii="Book Antiqua" w:hAnsi="Book Antiqua" w:cs="Arial"/>
        </w:rPr>
        <w:t xml:space="preserve">while no diagnostic or distinctive features have been identified for liver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>, hepatitis is often seen (and also sometimes in acute GVHD) with elevated serum levels of bilirubin, alkaline phosphatase and Alanine Aminotransferase (ALT)</w:t>
      </w:r>
      <w:r w:rsidRPr="00FB5CEB">
        <w:rPr>
          <w:rFonts w:ascii="Book Antiqua" w:hAnsi="Book Antiqua" w:cs="Arial"/>
          <w:vertAlign w:val="superscript"/>
        </w:rPr>
        <w:t>[13]</w:t>
      </w:r>
      <w:r w:rsidRPr="00FB5CEB">
        <w:rPr>
          <w:rFonts w:ascii="Book Antiqua" w:hAnsi="Book Antiqua" w:cs="Arial"/>
        </w:rPr>
        <w:t xml:space="preserve">. </w:t>
      </w:r>
      <w:proofErr w:type="spellStart"/>
      <w:proofErr w:type="gramStart"/>
      <w:r w:rsidRPr="00FB5CEB">
        <w:rPr>
          <w:rFonts w:ascii="Book Antiqua" w:hAnsi="Book Antiqua" w:cs="Arial"/>
        </w:rPr>
        <w:t>cGVHD</w:t>
      </w:r>
      <w:proofErr w:type="spellEnd"/>
      <w:proofErr w:type="gramEnd"/>
      <w:r w:rsidRPr="007F50BB">
        <w:rPr>
          <w:rFonts w:ascii="Book Antiqua" w:hAnsi="Book Antiqua" w:cs="Arial" w:hint="eastAsia"/>
          <w:lang w:eastAsia="zh-CN"/>
        </w:rPr>
        <w:t>:</w:t>
      </w:r>
      <w:r w:rsidRPr="007F50BB">
        <w:rPr>
          <w:rFonts w:ascii="Book Antiqua" w:hAnsi="Book Antiqua" w:cs="Arial"/>
        </w:rPr>
        <w:t xml:space="preserve"> Chronic graft</w:t>
      </w:r>
      <w:r w:rsidRPr="007F50BB">
        <w:rPr>
          <w:rFonts w:ascii="Book Antiqua" w:hAnsi="Book Antiqua" w:cs="Arial"/>
          <w:sz w:val="24"/>
          <w:szCs w:val="24"/>
        </w:rPr>
        <w:t>-</w:t>
      </w:r>
      <w:r w:rsidRPr="007F50BB">
        <w:rPr>
          <w:rFonts w:ascii="Book Antiqua" w:hAnsi="Book Antiqua" w:cs="Arial"/>
          <w:i/>
          <w:sz w:val="24"/>
          <w:szCs w:val="24"/>
        </w:rPr>
        <w:t>vs</w:t>
      </w:r>
      <w:r w:rsidRPr="007F50BB">
        <w:rPr>
          <w:rFonts w:ascii="Book Antiqua" w:hAnsi="Book Antiqua" w:cs="Arial"/>
          <w:sz w:val="24"/>
          <w:szCs w:val="24"/>
        </w:rPr>
        <w:t>-</w:t>
      </w:r>
      <w:r w:rsidRPr="007F50BB">
        <w:rPr>
          <w:rFonts w:ascii="Book Antiqua" w:hAnsi="Book Antiqua" w:cs="Arial"/>
        </w:rPr>
        <w:t>host disease</w:t>
      </w:r>
      <w:r>
        <w:rPr>
          <w:rFonts w:ascii="Book Antiqua" w:hAnsi="Book Antiqua" w:cs="Arial" w:hint="eastAsia"/>
          <w:lang w:eastAsia="zh-CN"/>
        </w:rPr>
        <w:t>.</w:t>
      </w:r>
    </w:p>
    <w:p w:rsidR="007D1393" w:rsidRPr="00FB5CEB" w:rsidRDefault="007D1393" w:rsidP="007D1393">
      <w:pPr>
        <w:spacing w:after="0" w:line="360" w:lineRule="auto"/>
        <w:jc w:val="both"/>
        <w:rPr>
          <w:rFonts w:ascii="Book Antiqua" w:hAnsi="Book Antiqua" w:cs="Arial"/>
        </w:rPr>
      </w:pPr>
      <w:r w:rsidRPr="00FB5CEB">
        <w:rPr>
          <w:rFonts w:ascii="Book Antiqua" w:hAnsi="Book Antiqua" w:cs="Arial"/>
        </w:rPr>
        <w:br w:type="page"/>
      </w:r>
    </w:p>
    <w:p w:rsidR="007D1393" w:rsidRPr="008B141A" w:rsidRDefault="007D1393" w:rsidP="007D1393">
      <w:pPr>
        <w:pStyle w:val="NoSpacing"/>
        <w:spacing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8B141A">
        <w:rPr>
          <w:rFonts w:ascii="Book Antiqua" w:hAnsi="Book Antiqua" w:cs="Arial"/>
          <w:b/>
          <w:sz w:val="24"/>
          <w:szCs w:val="24"/>
        </w:rPr>
        <w:lastRenderedPageBreak/>
        <w:t>Table 2</w:t>
      </w:r>
      <w:r w:rsidRPr="008B141A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Pr="008B141A">
        <w:rPr>
          <w:rFonts w:ascii="Book Antiqua" w:hAnsi="Book Antiqua" w:cs="Arial"/>
          <w:b/>
          <w:sz w:val="24"/>
          <w:szCs w:val="24"/>
        </w:rPr>
        <w:t>Immune cell types and their function in</w:t>
      </w:r>
      <w:r w:rsidRPr="008B141A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Pr="008B141A">
        <w:rPr>
          <w:rFonts w:ascii="Book Antiqua" w:hAnsi="Book Antiqua" w:cs="Arial"/>
          <w:b/>
        </w:rPr>
        <w:t>chronic graft</w:t>
      </w:r>
      <w:r w:rsidRPr="008B141A">
        <w:rPr>
          <w:rFonts w:ascii="Book Antiqua" w:hAnsi="Book Antiqua" w:cs="Arial"/>
          <w:b/>
          <w:sz w:val="24"/>
          <w:szCs w:val="24"/>
        </w:rPr>
        <w:t>-</w:t>
      </w:r>
      <w:r w:rsidRPr="008B141A">
        <w:rPr>
          <w:rFonts w:ascii="Book Antiqua" w:hAnsi="Book Antiqua" w:cs="Arial"/>
          <w:b/>
          <w:i/>
          <w:sz w:val="24"/>
          <w:szCs w:val="24"/>
        </w:rPr>
        <w:t>vs</w:t>
      </w:r>
      <w:r w:rsidRPr="008B141A">
        <w:rPr>
          <w:rFonts w:ascii="Book Antiqua" w:hAnsi="Book Antiqua" w:cs="Arial"/>
          <w:b/>
          <w:sz w:val="24"/>
          <w:szCs w:val="24"/>
        </w:rPr>
        <w:t>-</w:t>
      </w:r>
      <w:r w:rsidRPr="008B141A">
        <w:rPr>
          <w:rFonts w:ascii="Book Antiqua" w:hAnsi="Book Antiqua" w:cs="Arial"/>
          <w:b/>
        </w:rPr>
        <w:t>host disease</w:t>
      </w:r>
    </w:p>
    <w:p w:rsidR="007D1393" w:rsidRPr="00FB5CEB" w:rsidRDefault="007D1393" w:rsidP="007D1393">
      <w:pPr>
        <w:pStyle w:val="NoSpacing"/>
        <w:spacing w:line="360" w:lineRule="auto"/>
        <w:jc w:val="both"/>
        <w:rPr>
          <w:rFonts w:ascii="Book Antiqua" w:hAnsi="Book Antiqua" w:cs="Arial"/>
        </w:rPr>
      </w:pPr>
    </w:p>
    <w:tbl>
      <w:tblPr>
        <w:tblStyle w:val="LightShading"/>
        <w:tblW w:w="10278" w:type="dxa"/>
        <w:tblLook w:val="04A0" w:firstRow="1" w:lastRow="0" w:firstColumn="1" w:lastColumn="0" w:noHBand="0" w:noVBand="1"/>
      </w:tblPr>
      <w:tblGrid>
        <w:gridCol w:w="1458"/>
        <w:gridCol w:w="1350"/>
        <w:gridCol w:w="2700"/>
        <w:gridCol w:w="4770"/>
      </w:tblGrid>
      <w:tr w:rsidR="007D1393" w:rsidRPr="00FB5CEB" w:rsidTr="0043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Cell type</w:t>
            </w:r>
          </w:p>
        </w:tc>
        <w:tc>
          <w:tcPr>
            <w:tcW w:w="13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Subtypes </w:t>
            </w:r>
          </w:p>
        </w:tc>
        <w:tc>
          <w:tcPr>
            <w:tcW w:w="270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Key cytokines or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markers </w:t>
            </w:r>
          </w:p>
        </w:tc>
        <w:tc>
          <w:tcPr>
            <w:tcW w:w="477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Brief summary of disease involvement 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CD4</w:t>
            </w: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  <w:vertAlign w:val="superscript"/>
              </w:rPr>
              <w:t>+</w:t>
            </w: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 xml:space="preserve"> T cells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Th1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Th2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Th17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Tregs</w:t>
            </w:r>
            <w:proofErr w:type="spellEnd"/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 follicular helper cells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  <w:vertAlign w:val="superscript"/>
              </w:rPr>
              <w:t>3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IFN-</w:t>
            </w:r>
            <w:r w:rsidRPr="00FB5CEB">
              <w:rPr>
                <w:rFonts w:ascii="Symbol" w:hAnsi="Symbol" w:cs="Arial"/>
                <w:color w:val="auto"/>
                <w:sz w:val="20"/>
                <w:szCs w:val="20"/>
              </w:rPr>
              <w:t>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, TNF-</w:t>
            </w:r>
            <w:r w:rsidRPr="00FB5CEB">
              <w:rPr>
                <w:rFonts w:ascii="Symbol" w:hAnsi="Symbol" w:cs="Arial"/>
                <w:color w:val="auto"/>
                <w:sz w:val="20"/>
                <w:szCs w:val="20"/>
              </w:rPr>
              <w:t>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IL-4, IL-13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IL-17; also IL-21, IL-22, TNF-</w:t>
            </w:r>
            <w:r w:rsidRPr="00FB5CEB">
              <w:rPr>
                <w:rFonts w:ascii="Symbol" w:hAnsi="Symbol" w:cs="Arial"/>
                <w:color w:val="auto"/>
                <w:sz w:val="20"/>
                <w:szCs w:val="20"/>
              </w:rPr>
              <w:t>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TGF-</w:t>
            </w:r>
            <w:r w:rsidRPr="00FB5CEB">
              <w:rPr>
                <w:rFonts w:ascii="Symbol" w:hAnsi="Symbol" w:cs="Arial"/>
                <w:color w:val="auto"/>
                <w:sz w:val="20"/>
                <w:szCs w:val="20"/>
              </w:rPr>
              <w:t></w:t>
            </w:r>
            <w:r w:rsidRPr="00FB5CEB">
              <w:rPr>
                <w:rFonts w:ascii="Symbol" w:hAnsi="Symbol" w:cs="Arial"/>
                <w:color w:val="auto"/>
                <w:sz w:val="20"/>
                <w:szCs w:val="20"/>
              </w:rPr>
              <w:t></w:t>
            </w:r>
            <w:r w:rsidRPr="00FB5CEB">
              <w:rPr>
                <w:rFonts w:ascii="Symbol" w:hAnsi="Symbol" w:cs="Arial"/>
                <w:color w:val="auto"/>
                <w:sz w:val="20"/>
                <w:szCs w:val="20"/>
              </w:rPr>
              <w:t>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required for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Treg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proliferation and differentiation)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Express CCR5, PD-1 and ICOS</w:t>
            </w:r>
          </w:p>
        </w:tc>
        <w:tc>
          <w:tcPr>
            <w:tcW w:w="477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Pro-inflammatory. Important in acute GVHD, but role in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unclear.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Stimulate antibody production. Role in clinical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poorly defined.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Pro-inflammatory. IL-17 levels correlate with disease severity; IL-17 induces scleroderma of skin and lung.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Produced mostly in thymus. Suppress autoreactive T cells. Lower levels of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Tregs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present in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patients, associated with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thymic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damage and loss of self-tolerance in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.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Promote abnormal B cell maturation into long-lived active plasma cells, and IgG secretion.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CD8</w:t>
            </w: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  <w:vertAlign w:val="superscript"/>
              </w:rPr>
              <w:t>+</w:t>
            </w: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 xml:space="preserve"> T cells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CXCL9, CXCL10</w:t>
            </w:r>
          </w:p>
        </w:tc>
        <w:tc>
          <w:tcPr>
            <w:tcW w:w="477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Mediate graft</w:t>
            </w:r>
            <w:r w:rsidRPr="00FB5CEB">
              <w:rPr>
                <w:rFonts w:ascii="Book Antiqua" w:hAnsi="Book Antiqua" w:cs="Arial"/>
                <w:sz w:val="24"/>
                <w:szCs w:val="24"/>
              </w:rPr>
              <w:t>-</w:t>
            </w:r>
            <w:r w:rsidRPr="00FB5CEB">
              <w:rPr>
                <w:rFonts w:ascii="Book Antiqua" w:hAnsi="Book Antiqua" w:cs="Arial"/>
                <w:i/>
                <w:sz w:val="24"/>
                <w:szCs w:val="24"/>
              </w:rPr>
              <w:t>v</w:t>
            </w:r>
            <w:r w:rsidRPr="00FB5CEB">
              <w:rPr>
                <w:rFonts w:ascii="Book Antiqua" w:hAnsi="Book Antiqua" w:cs="Arial"/>
                <w:i/>
                <w:color w:val="auto"/>
                <w:sz w:val="24"/>
                <w:szCs w:val="24"/>
              </w:rPr>
              <w:t>s</w:t>
            </w:r>
            <w:r w:rsidRPr="00FB5CEB">
              <w:rPr>
                <w:rFonts w:ascii="Book Antiqua" w:hAnsi="Book Antiqua" w:cs="Arial"/>
                <w:color w:val="auto"/>
                <w:sz w:val="24"/>
                <w:szCs w:val="24"/>
              </w:rPr>
              <w:t>-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tumor effect of transplant. Serum CXCL9 levels elevated in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patients 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B cells (total)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Naïve and transitional B cells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Memory B cells (total)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 xml:space="preserve">Regulatory B </w:t>
            </w: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lastRenderedPageBreak/>
              <w:t>cells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 xml:space="preserve">Plasma cells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Increased BAFF/B-cell ratio, elevated serum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BAFF levels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CD19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vertAlign w:val="superscript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CD19, CD27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vertAlign w:val="superscript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vertAlign w:val="superscript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IL-10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CD27, CD38</w:t>
            </w:r>
          </w:p>
        </w:tc>
        <w:tc>
          <w:tcPr>
            <w:tcW w:w="477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lastRenderedPageBreak/>
              <w:t xml:space="preserve">Decreased in active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. B cells are resistant to apoptosis.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Decreased in active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.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Decreased in active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. Cells essential for a normal immune response to bacterial pathogens or opportunistic infections.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Decreased in active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. Function to maintain 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lastRenderedPageBreak/>
              <w:t>tolerance and help prevent autoimmune disease.</w:t>
            </w: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  <w:p w:rsidR="007D1393" w:rsidRPr="00FB5CEB" w:rsidRDefault="007D1393" w:rsidP="004372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Increased in active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cGVHD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. Cells secrete immunoglobulins including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IgGs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and are resistant to apoptosis. </w:t>
            </w:r>
          </w:p>
        </w:tc>
      </w:tr>
    </w:tbl>
    <w:p w:rsidR="007D1393" w:rsidRPr="0072075B" w:rsidRDefault="008D1A1E" w:rsidP="007D1393">
      <w:pPr>
        <w:spacing w:after="0" w:line="360" w:lineRule="auto"/>
        <w:jc w:val="both"/>
        <w:rPr>
          <w:rFonts w:ascii="Book Antiqua" w:hAnsi="Book Antiqua" w:cs="Arial"/>
        </w:rPr>
      </w:pPr>
      <w:r w:rsidRPr="00FB5CEB">
        <w:rPr>
          <w:rFonts w:ascii="Book Antiqua" w:hAnsi="Book Antiqua" w:cs="Arial"/>
          <w:vertAlign w:val="superscript"/>
        </w:rPr>
        <w:lastRenderedPageBreak/>
        <w:t>3</w:t>
      </w:r>
      <w:r w:rsidRPr="00FB5CEB">
        <w:rPr>
          <w:rFonts w:ascii="Book Antiqua" w:hAnsi="Book Antiqua" w:cs="Arial"/>
        </w:rPr>
        <w:t xml:space="preserve">mainly classified into Th2 and Th17 </w:t>
      </w:r>
      <w:proofErr w:type="gramStart"/>
      <w:r w:rsidRPr="00FB5CEB">
        <w:rPr>
          <w:rFonts w:ascii="Book Antiqua" w:hAnsi="Book Antiqua" w:cs="Arial"/>
        </w:rPr>
        <w:t>subtypes</w:t>
      </w:r>
      <w:r w:rsidRPr="00FB5CEB">
        <w:rPr>
          <w:rFonts w:ascii="Book Antiqua" w:hAnsi="Book Antiqua" w:cs="Arial"/>
          <w:vertAlign w:val="superscript"/>
        </w:rPr>
        <w:t>[</w:t>
      </w:r>
      <w:proofErr w:type="gramEnd"/>
      <w:r w:rsidRPr="00FB5CEB">
        <w:rPr>
          <w:rFonts w:ascii="Book Antiqua" w:hAnsi="Book Antiqua" w:cs="Arial"/>
          <w:vertAlign w:val="superscript"/>
        </w:rPr>
        <w:t>44]</w:t>
      </w:r>
      <w:r w:rsidRPr="00FB5CEB">
        <w:rPr>
          <w:rFonts w:ascii="Book Antiqua" w:hAnsi="Book Antiqua" w:cs="Arial"/>
        </w:rPr>
        <w:t>.</w:t>
      </w:r>
      <w:r w:rsidRPr="00987CD8">
        <w:rPr>
          <w:rFonts w:ascii="Book Antiqua" w:hAnsi="Book Antiqua" w:cs="Arial"/>
        </w:rPr>
        <w:t xml:space="preserve"> </w:t>
      </w:r>
      <w:proofErr w:type="spellStart"/>
      <w:r w:rsidR="007D1393" w:rsidRPr="00FB5CEB">
        <w:rPr>
          <w:rFonts w:ascii="Book Antiqua" w:hAnsi="Book Antiqua" w:cs="Arial"/>
        </w:rPr>
        <w:t>cGVHD</w:t>
      </w:r>
      <w:proofErr w:type="spellEnd"/>
      <w:r w:rsidR="007D1393" w:rsidRPr="007F50BB">
        <w:rPr>
          <w:rFonts w:ascii="Book Antiqua" w:hAnsi="Book Antiqua" w:cs="Arial" w:hint="eastAsia"/>
          <w:lang w:eastAsia="zh-CN"/>
        </w:rPr>
        <w:t>:</w:t>
      </w:r>
      <w:r w:rsidR="007D1393" w:rsidRPr="007F50BB">
        <w:rPr>
          <w:rFonts w:ascii="Book Antiqua" w:hAnsi="Book Antiqua" w:cs="Arial"/>
        </w:rPr>
        <w:t xml:space="preserve"> Chronic graft</w:t>
      </w:r>
      <w:r w:rsidR="007D1393" w:rsidRPr="007F50BB">
        <w:rPr>
          <w:rFonts w:ascii="Book Antiqua" w:hAnsi="Book Antiqua" w:cs="Arial"/>
          <w:sz w:val="24"/>
          <w:szCs w:val="24"/>
        </w:rPr>
        <w:t>-</w:t>
      </w:r>
      <w:r w:rsidR="007D1393" w:rsidRPr="007F50BB">
        <w:rPr>
          <w:rFonts w:ascii="Book Antiqua" w:hAnsi="Book Antiqua" w:cs="Arial"/>
          <w:i/>
          <w:sz w:val="24"/>
          <w:szCs w:val="24"/>
        </w:rPr>
        <w:t>vs</w:t>
      </w:r>
      <w:r w:rsidR="007D1393" w:rsidRPr="007F50BB">
        <w:rPr>
          <w:rFonts w:ascii="Book Antiqua" w:hAnsi="Book Antiqua" w:cs="Arial"/>
          <w:sz w:val="24"/>
          <w:szCs w:val="24"/>
        </w:rPr>
        <w:t>-</w:t>
      </w:r>
      <w:r w:rsidR="007D1393" w:rsidRPr="007F50BB">
        <w:rPr>
          <w:rFonts w:ascii="Book Antiqua" w:hAnsi="Book Antiqua" w:cs="Arial"/>
        </w:rPr>
        <w:t>host disease</w:t>
      </w:r>
      <w:r w:rsidR="007D1393">
        <w:rPr>
          <w:rFonts w:ascii="Book Antiqua" w:hAnsi="Book Antiqua" w:cs="Arial" w:hint="eastAsia"/>
          <w:lang w:eastAsia="zh-CN"/>
        </w:rPr>
        <w:t xml:space="preserve">; </w:t>
      </w:r>
      <w:r w:rsidR="007D1393" w:rsidRPr="00FB5CEB">
        <w:rPr>
          <w:rFonts w:ascii="Book Antiqua" w:hAnsi="Book Antiqua" w:cs="Arial"/>
        </w:rPr>
        <w:t>BAFF</w:t>
      </w:r>
      <w:r w:rsidR="007D1393">
        <w:rPr>
          <w:rFonts w:ascii="Book Antiqua" w:hAnsi="Book Antiqua" w:cs="Arial" w:hint="eastAsia"/>
          <w:lang w:eastAsia="zh-CN"/>
        </w:rPr>
        <w:t>:</w:t>
      </w:r>
      <w:r w:rsidR="007D1393" w:rsidRPr="00FB5CEB">
        <w:rPr>
          <w:rFonts w:ascii="Book Antiqua" w:hAnsi="Book Antiqua" w:cs="Arial"/>
        </w:rPr>
        <w:t xml:space="preserve"> B-cell activating factor; CD3</w:t>
      </w:r>
      <w:r w:rsidR="007D1393">
        <w:rPr>
          <w:rFonts w:ascii="Book Antiqua" w:hAnsi="Book Antiqua" w:cs="Arial" w:hint="eastAsia"/>
          <w:lang w:eastAsia="zh-CN"/>
        </w:rPr>
        <w:t>:</w:t>
      </w:r>
      <w:r w:rsidR="007D1393" w:rsidRPr="00FB5CEB">
        <w:rPr>
          <w:rFonts w:ascii="Book Antiqua" w:hAnsi="Book Antiqua" w:cs="Arial"/>
        </w:rPr>
        <w:t xml:space="preserve"> Cluster of Differentiation molecule 13, 19, 27 and 38; CCR5</w:t>
      </w:r>
      <w:r w:rsidR="007D1393">
        <w:rPr>
          <w:rFonts w:ascii="Book Antiqua" w:hAnsi="Book Antiqua" w:cs="Arial" w:hint="eastAsia"/>
          <w:lang w:eastAsia="zh-CN"/>
        </w:rPr>
        <w:t>:</w:t>
      </w:r>
      <w:r w:rsidR="007D1393" w:rsidRPr="00FB5CEB">
        <w:rPr>
          <w:rFonts w:ascii="Book Antiqua" w:hAnsi="Book Antiqua" w:cs="Arial"/>
        </w:rPr>
        <w:t xml:space="preserve"> Chemokine (C-C Motif) Receptor 5; </w:t>
      </w:r>
      <w:r w:rsidR="007D1393">
        <w:rPr>
          <w:rFonts w:ascii="Book Antiqua" w:hAnsi="Book Antiqua" w:cs="Arial"/>
        </w:rPr>
        <w:t>CXCL</w:t>
      </w:r>
      <w:r w:rsidR="007D1393">
        <w:rPr>
          <w:rFonts w:ascii="Book Antiqua" w:hAnsi="Book Antiqua" w:cs="Arial" w:hint="eastAsia"/>
          <w:lang w:eastAsia="zh-CN"/>
        </w:rPr>
        <w:t>:</w:t>
      </w:r>
      <w:r w:rsidR="007D1393" w:rsidRPr="00FB5CEB">
        <w:rPr>
          <w:rFonts w:ascii="Book Antiqua" w:hAnsi="Book Antiqua" w:cs="Arial"/>
        </w:rPr>
        <w:t xml:space="preserve"> C</w:t>
      </w:r>
      <w:r w:rsidR="007D1393">
        <w:rPr>
          <w:rFonts w:ascii="Book Antiqua" w:hAnsi="Book Antiqua" w:cs="Arial"/>
        </w:rPr>
        <w:t xml:space="preserve">hemokine (C-X-C motif) ligand </w:t>
      </w:r>
      <w:r w:rsidR="007D1393" w:rsidRPr="00FB5CEB">
        <w:rPr>
          <w:rFonts w:ascii="Book Antiqua" w:hAnsi="Book Antiqua" w:cs="Arial"/>
        </w:rPr>
        <w:t xml:space="preserve">(or MIG, </w:t>
      </w:r>
      <w:proofErr w:type="spellStart"/>
      <w:r w:rsidR="007D1393" w:rsidRPr="00FB5CEB">
        <w:rPr>
          <w:rFonts w:ascii="Book Antiqua" w:hAnsi="Book Antiqua" w:cs="Arial"/>
        </w:rPr>
        <w:t>Monokine</w:t>
      </w:r>
      <w:proofErr w:type="spellEnd"/>
      <w:r w:rsidR="007D1393" w:rsidRPr="00FB5CEB">
        <w:rPr>
          <w:rFonts w:ascii="Book Antiqua" w:hAnsi="Book Antiqua" w:cs="Arial"/>
        </w:rPr>
        <w:t xml:space="preserve"> Induced by Gamma Interferon); </w:t>
      </w:r>
      <w:r w:rsidR="007D1393" w:rsidRPr="00FB5CEB">
        <w:rPr>
          <w:rStyle w:val="apple-converted-space"/>
          <w:rFonts w:ascii="Book Antiqua" w:hAnsi="Book Antiqua" w:cs="Arial"/>
        </w:rPr>
        <w:t>ICOS</w:t>
      </w:r>
      <w:r w:rsidR="007D1393">
        <w:rPr>
          <w:rStyle w:val="apple-converted-space"/>
          <w:rFonts w:ascii="Book Antiqua" w:hAnsi="Book Antiqua" w:cs="Arial" w:hint="eastAsia"/>
          <w:lang w:eastAsia="zh-CN"/>
        </w:rPr>
        <w:t>:</w:t>
      </w:r>
      <w:r w:rsidR="007D1393" w:rsidRPr="00FB5CEB">
        <w:rPr>
          <w:rStyle w:val="apple-converted-space"/>
          <w:rFonts w:ascii="Book Antiqua" w:hAnsi="Book Antiqua" w:cs="Arial"/>
        </w:rPr>
        <w:t xml:space="preserve"> Inducible T-Cell Co-Stimulator; </w:t>
      </w:r>
      <w:r w:rsidR="007D1393" w:rsidRPr="00FB5CEB">
        <w:rPr>
          <w:rFonts w:ascii="Book Antiqua" w:hAnsi="Book Antiqua" w:cs="Arial"/>
        </w:rPr>
        <w:t>IFN-</w:t>
      </w:r>
      <w:r w:rsidR="007D1393" w:rsidRPr="00FB5CEB">
        <w:rPr>
          <w:rFonts w:ascii="Symbol" w:hAnsi="Symbol" w:cs="Arial"/>
        </w:rPr>
        <w:t></w:t>
      </w:r>
      <w:r w:rsidR="007D1393">
        <w:rPr>
          <w:rFonts w:ascii="Book Antiqua" w:hAnsi="Book Antiqua" w:cs="Arial" w:hint="eastAsia"/>
          <w:lang w:eastAsia="zh-CN"/>
        </w:rPr>
        <w:t>:</w:t>
      </w:r>
      <w:r w:rsidR="007D1393">
        <w:rPr>
          <w:rFonts w:ascii="Book Antiqua" w:hAnsi="Book Antiqua" w:cs="Arial"/>
        </w:rPr>
        <w:t xml:space="preserve"> Interferon gamma; IL</w:t>
      </w:r>
      <w:r w:rsidR="007D1393">
        <w:rPr>
          <w:rFonts w:ascii="Book Antiqua" w:hAnsi="Book Antiqua" w:cs="Arial" w:hint="eastAsia"/>
          <w:lang w:eastAsia="zh-CN"/>
        </w:rPr>
        <w:t>:</w:t>
      </w:r>
      <w:r w:rsidR="007D1393" w:rsidRPr="00FB5CEB">
        <w:rPr>
          <w:rFonts w:ascii="Book Antiqua" w:hAnsi="Book Antiqua" w:cs="Arial"/>
        </w:rPr>
        <w:t xml:space="preserve"> I</w:t>
      </w:r>
      <w:r w:rsidR="007D1393">
        <w:rPr>
          <w:rFonts w:ascii="Book Antiqua" w:hAnsi="Book Antiqua" w:cs="Arial"/>
        </w:rPr>
        <w:t>nterleukin</w:t>
      </w:r>
      <w:r w:rsidR="007D1393" w:rsidRPr="00FB5CEB">
        <w:rPr>
          <w:rFonts w:ascii="Book Antiqua" w:hAnsi="Book Antiqua" w:cs="Arial"/>
        </w:rPr>
        <w:t xml:space="preserve">; </w:t>
      </w:r>
      <w:r w:rsidR="007D1393" w:rsidRPr="00FB5CEB">
        <w:rPr>
          <w:rStyle w:val="apple-converted-space"/>
          <w:rFonts w:ascii="Book Antiqua" w:hAnsi="Book Antiqua" w:cs="Arial"/>
        </w:rPr>
        <w:t>PD-1</w:t>
      </w:r>
      <w:r w:rsidR="007D1393">
        <w:rPr>
          <w:rStyle w:val="apple-converted-space"/>
          <w:rFonts w:ascii="Book Antiqua" w:hAnsi="Book Antiqua" w:cs="Arial" w:hint="eastAsia"/>
          <w:lang w:eastAsia="zh-CN"/>
        </w:rPr>
        <w:t>:</w:t>
      </w:r>
      <w:r w:rsidR="007D1393" w:rsidRPr="00FB5CEB">
        <w:rPr>
          <w:rStyle w:val="apple-converted-space"/>
          <w:rFonts w:ascii="Book Antiqua" w:hAnsi="Book Antiqua" w:cs="Arial"/>
        </w:rPr>
        <w:t xml:space="preserve"> Programmed Cell Death 1; </w:t>
      </w:r>
      <w:proofErr w:type="spellStart"/>
      <w:r w:rsidR="007D1393" w:rsidRPr="00FB5CEB">
        <w:rPr>
          <w:rFonts w:ascii="Book Antiqua" w:hAnsi="Book Antiqua" w:cs="Arial"/>
        </w:rPr>
        <w:t>Th</w:t>
      </w:r>
      <w:proofErr w:type="spellEnd"/>
      <w:r w:rsidR="007D1393">
        <w:rPr>
          <w:rFonts w:ascii="Book Antiqua" w:hAnsi="Book Antiqua" w:cs="Arial" w:hint="eastAsia"/>
          <w:lang w:eastAsia="zh-CN"/>
        </w:rPr>
        <w:t>:</w:t>
      </w:r>
      <w:r w:rsidR="007D1393" w:rsidRPr="00FB5CEB">
        <w:rPr>
          <w:rFonts w:ascii="Book Antiqua" w:hAnsi="Book Antiqua" w:cs="Arial"/>
        </w:rPr>
        <w:t xml:space="preserve"> T helper cell; TGF-</w:t>
      </w:r>
      <w:r w:rsidR="007D1393" w:rsidRPr="00FB5CEB">
        <w:rPr>
          <w:rFonts w:ascii="Symbol" w:hAnsi="Symbol" w:cs="Arial"/>
        </w:rPr>
        <w:t></w:t>
      </w:r>
      <w:r w:rsidR="007D1393">
        <w:rPr>
          <w:rFonts w:ascii="Book Antiqua" w:hAnsi="Book Antiqua" w:cs="Arial" w:hint="eastAsia"/>
          <w:lang w:eastAsia="zh-CN"/>
        </w:rPr>
        <w:t>:</w:t>
      </w:r>
      <w:r w:rsidR="007D1393" w:rsidRPr="00FB5CEB">
        <w:rPr>
          <w:rFonts w:ascii="Book Antiqua" w:hAnsi="Book Antiqua" w:cs="Arial"/>
        </w:rPr>
        <w:t xml:space="preserve"> Transforming growth factor beta; TNF-</w:t>
      </w:r>
      <w:r w:rsidR="007D1393" w:rsidRPr="00FB5CEB">
        <w:rPr>
          <w:rFonts w:ascii="Symbol" w:hAnsi="Symbol" w:cs="Arial"/>
        </w:rPr>
        <w:t></w:t>
      </w:r>
      <w:r w:rsidR="007D1393">
        <w:rPr>
          <w:rFonts w:ascii="Book Antiqua" w:hAnsi="Book Antiqua" w:cs="Arial" w:hint="eastAsia"/>
          <w:lang w:eastAsia="zh-CN"/>
        </w:rPr>
        <w:t>:</w:t>
      </w:r>
      <w:r w:rsidR="007D1393">
        <w:rPr>
          <w:rFonts w:ascii="Book Antiqua" w:hAnsi="Book Antiqua" w:cs="Arial"/>
        </w:rPr>
        <w:t xml:space="preserve"> Tumor necrosis factor alpha.</w:t>
      </w:r>
      <w:r w:rsidR="007D1393" w:rsidRPr="00987CD8">
        <w:rPr>
          <w:rFonts w:ascii="Book Antiqua" w:hAnsi="Book Antiqua" w:cs="Arial"/>
        </w:rPr>
        <w:t xml:space="preserve"> </w:t>
      </w:r>
      <w:r w:rsidR="007D1393" w:rsidRPr="00FB5CEB">
        <w:rPr>
          <w:rFonts w:ascii="Book Antiqua" w:hAnsi="Book Antiqua" w:cs="Arial"/>
          <w:b/>
        </w:rPr>
        <w:br w:type="page"/>
      </w:r>
    </w:p>
    <w:p w:rsidR="007D1393" w:rsidRPr="00775E66" w:rsidRDefault="007D1393" w:rsidP="007D1393">
      <w:pPr>
        <w:pStyle w:val="NoSpacing"/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775E66">
        <w:rPr>
          <w:rFonts w:ascii="Book Antiqua" w:hAnsi="Book Antiqua" w:cs="Arial"/>
          <w:b/>
          <w:sz w:val="24"/>
          <w:szCs w:val="24"/>
        </w:rPr>
        <w:lastRenderedPageBreak/>
        <w:t>Table 3</w:t>
      </w:r>
      <w:r w:rsidRPr="00775E66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Pr="00775E66">
        <w:rPr>
          <w:rFonts w:ascii="Book Antiqua" w:hAnsi="Book Antiqua" w:cs="Arial"/>
          <w:b/>
          <w:sz w:val="24"/>
          <w:szCs w:val="24"/>
        </w:rPr>
        <w:t xml:space="preserve">Candidate biomarkers of </w:t>
      </w:r>
      <w:bookmarkStart w:id="20" w:name="_GoBack"/>
      <w:r w:rsidRPr="00775E66">
        <w:rPr>
          <w:rFonts w:ascii="Book Antiqua" w:hAnsi="Book Antiqua" w:cs="Arial"/>
          <w:b/>
          <w:sz w:val="24"/>
          <w:szCs w:val="24"/>
        </w:rPr>
        <w:t>chronic</w:t>
      </w:r>
      <w:r w:rsidRPr="00775E66">
        <w:rPr>
          <w:rFonts w:ascii="Book Antiqua" w:hAnsi="Book Antiqua" w:cs="Arial"/>
          <w:b/>
        </w:rPr>
        <w:t xml:space="preserve"> graft</w:t>
      </w:r>
      <w:r w:rsidRPr="00775E66">
        <w:rPr>
          <w:rFonts w:ascii="Book Antiqua" w:hAnsi="Book Antiqua" w:cs="Arial"/>
          <w:b/>
          <w:sz w:val="24"/>
          <w:szCs w:val="24"/>
        </w:rPr>
        <w:t>-</w:t>
      </w:r>
      <w:r w:rsidRPr="00775E66">
        <w:rPr>
          <w:rFonts w:ascii="Book Antiqua" w:hAnsi="Book Antiqua" w:cs="Arial"/>
          <w:b/>
          <w:i/>
          <w:sz w:val="24"/>
          <w:szCs w:val="24"/>
        </w:rPr>
        <w:t>vs</w:t>
      </w:r>
      <w:r w:rsidRPr="00775E66">
        <w:rPr>
          <w:rFonts w:ascii="Book Antiqua" w:hAnsi="Book Antiqua" w:cs="Arial"/>
          <w:b/>
          <w:sz w:val="24"/>
          <w:szCs w:val="24"/>
        </w:rPr>
        <w:t>-</w:t>
      </w:r>
      <w:r w:rsidRPr="00775E66">
        <w:rPr>
          <w:rFonts w:ascii="Book Antiqua" w:hAnsi="Book Antiqua" w:cs="Arial"/>
          <w:b/>
        </w:rPr>
        <w:t>host disease</w:t>
      </w:r>
      <w:r w:rsidRPr="00775E66">
        <w:rPr>
          <w:rFonts w:ascii="Book Antiqua" w:hAnsi="Book Antiqua" w:cs="Arial"/>
          <w:b/>
          <w:sz w:val="24"/>
          <w:szCs w:val="24"/>
          <w:vertAlign w:val="superscript"/>
        </w:rPr>
        <w:t xml:space="preserve"> </w:t>
      </w:r>
      <w:bookmarkEnd w:id="20"/>
      <w:r w:rsidRPr="00775E66">
        <w:rPr>
          <w:rFonts w:ascii="Book Antiqua" w:hAnsi="Book Antiqua" w:cs="Arial"/>
          <w:b/>
          <w:sz w:val="24"/>
          <w:szCs w:val="24"/>
          <w:vertAlign w:val="superscript"/>
        </w:rPr>
        <w:t>1</w:t>
      </w:r>
    </w:p>
    <w:p w:rsidR="007D1393" w:rsidRPr="00FB5CEB" w:rsidRDefault="007D1393" w:rsidP="007D1393">
      <w:pPr>
        <w:pStyle w:val="NoSpacing"/>
        <w:spacing w:line="360" w:lineRule="auto"/>
        <w:jc w:val="both"/>
        <w:rPr>
          <w:rFonts w:ascii="Book Antiqua" w:hAnsi="Book Antiqua" w:cs="Arial"/>
        </w:rPr>
      </w:pPr>
    </w:p>
    <w:tbl>
      <w:tblPr>
        <w:tblStyle w:val="LightShading"/>
        <w:tblW w:w="8838" w:type="dxa"/>
        <w:tblLook w:val="04A0" w:firstRow="1" w:lastRow="0" w:firstColumn="1" w:lastColumn="0" w:noHBand="0" w:noVBand="1"/>
      </w:tblPr>
      <w:tblGrid>
        <w:gridCol w:w="2448"/>
        <w:gridCol w:w="2430"/>
        <w:gridCol w:w="1710"/>
        <w:gridCol w:w="2250"/>
      </w:tblGrid>
      <w:tr w:rsidR="007D1393" w:rsidRPr="00FB5CEB" w:rsidTr="0043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585569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 w:rsidRPr="00585569">
              <w:rPr>
                <w:rFonts w:ascii="Book Antiqua" w:hAnsi="Book Antiqua" w:cs="Arial"/>
                <w:color w:val="auto"/>
                <w:sz w:val="20"/>
                <w:szCs w:val="20"/>
              </w:rPr>
              <w:t>Gene/protein</w:t>
            </w:r>
          </w:p>
        </w:tc>
        <w:tc>
          <w:tcPr>
            <w:tcW w:w="2430" w:type="dxa"/>
            <w:shd w:val="clear" w:color="auto" w:fill="auto"/>
          </w:tcPr>
          <w:p w:rsidR="007D1393" w:rsidRPr="00585569" w:rsidRDefault="007D1393" w:rsidP="004372BD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585569">
              <w:rPr>
                <w:rFonts w:ascii="Book Antiqua" w:hAnsi="Book Antiqua" w:cs="Arial"/>
                <w:color w:val="auto"/>
                <w:sz w:val="20"/>
                <w:szCs w:val="20"/>
              </w:rPr>
              <w:t>Function</w:t>
            </w:r>
          </w:p>
        </w:tc>
        <w:tc>
          <w:tcPr>
            <w:tcW w:w="1710" w:type="dxa"/>
            <w:shd w:val="clear" w:color="auto" w:fill="auto"/>
          </w:tcPr>
          <w:p w:rsidR="007D1393" w:rsidRPr="00585569" w:rsidRDefault="007D1393" w:rsidP="004372BD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585569">
              <w:rPr>
                <w:rFonts w:ascii="Book Antiqua" w:hAnsi="Book Antiqua" w:cs="Arial"/>
                <w:color w:val="auto"/>
                <w:sz w:val="20"/>
                <w:szCs w:val="20"/>
              </w:rPr>
              <w:t>Biofluid</w:t>
            </w:r>
            <w:r w:rsidRPr="00585569">
              <w:rPr>
                <w:rFonts w:ascii="Book Antiqua" w:hAnsi="Book Antiqua" w:cs="Arial"/>
                <w:color w:val="auto"/>
                <w:sz w:val="20"/>
                <w:szCs w:val="20"/>
                <w:vertAlign w:val="superscript"/>
              </w:rPr>
              <w:t>3</w:t>
            </w:r>
            <w:r w:rsidRPr="00585569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7D1393" w:rsidRPr="00585569" w:rsidRDefault="007D1393" w:rsidP="004372BD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/>
                <w:color w:val="auto"/>
                <w:sz w:val="20"/>
                <w:szCs w:val="20"/>
              </w:rPr>
              <w:t>Ref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.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BAFF, soluble;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BAFF/B cell ratio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Growth factor, promotes B cell expansion and activation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Blood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59</w:t>
            </w:r>
            <w:r>
              <w:rPr>
                <w:rFonts w:ascii="Book Antiqua" w:hAnsi="Book Antiqua" w:cs="Arial"/>
                <w:color w:val="auto"/>
                <w:sz w:val="20"/>
                <w:szCs w:val="20"/>
              </w:rPr>
              <w:t>,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60</w:t>
            </w:r>
            <w:r>
              <w:rPr>
                <w:rFonts w:ascii="Book Antiqua" w:hAnsi="Book Antiqua" w:cs="Arial"/>
                <w:color w:val="auto"/>
                <w:sz w:val="20"/>
                <w:szCs w:val="20"/>
              </w:rPr>
              <w:t>,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77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CXCL9</w:t>
            </w: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Chemokine produced by activated T cells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Blood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51</w:t>
            </w:r>
            <w:r>
              <w:rPr>
                <w:rFonts w:ascii="Book Antiqua" w:hAnsi="Book Antiqua" w:cs="Arial"/>
                <w:color w:val="auto"/>
                <w:sz w:val="20"/>
                <w:szCs w:val="20"/>
              </w:rPr>
              <w:t>,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79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 xml:space="preserve">CD-13, soluble 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Antigen presentation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Blood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59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C-reactive protein (CRP)</w:t>
            </w: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Acute phase protein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Blood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12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Cystatin B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Inhibitor of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cathepsin</w:t>
            </w:r>
            <w:proofErr w:type="spellEnd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proteases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Saliva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80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IL-1ra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Inhibitor of IL-1 receptor signaling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Saliva </w:t>
            </w:r>
          </w:p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80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 xml:space="preserve">IL-2R, soluble 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IL-2 receptor, marker of activated T cells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Blood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59,76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IL-6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Pro-inflammatory Th2 cytokine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Blood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42, 75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IL-10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Th2 cytokine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Blood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73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IL-15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Enhances anti-tumor function of CD8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  <w:vertAlign w:val="superscript"/>
              </w:rPr>
              <w:t xml:space="preserve">+ 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T cells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Blood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78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Lactoperoxidase</w:t>
            </w:r>
            <w:proofErr w:type="spellEnd"/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Anti-microbial enzyme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Saliva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81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Lactoferrin</w:t>
            </w:r>
            <w:proofErr w:type="spellEnd"/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Iron-binding glycoprotein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Saliva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81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MICA, soluble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Stimulates T cell activity </w:t>
            </w:r>
            <w:r w:rsidRPr="00D77C92">
              <w:rPr>
                <w:rFonts w:ascii="Book Antiqua" w:hAnsi="Book Antiqua" w:cs="Arial"/>
                <w:i/>
                <w:color w:val="auto"/>
                <w:sz w:val="20"/>
                <w:szCs w:val="20"/>
              </w:rPr>
              <w:t>via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NKG2D receptor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Blood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30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  <w:tr w:rsidR="007D1393" w:rsidRPr="00FB5CEB" w:rsidTr="00437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TGF-</w:t>
            </w:r>
            <w:r w:rsidRPr="00FB5CEB">
              <w:rPr>
                <w:rFonts w:ascii="Symbol" w:hAnsi="Symbol" w:cs="Arial"/>
                <w:b w:val="0"/>
                <w:color w:val="auto"/>
                <w:sz w:val="20"/>
                <w:szCs w:val="20"/>
              </w:rPr>
              <w:t>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Anti-inflammatory cytokine; stimulates activity of </w:t>
            </w:r>
            <w:proofErr w:type="spellStart"/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Tregs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Blood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33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7D1393" w:rsidRPr="00FB5CEB" w:rsidTr="0043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b w:val="0"/>
                <w:color w:val="auto"/>
                <w:sz w:val="20"/>
                <w:szCs w:val="20"/>
              </w:rPr>
              <w:t>TNF-</w:t>
            </w:r>
            <w:r w:rsidRPr="00FB5CEB">
              <w:rPr>
                <w:rFonts w:ascii="Symbol" w:hAnsi="Symbol" w:cs="Arial"/>
                <w:b w:val="0"/>
                <w:color w:val="auto"/>
                <w:sz w:val="20"/>
                <w:szCs w:val="20"/>
              </w:rPr>
              <w:t></w:t>
            </w:r>
          </w:p>
        </w:tc>
        <w:tc>
          <w:tcPr>
            <w:tcW w:w="243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Pro-inflammatory Th1 cytokine </w:t>
            </w:r>
          </w:p>
        </w:tc>
        <w:tc>
          <w:tcPr>
            <w:tcW w:w="171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Blood </w:t>
            </w:r>
          </w:p>
        </w:tc>
        <w:tc>
          <w:tcPr>
            <w:tcW w:w="2250" w:type="dxa"/>
            <w:shd w:val="clear" w:color="auto" w:fill="auto"/>
          </w:tcPr>
          <w:p w:rsidR="007D1393" w:rsidRPr="00FB5CEB" w:rsidRDefault="007D1393" w:rsidP="004372BD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[</w:t>
            </w:r>
            <w:r w:rsidRPr="00FB5CEB">
              <w:rPr>
                <w:rFonts w:ascii="Book Antiqua" w:hAnsi="Book Antiqua" w:cs="Arial"/>
                <w:color w:val="auto"/>
                <w:sz w:val="20"/>
                <w:szCs w:val="20"/>
              </w:rPr>
              <w:t>73-75</w:t>
            </w:r>
            <w:r>
              <w:rPr>
                <w:rFonts w:ascii="Book Antiqua" w:hAnsi="Book Antiqua" w:cs="Arial" w:hint="eastAsia"/>
                <w:color w:val="auto"/>
                <w:sz w:val="20"/>
                <w:szCs w:val="20"/>
                <w:lang w:eastAsia="zh-CN"/>
              </w:rPr>
              <w:t>]</w:t>
            </w:r>
          </w:p>
        </w:tc>
      </w:tr>
    </w:tbl>
    <w:p w:rsidR="007D1393" w:rsidRPr="00FB5CEB" w:rsidRDefault="007D1393" w:rsidP="007D1393">
      <w:pPr>
        <w:pStyle w:val="NoSpacing"/>
        <w:spacing w:line="360" w:lineRule="auto"/>
        <w:jc w:val="both"/>
        <w:rPr>
          <w:rFonts w:ascii="Book Antiqua" w:hAnsi="Book Antiqua" w:cs="Arial"/>
        </w:rPr>
      </w:pPr>
    </w:p>
    <w:p w:rsidR="007D1393" w:rsidRPr="00FB5CEB" w:rsidRDefault="007D1393" w:rsidP="007D1393">
      <w:pPr>
        <w:pStyle w:val="NoSpacing"/>
        <w:spacing w:line="360" w:lineRule="auto"/>
        <w:jc w:val="both"/>
        <w:rPr>
          <w:rFonts w:ascii="Book Antiqua" w:hAnsi="Book Antiqua" w:cs="Arial"/>
          <w:lang w:eastAsia="zh-CN"/>
        </w:rPr>
      </w:pPr>
      <w:r w:rsidRPr="00FB5CEB">
        <w:rPr>
          <w:rFonts w:ascii="Book Antiqua" w:hAnsi="Book Antiqua" w:cs="Arial"/>
          <w:vertAlign w:val="superscript"/>
        </w:rPr>
        <w:t>1</w:t>
      </w:r>
      <w:r w:rsidRPr="00FB5CEB">
        <w:rPr>
          <w:rFonts w:ascii="Book Antiqua" w:hAnsi="Book Antiqua" w:cs="Arial"/>
        </w:rPr>
        <w:t xml:space="preserve">This table only includes proteins identified in human </w:t>
      </w:r>
      <w:proofErr w:type="spellStart"/>
      <w:r w:rsidRPr="00FB5CEB">
        <w:rPr>
          <w:rFonts w:ascii="Book Antiqua" w:hAnsi="Book Antiqua" w:cs="Arial"/>
        </w:rPr>
        <w:t>biofluids</w:t>
      </w:r>
      <w:proofErr w:type="spellEnd"/>
      <w:r w:rsidRPr="00FB5CEB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>Antibo</w:t>
      </w:r>
      <w:r>
        <w:rPr>
          <w:rFonts w:ascii="Book Antiqua" w:hAnsi="Book Antiqua" w:cs="Arial"/>
        </w:rPr>
        <w:t>dies are discussed in the text.</w:t>
      </w:r>
      <w:r>
        <w:rPr>
          <w:rFonts w:ascii="Book Antiqua" w:hAnsi="Book Antiqua" w:cs="Arial" w:hint="eastAsia"/>
          <w:lang w:eastAsia="zh-CN"/>
        </w:rPr>
        <w:t xml:space="preserve"> </w:t>
      </w:r>
      <w:r w:rsidRPr="00FB5CEB">
        <w:rPr>
          <w:rFonts w:ascii="Book Antiqua" w:hAnsi="Book Antiqua" w:cs="Arial"/>
          <w:vertAlign w:val="superscript"/>
        </w:rPr>
        <w:t>3</w:t>
      </w:r>
      <w:r w:rsidRPr="00FB5CEB">
        <w:rPr>
          <w:rFonts w:ascii="Book Antiqua" w:hAnsi="Book Antiqua" w:cs="Arial"/>
        </w:rPr>
        <w:t xml:space="preserve">Blood markers were measured in either plasma or serum isolated from peripheral blood, </w:t>
      </w:r>
      <w:r w:rsidRPr="00FB5CEB">
        <w:rPr>
          <w:rFonts w:ascii="Book Antiqua" w:hAnsi="Book Antiqua" w:cs="Arial"/>
        </w:rPr>
        <w:lastRenderedPageBreak/>
        <w:t>depending on the study.</w:t>
      </w:r>
      <w:r>
        <w:rPr>
          <w:rFonts w:ascii="Book Antiqua" w:hAnsi="Book Antiqua" w:cs="Arial"/>
        </w:rPr>
        <w:t xml:space="preserve"> </w:t>
      </w:r>
      <w:r w:rsidRPr="00FB5CEB">
        <w:rPr>
          <w:rFonts w:ascii="Book Antiqua" w:hAnsi="Book Antiqua" w:cs="Arial"/>
        </w:rPr>
        <w:t xml:space="preserve">For saliva, whole unstimulated saliva collected from oral 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patie</w:t>
      </w:r>
      <w:r>
        <w:rPr>
          <w:rFonts w:ascii="Book Antiqua" w:hAnsi="Book Antiqua" w:cs="Arial"/>
        </w:rPr>
        <w:t>nts was used</w:t>
      </w:r>
      <w:r>
        <w:rPr>
          <w:rFonts w:ascii="Book Antiqua" w:hAnsi="Book Antiqua" w:cs="Arial" w:hint="eastAsia"/>
          <w:lang w:eastAsia="zh-CN"/>
        </w:rPr>
        <w:t xml:space="preserve">; </w:t>
      </w:r>
      <w:r w:rsidRPr="00FB5CEB">
        <w:rPr>
          <w:rFonts w:ascii="Book Antiqua" w:hAnsi="Book Antiqua" w:cs="Arial"/>
          <w:vertAlign w:val="superscript"/>
        </w:rPr>
        <w:t>4</w:t>
      </w:r>
      <w:r w:rsidRPr="00FB5CEB">
        <w:rPr>
          <w:rFonts w:ascii="Book Antiqua" w:hAnsi="Book Antiqua" w:cs="Arial"/>
        </w:rPr>
        <w:t>Increased CRP levels were especially associated with joint/fascia and skin involvement, compared to the non-</w:t>
      </w:r>
      <w:proofErr w:type="spellStart"/>
      <w:r w:rsidRPr="00FB5CEB">
        <w:rPr>
          <w:rFonts w:ascii="Book Antiqua" w:hAnsi="Book Antiqua" w:cs="Arial"/>
        </w:rPr>
        <w:t>cGVHD</w:t>
      </w:r>
      <w:proofErr w:type="spellEnd"/>
      <w:r w:rsidRPr="00FB5CEB">
        <w:rPr>
          <w:rFonts w:ascii="Book Antiqua" w:hAnsi="Book Antiqua" w:cs="Arial"/>
        </w:rPr>
        <w:t xml:space="preserve"> control group.</w:t>
      </w:r>
      <w:r>
        <w:rPr>
          <w:rFonts w:ascii="Book Antiqua" w:hAnsi="Book Antiqua" w:cs="Arial" w:hint="eastAsia"/>
          <w:lang w:eastAsia="zh-CN"/>
        </w:rPr>
        <w:t xml:space="preserve"> </w:t>
      </w:r>
      <w:proofErr w:type="spellStart"/>
      <w:r w:rsidR="006D3F3B" w:rsidRPr="00FB5CEB">
        <w:rPr>
          <w:rFonts w:ascii="Book Antiqua" w:hAnsi="Book Antiqua" w:cs="Arial"/>
        </w:rPr>
        <w:t>cGVHD</w:t>
      </w:r>
      <w:proofErr w:type="spellEnd"/>
      <w:r w:rsidR="006D3F3B" w:rsidRPr="007F50BB">
        <w:rPr>
          <w:rFonts w:ascii="Book Antiqua" w:hAnsi="Book Antiqua" w:cs="Arial" w:hint="eastAsia"/>
          <w:lang w:eastAsia="zh-CN"/>
        </w:rPr>
        <w:t>:</w:t>
      </w:r>
      <w:r w:rsidR="006D3F3B" w:rsidRPr="007F50BB">
        <w:rPr>
          <w:rFonts w:ascii="Book Antiqua" w:hAnsi="Book Antiqua" w:cs="Arial"/>
        </w:rPr>
        <w:t xml:space="preserve"> Chronic graft</w:t>
      </w:r>
      <w:r w:rsidR="006D3F3B" w:rsidRPr="007F50BB">
        <w:rPr>
          <w:rFonts w:ascii="Book Antiqua" w:hAnsi="Book Antiqua" w:cs="Arial"/>
          <w:sz w:val="24"/>
          <w:szCs w:val="24"/>
        </w:rPr>
        <w:t>-</w:t>
      </w:r>
      <w:r w:rsidR="006D3F3B" w:rsidRPr="007F50BB">
        <w:rPr>
          <w:rFonts w:ascii="Book Antiqua" w:hAnsi="Book Antiqua" w:cs="Arial"/>
          <w:i/>
          <w:sz w:val="24"/>
          <w:szCs w:val="24"/>
        </w:rPr>
        <w:t>vs</w:t>
      </w:r>
      <w:r w:rsidR="006D3F3B" w:rsidRPr="007F50BB">
        <w:rPr>
          <w:rFonts w:ascii="Book Antiqua" w:hAnsi="Book Antiqua" w:cs="Arial"/>
          <w:sz w:val="24"/>
          <w:szCs w:val="24"/>
        </w:rPr>
        <w:t>-</w:t>
      </w:r>
      <w:r w:rsidR="006D3F3B" w:rsidRPr="007F50BB">
        <w:rPr>
          <w:rFonts w:ascii="Book Antiqua" w:hAnsi="Book Antiqua" w:cs="Arial"/>
        </w:rPr>
        <w:t>host disease</w:t>
      </w:r>
      <w:r w:rsidR="006D3F3B">
        <w:rPr>
          <w:rFonts w:ascii="Book Antiqua" w:hAnsi="Book Antiqua" w:cs="Arial" w:hint="eastAsia"/>
          <w:lang w:eastAsia="zh-CN"/>
        </w:rPr>
        <w:t xml:space="preserve">; </w:t>
      </w:r>
      <w:r w:rsidRPr="00FB5CEB">
        <w:rPr>
          <w:rFonts w:ascii="Book Antiqua" w:hAnsi="Book Antiqua" w:cs="Arial"/>
        </w:rPr>
        <w:t>BAFF</w:t>
      </w:r>
      <w:r>
        <w:rPr>
          <w:rFonts w:ascii="Book Antiqua" w:hAnsi="Book Antiqua" w:cs="Arial" w:hint="eastAsia"/>
          <w:lang w:eastAsia="zh-CN"/>
        </w:rPr>
        <w:t xml:space="preserve">: </w:t>
      </w:r>
      <w:r w:rsidRPr="00FB5CEB">
        <w:rPr>
          <w:rFonts w:ascii="Book Antiqua" w:hAnsi="Book Antiqua" w:cs="Arial"/>
        </w:rPr>
        <w:t>B-cell activating factor; CXCL</w:t>
      </w:r>
      <w:r>
        <w:rPr>
          <w:rFonts w:ascii="Book Antiqua" w:hAnsi="Book Antiqua" w:cs="Arial" w:hint="eastAsia"/>
          <w:lang w:eastAsia="zh-CN"/>
        </w:rPr>
        <w:t>:</w:t>
      </w:r>
      <w:r w:rsidRPr="00FB5CE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Chemokine (C-X-C motif) ligand</w:t>
      </w:r>
      <w:r w:rsidRPr="00FB5CEB">
        <w:rPr>
          <w:rFonts w:ascii="Book Antiqua" w:hAnsi="Book Antiqua" w:cs="Arial"/>
        </w:rPr>
        <w:t xml:space="preserve"> (or MIG, </w:t>
      </w:r>
      <w:proofErr w:type="spellStart"/>
      <w:r w:rsidRPr="00FB5CEB">
        <w:rPr>
          <w:rFonts w:ascii="Book Antiqua" w:hAnsi="Book Antiqua" w:cs="Arial"/>
        </w:rPr>
        <w:t>Monokine</w:t>
      </w:r>
      <w:proofErr w:type="spellEnd"/>
      <w:r w:rsidRPr="00FB5CEB">
        <w:rPr>
          <w:rFonts w:ascii="Book Antiqua" w:hAnsi="Book Antiqua" w:cs="Arial"/>
        </w:rPr>
        <w:t xml:space="preserve"> Induced by Gamma Interferon); CD-13</w:t>
      </w:r>
      <w:r>
        <w:rPr>
          <w:rFonts w:ascii="Book Antiqua" w:hAnsi="Book Antiqua" w:cs="Arial" w:hint="eastAsia"/>
          <w:lang w:eastAsia="zh-CN"/>
        </w:rPr>
        <w:t>:</w:t>
      </w:r>
      <w:r w:rsidRPr="00FB5CEB">
        <w:rPr>
          <w:rFonts w:ascii="Book Antiqua" w:hAnsi="Book Antiqua" w:cs="Arial"/>
        </w:rPr>
        <w:t xml:space="preserve"> Cluster of Differentiation molecule 13 (or aminopeptidase N); IL-1ra</w:t>
      </w:r>
      <w:r>
        <w:rPr>
          <w:rFonts w:ascii="Book Antiqua" w:hAnsi="Book Antiqua" w:cs="Arial" w:hint="eastAsia"/>
          <w:lang w:eastAsia="zh-CN"/>
        </w:rPr>
        <w:t>:</w:t>
      </w:r>
      <w:r w:rsidRPr="00FB5CEB">
        <w:rPr>
          <w:rFonts w:ascii="Book Antiqua" w:hAnsi="Book Antiqua" w:cs="Arial"/>
        </w:rPr>
        <w:t xml:space="preserve"> In</w:t>
      </w:r>
      <w:r>
        <w:rPr>
          <w:rFonts w:ascii="Book Antiqua" w:hAnsi="Book Antiqua" w:cs="Arial"/>
        </w:rPr>
        <w:t>terleukin 1 receptor antagonist</w:t>
      </w:r>
      <w:r w:rsidRPr="00FB5CEB">
        <w:rPr>
          <w:rFonts w:ascii="Book Antiqua" w:hAnsi="Book Antiqua" w:cs="Arial"/>
        </w:rPr>
        <w:t>; IL-2R</w:t>
      </w:r>
      <w:r>
        <w:rPr>
          <w:rFonts w:ascii="Book Antiqua" w:hAnsi="Book Antiqua" w:cs="Arial" w:hint="eastAsia"/>
          <w:lang w:eastAsia="zh-CN"/>
        </w:rPr>
        <w:t>:</w:t>
      </w:r>
      <w:r w:rsidRPr="00FB5CEB">
        <w:rPr>
          <w:rFonts w:ascii="Book Antiqua" w:hAnsi="Book Antiqua" w:cs="Arial"/>
        </w:rPr>
        <w:t xml:space="preserve"> Interleukin 2 receptor; MICA</w:t>
      </w:r>
      <w:r>
        <w:rPr>
          <w:rFonts w:ascii="Book Antiqua" w:hAnsi="Book Antiqua" w:cs="Arial" w:hint="eastAsia"/>
          <w:lang w:eastAsia="zh-CN"/>
        </w:rPr>
        <w:t>:</w:t>
      </w:r>
      <w:r w:rsidRPr="00FB5CEB">
        <w:rPr>
          <w:rFonts w:ascii="Book Antiqua" w:hAnsi="Book Antiqua" w:cs="Arial"/>
        </w:rPr>
        <w:t xml:space="preserve"> MHC class I-related chain A; TGF-</w:t>
      </w:r>
      <w:r w:rsidRPr="00FB5CEB">
        <w:rPr>
          <w:rFonts w:ascii="Symbol" w:hAnsi="Symbol" w:cs="Arial"/>
        </w:rPr>
        <w:t></w:t>
      </w:r>
      <w:r>
        <w:rPr>
          <w:rFonts w:ascii="Book Antiqua" w:hAnsi="Book Antiqua" w:cs="Arial" w:hint="eastAsia"/>
          <w:lang w:eastAsia="zh-CN"/>
        </w:rPr>
        <w:t>:</w:t>
      </w:r>
      <w:r w:rsidRPr="00FB5CEB">
        <w:rPr>
          <w:rFonts w:ascii="Book Antiqua" w:hAnsi="Book Antiqua" w:cs="Arial"/>
        </w:rPr>
        <w:t xml:space="preserve"> Transforming growth factor beta; TNF-</w:t>
      </w:r>
      <w:r w:rsidRPr="00FB5CEB">
        <w:rPr>
          <w:rFonts w:ascii="Symbol" w:hAnsi="Symbol" w:cs="Arial"/>
        </w:rPr>
        <w:t></w:t>
      </w:r>
      <w:r>
        <w:rPr>
          <w:rFonts w:ascii="Book Antiqua" w:hAnsi="Book Antiqua" w:cs="Arial" w:hint="eastAsia"/>
          <w:lang w:eastAsia="zh-CN"/>
        </w:rPr>
        <w:t>:</w:t>
      </w:r>
      <w:r w:rsidRPr="00FB5CEB">
        <w:rPr>
          <w:rFonts w:ascii="Book Antiqua" w:hAnsi="Book Antiqua" w:cs="Arial"/>
        </w:rPr>
        <w:t xml:space="preserve"> Tumor necrosis factor alpha. </w:t>
      </w:r>
    </w:p>
    <w:p w:rsidR="00715C7B" w:rsidRPr="00715C7B" w:rsidRDefault="00715C7B" w:rsidP="00BC0BDD">
      <w:pPr>
        <w:widowControl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</w:pPr>
    </w:p>
    <w:p w:rsidR="00671B6F" w:rsidRPr="00FB5CEB" w:rsidRDefault="00671B6F" w:rsidP="00BC0BDD">
      <w:pPr>
        <w:spacing w:after="0" w:line="360" w:lineRule="auto"/>
        <w:jc w:val="both"/>
        <w:rPr>
          <w:rFonts w:ascii="Book Antiqua" w:hAnsi="Book Antiqua" w:cs="Calibri"/>
          <w:szCs w:val="24"/>
        </w:rPr>
      </w:pPr>
      <w:r w:rsidRPr="00FB5CEB">
        <w:rPr>
          <w:rFonts w:ascii="Book Antiqua" w:hAnsi="Book Antiqua" w:cs="Calibri"/>
          <w:szCs w:val="24"/>
        </w:rPr>
        <w:br w:type="page"/>
      </w:r>
    </w:p>
    <w:p w:rsidR="0064367B" w:rsidRPr="00FB5CEB" w:rsidRDefault="0064367B" w:rsidP="0064367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8B19EA">
        <w:rPr>
          <w:rFonts w:ascii="Book Antiqua" w:hAnsi="Book Antiqua" w:cs="Arial"/>
          <w:b/>
          <w:sz w:val="24"/>
          <w:szCs w:val="24"/>
        </w:rPr>
        <w:lastRenderedPageBreak/>
        <w:t>Figure 1</w:t>
      </w:r>
      <w:r w:rsidRPr="008B19EA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proofErr w:type="gramStart"/>
      <w:r w:rsidRPr="008B19EA">
        <w:rPr>
          <w:rFonts w:ascii="Book Antiqua" w:hAnsi="Book Antiqua" w:cs="Arial"/>
          <w:b/>
          <w:sz w:val="24"/>
          <w:szCs w:val="24"/>
        </w:rPr>
        <w:t>Causes</w:t>
      </w:r>
      <w:proofErr w:type="gramEnd"/>
      <w:r w:rsidRPr="008B19EA">
        <w:rPr>
          <w:rFonts w:ascii="Book Antiqua" w:hAnsi="Book Antiqua" w:cs="Arial"/>
          <w:b/>
          <w:sz w:val="24"/>
          <w:szCs w:val="24"/>
        </w:rPr>
        <w:t xml:space="preserve"> of death among</w:t>
      </w:r>
      <w:r w:rsidR="008B19EA" w:rsidRPr="008B19EA">
        <w:rPr>
          <w:rFonts w:ascii="Book Antiqua" w:hAnsi="Book Antiqua" w:cs="Arial"/>
          <w:b/>
          <w:sz w:val="24"/>
          <w:szCs w:val="24"/>
        </w:rPr>
        <w:t xml:space="preserve"> allogeneic hematopoietic stem cell transplantation</w:t>
      </w:r>
      <w:r w:rsidRPr="008B19EA">
        <w:rPr>
          <w:rFonts w:ascii="Book Antiqua" w:hAnsi="Book Antiqua" w:cs="Arial"/>
          <w:b/>
          <w:sz w:val="24"/>
          <w:szCs w:val="24"/>
        </w:rPr>
        <w:t xml:space="preserve"> patients who received a graft</w:t>
      </w:r>
      <w:r w:rsidR="00583E8A" w:rsidRPr="008B19EA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. </w:t>
      </w:r>
      <w:r w:rsidR="00583E8A">
        <w:rPr>
          <w:rFonts w:ascii="Book Antiqua" w:hAnsi="Book Antiqua" w:cs="Arial" w:hint="eastAsia"/>
          <w:sz w:val="24"/>
          <w:szCs w:val="24"/>
          <w:lang w:eastAsia="zh-CN"/>
        </w:rPr>
        <w:t>It is</w:t>
      </w:r>
      <w:r w:rsidRPr="00FB5CEB">
        <w:rPr>
          <w:rFonts w:ascii="Book Antiqua" w:hAnsi="Book Antiqua" w:cs="Arial"/>
          <w:sz w:val="24"/>
          <w:szCs w:val="24"/>
        </w:rPr>
        <w:t xml:space="preserve"> from </w:t>
      </w:r>
      <w:r w:rsidR="00583E8A">
        <w:rPr>
          <w:rFonts w:ascii="Book Antiqua" w:hAnsi="Book Antiqua" w:cs="Arial" w:hint="eastAsia"/>
          <w:sz w:val="24"/>
          <w:szCs w:val="24"/>
          <w:lang w:eastAsia="zh-CN"/>
        </w:rPr>
        <w:t>(A</w:t>
      </w:r>
      <w:r w:rsidRPr="00FB5CEB">
        <w:rPr>
          <w:rFonts w:ascii="Book Antiqua" w:hAnsi="Book Antiqua" w:cs="Arial"/>
          <w:sz w:val="24"/>
          <w:szCs w:val="24"/>
        </w:rPr>
        <w:t xml:space="preserve">) an HLA-matched sibling or </w:t>
      </w:r>
      <w:r w:rsidR="00583E8A">
        <w:rPr>
          <w:rFonts w:ascii="Book Antiqua" w:hAnsi="Book Antiqua" w:cs="Arial" w:hint="eastAsia"/>
          <w:sz w:val="24"/>
          <w:szCs w:val="24"/>
          <w:lang w:eastAsia="zh-CN"/>
        </w:rPr>
        <w:t>(B</w:t>
      </w:r>
      <w:r w:rsidRPr="00FB5CEB">
        <w:rPr>
          <w:rFonts w:ascii="Book Antiqua" w:hAnsi="Book Antiqua" w:cs="Arial"/>
          <w:sz w:val="24"/>
          <w:szCs w:val="24"/>
        </w:rPr>
        <w:t>) an unrelated donor.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FB5CEB">
        <w:rPr>
          <w:rFonts w:ascii="Book Antiqua" w:hAnsi="Book Antiqua" w:cs="Arial"/>
          <w:sz w:val="24"/>
          <w:szCs w:val="24"/>
        </w:rPr>
        <w:t>Data is from the Center for International Blood and Marrow Transplant Research, for allogeneic hematopoietic stem cell transplants performed in 2012-13</w:t>
      </w:r>
      <w:r w:rsidRPr="00FB5CEB">
        <w:rPr>
          <w:rFonts w:ascii="Book Antiqua" w:hAnsi="Book Antiqua" w:cs="Arial"/>
          <w:sz w:val="24"/>
          <w:szCs w:val="24"/>
          <w:vertAlign w:val="superscript"/>
        </w:rPr>
        <w:t>[88]</w:t>
      </w:r>
      <w:r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A93271">
        <w:rPr>
          <w:rFonts w:ascii="Book Antiqua" w:hAnsi="Book Antiqua" w:cs="Arial"/>
          <w:sz w:val="24"/>
          <w:szCs w:val="24"/>
        </w:rPr>
        <w:t>(</w:t>
      </w:r>
      <w:r w:rsidR="00A93271" w:rsidRPr="00026D49">
        <w:rPr>
          <w:rFonts w:ascii="Book Antiqua" w:hAnsi="Book Antiqua" w:cs="Garamond"/>
          <w:sz w:val="24"/>
          <w:szCs w:val="24"/>
        </w:rPr>
        <w:t>Available from: URL: http//</w:t>
      </w:r>
      <w:hyperlink r:id="rId10" w:history="1">
        <w:r w:rsidRPr="00FB5CEB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www.cibmtr.org/Data/Resources/pages/index.aspx</w:t>
        </w:r>
      </w:hyperlink>
      <w:r w:rsidRPr="00FB5CEB">
        <w:rPr>
          <w:rFonts w:ascii="Book Antiqua" w:hAnsi="Book Antiqua" w:cs="Arial"/>
          <w:sz w:val="24"/>
          <w:szCs w:val="24"/>
        </w:rPr>
        <w:t xml:space="preserve">). </w:t>
      </w:r>
    </w:p>
    <w:p w:rsidR="00B5651F" w:rsidRPr="0064367B" w:rsidRDefault="00B5651F" w:rsidP="00BC0BDD">
      <w:pPr>
        <w:spacing w:after="0" w:line="360" w:lineRule="auto"/>
        <w:jc w:val="both"/>
        <w:rPr>
          <w:rFonts w:ascii="Book Antiqua" w:hAnsi="Book Antiqua" w:cs="Arial"/>
          <w:lang w:eastAsia="zh-CN"/>
        </w:rPr>
      </w:pPr>
    </w:p>
    <w:p w:rsidR="0064367B" w:rsidRDefault="0064367B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B5651F" w:rsidRPr="00FB5CEB" w:rsidRDefault="00B5651F" w:rsidP="00BC0BDD">
      <w:pPr>
        <w:spacing w:after="0" w:line="360" w:lineRule="auto"/>
        <w:ind w:left="720" w:hanging="720"/>
        <w:jc w:val="both"/>
        <w:rPr>
          <w:rFonts w:ascii="Book Antiqua" w:hAnsi="Book Antiqua" w:cs="Arial"/>
        </w:rPr>
      </w:pPr>
      <w:r w:rsidRPr="00FB5CE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957F88" wp14:editId="1C4A6990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7181636" cy="7551506"/>
                <wp:effectExtent l="0" t="0" r="57785" b="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636" cy="7551506"/>
                          <a:chOff x="0" y="0"/>
                          <a:chExt cx="6520760" cy="7095067"/>
                        </a:xfrm>
                      </wpg:grpSpPr>
                      <wpg:graphicFrame>
                        <wpg:cNvPr id="2" name="Chart 2"/>
                        <wpg:cNvFrPr>
                          <a:graphicFrameLocks/>
                        </wpg:cNvFrPr>
                        <wpg:xfrm>
                          <a:off x="1119395" y="0"/>
                          <a:ext cx="5401365" cy="349820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3" name="Chart 3"/>
                        <wpg:cNvFrPr>
                          <a:graphicFrameLocks/>
                        </wpg:cNvFrPr>
                        <wpg:xfrm>
                          <a:off x="1271795" y="3589867"/>
                          <a:ext cx="5105400" cy="3505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4" name="TextBox 8"/>
                        <wps:cNvSpPr txBox="1"/>
                        <wps:spPr>
                          <a:xfrm>
                            <a:off x="1761232" y="65555"/>
                            <a:ext cx="391731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A) HLA-matched Sibling Transplants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10"/>
                        <wps:cNvSpPr txBox="1"/>
                        <wps:spPr>
                          <a:xfrm>
                            <a:off x="4243218" y="1311031"/>
                            <a:ext cx="949325" cy="928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Primary </w:t>
                              </w:r>
                            </w:p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Disease,</w:t>
                              </w:r>
                            </w:p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48%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2"/>
                        <wps:cNvSpPr txBox="1"/>
                        <wps:spPr>
                          <a:xfrm>
                            <a:off x="4243218" y="4206544"/>
                            <a:ext cx="949325" cy="928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Primary </w:t>
                              </w:r>
                            </w:p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Disease, </w:t>
                              </w:r>
                            </w:p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36%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3"/>
                        <wps:cNvSpPr txBox="1"/>
                        <wps:spPr>
                          <a:xfrm>
                            <a:off x="1756863" y="3437364"/>
                            <a:ext cx="3496310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B) Unrelated Donor Transplants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4"/>
                        <wps:cNvSpPr txBox="1"/>
                        <wps:spPr>
                          <a:xfrm>
                            <a:off x="2518795" y="736691"/>
                            <a:ext cx="120904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Other, 16%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5"/>
                        <wps:cNvSpPr txBox="1"/>
                        <wps:spPr>
                          <a:xfrm>
                            <a:off x="2490773" y="4199342"/>
                            <a:ext cx="120904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Other, 20%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6"/>
                        <wps:cNvSpPr txBox="1"/>
                        <wps:spPr>
                          <a:xfrm>
                            <a:off x="2719353" y="2065805"/>
                            <a:ext cx="123698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GVHD, 17%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7"/>
                        <wps:cNvSpPr txBox="1"/>
                        <wps:spPr>
                          <a:xfrm>
                            <a:off x="3633672" y="5537148"/>
                            <a:ext cx="123698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GVHD, 20%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8"/>
                        <wps:cNvSpPr txBox="1"/>
                        <wps:spPr>
                          <a:xfrm>
                            <a:off x="1650089" y="1380026"/>
                            <a:ext cx="150749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Infection, 14%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9"/>
                        <wps:cNvSpPr txBox="1"/>
                        <wps:spPr>
                          <a:xfrm>
                            <a:off x="1678111" y="5189912"/>
                            <a:ext cx="150749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Infection, 17%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20"/>
                        <wps:cNvSpPr txBox="1"/>
                        <wps:spPr>
                          <a:xfrm>
                            <a:off x="352170" y="770444"/>
                            <a:ext cx="788670" cy="8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Organ </w:t>
                              </w:r>
                            </w:p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Failure,</w:t>
                              </w:r>
                            </w:p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099243" y="1047868"/>
                            <a:ext cx="705952" cy="2739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Box 34"/>
                        <wps:cNvSpPr txBox="1"/>
                        <wps:spPr>
                          <a:xfrm>
                            <a:off x="352170" y="4435137"/>
                            <a:ext cx="788670" cy="8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Organ </w:t>
                              </w:r>
                            </w:p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Failure,</w:t>
                              </w:r>
                            </w:p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6%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056200" y="4717296"/>
                            <a:ext cx="451367" cy="1551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Box 37"/>
                        <wps:cNvSpPr txBox="1"/>
                        <wps:spPr>
                          <a:xfrm>
                            <a:off x="0" y="355702"/>
                            <a:ext cx="1739900" cy="403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10"/>
                                  <w:sz w:val="32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malignancy, 1%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688198" y="736683"/>
                            <a:ext cx="1292905" cy="186133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46"/>
                        <wps:cNvSpPr txBox="1"/>
                        <wps:spPr>
                          <a:xfrm>
                            <a:off x="0" y="4013193"/>
                            <a:ext cx="1739900" cy="403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327E2" w:rsidRDefault="00C327E2" w:rsidP="00B565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10"/>
                                  <w:sz w:val="32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malignancy, 1%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688237" y="4374783"/>
                            <a:ext cx="988254" cy="15810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48pt;margin-top:-48pt;width:565.5pt;height:594.6pt;z-index:251659264;mso-width-relative:margin;mso-height-relative:margin" coordsize="65207,70950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LWbt7jQMAAKoIAAAVAAAA&#10;ZHJzL2NoYXJ0cy9jaGFydDIueG1snFZRb9s2EH4fsP+gCd1jLMlO006IXbgSshZNm6Bus+2Rps4W&#10;EYrUSNqJ++t7J1K2vMBr0BeDOn733d135NGXbx4bGW3BWKHVNM5GaRyB4roSaj2Nv365OnsdR9Yx&#10;VTGpFUzjHdj4zezXXy55zmtm3KJlHCIkUTbn07h2rs2TxPIaGmZHugWFeyttGubw06yTyrAHJG9k&#10;Mk7Ti6QjiQMB+wmChgnV+5vn+OvVSnAoNd80oJzPwoBkDhWwtWhtPMPiKuYg+yM9j7ZMTuM0Tsgo&#10;mVp7w7f6rPjkjUZvVAVVoY1CGQf4hudz6cAopCq0chgt1Nk8S6mGmftNe8Z102JySyGF23XpYoLI&#10;XdQa64g+w78bYcBOY56d90Lg8okUjeBGW71yI2RMvAp9N4j2VfI6GYd+YLHZeW7dToIvKEvHVG2y&#10;j9ulcMWkXDJ+T9oMwHvoYZ8c/ysGeXXtpwXbOP1FOAklSHBQhbBe4q2Ah0lJMKPd335rEnqCln8G&#10;oiNkrtbzxyNTi41pgTuxDeV454TnB+aV1NpQCFcLfq/ADluJyP2+FRX8hYX/D3YIIX1+AB9CWqnd&#10;3AAjdsl2euO6k9cKmJQFXTja2DKzK7TU/XHLvEwWugJEdVy9NhWYIz2q66W0RFR1Yvu9jgQL3W9y&#10;1gWzznyGFaFXs0UN4LLfXhQvspc5/o7TS5KGNhFWMLz2tG5dgZfCed4Ln1zrIkyMrhIhtrNbI/CA&#10;76JSWGAWiGeLB4ycPYWHZwH+59278hRmHDDv1YqarNUp4CQAb8yaqeiKCbkxJyOfB/ACuMbxh6l+&#10;ZFKsFVN8dyrAyz6Aq1HyYxSWdtDIf3S64jIojaOGSleb5ongZSd4ORQcYXvB/YAtdAWzdJSmv1Pk&#10;ge2ZLUlHk4vjnKkbx31IR+NTkL4N6Sh7dQrTdwCzPBmqFx4x2SmeXugn6WDhB2H8R69yJy+awjXZ&#10;n3Nb64drWIOqPsDu6J7Qzh3D93HwBpCtYO4Ta/rRGC4f2hdgDvYwnwh/C4bT9O94+suK9reb5VLC&#10;QnwLVAOXa2B4a68FDqKBG2Yf0sbVcCbQ52By0PpO2BslQ0EhaCVs+xZfsXs7D7Rr1h7yL2ku3OC/&#10;gY9sOEKQfD+nbXtrZpcsl4p+lb4SUtLD4C2I9ACew2P39MmSORaZXFTT2Lyv/HWmYf+1pSd2IC36&#10;Dn26WdCF7f5izL4DAAD//wMAUEsDBBQABgAIAAAAIQBnbS+a/AAAAH4BAAAgAAAAZHJzL2NoYXJ0&#10;cy9fcmVscy9jaGFydDIueG1sLnJlbHOEkDFrwzAQhfdC/4MQdKzlZCglWM7gtuDBFIKzeblKZ1ut&#10;LAmdUpx/X2UINFDocsfd4757vGq/LpZ9YyTjneSbouQMnfLauEnyY//2+MwZJXAarHco+RmJ7+v7&#10;u+qAFlI+otkEYpniSPI5pbATgtSMC1DhA7qsjD4ukPIYJxFAfcGEYluWTyL+ZvD6hslaLXls9Yaz&#10;/hzy5//ZfhyNwhevTgu69McL4S2+f3yiShkKccIk+WgsZsui2Q1HyjkM0agZog7DFURDgHBRGjgR&#10;0sO29GMuGiHNuTdt1/WHywISFKul9QrvvM6+X9eE0YHloq7ETWr1DwAAAP//AwBQSwMEFAAGAAgA&#10;AAAhAGdtL5r8AAAAfgEAACAAAABkcnMvY2hhcnRzL19yZWxzL2NoYXJ0MS54bWwucmVsc4SQMWvD&#10;MBCF90L/gxB0rOVkKCVYzuC24MEUgrN5uUpnW60sCZ1SnH9fZQg0UOhyx93jvnu8ar8uln1jJOOd&#10;5Jui5Ayd8tq4SfJj//b4zBklcBqsdyj5GYnv6/u76oAWUj6i2QRimeJI8jmlsBOC1IwLUOEDuqyM&#10;Pi6Q8hgnEUB9wYRiW5ZPIv5m8PqGyVoteWz1hrP+HPLn/9l+HI3CF69OC7r0xwvhLb5/fKJKGQpx&#10;wiT5aCxmy6LZDUfKOQzRqBmiDsMVREOAcFEaOBHSw7b0Yy4aIc25N23X9YfLAhIUq6X1Cu+8zr5f&#10;14TRgeWirsRNavUPAAAA//8DAFBLAwQUAAYACAAAACEAet90s8IAAACnAQAAGQAAAGRycy9fcmVs&#10;cy9lMm9Eb2MueG1sLnJlbHO8kMsKwkAMRfeC/zBkb6ftQkScdiNCt6IfEKbpAzsPJqPo3zsogoLg&#10;zuVNyLmHbOqrmcSFAo/OKiiyHARZ7drR9gqOh91iBYIj2hYnZ0nBjRjqaj7b7GnCmI54GD2LRLGs&#10;YIjRr6VkPZBBzpwnmzadCwZjiqGXHvUJe5Jlni9leGdA9cEUTasgNG0J4nDzqfk323XdqGnr9NmQ&#10;jV8qpB4wxATE0FNU8Ij8nJZZMgX5XaL4k0TxkpAf763uAAAA//8DAFBLAwQUAAYACAAAACEAPiY5&#10;MzsGAABQJwAADgAAAGRycy9lMm9Eb2MueG1s7Fpdb9s2FH0fsP8g6H01P0RRFOoUXdoUA4atWLsf&#10;oMqyLUwWNUqJnX+/yw9Rjuwstde40JA8OLZEUrw8l+fee6jXb3abKrgrVFvKeh7iVygMijqXi7Je&#10;zcM/P9/8lIRB22X1IqtkXczD+6IN31z9+MPrbZMWRK5ltShUAIPUbbpt5uG665p0NmvzdbHJ2ley&#10;KWq4uZRqk3XwU61mC5VtYfRNNSMIxbOtVItGybxoW7j6zt4Mr8z4y2WRd78vl23RBdU8hLl15lOZ&#10;zy/6c3b1OktXKmvWZe6mkZ0xi01W1vBQP9S7rMuCW1UeDLUpcyVbuexe5XIzk8tlmRfGBrAGo5E1&#10;H5S8bYwtq3S7avwywdKO1unsYfPf7j6qoFzMwzgM6mwDEJmnBkwvzbZZpdDig2o+NR+Vu7Cyv7S1&#10;u6Xa6P9gR7Azi3rvF7XYdUEOFzlOcExh9BzuccYwQ7Fd9nwN2Bz0y9fvXc+YEcRjQM30RAI6ct1z&#10;1j94pufnp2N/GCRvFFjip+8MJL2B1+tMdQHZM/BGfVR76Jnuv8r8r1Y/zS2CbaN/jKzGGAsqWBgc&#10;2s4ihGkMt7QFNBIJQcJYsD+M87695z/qPU9vh1zbBi6Tp+abc5n8wGG+diQ3AOyYkccdGcB68zuZ&#10;326KurPbUxVV1gE3tOuyacNApdrV1C8L7IB0xmuLDbB+MRy2Yzjd/aMA04cA028GMOGYO4ApS0Ri&#10;3TBLexdnGAHSzlEpQ+C3hlmMDb23eMueJokjaztivanAbDYZ7NfTYIZQ0A5s1x743kls92mdNYUh&#10;0VZzmSODqPeVzwDiz3IXJNZbTBtNdkG3g8sQ0vrrLVw8wnmYx5hQ4BbY4TGDP91+cA0qMKfYMYBm&#10;A2I9o6ewLG1U230o5CbQX2BvQMiC2WZpdvdr21m265voy7W8KavK8lKb2kltmzbtdl92cFV//SIX&#10;92DAFqLaPGz/vs1UATuvq66lCYJ2lLe3nVyW5gFDH8N2ZvXtSM8OAyyMDTo9DNgsj54RYHUKDhGJ&#10;KMGQbQAOmGKMqEFuQEJEghIHhCAJ5c8IhAmo3nMmhAc/wMOFyf+ER0RQzKLo4c64OB7ekgnhAf48&#10;2h8uqp2MB+YsTmIIkSYToZzGIzwgPYkpbD+Tqzw3U5kN4k2ZECDiABCzjGcQFmE46bMKQCMWI77C&#10;kCuiqE8qOCLIhBaf/H7TyGHw8JZMCA/tsKMd4iqXk3cIiQTi3O6QCAtBI8MYQwS5PCLelCkhgg8Q&#10;MfXeOVuEQ2XFLCI6hCR2C+wjQmORXHKPeFOmhIivfH2WZeroMxChMaUxt9kuY5TjyOTN3xMRb8qU&#10;EPGlqkfk7PojZgglEJZM3psgRJy60henoLdwYDanQVwijnhTpoTIQUGIjVJzxh7BMU9AEzKIQIwX&#10;Ao/jyMUR8aZMCZGD2tCWzmcgQhnBUO7pLcI5isaVCE9A0XEbJKEsBsnR1t29dNPX39+gRLeVoS9y&#10;p4SHF4g/dSorV+sueKuU3AbXsq5BtJAqwD46QvF+XTvFuFcpBsnDycUYCQFVu6UuFPEkHgUTjphg&#10;EGy0eko4FVY7HcYZ4dK6efkJ4X8TUqo62MKwCePMNGtlVS60tqL1EXP+UFxXKrjLQDTpdiY5h9z7&#10;QasuK6v39SLo7hvQzTO9Gs5zqtpJKYNA03b3FWjSWVrVfxRL8AMjLh15WJbnIJ/2DzStdaslTM13&#10;RHbK+pRkmOXDjq697lqYg5BTOvse5smy7nznTVlLdezpwxotbft+Bazdettab++1KxCXLqQy4QNZ&#10;g/pa50SZaY9KoogyTE36MeQ/l+eSKcpMWqezVdvjXOKziK/kEhZr1V1zfARyPRGjNCgCrEC3N1yC&#10;4RTK4PZ4Mf3CJfsk9MIl/uAA0sKR4GAp4Iy0xHorZQyS8ofaKJwZCNEfKEWIEhCunzklmaI6Cgnh&#10;UzTyIGd8OiWJkwQLe4igNbnESJQDu2MiiAARwrJIEmNqGrzQiDn8fzKXeaERTyPkQCWL9pPnU06+&#10;XNCDs0VQy747j0xR1CdeIHs0HYEm7nT1q9IR4BECccFkI5RDaTMCRsB9BpKDrmwwS7B9JeaFR/5P&#10;PGLe/oDXtvbfazn6nsvwItzVPwAAAP//AwBQSwMEFAAGAAgAAAAhAPRc/TbfAAAADQEAAA8AAABk&#10;cnMvZG93bnJldi54bWxMj0FLw0AQhe+C/2EZwVu7SUOLjdmUUtRTEWwF8TbNTpPQ7GzIbpP037s5&#10;iN7ezDzefC/bjKYRPXWutqwgnkcgiAuray4VfB5fZ08gnEfW2FgmBTdysMnv7zJMtR34g/qDL0UI&#10;YZeigsr7NpXSFRUZdHPbEofb2XYGfRi7UuoOhxBuGrmIopU0WHP4UGFLu4qKy+FqFLwNOGyT+KXf&#10;X8672/dx+f61j0mpx4dx+wzC0+j/zDDhB3TIA9PJXlk70SiYrVehi/8VkyNKlmF1mtQ6WYDMM/m/&#10;Rf4DAAD//wMAUEsDBBQABgAIAAAAIQAc+wzfRwQAAD0KAAAVAAAAZHJzL2NoYXJ0cy9jaGFydDEu&#10;eG1snFbbcts2EH3vTP+B5aSPNkVJlm2OpYxD1WmmdqyxYrd9hICViDEIsAAkW/n6Li6UqCRqMn2w&#10;DGAP9nJ2scurt6+1SDagDVdynOanvTQBSRXjcjVOHz/dnFykibFEMiKUhHG6BZO+nfz80xUtaEW0&#10;nTeEQoJKpCnoOK2sbYosM7SCmphT1YBE2VLpmljc6lXGNHlB5bXI+r3eKPNK0qiA/A8FNeGyva9/&#10;5L5aLjmFqaLrGqQNXmgQxCIDpuKNSScYHCMW8sveMNkQMU57aeYOBZGrcPC5Oik/hkOt1pIBK5WW&#10;SGMHX9PiWljQElWVSlq0FuOsf4ipmujndXNCVd2gcwsuuN16d9FB1F1WCuNIHuCfNddgxinNhy0R&#10;uPyKippTrYxa2lPUmAUW2mw4tefZRdaP+cBg82Fh7FZACCjv9V202c6ud+GGCLEg9Nlx0wHvoHu5&#10;u/glGe6WT79bWG4F+MWr+9WcVpMrUiwU2840WiaFMHbuHPKbxp00M+3+MVg+zHSyiGnKdgKQbEY0&#10;cUKXuXEK8uRxngZkwri2284djK61iwvr3RBkq9bWOVQTuSbidrd/vVMscgNsBaEUtt86fI0lcdq/&#10;HJ7h3+BicJlfjvq9s3gpyPun+flF/+z8rNcf9YeX+fD8t5NA5JfG0bu9XwrfLu46Zeecb8kka6s+&#10;uc0UBFhgHRgtNhxeBlPPtrJ/BdEgVrpW9u8DsL6Wq+s2lOB4g+XeALV8E4kIl9H+XvNSKIVJQpcq&#10;Tp8lmO4DQeRObjiDP7Gc/gPbhbiq+w68C2mEstcaiNMeuPPvueEwmJaujTnBhuhtqYRqH3EewjTg&#10;A+DsMHqlGegDitjtQhiniHmyg8wrwUB3Qkq8MWP1AywdejmZVwA2/+VN+WZU4E+eu0r0MkSVBHup&#10;wzW2xE5jg9pRTIFN0C9XxD6AyUxz7BrbZMoNEANOz8bXdeONNhGeR/j7p9+nxzD9iPkgly7HSh4D&#10;DiLwXq+ITG4IF2t91PIwgudAFc4UdPWOCL6SRNLtMQNnrQFbIeOHKAxwz1HYeFpxGYnG/u24kev6&#10;K76nju9pl29E7fgOQ6vEZz55D9jaiXCmO6ffzUmyB2OKfo1hDC8OQ3CZDVls05KfH0O0ScmHxxBt&#10;No4C2gz4IvtWcbR056NDGxj8np6waan2HONRfCq7WjeVermFFfbhP6DbohCJkieCXx6d6erOSmI/&#10;krodOvEB4vkc9P489iiHn4Gmbq56Pe2DxfN368VCwJx/jqo6V26B4Mu95diMOtfQ++g2rrp9wW07&#10;3cOtn7i5lyIGFI0ybpp3OGWezXVUuyLN3v+p6w332KvvSLeNoPLdBDRxnEl1w4UII08mL+Fxk8Io&#10;wZmTuJHnv6+gFLEBLVahzRygcA4K6R9/0EwLePVfI2JKLEl0wdk41R9YqDo3KR4b99XTyQm6173j&#10;lXl//Vff5F8AAAD//wMAUEsBAi0AFAAGAAgAAAAhACIzSCAlAQAA2wIAABMAAAAAAAAAAAAAAAAA&#10;AAAAAFtDb250ZW50X1R5cGVzXS54bWxQSwECLQAUAAYACAAAACEAOP0h/9YAAACUAQAACwAAAAAA&#10;AAAAAAAAAABWAQAAX3JlbHMvLnJlbHNQSwECLQAUAAYACAAAACEAC1m7e40DAACqCAAAFQAAAAAA&#10;AAAAAAAAAABVAgAAZHJzL2NoYXJ0cy9jaGFydDIueG1sUEsBAi0AFAAGAAgAAAAhAGdtL5r8AAAA&#10;fgEAACAAAAAAAAAAAAAAAAAAFQYAAGRycy9jaGFydHMvX3JlbHMvY2hhcnQyLnhtbC5yZWxzUEsB&#10;Ai0AFAAGAAgAAAAhAGdtL5r8AAAAfgEAACAAAAAAAAAAAAAAAAAATwcAAGRycy9jaGFydHMvX3Jl&#10;bHMvY2hhcnQxLnhtbC5yZWxzUEsBAi0AFAAGAAgAAAAhAHrfdLPCAAAApwEAABkAAAAAAAAAAAAA&#10;AAAAiQgAAGRycy9fcmVscy9lMm9Eb2MueG1sLnJlbHNQSwECLQAUAAYACAAAACEAPiY5MzsGAABQ&#10;JwAADgAAAAAAAAAAAAAAAACCCQAAZHJzL2Uyb0RvYy54bWxQSwECLQAUAAYACAAAACEA9Fz9Nt8A&#10;AAANAQAADwAAAAAAAAAAAAAAAADpDwAAZHJzL2Rvd25yZXYueG1sUEsBAi0AFAAGAAgAAAAhABz7&#10;DN9HBAAAPQoAABUAAAAAAAAAAAAAAAAA9RAAAGRycy9jaGFydHMvY2hhcnQxLnhtbFBLBQYAAAAA&#10;CQAJAFwCAABv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11180;width:54188;height:350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mef&#10;VcMAAADaAAAADwAAAGRycy9kb3ducmV2LnhtbESPQWvCQBSE7wX/w/IKXkrdGGiRNKuUQsFbSKwE&#10;b4/sMwlm38bdVWN/fbdQ6HGYmW+YfDOZQVzJ+d6yguUiAUHcWN1zq+Br9/m8AuEDssbBMim4k4fN&#10;evaQY6btjUu6VqEVEcI+QwVdCGMmpW86MugXdiSO3tE6gyFK10rt8BbhZpBpkrxKgz3HhQ5H+uio&#10;OVUXo2CXvpQ17qtzfZhcQfJbPy2LoNT8cXp/AxFoCv/hv/ZWK0jh90q8AXL9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JJnn1XDAAAA2gAAAA8AAAAAAAAAAAAAAAAAmwIAAGRycy9k&#10;b3ducmV2LnhtbFBLBQYAAAAABAAEAPMAAACLAwAAAAA=&#10;">
                  <v:imagedata r:id="rId13" o:title=""/>
                  <o:lock v:ext="edit" aspectratio="f"/>
                </v:shape>
                <v:shape id="Chart 3" o:spid="_x0000_s1028" type="#_x0000_t75" style="position:absolute;left:12619;top:35911;width:51255;height:350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nsW&#10;MsMAAADaAAAADwAAAGRycy9kb3ducmV2LnhtbESPT2vCQBTE7wW/w/IEb3VjWmJJXUWEUK+mPfT4&#10;zL4mqdm3Mbvmj5++Wyj0OMzMb5jNbjSN6KlztWUFq2UEgriwuuZSwcd79vgCwnlkjY1lUjCRg912&#10;9rDBVNuBT9TnvhQBwi5FBZX3bSqlKyoy6Ja2JQ7el+0M+iC7UuoOhwA3jYyjKJEGaw4LFbZ0qKi4&#10;5Dej4G1/Xx+GST5/t7HX5+uUFZ9JptRiPu5fQXga/X/4r33UCp7g90q4AXL7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Hp7FjLDAAAA2gAAAA8AAAAAAAAAAAAAAAAAmwIAAGRycy9k&#10;b3ducmV2LnhtbFBLBQYAAAAABAAEAPMAAACLAwAAAAA=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17612;top:655;width:39173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A) HLA-matched Sibling Transplants</w:t>
                        </w:r>
                      </w:p>
                    </w:txbxContent>
                  </v:textbox>
                </v:shape>
                <v:shape id="TextBox 10" o:spid="_x0000_s1030" type="#_x0000_t202" style="position:absolute;left:42432;top:13110;width:9493;height:9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Primary </w:t>
                        </w:r>
                      </w:p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Disease,</w:t>
                        </w:r>
                      </w:p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48%</w:t>
                        </w:r>
                      </w:p>
                    </w:txbxContent>
                  </v:textbox>
                </v:shape>
                <v:shape id="TextBox 12" o:spid="_x0000_s1031" type="#_x0000_t202" style="position:absolute;left:42432;top:42065;width:9493;height:9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Primary </w:t>
                        </w:r>
                      </w:p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Disease, </w:t>
                        </w:r>
                      </w:p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36%</w:t>
                        </w:r>
                      </w:p>
                    </w:txbxContent>
                  </v:textbox>
                </v:shape>
                <v:shape id="TextBox 13" o:spid="_x0000_s1032" type="#_x0000_t202" style="position:absolute;left:17568;top:34373;width:34963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B) Unrelated Donor Transplants</w:t>
                        </w:r>
                      </w:p>
                    </w:txbxContent>
                  </v:textbox>
                </v:shape>
                <v:shape id="TextBox 14" o:spid="_x0000_s1033" type="#_x0000_t202" style="position:absolute;left:25187;top:7366;width:12091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Other, 16%</w:t>
                        </w:r>
                      </w:p>
                    </w:txbxContent>
                  </v:textbox>
                </v:shape>
                <v:shape id="TextBox 15" o:spid="_x0000_s1034" type="#_x0000_t202" style="position:absolute;left:24907;top:41993;width:12091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Other, 20%</w:t>
                        </w:r>
                      </w:p>
                    </w:txbxContent>
                  </v:textbox>
                </v:shape>
                <v:shape id="TextBox 16" o:spid="_x0000_s1035" type="#_x0000_t202" style="position:absolute;left:27193;top:20658;width:1237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GVHD, 17%</w:t>
                        </w:r>
                      </w:p>
                    </w:txbxContent>
                  </v:textbox>
                </v:shape>
                <v:shape id="TextBox 17" o:spid="_x0000_s1036" type="#_x0000_t202" style="position:absolute;left:36336;top:55371;width:1237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GVHD, 20%</w:t>
                        </w:r>
                      </w:p>
                    </w:txbxContent>
                  </v:textbox>
                </v:shape>
                <v:shape id="TextBox 18" o:spid="_x0000_s1037" type="#_x0000_t202" style="position:absolute;left:16500;top:13800;width:15075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Infection, 14%</w:t>
                        </w:r>
                      </w:p>
                    </w:txbxContent>
                  </v:textbox>
                </v:shape>
                <v:shape id="TextBox 19" o:spid="_x0000_s1038" type="#_x0000_t202" style="position:absolute;left:16781;top:51899;width:15075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Infection, 17%</w:t>
                        </w:r>
                      </w:p>
                    </w:txbxContent>
                  </v:textbox>
                </v:shape>
                <v:shape id="TextBox 20" o:spid="_x0000_s1039" type="#_x0000_t202" style="position:absolute;left:3521;top:7704;width:7887;height:8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Organ </w:t>
                        </w:r>
                      </w:p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Failure,</w:t>
                        </w:r>
                      </w:p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4%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40" type="#_x0000_t32" style="position:absolute;left:10992;top:10478;width:7059;height: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M4N8MAAADbAAAADwAAAGRycy9kb3ducmV2LnhtbERPS2vCQBC+F/wPywje6qYebI2uIYii&#10;pZSiFoq3ITvNw+xsyK5J/PfdQqG3+fies0oGU4uOWldaVvA0jUAQZ1aXnCv4PO8eX0A4j6yxtkwK&#10;7uQgWY8eVhhr2/ORupPPRQhhF6OCwvsmltJlBRl0U9sQB+7btgZ9gG0udYt9CDe1nEXRXBosOTQU&#10;2NCmoOx6uhkF72f/1u+a+3P1Vb1uP/aYLi5dqtRkPKRLEJ4G/y/+cx90mD+H31/C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jODfDAAAA2wAAAA8AAAAAAAAAAAAA&#10;AAAAoQIAAGRycy9kb3ducmV2LnhtbFBLBQYAAAAABAAEAPkAAACRAwAAAAA=&#10;" strokecolor="black [3213]" strokeweight="2.25pt">
                  <v:stroke endarrow="open"/>
                </v:shape>
                <v:shape id="TextBox 34" o:spid="_x0000_s1041" type="#_x0000_t202" style="position:absolute;left:3521;top:44351;width:7887;height: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Organ </w:t>
                        </w:r>
                      </w:p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Failure,</w:t>
                        </w:r>
                      </w:p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6%</w:t>
                        </w:r>
                      </w:p>
                    </w:txbxContent>
                  </v:textbox>
                </v:shape>
                <v:shape id="Straight Arrow Connector 18" o:spid="_x0000_s1042" type="#_x0000_t32" style="position:absolute;left:10562;top:47172;width:4513;height: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AJ3sYAAADbAAAADwAAAGRycy9kb3ducmV2LnhtbESPQUvDQBCF74L/YRnBm9noQW3MpoTS&#10;oiIitgXpbchOk9TsbMiuSfrvnYPgbYb35r1v8uXsOjXSEFrPBm6TFBRx5W3LtYH9bnPzCCpEZIud&#10;ZzJwpgDL4vIix8z6iT9p3MZaSQiHDA00MfaZ1qFqyGFIfE8s2tEPDqOsQ63tgJOEu07fpem9dtiy&#10;NDTY06qh6nv74wy87+LbtOnPD6ev0+v64xnLxWEsjbm+mssnUJHm+G/+u36xgi+w8osMo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wCd7GAAAA2wAAAA8AAAAAAAAA&#10;AAAAAAAAoQIAAGRycy9kb3ducmV2LnhtbFBLBQYAAAAABAAEAPkAAACUAwAAAAA=&#10;" strokecolor="black [3213]" strokeweight="2.25pt">
                  <v:stroke endarrow="open"/>
                </v:shape>
                <v:shape id="TextBox 37" o:spid="_x0000_s1043" type="#_x0000_t202" style="position:absolute;top:3557;width:17399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10"/>
                            <w:sz w:val="32"/>
                            <w:szCs w:val="32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malignancy, 1% </w:t>
                        </w:r>
                      </w:p>
                    </w:txbxContent>
                  </v:textbox>
                </v:shape>
                <v:shape id="Straight Arrow Connector 20" o:spid="_x0000_s1044" type="#_x0000_t32" style="position:absolute;left:6881;top:7366;width:12930;height:18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PZcMAAADbAAAADwAAAGRycy9kb3ducmV2LnhtbERPy2rCQBTdC/7DcAV3OqkLW6NjCFJp&#10;SymiFoq7S+Y2DzN3QmaaxL/vLASXh/PeJIOpRUetKy0reJpHIIgzq0vOFXyf97MXEM4ja6wtk4Ib&#10;OUi249EGY217PlJ38rkIIexiVFB438RSuqwgg25uG+LA/drWoA+wzaVusQ/hppaLKFpKgyWHhgIb&#10;2hWUXU9/RsHX2X/2++b2XP1UH6+HN0xXly5VajoZ0jUIT4N/iO/ud61gEdaHL+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qz2XDAAAA2wAAAA8AAAAAAAAAAAAA&#10;AAAAoQIAAGRycy9kb3ducmV2LnhtbFBLBQYAAAAABAAEAPkAAACRAwAAAAA=&#10;" strokecolor="black [3213]" strokeweight="2.25pt">
                  <v:stroke endarrow="open"/>
                </v:shape>
                <v:shape id="TextBox 46" o:spid="_x0000_s1045" type="#_x0000_t202" style="position:absolute;top:40131;width:17399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327E2" w:rsidRDefault="00C327E2" w:rsidP="00B5651F">
                        <w:pPr>
                          <w:pStyle w:val="af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10"/>
                            <w:sz w:val="32"/>
                            <w:szCs w:val="32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malignancy, 1%</w:t>
                        </w:r>
                      </w:p>
                    </w:txbxContent>
                  </v:textbox>
                </v:shape>
                <v:shape id="Straight Arrow Connector 22" o:spid="_x0000_s1046" type="#_x0000_t32" style="position:absolute;left:6882;top:43747;width:9882;height:1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0icUAAADbAAAADwAAAGRycy9kb3ducmV2LnhtbESPQWvCQBSE70L/w/IK3nTTHNRGVwlF&#10;USmlVAXx9si+JrHZtyG7JvHfdwtCj8PMfMMsVr2pREuNKy0reBlHIIgzq0vOFZyOm9EMhPPIGivL&#10;pOBODlbLp8ECE207/qL24HMRIOwSVFB4XydSuqwgg25sa+LgfdvGoA+yyaVusAtwU8k4iibSYMlh&#10;ocCa3grKfg43o+Dj6N+7TX2fXs/X/fpzi+nrpU2VGj736RyEp97/hx/tnVYQx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T0icUAAADbAAAADwAAAAAAAAAA&#10;AAAAAAChAgAAZHJzL2Rvd25yZXYueG1sUEsFBgAAAAAEAAQA+QAAAJMDAAAAAA==&#10;" strokecolor="black [3213]" strokeweight="2.25pt">
                  <v:stroke endarrow="open"/>
                </v:shape>
              </v:group>
            </w:pict>
          </mc:Fallback>
        </mc:AlternateContent>
      </w:r>
    </w:p>
    <w:sectPr w:rsidR="00B5651F" w:rsidRPr="00FB5CEB" w:rsidSect="00E945C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DB" w:rsidRDefault="000E35DB">
      <w:pPr>
        <w:spacing w:after="0" w:line="240" w:lineRule="auto"/>
      </w:pPr>
      <w:r>
        <w:separator/>
      </w:r>
    </w:p>
  </w:endnote>
  <w:endnote w:type="continuationSeparator" w:id="0">
    <w:p w:rsidR="000E35DB" w:rsidRDefault="000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44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7E2" w:rsidRDefault="00C327E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30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327E2" w:rsidRDefault="00C327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DB" w:rsidRDefault="000E35DB">
      <w:pPr>
        <w:spacing w:after="0" w:line="240" w:lineRule="auto"/>
      </w:pPr>
      <w:r>
        <w:separator/>
      </w:r>
    </w:p>
  </w:footnote>
  <w:footnote w:type="continuationSeparator" w:id="0">
    <w:p w:rsidR="000E35DB" w:rsidRDefault="000E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192"/>
    <w:multiLevelType w:val="hybridMultilevel"/>
    <w:tmpl w:val="2D707B12"/>
    <w:lvl w:ilvl="0" w:tplc="FCD638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95011"/>
    <w:multiLevelType w:val="hybridMultilevel"/>
    <w:tmpl w:val="8598B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25C6E"/>
    <w:multiLevelType w:val="hybridMultilevel"/>
    <w:tmpl w:val="5AA4A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DA6254"/>
    <w:rsid w:val="00004C7A"/>
    <w:rsid w:val="00026D49"/>
    <w:rsid w:val="00030CD6"/>
    <w:rsid w:val="00031BEF"/>
    <w:rsid w:val="0004575A"/>
    <w:rsid w:val="00046A70"/>
    <w:rsid w:val="00052E1C"/>
    <w:rsid w:val="00057DA9"/>
    <w:rsid w:val="00076636"/>
    <w:rsid w:val="0009607B"/>
    <w:rsid w:val="000B0638"/>
    <w:rsid w:val="000B467D"/>
    <w:rsid w:val="000C011C"/>
    <w:rsid w:val="000C6BFE"/>
    <w:rsid w:val="000D37A8"/>
    <w:rsid w:val="000D43CE"/>
    <w:rsid w:val="000D6A9A"/>
    <w:rsid w:val="000E0E10"/>
    <w:rsid w:val="000E35DB"/>
    <w:rsid w:val="000E5724"/>
    <w:rsid w:val="00113554"/>
    <w:rsid w:val="00124CC0"/>
    <w:rsid w:val="00127A75"/>
    <w:rsid w:val="0014060B"/>
    <w:rsid w:val="00155395"/>
    <w:rsid w:val="0015780B"/>
    <w:rsid w:val="00177529"/>
    <w:rsid w:val="001A0AAA"/>
    <w:rsid w:val="001A5CD1"/>
    <w:rsid w:val="001B0873"/>
    <w:rsid w:val="001B7E5D"/>
    <w:rsid w:val="001C6C77"/>
    <w:rsid w:val="001D4C00"/>
    <w:rsid w:val="001F5328"/>
    <w:rsid w:val="002154EB"/>
    <w:rsid w:val="00226493"/>
    <w:rsid w:val="00230943"/>
    <w:rsid w:val="00234B0E"/>
    <w:rsid w:val="00235C1F"/>
    <w:rsid w:val="00236F97"/>
    <w:rsid w:val="00260027"/>
    <w:rsid w:val="00274778"/>
    <w:rsid w:val="00281583"/>
    <w:rsid w:val="00282693"/>
    <w:rsid w:val="00290760"/>
    <w:rsid w:val="002973B3"/>
    <w:rsid w:val="002A688E"/>
    <w:rsid w:val="002C0DF1"/>
    <w:rsid w:val="002C2A3D"/>
    <w:rsid w:val="002C2BBE"/>
    <w:rsid w:val="002E76AE"/>
    <w:rsid w:val="00305E4F"/>
    <w:rsid w:val="00354BB3"/>
    <w:rsid w:val="00357681"/>
    <w:rsid w:val="00362A0C"/>
    <w:rsid w:val="00365E39"/>
    <w:rsid w:val="00377FA0"/>
    <w:rsid w:val="00392300"/>
    <w:rsid w:val="003A0F42"/>
    <w:rsid w:val="003A65E0"/>
    <w:rsid w:val="003C657E"/>
    <w:rsid w:val="003C6D6A"/>
    <w:rsid w:val="003D197C"/>
    <w:rsid w:val="003E5A2B"/>
    <w:rsid w:val="003E692E"/>
    <w:rsid w:val="004146D3"/>
    <w:rsid w:val="004169B4"/>
    <w:rsid w:val="00417268"/>
    <w:rsid w:val="00421EB9"/>
    <w:rsid w:val="0043733F"/>
    <w:rsid w:val="00452CDE"/>
    <w:rsid w:val="0045404E"/>
    <w:rsid w:val="00464E45"/>
    <w:rsid w:val="00464F05"/>
    <w:rsid w:val="00496A4A"/>
    <w:rsid w:val="004A4D43"/>
    <w:rsid w:val="004C0F42"/>
    <w:rsid w:val="004D1F07"/>
    <w:rsid w:val="004D5D73"/>
    <w:rsid w:val="004E08B6"/>
    <w:rsid w:val="00520B91"/>
    <w:rsid w:val="00530621"/>
    <w:rsid w:val="005356A8"/>
    <w:rsid w:val="0054680B"/>
    <w:rsid w:val="00556D2D"/>
    <w:rsid w:val="00580DC6"/>
    <w:rsid w:val="00583E8A"/>
    <w:rsid w:val="00585569"/>
    <w:rsid w:val="00595912"/>
    <w:rsid w:val="005B0854"/>
    <w:rsid w:val="005C038E"/>
    <w:rsid w:val="005C3156"/>
    <w:rsid w:val="005D256A"/>
    <w:rsid w:val="005F5F1F"/>
    <w:rsid w:val="00606B8D"/>
    <w:rsid w:val="006216FB"/>
    <w:rsid w:val="00623596"/>
    <w:rsid w:val="00625BC2"/>
    <w:rsid w:val="00637579"/>
    <w:rsid w:val="0064367B"/>
    <w:rsid w:val="00643CCB"/>
    <w:rsid w:val="00654D86"/>
    <w:rsid w:val="00655AB7"/>
    <w:rsid w:val="00671B6F"/>
    <w:rsid w:val="00673E1A"/>
    <w:rsid w:val="00686AF2"/>
    <w:rsid w:val="00694AE5"/>
    <w:rsid w:val="006970A2"/>
    <w:rsid w:val="006C1ED4"/>
    <w:rsid w:val="006D0F55"/>
    <w:rsid w:val="006D3F3B"/>
    <w:rsid w:val="006E7291"/>
    <w:rsid w:val="006F3693"/>
    <w:rsid w:val="00711DFB"/>
    <w:rsid w:val="00715C7B"/>
    <w:rsid w:val="0072075B"/>
    <w:rsid w:val="007272ED"/>
    <w:rsid w:val="00732EB0"/>
    <w:rsid w:val="00732F61"/>
    <w:rsid w:val="007422CA"/>
    <w:rsid w:val="0075405D"/>
    <w:rsid w:val="007652C0"/>
    <w:rsid w:val="00766AAE"/>
    <w:rsid w:val="00775E66"/>
    <w:rsid w:val="00777F37"/>
    <w:rsid w:val="007900DB"/>
    <w:rsid w:val="0079074A"/>
    <w:rsid w:val="007A1D63"/>
    <w:rsid w:val="007A62AF"/>
    <w:rsid w:val="007B3B33"/>
    <w:rsid w:val="007B7AF3"/>
    <w:rsid w:val="007C2F97"/>
    <w:rsid w:val="007D1393"/>
    <w:rsid w:val="007D7C04"/>
    <w:rsid w:val="007E500E"/>
    <w:rsid w:val="007F26D4"/>
    <w:rsid w:val="007F2931"/>
    <w:rsid w:val="007F50BB"/>
    <w:rsid w:val="0080533D"/>
    <w:rsid w:val="00812A51"/>
    <w:rsid w:val="00814D8F"/>
    <w:rsid w:val="008261B4"/>
    <w:rsid w:val="008569F1"/>
    <w:rsid w:val="00864B99"/>
    <w:rsid w:val="00871A0F"/>
    <w:rsid w:val="00897F70"/>
    <w:rsid w:val="008A4872"/>
    <w:rsid w:val="008B141A"/>
    <w:rsid w:val="008B19EA"/>
    <w:rsid w:val="008B4AF5"/>
    <w:rsid w:val="008C49EC"/>
    <w:rsid w:val="008C5E57"/>
    <w:rsid w:val="008D1A1E"/>
    <w:rsid w:val="008D2F0B"/>
    <w:rsid w:val="008D31BA"/>
    <w:rsid w:val="008E201D"/>
    <w:rsid w:val="008E51A9"/>
    <w:rsid w:val="008F52FB"/>
    <w:rsid w:val="009152F6"/>
    <w:rsid w:val="00926414"/>
    <w:rsid w:val="009464FF"/>
    <w:rsid w:val="00957E14"/>
    <w:rsid w:val="00961532"/>
    <w:rsid w:val="00966E80"/>
    <w:rsid w:val="0098036D"/>
    <w:rsid w:val="0098411F"/>
    <w:rsid w:val="0098667E"/>
    <w:rsid w:val="009875FB"/>
    <w:rsid w:val="00987CD8"/>
    <w:rsid w:val="00994967"/>
    <w:rsid w:val="009965A0"/>
    <w:rsid w:val="009A5571"/>
    <w:rsid w:val="009A67C0"/>
    <w:rsid w:val="009E5CC1"/>
    <w:rsid w:val="009F0C94"/>
    <w:rsid w:val="00A0170B"/>
    <w:rsid w:val="00A047D8"/>
    <w:rsid w:val="00A06D2F"/>
    <w:rsid w:val="00A43DEF"/>
    <w:rsid w:val="00A43FFD"/>
    <w:rsid w:val="00A647E5"/>
    <w:rsid w:val="00A6694B"/>
    <w:rsid w:val="00A84290"/>
    <w:rsid w:val="00A8505A"/>
    <w:rsid w:val="00A90985"/>
    <w:rsid w:val="00A93271"/>
    <w:rsid w:val="00AC758A"/>
    <w:rsid w:val="00AD0A44"/>
    <w:rsid w:val="00AE1DA2"/>
    <w:rsid w:val="00AF184F"/>
    <w:rsid w:val="00AF5FC0"/>
    <w:rsid w:val="00AF60D5"/>
    <w:rsid w:val="00B1735F"/>
    <w:rsid w:val="00B26A59"/>
    <w:rsid w:val="00B344C0"/>
    <w:rsid w:val="00B45898"/>
    <w:rsid w:val="00B47AD8"/>
    <w:rsid w:val="00B55CCF"/>
    <w:rsid w:val="00B5651F"/>
    <w:rsid w:val="00B60D6B"/>
    <w:rsid w:val="00B65FB5"/>
    <w:rsid w:val="00B67630"/>
    <w:rsid w:val="00B7446B"/>
    <w:rsid w:val="00B82536"/>
    <w:rsid w:val="00BA195A"/>
    <w:rsid w:val="00BB0B4E"/>
    <w:rsid w:val="00BB281C"/>
    <w:rsid w:val="00BB6824"/>
    <w:rsid w:val="00BC0BDD"/>
    <w:rsid w:val="00BF4607"/>
    <w:rsid w:val="00C327E2"/>
    <w:rsid w:val="00C340EA"/>
    <w:rsid w:val="00C36237"/>
    <w:rsid w:val="00C676CC"/>
    <w:rsid w:val="00C87B66"/>
    <w:rsid w:val="00CB35A4"/>
    <w:rsid w:val="00CC2FF8"/>
    <w:rsid w:val="00CC3F3C"/>
    <w:rsid w:val="00CC6BA5"/>
    <w:rsid w:val="00CD18D7"/>
    <w:rsid w:val="00CD5F81"/>
    <w:rsid w:val="00CE2716"/>
    <w:rsid w:val="00CE51F5"/>
    <w:rsid w:val="00CE6E92"/>
    <w:rsid w:val="00CF4FD6"/>
    <w:rsid w:val="00D02915"/>
    <w:rsid w:val="00D30ABC"/>
    <w:rsid w:val="00D346F0"/>
    <w:rsid w:val="00D3618A"/>
    <w:rsid w:val="00D5286A"/>
    <w:rsid w:val="00D62F31"/>
    <w:rsid w:val="00D65215"/>
    <w:rsid w:val="00D74676"/>
    <w:rsid w:val="00D74AD4"/>
    <w:rsid w:val="00D77C92"/>
    <w:rsid w:val="00D8164D"/>
    <w:rsid w:val="00D848EA"/>
    <w:rsid w:val="00D96A1C"/>
    <w:rsid w:val="00D9770D"/>
    <w:rsid w:val="00DA2167"/>
    <w:rsid w:val="00DA6254"/>
    <w:rsid w:val="00DB01A9"/>
    <w:rsid w:val="00DB2211"/>
    <w:rsid w:val="00DC6E66"/>
    <w:rsid w:val="00DC7085"/>
    <w:rsid w:val="00DE1C8B"/>
    <w:rsid w:val="00E023A7"/>
    <w:rsid w:val="00E10362"/>
    <w:rsid w:val="00E26B6D"/>
    <w:rsid w:val="00E5610E"/>
    <w:rsid w:val="00E56B82"/>
    <w:rsid w:val="00E66D36"/>
    <w:rsid w:val="00E721FB"/>
    <w:rsid w:val="00E90B2A"/>
    <w:rsid w:val="00E922FB"/>
    <w:rsid w:val="00E945CC"/>
    <w:rsid w:val="00EA1EC6"/>
    <w:rsid w:val="00EC3408"/>
    <w:rsid w:val="00ED0192"/>
    <w:rsid w:val="00ED4C71"/>
    <w:rsid w:val="00ED6DE6"/>
    <w:rsid w:val="00F02DD5"/>
    <w:rsid w:val="00F02F4A"/>
    <w:rsid w:val="00F13EE0"/>
    <w:rsid w:val="00F23627"/>
    <w:rsid w:val="00F337F4"/>
    <w:rsid w:val="00F359D8"/>
    <w:rsid w:val="00F40C10"/>
    <w:rsid w:val="00F72377"/>
    <w:rsid w:val="00F7553C"/>
    <w:rsid w:val="00F85921"/>
    <w:rsid w:val="00F86330"/>
    <w:rsid w:val="00F951C7"/>
    <w:rsid w:val="00FB5CEB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25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A6254"/>
  </w:style>
  <w:style w:type="character" w:styleId="CommentReference">
    <w:name w:val="annotation reference"/>
    <w:basedOn w:val="DefaultParagraphFont"/>
    <w:uiPriority w:val="99"/>
    <w:semiHidden/>
    <w:unhideWhenUsed/>
    <w:rsid w:val="00DA6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2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254"/>
    <w:pPr>
      <w:ind w:left="720"/>
      <w:contextualSpacing/>
    </w:pPr>
  </w:style>
  <w:style w:type="table" w:styleId="LightShading">
    <w:name w:val="Light Shading"/>
    <w:basedOn w:val="TableNormal"/>
    <w:uiPriority w:val="60"/>
    <w:rsid w:val="00DA62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LightList"/>
    <w:uiPriority w:val="59"/>
    <w:rsid w:val="00DA6254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DA6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DA6254"/>
  </w:style>
  <w:style w:type="paragraph" w:styleId="Header">
    <w:name w:val="header"/>
    <w:basedOn w:val="Normal"/>
    <w:link w:val="HeaderChar"/>
    <w:uiPriority w:val="99"/>
    <w:unhideWhenUsed/>
    <w:rsid w:val="00DA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54"/>
  </w:style>
  <w:style w:type="paragraph" w:styleId="Footer">
    <w:name w:val="footer"/>
    <w:basedOn w:val="Normal"/>
    <w:link w:val="FooterChar"/>
    <w:uiPriority w:val="99"/>
    <w:unhideWhenUsed/>
    <w:rsid w:val="00DA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54"/>
  </w:style>
  <w:style w:type="character" w:styleId="Hyperlink">
    <w:name w:val="Hyperlink"/>
    <w:basedOn w:val="DefaultParagraphFont"/>
    <w:uiPriority w:val="99"/>
    <w:unhideWhenUsed/>
    <w:rsid w:val="00DA62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539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777F37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777F37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392300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25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A6254"/>
  </w:style>
  <w:style w:type="character" w:styleId="CommentReference">
    <w:name w:val="annotation reference"/>
    <w:basedOn w:val="DefaultParagraphFont"/>
    <w:uiPriority w:val="99"/>
    <w:semiHidden/>
    <w:unhideWhenUsed/>
    <w:rsid w:val="00DA6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2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254"/>
    <w:pPr>
      <w:ind w:left="720"/>
      <w:contextualSpacing/>
    </w:pPr>
  </w:style>
  <w:style w:type="table" w:styleId="LightShading">
    <w:name w:val="Light Shading"/>
    <w:basedOn w:val="TableNormal"/>
    <w:uiPriority w:val="60"/>
    <w:rsid w:val="00DA62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LightList"/>
    <w:uiPriority w:val="59"/>
    <w:rsid w:val="00DA6254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DA6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DA6254"/>
  </w:style>
  <w:style w:type="paragraph" w:styleId="Header">
    <w:name w:val="header"/>
    <w:basedOn w:val="Normal"/>
    <w:link w:val="HeaderChar"/>
    <w:uiPriority w:val="99"/>
    <w:unhideWhenUsed/>
    <w:rsid w:val="00DA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54"/>
  </w:style>
  <w:style w:type="paragraph" w:styleId="Footer">
    <w:name w:val="footer"/>
    <w:basedOn w:val="Normal"/>
    <w:link w:val="FooterChar"/>
    <w:uiPriority w:val="99"/>
    <w:unhideWhenUsed/>
    <w:rsid w:val="00DA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54"/>
  </w:style>
  <w:style w:type="character" w:styleId="Hyperlink">
    <w:name w:val="Hyperlink"/>
    <w:basedOn w:val="DefaultParagraphFont"/>
    <w:uiPriority w:val="99"/>
    <w:unhideWhenUsed/>
    <w:rsid w:val="00DA62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539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777F37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777F37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392300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chart" Target="charts/chart2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rp@uw.edu" TargetMode="External"/><Relationship Id="rId10" Type="http://schemas.openxmlformats.org/officeDocument/2006/relationships/hyperlink" Target="https://www.cibmtr.org/Data/Resources/pages/index.asp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ichardp\Documents\papers\Causes%20of%20death%20CIMMTR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ichardp\Documents\papers\Causes%20of%20death%20CIMMTR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endParaRPr lang="en-US" b="0" dirty="0"/>
          </a:p>
        </c:rich>
      </c:tx>
      <c:layout>
        <c:manualLayout>
          <c:xMode val="edge"/>
          <c:yMode val="edge"/>
          <c:x val="0.294529438391962"/>
          <c:y val="0.021782575026249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elete val="1"/>
          </c:dLbls>
          <c:cat>
            <c:strRef>
              <c:f>Sheet1!$C$6:$C$11</c:f>
              <c:strCache>
                <c:ptCount val="6"/>
                <c:pt idx="0">
                  <c:v>Primary Disease</c:v>
                </c:pt>
                <c:pt idx="1">
                  <c:v>GVHD</c:v>
                </c:pt>
                <c:pt idx="2">
                  <c:v>Infection</c:v>
                </c:pt>
                <c:pt idx="3">
                  <c:v>Organ Failure</c:v>
                </c:pt>
                <c:pt idx="4">
                  <c:v>Secondary Malignancy</c:v>
                </c:pt>
                <c:pt idx="5">
                  <c:v>Other </c:v>
                </c:pt>
              </c:strCache>
            </c:strRef>
          </c:cat>
          <c:val>
            <c:numRef>
              <c:f>Sheet1!$D$6:$D$11</c:f>
              <c:numCache>
                <c:formatCode>General</c:formatCode>
                <c:ptCount val="6"/>
                <c:pt idx="0" formatCode="0%">
                  <c:v>48.0</c:v>
                </c:pt>
                <c:pt idx="1">
                  <c:v>17.0</c:v>
                </c:pt>
                <c:pt idx="2">
                  <c:v>14.0</c:v>
                </c:pt>
                <c:pt idx="3">
                  <c:v>4.0</c:v>
                </c:pt>
                <c:pt idx="4">
                  <c:v>1.0</c:v>
                </c:pt>
                <c:pt idx="5">
                  <c:v>16.0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 w="0"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elete val="1"/>
          </c:dLbls>
          <c:cat>
            <c:strRef>
              <c:f>Sheet1!$C$15:$C$20</c:f>
              <c:strCache>
                <c:ptCount val="6"/>
                <c:pt idx="0">
                  <c:v>Primary Disease</c:v>
                </c:pt>
                <c:pt idx="1">
                  <c:v>GVHD</c:v>
                </c:pt>
                <c:pt idx="2">
                  <c:v>Infection</c:v>
                </c:pt>
                <c:pt idx="3">
                  <c:v>Organ Failure</c:v>
                </c:pt>
                <c:pt idx="4">
                  <c:v>Secondary Malignancy</c:v>
                </c:pt>
                <c:pt idx="5">
                  <c:v>Other </c:v>
                </c:pt>
              </c:strCache>
            </c:strRef>
          </c:cat>
          <c:val>
            <c:numRef>
              <c:f>Sheet1!$D$15:$D$20</c:f>
              <c:numCache>
                <c:formatCode>0.00%</c:formatCode>
                <c:ptCount val="6"/>
                <c:pt idx="0">
                  <c:v>0.36</c:v>
                </c:pt>
                <c:pt idx="1">
                  <c:v>0.2</c:v>
                </c:pt>
                <c:pt idx="2">
                  <c:v>0.17</c:v>
                </c:pt>
                <c:pt idx="3">
                  <c:v>0.06</c:v>
                </c:pt>
                <c:pt idx="4">
                  <c:v>0.01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10119</Words>
  <Characters>57684</Characters>
  <Application>Microsoft Macintosh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SOD</Company>
  <LinksUpToDate>false</LinksUpToDate>
  <CharactersWithSpaces>67668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Presland</dc:creator>
  <cp:lastModifiedBy>Na Ma</cp:lastModifiedBy>
  <cp:revision>2</cp:revision>
  <cp:lastPrinted>2016-08-16T20:49:00Z</cp:lastPrinted>
  <dcterms:created xsi:type="dcterms:W3CDTF">2016-09-14T01:36:00Z</dcterms:created>
  <dcterms:modified xsi:type="dcterms:W3CDTF">2016-09-14T01:36:00Z</dcterms:modified>
</cp:coreProperties>
</file>