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A8623" w14:textId="77777777" w:rsidR="00C96D87" w:rsidRPr="00EE018E" w:rsidRDefault="002965F2" w:rsidP="002965F2">
      <w:pPr>
        <w:spacing w:line="360" w:lineRule="auto"/>
        <w:jc w:val="center"/>
        <w:rPr>
          <w:rFonts w:ascii="Calibri" w:hAnsi="Calibri"/>
          <w:b/>
          <w:sz w:val="28"/>
          <w:szCs w:val="28"/>
          <w:lang w:val="en-GB"/>
        </w:rPr>
      </w:pPr>
      <w:bookmarkStart w:id="0" w:name="_GoBack"/>
      <w:r w:rsidRPr="00EE018E">
        <w:rPr>
          <w:rFonts w:ascii="Calibri" w:hAnsi="Calibri"/>
          <w:b/>
          <w:sz w:val="28"/>
          <w:szCs w:val="28"/>
          <w:lang w:val="en-GB"/>
        </w:rPr>
        <w:t>FIGURES</w:t>
      </w:r>
    </w:p>
    <w:p w14:paraId="2F88F34A" w14:textId="77777777" w:rsidR="002965F2" w:rsidRPr="00EE018E" w:rsidRDefault="002965F2" w:rsidP="002965F2">
      <w:pPr>
        <w:spacing w:line="360" w:lineRule="auto"/>
        <w:jc w:val="center"/>
        <w:rPr>
          <w:rFonts w:ascii="Calibri" w:hAnsi="Calibri"/>
          <w:b/>
          <w:sz w:val="28"/>
          <w:szCs w:val="28"/>
          <w:lang w:val="en-GB"/>
        </w:rPr>
      </w:pPr>
    </w:p>
    <w:p w14:paraId="33EA1A0D" w14:textId="77777777" w:rsidR="002965F2" w:rsidRPr="00EE018E" w:rsidRDefault="002965F2" w:rsidP="002965F2">
      <w:pPr>
        <w:spacing w:line="360" w:lineRule="auto"/>
        <w:jc w:val="both"/>
        <w:rPr>
          <w:rFonts w:ascii="Calibri" w:hAnsi="Calibri"/>
          <w:b/>
          <w:bCs/>
          <w:sz w:val="28"/>
          <w:szCs w:val="28"/>
          <w:lang w:val="en-GB"/>
        </w:rPr>
      </w:pPr>
      <w:r w:rsidRPr="00EE018E">
        <w:rPr>
          <w:rFonts w:ascii="Calibri" w:hAnsi="Calibri"/>
          <w:b/>
          <w:bCs/>
          <w:sz w:val="28"/>
          <w:szCs w:val="28"/>
          <w:lang w:val="en-GB"/>
        </w:rPr>
        <w:t>Figure 1 Assessment of small bowel anatomy, disease localization and segmental extension</w:t>
      </w:r>
    </w:p>
    <w:p w14:paraId="36F63918" w14:textId="77777777" w:rsidR="002965F2" w:rsidRPr="00EE018E" w:rsidRDefault="002965F2" w:rsidP="002965F2">
      <w:pPr>
        <w:spacing w:line="360" w:lineRule="auto"/>
        <w:jc w:val="both"/>
        <w:rPr>
          <w:rFonts w:ascii="Calibri" w:hAnsi="Calibri"/>
          <w:bCs/>
          <w:sz w:val="28"/>
          <w:szCs w:val="28"/>
          <w:lang w:val="en-GB"/>
        </w:rPr>
      </w:pPr>
      <w:r w:rsidRPr="00EE018E">
        <w:rPr>
          <w:rFonts w:ascii="Calibri" w:hAnsi="Calibri"/>
          <w:bCs/>
          <w:sz w:val="28"/>
          <w:szCs w:val="28"/>
          <w:lang w:val="en-GB"/>
        </w:rPr>
        <w:t xml:space="preserve">A: Steady-state free precession (SSFP) </w:t>
      </w:r>
    </w:p>
    <w:p w14:paraId="1EF9156D" w14:textId="77777777" w:rsidR="002965F2" w:rsidRPr="00EE018E" w:rsidRDefault="002965F2" w:rsidP="002965F2">
      <w:pPr>
        <w:spacing w:line="360" w:lineRule="auto"/>
        <w:jc w:val="both"/>
        <w:rPr>
          <w:rFonts w:ascii="Calibri" w:hAnsi="Calibri"/>
          <w:bCs/>
          <w:sz w:val="28"/>
          <w:szCs w:val="28"/>
          <w:lang w:val="en-GB"/>
        </w:rPr>
      </w:pPr>
      <w:r w:rsidRPr="00EE018E">
        <w:rPr>
          <w:rFonts w:ascii="Calibri" w:hAnsi="Calibri"/>
          <w:bCs/>
          <w:sz w:val="28"/>
          <w:szCs w:val="28"/>
          <w:lang w:val="en-GB"/>
        </w:rPr>
        <w:t>B: T2-weghted Single Shot Fast Spin Echo (SSFSE) sequence</w:t>
      </w:r>
    </w:p>
    <w:p w14:paraId="54B7C9EB" w14:textId="77777777" w:rsidR="002965F2" w:rsidRPr="00EE018E" w:rsidRDefault="002965F2" w:rsidP="002965F2">
      <w:pPr>
        <w:spacing w:line="360" w:lineRule="auto"/>
        <w:jc w:val="both"/>
        <w:rPr>
          <w:rFonts w:ascii="Calibri" w:hAnsi="Calibri"/>
          <w:bCs/>
          <w:sz w:val="28"/>
          <w:szCs w:val="28"/>
          <w:lang w:val="en-GB"/>
        </w:rPr>
      </w:pPr>
      <w:r w:rsidRPr="00EE018E">
        <w:rPr>
          <w:rFonts w:ascii="Calibri" w:hAnsi="Calibri"/>
          <w:bCs/>
          <w:sz w:val="28"/>
          <w:szCs w:val="28"/>
          <w:lang w:val="en-GB"/>
        </w:rPr>
        <w:t xml:space="preserve">C: Gadolinium-enhanced fat-suppressed 3D Spoiled Gradient-Echo (FSPGR) sequence </w:t>
      </w:r>
    </w:p>
    <w:p w14:paraId="29CA159D" w14:textId="77777777" w:rsidR="00EE4A1F" w:rsidRPr="00EE018E" w:rsidRDefault="00EE4A1F" w:rsidP="002965F2">
      <w:pPr>
        <w:spacing w:line="360" w:lineRule="auto"/>
        <w:jc w:val="both"/>
        <w:rPr>
          <w:rFonts w:ascii="Calibri" w:hAnsi="Calibri"/>
          <w:bCs/>
          <w:sz w:val="28"/>
          <w:szCs w:val="28"/>
          <w:lang w:val="en-GB"/>
        </w:rPr>
      </w:pPr>
    </w:p>
    <w:p w14:paraId="48ABE853" w14:textId="14E550A8" w:rsidR="00EE4A1F" w:rsidRPr="00EE018E" w:rsidRDefault="00D22147" w:rsidP="00EE4A1F">
      <w:pPr>
        <w:spacing w:line="360" w:lineRule="auto"/>
        <w:jc w:val="both"/>
        <w:rPr>
          <w:rFonts w:ascii="Calibri" w:hAnsi="Calibri"/>
          <w:bCs/>
          <w:sz w:val="28"/>
          <w:szCs w:val="28"/>
          <w:lang w:val="en-GB"/>
        </w:rPr>
      </w:pPr>
      <w:r w:rsidRPr="00EE018E">
        <w:rPr>
          <w:rFonts w:ascii="Calibri" w:hAnsi="Calibri"/>
          <w:b/>
          <w:bCs/>
          <w:sz w:val="28"/>
          <w:szCs w:val="28"/>
          <w:lang w:val="en-GB"/>
        </w:rPr>
        <w:t>Figure</w:t>
      </w:r>
      <w:r w:rsidR="00EE4A1F" w:rsidRPr="00EE018E">
        <w:rPr>
          <w:rFonts w:ascii="Calibri" w:hAnsi="Calibri"/>
          <w:b/>
          <w:bCs/>
          <w:sz w:val="28"/>
          <w:szCs w:val="28"/>
          <w:lang w:val="en-GB"/>
        </w:rPr>
        <w:t xml:space="preserve"> 2 Wall thickening and mesenteric changes</w:t>
      </w:r>
    </w:p>
    <w:p w14:paraId="05FC8C27" w14:textId="1D24D73A" w:rsidR="00EE4A1F" w:rsidRPr="00EE018E" w:rsidRDefault="00EE4A1F" w:rsidP="00EE4A1F">
      <w:pPr>
        <w:spacing w:line="360" w:lineRule="auto"/>
        <w:jc w:val="both"/>
        <w:rPr>
          <w:rFonts w:ascii="Calibri" w:hAnsi="Calibri"/>
          <w:bCs/>
          <w:sz w:val="28"/>
          <w:szCs w:val="28"/>
          <w:lang w:val="en-GB"/>
        </w:rPr>
      </w:pPr>
      <w:r w:rsidRPr="00EE018E">
        <w:rPr>
          <w:rFonts w:ascii="Calibri" w:hAnsi="Calibri"/>
          <w:bCs/>
          <w:sz w:val="28"/>
          <w:szCs w:val="28"/>
          <w:lang w:val="en-GB"/>
        </w:rPr>
        <w:t>SSFSE (A) and gadolinium-enhanced FSPGR (B) sequences show wall thickening (red arrows) of terminal ileum with comb signs (arrowhead) and mesenteric fat proliferation</w:t>
      </w:r>
      <w:r w:rsidR="007764E3" w:rsidRPr="00EE018E">
        <w:rPr>
          <w:rFonts w:ascii="Calibri" w:hAnsi="Calibri"/>
          <w:bCs/>
          <w:sz w:val="28"/>
          <w:szCs w:val="28"/>
          <w:lang w:val="en-GB"/>
        </w:rPr>
        <w:t>.</w:t>
      </w:r>
    </w:p>
    <w:p w14:paraId="44995908" w14:textId="77777777" w:rsidR="00EE4A1F" w:rsidRPr="00EE018E" w:rsidRDefault="00EE4A1F" w:rsidP="002965F2">
      <w:pPr>
        <w:spacing w:line="360" w:lineRule="auto"/>
        <w:jc w:val="both"/>
        <w:rPr>
          <w:rFonts w:ascii="Calibri" w:hAnsi="Calibri"/>
          <w:b/>
          <w:bCs/>
          <w:sz w:val="28"/>
          <w:szCs w:val="28"/>
          <w:lang w:val="en-GB"/>
        </w:rPr>
      </w:pPr>
    </w:p>
    <w:p w14:paraId="127C1C0A" w14:textId="3276594B" w:rsidR="007764E3" w:rsidRPr="00EE018E" w:rsidRDefault="007764E3" w:rsidP="007764E3">
      <w:pPr>
        <w:spacing w:line="360" w:lineRule="auto"/>
        <w:jc w:val="both"/>
        <w:rPr>
          <w:rFonts w:ascii="Calibri" w:hAnsi="Calibri"/>
          <w:b/>
          <w:bCs/>
          <w:sz w:val="28"/>
          <w:szCs w:val="28"/>
          <w:lang w:val="en-GB"/>
        </w:rPr>
      </w:pPr>
      <w:r w:rsidRPr="00EE018E">
        <w:rPr>
          <w:rFonts w:ascii="Calibri" w:hAnsi="Calibri"/>
          <w:b/>
          <w:bCs/>
          <w:sz w:val="28"/>
          <w:szCs w:val="28"/>
          <w:lang w:val="en-GB"/>
        </w:rPr>
        <w:t>Figure 3 Active inflammation</w:t>
      </w:r>
    </w:p>
    <w:p w14:paraId="3E4C7643" w14:textId="77777777" w:rsidR="007764E3" w:rsidRPr="00EE018E" w:rsidRDefault="007764E3" w:rsidP="007764E3">
      <w:pPr>
        <w:spacing w:line="360" w:lineRule="auto"/>
        <w:jc w:val="both"/>
        <w:rPr>
          <w:rFonts w:ascii="Calibri" w:hAnsi="Calibri"/>
          <w:bCs/>
          <w:sz w:val="28"/>
          <w:szCs w:val="28"/>
          <w:lang w:val="en-GB"/>
        </w:rPr>
      </w:pPr>
      <w:r w:rsidRPr="00EE018E">
        <w:rPr>
          <w:rFonts w:ascii="Calibri" w:hAnsi="Calibri"/>
          <w:bCs/>
          <w:sz w:val="28"/>
          <w:szCs w:val="28"/>
          <w:lang w:val="en-GB"/>
        </w:rPr>
        <w:t xml:space="preserve">
A: Wall thickening (10 mm) of terminal ileum extending for about 18 cm detected on SSFSE sequence;</w:t>
      </w:r>
    </w:p>
    <w:p w14:paraId="1661BEE3" w14:textId="42C9740A" w:rsidR="007764E3" w:rsidRPr="00EE018E" w:rsidRDefault="007764E3" w:rsidP="007764E3">
      <w:pPr>
        <w:spacing w:line="360" w:lineRule="auto"/>
        <w:jc w:val="both"/>
        <w:rPr>
          <w:rFonts w:ascii="Calibri" w:hAnsi="Calibri"/>
          <w:bCs/>
          <w:sz w:val="28"/>
          <w:szCs w:val="28"/>
          <w:lang w:val="en-GB"/>
        </w:rPr>
      </w:pPr>
      <w:r w:rsidRPr="00EE018E">
        <w:rPr>
          <w:rFonts w:ascii="Calibri" w:hAnsi="Calibri"/>
          <w:bCs/>
          <w:sz w:val="28"/>
          <w:szCs w:val="28"/>
          <w:lang w:val="en-GB"/>
        </w:rPr>
        <w:t>B: Gadolinium-enhanced FSPGR sequence shows the stratified enhancement pattern characterized by mucosal and muscle/serosa increased enhancement with intermediate hypointensity of edematous submucosa;</w:t>
      </w:r>
    </w:p>
    <w:p w14:paraId="3EE4B613" w14:textId="45757FDF" w:rsidR="007764E3" w:rsidRPr="00EE018E" w:rsidRDefault="007764E3" w:rsidP="007764E3">
      <w:pPr>
        <w:spacing w:line="360" w:lineRule="auto"/>
        <w:jc w:val="both"/>
        <w:rPr>
          <w:rFonts w:ascii="Calibri" w:hAnsi="Calibri"/>
          <w:bCs/>
          <w:sz w:val="28"/>
          <w:szCs w:val="28"/>
          <w:lang w:val="en-GB"/>
        </w:rPr>
      </w:pPr>
      <w:r w:rsidRPr="00EE018E">
        <w:rPr>
          <w:rFonts w:ascii="Calibri" w:hAnsi="Calibri"/>
          <w:bCs/>
          <w:sz w:val="28"/>
          <w:szCs w:val="28"/>
          <w:lang w:val="en-GB"/>
        </w:rPr>
        <w:t>C: Coronal FSPGR sequence revealing typical “target sign” due to stratified enhancement of bowel wall;</w:t>
      </w:r>
    </w:p>
    <w:p w14:paraId="6729C5CD" w14:textId="77777777" w:rsidR="007764E3" w:rsidRPr="00EE018E" w:rsidRDefault="007764E3" w:rsidP="007764E3">
      <w:pPr>
        <w:spacing w:line="360" w:lineRule="auto"/>
        <w:jc w:val="both"/>
        <w:rPr>
          <w:rFonts w:ascii="Calibri" w:hAnsi="Calibri"/>
          <w:bCs/>
          <w:sz w:val="28"/>
          <w:szCs w:val="28"/>
          <w:lang w:val="en-GB"/>
        </w:rPr>
      </w:pPr>
      <w:r w:rsidRPr="00EE018E">
        <w:rPr>
          <w:rFonts w:ascii="Calibri" w:hAnsi="Calibri"/>
          <w:bCs/>
          <w:sz w:val="28"/>
          <w:szCs w:val="28"/>
          <w:lang w:val="en-GB"/>
        </w:rPr>
        <w:t xml:space="preserve">
D: Mesenteric fat thickening and vascular engorgement of vasa recta (comb sign) displayed on gadolinium-enhanced image.</w:t>
      </w:r>
    </w:p>
    <w:p w14:paraId="47BB6B8B" w14:textId="77777777" w:rsidR="007B7F9C" w:rsidRPr="00EE018E" w:rsidRDefault="007B7F9C" w:rsidP="007764E3">
      <w:pPr>
        <w:spacing w:line="360" w:lineRule="auto"/>
        <w:jc w:val="both"/>
        <w:rPr>
          <w:rFonts w:ascii="Calibri" w:hAnsi="Calibri"/>
          <w:bCs/>
          <w:sz w:val="28"/>
          <w:szCs w:val="28"/>
          <w:lang w:val="en-GB"/>
        </w:rPr>
      </w:pPr>
    </w:p>
    <w:p w14:paraId="7AFB7CC5" w14:textId="3A611D58" w:rsidR="007B7F9C" w:rsidRPr="00EE018E" w:rsidRDefault="007B7F9C" w:rsidP="007B7F9C">
      <w:pPr>
        <w:spacing w:line="360" w:lineRule="auto"/>
        <w:jc w:val="both"/>
        <w:rPr>
          <w:rFonts w:ascii="Calibri" w:hAnsi="Calibri"/>
          <w:b/>
          <w:bCs/>
          <w:sz w:val="28"/>
          <w:szCs w:val="28"/>
          <w:lang w:val="en-GB"/>
        </w:rPr>
      </w:pPr>
      <w:r w:rsidRPr="00EE018E">
        <w:rPr>
          <w:rFonts w:ascii="Calibri" w:hAnsi="Calibri"/>
          <w:b/>
          <w:bCs/>
          <w:sz w:val="28"/>
          <w:szCs w:val="28"/>
          <w:lang w:val="en-GB"/>
        </w:rPr>
        <w:t>Figure 4 Subacute and stenotic disease with sinus tract</w:t>
      </w:r>
    </w:p>
    <w:p w14:paraId="1CEE82B6" w14:textId="728899C6" w:rsidR="007B7F9C" w:rsidRPr="00EE018E" w:rsidRDefault="007B7F9C" w:rsidP="007B7F9C">
      <w:pPr>
        <w:spacing w:line="360" w:lineRule="auto"/>
        <w:jc w:val="both"/>
        <w:rPr>
          <w:rFonts w:ascii="Calibri" w:hAnsi="Calibri"/>
          <w:bCs/>
          <w:sz w:val="28"/>
          <w:szCs w:val="28"/>
          <w:lang w:val="en-GB"/>
        </w:rPr>
      </w:pPr>
      <w:r w:rsidRPr="00EE018E">
        <w:rPr>
          <w:rFonts w:ascii="Calibri" w:hAnsi="Calibri"/>
          <w:bCs/>
          <w:sz w:val="28"/>
          <w:szCs w:val="28"/>
          <w:lang w:val="en-GB"/>
        </w:rPr>
        <w:t>A: SSFP sequence showing wall thickening (11 mm; red arrow) of terminal ileum with comb sign and mesenteric fat thickening;</w:t>
      </w:r>
    </w:p>
    <w:p w14:paraId="05193E63" w14:textId="68BE95E0" w:rsidR="007B7F9C" w:rsidRPr="00EE018E" w:rsidRDefault="007B7F9C" w:rsidP="007B7F9C">
      <w:pPr>
        <w:spacing w:line="360" w:lineRule="auto"/>
        <w:jc w:val="both"/>
        <w:rPr>
          <w:rFonts w:ascii="Calibri" w:hAnsi="Calibri"/>
          <w:bCs/>
          <w:sz w:val="28"/>
          <w:szCs w:val="28"/>
          <w:lang w:val="en-GB"/>
        </w:rPr>
      </w:pPr>
      <w:r w:rsidRPr="00EE018E">
        <w:rPr>
          <w:rFonts w:ascii="Calibri" w:hAnsi="Calibri"/>
          <w:bCs/>
          <w:sz w:val="28"/>
          <w:szCs w:val="28"/>
          <w:lang w:val="en-GB"/>
        </w:rPr>
        <w:lastRenderedPageBreak/>
        <w:t>B: Post-gadolinium image reveals diffuse enhancement of the stenotic bowel loop and sinus tract (arrowhead), which is a blind-ending tract arising from the bowel wall.</w:t>
      </w:r>
    </w:p>
    <w:p w14:paraId="2E07E426" w14:textId="7FC8415E" w:rsidR="00000941" w:rsidRPr="00EE018E" w:rsidRDefault="007B7F9C" w:rsidP="007B7F9C">
      <w:pPr>
        <w:spacing w:line="360" w:lineRule="auto"/>
        <w:jc w:val="both"/>
        <w:rPr>
          <w:rFonts w:ascii="Calibri" w:hAnsi="Calibri"/>
          <w:bCs/>
          <w:sz w:val="28"/>
          <w:szCs w:val="28"/>
          <w:lang w:val="en-GB"/>
        </w:rPr>
      </w:pPr>
      <w:r w:rsidRPr="00EE018E">
        <w:rPr>
          <w:rFonts w:ascii="Calibri" w:hAnsi="Calibri"/>
          <w:bCs/>
          <w:sz w:val="28"/>
          <w:szCs w:val="28"/>
          <w:lang w:val="en-GB"/>
        </w:rPr>
        <w:t xml:space="preserve">
</w:t>
      </w:r>
    </w:p>
    <w:p w14:paraId="7AD833B8" w14:textId="7E027DD2" w:rsidR="00000941" w:rsidRPr="00EE018E" w:rsidRDefault="00000941" w:rsidP="00000941">
      <w:pPr>
        <w:spacing w:line="360" w:lineRule="auto"/>
        <w:jc w:val="both"/>
        <w:rPr>
          <w:rFonts w:ascii="Calibri" w:hAnsi="Calibri"/>
          <w:bCs/>
          <w:sz w:val="28"/>
          <w:szCs w:val="28"/>
          <w:lang w:val="en-GB"/>
        </w:rPr>
      </w:pPr>
      <w:r w:rsidRPr="00EE018E">
        <w:rPr>
          <w:rFonts w:ascii="Calibri" w:hAnsi="Calibri"/>
          <w:b/>
          <w:bCs/>
          <w:sz w:val="28"/>
          <w:szCs w:val="28"/>
          <w:lang w:val="en-GB"/>
        </w:rPr>
        <w:t>Figure 5 Entero-vescical fistula</w:t>
      </w:r>
    </w:p>
    <w:p w14:paraId="5345018B" w14:textId="77777777" w:rsidR="00000941" w:rsidRPr="00EE018E" w:rsidRDefault="00000941" w:rsidP="00000941">
      <w:pPr>
        <w:spacing w:line="360" w:lineRule="auto"/>
        <w:jc w:val="both"/>
        <w:rPr>
          <w:rFonts w:ascii="Calibri" w:hAnsi="Calibri"/>
          <w:bCs/>
          <w:sz w:val="28"/>
          <w:szCs w:val="28"/>
          <w:lang w:val="en-GB"/>
        </w:rPr>
      </w:pPr>
      <w:r w:rsidRPr="00EE018E">
        <w:rPr>
          <w:rFonts w:ascii="Calibri" w:hAnsi="Calibri"/>
          <w:bCs/>
          <w:sz w:val="28"/>
          <w:szCs w:val="28"/>
          <w:lang w:val="en-GB"/>
        </w:rPr>
        <w:t>A: Coronal SSFSE sequence detects wall thickening of the sigmoid colon with entero-vescical fistula (red arrow);</w:t>
      </w:r>
    </w:p>
    <w:p w14:paraId="19591A53" w14:textId="77777777" w:rsidR="00000941" w:rsidRPr="00EE018E" w:rsidRDefault="00000941" w:rsidP="00000941">
      <w:pPr>
        <w:spacing w:line="360" w:lineRule="auto"/>
        <w:jc w:val="both"/>
        <w:rPr>
          <w:rFonts w:ascii="Calibri" w:hAnsi="Calibri"/>
          <w:bCs/>
          <w:sz w:val="28"/>
          <w:szCs w:val="28"/>
          <w:lang w:val="en-GB"/>
        </w:rPr>
      </w:pPr>
      <w:r w:rsidRPr="00EE018E">
        <w:rPr>
          <w:rFonts w:ascii="Calibri" w:hAnsi="Calibri"/>
          <w:bCs/>
          <w:sz w:val="28"/>
          <w:szCs w:val="28"/>
          <w:lang w:val="en-GB"/>
        </w:rPr>
        <w:t>B: FSPGR without gadolinium administration highlights the entero-vescical fistula, which appears hyperintense due to colonic content;</w:t>
      </w:r>
    </w:p>
    <w:p w14:paraId="0A539A0D" w14:textId="08C8A4DB" w:rsidR="00000941" w:rsidRPr="00EE018E" w:rsidRDefault="00000941" w:rsidP="00000941">
      <w:pPr>
        <w:spacing w:line="360" w:lineRule="auto"/>
        <w:jc w:val="both"/>
        <w:rPr>
          <w:rFonts w:ascii="Calibri" w:hAnsi="Calibri"/>
          <w:bCs/>
          <w:sz w:val="28"/>
          <w:szCs w:val="28"/>
          <w:lang w:val="en-GB"/>
        </w:rPr>
      </w:pPr>
      <w:r w:rsidRPr="00EE018E">
        <w:rPr>
          <w:rFonts w:ascii="Calibri" w:hAnsi="Calibri"/>
          <w:bCs/>
          <w:sz w:val="28"/>
          <w:szCs w:val="28"/>
          <w:lang w:val="en-GB"/>
        </w:rPr>
        <w:t>C: Entero-vescical fistula appears as hyperintense transmural lines in post-gadolinium sequence.</w:t>
      </w:r>
    </w:p>
    <w:p w14:paraId="146910CC" w14:textId="77777777" w:rsidR="00000941" w:rsidRPr="00EE018E" w:rsidRDefault="00000941" w:rsidP="00000941">
      <w:pPr>
        <w:spacing w:line="360" w:lineRule="auto"/>
        <w:jc w:val="both"/>
        <w:rPr>
          <w:rFonts w:ascii="Calibri" w:hAnsi="Calibri"/>
          <w:bCs/>
          <w:sz w:val="28"/>
          <w:szCs w:val="28"/>
          <w:lang w:val="en-GB"/>
        </w:rPr>
      </w:pPr>
    </w:p>
    <w:p w14:paraId="166B66F6" w14:textId="66194BCD" w:rsidR="00000941" w:rsidRPr="00EE018E" w:rsidRDefault="00000941" w:rsidP="00000941">
      <w:pPr>
        <w:spacing w:line="360" w:lineRule="auto"/>
        <w:jc w:val="both"/>
        <w:rPr>
          <w:rFonts w:ascii="Calibri" w:hAnsi="Calibri"/>
          <w:bCs/>
          <w:sz w:val="28"/>
          <w:szCs w:val="28"/>
          <w:lang w:val="en-GB"/>
        </w:rPr>
      </w:pPr>
      <w:r w:rsidRPr="00EE018E">
        <w:rPr>
          <w:rFonts w:ascii="Calibri" w:hAnsi="Calibri"/>
          <w:b/>
          <w:bCs/>
          <w:sz w:val="28"/>
          <w:szCs w:val="28"/>
          <w:lang w:val="en-GB"/>
        </w:rPr>
        <w:t>Figure 6 Peri-ileal abscess</w:t>
      </w:r>
    </w:p>
    <w:p w14:paraId="31599F12" w14:textId="77777777" w:rsidR="00000941" w:rsidRPr="00EE018E" w:rsidRDefault="00000941" w:rsidP="00000941">
      <w:pPr>
        <w:spacing w:line="360" w:lineRule="auto"/>
        <w:jc w:val="both"/>
        <w:rPr>
          <w:rFonts w:ascii="Calibri" w:hAnsi="Calibri"/>
          <w:bCs/>
          <w:sz w:val="28"/>
          <w:szCs w:val="28"/>
          <w:lang w:val="en-GB"/>
        </w:rPr>
      </w:pPr>
      <w:r w:rsidRPr="00EE018E">
        <w:rPr>
          <w:rFonts w:ascii="Calibri" w:hAnsi="Calibri"/>
          <w:bCs/>
          <w:sz w:val="28"/>
          <w:szCs w:val="28"/>
          <w:lang w:val="en-GB"/>
        </w:rPr>
        <w:t>A-B-C-D: SSFP and SSFSE sequences display wall thickening of the terminal ileum associated (red arrow) with contiguous encapsulated collection of pus and inhomogeneous content (abscess, white arrow);</w:t>
      </w:r>
    </w:p>
    <w:p w14:paraId="563835C0" w14:textId="77777777" w:rsidR="00000941" w:rsidRPr="00EE018E" w:rsidRDefault="00000941" w:rsidP="00000941">
      <w:pPr>
        <w:spacing w:line="360" w:lineRule="auto"/>
        <w:jc w:val="both"/>
        <w:rPr>
          <w:rFonts w:ascii="Calibri" w:hAnsi="Calibri"/>
          <w:bCs/>
          <w:sz w:val="28"/>
          <w:szCs w:val="28"/>
          <w:lang w:val="en-GB"/>
        </w:rPr>
      </w:pPr>
      <w:r w:rsidRPr="00EE018E">
        <w:rPr>
          <w:rFonts w:ascii="Calibri" w:hAnsi="Calibri"/>
          <w:bCs/>
          <w:sz w:val="28"/>
          <w:szCs w:val="28"/>
          <w:lang w:val="en-GB"/>
        </w:rPr>
        <w:t>E-F: FSPGR sequence shows mucosal enhancement with hypointense deep layers of the bowel wall (fibrotic disease), associated with enhanced peripheral rim of the capsulated collection (abscess, white arrow).</w:t>
      </w:r>
    </w:p>
    <w:p w14:paraId="63656830" w14:textId="77777777" w:rsidR="006D4B02" w:rsidRPr="00EE018E" w:rsidRDefault="006D4B02" w:rsidP="00000941">
      <w:pPr>
        <w:spacing w:line="360" w:lineRule="auto"/>
        <w:jc w:val="both"/>
        <w:rPr>
          <w:rFonts w:ascii="Calibri" w:hAnsi="Calibri"/>
          <w:bCs/>
          <w:sz w:val="28"/>
          <w:szCs w:val="28"/>
          <w:lang w:val="en-GB"/>
        </w:rPr>
      </w:pPr>
    </w:p>
    <w:p w14:paraId="51842002" w14:textId="4AA1257A" w:rsidR="006D4B02" w:rsidRPr="00EE018E" w:rsidRDefault="006D4B02" w:rsidP="006D4B02">
      <w:pPr>
        <w:spacing w:line="360" w:lineRule="auto"/>
        <w:jc w:val="both"/>
        <w:rPr>
          <w:rFonts w:ascii="Calibri" w:hAnsi="Calibri"/>
          <w:bCs/>
          <w:sz w:val="28"/>
          <w:szCs w:val="28"/>
          <w:lang w:val="en-GB"/>
        </w:rPr>
      </w:pPr>
      <w:r w:rsidRPr="00EE018E">
        <w:rPr>
          <w:rFonts w:ascii="Calibri" w:hAnsi="Calibri"/>
          <w:b/>
          <w:bCs/>
          <w:sz w:val="28"/>
          <w:szCs w:val="28"/>
          <w:lang w:val="en-GB"/>
        </w:rPr>
        <w:t>Figure 7 Chronic disease</w:t>
      </w:r>
    </w:p>
    <w:p w14:paraId="54CCDC4C" w14:textId="77777777" w:rsidR="006D4B02" w:rsidRPr="00EE018E" w:rsidRDefault="006D4B02" w:rsidP="006D4B02">
      <w:pPr>
        <w:spacing w:line="360" w:lineRule="auto"/>
        <w:jc w:val="both"/>
        <w:rPr>
          <w:rFonts w:ascii="Calibri" w:hAnsi="Calibri"/>
          <w:bCs/>
          <w:sz w:val="28"/>
          <w:szCs w:val="28"/>
          <w:lang w:val="en-GB"/>
        </w:rPr>
      </w:pPr>
      <w:r w:rsidRPr="00EE018E">
        <w:rPr>
          <w:rFonts w:ascii="Calibri" w:hAnsi="Calibri"/>
          <w:bCs/>
          <w:sz w:val="28"/>
          <w:szCs w:val="28"/>
          <w:lang w:val="en-GB"/>
        </w:rPr>
        <w:t xml:space="preserve">A-B: Coronal SSFP and SSFSE sequences detect wall thickening (10 mm, red arrows) of neo-terminal ileum, after ileo-cecal resection, extending for about 19 cm; </w:t>
      </w:r>
    </w:p>
    <w:p w14:paraId="522C2BD8" w14:textId="77777777" w:rsidR="006D4B02" w:rsidRPr="00EE018E" w:rsidRDefault="006D4B02" w:rsidP="006D4B02">
      <w:pPr>
        <w:spacing w:line="360" w:lineRule="auto"/>
        <w:jc w:val="both"/>
        <w:rPr>
          <w:rFonts w:ascii="Calibri" w:hAnsi="Calibri"/>
          <w:bCs/>
          <w:sz w:val="28"/>
          <w:szCs w:val="28"/>
          <w:lang w:val="en-GB"/>
        </w:rPr>
      </w:pPr>
      <w:r w:rsidRPr="00EE018E">
        <w:rPr>
          <w:rFonts w:ascii="Calibri" w:hAnsi="Calibri"/>
          <w:bCs/>
          <w:sz w:val="28"/>
          <w:szCs w:val="28"/>
          <w:lang w:val="en-GB"/>
        </w:rPr>
        <w:t>C: Coronal FSPGR sequence shows mucosal enhancement with hypointensity of the deep layers indicating the fibrotic disease.</w:t>
      </w:r>
    </w:p>
    <w:p w14:paraId="410D42F0" w14:textId="77777777" w:rsidR="00EE018E" w:rsidRPr="00EE018E" w:rsidRDefault="00EE018E" w:rsidP="006D4B02">
      <w:pPr>
        <w:spacing w:line="360" w:lineRule="auto"/>
        <w:jc w:val="both"/>
        <w:rPr>
          <w:rFonts w:ascii="Calibri" w:hAnsi="Calibri"/>
          <w:bCs/>
          <w:sz w:val="28"/>
          <w:szCs w:val="28"/>
          <w:lang w:val="en-GB"/>
        </w:rPr>
      </w:pPr>
    </w:p>
    <w:p w14:paraId="34CDD9F0" w14:textId="77777777" w:rsidR="00EE018E" w:rsidRPr="00EE018E" w:rsidRDefault="00EE018E" w:rsidP="006D4B02">
      <w:pPr>
        <w:spacing w:line="360" w:lineRule="auto"/>
        <w:jc w:val="both"/>
        <w:rPr>
          <w:rFonts w:ascii="Calibri" w:hAnsi="Calibri"/>
          <w:bCs/>
          <w:sz w:val="28"/>
          <w:szCs w:val="28"/>
          <w:lang w:val="en-GB"/>
        </w:rPr>
      </w:pPr>
    </w:p>
    <w:p w14:paraId="445AEA48" w14:textId="77777777" w:rsidR="006D4B02" w:rsidRPr="00EE018E" w:rsidRDefault="006D4B02" w:rsidP="00000941">
      <w:pPr>
        <w:spacing w:line="360" w:lineRule="auto"/>
        <w:jc w:val="both"/>
        <w:rPr>
          <w:rFonts w:ascii="Calibri" w:hAnsi="Calibri"/>
          <w:bCs/>
          <w:sz w:val="28"/>
          <w:szCs w:val="28"/>
          <w:lang w:val="en-GB"/>
        </w:rPr>
      </w:pPr>
    </w:p>
    <w:p w14:paraId="3D55611E" w14:textId="77777777" w:rsidR="00EE018E" w:rsidRPr="00EE018E" w:rsidRDefault="00EE018E" w:rsidP="00EE018E">
      <w:pPr>
        <w:spacing w:line="360" w:lineRule="auto"/>
        <w:jc w:val="both"/>
        <w:rPr>
          <w:rFonts w:ascii="Calibri" w:hAnsi="Calibri"/>
          <w:bCs/>
          <w:sz w:val="28"/>
          <w:szCs w:val="28"/>
          <w:lang w:val="en-GB"/>
        </w:rPr>
      </w:pPr>
      <w:r w:rsidRPr="00EE018E">
        <w:rPr>
          <w:rFonts w:ascii="Calibri" w:hAnsi="Calibri"/>
          <w:b/>
          <w:bCs/>
          <w:sz w:val="28"/>
          <w:szCs w:val="28"/>
          <w:lang w:val="en-GB"/>
        </w:rPr>
        <w:t>Figure 8 Fibrostenotic disease.</w:t>
      </w:r>
    </w:p>
    <w:p w14:paraId="0F7B9F2F" w14:textId="77777777" w:rsidR="00EE018E" w:rsidRPr="00EE018E" w:rsidRDefault="00EE018E" w:rsidP="00EE018E">
      <w:pPr>
        <w:spacing w:line="360" w:lineRule="auto"/>
        <w:jc w:val="both"/>
        <w:rPr>
          <w:rFonts w:ascii="Calibri" w:hAnsi="Calibri"/>
          <w:bCs/>
          <w:sz w:val="28"/>
          <w:szCs w:val="28"/>
          <w:lang w:val="en-GB"/>
        </w:rPr>
      </w:pPr>
      <w:r w:rsidRPr="00EE018E">
        <w:rPr>
          <w:rFonts w:ascii="Calibri" w:hAnsi="Calibri"/>
          <w:bCs/>
          <w:sz w:val="28"/>
          <w:szCs w:val="28"/>
          <w:lang w:val="en-GB"/>
        </w:rPr>
        <w:t>A-B-C: Multiple fibrotic strictures of the small bowel alternanting with prestenotic dilatated tracts detected on SSFSE sequences;</w:t>
      </w:r>
    </w:p>
    <w:p w14:paraId="1496750A" w14:textId="77777777" w:rsidR="00EE018E" w:rsidRPr="00EE018E" w:rsidRDefault="00EE018E" w:rsidP="00EE018E">
      <w:pPr>
        <w:spacing w:line="360" w:lineRule="auto"/>
        <w:jc w:val="both"/>
        <w:rPr>
          <w:rFonts w:ascii="Calibri" w:hAnsi="Calibri"/>
          <w:bCs/>
          <w:sz w:val="28"/>
          <w:szCs w:val="28"/>
          <w:lang w:val="en-GB"/>
        </w:rPr>
      </w:pPr>
      <w:r w:rsidRPr="00EE018E">
        <w:rPr>
          <w:rFonts w:ascii="Calibri" w:hAnsi="Calibri"/>
          <w:bCs/>
          <w:sz w:val="28"/>
          <w:szCs w:val="28"/>
          <w:lang w:val="en-GB"/>
        </w:rPr>
        <w:t>D: Wall thickening of the sigmoid colon producing luminal narrowing displayed on SSFSE image;</w:t>
      </w:r>
    </w:p>
    <w:p w14:paraId="6B14C57D" w14:textId="77777777" w:rsidR="00EE018E" w:rsidRPr="00EE018E" w:rsidRDefault="00EE018E" w:rsidP="00EE018E">
      <w:pPr>
        <w:spacing w:line="360" w:lineRule="auto"/>
        <w:jc w:val="both"/>
        <w:rPr>
          <w:rFonts w:ascii="Calibri" w:hAnsi="Calibri"/>
          <w:bCs/>
          <w:sz w:val="28"/>
          <w:szCs w:val="28"/>
          <w:lang w:val="en-GB"/>
        </w:rPr>
      </w:pPr>
      <w:r w:rsidRPr="00EE018E">
        <w:rPr>
          <w:rFonts w:ascii="Calibri" w:hAnsi="Calibri"/>
          <w:bCs/>
          <w:sz w:val="28"/>
          <w:szCs w:val="28"/>
          <w:lang w:val="en-GB"/>
        </w:rPr>
        <w:t>E-F: Post-gadolinium sequences reveal a diffuse and homogeneous enhancement in sigmoid colon (E) and small bowel (F) suggestive of subacute inflammation.</w:t>
      </w:r>
    </w:p>
    <w:p w14:paraId="1DB60E2B" w14:textId="77777777" w:rsidR="00000941" w:rsidRPr="00EE018E" w:rsidRDefault="00000941" w:rsidP="00000941">
      <w:pPr>
        <w:spacing w:line="360" w:lineRule="auto"/>
        <w:jc w:val="both"/>
        <w:rPr>
          <w:rFonts w:ascii="Calibri" w:hAnsi="Calibri"/>
          <w:bCs/>
          <w:sz w:val="28"/>
          <w:szCs w:val="28"/>
          <w:lang w:val="en-GB"/>
        </w:rPr>
      </w:pPr>
    </w:p>
    <w:p w14:paraId="4080C2DC" w14:textId="77777777" w:rsidR="00000941" w:rsidRPr="00EE018E" w:rsidRDefault="00000941" w:rsidP="007B7F9C">
      <w:pPr>
        <w:spacing w:line="360" w:lineRule="auto"/>
        <w:jc w:val="both"/>
        <w:rPr>
          <w:rFonts w:ascii="Calibri" w:hAnsi="Calibri"/>
          <w:bCs/>
          <w:sz w:val="28"/>
          <w:szCs w:val="28"/>
          <w:lang w:val="en-GB"/>
        </w:rPr>
      </w:pPr>
    </w:p>
    <w:p w14:paraId="2D90B2F7" w14:textId="48962D94" w:rsidR="007764E3" w:rsidRPr="00EE018E" w:rsidRDefault="007764E3" w:rsidP="007764E3">
      <w:pPr>
        <w:spacing w:line="360" w:lineRule="auto"/>
        <w:jc w:val="both"/>
        <w:rPr>
          <w:rFonts w:ascii="Calibri" w:hAnsi="Calibri"/>
          <w:bCs/>
          <w:sz w:val="28"/>
          <w:szCs w:val="28"/>
          <w:lang w:val="en-GB"/>
        </w:rPr>
      </w:pPr>
      <w:r w:rsidRPr="00EE018E">
        <w:rPr>
          <w:rFonts w:ascii="Calibri" w:hAnsi="Calibri"/>
          <w:bCs/>
          <w:sz w:val="28"/>
          <w:szCs w:val="28"/>
          <w:lang w:val="en-GB"/>
        </w:rPr>
        <w:t xml:space="preserve">
</w:t>
      </w:r>
    </w:p>
    <w:p w14:paraId="49F96FD5" w14:textId="77777777" w:rsidR="00EE4A1F" w:rsidRPr="00EE018E" w:rsidRDefault="00EE4A1F" w:rsidP="002965F2">
      <w:pPr>
        <w:spacing w:line="360" w:lineRule="auto"/>
        <w:jc w:val="both"/>
        <w:rPr>
          <w:rFonts w:ascii="Calibri" w:hAnsi="Calibri"/>
          <w:bCs/>
          <w:sz w:val="28"/>
          <w:szCs w:val="28"/>
          <w:lang w:val="en-GB"/>
        </w:rPr>
      </w:pPr>
    </w:p>
    <w:p w14:paraId="014415C0" w14:textId="77777777" w:rsidR="002965F2" w:rsidRPr="00EE018E" w:rsidRDefault="002965F2" w:rsidP="002965F2">
      <w:pPr>
        <w:spacing w:line="360" w:lineRule="auto"/>
        <w:jc w:val="both"/>
        <w:rPr>
          <w:rFonts w:ascii="Calibri" w:hAnsi="Calibri"/>
          <w:b/>
          <w:bCs/>
          <w:sz w:val="28"/>
          <w:szCs w:val="28"/>
          <w:lang w:val="en-GB"/>
        </w:rPr>
      </w:pPr>
    </w:p>
    <w:p w14:paraId="2C031249" w14:textId="77777777" w:rsidR="002965F2" w:rsidRPr="00EE018E" w:rsidRDefault="002965F2" w:rsidP="002965F2">
      <w:pPr>
        <w:spacing w:line="360" w:lineRule="auto"/>
        <w:jc w:val="both"/>
        <w:rPr>
          <w:rFonts w:ascii="Calibri" w:hAnsi="Calibri"/>
          <w:sz w:val="28"/>
          <w:szCs w:val="28"/>
          <w:lang w:val="en-GB"/>
        </w:rPr>
      </w:pPr>
    </w:p>
    <w:bookmarkEnd w:id="0"/>
    <w:sectPr w:rsidR="002965F2" w:rsidRPr="00EE018E" w:rsidSect="00C96D8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F2"/>
    <w:rsid w:val="00000941"/>
    <w:rsid w:val="002965F2"/>
    <w:rsid w:val="006D4B02"/>
    <w:rsid w:val="007764E3"/>
    <w:rsid w:val="007B7F9C"/>
    <w:rsid w:val="00C96D87"/>
    <w:rsid w:val="00D22147"/>
    <w:rsid w:val="00EE018E"/>
    <w:rsid w:val="00EE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BF29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438</Words>
  <Characters>2503</Characters>
  <Application>Microsoft Macintosh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 User</dc:creator>
  <cp:keywords/>
  <dc:description/>
  <cp:lastModifiedBy>Name User</cp:lastModifiedBy>
  <cp:revision>6</cp:revision>
  <dcterms:created xsi:type="dcterms:W3CDTF">2016-04-23T15:41:00Z</dcterms:created>
  <dcterms:modified xsi:type="dcterms:W3CDTF">2016-04-23T16:18:00Z</dcterms:modified>
</cp:coreProperties>
</file>