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5285A"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Name of Journal: </w:t>
      </w:r>
      <w:r w:rsidRPr="00E572B3">
        <w:rPr>
          <w:rFonts w:ascii="Book Antiqua" w:hAnsi="Book Antiqua" w:cs="Times New Roman"/>
          <w:b/>
          <w:i/>
          <w:sz w:val="24"/>
          <w:szCs w:val="24"/>
          <w:shd w:val="clear" w:color="auto" w:fill="FFFFFF"/>
        </w:rPr>
        <w:t>World Journal of Clinical Cases</w:t>
      </w:r>
    </w:p>
    <w:p w14:paraId="79182AB1" w14:textId="0EEF9059" w:rsidR="00157A32" w:rsidRPr="00E572B3" w:rsidRDefault="00157A32" w:rsidP="00A71D9E">
      <w:pPr>
        <w:adjustRightInd w:val="0"/>
        <w:snapToGrid w:val="0"/>
        <w:spacing w:after="0" w:line="360" w:lineRule="auto"/>
        <w:jc w:val="both"/>
        <w:rPr>
          <w:rFonts w:ascii="Book Antiqua" w:hAnsi="Book Antiqua" w:cs="Times New Roman"/>
          <w:b/>
          <w:sz w:val="24"/>
          <w:szCs w:val="24"/>
          <w:lang w:eastAsia="zh-CN"/>
        </w:rPr>
      </w:pPr>
      <w:r w:rsidRPr="00E572B3">
        <w:rPr>
          <w:rFonts w:ascii="Book Antiqua" w:hAnsi="Book Antiqua" w:cs="Times New Roman" w:hint="eastAsia"/>
          <w:b/>
          <w:sz w:val="24"/>
          <w:szCs w:val="24"/>
          <w:lang w:eastAsia="zh-CN"/>
        </w:rPr>
        <w:t xml:space="preserve">ESPS </w:t>
      </w:r>
      <w:r w:rsidRPr="00E572B3">
        <w:rPr>
          <w:rFonts w:ascii="Book Antiqua" w:hAnsi="Book Antiqua" w:cs="Times New Roman"/>
          <w:b/>
          <w:sz w:val="24"/>
          <w:szCs w:val="24"/>
        </w:rPr>
        <w:t>Manuscript</w:t>
      </w:r>
      <w:r w:rsidRPr="00E572B3">
        <w:rPr>
          <w:rFonts w:ascii="Book Antiqua" w:hAnsi="Book Antiqua" w:cs="Times New Roman" w:hint="eastAsia"/>
          <w:b/>
          <w:sz w:val="24"/>
          <w:szCs w:val="24"/>
          <w:lang w:eastAsia="zh-CN"/>
        </w:rPr>
        <w:t xml:space="preserve"> NO: 26972</w:t>
      </w:r>
    </w:p>
    <w:p w14:paraId="369A0606" w14:textId="479F7FFB" w:rsidR="00D01B84" w:rsidRPr="00E572B3" w:rsidRDefault="00157A32"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Manuscript </w:t>
      </w:r>
      <w:r w:rsidR="00D01B84" w:rsidRPr="00E572B3">
        <w:rPr>
          <w:rFonts w:ascii="Book Antiqua" w:hAnsi="Book Antiqua" w:cs="Times New Roman"/>
          <w:b/>
          <w:sz w:val="24"/>
          <w:szCs w:val="24"/>
        </w:rPr>
        <w:t xml:space="preserve">Type: </w:t>
      </w:r>
      <w:r w:rsidRPr="00E572B3">
        <w:rPr>
          <w:rFonts w:ascii="Book Antiqua" w:hAnsi="Book Antiqua" w:cs="Times New Roman"/>
          <w:b/>
          <w:sz w:val="24"/>
          <w:szCs w:val="24"/>
        </w:rPr>
        <w:t>Case Report</w:t>
      </w:r>
    </w:p>
    <w:p w14:paraId="4DE5DB70"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p>
    <w:p w14:paraId="06202791" w14:textId="068DBACF" w:rsidR="00D01B84" w:rsidRPr="00E572B3" w:rsidRDefault="00D01B84" w:rsidP="00A71D9E">
      <w:pPr>
        <w:adjustRightInd w:val="0"/>
        <w:snapToGrid w:val="0"/>
        <w:spacing w:after="0" w:line="360" w:lineRule="auto"/>
        <w:jc w:val="both"/>
        <w:rPr>
          <w:rFonts w:ascii="Book Antiqua" w:hAnsi="Book Antiqua" w:cs="Times New Roman"/>
          <w:b/>
          <w:sz w:val="24"/>
          <w:szCs w:val="24"/>
          <w:lang w:eastAsia="zh-CN"/>
        </w:rPr>
      </w:pPr>
      <w:r w:rsidRPr="00E572B3">
        <w:rPr>
          <w:rFonts w:ascii="Book Antiqua" w:hAnsi="Book Antiqua" w:cs="Times New Roman"/>
          <w:b/>
          <w:sz w:val="24"/>
          <w:szCs w:val="24"/>
        </w:rPr>
        <w:t xml:space="preserve">Rare </w:t>
      </w:r>
      <w:r w:rsidR="00157A32" w:rsidRPr="00E572B3">
        <w:rPr>
          <w:rFonts w:ascii="Book Antiqua" w:hAnsi="Book Antiqua" w:cs="Times New Roman"/>
          <w:b/>
          <w:sz w:val="24"/>
          <w:szCs w:val="24"/>
        </w:rPr>
        <w:t>case of tibial hemimelia, preaxial polydactyly, and club foot</w:t>
      </w:r>
    </w:p>
    <w:p w14:paraId="1A9A8AEB" w14:textId="77777777" w:rsidR="00897831" w:rsidRPr="00E572B3" w:rsidRDefault="00897831" w:rsidP="00A71D9E">
      <w:pPr>
        <w:adjustRightInd w:val="0"/>
        <w:snapToGrid w:val="0"/>
        <w:spacing w:after="0" w:line="360" w:lineRule="auto"/>
        <w:jc w:val="both"/>
        <w:rPr>
          <w:rFonts w:ascii="Book Antiqua" w:hAnsi="Book Antiqua" w:cs="Times New Roman"/>
          <w:b/>
          <w:sz w:val="24"/>
          <w:szCs w:val="24"/>
        </w:rPr>
      </w:pPr>
    </w:p>
    <w:p w14:paraId="35D0176A" w14:textId="2119D273" w:rsidR="00897831" w:rsidRPr="00E572B3" w:rsidRDefault="00157A32"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sz w:val="24"/>
          <w:szCs w:val="24"/>
        </w:rPr>
        <w:t xml:space="preserve">Granite </w:t>
      </w:r>
      <w:r w:rsidRPr="00E572B3">
        <w:rPr>
          <w:rFonts w:ascii="Book Antiqua" w:hAnsi="Book Antiqua" w:cs="Times New Roman" w:hint="eastAsia"/>
          <w:sz w:val="24"/>
          <w:szCs w:val="24"/>
          <w:lang w:eastAsia="zh-CN"/>
        </w:rPr>
        <w:t xml:space="preserve">G </w:t>
      </w:r>
      <w:r w:rsidRPr="00E572B3">
        <w:rPr>
          <w:rFonts w:ascii="Book Antiqua" w:hAnsi="Book Antiqua" w:cs="Times New Roman" w:hint="eastAsia"/>
          <w:i/>
          <w:sz w:val="24"/>
          <w:szCs w:val="24"/>
          <w:lang w:eastAsia="zh-CN"/>
        </w:rPr>
        <w:t>et al</w:t>
      </w:r>
      <w:r w:rsidRPr="00E572B3">
        <w:rPr>
          <w:rFonts w:ascii="Book Antiqua" w:hAnsi="Book Antiqua" w:cs="Times New Roman" w:hint="eastAsia"/>
          <w:sz w:val="24"/>
          <w:szCs w:val="24"/>
          <w:lang w:eastAsia="zh-CN"/>
        </w:rPr>
        <w:t xml:space="preserve">. </w:t>
      </w:r>
      <w:r w:rsidR="00897831" w:rsidRPr="00E572B3">
        <w:rPr>
          <w:rFonts w:ascii="Book Antiqua" w:hAnsi="Book Antiqua" w:cs="Times New Roman"/>
          <w:sz w:val="24"/>
          <w:szCs w:val="24"/>
        </w:rPr>
        <w:t xml:space="preserve">Case of </w:t>
      </w:r>
      <w:r w:rsidRPr="00E572B3">
        <w:rPr>
          <w:rFonts w:ascii="Book Antiqua" w:hAnsi="Book Antiqua" w:cs="Times New Roman"/>
          <w:sz w:val="24"/>
          <w:szCs w:val="24"/>
        </w:rPr>
        <w:t>hemimelia, polydactyly</w:t>
      </w:r>
      <w:r w:rsidRPr="00E572B3">
        <w:rPr>
          <w:rFonts w:ascii="Book Antiqua" w:hAnsi="Book Antiqua" w:cs="Times New Roman" w:hint="eastAsia"/>
          <w:sz w:val="24"/>
          <w:szCs w:val="24"/>
          <w:lang w:eastAsia="zh-CN"/>
        </w:rPr>
        <w:t xml:space="preserve"> </w:t>
      </w:r>
      <w:r w:rsidR="00897831" w:rsidRPr="00E572B3">
        <w:rPr>
          <w:rFonts w:ascii="Book Antiqua" w:hAnsi="Book Antiqua" w:cs="Times New Roman"/>
          <w:sz w:val="24"/>
          <w:szCs w:val="24"/>
        </w:rPr>
        <w:t>and CTEV</w:t>
      </w:r>
    </w:p>
    <w:p w14:paraId="0B1F0046" w14:textId="77777777" w:rsidR="00D01B84" w:rsidRPr="00E572B3" w:rsidRDefault="00D01B84" w:rsidP="00A71D9E">
      <w:pPr>
        <w:adjustRightInd w:val="0"/>
        <w:snapToGrid w:val="0"/>
        <w:spacing w:after="0" w:line="360" w:lineRule="auto"/>
        <w:jc w:val="both"/>
        <w:rPr>
          <w:rFonts w:ascii="Book Antiqua" w:hAnsi="Book Antiqua" w:cs="Times New Roman"/>
          <w:sz w:val="24"/>
          <w:szCs w:val="24"/>
        </w:rPr>
      </w:pPr>
    </w:p>
    <w:p w14:paraId="3F5A2AD6" w14:textId="75FF6EDE"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Guinevere Granite, John E Herzenberg, Ronald Wade</w:t>
      </w:r>
    </w:p>
    <w:p w14:paraId="012A306F" w14:textId="77777777" w:rsidR="00D01B84" w:rsidRPr="00E572B3" w:rsidRDefault="00D01B84" w:rsidP="00A71D9E">
      <w:pPr>
        <w:shd w:val="clear" w:color="auto" w:fill="FFFFFF"/>
        <w:adjustRightInd w:val="0"/>
        <w:snapToGrid w:val="0"/>
        <w:spacing w:after="0" w:line="360" w:lineRule="auto"/>
        <w:jc w:val="both"/>
        <w:rPr>
          <w:rFonts w:ascii="Book Antiqua" w:eastAsia="Times New Roman" w:hAnsi="Book Antiqua" w:cs="Times New Roman"/>
          <w:sz w:val="24"/>
          <w:szCs w:val="24"/>
        </w:rPr>
      </w:pPr>
    </w:p>
    <w:p w14:paraId="4A90B9E3" w14:textId="634C046A" w:rsidR="00D01B84" w:rsidRPr="00E572B3" w:rsidRDefault="00D01B84" w:rsidP="00A71D9E">
      <w:pPr>
        <w:shd w:val="clear" w:color="auto" w:fill="FFFFFF"/>
        <w:adjustRightInd w:val="0"/>
        <w:snapToGrid w:val="0"/>
        <w:spacing w:after="0" w:line="360" w:lineRule="auto"/>
        <w:jc w:val="both"/>
        <w:rPr>
          <w:rFonts w:ascii="Book Antiqua" w:hAnsi="Book Antiqua" w:cs="Times New Roman"/>
          <w:sz w:val="24"/>
          <w:szCs w:val="24"/>
          <w:shd w:val="clear" w:color="auto" w:fill="FFFFFF"/>
        </w:rPr>
      </w:pPr>
      <w:r w:rsidRPr="00E572B3">
        <w:rPr>
          <w:rFonts w:ascii="Book Antiqua" w:eastAsia="Times New Roman" w:hAnsi="Book Antiqua" w:cs="Times New Roman"/>
          <w:b/>
          <w:sz w:val="24"/>
          <w:szCs w:val="24"/>
        </w:rPr>
        <w:t>Guinevere Granite</w:t>
      </w:r>
      <w:r w:rsidR="00157A32" w:rsidRPr="00E572B3">
        <w:rPr>
          <w:rFonts w:ascii="Book Antiqua" w:hAnsi="Book Antiqua" w:cs="Times New Roman" w:hint="eastAsia"/>
          <w:b/>
          <w:sz w:val="24"/>
          <w:szCs w:val="24"/>
          <w:lang w:eastAsia="zh-CN"/>
        </w:rPr>
        <w:t>,</w:t>
      </w:r>
      <w:r w:rsidRPr="00E572B3">
        <w:rPr>
          <w:rFonts w:ascii="Book Antiqua" w:eastAsia="Times New Roman" w:hAnsi="Book Antiqua" w:cs="Times New Roman"/>
          <w:sz w:val="24"/>
          <w:szCs w:val="24"/>
        </w:rPr>
        <w:t xml:space="preserve"> </w:t>
      </w:r>
      <w:r w:rsidRPr="00E572B3">
        <w:rPr>
          <w:rFonts w:ascii="Book Antiqua" w:hAnsi="Book Antiqua" w:cs="Times New Roman"/>
          <w:sz w:val="24"/>
          <w:szCs w:val="24"/>
          <w:shd w:val="clear" w:color="auto" w:fill="FFFFFF"/>
        </w:rPr>
        <w:t xml:space="preserve">Department of Anatomy </w:t>
      </w:r>
      <w:r w:rsidR="00157A32" w:rsidRPr="00E572B3">
        <w:rPr>
          <w:rFonts w:ascii="Book Antiqua" w:hAnsi="Book Antiqua" w:cs="Times New Roman" w:hint="eastAsia"/>
          <w:sz w:val="24"/>
          <w:szCs w:val="24"/>
          <w:shd w:val="clear" w:color="auto" w:fill="FFFFFF"/>
          <w:lang w:eastAsia="zh-CN"/>
        </w:rPr>
        <w:t>and</w:t>
      </w:r>
      <w:r w:rsidRPr="00E572B3">
        <w:rPr>
          <w:rFonts w:ascii="Book Antiqua" w:hAnsi="Book Antiqua" w:cs="Times New Roman"/>
          <w:sz w:val="24"/>
          <w:szCs w:val="24"/>
          <w:shd w:val="clear" w:color="auto" w:fill="FFFFFF"/>
        </w:rPr>
        <w:t xml:space="preserve"> Neurobiology, </w:t>
      </w:r>
      <w:r w:rsidR="00157A32" w:rsidRPr="00E572B3">
        <w:rPr>
          <w:rFonts w:ascii="Book Antiqua" w:hAnsi="Book Antiqua" w:cs="Times New Roman"/>
          <w:sz w:val="24"/>
          <w:szCs w:val="24"/>
          <w:shd w:val="clear" w:color="auto" w:fill="FFFFFF"/>
        </w:rPr>
        <w:t xml:space="preserve">School of Medicine, University of Maryland, </w:t>
      </w:r>
      <w:r w:rsidRPr="00E572B3">
        <w:rPr>
          <w:rFonts w:ascii="Book Antiqua" w:hAnsi="Book Antiqua" w:cs="Times New Roman"/>
          <w:sz w:val="24"/>
          <w:szCs w:val="24"/>
          <w:shd w:val="clear" w:color="auto" w:fill="FFFFFF"/>
        </w:rPr>
        <w:t>Baltimore, MD 21201, United States</w:t>
      </w:r>
    </w:p>
    <w:p w14:paraId="2D380FB6" w14:textId="77777777" w:rsidR="00D01B84" w:rsidRPr="00E572B3" w:rsidRDefault="00D01B84" w:rsidP="00A71D9E">
      <w:pPr>
        <w:shd w:val="clear" w:color="auto" w:fill="FFFFFF"/>
        <w:adjustRightInd w:val="0"/>
        <w:snapToGrid w:val="0"/>
        <w:spacing w:after="0" w:line="360" w:lineRule="auto"/>
        <w:jc w:val="both"/>
        <w:rPr>
          <w:rFonts w:ascii="Book Antiqua" w:eastAsia="Times New Roman" w:hAnsi="Book Antiqua" w:cs="Times New Roman"/>
          <w:b/>
          <w:sz w:val="24"/>
          <w:szCs w:val="24"/>
        </w:rPr>
      </w:pPr>
    </w:p>
    <w:p w14:paraId="5ABF7AAE" w14:textId="796507CC" w:rsidR="00D01B84" w:rsidRPr="00E572B3" w:rsidRDefault="00157A32" w:rsidP="00A71D9E">
      <w:pPr>
        <w:shd w:val="clear" w:color="auto" w:fill="FFFFFF"/>
        <w:adjustRightInd w:val="0"/>
        <w:snapToGrid w:val="0"/>
        <w:spacing w:after="0" w:line="360" w:lineRule="auto"/>
        <w:jc w:val="both"/>
        <w:rPr>
          <w:rFonts w:ascii="Book Antiqua" w:hAnsi="Book Antiqua" w:cs="Times New Roman"/>
          <w:sz w:val="24"/>
          <w:szCs w:val="24"/>
          <w:shd w:val="clear" w:color="auto" w:fill="FFFFFF"/>
        </w:rPr>
      </w:pPr>
      <w:r w:rsidRPr="00E572B3">
        <w:rPr>
          <w:rFonts w:ascii="Book Antiqua" w:eastAsia="Times New Roman" w:hAnsi="Book Antiqua" w:cs="Times New Roman"/>
          <w:b/>
          <w:sz w:val="24"/>
          <w:szCs w:val="24"/>
        </w:rPr>
        <w:t>John E</w:t>
      </w:r>
      <w:r w:rsidR="00D01B84" w:rsidRPr="00E572B3">
        <w:rPr>
          <w:rFonts w:ascii="Book Antiqua" w:eastAsia="Times New Roman" w:hAnsi="Book Antiqua" w:cs="Times New Roman"/>
          <w:b/>
          <w:sz w:val="24"/>
          <w:szCs w:val="24"/>
        </w:rPr>
        <w:t xml:space="preserve"> Herzenberg</w:t>
      </w:r>
      <w:r w:rsidRPr="00E572B3">
        <w:rPr>
          <w:rFonts w:ascii="Book Antiqua" w:hAnsi="Book Antiqua" w:cs="Times New Roman" w:hint="eastAsia"/>
          <w:b/>
          <w:sz w:val="24"/>
          <w:szCs w:val="24"/>
          <w:lang w:eastAsia="zh-CN"/>
        </w:rPr>
        <w:t>,</w:t>
      </w:r>
      <w:r w:rsidR="00D01B84" w:rsidRPr="00E572B3">
        <w:rPr>
          <w:rFonts w:ascii="Book Antiqua" w:eastAsia="Times New Roman" w:hAnsi="Book Antiqua" w:cs="Times New Roman"/>
          <w:sz w:val="24"/>
          <w:szCs w:val="24"/>
        </w:rPr>
        <w:t xml:space="preserve"> </w:t>
      </w:r>
      <w:r w:rsidR="00D01B84" w:rsidRPr="00E572B3">
        <w:rPr>
          <w:rFonts w:ascii="Book Antiqua" w:hAnsi="Book Antiqua" w:cs="Times New Roman"/>
          <w:sz w:val="24"/>
          <w:szCs w:val="24"/>
          <w:shd w:val="clear" w:color="auto" w:fill="FFFFFF"/>
        </w:rPr>
        <w:t xml:space="preserve">Rubin Institute for Advanced Orthopedics, Sinai Hospital of Baltimore, </w:t>
      </w:r>
      <w:r w:rsidR="003A79A7" w:rsidRPr="00E572B3">
        <w:rPr>
          <w:rFonts w:ascii="Book Antiqua" w:hAnsi="Book Antiqua" w:cs="Times New Roman"/>
          <w:sz w:val="24"/>
          <w:szCs w:val="24"/>
          <w:shd w:val="clear" w:color="auto" w:fill="FFFFFF"/>
        </w:rPr>
        <w:t>Baltimore, MD </w:t>
      </w:r>
      <w:r w:rsidR="00D01B84" w:rsidRPr="00E572B3">
        <w:rPr>
          <w:rFonts w:ascii="Book Antiqua" w:hAnsi="Book Antiqua" w:cs="Times New Roman"/>
          <w:sz w:val="24"/>
          <w:szCs w:val="24"/>
          <w:shd w:val="clear" w:color="auto" w:fill="FFFFFF"/>
        </w:rPr>
        <w:t xml:space="preserve">21215, </w:t>
      </w:r>
      <w:r w:rsidR="003A79A7" w:rsidRPr="00E572B3">
        <w:rPr>
          <w:rFonts w:ascii="Book Antiqua" w:hAnsi="Book Antiqua" w:cs="Times New Roman"/>
          <w:sz w:val="24"/>
          <w:szCs w:val="24"/>
          <w:shd w:val="clear" w:color="auto" w:fill="FFFFFF"/>
        </w:rPr>
        <w:t>United States</w:t>
      </w:r>
    </w:p>
    <w:p w14:paraId="7ED23C93" w14:textId="77777777" w:rsidR="00D01B84" w:rsidRPr="00E572B3" w:rsidRDefault="00D01B84" w:rsidP="00A71D9E">
      <w:pPr>
        <w:shd w:val="clear" w:color="auto" w:fill="FFFFFF"/>
        <w:adjustRightInd w:val="0"/>
        <w:snapToGrid w:val="0"/>
        <w:spacing w:after="0" w:line="360" w:lineRule="auto"/>
        <w:jc w:val="both"/>
        <w:rPr>
          <w:rFonts w:ascii="Book Antiqua" w:eastAsia="Times New Roman" w:hAnsi="Book Antiqua" w:cs="Times New Roman"/>
          <w:sz w:val="24"/>
          <w:szCs w:val="24"/>
        </w:rPr>
      </w:pPr>
    </w:p>
    <w:p w14:paraId="626ACBA9" w14:textId="51C7BCB6" w:rsidR="00D01B84" w:rsidRPr="00E572B3" w:rsidRDefault="00D01B84" w:rsidP="00A71D9E">
      <w:pPr>
        <w:shd w:val="clear" w:color="auto" w:fill="FFFFFF"/>
        <w:adjustRightInd w:val="0"/>
        <w:snapToGrid w:val="0"/>
        <w:spacing w:after="0" w:line="360" w:lineRule="auto"/>
        <w:jc w:val="both"/>
        <w:rPr>
          <w:rFonts w:ascii="Book Antiqua" w:eastAsia="Times New Roman" w:hAnsi="Book Antiqua" w:cs="Times New Roman"/>
          <w:sz w:val="24"/>
          <w:szCs w:val="24"/>
        </w:rPr>
      </w:pPr>
      <w:r w:rsidRPr="00E572B3">
        <w:rPr>
          <w:rFonts w:ascii="Book Antiqua" w:eastAsia="Times New Roman" w:hAnsi="Book Antiqua" w:cs="Times New Roman"/>
          <w:b/>
          <w:sz w:val="24"/>
          <w:szCs w:val="24"/>
        </w:rPr>
        <w:t>Ronald Wade</w:t>
      </w:r>
      <w:r w:rsidR="00157A32" w:rsidRPr="00E572B3">
        <w:rPr>
          <w:rFonts w:ascii="Book Antiqua" w:hAnsi="Book Antiqua" w:cs="Times New Roman" w:hint="eastAsia"/>
          <w:b/>
          <w:sz w:val="24"/>
          <w:szCs w:val="24"/>
          <w:lang w:eastAsia="zh-CN"/>
        </w:rPr>
        <w:t>,</w:t>
      </w:r>
      <w:r w:rsidRPr="00E572B3">
        <w:rPr>
          <w:rFonts w:ascii="Book Antiqua" w:eastAsia="Times New Roman" w:hAnsi="Book Antiqua" w:cs="Times New Roman"/>
          <w:b/>
          <w:sz w:val="24"/>
          <w:szCs w:val="24"/>
        </w:rPr>
        <w:t xml:space="preserve"> </w:t>
      </w:r>
      <w:r w:rsidRPr="00E572B3">
        <w:rPr>
          <w:rFonts w:ascii="Book Antiqua" w:eastAsia="Times New Roman" w:hAnsi="Book Antiqua" w:cs="Times New Roman"/>
          <w:sz w:val="24"/>
          <w:szCs w:val="24"/>
        </w:rPr>
        <w:t xml:space="preserve">Department of Anatomical Services, </w:t>
      </w:r>
      <w:r w:rsidR="00157A32" w:rsidRPr="00E572B3">
        <w:rPr>
          <w:rFonts w:ascii="Book Antiqua" w:eastAsia="Times New Roman" w:hAnsi="Book Antiqua" w:cs="Times New Roman"/>
          <w:sz w:val="24"/>
          <w:szCs w:val="24"/>
        </w:rPr>
        <w:t xml:space="preserve">University of Maryland, Baltimore, </w:t>
      </w:r>
      <w:r w:rsidRPr="00E572B3">
        <w:rPr>
          <w:rFonts w:ascii="Book Antiqua" w:eastAsia="Times New Roman" w:hAnsi="Book Antiqua" w:cs="Times New Roman"/>
          <w:sz w:val="24"/>
          <w:szCs w:val="24"/>
        </w:rPr>
        <w:t>Baltimore, MD 21201</w:t>
      </w:r>
      <w:r w:rsidR="003A79A7" w:rsidRPr="00E572B3">
        <w:rPr>
          <w:rFonts w:ascii="Book Antiqua" w:eastAsia="Times New Roman" w:hAnsi="Book Antiqua" w:cs="Times New Roman"/>
          <w:sz w:val="24"/>
          <w:szCs w:val="24"/>
        </w:rPr>
        <w:t>, United States</w:t>
      </w:r>
    </w:p>
    <w:p w14:paraId="361400C4" w14:textId="77777777" w:rsidR="00D01B84" w:rsidRPr="00E572B3" w:rsidRDefault="00D01B84" w:rsidP="00A71D9E">
      <w:pPr>
        <w:shd w:val="clear" w:color="auto" w:fill="FFFFFF"/>
        <w:adjustRightInd w:val="0"/>
        <w:snapToGrid w:val="0"/>
        <w:spacing w:after="0" w:line="360" w:lineRule="auto"/>
        <w:jc w:val="both"/>
        <w:rPr>
          <w:rFonts w:ascii="Book Antiqua" w:eastAsia="Times New Roman" w:hAnsi="Book Antiqua" w:cs="Times New Roman"/>
          <w:sz w:val="24"/>
          <w:szCs w:val="24"/>
        </w:rPr>
      </w:pPr>
    </w:p>
    <w:p w14:paraId="386E2809"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Author contributions: </w:t>
      </w:r>
      <w:r w:rsidRPr="00E572B3">
        <w:rPr>
          <w:rFonts w:ascii="Book Antiqua" w:hAnsi="Book Antiqua" w:cs="Times New Roman"/>
          <w:sz w:val="24"/>
          <w:szCs w:val="24"/>
        </w:rPr>
        <w:t xml:space="preserve">Granite </w:t>
      </w:r>
      <w:r w:rsidR="003A79A7" w:rsidRPr="00E572B3">
        <w:rPr>
          <w:rFonts w:ascii="Book Antiqua" w:hAnsi="Book Antiqua" w:cs="Times New Roman"/>
          <w:sz w:val="24"/>
          <w:szCs w:val="24"/>
        </w:rPr>
        <w:t xml:space="preserve">G </w:t>
      </w:r>
      <w:r w:rsidR="007131E3" w:rsidRPr="00E572B3">
        <w:rPr>
          <w:rFonts w:ascii="Book Antiqua" w:hAnsi="Book Antiqua" w:cs="Times New Roman"/>
          <w:sz w:val="24"/>
          <w:szCs w:val="24"/>
        </w:rPr>
        <w:t>acquired the specimen data</w:t>
      </w:r>
      <w:r w:rsidRPr="00E572B3">
        <w:rPr>
          <w:rFonts w:ascii="Book Antiqua" w:hAnsi="Book Antiqua" w:cs="Times New Roman"/>
          <w:sz w:val="24"/>
          <w:szCs w:val="24"/>
        </w:rPr>
        <w:t xml:space="preserve">, </w:t>
      </w:r>
      <w:r w:rsidR="003A79A7" w:rsidRPr="00E572B3">
        <w:rPr>
          <w:rFonts w:ascii="Book Antiqua" w:hAnsi="Book Antiqua" w:cs="Times New Roman"/>
          <w:sz w:val="24"/>
          <w:szCs w:val="24"/>
        </w:rPr>
        <w:t xml:space="preserve">analyzed </w:t>
      </w:r>
      <w:r w:rsidR="007131E3" w:rsidRPr="00E572B3">
        <w:rPr>
          <w:rFonts w:ascii="Book Antiqua" w:hAnsi="Book Antiqua" w:cs="Times New Roman"/>
          <w:sz w:val="24"/>
          <w:szCs w:val="24"/>
        </w:rPr>
        <w:t>and interpreted the data</w:t>
      </w:r>
      <w:r w:rsidR="003A79A7" w:rsidRPr="00E572B3">
        <w:rPr>
          <w:rFonts w:ascii="Book Antiqua" w:hAnsi="Book Antiqua" w:cs="Times New Roman"/>
          <w:sz w:val="24"/>
          <w:szCs w:val="24"/>
        </w:rPr>
        <w:t xml:space="preserve">, </w:t>
      </w:r>
      <w:r w:rsidR="007131E3" w:rsidRPr="00E572B3">
        <w:rPr>
          <w:rFonts w:ascii="Book Antiqua" w:hAnsi="Book Antiqua" w:cs="Times New Roman"/>
          <w:sz w:val="24"/>
          <w:szCs w:val="24"/>
        </w:rPr>
        <w:t>drafted the article, and made critical revisions related to important intellectual manuscript content</w:t>
      </w:r>
      <w:r w:rsidR="003A79A7" w:rsidRPr="00E572B3">
        <w:rPr>
          <w:rFonts w:ascii="Book Antiqua" w:hAnsi="Book Antiqua" w:cs="Times New Roman"/>
          <w:sz w:val="24"/>
          <w:szCs w:val="24"/>
        </w:rPr>
        <w:t>;</w:t>
      </w:r>
      <w:r w:rsidRPr="00E572B3">
        <w:rPr>
          <w:rFonts w:ascii="Book Antiqua" w:hAnsi="Book Antiqua" w:cs="Times New Roman"/>
          <w:sz w:val="24"/>
          <w:szCs w:val="24"/>
        </w:rPr>
        <w:t xml:space="preserve"> Herzenberg </w:t>
      </w:r>
      <w:r w:rsidR="003A79A7" w:rsidRPr="00E572B3">
        <w:rPr>
          <w:rFonts w:ascii="Book Antiqua" w:hAnsi="Book Antiqua" w:cs="Times New Roman"/>
          <w:sz w:val="24"/>
          <w:szCs w:val="24"/>
        </w:rPr>
        <w:t>JE provided case material for analysis</w:t>
      </w:r>
      <w:r w:rsidRPr="00E572B3">
        <w:rPr>
          <w:rFonts w:ascii="Book Antiqua" w:hAnsi="Book Antiqua" w:cs="Times New Roman"/>
          <w:sz w:val="24"/>
          <w:szCs w:val="24"/>
        </w:rPr>
        <w:t xml:space="preserve"> and </w:t>
      </w:r>
      <w:r w:rsidR="00E13D16" w:rsidRPr="00E572B3">
        <w:rPr>
          <w:rFonts w:ascii="Book Antiqua" w:hAnsi="Book Antiqua" w:cs="Times New Roman"/>
          <w:sz w:val="24"/>
          <w:szCs w:val="24"/>
        </w:rPr>
        <w:t>made the final approval of the version of the article to be published</w:t>
      </w:r>
      <w:r w:rsidRPr="00E572B3">
        <w:rPr>
          <w:rFonts w:ascii="Book Antiqua" w:hAnsi="Book Antiqua" w:cs="Times New Roman"/>
          <w:sz w:val="24"/>
          <w:szCs w:val="24"/>
        </w:rPr>
        <w:t xml:space="preserve">; </w:t>
      </w:r>
      <w:r w:rsidR="003A79A7" w:rsidRPr="00E572B3">
        <w:rPr>
          <w:rFonts w:ascii="Book Antiqua" w:hAnsi="Book Antiqua" w:cs="Times New Roman"/>
          <w:sz w:val="24"/>
          <w:szCs w:val="24"/>
        </w:rPr>
        <w:t xml:space="preserve">Wade R </w:t>
      </w:r>
      <w:r w:rsidR="00E13D16" w:rsidRPr="00E572B3">
        <w:rPr>
          <w:rFonts w:ascii="Book Antiqua" w:hAnsi="Book Antiqua" w:cs="Times New Roman"/>
          <w:sz w:val="24"/>
          <w:szCs w:val="24"/>
        </w:rPr>
        <w:t xml:space="preserve">acquired </w:t>
      </w:r>
      <w:r w:rsidR="007131E3" w:rsidRPr="00E572B3">
        <w:rPr>
          <w:rFonts w:ascii="Book Antiqua" w:hAnsi="Book Antiqua" w:cs="Times New Roman"/>
          <w:sz w:val="24"/>
          <w:szCs w:val="24"/>
        </w:rPr>
        <w:t xml:space="preserve">the case material </w:t>
      </w:r>
      <w:r w:rsidR="00E13D16" w:rsidRPr="00E572B3">
        <w:rPr>
          <w:rFonts w:ascii="Book Antiqua" w:hAnsi="Book Antiqua" w:cs="Times New Roman"/>
          <w:sz w:val="24"/>
          <w:szCs w:val="24"/>
        </w:rPr>
        <w:t>and specimen for article</w:t>
      </w:r>
      <w:r w:rsidR="00857A5C" w:rsidRPr="00E572B3">
        <w:rPr>
          <w:rFonts w:ascii="Book Antiqua" w:hAnsi="Book Antiqua" w:cs="Times New Roman"/>
          <w:sz w:val="24"/>
          <w:szCs w:val="24"/>
        </w:rPr>
        <w:t>.</w:t>
      </w:r>
    </w:p>
    <w:p w14:paraId="7502AA06" w14:textId="77777777" w:rsidR="003A79A7" w:rsidRPr="00E572B3" w:rsidRDefault="003A79A7" w:rsidP="00A71D9E">
      <w:pPr>
        <w:adjustRightInd w:val="0"/>
        <w:snapToGrid w:val="0"/>
        <w:spacing w:after="0" w:line="360" w:lineRule="auto"/>
        <w:jc w:val="both"/>
        <w:rPr>
          <w:rFonts w:ascii="Book Antiqua" w:hAnsi="Book Antiqua" w:cs="Times New Roman"/>
          <w:b/>
          <w:sz w:val="24"/>
          <w:szCs w:val="24"/>
        </w:rPr>
      </w:pPr>
    </w:p>
    <w:p w14:paraId="598B14A9" w14:textId="77777777" w:rsidR="00385B9A" w:rsidRPr="00E572B3" w:rsidRDefault="00857A5C"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Institutional review board statement: </w:t>
      </w:r>
      <w:r w:rsidR="00EE5F16" w:rsidRPr="00E572B3">
        <w:rPr>
          <w:rFonts w:ascii="Book Antiqua" w:hAnsi="Book Antiqua"/>
          <w:sz w:val="24"/>
        </w:rPr>
        <w:t xml:space="preserve">The study did not need to be reviewed and approved by the University of Maryland, Baltimore Institutional Review Board because the case </w:t>
      </w:r>
      <w:r w:rsidR="00306AE0" w:rsidRPr="00E572B3">
        <w:rPr>
          <w:rFonts w:ascii="Book Antiqua" w:hAnsi="Book Antiqua"/>
          <w:sz w:val="24"/>
        </w:rPr>
        <w:t>did not involve a living human being but a specimen from one that</w:t>
      </w:r>
      <w:r w:rsidR="00EE5F16" w:rsidRPr="00E572B3">
        <w:rPr>
          <w:rFonts w:ascii="Book Antiqua" w:hAnsi="Book Antiqua"/>
          <w:sz w:val="24"/>
        </w:rPr>
        <w:t xml:space="preserve"> had been donated by the family for research purposes.</w:t>
      </w:r>
      <w:r w:rsidR="00EE5F16" w:rsidRPr="00E572B3">
        <w:rPr>
          <w:sz w:val="24"/>
        </w:rPr>
        <w:t xml:space="preserve"> </w:t>
      </w:r>
    </w:p>
    <w:p w14:paraId="47A46F36" w14:textId="77777777" w:rsidR="00385B9A" w:rsidRPr="00E572B3" w:rsidRDefault="00385B9A" w:rsidP="00A71D9E">
      <w:pPr>
        <w:adjustRightInd w:val="0"/>
        <w:snapToGrid w:val="0"/>
        <w:spacing w:after="0" w:line="360" w:lineRule="auto"/>
        <w:jc w:val="both"/>
        <w:rPr>
          <w:rFonts w:ascii="Book Antiqua" w:hAnsi="Book Antiqua" w:cs="Times New Roman"/>
          <w:b/>
          <w:sz w:val="24"/>
          <w:szCs w:val="24"/>
        </w:rPr>
      </w:pPr>
    </w:p>
    <w:p w14:paraId="0A4B3FF7" w14:textId="77777777" w:rsidR="00385B9A" w:rsidRPr="00E572B3" w:rsidRDefault="00857A5C" w:rsidP="00A71D9E">
      <w:pPr>
        <w:adjustRightInd w:val="0"/>
        <w:snapToGrid w:val="0"/>
        <w:spacing w:after="0" w:line="360" w:lineRule="auto"/>
        <w:jc w:val="both"/>
        <w:rPr>
          <w:rFonts w:ascii="Book Antiqua" w:hAnsi="Book Antiqua" w:cs="Times New Roman"/>
          <w:sz w:val="24"/>
          <w:shd w:val="clear" w:color="auto" w:fill="FFFFFF"/>
        </w:rPr>
      </w:pPr>
      <w:r w:rsidRPr="00E572B3">
        <w:rPr>
          <w:rFonts w:ascii="Book Antiqua" w:hAnsi="Book Antiqua" w:cs="Times New Roman"/>
          <w:b/>
          <w:sz w:val="24"/>
          <w:szCs w:val="24"/>
        </w:rPr>
        <w:t>Informed consent statement:</w:t>
      </w:r>
      <w:r w:rsidR="00306AE0" w:rsidRPr="00E572B3">
        <w:rPr>
          <w:rFonts w:ascii="Book Antiqua" w:hAnsi="Book Antiqua" w:cs="Times New Roman"/>
          <w:b/>
          <w:sz w:val="24"/>
          <w:szCs w:val="24"/>
        </w:rPr>
        <w:t xml:space="preserve"> </w:t>
      </w:r>
      <w:r w:rsidR="00306AE0" w:rsidRPr="00E572B3">
        <w:rPr>
          <w:rFonts w:ascii="Book Antiqua" w:hAnsi="Book Antiqua" w:cs="Times New Roman"/>
          <w:sz w:val="24"/>
          <w:shd w:val="clear" w:color="auto" w:fill="FFFFFF"/>
        </w:rPr>
        <w:t>We have obtained the parent of the patients’ written informed consent for print and electronic publication of the report, as well as for reprinting in foreign editions of the journal.</w:t>
      </w:r>
    </w:p>
    <w:p w14:paraId="03E195F0" w14:textId="77777777" w:rsidR="00306AE0" w:rsidRPr="00E572B3" w:rsidRDefault="00306AE0" w:rsidP="00A71D9E">
      <w:pPr>
        <w:adjustRightInd w:val="0"/>
        <w:snapToGrid w:val="0"/>
        <w:spacing w:after="0" w:line="360" w:lineRule="auto"/>
        <w:jc w:val="both"/>
        <w:rPr>
          <w:rFonts w:ascii="Book Antiqua" w:hAnsi="Book Antiqua" w:cs="Times New Roman"/>
          <w:b/>
          <w:sz w:val="24"/>
          <w:szCs w:val="24"/>
        </w:rPr>
      </w:pPr>
    </w:p>
    <w:p w14:paraId="0041DC4D" w14:textId="013FC371" w:rsidR="00A76B28" w:rsidRPr="00E572B3" w:rsidRDefault="00857A5C" w:rsidP="00A71D9E">
      <w:pPr>
        <w:adjustRightInd w:val="0"/>
        <w:snapToGrid w:val="0"/>
        <w:spacing w:after="0" w:line="360" w:lineRule="auto"/>
        <w:jc w:val="both"/>
        <w:rPr>
          <w:rFonts w:ascii="Book Antiqua" w:hAnsi="Book Antiqua" w:cs="Times New Roman"/>
          <w:sz w:val="24"/>
          <w:szCs w:val="24"/>
          <w:shd w:val="clear" w:color="auto" w:fill="FFFFFF"/>
          <w:lang w:eastAsia="zh-CN"/>
        </w:rPr>
      </w:pPr>
      <w:r w:rsidRPr="00E572B3">
        <w:rPr>
          <w:rFonts w:ascii="Book Antiqua" w:hAnsi="Book Antiqua" w:cs="Times New Roman"/>
          <w:b/>
          <w:sz w:val="24"/>
          <w:szCs w:val="24"/>
        </w:rPr>
        <w:t>Conflict</w:t>
      </w:r>
      <w:r w:rsidR="00A71D9E" w:rsidRPr="00E572B3">
        <w:rPr>
          <w:rFonts w:ascii="Book Antiqua" w:hAnsi="Book Antiqua" w:cs="Times New Roman" w:hint="eastAsia"/>
          <w:b/>
          <w:sz w:val="24"/>
          <w:szCs w:val="24"/>
          <w:lang w:eastAsia="zh-CN"/>
        </w:rPr>
        <w:t>-</w:t>
      </w:r>
      <w:r w:rsidRPr="00E572B3">
        <w:rPr>
          <w:rFonts w:ascii="Book Antiqua" w:hAnsi="Book Antiqua" w:cs="Times New Roman"/>
          <w:b/>
          <w:sz w:val="24"/>
          <w:szCs w:val="24"/>
        </w:rPr>
        <w:t>of</w:t>
      </w:r>
      <w:r w:rsidR="00A71D9E" w:rsidRPr="00E572B3">
        <w:rPr>
          <w:rFonts w:ascii="Book Antiqua" w:hAnsi="Book Antiqua" w:cs="Times New Roman" w:hint="eastAsia"/>
          <w:b/>
          <w:sz w:val="24"/>
          <w:szCs w:val="24"/>
          <w:lang w:eastAsia="zh-CN"/>
        </w:rPr>
        <w:t>-</w:t>
      </w:r>
      <w:r w:rsidRPr="00E572B3">
        <w:rPr>
          <w:rFonts w:ascii="Book Antiqua" w:hAnsi="Book Antiqua" w:cs="Times New Roman"/>
          <w:b/>
          <w:sz w:val="24"/>
          <w:szCs w:val="24"/>
        </w:rPr>
        <w:t xml:space="preserve">interest statement: </w:t>
      </w:r>
      <w:r w:rsidR="00A76B28" w:rsidRPr="00E572B3">
        <w:rPr>
          <w:rFonts w:ascii="Book Antiqua" w:hAnsi="Book Antiqua" w:cs="Times New Roman"/>
          <w:sz w:val="24"/>
          <w:szCs w:val="24"/>
          <w:shd w:val="clear" w:color="auto" w:fill="FFFFFF"/>
        </w:rPr>
        <w:t>The authors certify that they have no affiliations with or involvement in any organization or entity with any financial interest (such as honoria; education grants; participation in speakers’ bureaus; membership, employment, consultancies, stock ownership, or other equity interest; and expert testimony or patent-licensing arrangements), or non-financial interest (such as personal or professional relationships, affiliations, knowledge or beliefs) in the subject matter or materials discussed in this manuscript. The authors declare that there is no conflict of interest regarding the publication of this article.</w:t>
      </w:r>
    </w:p>
    <w:p w14:paraId="0A5EFCF5" w14:textId="77777777" w:rsidR="00157A32" w:rsidRPr="00E572B3" w:rsidRDefault="00157A32" w:rsidP="00A71D9E">
      <w:pPr>
        <w:adjustRightInd w:val="0"/>
        <w:snapToGrid w:val="0"/>
        <w:spacing w:after="0" w:line="360" w:lineRule="auto"/>
        <w:jc w:val="both"/>
        <w:rPr>
          <w:rFonts w:ascii="Book Antiqua" w:hAnsi="Book Antiqua" w:cs="Times New Roman"/>
          <w:sz w:val="24"/>
          <w:szCs w:val="24"/>
          <w:shd w:val="clear" w:color="auto" w:fill="FFFFFF"/>
          <w:lang w:eastAsia="zh-CN"/>
        </w:rPr>
      </w:pPr>
    </w:p>
    <w:p w14:paraId="4F962E74" w14:textId="77777777" w:rsidR="00157A32" w:rsidRPr="00E572B3" w:rsidRDefault="00157A32" w:rsidP="00A71D9E">
      <w:pPr>
        <w:widowControl w:val="0"/>
        <w:adjustRightInd w:val="0"/>
        <w:snapToGrid w:val="0"/>
        <w:spacing w:after="0" w:line="360" w:lineRule="auto"/>
        <w:jc w:val="both"/>
        <w:rPr>
          <w:rFonts w:ascii="Book Antiqua" w:hAnsi="Book Antiqua"/>
          <w:sz w:val="24"/>
          <w:szCs w:val="24"/>
        </w:rPr>
      </w:pPr>
      <w:bookmarkStart w:id="0" w:name="OLE_LINK111"/>
      <w:bookmarkStart w:id="1" w:name="OLE_LINK112"/>
      <w:bookmarkStart w:id="2" w:name="OLE_LINK54"/>
      <w:bookmarkStart w:id="3" w:name="OLE_LINK70"/>
      <w:bookmarkStart w:id="4" w:name="OLE_LINK123"/>
      <w:bookmarkStart w:id="5" w:name="OLE_LINK183"/>
      <w:bookmarkStart w:id="6" w:name="OLE_LINK268"/>
      <w:bookmarkStart w:id="7" w:name="OLE_LINK269"/>
      <w:r w:rsidRPr="00E572B3">
        <w:rPr>
          <w:rFonts w:ascii="Book Antiqua" w:hAnsi="Book Antiqua"/>
          <w:b/>
          <w:color w:val="000000"/>
          <w:sz w:val="24"/>
          <w:szCs w:val="24"/>
        </w:rPr>
        <w:t xml:space="preserve">Open-Access: </w:t>
      </w:r>
      <w:r w:rsidRPr="00E572B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E572B3">
        <w:rPr>
          <w:rFonts w:ascii="Book Antiqua" w:hAnsi="Book Antiqua"/>
          <w:sz w:val="24"/>
          <w:szCs w:val="24"/>
        </w:rPr>
        <w:t>http://creativecommons.org/licenses/by-nc/4.0/</w:t>
      </w:r>
      <w:bookmarkEnd w:id="0"/>
      <w:bookmarkEnd w:id="1"/>
    </w:p>
    <w:bookmarkEnd w:id="2"/>
    <w:bookmarkEnd w:id="3"/>
    <w:bookmarkEnd w:id="4"/>
    <w:bookmarkEnd w:id="5"/>
    <w:p w14:paraId="4F80FAF8" w14:textId="77777777" w:rsidR="00157A32" w:rsidRPr="00E572B3" w:rsidRDefault="00157A32" w:rsidP="00A71D9E">
      <w:pPr>
        <w:adjustRightInd w:val="0"/>
        <w:snapToGrid w:val="0"/>
        <w:spacing w:after="0" w:line="360" w:lineRule="auto"/>
        <w:ind w:right="120"/>
        <w:jc w:val="both"/>
        <w:rPr>
          <w:rFonts w:ascii="Book Antiqua" w:hAnsi="Book Antiqua" w:cs="Times New Roman"/>
          <w:color w:val="000000"/>
          <w:sz w:val="24"/>
          <w:szCs w:val="24"/>
        </w:rPr>
      </w:pPr>
    </w:p>
    <w:p w14:paraId="2228EC57" w14:textId="77777777" w:rsidR="00157A32" w:rsidRPr="00E572B3" w:rsidRDefault="00157A32" w:rsidP="00A71D9E">
      <w:pPr>
        <w:adjustRightInd w:val="0"/>
        <w:snapToGrid w:val="0"/>
        <w:spacing w:after="0" w:line="360" w:lineRule="auto"/>
        <w:ind w:right="120"/>
        <w:jc w:val="both"/>
        <w:rPr>
          <w:rFonts w:ascii="Book Antiqua" w:hAnsi="Book Antiqua" w:cs="Times New Roman"/>
          <w:color w:val="000000"/>
          <w:sz w:val="24"/>
          <w:szCs w:val="24"/>
        </w:rPr>
      </w:pPr>
      <w:bookmarkStart w:id="8" w:name="OLE_LINK219"/>
      <w:r w:rsidRPr="00E572B3">
        <w:rPr>
          <w:rFonts w:ascii="Book Antiqua" w:hAnsi="Book Antiqua" w:cs="Times New Roman"/>
          <w:b/>
          <w:color w:val="000000"/>
          <w:sz w:val="24"/>
          <w:szCs w:val="24"/>
        </w:rPr>
        <w:t>Manuscript source:</w:t>
      </w:r>
      <w:r w:rsidRPr="00E572B3">
        <w:rPr>
          <w:rFonts w:ascii="Book Antiqua" w:hAnsi="Book Antiqua" w:cs="Times New Roman"/>
          <w:color w:val="000000"/>
          <w:sz w:val="24"/>
          <w:szCs w:val="24"/>
        </w:rPr>
        <w:t xml:space="preserve"> Invited manuscript</w:t>
      </w:r>
    </w:p>
    <w:bookmarkEnd w:id="6"/>
    <w:bookmarkEnd w:id="7"/>
    <w:bookmarkEnd w:id="8"/>
    <w:p w14:paraId="79AD2DB7" w14:textId="77777777" w:rsidR="00A76B28" w:rsidRPr="00E572B3" w:rsidRDefault="00A76B28" w:rsidP="00A71D9E">
      <w:pPr>
        <w:adjustRightInd w:val="0"/>
        <w:snapToGrid w:val="0"/>
        <w:spacing w:after="0" w:line="360" w:lineRule="auto"/>
        <w:jc w:val="both"/>
        <w:rPr>
          <w:rFonts w:ascii="Book Antiqua" w:hAnsi="Book Antiqua" w:cs="Times New Roman"/>
          <w:sz w:val="24"/>
          <w:szCs w:val="24"/>
          <w:shd w:val="clear" w:color="auto" w:fill="FFFFFF"/>
        </w:rPr>
      </w:pPr>
    </w:p>
    <w:p w14:paraId="03BFCB15" w14:textId="29704B50" w:rsidR="0059740C" w:rsidRPr="00E572B3" w:rsidRDefault="003A79A7"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b/>
          <w:sz w:val="24"/>
          <w:szCs w:val="24"/>
        </w:rPr>
        <w:t>Correspondence to</w:t>
      </w:r>
      <w:r w:rsidR="00D01B84" w:rsidRPr="00E572B3">
        <w:rPr>
          <w:rFonts w:ascii="Book Antiqua" w:hAnsi="Book Antiqua" w:cs="Times New Roman"/>
          <w:sz w:val="24"/>
          <w:szCs w:val="24"/>
        </w:rPr>
        <w:t xml:space="preserve">: </w:t>
      </w:r>
      <w:r w:rsidR="00D01B84" w:rsidRPr="00E572B3">
        <w:rPr>
          <w:rFonts w:ascii="Book Antiqua" w:hAnsi="Book Antiqua" w:cs="Times New Roman"/>
          <w:b/>
          <w:sz w:val="24"/>
          <w:szCs w:val="24"/>
        </w:rPr>
        <w:t>Guinevere Granite</w:t>
      </w:r>
      <w:r w:rsidR="0059740C" w:rsidRPr="00E572B3">
        <w:rPr>
          <w:rFonts w:ascii="Book Antiqua" w:hAnsi="Book Antiqua" w:cs="Times New Roman"/>
          <w:b/>
          <w:sz w:val="24"/>
          <w:szCs w:val="24"/>
        </w:rPr>
        <w:t>, PhD, Adjunct Professor</w:t>
      </w:r>
      <w:r w:rsidR="0059740C" w:rsidRPr="00E572B3">
        <w:rPr>
          <w:rFonts w:ascii="Book Antiqua" w:hAnsi="Book Antiqua" w:cs="Times New Roman"/>
          <w:sz w:val="24"/>
          <w:szCs w:val="24"/>
        </w:rPr>
        <w:t xml:space="preserve">, </w:t>
      </w:r>
      <w:r w:rsidR="00157A32" w:rsidRPr="00E572B3">
        <w:rPr>
          <w:rFonts w:ascii="Book Antiqua" w:hAnsi="Book Antiqua" w:cs="Times New Roman"/>
          <w:sz w:val="24"/>
          <w:szCs w:val="24"/>
        </w:rPr>
        <w:t xml:space="preserve">Department of Anatomy and Neurobiology, </w:t>
      </w:r>
      <w:r w:rsidR="0059740C" w:rsidRPr="00E572B3">
        <w:rPr>
          <w:rFonts w:ascii="Book Antiqua" w:hAnsi="Book Antiqua" w:cs="Times New Roman"/>
          <w:sz w:val="24"/>
          <w:szCs w:val="24"/>
        </w:rPr>
        <w:t xml:space="preserve">School of Medicine, </w:t>
      </w:r>
      <w:r w:rsidR="00157A32" w:rsidRPr="00E572B3">
        <w:rPr>
          <w:rFonts w:ascii="Book Antiqua" w:hAnsi="Book Antiqua" w:cs="Times New Roman"/>
          <w:sz w:val="24"/>
          <w:szCs w:val="24"/>
        </w:rPr>
        <w:t xml:space="preserve">University of Maryland, Baltimore, </w:t>
      </w:r>
      <w:r w:rsidR="0059740C" w:rsidRPr="00E572B3">
        <w:rPr>
          <w:rFonts w:ascii="Book Antiqua" w:hAnsi="Book Antiqua" w:cs="Times New Roman"/>
          <w:sz w:val="24"/>
          <w:szCs w:val="24"/>
        </w:rPr>
        <w:t>655 West Baltimore Street, Baltimore, MD 21201, United States</w:t>
      </w:r>
      <w:r w:rsidR="009E4DDB" w:rsidRPr="00E572B3">
        <w:rPr>
          <w:rFonts w:ascii="Book Antiqua" w:hAnsi="Book Antiqua" w:cs="Times New Roman"/>
          <w:sz w:val="24"/>
          <w:szCs w:val="24"/>
        </w:rPr>
        <w:t>. guin.granite@gmail.com</w:t>
      </w:r>
    </w:p>
    <w:p w14:paraId="6FDEA165" w14:textId="0840F391" w:rsidR="0059740C" w:rsidRPr="00E572B3" w:rsidRDefault="0059740C" w:rsidP="00A71D9E">
      <w:pPr>
        <w:tabs>
          <w:tab w:val="left" w:pos="2265"/>
        </w:tabs>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b/>
          <w:sz w:val="24"/>
          <w:szCs w:val="24"/>
        </w:rPr>
        <w:t xml:space="preserve">Telephone: </w:t>
      </w:r>
      <w:r w:rsidRPr="00E572B3">
        <w:rPr>
          <w:rFonts w:ascii="Book Antiqua" w:hAnsi="Book Antiqua" w:cs="Times New Roman"/>
          <w:sz w:val="24"/>
          <w:szCs w:val="24"/>
        </w:rPr>
        <w:t>+1-</w:t>
      </w:r>
      <w:r w:rsidR="00D01B84" w:rsidRPr="00E572B3">
        <w:rPr>
          <w:rFonts w:ascii="Book Antiqua" w:hAnsi="Book Antiqua" w:cs="Times New Roman"/>
          <w:sz w:val="24"/>
          <w:szCs w:val="24"/>
        </w:rPr>
        <w:t>301</w:t>
      </w:r>
      <w:r w:rsidR="00076FB6" w:rsidRPr="00E572B3">
        <w:rPr>
          <w:rFonts w:ascii="Book Antiqua" w:hAnsi="Book Antiqua" w:cs="Times New Roman"/>
          <w:sz w:val="24"/>
          <w:szCs w:val="24"/>
        </w:rPr>
        <w:t>-395</w:t>
      </w:r>
      <w:r w:rsidRPr="00E572B3">
        <w:rPr>
          <w:rFonts w:ascii="Book Antiqua" w:hAnsi="Book Antiqua" w:cs="Times New Roman"/>
          <w:sz w:val="24"/>
          <w:szCs w:val="24"/>
        </w:rPr>
        <w:t>7147</w:t>
      </w:r>
    </w:p>
    <w:p w14:paraId="4AE28572" w14:textId="50F1EC73" w:rsidR="00D01B84" w:rsidRPr="00E572B3" w:rsidRDefault="0059740C" w:rsidP="00A71D9E">
      <w:pPr>
        <w:tabs>
          <w:tab w:val="left" w:pos="2265"/>
        </w:tabs>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b/>
          <w:sz w:val="24"/>
          <w:szCs w:val="24"/>
        </w:rPr>
        <w:t xml:space="preserve">Fax: </w:t>
      </w:r>
      <w:r w:rsidR="00076FB6" w:rsidRPr="00E572B3">
        <w:rPr>
          <w:rFonts w:ascii="Book Antiqua" w:hAnsi="Book Antiqua" w:cs="Times New Roman"/>
          <w:sz w:val="24"/>
          <w:szCs w:val="24"/>
        </w:rPr>
        <w:t>+1-410-706</w:t>
      </w:r>
      <w:r w:rsidRPr="00E572B3">
        <w:rPr>
          <w:rFonts w:ascii="Book Antiqua" w:hAnsi="Book Antiqua" w:cs="Times New Roman"/>
          <w:sz w:val="24"/>
          <w:szCs w:val="24"/>
        </w:rPr>
        <w:t xml:space="preserve">2512 </w:t>
      </w:r>
    </w:p>
    <w:p w14:paraId="6C08C7CC" w14:textId="77777777" w:rsidR="00076FB6" w:rsidRPr="00E572B3" w:rsidRDefault="00076FB6" w:rsidP="00A71D9E">
      <w:pPr>
        <w:tabs>
          <w:tab w:val="left" w:pos="2265"/>
        </w:tabs>
        <w:adjustRightInd w:val="0"/>
        <w:snapToGrid w:val="0"/>
        <w:spacing w:after="0" w:line="360" w:lineRule="auto"/>
        <w:jc w:val="both"/>
        <w:rPr>
          <w:rFonts w:ascii="Book Antiqua" w:hAnsi="Book Antiqua" w:cs="Times New Roman"/>
          <w:sz w:val="24"/>
          <w:szCs w:val="24"/>
          <w:lang w:eastAsia="zh-CN"/>
        </w:rPr>
      </w:pPr>
    </w:p>
    <w:p w14:paraId="7C237880" w14:textId="39817C74" w:rsidR="00076FB6" w:rsidRPr="00E572B3" w:rsidRDefault="00076FB6" w:rsidP="00A71D9E">
      <w:pPr>
        <w:widowControl w:val="0"/>
        <w:adjustRightInd w:val="0"/>
        <w:snapToGrid w:val="0"/>
        <w:spacing w:after="0" w:line="360" w:lineRule="auto"/>
        <w:jc w:val="both"/>
        <w:rPr>
          <w:rFonts w:ascii="Book Antiqua" w:hAnsi="Book Antiqua"/>
          <w:sz w:val="24"/>
          <w:szCs w:val="24"/>
        </w:rPr>
      </w:pPr>
      <w:bookmarkStart w:id="9" w:name="OLE_LINK140"/>
      <w:bookmarkStart w:id="10" w:name="OLE_LINK7"/>
      <w:bookmarkStart w:id="11" w:name="OLE_LINK8"/>
      <w:bookmarkStart w:id="12" w:name="OLE_LINK16"/>
      <w:bookmarkStart w:id="13" w:name="OLE_LINK36"/>
      <w:bookmarkStart w:id="14" w:name="OLE_LINK38"/>
      <w:bookmarkStart w:id="15" w:name="OLE_LINK47"/>
      <w:bookmarkStart w:id="16" w:name="OLE_LINK55"/>
      <w:bookmarkStart w:id="17" w:name="OLE_LINK77"/>
      <w:bookmarkStart w:id="18" w:name="OLE_LINK80"/>
      <w:bookmarkStart w:id="19" w:name="OLE_LINK83"/>
      <w:bookmarkStart w:id="20" w:name="OLE_LINK85"/>
      <w:bookmarkStart w:id="21" w:name="OLE_LINK153"/>
      <w:bookmarkStart w:id="22" w:name="OLE_LINK156"/>
      <w:bookmarkStart w:id="23" w:name="OLE_LINK224"/>
      <w:bookmarkStart w:id="24" w:name="OLE_LINK271"/>
      <w:r w:rsidRPr="00E572B3">
        <w:rPr>
          <w:rFonts w:ascii="Book Antiqua" w:hAnsi="Book Antiqua"/>
          <w:b/>
          <w:sz w:val="24"/>
          <w:szCs w:val="24"/>
        </w:rPr>
        <w:t xml:space="preserve">Received: </w:t>
      </w:r>
      <w:r w:rsidRPr="00E572B3">
        <w:rPr>
          <w:rFonts w:ascii="Book Antiqua" w:hAnsi="Book Antiqua" w:hint="eastAsia"/>
          <w:sz w:val="24"/>
          <w:szCs w:val="24"/>
          <w:lang w:eastAsia="zh-CN"/>
        </w:rPr>
        <w:t xml:space="preserve">May </w:t>
      </w:r>
      <w:r w:rsidRPr="00E572B3">
        <w:rPr>
          <w:rFonts w:ascii="Book Antiqua" w:hAnsi="Book Antiqua"/>
          <w:sz w:val="24"/>
          <w:szCs w:val="24"/>
        </w:rPr>
        <w:t>2, 2016</w:t>
      </w:r>
    </w:p>
    <w:p w14:paraId="77D2D2FD" w14:textId="539A53AD" w:rsidR="00076FB6" w:rsidRPr="00E572B3" w:rsidRDefault="00076FB6" w:rsidP="00A71D9E">
      <w:pPr>
        <w:widowControl w:val="0"/>
        <w:adjustRightInd w:val="0"/>
        <w:snapToGrid w:val="0"/>
        <w:spacing w:after="0" w:line="360" w:lineRule="auto"/>
        <w:jc w:val="both"/>
        <w:rPr>
          <w:rFonts w:ascii="Book Antiqua" w:hAnsi="Book Antiqua"/>
          <w:sz w:val="24"/>
          <w:szCs w:val="24"/>
        </w:rPr>
      </w:pPr>
      <w:r w:rsidRPr="00E572B3">
        <w:rPr>
          <w:rFonts w:ascii="Book Antiqua" w:hAnsi="Book Antiqua"/>
          <w:b/>
          <w:sz w:val="24"/>
          <w:szCs w:val="24"/>
        </w:rPr>
        <w:t xml:space="preserve">Peer-review started: </w:t>
      </w:r>
      <w:r w:rsidRPr="00E572B3">
        <w:rPr>
          <w:rFonts w:ascii="Book Antiqua" w:hAnsi="Book Antiqua" w:hint="eastAsia"/>
          <w:sz w:val="24"/>
          <w:szCs w:val="24"/>
          <w:lang w:eastAsia="zh-CN"/>
        </w:rPr>
        <w:t>May 6</w:t>
      </w:r>
      <w:r w:rsidRPr="00E572B3">
        <w:rPr>
          <w:rFonts w:ascii="Book Antiqua" w:hAnsi="Book Antiqua"/>
          <w:sz w:val="24"/>
          <w:szCs w:val="24"/>
        </w:rPr>
        <w:t>, 2016</w:t>
      </w:r>
    </w:p>
    <w:p w14:paraId="6DF53ADB" w14:textId="6288F8B3" w:rsidR="00076FB6" w:rsidRPr="00E572B3" w:rsidRDefault="00076FB6" w:rsidP="00A71D9E">
      <w:pPr>
        <w:widowControl w:val="0"/>
        <w:adjustRightInd w:val="0"/>
        <w:snapToGrid w:val="0"/>
        <w:spacing w:after="0" w:line="360" w:lineRule="auto"/>
        <w:jc w:val="both"/>
        <w:rPr>
          <w:rFonts w:ascii="Book Antiqua" w:hAnsi="Book Antiqua"/>
          <w:sz w:val="24"/>
          <w:szCs w:val="24"/>
          <w:lang w:eastAsia="zh-CN"/>
        </w:rPr>
      </w:pPr>
      <w:r w:rsidRPr="00E572B3">
        <w:rPr>
          <w:rFonts w:ascii="Book Antiqua" w:hAnsi="Book Antiqua"/>
          <w:b/>
          <w:sz w:val="24"/>
          <w:szCs w:val="24"/>
        </w:rPr>
        <w:t>First decision:</w:t>
      </w:r>
      <w:r w:rsidRPr="00E572B3">
        <w:rPr>
          <w:rFonts w:ascii="Book Antiqua" w:hAnsi="Book Antiqua"/>
          <w:sz w:val="24"/>
          <w:szCs w:val="24"/>
        </w:rPr>
        <w:t xml:space="preserve"> </w:t>
      </w:r>
      <w:r w:rsidRPr="00E572B3">
        <w:rPr>
          <w:rFonts w:ascii="Book Antiqua" w:hAnsi="Book Antiqua" w:hint="eastAsia"/>
          <w:sz w:val="24"/>
          <w:szCs w:val="24"/>
          <w:lang w:eastAsia="zh-CN"/>
        </w:rPr>
        <w:t>July 25, 2016</w:t>
      </w:r>
    </w:p>
    <w:p w14:paraId="73DFC2A4" w14:textId="3BB9D799" w:rsidR="00076FB6" w:rsidRPr="00E572B3" w:rsidRDefault="00076FB6" w:rsidP="00A71D9E">
      <w:pPr>
        <w:widowControl w:val="0"/>
        <w:adjustRightInd w:val="0"/>
        <w:snapToGrid w:val="0"/>
        <w:spacing w:after="0" w:line="360" w:lineRule="auto"/>
        <w:jc w:val="both"/>
        <w:rPr>
          <w:rFonts w:ascii="Book Antiqua" w:hAnsi="Book Antiqua"/>
          <w:sz w:val="24"/>
          <w:szCs w:val="24"/>
          <w:lang w:eastAsia="zh-CN"/>
        </w:rPr>
      </w:pPr>
      <w:r w:rsidRPr="00E572B3">
        <w:rPr>
          <w:rFonts w:ascii="Book Antiqua" w:hAnsi="Book Antiqua"/>
          <w:b/>
          <w:sz w:val="24"/>
          <w:szCs w:val="24"/>
        </w:rPr>
        <w:t>Revised:</w:t>
      </w:r>
      <w:r w:rsidRPr="00E572B3">
        <w:rPr>
          <w:rFonts w:ascii="Book Antiqua" w:hAnsi="Book Antiqua"/>
          <w:sz w:val="24"/>
          <w:szCs w:val="24"/>
        </w:rPr>
        <w:t xml:space="preserve"> </w:t>
      </w:r>
      <w:r w:rsidRPr="00E572B3">
        <w:rPr>
          <w:rFonts w:ascii="Book Antiqua" w:hAnsi="Book Antiqua" w:hint="eastAsia"/>
          <w:sz w:val="24"/>
          <w:szCs w:val="24"/>
          <w:lang w:eastAsia="zh-CN"/>
        </w:rPr>
        <w:t>August 5, 2016</w:t>
      </w:r>
    </w:p>
    <w:p w14:paraId="6A3AFABF" w14:textId="2BAB7FD6" w:rsidR="00076FB6" w:rsidRPr="003A161D" w:rsidRDefault="00076FB6" w:rsidP="003A161D">
      <w:pPr>
        <w:rPr>
          <w:rFonts w:ascii="Book Antiqua" w:hAnsi="Book Antiqua"/>
          <w:iCs/>
          <w:sz w:val="24"/>
        </w:rPr>
      </w:pPr>
      <w:r w:rsidRPr="00E572B3">
        <w:rPr>
          <w:rFonts w:ascii="Book Antiqua" w:hAnsi="Book Antiqua"/>
          <w:b/>
          <w:sz w:val="24"/>
          <w:szCs w:val="24"/>
        </w:rPr>
        <w:t>Accepted:</w:t>
      </w:r>
      <w:r w:rsidR="003A161D">
        <w:rPr>
          <w:rFonts w:ascii="Book Antiqua" w:hAnsi="Book Antiqua"/>
          <w:b/>
          <w:sz w:val="24"/>
          <w:szCs w:val="24"/>
        </w:rPr>
        <w:t xml:space="preserve"> </w:t>
      </w:r>
      <w:r w:rsidR="003A161D">
        <w:rPr>
          <w:rStyle w:val="af"/>
        </w:rPr>
        <w:t xml:space="preserve">September </w:t>
      </w:r>
      <w:r w:rsidR="003A161D">
        <w:rPr>
          <w:rStyle w:val="af"/>
          <w:rFonts w:ascii="宋体" w:hAnsi="宋体" w:cs="宋体" w:hint="eastAsia"/>
        </w:rPr>
        <w:t>21</w:t>
      </w:r>
      <w:r w:rsidR="003A161D" w:rsidRPr="00235CD4">
        <w:rPr>
          <w:rStyle w:val="af"/>
        </w:rPr>
        <w:t>,</w:t>
      </w:r>
      <w:r w:rsidR="003A161D">
        <w:rPr>
          <w:rStyle w:val="af"/>
        </w:rPr>
        <w:t xml:space="preserve"> 2016</w:t>
      </w:r>
    </w:p>
    <w:p w14:paraId="73B26440" w14:textId="77777777" w:rsidR="00076FB6" w:rsidRPr="00E572B3" w:rsidRDefault="00076FB6" w:rsidP="00A71D9E">
      <w:pPr>
        <w:widowControl w:val="0"/>
        <w:adjustRightInd w:val="0"/>
        <w:snapToGrid w:val="0"/>
        <w:spacing w:after="0" w:line="360" w:lineRule="auto"/>
        <w:jc w:val="both"/>
        <w:rPr>
          <w:rFonts w:ascii="Book Antiqua" w:hAnsi="Book Antiqua"/>
          <w:sz w:val="24"/>
          <w:szCs w:val="24"/>
        </w:rPr>
      </w:pPr>
      <w:r w:rsidRPr="00E572B3">
        <w:rPr>
          <w:rFonts w:ascii="Book Antiqua" w:hAnsi="Book Antiqua"/>
          <w:b/>
          <w:sz w:val="24"/>
          <w:szCs w:val="24"/>
        </w:rPr>
        <w:t>Article in press:</w:t>
      </w:r>
    </w:p>
    <w:p w14:paraId="1DBCD68D" w14:textId="77777777" w:rsidR="00076FB6" w:rsidRPr="00E572B3" w:rsidRDefault="00076FB6" w:rsidP="00A71D9E">
      <w:pPr>
        <w:adjustRightInd w:val="0"/>
        <w:snapToGrid w:val="0"/>
        <w:spacing w:after="0" w:line="360" w:lineRule="auto"/>
        <w:jc w:val="both"/>
        <w:rPr>
          <w:rFonts w:ascii="Book Antiqua" w:hAnsi="Book Antiqua"/>
          <w:sz w:val="24"/>
          <w:szCs w:val="24"/>
        </w:rPr>
      </w:pPr>
      <w:r w:rsidRPr="00E572B3">
        <w:rPr>
          <w:rFonts w:ascii="Book Antiqua" w:hAnsi="Book Antiqua"/>
          <w:b/>
          <w:sz w:val="24"/>
          <w:szCs w:val="24"/>
        </w:rPr>
        <w:t>Published online:</w:t>
      </w:r>
      <w:bookmarkEnd w:id="9"/>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7E5DD04" w14:textId="77777777" w:rsidR="00076FB6" w:rsidRPr="00E572B3" w:rsidRDefault="00076FB6" w:rsidP="00A71D9E">
      <w:pPr>
        <w:tabs>
          <w:tab w:val="left" w:pos="2265"/>
        </w:tabs>
        <w:adjustRightInd w:val="0"/>
        <w:snapToGrid w:val="0"/>
        <w:spacing w:after="0" w:line="360" w:lineRule="auto"/>
        <w:jc w:val="both"/>
        <w:rPr>
          <w:rFonts w:ascii="Book Antiqua" w:hAnsi="Book Antiqua" w:cs="Times New Roman"/>
          <w:sz w:val="24"/>
          <w:szCs w:val="24"/>
          <w:lang w:eastAsia="zh-CN"/>
        </w:rPr>
      </w:pPr>
    </w:p>
    <w:p w14:paraId="6F2633AA" w14:textId="77777777" w:rsidR="00D01B84" w:rsidRPr="00E572B3" w:rsidRDefault="00D01B84" w:rsidP="00A71D9E">
      <w:pPr>
        <w:adjustRightInd w:val="0"/>
        <w:snapToGrid w:val="0"/>
        <w:spacing w:after="0" w:line="360" w:lineRule="auto"/>
        <w:jc w:val="both"/>
        <w:rPr>
          <w:rFonts w:ascii="Book Antiqua" w:hAnsi="Book Antiqua" w:cs="Times New Roman"/>
          <w:sz w:val="24"/>
          <w:szCs w:val="24"/>
        </w:rPr>
      </w:pPr>
    </w:p>
    <w:p w14:paraId="2798E504" w14:textId="77777777" w:rsidR="00D01B84" w:rsidRPr="00E572B3" w:rsidRDefault="00D01B84" w:rsidP="00A71D9E">
      <w:pPr>
        <w:adjustRightInd w:val="0"/>
        <w:snapToGrid w:val="0"/>
        <w:spacing w:after="0" w:line="360" w:lineRule="auto"/>
        <w:jc w:val="both"/>
        <w:rPr>
          <w:rFonts w:ascii="Book Antiqua" w:hAnsi="Book Antiqua" w:cs="Times New Roman"/>
          <w:sz w:val="24"/>
          <w:szCs w:val="24"/>
        </w:rPr>
      </w:pPr>
    </w:p>
    <w:p w14:paraId="2F967F6E"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br w:type="page"/>
      </w:r>
    </w:p>
    <w:p w14:paraId="3BA3628C" w14:textId="77777777" w:rsidR="000146FB" w:rsidRPr="00E572B3" w:rsidRDefault="000146FB" w:rsidP="00A71D9E">
      <w:pPr>
        <w:adjustRightInd w:val="0"/>
        <w:snapToGrid w:val="0"/>
        <w:spacing w:after="0" w:line="360" w:lineRule="auto"/>
        <w:jc w:val="both"/>
        <w:rPr>
          <w:rFonts w:ascii="Book Antiqua" w:hAnsi="Book Antiqua" w:cs="Times New Roman"/>
          <w:b/>
          <w:sz w:val="24"/>
          <w:szCs w:val="24"/>
        </w:rPr>
        <w:sectPr w:rsidR="000146FB" w:rsidRPr="00E572B3" w:rsidSect="009366B7">
          <w:footerReference w:type="default" r:id="rId9"/>
          <w:pgSz w:w="12240" w:h="15840"/>
          <w:pgMar w:top="1440" w:right="1440" w:bottom="1440" w:left="1440" w:header="720" w:footer="720" w:gutter="0"/>
          <w:pgNumType w:start="1"/>
          <w:cols w:space="720"/>
          <w:docGrid w:linePitch="360"/>
        </w:sectPr>
      </w:pPr>
    </w:p>
    <w:p w14:paraId="0608688F"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lastRenderedPageBreak/>
        <w:t>Abstract</w:t>
      </w:r>
    </w:p>
    <w:p w14:paraId="0B9FE54F" w14:textId="1F3BEFC6" w:rsidR="00D01B84" w:rsidRPr="00E572B3" w:rsidRDefault="00D01B84"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sz w:val="24"/>
          <w:szCs w:val="24"/>
        </w:rPr>
        <w:t xml:space="preserve">A </w:t>
      </w:r>
      <w:r w:rsidR="00306AE0" w:rsidRPr="00E572B3">
        <w:rPr>
          <w:rFonts w:ascii="Book Antiqua" w:hAnsi="Book Antiqua" w:cs="Times New Roman"/>
          <w:sz w:val="24"/>
          <w:szCs w:val="24"/>
        </w:rPr>
        <w:t>seven-month</w:t>
      </w:r>
      <w:r w:rsidRPr="00E572B3">
        <w:rPr>
          <w:rFonts w:ascii="Book Antiqua" w:hAnsi="Book Antiqua" w:cs="Times New Roman"/>
          <w:sz w:val="24"/>
          <w:szCs w:val="24"/>
        </w:rPr>
        <w:t xml:space="preserve"> old female presented with left tibial hemimelia (TH or congenital tibial aplasia; Weber type VIIb, Jones et al. type 1a), seven-toed preaxial polydactyly, and severe club foot (congenital talipes equinovarus or CTEV). Definitive amputation surgery disarticulated the lower limb at the k</w:t>
      </w:r>
      <w:r w:rsidR="009203B6" w:rsidRPr="00E572B3">
        <w:rPr>
          <w:rFonts w:ascii="Book Antiqua" w:hAnsi="Book Antiqua" w:cs="Times New Roman"/>
          <w:sz w:val="24"/>
          <w:szCs w:val="24"/>
        </w:rPr>
        <w:t xml:space="preserve">nee. This case report describes the anatomical findings of a systematic post-amputation examination of the lower limb’s superficial </w:t>
      </w:r>
      <w:r w:rsidRPr="00E572B3">
        <w:rPr>
          <w:rFonts w:ascii="Book Antiqua" w:hAnsi="Book Antiqua" w:cs="Times New Roman"/>
          <w:sz w:val="24"/>
          <w:szCs w:val="24"/>
        </w:rPr>
        <w:t>dissection</w:t>
      </w:r>
      <w:r w:rsidR="009203B6" w:rsidRPr="00E572B3">
        <w:rPr>
          <w:rFonts w:ascii="Book Antiqua" w:hAnsi="Book Antiqua" w:cs="Times New Roman"/>
          <w:sz w:val="24"/>
          <w:szCs w:val="24"/>
        </w:rPr>
        <w:t>,</w:t>
      </w:r>
      <w:r w:rsidR="000322A5" w:rsidRPr="00E572B3">
        <w:rPr>
          <w:rFonts w:ascii="Book Antiqua" w:hAnsi="Book Antiqua" w:cs="Times New Roman"/>
          <w:sz w:val="24"/>
          <w:szCs w:val="24"/>
        </w:rPr>
        <w:t xml:space="preserve"> X</w:t>
      </w:r>
      <w:r w:rsidRPr="00E572B3">
        <w:rPr>
          <w:rFonts w:ascii="Book Antiqua" w:hAnsi="Book Antiqua" w:cs="Times New Roman"/>
          <w:sz w:val="24"/>
          <w:szCs w:val="24"/>
        </w:rPr>
        <w:t>-rays</w:t>
      </w:r>
      <w:r w:rsidR="009203B6" w:rsidRPr="00E572B3">
        <w:rPr>
          <w:rFonts w:ascii="Book Antiqua" w:hAnsi="Book Antiqua" w:cs="Times New Roman"/>
          <w:sz w:val="24"/>
          <w:szCs w:val="24"/>
        </w:rPr>
        <w:t>,</w:t>
      </w:r>
      <w:r w:rsidRPr="00E572B3">
        <w:rPr>
          <w:rFonts w:ascii="Book Antiqua" w:hAnsi="Book Antiqua" w:cs="Times New Roman"/>
          <w:sz w:val="24"/>
          <w:szCs w:val="24"/>
        </w:rPr>
        <w:t xml:space="preserve"> and </w:t>
      </w:r>
      <w:bookmarkStart w:id="25" w:name="OLE_LINK305"/>
      <w:bookmarkStart w:id="26" w:name="OLE_LINK307"/>
      <w:r w:rsidR="000322A5" w:rsidRPr="00E572B3">
        <w:rPr>
          <w:rFonts w:ascii="Book Antiqua" w:hAnsi="Book Antiqua" w:cs="Times New Roman"/>
          <w:sz w:val="24"/>
          <w:szCs w:val="24"/>
        </w:rPr>
        <w:t xml:space="preserve">computed tomography </w:t>
      </w:r>
      <w:bookmarkEnd w:id="25"/>
      <w:bookmarkEnd w:id="26"/>
      <w:r w:rsidR="000322A5" w:rsidRPr="00E572B3">
        <w:rPr>
          <w:rFonts w:ascii="Book Antiqua" w:hAnsi="Book Antiqua" w:cs="Times New Roman" w:hint="eastAsia"/>
          <w:sz w:val="24"/>
          <w:szCs w:val="24"/>
          <w:lang w:eastAsia="zh-CN"/>
        </w:rPr>
        <w:t>(</w:t>
      </w:r>
      <w:r w:rsidRPr="00E572B3">
        <w:rPr>
          <w:rFonts w:ascii="Book Antiqua" w:hAnsi="Book Antiqua" w:cs="Times New Roman"/>
          <w:sz w:val="24"/>
          <w:szCs w:val="24"/>
        </w:rPr>
        <w:t>CT</w:t>
      </w:r>
      <w:r w:rsidR="000322A5" w:rsidRPr="00E572B3">
        <w:rPr>
          <w:rFonts w:ascii="Book Antiqua" w:hAnsi="Book Antiqua" w:cs="Times New Roman" w:hint="eastAsia"/>
          <w:sz w:val="24"/>
          <w:szCs w:val="24"/>
          <w:lang w:eastAsia="zh-CN"/>
        </w:rPr>
        <w:t>)</w:t>
      </w:r>
      <w:r w:rsidRPr="00E572B3">
        <w:rPr>
          <w:rFonts w:ascii="Book Antiqua" w:hAnsi="Book Antiqua" w:cs="Times New Roman"/>
          <w:sz w:val="24"/>
          <w:szCs w:val="24"/>
        </w:rPr>
        <w:t xml:space="preserve"> scans. From the </w:t>
      </w:r>
      <w:r w:rsidR="000322A5" w:rsidRPr="00E572B3">
        <w:rPr>
          <w:rFonts w:ascii="Book Antiqua" w:hAnsi="Book Antiqua" w:cs="Times New Roman"/>
          <w:sz w:val="24"/>
          <w:szCs w:val="24"/>
        </w:rPr>
        <w:t>X</w:t>
      </w:r>
      <w:r w:rsidRPr="00E572B3">
        <w:rPr>
          <w:rFonts w:ascii="Book Antiqua" w:hAnsi="Book Antiqua" w:cs="Times New Roman"/>
          <w:sz w:val="24"/>
          <w:szCs w:val="24"/>
        </w:rPr>
        <w:t xml:space="preserve">-rays and CT scans, we found curved and overlapping preaxial supernumerary toes, hypoplastic first metatarsal, lack of middle and distal phalanges in one supernumerary toe, three tarsal bones, hypoplastic middle phalanx and no distal phalanx for fourth toe, and no middle or distal phalanges for fifth toe. The fibula articulated with the anteromedial calcaneus and the tibia was completely absent. We identified numerous muscles and nerves in the superficial dissection that are described in the results section of the case report. </w:t>
      </w:r>
      <w:r w:rsidR="009203B6" w:rsidRPr="00E572B3">
        <w:rPr>
          <w:rFonts w:ascii="Book Antiqua" w:hAnsi="Book Antiqua" w:cs="Times New Roman"/>
          <w:sz w:val="24"/>
          <w:szCs w:val="24"/>
        </w:rPr>
        <w:t>Due to the rarity of this combination of anatomical findings, descriptions of such cases are very infrequent in the literature.</w:t>
      </w:r>
    </w:p>
    <w:p w14:paraId="102CB363" w14:textId="77777777"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p>
    <w:p w14:paraId="1DEA8C79" w14:textId="44F484F1" w:rsidR="00D01B84" w:rsidRPr="00E572B3" w:rsidRDefault="009366B7" w:rsidP="00A71D9E">
      <w:pPr>
        <w:tabs>
          <w:tab w:val="left" w:pos="6855"/>
        </w:tabs>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b/>
          <w:sz w:val="24"/>
          <w:szCs w:val="24"/>
        </w:rPr>
        <w:t xml:space="preserve">Key </w:t>
      </w:r>
      <w:r w:rsidR="00D01B84" w:rsidRPr="00E572B3">
        <w:rPr>
          <w:rFonts w:ascii="Book Antiqua" w:hAnsi="Book Antiqua" w:cs="Times New Roman"/>
          <w:b/>
          <w:sz w:val="24"/>
          <w:szCs w:val="24"/>
        </w:rPr>
        <w:t>words</w:t>
      </w:r>
      <w:r w:rsidRPr="00E572B3">
        <w:rPr>
          <w:rFonts w:ascii="Book Antiqua" w:hAnsi="Book Antiqua" w:cs="Times New Roman"/>
          <w:b/>
          <w:sz w:val="24"/>
          <w:szCs w:val="24"/>
        </w:rPr>
        <w:t xml:space="preserve">: </w:t>
      </w:r>
      <w:r w:rsidR="000322A5" w:rsidRPr="00E572B3">
        <w:rPr>
          <w:rFonts w:ascii="Book Antiqua" w:hAnsi="Book Antiqua" w:cs="Times New Roman"/>
          <w:sz w:val="24"/>
          <w:szCs w:val="24"/>
        </w:rPr>
        <w:t>C</w:t>
      </w:r>
      <w:r w:rsidR="00D01B84" w:rsidRPr="00E572B3">
        <w:rPr>
          <w:rFonts w:ascii="Book Antiqua" w:hAnsi="Book Antiqua" w:cs="Times New Roman"/>
          <w:sz w:val="24"/>
          <w:szCs w:val="24"/>
        </w:rPr>
        <w:t xml:space="preserve">lub foot; </w:t>
      </w:r>
      <w:r w:rsidR="000322A5" w:rsidRPr="00E572B3">
        <w:rPr>
          <w:rFonts w:ascii="Book Antiqua" w:hAnsi="Book Antiqua" w:cs="Times New Roman"/>
          <w:sz w:val="24"/>
          <w:szCs w:val="24"/>
        </w:rPr>
        <w:t>Congenital talipes equinovarus</w:t>
      </w:r>
      <w:r w:rsidR="00D01B84" w:rsidRPr="00E572B3">
        <w:rPr>
          <w:rFonts w:ascii="Book Antiqua" w:hAnsi="Book Antiqua" w:cs="Times New Roman"/>
          <w:sz w:val="24"/>
          <w:szCs w:val="24"/>
        </w:rPr>
        <w:t xml:space="preserve">; </w:t>
      </w:r>
      <w:r w:rsidR="000322A5" w:rsidRPr="00E572B3">
        <w:rPr>
          <w:rFonts w:ascii="Book Antiqua" w:hAnsi="Book Antiqua" w:cs="Times New Roman"/>
          <w:sz w:val="24"/>
          <w:szCs w:val="24"/>
        </w:rPr>
        <w:t>P</w:t>
      </w:r>
      <w:r w:rsidR="00D01B84" w:rsidRPr="00E572B3">
        <w:rPr>
          <w:rFonts w:ascii="Book Antiqua" w:hAnsi="Book Antiqua" w:cs="Times New Roman"/>
          <w:sz w:val="24"/>
          <w:szCs w:val="24"/>
        </w:rPr>
        <w:t xml:space="preserve">reaxial polydactyly; </w:t>
      </w:r>
      <w:r w:rsidR="000322A5" w:rsidRPr="00E572B3">
        <w:rPr>
          <w:rFonts w:ascii="Book Antiqua" w:hAnsi="Book Antiqua" w:cs="Times New Roman"/>
          <w:sz w:val="24"/>
          <w:szCs w:val="24"/>
        </w:rPr>
        <w:t>T</w:t>
      </w:r>
      <w:r w:rsidR="00D01B84" w:rsidRPr="00E572B3">
        <w:rPr>
          <w:rFonts w:ascii="Book Antiqua" w:hAnsi="Book Antiqua" w:cs="Times New Roman"/>
          <w:sz w:val="24"/>
          <w:szCs w:val="24"/>
        </w:rPr>
        <w:t xml:space="preserve">ibial hemimelia; </w:t>
      </w:r>
      <w:r w:rsidR="000322A5" w:rsidRPr="00E572B3">
        <w:rPr>
          <w:rFonts w:ascii="Book Antiqua" w:hAnsi="Book Antiqua" w:cs="Times New Roman"/>
          <w:sz w:val="24"/>
          <w:szCs w:val="24"/>
        </w:rPr>
        <w:t>C</w:t>
      </w:r>
      <w:r w:rsidR="00D01B84" w:rsidRPr="00E572B3">
        <w:rPr>
          <w:rFonts w:ascii="Book Antiqua" w:hAnsi="Book Antiqua" w:cs="Times New Roman"/>
          <w:sz w:val="24"/>
          <w:szCs w:val="24"/>
        </w:rPr>
        <w:t>ongenital tibial aplasia</w:t>
      </w:r>
    </w:p>
    <w:p w14:paraId="4A1BB794" w14:textId="77777777" w:rsidR="009366B7" w:rsidRPr="00E572B3" w:rsidRDefault="009366B7" w:rsidP="00A71D9E">
      <w:pPr>
        <w:adjustRightInd w:val="0"/>
        <w:snapToGrid w:val="0"/>
        <w:spacing w:after="0" w:line="360" w:lineRule="auto"/>
        <w:jc w:val="both"/>
        <w:rPr>
          <w:rFonts w:ascii="Book Antiqua" w:hAnsi="Book Antiqua" w:cs="Times New Roman"/>
          <w:b/>
          <w:sz w:val="24"/>
          <w:szCs w:val="24"/>
          <w:lang w:eastAsia="zh-CN"/>
        </w:rPr>
      </w:pPr>
    </w:p>
    <w:p w14:paraId="4D37FA12" w14:textId="77777777" w:rsidR="00AA2F2C" w:rsidRPr="00E572B3" w:rsidRDefault="00AA2F2C" w:rsidP="00A71D9E">
      <w:pPr>
        <w:widowControl w:val="0"/>
        <w:adjustRightInd w:val="0"/>
        <w:snapToGrid w:val="0"/>
        <w:spacing w:after="0" w:line="360" w:lineRule="auto"/>
        <w:jc w:val="both"/>
        <w:rPr>
          <w:rFonts w:ascii="Book Antiqua" w:hAnsi="Book Antiqua" w:cs="Tahoma"/>
          <w:color w:val="000000"/>
          <w:kern w:val="2"/>
          <w:sz w:val="24"/>
          <w:szCs w:val="24"/>
        </w:rPr>
      </w:pPr>
      <w:bookmarkStart w:id="27" w:name="OLE_LINK148"/>
      <w:bookmarkStart w:id="28" w:name="OLE_LINK149"/>
      <w:bookmarkStart w:id="29" w:name="OLE_LINK200"/>
      <w:bookmarkStart w:id="30" w:name="OLE_LINK288"/>
      <w:bookmarkStart w:id="31" w:name="OLE_LINK1864"/>
      <w:bookmarkStart w:id="32" w:name="OLE_LINK382"/>
      <w:bookmarkStart w:id="33" w:name="OLE_LINK306"/>
      <w:bookmarkStart w:id="34" w:name="OLE_LINK569"/>
      <w:bookmarkStart w:id="35" w:name="OLE_LINK682"/>
      <w:bookmarkStart w:id="36" w:name="OLE_LINK78"/>
      <w:bookmarkStart w:id="37" w:name="OLE_LINK79"/>
      <w:bookmarkStart w:id="38" w:name="OLE_LINK86"/>
      <w:bookmarkStart w:id="39" w:name="OLE_LINK99"/>
      <w:bookmarkStart w:id="40" w:name="OLE_LINK217"/>
      <w:bookmarkStart w:id="41" w:name="OLE_LINK245"/>
      <w:bookmarkStart w:id="42" w:name="OLE_LINK246"/>
      <w:bookmarkStart w:id="43" w:name="OLE_LINK274"/>
      <w:r w:rsidRPr="00E572B3">
        <w:rPr>
          <w:rFonts w:ascii="Book Antiqua" w:hAnsi="Book Antiqua" w:cs="Tahoma"/>
          <w:b/>
          <w:color w:val="000000"/>
          <w:kern w:val="2"/>
          <w:sz w:val="24"/>
          <w:szCs w:val="24"/>
          <w:lang w:eastAsia="ja-JP"/>
        </w:rPr>
        <w:t>© The Author(s) 201</w:t>
      </w:r>
      <w:r w:rsidRPr="00E572B3">
        <w:rPr>
          <w:rFonts w:ascii="Book Antiqua" w:hAnsi="Book Antiqua" w:cs="Tahoma"/>
          <w:b/>
          <w:color w:val="000000"/>
          <w:kern w:val="2"/>
          <w:sz w:val="24"/>
          <w:szCs w:val="24"/>
        </w:rPr>
        <w:t>6</w:t>
      </w:r>
      <w:r w:rsidRPr="00E572B3">
        <w:rPr>
          <w:rFonts w:ascii="Book Antiqua" w:hAnsi="Book Antiqua" w:cs="Tahoma"/>
          <w:b/>
          <w:color w:val="000000"/>
          <w:kern w:val="2"/>
          <w:sz w:val="24"/>
          <w:szCs w:val="24"/>
          <w:lang w:eastAsia="ja-JP"/>
        </w:rPr>
        <w:t>.</w:t>
      </w:r>
      <w:r w:rsidRPr="00E572B3">
        <w:rPr>
          <w:rFonts w:ascii="Book Antiqua" w:hAnsi="Book Antiqua" w:cs="Tahoma"/>
          <w:color w:val="000000"/>
          <w:kern w:val="2"/>
          <w:sz w:val="24"/>
          <w:szCs w:val="24"/>
          <w:lang w:eastAsia="ja-JP"/>
        </w:rPr>
        <w:t xml:space="preserve"> Published by Baishideng Publishing Group Inc. All rights reserved.</w:t>
      </w:r>
      <w:bookmarkEnd w:id="27"/>
      <w:bookmarkEnd w:id="28"/>
      <w:bookmarkEnd w:id="29"/>
      <w:bookmarkEnd w:id="30"/>
      <w:bookmarkEnd w:id="31"/>
      <w:bookmarkEnd w:id="32"/>
      <w:bookmarkEnd w:id="33"/>
      <w:bookmarkEnd w:id="34"/>
      <w:bookmarkEnd w:id="35"/>
    </w:p>
    <w:bookmarkEnd w:id="36"/>
    <w:bookmarkEnd w:id="37"/>
    <w:bookmarkEnd w:id="38"/>
    <w:bookmarkEnd w:id="39"/>
    <w:bookmarkEnd w:id="40"/>
    <w:bookmarkEnd w:id="41"/>
    <w:bookmarkEnd w:id="42"/>
    <w:bookmarkEnd w:id="43"/>
    <w:p w14:paraId="66D03D3B" w14:textId="77777777" w:rsidR="00AA2F2C" w:rsidRPr="00E572B3" w:rsidRDefault="00AA2F2C" w:rsidP="00A71D9E">
      <w:pPr>
        <w:adjustRightInd w:val="0"/>
        <w:snapToGrid w:val="0"/>
        <w:spacing w:after="0" w:line="360" w:lineRule="auto"/>
        <w:jc w:val="both"/>
        <w:rPr>
          <w:rFonts w:ascii="Book Antiqua" w:hAnsi="Book Antiqua" w:cs="Times New Roman"/>
          <w:b/>
          <w:sz w:val="24"/>
          <w:szCs w:val="24"/>
          <w:lang w:eastAsia="zh-CN"/>
        </w:rPr>
      </w:pPr>
    </w:p>
    <w:p w14:paraId="4804702A" w14:textId="35268E7D" w:rsidR="00D402D9" w:rsidRPr="00E572B3" w:rsidRDefault="002B6E8B"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hint="eastAsia"/>
          <w:b/>
          <w:sz w:val="24"/>
          <w:szCs w:val="24"/>
          <w:lang w:eastAsia="zh-CN"/>
        </w:rPr>
        <w:t xml:space="preserve">Core tip: </w:t>
      </w:r>
      <w:r w:rsidR="004867E6" w:rsidRPr="00E572B3">
        <w:rPr>
          <w:rFonts w:ascii="Book Antiqua" w:hAnsi="Book Antiqua" w:cs="Times New Roman"/>
          <w:sz w:val="24"/>
          <w:szCs w:val="24"/>
        </w:rPr>
        <w:t xml:space="preserve">This case report analyzes the anatomical findings associated with systematic post-surgical examination of the amputated lower leg of a seven-month old female presenting with a very rare combination of lower limb malformations. These include left tibial hemimelia (or congenital tibial aplasia; Weber type VIIb, Jones </w:t>
      </w:r>
      <w:r w:rsidR="004867E6" w:rsidRPr="00E35C51">
        <w:rPr>
          <w:rFonts w:ascii="Book Antiqua" w:hAnsi="Book Antiqua" w:cs="Times New Roman"/>
          <w:i/>
          <w:sz w:val="24"/>
          <w:szCs w:val="24"/>
        </w:rPr>
        <w:t>et al</w:t>
      </w:r>
      <w:r w:rsidR="004867E6" w:rsidRPr="00E572B3">
        <w:rPr>
          <w:rFonts w:ascii="Book Antiqua" w:hAnsi="Book Antiqua" w:cs="Times New Roman"/>
          <w:sz w:val="24"/>
          <w:szCs w:val="24"/>
        </w:rPr>
        <w:t>.</w:t>
      </w:r>
      <w:r w:rsidR="00E35C51">
        <w:rPr>
          <w:rFonts w:ascii="Book Antiqua" w:hAnsi="Book Antiqua" w:cs="Times New Roman" w:hint="eastAsia"/>
          <w:sz w:val="24"/>
          <w:szCs w:val="24"/>
          <w:lang w:eastAsia="zh-CN"/>
        </w:rPr>
        <w:t>,</w:t>
      </w:r>
      <w:bookmarkStart w:id="44" w:name="_GoBack"/>
      <w:bookmarkEnd w:id="44"/>
      <w:r w:rsidR="004867E6" w:rsidRPr="00E572B3">
        <w:rPr>
          <w:rFonts w:ascii="Book Antiqua" w:hAnsi="Book Antiqua" w:cs="Times New Roman"/>
          <w:sz w:val="24"/>
          <w:szCs w:val="24"/>
        </w:rPr>
        <w:t xml:space="preserve"> type 1a), seven-toed preaxial polydactyly, and severe club foot (congenital talipes equinovarus). This case report describes the results of the amputated limb’s superficial dissection, </w:t>
      </w:r>
      <w:r w:rsidR="000322A5" w:rsidRPr="00E572B3">
        <w:rPr>
          <w:rFonts w:ascii="Book Antiqua" w:hAnsi="Book Antiqua" w:cs="Times New Roman"/>
          <w:sz w:val="24"/>
          <w:szCs w:val="24"/>
        </w:rPr>
        <w:t>X</w:t>
      </w:r>
      <w:r w:rsidR="004867E6" w:rsidRPr="00E572B3">
        <w:rPr>
          <w:rFonts w:ascii="Book Antiqua" w:hAnsi="Book Antiqua" w:cs="Times New Roman"/>
          <w:sz w:val="24"/>
          <w:szCs w:val="24"/>
        </w:rPr>
        <w:t>-</w:t>
      </w:r>
      <w:r w:rsidR="004867E6" w:rsidRPr="00E572B3">
        <w:rPr>
          <w:rFonts w:ascii="Book Antiqua" w:hAnsi="Book Antiqua" w:cs="Times New Roman"/>
          <w:sz w:val="24"/>
          <w:szCs w:val="24"/>
        </w:rPr>
        <w:lastRenderedPageBreak/>
        <w:t xml:space="preserve">rays, and </w:t>
      </w:r>
      <w:r w:rsidR="000322A5" w:rsidRPr="00E572B3">
        <w:rPr>
          <w:rFonts w:ascii="Book Antiqua" w:hAnsi="Book Antiqua" w:cs="Times New Roman"/>
          <w:sz w:val="24"/>
          <w:szCs w:val="24"/>
        </w:rPr>
        <w:t xml:space="preserve">computed tomography </w:t>
      </w:r>
      <w:r w:rsidR="004867E6" w:rsidRPr="00E572B3">
        <w:rPr>
          <w:rFonts w:ascii="Book Antiqua" w:hAnsi="Book Antiqua" w:cs="Times New Roman"/>
          <w:sz w:val="24"/>
          <w:szCs w:val="24"/>
        </w:rPr>
        <w:t>scans. Due to the rarity of this combination of anatomical findings, descriptions of such cases are very infrequent in the literature.</w:t>
      </w:r>
    </w:p>
    <w:p w14:paraId="7F99FE01" w14:textId="77777777" w:rsidR="00A71D9E" w:rsidRPr="00E572B3" w:rsidRDefault="00A71D9E" w:rsidP="00A71D9E">
      <w:pPr>
        <w:pStyle w:val="aa"/>
        <w:adjustRightInd w:val="0"/>
        <w:snapToGrid w:val="0"/>
        <w:spacing w:after="0" w:line="360" w:lineRule="auto"/>
        <w:ind w:left="0"/>
        <w:contextualSpacing w:val="0"/>
        <w:jc w:val="both"/>
        <w:rPr>
          <w:rFonts w:ascii="Book Antiqua" w:hAnsi="Book Antiqua" w:cs="Times New Roman"/>
          <w:sz w:val="24"/>
          <w:szCs w:val="24"/>
          <w:lang w:eastAsia="zh-CN"/>
        </w:rPr>
      </w:pPr>
    </w:p>
    <w:p w14:paraId="6111C3F7" w14:textId="77777777" w:rsidR="00D402D9" w:rsidRPr="00E572B3" w:rsidRDefault="009366B7" w:rsidP="00A71D9E">
      <w:pPr>
        <w:pStyle w:val="aa"/>
        <w:adjustRightInd w:val="0"/>
        <w:snapToGrid w:val="0"/>
        <w:spacing w:after="0" w:line="360" w:lineRule="auto"/>
        <w:ind w:left="0"/>
        <w:contextualSpacing w:val="0"/>
        <w:jc w:val="both"/>
        <w:rPr>
          <w:rFonts w:ascii="Book Antiqua" w:hAnsi="Book Antiqua" w:cs="Arial"/>
          <w:iCs/>
          <w:color w:val="000000"/>
          <w:sz w:val="24"/>
          <w:szCs w:val="24"/>
          <w:shd w:val="clear" w:color="auto" w:fill="FFFFFF"/>
        </w:rPr>
      </w:pPr>
      <w:r w:rsidRPr="00E572B3">
        <w:rPr>
          <w:rFonts w:ascii="Book Antiqua" w:hAnsi="Book Antiqua" w:cs="Times New Roman"/>
          <w:sz w:val="24"/>
          <w:szCs w:val="24"/>
        </w:rPr>
        <w:t xml:space="preserve">Granite G, Herzenberg JE, Wade R. </w:t>
      </w:r>
      <w:r w:rsidR="00D402D9" w:rsidRPr="00E572B3">
        <w:rPr>
          <w:rFonts w:ascii="Book Antiqua" w:hAnsi="Book Antiqua" w:cs="Times New Roman"/>
          <w:sz w:val="24"/>
          <w:szCs w:val="24"/>
        </w:rPr>
        <w:t>Rare case of tibial hemimelia, preaxial polydactyly, and club foot</w:t>
      </w:r>
      <w:r w:rsidR="00D402D9" w:rsidRPr="00E572B3">
        <w:rPr>
          <w:rFonts w:ascii="Book Antiqua" w:hAnsi="Book Antiqua" w:cs="Times New Roman" w:hint="eastAsia"/>
          <w:sz w:val="24"/>
          <w:szCs w:val="24"/>
          <w:lang w:eastAsia="zh-CN"/>
        </w:rPr>
        <w:t xml:space="preserve">. </w:t>
      </w:r>
      <w:bookmarkStart w:id="45" w:name="OLE_LINK141"/>
      <w:bookmarkStart w:id="46" w:name="OLE_LINK184"/>
      <w:bookmarkStart w:id="47" w:name="OLE_LINK186"/>
      <w:bookmarkStart w:id="48" w:name="OLE_LINK264"/>
      <w:r w:rsidR="00D402D9" w:rsidRPr="00E572B3">
        <w:rPr>
          <w:rFonts w:ascii="Book Antiqua" w:hAnsi="Book Antiqua" w:cs="Arial"/>
          <w:i/>
          <w:iCs/>
          <w:color w:val="000000"/>
          <w:sz w:val="24"/>
          <w:szCs w:val="24"/>
          <w:shd w:val="clear" w:color="auto" w:fill="FFFFFF"/>
        </w:rPr>
        <w:t xml:space="preserve">World J Clin Cases </w:t>
      </w:r>
      <w:r w:rsidR="00D402D9" w:rsidRPr="00E572B3">
        <w:rPr>
          <w:rFonts w:ascii="Book Antiqua" w:hAnsi="Book Antiqua" w:cs="Arial"/>
          <w:iCs/>
          <w:color w:val="000000"/>
          <w:sz w:val="24"/>
          <w:szCs w:val="24"/>
          <w:shd w:val="clear" w:color="auto" w:fill="FFFFFF"/>
        </w:rPr>
        <w:t>2016; In press</w:t>
      </w:r>
      <w:bookmarkEnd w:id="45"/>
    </w:p>
    <w:bookmarkEnd w:id="46"/>
    <w:bookmarkEnd w:id="47"/>
    <w:bookmarkEnd w:id="48"/>
    <w:p w14:paraId="260A5C64" w14:textId="76872731" w:rsidR="00D402D9" w:rsidRPr="00E572B3" w:rsidRDefault="00D402D9" w:rsidP="00A71D9E">
      <w:pPr>
        <w:adjustRightInd w:val="0"/>
        <w:snapToGrid w:val="0"/>
        <w:spacing w:after="0" w:line="360" w:lineRule="auto"/>
        <w:jc w:val="both"/>
        <w:rPr>
          <w:rFonts w:ascii="Book Antiqua" w:hAnsi="Book Antiqua" w:cs="Times New Roman"/>
          <w:sz w:val="24"/>
          <w:szCs w:val="24"/>
          <w:lang w:eastAsia="zh-CN"/>
        </w:rPr>
      </w:pPr>
    </w:p>
    <w:p w14:paraId="6C451B64" w14:textId="591F6FA1" w:rsidR="009366B7" w:rsidRPr="00E572B3" w:rsidRDefault="009366B7" w:rsidP="00A71D9E">
      <w:pPr>
        <w:adjustRightInd w:val="0"/>
        <w:snapToGrid w:val="0"/>
        <w:spacing w:after="0" w:line="360" w:lineRule="auto"/>
        <w:jc w:val="both"/>
        <w:rPr>
          <w:rFonts w:ascii="Book Antiqua" w:hAnsi="Book Antiqua" w:cs="Times New Roman"/>
          <w:sz w:val="24"/>
          <w:szCs w:val="24"/>
        </w:rPr>
      </w:pPr>
    </w:p>
    <w:p w14:paraId="3238CF94" w14:textId="77777777" w:rsidR="009366B7" w:rsidRPr="00E572B3" w:rsidRDefault="009366B7" w:rsidP="00A71D9E">
      <w:pPr>
        <w:adjustRightInd w:val="0"/>
        <w:snapToGrid w:val="0"/>
        <w:spacing w:after="0" w:line="360" w:lineRule="auto"/>
        <w:jc w:val="both"/>
        <w:rPr>
          <w:rFonts w:ascii="Book Antiqua" w:hAnsi="Book Antiqua" w:cs="Times New Roman"/>
          <w:b/>
          <w:sz w:val="24"/>
          <w:szCs w:val="24"/>
        </w:rPr>
      </w:pPr>
    </w:p>
    <w:p w14:paraId="48802B2B"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br w:type="page"/>
      </w:r>
    </w:p>
    <w:p w14:paraId="7804F89E"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lastRenderedPageBreak/>
        <w:t>INTRODUCTION</w:t>
      </w:r>
    </w:p>
    <w:p w14:paraId="71C2CA18" w14:textId="351F5618" w:rsidR="00D01B84" w:rsidRPr="00E572B3" w:rsidRDefault="00D01B84" w:rsidP="00A71D9E">
      <w:pPr>
        <w:adjustRightInd w:val="0"/>
        <w:snapToGrid w:val="0"/>
        <w:spacing w:after="0" w:line="360" w:lineRule="auto"/>
        <w:jc w:val="both"/>
        <w:rPr>
          <w:rFonts w:ascii="Book Antiqua" w:hAnsi="Book Antiqua" w:cs="Times New Roman"/>
          <w:sz w:val="24"/>
          <w:szCs w:val="24"/>
          <w:shd w:val="clear" w:color="auto" w:fill="FFFFFF"/>
        </w:rPr>
      </w:pPr>
      <w:r w:rsidRPr="00E572B3">
        <w:rPr>
          <w:rFonts w:ascii="Book Antiqua" w:hAnsi="Book Antiqua" w:cs="Times New Roman"/>
          <w:sz w:val="24"/>
          <w:szCs w:val="24"/>
        </w:rPr>
        <w:t xml:space="preserve">Tibial </w:t>
      </w:r>
      <w:r w:rsidR="00180B64" w:rsidRPr="00E572B3">
        <w:rPr>
          <w:rFonts w:ascii="Book Antiqua" w:hAnsi="Book Antiqua" w:cs="Times New Roman"/>
          <w:sz w:val="24"/>
          <w:szCs w:val="24"/>
        </w:rPr>
        <w:t>h</w:t>
      </w:r>
      <w:r w:rsidRPr="00E572B3">
        <w:rPr>
          <w:rFonts w:ascii="Book Antiqua" w:hAnsi="Book Antiqua" w:cs="Times New Roman"/>
          <w:sz w:val="24"/>
          <w:szCs w:val="24"/>
        </w:rPr>
        <w:t xml:space="preserve">emimelia (TH), also known as Congenital Tibial Aplasia, is </w:t>
      </w:r>
      <w:r w:rsidRPr="00E572B3">
        <w:rPr>
          <w:rFonts w:ascii="Book Antiqua" w:hAnsi="Book Antiqua" w:cs="Times New Roman"/>
          <w:sz w:val="24"/>
          <w:szCs w:val="24"/>
          <w:shd w:val="clear" w:color="auto" w:fill="FFFFFF"/>
        </w:rPr>
        <w:t xml:space="preserve">a rare congenital anomaly characterized by deficiency of the tibia </w:t>
      </w:r>
      <w:r w:rsidR="005B5638" w:rsidRPr="00E572B3">
        <w:rPr>
          <w:rFonts w:ascii="Book Antiqua" w:hAnsi="Book Antiqua" w:cs="Times New Roman"/>
          <w:sz w:val="24"/>
          <w:szCs w:val="24"/>
          <w:shd w:val="clear" w:color="auto" w:fill="FFFFFF"/>
        </w:rPr>
        <w:t>with a relatively intact fibula</w:t>
      </w:r>
      <w:r w:rsidRPr="00E572B3">
        <w:rPr>
          <w:rFonts w:ascii="Book Antiqua" w:hAnsi="Book Antiqua" w:cs="Times New Roman"/>
          <w:sz w:val="24"/>
          <w:szCs w:val="24"/>
          <w:shd w:val="clear" w:color="auto" w:fill="FFFFFF"/>
          <w:vertAlign w:val="superscript"/>
        </w:rPr>
        <w:t>[1</w:t>
      </w:r>
      <w:r w:rsidR="005B5638" w:rsidRPr="00E572B3">
        <w:rPr>
          <w:rFonts w:ascii="Book Antiqua" w:hAnsi="Book Antiqua" w:cs="Times New Roman"/>
          <w:sz w:val="24"/>
          <w:szCs w:val="24"/>
          <w:shd w:val="clear" w:color="auto" w:fill="FFFFFF"/>
          <w:vertAlign w:val="superscript"/>
        </w:rPr>
        <w:t>-</w:t>
      </w:r>
      <w:r w:rsidRPr="00E572B3">
        <w:rPr>
          <w:rFonts w:ascii="Book Antiqua" w:hAnsi="Book Antiqua" w:cs="Times New Roman"/>
          <w:sz w:val="24"/>
          <w:szCs w:val="24"/>
          <w:shd w:val="clear" w:color="auto" w:fill="FFFFFF"/>
          <w:vertAlign w:val="superscript"/>
        </w:rPr>
        <w:t>4]</w:t>
      </w:r>
      <w:r w:rsidRPr="00E572B3">
        <w:rPr>
          <w:rFonts w:ascii="Book Antiqua" w:hAnsi="Book Antiqua" w:cs="Times New Roman"/>
          <w:sz w:val="24"/>
          <w:szCs w:val="24"/>
          <w:shd w:val="clear" w:color="auto" w:fill="FFFFFF"/>
        </w:rPr>
        <w:t>. The incidence of TH in the United States is approximate</w:t>
      </w:r>
      <w:r w:rsidR="00180B64" w:rsidRPr="00E572B3">
        <w:rPr>
          <w:rFonts w:ascii="Book Antiqua" w:hAnsi="Book Antiqua" w:cs="Times New Roman"/>
          <w:sz w:val="24"/>
          <w:szCs w:val="24"/>
          <w:shd w:val="clear" w:color="auto" w:fill="FFFFFF"/>
        </w:rPr>
        <w:t>ly one in 1000</w:t>
      </w:r>
      <w:r w:rsidR="005B5638" w:rsidRPr="00E572B3">
        <w:rPr>
          <w:rFonts w:ascii="Book Antiqua" w:hAnsi="Book Antiqua" w:cs="Times New Roman"/>
          <w:sz w:val="24"/>
          <w:szCs w:val="24"/>
          <w:shd w:val="clear" w:color="auto" w:fill="FFFFFF"/>
        </w:rPr>
        <w:t>000 live births</w:t>
      </w:r>
      <w:r w:rsidRPr="00E572B3">
        <w:rPr>
          <w:rFonts w:ascii="Book Antiqua" w:hAnsi="Book Antiqua" w:cs="Times New Roman"/>
          <w:sz w:val="24"/>
          <w:szCs w:val="24"/>
          <w:shd w:val="clear" w:color="auto" w:fill="FFFFFF"/>
          <w:vertAlign w:val="superscript"/>
        </w:rPr>
        <w:t>[1</w:t>
      </w:r>
      <w:r w:rsidR="005B5638" w:rsidRPr="00E572B3">
        <w:rPr>
          <w:rFonts w:ascii="Book Antiqua" w:hAnsi="Book Antiqua" w:cs="Times New Roman"/>
          <w:sz w:val="24"/>
          <w:szCs w:val="24"/>
          <w:shd w:val="clear" w:color="auto" w:fill="FFFFFF"/>
          <w:vertAlign w:val="superscript"/>
        </w:rPr>
        <w:t>-</w:t>
      </w:r>
      <w:r w:rsidRPr="00E572B3">
        <w:rPr>
          <w:rFonts w:ascii="Book Antiqua" w:hAnsi="Book Antiqua" w:cs="Times New Roman"/>
          <w:sz w:val="24"/>
          <w:szCs w:val="24"/>
          <w:shd w:val="clear" w:color="auto" w:fill="FFFFFF"/>
          <w:vertAlign w:val="superscript"/>
        </w:rPr>
        <w:t>3]</w:t>
      </w:r>
      <w:r w:rsidRPr="00E572B3">
        <w:rPr>
          <w:rFonts w:ascii="Book Antiqua" w:hAnsi="Book Antiqua" w:cs="Times New Roman"/>
          <w:sz w:val="24"/>
          <w:szCs w:val="24"/>
          <w:shd w:val="clear" w:color="auto" w:fill="FFFFFF"/>
        </w:rPr>
        <w:t>. It is further subdivided into different types, making each subtype even rarer</w:t>
      </w:r>
    </w:p>
    <w:p w14:paraId="58CFEEEE" w14:textId="51BDF980"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TH can occur as an isolated hereditary malformation as well as a feature of several autosomal recessive and autosomal dominant syndromes, involving </w:t>
      </w:r>
      <w:r w:rsidR="005B5638" w:rsidRPr="00E572B3">
        <w:rPr>
          <w:rFonts w:ascii="Book Antiqua" w:hAnsi="Book Antiqua" w:cs="Times New Roman"/>
          <w:sz w:val="24"/>
          <w:szCs w:val="24"/>
        </w:rPr>
        <w:t>accompanying congenital defects</w:t>
      </w:r>
      <w:r w:rsidR="005B5638" w:rsidRPr="00E572B3">
        <w:rPr>
          <w:rFonts w:ascii="Book Antiqua" w:hAnsi="Book Antiqua" w:cs="Times New Roman"/>
          <w:sz w:val="24"/>
          <w:szCs w:val="24"/>
          <w:vertAlign w:val="superscript"/>
        </w:rPr>
        <w:t>[2,4,</w:t>
      </w:r>
      <w:r w:rsidRPr="00E572B3">
        <w:rPr>
          <w:rFonts w:ascii="Book Antiqua" w:hAnsi="Book Antiqua" w:cs="Times New Roman"/>
          <w:sz w:val="24"/>
          <w:szCs w:val="24"/>
          <w:vertAlign w:val="superscript"/>
        </w:rPr>
        <w:t>5]</w:t>
      </w:r>
      <w:r w:rsidR="005B5638" w:rsidRPr="00E572B3">
        <w:rPr>
          <w:rFonts w:ascii="Book Antiqua" w:hAnsi="Book Antiqua" w:cs="Times New Roman"/>
          <w:sz w:val="24"/>
          <w:szCs w:val="24"/>
        </w:rPr>
        <w:t xml:space="preserve">. </w:t>
      </w:r>
      <w:bookmarkStart w:id="49" w:name="OLE_LINK301"/>
      <w:bookmarkStart w:id="50" w:name="OLE_LINK302"/>
      <w:r w:rsidR="005B5638" w:rsidRPr="00E572B3">
        <w:rPr>
          <w:rFonts w:ascii="Book Antiqua" w:hAnsi="Book Antiqua" w:cs="Times New Roman"/>
          <w:sz w:val="24"/>
          <w:szCs w:val="24"/>
        </w:rPr>
        <w:t>Weber</w:t>
      </w:r>
      <w:bookmarkEnd w:id="49"/>
      <w:bookmarkEnd w:id="50"/>
      <w:r w:rsidRPr="00E572B3">
        <w:rPr>
          <w:rFonts w:ascii="Book Antiqua" w:hAnsi="Book Antiqua" w:cs="Times New Roman"/>
          <w:sz w:val="24"/>
          <w:szCs w:val="24"/>
          <w:vertAlign w:val="superscript"/>
        </w:rPr>
        <w:t>[3]</w:t>
      </w:r>
      <w:r w:rsidRPr="00E572B3">
        <w:rPr>
          <w:rFonts w:ascii="Book Antiqua" w:hAnsi="Book Antiqua" w:cs="Times New Roman"/>
          <w:sz w:val="24"/>
          <w:szCs w:val="24"/>
        </w:rPr>
        <w:t xml:space="preserve"> has created the most detailed classification system for tibial malformations to date, classifying and scoring the main pathological findings of the complete leg, which include coxa, femur, patella, tibia, fibula, and pes. Potential causes of TH include errors in several differ</w:t>
      </w:r>
      <w:r w:rsidR="005B5638" w:rsidRPr="00E572B3">
        <w:rPr>
          <w:rFonts w:ascii="Book Antiqua" w:hAnsi="Book Antiqua" w:cs="Times New Roman"/>
          <w:sz w:val="24"/>
          <w:szCs w:val="24"/>
        </w:rPr>
        <w:t>ent aspects of limb development</w:t>
      </w:r>
      <w:r w:rsidRPr="00E572B3">
        <w:rPr>
          <w:rFonts w:ascii="Book Antiqua" w:hAnsi="Book Antiqua" w:cs="Times New Roman"/>
          <w:sz w:val="24"/>
          <w:szCs w:val="24"/>
          <w:vertAlign w:val="superscript"/>
        </w:rPr>
        <w:t>[5]</w:t>
      </w:r>
      <w:r w:rsidRPr="00E572B3">
        <w:rPr>
          <w:rFonts w:ascii="Book Antiqua" w:hAnsi="Book Antiqua" w:cs="Times New Roman"/>
          <w:sz w:val="24"/>
          <w:szCs w:val="24"/>
        </w:rPr>
        <w:t>. Other known causes of TH are ingestion of thalidomide or inheritance of an autosomal dominant gene; more sporadic cases are idiopathic</w:t>
      </w:r>
      <w:r w:rsidRPr="00E572B3">
        <w:rPr>
          <w:rFonts w:ascii="Book Antiqua" w:hAnsi="Book Antiqua" w:cs="Times New Roman"/>
          <w:sz w:val="24"/>
          <w:szCs w:val="24"/>
          <w:vertAlign w:val="superscript"/>
        </w:rPr>
        <w:t>[6]</w:t>
      </w:r>
      <w:r w:rsidRPr="00E572B3">
        <w:rPr>
          <w:rFonts w:ascii="Book Antiqua" w:hAnsi="Book Antiqua" w:cs="Times New Roman"/>
          <w:sz w:val="24"/>
          <w:szCs w:val="24"/>
        </w:rPr>
        <w:t>.</w:t>
      </w:r>
    </w:p>
    <w:p w14:paraId="3C0E162D" w14:textId="15767F85"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Polydactyly is a common congenital hand and/or foot anomaly that is characterized by the p</w:t>
      </w:r>
      <w:r w:rsidR="005B5638" w:rsidRPr="00E572B3">
        <w:rPr>
          <w:rFonts w:ascii="Book Antiqua" w:hAnsi="Book Antiqua" w:cs="Times New Roman"/>
          <w:sz w:val="24"/>
          <w:szCs w:val="24"/>
        </w:rPr>
        <w:t>resence of supernumerary digits</w:t>
      </w:r>
      <w:r w:rsidRPr="00E572B3">
        <w:rPr>
          <w:rFonts w:ascii="Book Antiqua" w:hAnsi="Book Antiqua" w:cs="Times New Roman"/>
          <w:sz w:val="24"/>
          <w:szCs w:val="24"/>
          <w:vertAlign w:val="superscript"/>
        </w:rPr>
        <w:t>[7]</w:t>
      </w:r>
      <w:r w:rsidRPr="00E572B3">
        <w:rPr>
          <w:rFonts w:ascii="Book Antiqua" w:hAnsi="Book Antiqua" w:cs="Times New Roman"/>
          <w:sz w:val="24"/>
          <w:szCs w:val="24"/>
        </w:rPr>
        <w:t>. This condition has an incidence rate of 1.7 per 1000 births. It may be isolated or associated wit</w:t>
      </w:r>
      <w:r w:rsidR="005B5638" w:rsidRPr="00E572B3">
        <w:rPr>
          <w:rFonts w:ascii="Book Antiqua" w:hAnsi="Book Antiqua" w:cs="Times New Roman"/>
          <w:sz w:val="24"/>
          <w:szCs w:val="24"/>
        </w:rPr>
        <w:t>h established genetic syndromes</w:t>
      </w:r>
      <w:r w:rsidR="005B5638"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8]</w:t>
      </w:r>
      <w:r w:rsidRPr="00E572B3">
        <w:rPr>
          <w:rFonts w:ascii="Book Antiqua" w:hAnsi="Book Antiqua" w:cs="Times New Roman"/>
          <w:sz w:val="24"/>
          <w:szCs w:val="24"/>
        </w:rPr>
        <w:t>. Several morphologic classification types for polydactyly exist, including those based on metatarsal variations with duplic</w:t>
      </w:r>
      <w:r w:rsidR="005B5638" w:rsidRPr="00E572B3">
        <w:rPr>
          <w:rFonts w:ascii="Book Antiqua" w:hAnsi="Book Antiqua" w:cs="Times New Roman"/>
          <w:sz w:val="24"/>
          <w:szCs w:val="24"/>
        </w:rPr>
        <w:t>ated distal phalangeal segments</w:t>
      </w:r>
      <w:r w:rsidR="005B5638"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9]</w:t>
      </w:r>
      <w:r w:rsidRPr="00E572B3">
        <w:rPr>
          <w:rFonts w:ascii="Book Antiqua" w:hAnsi="Book Antiqua" w:cs="Times New Roman"/>
          <w:sz w:val="24"/>
          <w:szCs w:val="24"/>
        </w:rPr>
        <w:t>, those expanding</w:t>
      </w:r>
      <w:r w:rsidR="005B5638" w:rsidRPr="00E572B3">
        <w:rPr>
          <w:rFonts w:ascii="Book Antiqua" w:hAnsi="Book Antiqua" w:cs="Times New Roman"/>
          <w:sz w:val="24"/>
          <w:szCs w:val="24"/>
        </w:rPr>
        <w:t xml:space="preserve"> the two preaxial types to four</w:t>
      </w:r>
      <w:r w:rsidR="005B5638"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10]</w:t>
      </w:r>
      <w:r w:rsidRPr="00E572B3">
        <w:rPr>
          <w:rFonts w:ascii="Book Antiqua" w:hAnsi="Book Antiqua" w:cs="Times New Roman"/>
          <w:sz w:val="24"/>
          <w:szCs w:val="24"/>
        </w:rPr>
        <w:t>, and those tha</w:t>
      </w:r>
      <w:r w:rsidR="005B5638" w:rsidRPr="00E572B3">
        <w:rPr>
          <w:rFonts w:ascii="Book Antiqua" w:hAnsi="Book Antiqua" w:cs="Times New Roman"/>
          <w:sz w:val="24"/>
          <w:szCs w:val="24"/>
        </w:rPr>
        <w:t>t add mirror foot or diplopodia</w:t>
      </w:r>
      <w:r w:rsidR="005B5638"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11]</w:t>
      </w:r>
      <w:r w:rsidRPr="00E572B3">
        <w:rPr>
          <w:rFonts w:ascii="Book Antiqua" w:hAnsi="Book Antiqua" w:cs="Times New Roman"/>
          <w:sz w:val="24"/>
          <w:szCs w:val="24"/>
        </w:rPr>
        <w:t xml:space="preserve">. </w:t>
      </w:r>
    </w:p>
    <w:p w14:paraId="03757D8A" w14:textId="503970F6"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Club </w:t>
      </w:r>
      <w:r w:rsidR="00180B64" w:rsidRPr="00E572B3">
        <w:rPr>
          <w:rFonts w:ascii="Book Antiqua" w:hAnsi="Book Antiqua" w:cs="Times New Roman"/>
          <w:sz w:val="24"/>
          <w:szCs w:val="24"/>
        </w:rPr>
        <w:t>f</w:t>
      </w:r>
      <w:r w:rsidRPr="00E572B3">
        <w:rPr>
          <w:rFonts w:ascii="Book Antiqua" w:hAnsi="Book Antiqua" w:cs="Times New Roman"/>
          <w:sz w:val="24"/>
          <w:szCs w:val="24"/>
        </w:rPr>
        <w:t xml:space="preserve">oot or </w:t>
      </w:r>
      <w:r w:rsidR="00180B64" w:rsidRPr="00E572B3">
        <w:rPr>
          <w:rFonts w:ascii="Book Antiqua" w:hAnsi="Book Antiqua" w:cs="Times New Roman"/>
          <w:sz w:val="24"/>
          <w:szCs w:val="24"/>
        </w:rPr>
        <w:t xml:space="preserve">congenital talipes equinovarus </w:t>
      </w:r>
      <w:r w:rsidRPr="00E572B3">
        <w:rPr>
          <w:rFonts w:ascii="Book Antiqua" w:hAnsi="Book Antiqua" w:cs="Times New Roman"/>
          <w:sz w:val="24"/>
          <w:szCs w:val="24"/>
        </w:rPr>
        <w:t>(CTEV) is a complex, fixed deformity of the lower limb that is always present at birth and</w:t>
      </w:r>
      <w:r w:rsidR="00931ECB" w:rsidRPr="00E572B3">
        <w:rPr>
          <w:rFonts w:ascii="Book Antiqua" w:hAnsi="Book Antiqua" w:cs="Times New Roman"/>
          <w:sz w:val="24"/>
          <w:szCs w:val="24"/>
        </w:rPr>
        <w:t xml:space="preserve"> can be unilateral or bilateral</w:t>
      </w:r>
      <w:r w:rsidRPr="00E572B3">
        <w:rPr>
          <w:rFonts w:ascii="Book Antiqua" w:hAnsi="Book Antiqua" w:cs="Times New Roman"/>
          <w:sz w:val="24"/>
          <w:szCs w:val="24"/>
          <w:vertAlign w:val="superscript"/>
        </w:rPr>
        <w:t>[12]</w:t>
      </w:r>
      <w:r w:rsidR="00BA0CD3" w:rsidRPr="00E572B3">
        <w:rPr>
          <w:rFonts w:ascii="Book Antiqua" w:hAnsi="Book Antiqua" w:cs="Times New Roman"/>
          <w:sz w:val="24"/>
          <w:szCs w:val="24"/>
        </w:rPr>
        <w:t xml:space="preserve"> </w:t>
      </w:r>
      <w:r w:rsidRPr="00E572B3">
        <w:rPr>
          <w:rFonts w:ascii="Book Antiqua" w:hAnsi="Book Antiqua" w:cs="Times New Roman"/>
          <w:sz w:val="24"/>
          <w:szCs w:val="24"/>
        </w:rPr>
        <w:t>CTEV is a multiplanar deformity of the lower leg with a prevalence of on</w:t>
      </w:r>
      <w:r w:rsidR="00931ECB" w:rsidRPr="00E572B3">
        <w:rPr>
          <w:rFonts w:ascii="Book Antiqua" w:hAnsi="Book Antiqua" w:cs="Times New Roman"/>
          <w:sz w:val="24"/>
          <w:szCs w:val="24"/>
        </w:rPr>
        <w:t>e to three per 1000 live births</w:t>
      </w:r>
      <w:r w:rsidR="00931ECB" w:rsidRPr="00E572B3">
        <w:rPr>
          <w:rFonts w:ascii="Book Antiqua" w:hAnsi="Book Antiqua" w:cs="Times New Roman"/>
          <w:sz w:val="24"/>
          <w:szCs w:val="24"/>
          <w:vertAlign w:val="superscript"/>
        </w:rPr>
        <w:t>[13,</w:t>
      </w:r>
      <w:r w:rsidRPr="00E572B3">
        <w:rPr>
          <w:rFonts w:ascii="Book Antiqua" w:hAnsi="Book Antiqua" w:cs="Times New Roman"/>
          <w:sz w:val="24"/>
          <w:szCs w:val="24"/>
          <w:vertAlign w:val="superscript"/>
        </w:rPr>
        <w:t>14]</w:t>
      </w:r>
      <w:r w:rsidRPr="00E572B3">
        <w:rPr>
          <w:rFonts w:ascii="Book Antiqua" w:hAnsi="Book Antiqua" w:cs="Times New Roman"/>
          <w:sz w:val="24"/>
          <w:szCs w:val="24"/>
        </w:rPr>
        <w:t>.</w:t>
      </w:r>
      <w:r w:rsidRPr="00E572B3">
        <w:rPr>
          <w:rFonts w:ascii="Book Antiqua" w:hAnsi="Book Antiqua" w:cs="Times New Roman"/>
          <w:b/>
          <w:sz w:val="24"/>
          <w:szCs w:val="24"/>
        </w:rPr>
        <w:t xml:space="preserve"> </w:t>
      </w:r>
      <w:r w:rsidRPr="00E572B3">
        <w:rPr>
          <w:rFonts w:ascii="Book Antiqua" w:hAnsi="Book Antiqua" w:cs="Times New Roman"/>
          <w:sz w:val="24"/>
          <w:szCs w:val="24"/>
        </w:rPr>
        <w:t>It is twice as common in males and at lea</w:t>
      </w:r>
      <w:r w:rsidR="00931ECB" w:rsidRPr="00E572B3">
        <w:rPr>
          <w:rFonts w:ascii="Book Antiqua" w:hAnsi="Book Antiqua" w:cs="Times New Roman"/>
          <w:sz w:val="24"/>
          <w:szCs w:val="24"/>
        </w:rPr>
        <w:t>st half the cases are bilateral</w:t>
      </w:r>
      <w:r w:rsidR="00444C36">
        <w:rPr>
          <w:rFonts w:ascii="Book Antiqua" w:hAnsi="Book Antiqua" w:cs="Times New Roman"/>
          <w:sz w:val="24"/>
          <w:szCs w:val="24"/>
          <w:vertAlign w:val="superscript"/>
        </w:rPr>
        <w:t>[14</w:t>
      </w:r>
      <w:r w:rsidR="00444C36">
        <w:rPr>
          <w:rFonts w:ascii="Book Antiqua" w:hAnsi="Book Antiqua" w:cs="Times New Roman" w:hint="eastAsia"/>
          <w:sz w:val="24"/>
          <w:szCs w:val="24"/>
          <w:vertAlign w:val="superscript"/>
          <w:lang w:eastAsia="zh-CN"/>
        </w:rPr>
        <w:t>-</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w:t>
      </w:r>
      <w:r w:rsidR="002B0E2F">
        <w:rPr>
          <w:rFonts w:ascii="Book Antiqua" w:hAnsi="Book Antiqua" w:cs="Times New Roman"/>
          <w:sz w:val="24"/>
          <w:szCs w:val="24"/>
        </w:rPr>
        <w:t xml:space="preserve"> </w:t>
      </w:r>
    </w:p>
    <w:p w14:paraId="4D5DCBA8" w14:textId="2F1C1A03" w:rsidR="00D01B84" w:rsidRPr="00E572B3" w:rsidRDefault="00D01B84"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b/>
          <w:sz w:val="24"/>
          <w:szCs w:val="24"/>
        </w:rPr>
        <w:tab/>
      </w:r>
      <w:r w:rsidRPr="00E572B3">
        <w:rPr>
          <w:rFonts w:ascii="Book Antiqua" w:hAnsi="Book Antiqua" w:cs="Times New Roman"/>
          <w:sz w:val="24"/>
          <w:szCs w:val="24"/>
        </w:rPr>
        <w:t xml:space="preserve">There are three basic components of CTEV: </w:t>
      </w:r>
      <w:r w:rsidR="00B13832" w:rsidRPr="00E572B3">
        <w:rPr>
          <w:rFonts w:ascii="Book Antiqua" w:hAnsi="Book Antiqua" w:cs="Times New Roman"/>
          <w:sz w:val="24"/>
          <w:szCs w:val="24"/>
        </w:rPr>
        <w:t>E</w:t>
      </w:r>
      <w:r w:rsidRPr="00E572B3">
        <w:rPr>
          <w:rFonts w:ascii="Book Antiqua" w:hAnsi="Book Antiqua" w:cs="Times New Roman"/>
          <w:sz w:val="24"/>
          <w:szCs w:val="24"/>
        </w:rPr>
        <w:t>quinus, v</w:t>
      </w:r>
      <w:r w:rsidR="0001780C" w:rsidRPr="00E572B3">
        <w:rPr>
          <w:rFonts w:ascii="Book Antiqua" w:hAnsi="Book Antiqua" w:cs="Times New Roman"/>
          <w:sz w:val="24"/>
          <w:szCs w:val="24"/>
        </w:rPr>
        <w:t>arus, and adduction deformities</w:t>
      </w:r>
      <w:r w:rsidRPr="00E572B3">
        <w:rPr>
          <w:rFonts w:ascii="Book Antiqua" w:hAnsi="Book Antiqua" w:cs="Times New Roman"/>
          <w:sz w:val="24"/>
          <w:szCs w:val="24"/>
          <w:vertAlign w:val="superscript"/>
        </w:rPr>
        <w:t>[14]</w:t>
      </w:r>
      <w:r w:rsidRPr="00E572B3">
        <w:rPr>
          <w:rFonts w:ascii="Book Antiqua" w:hAnsi="Book Antiqua" w:cs="Times New Roman"/>
          <w:sz w:val="24"/>
          <w:szCs w:val="24"/>
        </w:rPr>
        <w:t>. The severity of the club foot deformity is classified accordi</w:t>
      </w:r>
      <w:r w:rsidR="0001780C" w:rsidRPr="00E572B3">
        <w:rPr>
          <w:rFonts w:ascii="Book Antiqua" w:hAnsi="Book Antiqua" w:cs="Times New Roman"/>
          <w:sz w:val="24"/>
          <w:szCs w:val="24"/>
        </w:rPr>
        <w:t>ng to the Pirani scoring system</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7</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xml:space="preserve">. There are three classifications of CTEV: </w:t>
      </w:r>
      <w:r w:rsidR="00B13832" w:rsidRPr="00E572B3">
        <w:rPr>
          <w:rFonts w:ascii="Book Antiqua" w:hAnsi="Book Antiqua" w:cs="Times New Roman"/>
          <w:sz w:val="24"/>
          <w:szCs w:val="24"/>
        </w:rPr>
        <w:t>P</w:t>
      </w:r>
      <w:r w:rsidRPr="00E572B3">
        <w:rPr>
          <w:rFonts w:ascii="Book Antiqua" w:hAnsi="Book Antiqua" w:cs="Times New Roman"/>
          <w:sz w:val="24"/>
          <w:szCs w:val="24"/>
        </w:rPr>
        <w:t>ostural, idiopathic, an</w:t>
      </w:r>
      <w:r w:rsidR="0001780C" w:rsidRPr="00E572B3">
        <w:rPr>
          <w:rFonts w:ascii="Book Antiqua" w:hAnsi="Book Antiqua" w:cs="Times New Roman"/>
          <w:sz w:val="24"/>
          <w:szCs w:val="24"/>
        </w:rPr>
        <w:t>d teratogenic or syndromic</w:t>
      </w:r>
      <w:r w:rsidR="0001780C"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5</w:t>
      </w:r>
      <w:r w:rsidR="0001780C" w:rsidRPr="00E572B3">
        <w:rPr>
          <w:rFonts w:ascii="Book Antiqua" w:hAnsi="Book Antiqua" w:cs="Times New Roman"/>
          <w:sz w:val="24"/>
          <w:szCs w:val="24"/>
          <w:vertAlign w:val="superscript"/>
        </w:rPr>
        <w:t>,</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0001780C" w:rsidRPr="00E572B3">
        <w:rPr>
          <w:rFonts w:ascii="Book Antiqua" w:hAnsi="Book Antiqua" w:cs="Times New Roman"/>
          <w:sz w:val="24"/>
          <w:szCs w:val="24"/>
        </w:rPr>
        <w:t>. The cause of CTEV is unknown</w:t>
      </w:r>
      <w:r w:rsidR="005056BB" w:rsidRPr="00E572B3">
        <w:rPr>
          <w:rFonts w:ascii="Book Antiqua" w:hAnsi="Book Antiqua" w:cs="Times New Roman"/>
          <w:sz w:val="24"/>
          <w:szCs w:val="24"/>
          <w:vertAlign w:val="superscript"/>
        </w:rPr>
        <w:t>[14,</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6,18,1</w:t>
      </w:r>
      <w:r w:rsidRPr="00E572B3">
        <w:rPr>
          <w:rFonts w:ascii="Book Antiqua" w:hAnsi="Book Antiqua" w:cs="Times New Roman"/>
          <w:sz w:val="24"/>
          <w:szCs w:val="24"/>
          <w:vertAlign w:val="superscript"/>
        </w:rPr>
        <w:t>9]</w:t>
      </w:r>
      <w:r w:rsidRPr="00E572B3">
        <w:rPr>
          <w:rFonts w:ascii="Book Antiqua" w:hAnsi="Book Antiqua" w:cs="Times New Roman"/>
          <w:sz w:val="24"/>
          <w:szCs w:val="24"/>
        </w:rPr>
        <w:t xml:space="preserve">, although </w:t>
      </w:r>
      <w:r w:rsidRPr="00E572B3">
        <w:rPr>
          <w:rFonts w:ascii="Book Antiqua" w:hAnsi="Book Antiqua" w:cs="Times New Roman"/>
          <w:sz w:val="24"/>
          <w:szCs w:val="24"/>
        </w:rPr>
        <w:lastRenderedPageBreak/>
        <w:t>there is a clear multifactorial inheritance pattern with many potential environmental influence</w:t>
      </w:r>
      <w:r w:rsidR="0001780C" w:rsidRPr="00E572B3">
        <w:rPr>
          <w:rFonts w:ascii="Book Antiqua" w:hAnsi="Book Antiqua" w:cs="Times New Roman"/>
          <w:sz w:val="24"/>
          <w:szCs w:val="24"/>
        </w:rPr>
        <w:t>s</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xml:space="preserve">, including amniotic injury or hemorrhage, and positioning </w:t>
      </w:r>
      <w:r w:rsidRPr="00E572B3">
        <w:rPr>
          <w:rFonts w:ascii="Book Antiqua" w:hAnsi="Book Antiqua" w:cs="Times New Roman"/>
          <w:i/>
          <w:sz w:val="24"/>
          <w:szCs w:val="24"/>
        </w:rPr>
        <w:t>in utero</w:t>
      </w:r>
      <w:r w:rsidRPr="00E572B3">
        <w:rPr>
          <w:rFonts w:ascii="Book Antiqua" w:hAnsi="Book Antiqua" w:cs="Times New Roman"/>
          <w:sz w:val="24"/>
          <w:szCs w:val="24"/>
          <w:vertAlign w:val="superscript"/>
        </w:rPr>
        <w:t>[14]</w:t>
      </w:r>
      <w:r w:rsidR="0001780C" w:rsidRPr="00E572B3">
        <w:rPr>
          <w:rFonts w:ascii="Book Antiqua" w:hAnsi="Book Antiqua" w:cs="Times New Roman"/>
          <w:sz w:val="24"/>
          <w:szCs w:val="24"/>
        </w:rPr>
        <w:t>, and retracting fibrosis</w:t>
      </w:r>
      <w:r w:rsidRPr="00E572B3">
        <w:rPr>
          <w:rFonts w:ascii="Book Antiqua" w:hAnsi="Book Antiqua" w:cs="Times New Roman"/>
          <w:sz w:val="24"/>
          <w:szCs w:val="24"/>
          <w:vertAlign w:val="superscript"/>
        </w:rPr>
        <w:t>[18]</w:t>
      </w:r>
      <w:r w:rsidRPr="00E572B3">
        <w:rPr>
          <w:rFonts w:ascii="Book Antiqua" w:hAnsi="Book Antiqua" w:cs="Times New Roman"/>
          <w:sz w:val="24"/>
          <w:szCs w:val="24"/>
        </w:rPr>
        <w:t>.</w:t>
      </w:r>
    </w:p>
    <w:p w14:paraId="225AD289" w14:textId="2C9079B9"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Although each of the aforementioned syndromes is relatively rare, comorbidity of all three of these disorders is even rarer, if not unique. This case report discusses the anatomical f</w:t>
      </w:r>
      <w:r w:rsidR="00BA0CD3" w:rsidRPr="00E572B3">
        <w:rPr>
          <w:rFonts w:ascii="Book Antiqua" w:hAnsi="Book Antiqua" w:cs="Times New Roman"/>
          <w:sz w:val="24"/>
          <w:szCs w:val="24"/>
        </w:rPr>
        <w:t xml:space="preserve">indings associated with a </w:t>
      </w:r>
      <w:r w:rsidR="00B13832" w:rsidRPr="00E572B3">
        <w:rPr>
          <w:rFonts w:ascii="Book Antiqua" w:hAnsi="Book Antiqua" w:cs="Times New Roman" w:hint="eastAsia"/>
          <w:sz w:val="24"/>
          <w:szCs w:val="24"/>
          <w:lang w:eastAsia="zh-CN"/>
        </w:rPr>
        <w:t>7</w:t>
      </w:r>
      <w:r w:rsidR="00BA0CD3" w:rsidRPr="00E572B3">
        <w:rPr>
          <w:rFonts w:ascii="Book Antiqua" w:hAnsi="Book Antiqua" w:cs="Times New Roman"/>
          <w:sz w:val="24"/>
          <w:szCs w:val="24"/>
        </w:rPr>
        <w:t>-</w:t>
      </w:r>
      <w:r w:rsidRPr="00E572B3">
        <w:rPr>
          <w:rFonts w:ascii="Book Antiqua" w:hAnsi="Book Antiqua" w:cs="Times New Roman"/>
          <w:sz w:val="24"/>
          <w:szCs w:val="24"/>
        </w:rPr>
        <w:t>mo old female presenting with all three of these conditions occurring simultaneously.</w:t>
      </w:r>
    </w:p>
    <w:p w14:paraId="114B97D5" w14:textId="77777777" w:rsidR="00306AE0" w:rsidRPr="00E572B3" w:rsidRDefault="00306AE0" w:rsidP="00A71D9E">
      <w:pPr>
        <w:adjustRightInd w:val="0"/>
        <w:snapToGrid w:val="0"/>
        <w:spacing w:after="0" w:line="360" w:lineRule="auto"/>
        <w:ind w:firstLine="720"/>
        <w:jc w:val="both"/>
        <w:rPr>
          <w:rFonts w:ascii="Book Antiqua" w:hAnsi="Book Antiqua" w:cs="Times New Roman"/>
          <w:sz w:val="24"/>
          <w:szCs w:val="24"/>
        </w:rPr>
      </w:pPr>
    </w:p>
    <w:p w14:paraId="1C0C737D"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CASE </w:t>
      </w:r>
      <w:r w:rsidR="00704C2B" w:rsidRPr="00E572B3">
        <w:rPr>
          <w:rFonts w:ascii="Book Antiqua" w:hAnsi="Book Antiqua" w:cs="Times New Roman"/>
          <w:b/>
          <w:sz w:val="24"/>
          <w:szCs w:val="24"/>
        </w:rPr>
        <w:t>REPORT</w:t>
      </w:r>
    </w:p>
    <w:p w14:paraId="24B7433A" w14:textId="77777777" w:rsidR="00D01B84" w:rsidRPr="00E572B3" w:rsidRDefault="00D01B84"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sz w:val="24"/>
          <w:szCs w:val="24"/>
        </w:rPr>
        <w:t xml:space="preserve">A </w:t>
      </w:r>
      <w:r w:rsidR="00963D00" w:rsidRPr="00E572B3">
        <w:rPr>
          <w:rFonts w:ascii="Book Antiqua" w:hAnsi="Book Antiqua" w:cs="Times New Roman"/>
          <w:sz w:val="24"/>
          <w:szCs w:val="24"/>
        </w:rPr>
        <w:t>seven-month</w:t>
      </w:r>
      <w:r w:rsidRPr="00E572B3">
        <w:rPr>
          <w:rFonts w:ascii="Book Antiqua" w:hAnsi="Book Antiqua" w:cs="Times New Roman"/>
          <w:sz w:val="24"/>
          <w:szCs w:val="24"/>
        </w:rPr>
        <w:t xml:space="preserve"> old female presented with TH, seven-toed preaxial polydactyly and severe left CTEV. There was also medial contracture of the left foot and lower leg with left congenital hip dysplasia. In addition to having no left tibia, she also did not have a left patella or an active quadriceps mechanism. The left fibula was bowed and articulated with the lateral side of the femur. Due to the severity of the deformity, and the unlikelihood of a successful limb salvage procedure, amputation was advised.</w:t>
      </w:r>
    </w:p>
    <w:p w14:paraId="259AC01E" w14:textId="77777777"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Definitive amputation surgery was performed; the amputation involved a left knee disarticulation of the lower limb. During the surgery, the musculature of the anterior, lateral, and posterior compartments of the left lower leg was transected to provide coverage to the stump. This made post-mortem identification of muscles and vessels that were present prior to surgery challenging. The operative report described the presence of the posterior tibial nerve and deep peroneal nerve with the absence of a posterior tibial artery. </w:t>
      </w:r>
    </w:p>
    <w:p w14:paraId="3CC913A5" w14:textId="50C11D51" w:rsidR="00704C2B"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The family of the child elected to donate the amputated specimen to the Maryland State Anatomy Board and releases were obtained.</w:t>
      </w:r>
      <w:r w:rsidR="00704C2B" w:rsidRPr="00E572B3">
        <w:rPr>
          <w:rFonts w:ascii="Book Antiqua" w:hAnsi="Book Antiqua" w:cs="Times New Roman"/>
          <w:sz w:val="24"/>
          <w:szCs w:val="24"/>
        </w:rPr>
        <w:t xml:space="preserve"> A post-amputation superficial dissection on the amputated lower limb of the child was followed by x-rays and CT scans. A detailed superficial dissection was conducted to identify any and all anatomical structures present.</w:t>
      </w:r>
      <w:r w:rsidR="002B0E2F">
        <w:rPr>
          <w:rFonts w:ascii="Book Antiqua" w:hAnsi="Book Antiqua" w:cs="Times New Roman"/>
          <w:sz w:val="24"/>
          <w:szCs w:val="24"/>
        </w:rPr>
        <w:t xml:space="preserve"> </w:t>
      </w:r>
    </w:p>
    <w:p w14:paraId="09036521" w14:textId="25831454"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For description purposes, the supernumerary toes were identified as toe A and toe B, with toe A being closest to the hallux (Figure 1). Using the Weber method, the </w:t>
      </w:r>
      <w:r w:rsidRPr="00E572B3">
        <w:rPr>
          <w:rFonts w:ascii="Book Antiqua" w:hAnsi="Book Antiqua" w:cs="Times New Roman"/>
          <w:sz w:val="24"/>
          <w:szCs w:val="24"/>
        </w:rPr>
        <w:lastRenderedPageBreak/>
        <w:t>child’s TH condition can be classified as Type</w:t>
      </w:r>
      <w:r w:rsidR="00D112C0" w:rsidRPr="00E572B3">
        <w:rPr>
          <w:rFonts w:ascii="Book Antiqua" w:hAnsi="Book Antiqua" w:cs="Times New Roman"/>
          <w:sz w:val="24"/>
          <w:szCs w:val="24"/>
        </w:rPr>
        <w:t xml:space="preserve"> VIIb, class 4 (total points 8)</w:t>
      </w:r>
      <w:r w:rsidRPr="00E572B3">
        <w:rPr>
          <w:rFonts w:ascii="Book Antiqua" w:hAnsi="Book Antiqua" w:cs="Times New Roman"/>
          <w:sz w:val="24"/>
          <w:szCs w:val="24"/>
          <w:vertAlign w:val="superscript"/>
        </w:rPr>
        <w:t>[3]</w:t>
      </w:r>
      <w:r w:rsidRPr="00E572B3">
        <w:rPr>
          <w:rFonts w:ascii="Book Antiqua" w:hAnsi="Book Antiqua" w:cs="Times New Roman"/>
          <w:sz w:val="24"/>
          <w:szCs w:val="24"/>
        </w:rPr>
        <w:t xml:space="preserve">. Using </w:t>
      </w:r>
      <w:r w:rsidR="00BC2765" w:rsidRPr="00E572B3">
        <w:rPr>
          <w:rFonts w:ascii="Book Antiqua" w:hAnsi="Book Antiqua" w:cs="Times New Roman" w:hint="eastAsia"/>
          <w:sz w:val="24"/>
          <w:szCs w:val="24"/>
          <w:lang w:eastAsia="zh-CN"/>
        </w:rPr>
        <w:t xml:space="preserve">the </w:t>
      </w:r>
      <w:r w:rsidR="00BC2765" w:rsidRPr="00E572B3">
        <w:rPr>
          <w:rFonts w:ascii="Book Antiqua" w:hAnsi="Book Antiqua" w:cs="Times New Roman"/>
          <w:sz w:val="24"/>
          <w:szCs w:val="24"/>
        </w:rPr>
        <w:t xml:space="preserve">classification </w:t>
      </w:r>
      <w:r w:rsidR="00BC2765" w:rsidRPr="00E572B3">
        <w:rPr>
          <w:rFonts w:ascii="Book Antiqua" w:hAnsi="Book Antiqua" w:cs="Times New Roman" w:hint="eastAsia"/>
          <w:sz w:val="24"/>
          <w:szCs w:val="24"/>
          <w:lang w:eastAsia="zh-CN"/>
        </w:rPr>
        <w:t xml:space="preserve">of </w:t>
      </w:r>
      <w:r w:rsidRPr="00E572B3">
        <w:rPr>
          <w:rFonts w:ascii="Book Antiqua" w:hAnsi="Book Antiqua" w:cs="Times New Roman"/>
          <w:sz w:val="24"/>
          <w:szCs w:val="24"/>
        </w:rPr>
        <w:t xml:space="preserve">Jones </w:t>
      </w:r>
      <w:r w:rsidRPr="00E572B3">
        <w:rPr>
          <w:rFonts w:ascii="Book Antiqua" w:hAnsi="Book Antiqua" w:cs="Times New Roman"/>
          <w:i/>
          <w:sz w:val="24"/>
          <w:szCs w:val="24"/>
        </w:rPr>
        <w:t>et al</w:t>
      </w:r>
      <w:r w:rsidR="00BC2765" w:rsidRPr="00E572B3">
        <w:rPr>
          <w:rFonts w:ascii="Book Antiqua" w:hAnsi="Book Antiqua" w:cs="Times New Roman"/>
          <w:sz w:val="24"/>
          <w:szCs w:val="24"/>
          <w:vertAlign w:val="superscript"/>
        </w:rPr>
        <w:t>[2,20]</w:t>
      </w:r>
      <w:r w:rsidRPr="00E572B3">
        <w:rPr>
          <w:rFonts w:ascii="Book Antiqua" w:hAnsi="Book Antiqua" w:cs="Times New Roman"/>
          <w:sz w:val="24"/>
          <w:szCs w:val="24"/>
        </w:rPr>
        <w:t>, this child’s TH conditi</w:t>
      </w:r>
      <w:r w:rsidR="00D112C0" w:rsidRPr="00E572B3">
        <w:rPr>
          <w:rFonts w:ascii="Book Antiqua" w:hAnsi="Book Antiqua" w:cs="Times New Roman"/>
          <w:sz w:val="24"/>
          <w:szCs w:val="24"/>
        </w:rPr>
        <w:t>on can be classified as Type 1a</w:t>
      </w:r>
      <w:r w:rsidRPr="00E572B3">
        <w:rPr>
          <w:rFonts w:ascii="Book Antiqua" w:hAnsi="Book Antiqua" w:cs="Times New Roman"/>
          <w:sz w:val="24"/>
          <w:szCs w:val="24"/>
        </w:rPr>
        <w:t>. Using Venn-Watson and Watanabe method, the polydactyly exhibited can be categorized as a complete medial ray duplication w</w:t>
      </w:r>
      <w:r w:rsidR="00D112C0" w:rsidRPr="00E572B3">
        <w:rPr>
          <w:rFonts w:ascii="Book Antiqua" w:hAnsi="Book Antiqua" w:cs="Times New Roman"/>
          <w:sz w:val="24"/>
          <w:szCs w:val="24"/>
        </w:rPr>
        <w:t>ith a hypoplastic medial member</w:t>
      </w:r>
      <w:r w:rsidR="00D112C0" w:rsidRPr="00E572B3">
        <w:rPr>
          <w:rFonts w:ascii="Book Antiqua" w:hAnsi="Book Antiqua" w:cs="Times New Roman"/>
          <w:sz w:val="24"/>
          <w:szCs w:val="24"/>
          <w:vertAlign w:val="superscript"/>
        </w:rPr>
        <w:t>[7,9,</w:t>
      </w:r>
      <w:r w:rsidRPr="00E572B3">
        <w:rPr>
          <w:rFonts w:ascii="Book Antiqua" w:hAnsi="Book Antiqua" w:cs="Times New Roman"/>
          <w:sz w:val="24"/>
          <w:szCs w:val="24"/>
          <w:vertAlign w:val="superscript"/>
        </w:rPr>
        <w:t>21]</w:t>
      </w:r>
      <w:r w:rsidRPr="00E572B3">
        <w:rPr>
          <w:rFonts w:ascii="Book Antiqua" w:hAnsi="Book Antiqua" w:cs="Times New Roman"/>
          <w:sz w:val="24"/>
          <w:szCs w:val="24"/>
        </w:rPr>
        <w:t>.</w:t>
      </w:r>
    </w:p>
    <w:p w14:paraId="624B61B4" w14:textId="443D7853"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From studying the plain </w:t>
      </w:r>
      <w:r w:rsidR="00BC2765" w:rsidRPr="00E572B3">
        <w:rPr>
          <w:rFonts w:ascii="Book Antiqua" w:hAnsi="Book Antiqua" w:cs="Times New Roman"/>
          <w:sz w:val="24"/>
          <w:szCs w:val="24"/>
        </w:rPr>
        <w:t>X</w:t>
      </w:r>
      <w:r w:rsidRPr="00E572B3">
        <w:rPr>
          <w:rFonts w:ascii="Book Antiqua" w:hAnsi="Book Antiqua" w:cs="Times New Roman"/>
          <w:sz w:val="24"/>
          <w:szCs w:val="24"/>
        </w:rPr>
        <w:t>-rays and CT scans, we found the following skeletal characteristics with regard to the fibula, tarsal bones, metatarsals and foot phalanges: curved and overlapping supernumerary toes, hypoplastic first metatarsal, lack of middle and distal phalanges in toe B, only three tarsal bones present: calcaneus, talus, and navicular, no distal phalanx for fourth toe, hypoplastic middle phalanx for 4</w:t>
      </w:r>
      <w:r w:rsidRPr="00E572B3">
        <w:rPr>
          <w:rFonts w:ascii="Book Antiqua" w:hAnsi="Book Antiqua" w:cs="Times New Roman"/>
          <w:sz w:val="24"/>
          <w:szCs w:val="24"/>
          <w:vertAlign w:val="superscript"/>
        </w:rPr>
        <w:t>th</w:t>
      </w:r>
      <w:r w:rsidRPr="00E572B3">
        <w:rPr>
          <w:rFonts w:ascii="Book Antiqua" w:hAnsi="Book Antiqua" w:cs="Times New Roman"/>
          <w:sz w:val="24"/>
          <w:szCs w:val="24"/>
        </w:rPr>
        <w:t xml:space="preserve"> toe, and no middle or distal phalanges for fifth toe. The fibula articulated with the anteromedial portion of the calcaneus (Figures 2 and 3). </w:t>
      </w:r>
    </w:p>
    <w:p w14:paraId="00F01182" w14:textId="44715F82"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The extensor muscles visible after superficial dissection of the lower leg and foot include peroneus longus, peroneus brevis, and peroneus tertius. Extensor digitorum longus is present with its tendons connecting to between toes one and two, and three through five. The extensor digitorum brevis is also present with its tendons connecting to toes two through five, and extensor hallicus longus with its tendon connecting to toe A and not the hallux (Figure 4).</w:t>
      </w:r>
      <w:r w:rsidR="002B0E2F">
        <w:rPr>
          <w:rFonts w:ascii="Book Antiqua" w:hAnsi="Book Antiqua" w:cs="Times New Roman"/>
          <w:sz w:val="24"/>
          <w:szCs w:val="24"/>
        </w:rPr>
        <w:t xml:space="preserve"> </w:t>
      </w:r>
    </w:p>
    <w:p w14:paraId="14DC56E9" w14:textId="3B8566F9"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The flexor muscles visible include a portion of the gastrocnemius that is attached to the Achilles tendon. The Achilles tendon itself appears to be attached to the medial side of the calcaneus. Flexor digitorum brevis appears to connect with toes A and B then toes two through four. The flexor hallicus longus tendon does not appear to be present. These two characteristics may contribute to the hyperextensability of the hallux on manipulation. We were unable to find the tendons of flexor digitorum longus, the muscle bellies of quadratus plantae, or the muscle belly of flexor hallicus brevis. Due to transection during surgery, we cannot identify tibialis anterior as being present. The tendon to tibialis posterior is visible running alongside the medial plantar nerve and deep to the flexor digitorum brevis muscle. The transverse and oblique heads of the adductor hallicus muscle appear to span the supernumerary toes and hallux. In </w:t>
      </w:r>
      <w:r w:rsidRPr="00E572B3">
        <w:rPr>
          <w:rFonts w:ascii="Book Antiqua" w:hAnsi="Book Antiqua" w:cs="Times New Roman"/>
          <w:sz w:val="24"/>
          <w:szCs w:val="24"/>
        </w:rPr>
        <w:lastRenderedPageBreak/>
        <w:t>addition, the following muscles appear to be present: abductor hallicus, flexor digiti minimi, abductor digiti minimi. Lumbricals appear to be present and there is a possible supernumerary lumb</w:t>
      </w:r>
      <w:r w:rsidR="00D112C0" w:rsidRPr="00E572B3">
        <w:rPr>
          <w:rFonts w:ascii="Book Antiqua" w:hAnsi="Book Antiqua" w:cs="Times New Roman"/>
          <w:sz w:val="24"/>
          <w:szCs w:val="24"/>
        </w:rPr>
        <w:t>rical connecting with toe A and/</w:t>
      </w:r>
      <w:r w:rsidRPr="00E572B3">
        <w:rPr>
          <w:rFonts w:ascii="Book Antiqua" w:hAnsi="Book Antiqua" w:cs="Times New Roman"/>
          <w:sz w:val="24"/>
          <w:szCs w:val="24"/>
        </w:rPr>
        <w:t xml:space="preserve">or B. From this superficial dissection, none of the interossei is visible (Figure 5). </w:t>
      </w:r>
    </w:p>
    <w:p w14:paraId="63FEE257" w14:textId="77777777"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Nerves visible include posterior tibial, medial and lateral plantar nerves, with lateral plantar nerve having a supernumerary branch to Toe A while Toe B has a medial plantar nerve branch (Figure 5). Deep peroneal nerve is not visible within the superficial dissection but is apparently present as stated in operative report. Superficial peroneal nerve is not visible and is not mentioned in the operative report. </w:t>
      </w:r>
    </w:p>
    <w:p w14:paraId="443E03B3" w14:textId="77777777"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The vessels visible upon dissection are the components of the superficial venous arch (Figure 6). We have also identified a structure that could be dorsalis pedis due to the following characteristics: it penetrates into the deep compartment of the foot and it has a lumen with a relatively thick wall suggestive of an artery (Figure 7). We cannot determine if the deep venous arch is present from the superficial dissection. Posterior tibial artery is not visible and is also specifically described as absent in the operative report. </w:t>
      </w:r>
    </w:p>
    <w:p w14:paraId="1A20D554" w14:textId="77777777" w:rsidR="00704C2B" w:rsidRPr="00E572B3" w:rsidRDefault="00704C2B" w:rsidP="00A71D9E">
      <w:pPr>
        <w:adjustRightInd w:val="0"/>
        <w:snapToGrid w:val="0"/>
        <w:spacing w:after="0" w:line="360" w:lineRule="auto"/>
        <w:jc w:val="both"/>
        <w:rPr>
          <w:rFonts w:ascii="Book Antiqua" w:hAnsi="Book Antiqua" w:cs="Times New Roman"/>
          <w:b/>
          <w:sz w:val="24"/>
          <w:szCs w:val="24"/>
        </w:rPr>
      </w:pPr>
    </w:p>
    <w:p w14:paraId="78A4AF2F"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DISCUSSION</w:t>
      </w:r>
    </w:p>
    <w:p w14:paraId="60E19CB4" w14:textId="11065335"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sz w:val="24"/>
          <w:szCs w:val="24"/>
        </w:rPr>
        <w:t xml:space="preserve">TH, also known as </w:t>
      </w:r>
      <w:r w:rsidR="00BC2765" w:rsidRPr="00E572B3">
        <w:rPr>
          <w:rFonts w:ascii="Book Antiqua" w:hAnsi="Book Antiqua" w:cs="Times New Roman"/>
          <w:sz w:val="24"/>
          <w:szCs w:val="24"/>
        </w:rPr>
        <w:t>congenital tibial apla</w:t>
      </w:r>
      <w:r w:rsidRPr="00E572B3">
        <w:rPr>
          <w:rFonts w:ascii="Book Antiqua" w:hAnsi="Book Antiqua" w:cs="Times New Roman"/>
          <w:sz w:val="24"/>
          <w:szCs w:val="24"/>
        </w:rPr>
        <w:t xml:space="preserve">sia, is </w:t>
      </w:r>
      <w:r w:rsidRPr="00E572B3">
        <w:rPr>
          <w:rFonts w:ascii="Book Antiqua" w:hAnsi="Book Antiqua" w:cs="Times New Roman"/>
          <w:sz w:val="24"/>
          <w:szCs w:val="24"/>
          <w:shd w:val="clear" w:color="auto" w:fill="FFFFFF"/>
        </w:rPr>
        <w:t>a rare congenital anomaly characterized by variable degrees of deficiency of the tibia with a relatively i</w:t>
      </w:r>
      <w:r w:rsidR="00704C2B" w:rsidRPr="00E572B3">
        <w:rPr>
          <w:rFonts w:ascii="Book Antiqua" w:hAnsi="Book Antiqua" w:cs="Times New Roman"/>
          <w:sz w:val="24"/>
          <w:szCs w:val="24"/>
          <w:shd w:val="clear" w:color="auto" w:fill="FFFFFF"/>
        </w:rPr>
        <w:t>ntact fibula</w:t>
      </w:r>
      <w:r w:rsidRPr="00E572B3">
        <w:rPr>
          <w:rFonts w:ascii="Book Antiqua" w:hAnsi="Book Antiqua" w:cs="Times New Roman"/>
          <w:sz w:val="24"/>
          <w:szCs w:val="24"/>
          <w:shd w:val="clear" w:color="auto" w:fill="FFFFFF"/>
          <w:vertAlign w:val="superscript"/>
        </w:rPr>
        <w:t>[1</w:t>
      </w:r>
      <w:r w:rsidR="00D112C0" w:rsidRPr="00E572B3">
        <w:rPr>
          <w:rFonts w:ascii="Book Antiqua" w:hAnsi="Book Antiqua" w:cs="Times New Roman"/>
          <w:sz w:val="24"/>
          <w:szCs w:val="24"/>
          <w:shd w:val="clear" w:color="auto" w:fill="FFFFFF"/>
          <w:vertAlign w:val="superscript"/>
        </w:rPr>
        <w:t>-</w:t>
      </w:r>
      <w:r w:rsidRPr="00E572B3">
        <w:rPr>
          <w:rFonts w:ascii="Book Antiqua" w:hAnsi="Book Antiqua" w:cs="Times New Roman"/>
          <w:sz w:val="24"/>
          <w:szCs w:val="24"/>
          <w:shd w:val="clear" w:color="auto" w:fill="FFFFFF"/>
          <w:vertAlign w:val="superscript"/>
        </w:rPr>
        <w:t>6]</w:t>
      </w:r>
      <w:r w:rsidRPr="00E572B3">
        <w:rPr>
          <w:rFonts w:ascii="Book Antiqua" w:hAnsi="Book Antiqua" w:cs="Times New Roman"/>
          <w:sz w:val="24"/>
          <w:szCs w:val="24"/>
          <w:shd w:val="clear" w:color="auto" w:fill="FFFFFF"/>
        </w:rPr>
        <w:t>. The incidence of TH in the United S</w:t>
      </w:r>
      <w:r w:rsidR="00BC2765" w:rsidRPr="00E572B3">
        <w:rPr>
          <w:rFonts w:ascii="Book Antiqua" w:hAnsi="Book Antiqua" w:cs="Times New Roman"/>
          <w:sz w:val="24"/>
          <w:szCs w:val="24"/>
          <w:shd w:val="clear" w:color="auto" w:fill="FFFFFF"/>
        </w:rPr>
        <w:t>tates is approximately one in 1000</w:t>
      </w:r>
      <w:r w:rsidR="00704C2B" w:rsidRPr="00E572B3">
        <w:rPr>
          <w:rFonts w:ascii="Book Antiqua" w:hAnsi="Book Antiqua" w:cs="Times New Roman"/>
          <w:sz w:val="24"/>
          <w:szCs w:val="24"/>
          <w:shd w:val="clear" w:color="auto" w:fill="FFFFFF"/>
        </w:rPr>
        <w:t>000 live births</w:t>
      </w:r>
      <w:r w:rsidR="00D112C0" w:rsidRPr="00E572B3">
        <w:rPr>
          <w:rFonts w:ascii="Book Antiqua" w:hAnsi="Book Antiqua" w:cs="Times New Roman"/>
          <w:sz w:val="24"/>
          <w:szCs w:val="24"/>
          <w:shd w:val="clear" w:color="auto" w:fill="FFFFFF"/>
          <w:vertAlign w:val="superscript"/>
        </w:rPr>
        <w:t>[1-</w:t>
      </w:r>
      <w:r w:rsidRPr="00E572B3">
        <w:rPr>
          <w:rFonts w:ascii="Book Antiqua" w:hAnsi="Book Antiqua" w:cs="Times New Roman"/>
          <w:sz w:val="24"/>
          <w:szCs w:val="24"/>
          <w:shd w:val="clear" w:color="auto" w:fill="FFFFFF"/>
          <w:vertAlign w:val="superscript"/>
        </w:rPr>
        <w:t>3]</w:t>
      </w:r>
      <w:r w:rsidRPr="00E572B3">
        <w:rPr>
          <w:rFonts w:ascii="Book Antiqua" w:hAnsi="Book Antiqua" w:cs="Times New Roman"/>
          <w:sz w:val="24"/>
          <w:szCs w:val="24"/>
          <w:shd w:val="clear" w:color="auto" w:fill="FFFFFF"/>
        </w:rPr>
        <w:t>. Children born with this abnormality usually exhibit marked shortening and bowing of the involved leg. There is also pronounced flexion contracture and instability of the knee, variable leg rotation, and marked inversion and a</w:t>
      </w:r>
      <w:r w:rsidR="003A7EDA" w:rsidRPr="00E572B3">
        <w:rPr>
          <w:rFonts w:ascii="Book Antiqua" w:hAnsi="Book Antiqua" w:cs="Times New Roman"/>
          <w:sz w:val="24"/>
          <w:szCs w:val="24"/>
          <w:shd w:val="clear" w:color="auto" w:fill="FFFFFF"/>
        </w:rPr>
        <w:t>dduction of the foot</w:t>
      </w:r>
      <w:r w:rsidR="00D112C0" w:rsidRPr="00E572B3">
        <w:rPr>
          <w:rFonts w:ascii="Book Antiqua" w:hAnsi="Book Antiqua" w:cs="Times New Roman"/>
          <w:sz w:val="24"/>
          <w:szCs w:val="24"/>
          <w:shd w:val="clear" w:color="auto" w:fill="FFFFFF"/>
          <w:vertAlign w:val="superscript"/>
        </w:rPr>
        <w:t>[1,</w:t>
      </w:r>
      <w:r w:rsidRPr="00E572B3">
        <w:rPr>
          <w:rFonts w:ascii="Book Antiqua" w:hAnsi="Book Antiqua" w:cs="Times New Roman"/>
          <w:sz w:val="24"/>
          <w:szCs w:val="24"/>
          <w:shd w:val="clear" w:color="auto" w:fill="FFFFFF"/>
          <w:vertAlign w:val="superscript"/>
        </w:rPr>
        <w:t>2]</w:t>
      </w:r>
      <w:r w:rsidRPr="00E572B3">
        <w:rPr>
          <w:rFonts w:ascii="Book Antiqua" w:hAnsi="Book Antiqua" w:cs="Times New Roman"/>
          <w:sz w:val="24"/>
          <w:szCs w:val="24"/>
          <w:shd w:val="clear" w:color="auto" w:fill="FFFFFF"/>
        </w:rPr>
        <w:t xml:space="preserve">. </w:t>
      </w:r>
      <w:r w:rsidRPr="00E572B3">
        <w:rPr>
          <w:rFonts w:ascii="Book Antiqua" w:hAnsi="Book Antiqua" w:cs="Times New Roman"/>
          <w:sz w:val="24"/>
          <w:szCs w:val="24"/>
        </w:rPr>
        <w:t>The first metatarsal is usually hypoplastic or markedly shortened and frequently associated with other medial ray defects</w:t>
      </w:r>
      <w:r w:rsidR="00D112C0" w:rsidRPr="00E572B3">
        <w:rPr>
          <w:rFonts w:ascii="Book Antiqua" w:hAnsi="Book Antiqua" w:cs="Times New Roman"/>
          <w:sz w:val="24"/>
          <w:szCs w:val="24"/>
          <w:shd w:val="clear" w:color="auto" w:fill="FFFFFF"/>
        </w:rPr>
        <w:t xml:space="preserve"> and/or preaxial polydactyly</w:t>
      </w:r>
      <w:r w:rsidR="00D112C0" w:rsidRPr="00E572B3">
        <w:rPr>
          <w:rFonts w:ascii="Book Antiqua" w:hAnsi="Book Antiqua" w:cs="Times New Roman"/>
          <w:sz w:val="24"/>
          <w:szCs w:val="24"/>
          <w:vertAlign w:val="superscript"/>
        </w:rPr>
        <w:t>[1,</w:t>
      </w:r>
      <w:r w:rsidRPr="00E572B3">
        <w:rPr>
          <w:rFonts w:ascii="Book Antiqua" w:hAnsi="Book Antiqua" w:cs="Times New Roman"/>
          <w:sz w:val="24"/>
          <w:szCs w:val="24"/>
          <w:vertAlign w:val="superscript"/>
        </w:rPr>
        <w:t>11]</w:t>
      </w:r>
      <w:r w:rsidRPr="00E572B3">
        <w:rPr>
          <w:rFonts w:ascii="Book Antiqua" w:hAnsi="Book Antiqua" w:cs="Times New Roman"/>
          <w:sz w:val="24"/>
          <w:szCs w:val="24"/>
        </w:rPr>
        <w:t>.</w:t>
      </w:r>
      <w:r w:rsidR="002B0E2F">
        <w:rPr>
          <w:rFonts w:ascii="Book Antiqua" w:hAnsi="Book Antiqua" w:cs="Times New Roman"/>
          <w:sz w:val="24"/>
          <w:szCs w:val="24"/>
        </w:rPr>
        <w:t xml:space="preserve"> </w:t>
      </w:r>
    </w:p>
    <w:p w14:paraId="4A457E55" w14:textId="7A639DE7"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 can occur as an isolated hereditary malformation as well as a feature of several autosomal recessive a</w:t>
      </w:r>
      <w:r w:rsidR="009A13A9" w:rsidRPr="00E572B3">
        <w:rPr>
          <w:rFonts w:ascii="Book Antiqua" w:hAnsi="Book Antiqua" w:cs="Times New Roman"/>
          <w:sz w:val="24"/>
          <w:szCs w:val="24"/>
        </w:rPr>
        <w:t>nd autosomal dominant syndromes</w:t>
      </w:r>
      <w:r w:rsidR="009A13A9" w:rsidRPr="00E572B3">
        <w:rPr>
          <w:rFonts w:ascii="Book Antiqua" w:hAnsi="Book Antiqua" w:cs="Times New Roman"/>
          <w:sz w:val="24"/>
          <w:szCs w:val="24"/>
          <w:vertAlign w:val="superscript"/>
        </w:rPr>
        <w:t>[4,</w:t>
      </w:r>
      <w:r w:rsidRPr="00E572B3">
        <w:rPr>
          <w:rFonts w:ascii="Book Antiqua" w:hAnsi="Book Antiqua" w:cs="Times New Roman"/>
          <w:sz w:val="24"/>
          <w:szCs w:val="24"/>
          <w:vertAlign w:val="superscript"/>
        </w:rPr>
        <w:t>5]</w:t>
      </w:r>
      <w:r w:rsidRPr="00E572B3">
        <w:rPr>
          <w:rFonts w:ascii="Book Antiqua" w:hAnsi="Book Antiqua" w:cs="Times New Roman"/>
          <w:sz w:val="24"/>
          <w:szCs w:val="24"/>
        </w:rPr>
        <w:t xml:space="preserve">. </w:t>
      </w:r>
      <w:r w:rsidR="00BC2765" w:rsidRPr="00E572B3">
        <w:rPr>
          <w:rFonts w:ascii="Book Antiqua" w:hAnsi="Book Antiqua" w:cs="Times New Roman" w:hint="eastAsia"/>
          <w:sz w:val="24"/>
          <w:szCs w:val="24"/>
          <w:lang w:eastAsia="zh-CN"/>
        </w:rPr>
        <w:t xml:space="preserve">Seventy-five percent </w:t>
      </w:r>
      <w:r w:rsidRPr="00E572B3">
        <w:rPr>
          <w:rFonts w:ascii="Book Antiqua" w:hAnsi="Book Antiqua" w:cs="Times New Roman"/>
          <w:sz w:val="24"/>
          <w:szCs w:val="24"/>
        </w:rPr>
        <w:t xml:space="preserve">of patients who have TH have accompanying congenital defects. These can </w:t>
      </w:r>
      <w:r w:rsidRPr="00E572B3">
        <w:rPr>
          <w:rFonts w:ascii="Book Antiqua" w:hAnsi="Book Antiqua" w:cs="Times New Roman"/>
          <w:sz w:val="24"/>
          <w:szCs w:val="24"/>
        </w:rPr>
        <w:lastRenderedPageBreak/>
        <w:t>include congenital hip dislocation, polydactyly, medial foot defects, severe club foot, bifurcated femur, central hand defects, cleft palate, spinal anomalies, and a wide range of congenital anomalies of the cardiovascular, gastrointest</w:t>
      </w:r>
      <w:r w:rsidR="005056BB" w:rsidRPr="00E572B3">
        <w:rPr>
          <w:rFonts w:ascii="Book Antiqua" w:hAnsi="Book Antiqua" w:cs="Times New Roman"/>
          <w:sz w:val="24"/>
          <w:szCs w:val="24"/>
        </w:rPr>
        <w:t>inal, and genitourinary systems</w:t>
      </w:r>
      <w:r w:rsidR="005056BB" w:rsidRPr="00E572B3">
        <w:rPr>
          <w:rFonts w:ascii="Book Antiqua" w:hAnsi="Book Antiqua" w:cs="Times New Roman"/>
          <w:sz w:val="24"/>
          <w:szCs w:val="24"/>
          <w:vertAlign w:val="superscript"/>
        </w:rPr>
        <w:t>[2,</w:t>
      </w:r>
      <w:r w:rsidRPr="00E572B3">
        <w:rPr>
          <w:rFonts w:ascii="Book Antiqua" w:hAnsi="Book Antiqua" w:cs="Times New Roman"/>
          <w:sz w:val="24"/>
          <w:szCs w:val="24"/>
          <w:vertAlign w:val="superscript"/>
        </w:rPr>
        <w:t>4]</w:t>
      </w:r>
      <w:r w:rsidRPr="00E572B3">
        <w:rPr>
          <w:rFonts w:ascii="Book Antiqua" w:hAnsi="Book Antiqua" w:cs="Times New Roman"/>
          <w:sz w:val="24"/>
          <w:szCs w:val="24"/>
        </w:rPr>
        <w:t>.</w:t>
      </w:r>
      <w:r w:rsidR="002B0E2F">
        <w:rPr>
          <w:rFonts w:ascii="Book Antiqua" w:hAnsi="Book Antiqua" w:cs="Times New Roman"/>
          <w:sz w:val="24"/>
          <w:szCs w:val="24"/>
        </w:rPr>
        <w:t xml:space="preserve"> </w:t>
      </w:r>
    </w:p>
    <w:p w14:paraId="670C4DA8" w14:textId="044D3D41"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Weber has created the most detailed classification system f</w:t>
      </w:r>
      <w:r w:rsidR="009A13A9" w:rsidRPr="00E572B3">
        <w:rPr>
          <w:rFonts w:ascii="Book Antiqua" w:hAnsi="Book Antiqua" w:cs="Times New Roman"/>
          <w:sz w:val="24"/>
          <w:szCs w:val="24"/>
        </w:rPr>
        <w:t>or tibial malformations to date</w:t>
      </w:r>
      <w:r w:rsidRPr="00E572B3">
        <w:rPr>
          <w:rFonts w:ascii="Book Antiqua" w:hAnsi="Book Antiqua" w:cs="Times New Roman"/>
          <w:sz w:val="24"/>
          <w:szCs w:val="24"/>
          <w:vertAlign w:val="superscript"/>
        </w:rPr>
        <w:t>[3]</w:t>
      </w:r>
      <w:r w:rsidRPr="00E572B3">
        <w:rPr>
          <w:rFonts w:ascii="Book Antiqua" w:hAnsi="Book Antiqua" w:cs="Times New Roman"/>
          <w:sz w:val="24"/>
          <w:szCs w:val="24"/>
        </w:rPr>
        <w:t>. He classified and scored the main pathological findings of the entire leg, which include coxa, femur, patella, tibia, fibula, and pes. Tibial malformations are divided into seven main groups and five of them are divided further into two subgroups. The seven main groups are: type-I, hypoplasia; type-II, diastasis; type-III, distal aplasia; type-IV, proximal aplasia; type-V, bifocal aplasia; type-VI, agenesia with double fibula; type-VII, agenesia with a single fibula. The subgroup for types III through VII are a (with cartilaginous anlage), and b (without cartilaginous anlage). Three types of muscle function are described as +, present; (+), partly present; and -, absent for the coxa, femur, and tibia. Scoring of the various types ranges from zero to 39; the higher the score</w:t>
      </w:r>
      <w:r w:rsidR="009A13A9" w:rsidRPr="00E572B3">
        <w:rPr>
          <w:rFonts w:ascii="Book Antiqua" w:hAnsi="Book Antiqua" w:cs="Times New Roman"/>
          <w:sz w:val="24"/>
          <w:szCs w:val="24"/>
        </w:rPr>
        <w:t>, the less the impairment grade</w:t>
      </w:r>
      <w:r w:rsidRPr="00E572B3">
        <w:rPr>
          <w:rFonts w:ascii="Book Antiqua" w:hAnsi="Book Antiqua" w:cs="Times New Roman"/>
          <w:sz w:val="24"/>
          <w:szCs w:val="24"/>
          <w:vertAlign w:val="superscript"/>
        </w:rPr>
        <w:t>[3]</w:t>
      </w:r>
      <w:r w:rsidRPr="00E572B3">
        <w:rPr>
          <w:rFonts w:ascii="Book Antiqua" w:hAnsi="Book Antiqua" w:cs="Times New Roman"/>
          <w:sz w:val="24"/>
          <w:szCs w:val="24"/>
        </w:rPr>
        <w:t>.</w:t>
      </w:r>
    </w:p>
    <w:p w14:paraId="5E0C0A82" w14:textId="3DA041F5"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vertAlign w:val="superscript"/>
        </w:rPr>
      </w:pPr>
      <w:r w:rsidRPr="00E572B3">
        <w:rPr>
          <w:rFonts w:ascii="Book Antiqua" w:hAnsi="Book Antiqua" w:cs="Times New Roman"/>
          <w:sz w:val="24"/>
          <w:szCs w:val="24"/>
        </w:rPr>
        <w:t>There is an older TH classification system descri</w:t>
      </w:r>
      <w:r w:rsidR="009A13A9" w:rsidRPr="00E572B3">
        <w:rPr>
          <w:rFonts w:ascii="Book Antiqua" w:hAnsi="Book Antiqua" w:cs="Times New Roman"/>
          <w:sz w:val="24"/>
          <w:szCs w:val="24"/>
        </w:rPr>
        <w:t xml:space="preserve">bed by Jones </w:t>
      </w:r>
      <w:r w:rsidR="009A13A9" w:rsidRPr="00E572B3">
        <w:rPr>
          <w:rFonts w:ascii="Book Antiqua" w:hAnsi="Book Antiqua" w:cs="Times New Roman"/>
          <w:i/>
          <w:sz w:val="24"/>
          <w:szCs w:val="24"/>
        </w:rPr>
        <w:t>et al</w:t>
      </w:r>
      <w:r w:rsidR="005056BB" w:rsidRPr="00E572B3">
        <w:rPr>
          <w:rFonts w:ascii="Book Antiqua" w:hAnsi="Book Antiqua" w:cs="Times New Roman"/>
          <w:sz w:val="24"/>
          <w:szCs w:val="24"/>
          <w:vertAlign w:val="superscript"/>
        </w:rPr>
        <w:t>[2,</w:t>
      </w:r>
      <w:r w:rsidRPr="00E572B3">
        <w:rPr>
          <w:rFonts w:ascii="Book Antiqua" w:hAnsi="Book Antiqua" w:cs="Times New Roman"/>
          <w:sz w:val="24"/>
          <w:szCs w:val="24"/>
          <w:vertAlign w:val="superscript"/>
        </w:rPr>
        <w:t>20]</w:t>
      </w:r>
      <w:r w:rsidRPr="00E572B3">
        <w:rPr>
          <w:rFonts w:ascii="Book Antiqua" w:hAnsi="Book Antiqua" w:cs="Times New Roman"/>
          <w:sz w:val="24"/>
          <w:szCs w:val="24"/>
        </w:rPr>
        <w:t>. In Type 1a, the tibia is completely absent and the distal end of the femur is hypoplastic. In Type 1b, a rudimentary tibia articulates with the distal end of a relatively normal femur. In Type 2, the proximal end of the tibia is well developed and the distal end of the tibia is absent. In Type 3, the tibia is represented by a characteristically amorphous bone segment that can be present more distally than proximally. In Type 4, the proximal end of the tibia is normal with a shortened distal end and a characteristic congenital diastasis of the ankle joint</w:t>
      </w:r>
      <w:r w:rsidRPr="00E572B3">
        <w:rPr>
          <w:rFonts w:ascii="Book Antiqua" w:hAnsi="Book Antiqua" w:cs="Times New Roman"/>
          <w:sz w:val="24"/>
          <w:szCs w:val="24"/>
          <w:vertAlign w:val="superscript"/>
        </w:rPr>
        <w:t>[2]</w:t>
      </w:r>
      <w:r w:rsidRPr="00E572B3">
        <w:rPr>
          <w:rFonts w:ascii="Book Antiqua" w:hAnsi="Book Antiqua" w:cs="Times New Roman"/>
          <w:sz w:val="24"/>
          <w:szCs w:val="24"/>
        </w:rPr>
        <w:t>.</w:t>
      </w:r>
    </w:p>
    <w:p w14:paraId="0EFC0D53" w14:textId="449551EF"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Potential causes of TH include errors in several different aspects of limb development. Cells from the primitive streak have been shown to migrate to the lateral plate mesoderm. Such an abnormality of this process could affect the limb bud which forms from the mesenchyme cells in the lateral plate </w:t>
      </w:r>
      <w:r w:rsidR="00C75784" w:rsidRPr="00E572B3">
        <w:rPr>
          <w:rFonts w:ascii="Book Antiqua" w:hAnsi="Book Antiqua" w:cs="Times New Roman"/>
          <w:sz w:val="24"/>
          <w:szCs w:val="24"/>
        </w:rPr>
        <w:t>mesoderm</w:t>
      </w:r>
      <w:r w:rsidRPr="00E572B3">
        <w:rPr>
          <w:rFonts w:ascii="Book Antiqua" w:hAnsi="Book Antiqua" w:cs="Times New Roman"/>
          <w:sz w:val="24"/>
          <w:szCs w:val="24"/>
          <w:vertAlign w:val="superscript"/>
        </w:rPr>
        <w:t>[5]</w:t>
      </w:r>
      <w:r w:rsidRPr="00E572B3">
        <w:rPr>
          <w:rFonts w:ascii="Book Antiqua" w:hAnsi="Book Antiqua" w:cs="Times New Roman"/>
          <w:sz w:val="24"/>
          <w:szCs w:val="24"/>
        </w:rPr>
        <w:t>. Other known causes of TH are ingestion of thalidomide or inheritance of an autosomal dominant gene; more sporadic ca</w:t>
      </w:r>
      <w:r w:rsidR="009A13A9" w:rsidRPr="00E572B3">
        <w:rPr>
          <w:rFonts w:ascii="Book Antiqua" w:hAnsi="Book Antiqua" w:cs="Times New Roman"/>
          <w:sz w:val="24"/>
          <w:szCs w:val="24"/>
        </w:rPr>
        <w:t>ses are idiopathic</w:t>
      </w:r>
      <w:r w:rsidRPr="00E572B3">
        <w:rPr>
          <w:rFonts w:ascii="Book Antiqua" w:hAnsi="Book Antiqua" w:cs="Times New Roman"/>
          <w:sz w:val="24"/>
          <w:szCs w:val="24"/>
          <w:vertAlign w:val="superscript"/>
        </w:rPr>
        <w:t>[6]</w:t>
      </w:r>
      <w:r w:rsidRPr="00E572B3">
        <w:rPr>
          <w:rFonts w:ascii="Book Antiqua" w:hAnsi="Book Antiqua" w:cs="Times New Roman"/>
          <w:sz w:val="24"/>
          <w:szCs w:val="24"/>
        </w:rPr>
        <w:t>.</w:t>
      </w:r>
    </w:p>
    <w:p w14:paraId="7697D26F" w14:textId="4FE624FB" w:rsidR="00D01B84" w:rsidRPr="00E572B3" w:rsidRDefault="00704C2B"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lastRenderedPageBreak/>
        <w:t>P</w:t>
      </w:r>
      <w:r w:rsidR="00D01B84" w:rsidRPr="00E572B3">
        <w:rPr>
          <w:rFonts w:ascii="Book Antiqua" w:hAnsi="Book Antiqua" w:cs="Times New Roman"/>
          <w:sz w:val="24"/>
          <w:szCs w:val="24"/>
        </w:rPr>
        <w:t>olydactyly is a common congenital hand and/or foot anomaly that is characterized by the presence of supernumerary digits. It is classified as preaxial, central, or postaxial depending on th</w:t>
      </w:r>
      <w:r w:rsidR="009A13A9" w:rsidRPr="00E572B3">
        <w:rPr>
          <w:rFonts w:ascii="Book Antiqua" w:hAnsi="Book Antiqua" w:cs="Times New Roman"/>
          <w:sz w:val="24"/>
          <w:szCs w:val="24"/>
        </w:rPr>
        <w:t xml:space="preserve">e location of the duplication. </w:t>
      </w:r>
      <w:r w:rsidR="00D01B84" w:rsidRPr="00E572B3">
        <w:rPr>
          <w:rFonts w:ascii="Book Antiqua" w:hAnsi="Book Antiqua" w:cs="Times New Roman"/>
          <w:sz w:val="24"/>
          <w:szCs w:val="24"/>
        </w:rPr>
        <w:t>Approximately 15% of all toe duplications are preaxial at the first ray, about 79% of duplications are postaxial and involve the lateral-most rays of the foot, and the remaining 6% are central includin</w:t>
      </w:r>
      <w:r w:rsidR="005056BB" w:rsidRPr="00E572B3">
        <w:rPr>
          <w:rFonts w:ascii="Book Antiqua" w:hAnsi="Book Antiqua" w:cs="Times New Roman"/>
          <w:sz w:val="24"/>
          <w:szCs w:val="24"/>
        </w:rPr>
        <w:t>g the second through fourth rays</w:t>
      </w:r>
      <w:r w:rsidR="00D01B84" w:rsidRPr="00E572B3">
        <w:rPr>
          <w:rFonts w:ascii="Book Antiqua" w:hAnsi="Book Antiqua" w:cs="Times New Roman"/>
          <w:sz w:val="24"/>
          <w:szCs w:val="24"/>
          <w:vertAlign w:val="superscript"/>
        </w:rPr>
        <w:t>[7]</w:t>
      </w:r>
      <w:r w:rsidR="00D01B84" w:rsidRPr="00E572B3">
        <w:rPr>
          <w:rFonts w:ascii="Book Antiqua" w:hAnsi="Book Antiqua" w:cs="Times New Roman"/>
          <w:sz w:val="24"/>
          <w:szCs w:val="24"/>
        </w:rPr>
        <w:t>. This condition has an incidence rate of 1.7 per 1000 births. It may be isolated or associated with established genetic syndromes. If polydactyly is non-syndromic, 30% of patients have a positive family history, which is most often expressed as autosomal-dominant inheritance with variable penetrance.</w:t>
      </w:r>
      <w:r w:rsidR="002B0E2F">
        <w:rPr>
          <w:rFonts w:ascii="Book Antiqua" w:hAnsi="Book Antiqua" w:cs="Times New Roman"/>
          <w:sz w:val="24"/>
          <w:szCs w:val="24"/>
        </w:rPr>
        <w:t xml:space="preserve"> </w:t>
      </w:r>
      <w:r w:rsidR="00D01B84" w:rsidRPr="00E572B3">
        <w:rPr>
          <w:rFonts w:ascii="Book Antiqua" w:hAnsi="Book Antiqua" w:cs="Times New Roman"/>
          <w:sz w:val="24"/>
          <w:szCs w:val="24"/>
        </w:rPr>
        <w:t>No sex pre</w:t>
      </w:r>
      <w:r w:rsidR="005056BB" w:rsidRPr="00E572B3">
        <w:rPr>
          <w:rFonts w:ascii="Book Antiqua" w:hAnsi="Book Antiqua" w:cs="Times New Roman"/>
          <w:sz w:val="24"/>
          <w:szCs w:val="24"/>
        </w:rPr>
        <w:t>dilections have been identified</w:t>
      </w:r>
      <w:r w:rsidR="005056BB" w:rsidRPr="00E572B3">
        <w:rPr>
          <w:rFonts w:ascii="Book Antiqua" w:hAnsi="Book Antiqua" w:cs="Times New Roman"/>
          <w:sz w:val="24"/>
          <w:szCs w:val="24"/>
          <w:vertAlign w:val="superscript"/>
        </w:rPr>
        <w:t>[7,</w:t>
      </w:r>
      <w:r w:rsidR="00D01B84" w:rsidRPr="00E572B3">
        <w:rPr>
          <w:rFonts w:ascii="Book Antiqua" w:hAnsi="Book Antiqua" w:cs="Times New Roman"/>
          <w:sz w:val="24"/>
          <w:szCs w:val="24"/>
          <w:vertAlign w:val="superscript"/>
        </w:rPr>
        <w:t>8]</w:t>
      </w:r>
      <w:r w:rsidR="00D01B84" w:rsidRPr="00E572B3">
        <w:rPr>
          <w:rFonts w:ascii="Book Antiqua" w:hAnsi="Book Antiqua" w:cs="Times New Roman"/>
          <w:sz w:val="24"/>
          <w:szCs w:val="24"/>
        </w:rPr>
        <w:t xml:space="preserve">. </w:t>
      </w:r>
    </w:p>
    <w:p w14:paraId="3970EFC0" w14:textId="3C9CBB65"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Several researchers have devised morphologic classification typ</w:t>
      </w:r>
      <w:r w:rsidR="005056BB" w:rsidRPr="00E572B3">
        <w:rPr>
          <w:rFonts w:ascii="Book Antiqua" w:hAnsi="Book Antiqua" w:cs="Times New Roman"/>
          <w:sz w:val="24"/>
          <w:szCs w:val="24"/>
        </w:rPr>
        <w:t>es for polydactyly. Venn-Watson</w:t>
      </w:r>
      <w:r w:rsidRPr="00E572B3">
        <w:rPr>
          <w:rFonts w:ascii="Book Antiqua" w:hAnsi="Book Antiqua" w:cs="Times New Roman"/>
          <w:sz w:val="24"/>
          <w:szCs w:val="24"/>
          <w:vertAlign w:val="superscript"/>
        </w:rPr>
        <w:t>[9]</w:t>
      </w:r>
      <w:r w:rsidRPr="00E572B3">
        <w:rPr>
          <w:rFonts w:ascii="Book Antiqua" w:hAnsi="Book Antiqua" w:cs="Times New Roman"/>
          <w:sz w:val="24"/>
          <w:szCs w:val="24"/>
        </w:rPr>
        <w:t xml:space="preserve"> created a classification system based upon the anatomic configuration of the fifth and first metatarsals and the duplicated bony parts. It recognized six metatarsal variations with duplicated distal phalangeal segments: Y-shaped fifth metatarsal; T-shaped fifth metatarsal; widened fifth metatarsal head; complete fifth metatarsal duplication; short, block first metatarsal; an</w:t>
      </w:r>
      <w:r w:rsidR="005056BB" w:rsidRPr="00E572B3">
        <w:rPr>
          <w:rFonts w:ascii="Book Antiqua" w:hAnsi="Book Antiqua" w:cs="Times New Roman"/>
          <w:sz w:val="24"/>
          <w:szCs w:val="24"/>
        </w:rPr>
        <w:t>d widened first metatarsal head</w:t>
      </w:r>
      <w:r w:rsidR="005056BB"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9]</w:t>
      </w:r>
      <w:r w:rsidR="005056BB" w:rsidRPr="00E572B3">
        <w:rPr>
          <w:rFonts w:ascii="Book Antiqua" w:hAnsi="Book Antiqua" w:cs="Times New Roman"/>
          <w:sz w:val="24"/>
          <w:szCs w:val="24"/>
        </w:rPr>
        <w:t xml:space="preserve">. Masada </w:t>
      </w:r>
      <w:r w:rsidR="005056BB"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[10]</w:t>
      </w:r>
      <w:r w:rsidRPr="00E572B3">
        <w:rPr>
          <w:rFonts w:ascii="Book Antiqua" w:hAnsi="Book Antiqua" w:cs="Times New Roman"/>
          <w:sz w:val="24"/>
          <w:szCs w:val="24"/>
        </w:rPr>
        <w:t xml:space="preserve"> created a variation of the Venn-Watson classification, expanding the two preaxial types to four: type 1, complete metatarsal (ray) duplication; type 2, complete phalangeal duplication; type 3, incomplete metatarsal duplication; and type 4, incomplete phal</w:t>
      </w:r>
      <w:r w:rsidR="005056BB" w:rsidRPr="00E572B3">
        <w:rPr>
          <w:rFonts w:ascii="Book Antiqua" w:hAnsi="Book Antiqua" w:cs="Times New Roman"/>
          <w:sz w:val="24"/>
          <w:szCs w:val="24"/>
        </w:rPr>
        <w:t>angeal duplication</w:t>
      </w:r>
      <w:r w:rsidR="005056BB"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10]</w:t>
      </w:r>
      <w:r w:rsidR="005056BB" w:rsidRPr="00E572B3">
        <w:rPr>
          <w:rFonts w:ascii="Book Antiqua" w:hAnsi="Book Antiqua" w:cs="Times New Roman"/>
          <w:sz w:val="24"/>
          <w:szCs w:val="24"/>
        </w:rPr>
        <w:t xml:space="preserve">. Watanabe </w:t>
      </w:r>
      <w:r w:rsidR="005056BB"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[21]</w:t>
      </w:r>
      <w:r w:rsidRPr="00E572B3">
        <w:rPr>
          <w:rFonts w:ascii="Book Antiqua" w:hAnsi="Book Antiqua" w:cs="Times New Roman"/>
          <w:sz w:val="24"/>
          <w:szCs w:val="24"/>
        </w:rPr>
        <w:t xml:space="preserve"> devised their own morphologic classification based upon ray involvements and levels of duplication. They classified foot polydactyly into three broad groups: medial ray, central ray, and lateral ray with each group further subdivided into tarsal, metatarsal, proximal phalangeal, </w:t>
      </w:r>
      <w:r w:rsidR="005056BB" w:rsidRPr="00E572B3">
        <w:rPr>
          <w:rFonts w:ascii="Book Antiqua" w:hAnsi="Book Antiqua" w:cs="Times New Roman"/>
          <w:sz w:val="24"/>
          <w:szCs w:val="24"/>
        </w:rPr>
        <w:t>and distal phalangeal subgroups</w:t>
      </w:r>
      <w:r w:rsidR="005056BB" w:rsidRPr="00E572B3">
        <w:rPr>
          <w:rFonts w:ascii="Book Antiqua" w:hAnsi="Book Antiqua" w:cs="Times New Roman"/>
          <w:sz w:val="24"/>
          <w:szCs w:val="24"/>
          <w:vertAlign w:val="superscript"/>
        </w:rPr>
        <w:t>[7,</w:t>
      </w:r>
      <w:r w:rsidRPr="00E572B3">
        <w:rPr>
          <w:rFonts w:ascii="Book Antiqua" w:hAnsi="Book Antiqua" w:cs="Times New Roman"/>
          <w:sz w:val="24"/>
          <w:szCs w:val="24"/>
          <w:vertAlign w:val="superscript"/>
        </w:rPr>
        <w:t>21]</w:t>
      </w:r>
      <w:r w:rsidR="005056BB" w:rsidRPr="00E572B3">
        <w:rPr>
          <w:rFonts w:ascii="Book Antiqua" w:hAnsi="Book Antiqua" w:cs="Times New Roman"/>
          <w:sz w:val="24"/>
          <w:szCs w:val="24"/>
        </w:rPr>
        <w:t xml:space="preserve">. Belthur </w:t>
      </w:r>
      <w:r w:rsidR="005056BB"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[7]</w:t>
      </w:r>
      <w:r w:rsidRPr="00E572B3">
        <w:rPr>
          <w:rFonts w:ascii="Book Antiqua" w:hAnsi="Book Antiqua" w:cs="Times New Roman"/>
          <w:sz w:val="24"/>
          <w:szCs w:val="24"/>
        </w:rPr>
        <w:t xml:space="preserve"> includes an additional categorization to that of the Watanabe et al</w:t>
      </w:r>
      <w:r w:rsidR="00AC5899" w:rsidRPr="00E572B3">
        <w:rPr>
          <w:rFonts w:ascii="Book Antiqua" w:hAnsi="Book Antiqua" w:cs="Times New Roman"/>
          <w:sz w:val="24"/>
          <w:szCs w:val="24"/>
          <w:vertAlign w:val="superscript"/>
        </w:rPr>
        <w:t>[7,11,21]</w:t>
      </w:r>
      <w:r w:rsidRPr="00E572B3">
        <w:rPr>
          <w:rFonts w:ascii="Book Antiqua" w:hAnsi="Book Antiqua" w:cs="Times New Roman"/>
          <w:sz w:val="24"/>
          <w:szCs w:val="24"/>
        </w:rPr>
        <w:t>’s morphologic classification known as mirror foot or d</w:t>
      </w:r>
      <w:r w:rsidR="005056BB" w:rsidRPr="00E572B3">
        <w:rPr>
          <w:rFonts w:ascii="Book Antiqua" w:hAnsi="Book Antiqua" w:cs="Times New Roman"/>
          <w:sz w:val="24"/>
          <w:szCs w:val="24"/>
        </w:rPr>
        <w:t>iplopodia</w:t>
      </w:r>
      <w:r w:rsidRPr="00E572B3">
        <w:rPr>
          <w:rFonts w:ascii="Book Antiqua" w:hAnsi="Book Antiqua" w:cs="Times New Roman"/>
          <w:sz w:val="24"/>
          <w:szCs w:val="24"/>
        </w:rPr>
        <w:t>.</w:t>
      </w:r>
    </w:p>
    <w:p w14:paraId="3CAA634E" w14:textId="5F9D117C"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Club </w:t>
      </w:r>
      <w:r w:rsidR="00AC5899" w:rsidRPr="00E572B3">
        <w:rPr>
          <w:rFonts w:ascii="Book Antiqua" w:hAnsi="Book Antiqua" w:cs="Times New Roman"/>
          <w:sz w:val="24"/>
          <w:szCs w:val="24"/>
        </w:rPr>
        <w:t xml:space="preserve">foot or </w:t>
      </w:r>
      <w:r w:rsidRPr="00E572B3">
        <w:rPr>
          <w:rFonts w:ascii="Book Antiqua" w:hAnsi="Book Antiqua" w:cs="Times New Roman"/>
          <w:sz w:val="24"/>
          <w:szCs w:val="24"/>
        </w:rPr>
        <w:t>CTEV is a complex, fixed deformity of the lower limb that is always present at birth and</w:t>
      </w:r>
      <w:r w:rsidR="00CE55F2" w:rsidRPr="00E572B3">
        <w:rPr>
          <w:rFonts w:ascii="Book Antiqua" w:hAnsi="Book Antiqua" w:cs="Times New Roman"/>
          <w:sz w:val="24"/>
          <w:szCs w:val="24"/>
        </w:rPr>
        <w:t xml:space="preserve"> can be unilateral or bilateral</w:t>
      </w:r>
      <w:r w:rsidRPr="00E572B3">
        <w:rPr>
          <w:rFonts w:ascii="Book Antiqua" w:hAnsi="Book Antiqua" w:cs="Times New Roman"/>
          <w:sz w:val="24"/>
          <w:szCs w:val="24"/>
          <w:vertAlign w:val="superscript"/>
        </w:rPr>
        <w:t>[12]</w:t>
      </w:r>
      <w:r w:rsidRPr="00E572B3">
        <w:rPr>
          <w:rFonts w:ascii="Book Antiqua" w:hAnsi="Book Antiqua" w:cs="Times New Roman"/>
          <w:sz w:val="24"/>
          <w:szCs w:val="24"/>
        </w:rPr>
        <w:t>. CTEV is a multiplanar deformity of the lower leg with a prevalence of on</w:t>
      </w:r>
      <w:r w:rsidR="00C126DD" w:rsidRPr="00E572B3">
        <w:rPr>
          <w:rFonts w:ascii="Book Antiqua" w:hAnsi="Book Antiqua" w:cs="Times New Roman"/>
          <w:sz w:val="24"/>
          <w:szCs w:val="24"/>
        </w:rPr>
        <w:t>e to three per 1000 live births</w:t>
      </w:r>
      <w:r w:rsidR="00C126DD" w:rsidRPr="00E572B3">
        <w:rPr>
          <w:rFonts w:ascii="Book Antiqua" w:hAnsi="Book Antiqua" w:cs="Times New Roman"/>
          <w:sz w:val="24"/>
          <w:szCs w:val="24"/>
          <w:vertAlign w:val="superscript"/>
        </w:rPr>
        <w:t>[13,</w:t>
      </w:r>
      <w:r w:rsidRPr="00E572B3">
        <w:rPr>
          <w:rFonts w:ascii="Book Antiqua" w:hAnsi="Book Antiqua" w:cs="Times New Roman"/>
          <w:sz w:val="24"/>
          <w:szCs w:val="24"/>
          <w:vertAlign w:val="superscript"/>
        </w:rPr>
        <w:t>14]</w:t>
      </w:r>
      <w:r w:rsidRPr="00E572B3">
        <w:rPr>
          <w:rFonts w:ascii="Book Antiqua" w:hAnsi="Book Antiqua" w:cs="Times New Roman"/>
          <w:sz w:val="24"/>
          <w:szCs w:val="24"/>
        </w:rPr>
        <w:t>.</w:t>
      </w:r>
      <w:r w:rsidRPr="00E572B3">
        <w:rPr>
          <w:rFonts w:ascii="Book Antiqua" w:hAnsi="Book Antiqua" w:cs="Times New Roman"/>
          <w:b/>
          <w:sz w:val="24"/>
          <w:szCs w:val="24"/>
        </w:rPr>
        <w:t xml:space="preserve"> </w:t>
      </w:r>
      <w:r w:rsidRPr="00E572B3">
        <w:rPr>
          <w:rFonts w:ascii="Book Antiqua" w:hAnsi="Book Antiqua" w:cs="Times New Roman"/>
          <w:sz w:val="24"/>
          <w:szCs w:val="24"/>
        </w:rPr>
        <w:t xml:space="preserve">It is twice as </w:t>
      </w:r>
      <w:r w:rsidRPr="00E572B3">
        <w:rPr>
          <w:rFonts w:ascii="Book Antiqua" w:hAnsi="Book Antiqua" w:cs="Times New Roman"/>
          <w:sz w:val="24"/>
          <w:szCs w:val="24"/>
        </w:rPr>
        <w:lastRenderedPageBreak/>
        <w:t>common in males and at lea</w:t>
      </w:r>
      <w:r w:rsidR="00C126DD" w:rsidRPr="00E572B3">
        <w:rPr>
          <w:rFonts w:ascii="Book Antiqua" w:hAnsi="Book Antiqua" w:cs="Times New Roman"/>
          <w:sz w:val="24"/>
          <w:szCs w:val="24"/>
        </w:rPr>
        <w:t>st half the cases are bilateral</w:t>
      </w:r>
      <w:r w:rsidR="00444C36">
        <w:rPr>
          <w:rFonts w:ascii="Book Antiqua" w:hAnsi="Book Antiqua" w:cs="Times New Roman"/>
          <w:sz w:val="24"/>
          <w:szCs w:val="24"/>
          <w:vertAlign w:val="superscript"/>
        </w:rPr>
        <w:t>[14</w:t>
      </w:r>
      <w:r w:rsidR="00444C36">
        <w:rPr>
          <w:rFonts w:ascii="Book Antiqua" w:hAnsi="Book Antiqua" w:cs="Times New Roman" w:hint="eastAsia"/>
          <w:sz w:val="24"/>
          <w:szCs w:val="24"/>
          <w:vertAlign w:val="superscript"/>
          <w:lang w:eastAsia="zh-CN"/>
        </w:rPr>
        <w:t>-</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Most occurrences of CTEV are sporadic, but cases of families with CTEV as an autosomal dominant trait have been repo</w:t>
      </w:r>
      <w:r w:rsidR="00C126DD" w:rsidRPr="00E572B3">
        <w:rPr>
          <w:rFonts w:ascii="Book Antiqua" w:hAnsi="Book Antiqua" w:cs="Times New Roman"/>
          <w:sz w:val="24"/>
          <w:szCs w:val="24"/>
        </w:rPr>
        <w:t>rted</w:t>
      </w:r>
      <w:r w:rsidRPr="00E572B3">
        <w:rPr>
          <w:rFonts w:ascii="Book Antiqua" w:hAnsi="Book Antiqua" w:cs="Times New Roman"/>
          <w:sz w:val="24"/>
          <w:szCs w:val="24"/>
          <w:vertAlign w:val="superscript"/>
        </w:rPr>
        <w:t>[14]</w:t>
      </w:r>
      <w:r w:rsidRPr="00E572B3">
        <w:rPr>
          <w:rFonts w:ascii="Book Antiqua" w:hAnsi="Book Antiqua" w:cs="Times New Roman"/>
          <w:sz w:val="24"/>
          <w:szCs w:val="24"/>
        </w:rPr>
        <w:t>. In addition, the risk of having a child with CTEV is around 20 to 30 times greater when a fi</w:t>
      </w:r>
      <w:r w:rsidR="00C126DD" w:rsidRPr="00E572B3">
        <w:rPr>
          <w:rFonts w:ascii="Book Antiqua" w:hAnsi="Book Antiqua" w:cs="Times New Roman"/>
          <w:sz w:val="24"/>
          <w:szCs w:val="24"/>
        </w:rPr>
        <w:t>rst-degree relative is affected</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Approximately 20% of CTEV cases are associated with</w:t>
      </w:r>
      <w:r w:rsidR="00C126DD" w:rsidRPr="00E572B3">
        <w:rPr>
          <w:rFonts w:ascii="Book Antiqua" w:hAnsi="Book Antiqua" w:cs="Times New Roman"/>
          <w:sz w:val="24"/>
          <w:szCs w:val="24"/>
        </w:rPr>
        <w:t xml:space="preserve"> other congenital abnormalities</w:t>
      </w:r>
      <w:r w:rsidRPr="00E572B3">
        <w:rPr>
          <w:rFonts w:ascii="Book Antiqua" w:hAnsi="Book Antiqua" w:cs="Times New Roman"/>
          <w:sz w:val="24"/>
          <w:szCs w:val="24"/>
          <w:vertAlign w:val="superscript"/>
        </w:rPr>
        <w:t>[19]</w:t>
      </w:r>
      <w:r w:rsidRPr="00E572B3">
        <w:rPr>
          <w:rFonts w:ascii="Book Antiqua" w:hAnsi="Book Antiqua" w:cs="Times New Roman"/>
          <w:sz w:val="24"/>
          <w:szCs w:val="24"/>
        </w:rPr>
        <w:t>.</w:t>
      </w:r>
    </w:p>
    <w:p w14:paraId="6FB076E8" w14:textId="7AE5D041"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There are three basic components of CTEV: equinus, v</w:t>
      </w:r>
      <w:r w:rsidR="005056BB" w:rsidRPr="00E572B3">
        <w:rPr>
          <w:rFonts w:ascii="Book Antiqua" w:hAnsi="Book Antiqua" w:cs="Times New Roman"/>
          <w:sz w:val="24"/>
          <w:szCs w:val="24"/>
        </w:rPr>
        <w:t>arus, and adduction deformities</w:t>
      </w:r>
      <w:r w:rsidRPr="00E572B3">
        <w:rPr>
          <w:rFonts w:ascii="Book Antiqua" w:hAnsi="Book Antiqua" w:cs="Times New Roman"/>
          <w:sz w:val="24"/>
          <w:szCs w:val="24"/>
          <w:vertAlign w:val="superscript"/>
        </w:rPr>
        <w:t>[14]</w:t>
      </w:r>
      <w:r w:rsidRPr="00E572B3">
        <w:rPr>
          <w:rFonts w:ascii="Book Antiqua" w:hAnsi="Book Antiqua" w:cs="Times New Roman"/>
          <w:sz w:val="24"/>
          <w:szCs w:val="24"/>
        </w:rPr>
        <w:t>. The talus is severely flexed, causing the calcaneus, and subsequently the entire foot, to adopt an equinus (horse-foot) posture. In this adducted and inverted position, the anterior portion of the calcaneus is lying directl</w:t>
      </w:r>
      <w:r w:rsidR="005056BB" w:rsidRPr="00E572B3">
        <w:rPr>
          <w:rFonts w:ascii="Book Antiqua" w:hAnsi="Book Antiqua" w:cs="Times New Roman"/>
          <w:sz w:val="24"/>
          <w:szCs w:val="24"/>
        </w:rPr>
        <w:t>y beneath the head of the talus</w:t>
      </w:r>
      <w:r w:rsidR="005056BB"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005056BB" w:rsidRPr="00E572B3">
        <w:rPr>
          <w:rFonts w:ascii="Book Antiqua" w:hAnsi="Book Antiqua" w:cs="Times New Roman"/>
          <w:sz w:val="24"/>
          <w:szCs w:val="24"/>
          <w:vertAlign w:val="superscript"/>
        </w:rPr>
        <w:t>,</w:t>
      </w:r>
      <w:r w:rsidRPr="00E572B3">
        <w:rPr>
          <w:rFonts w:ascii="Book Antiqua" w:hAnsi="Book Antiqua" w:cs="Times New Roman"/>
          <w:sz w:val="24"/>
          <w:szCs w:val="24"/>
          <w:vertAlign w:val="superscript"/>
        </w:rPr>
        <w:t>18]</w:t>
      </w:r>
      <w:r w:rsidRPr="00E572B3">
        <w:rPr>
          <w:rFonts w:ascii="Book Antiqua" w:hAnsi="Book Antiqua" w:cs="Times New Roman"/>
          <w:sz w:val="24"/>
          <w:szCs w:val="24"/>
        </w:rPr>
        <w:t>. This displacement is responsible for the severe varus deformity or oblique displacement</w:t>
      </w:r>
      <w:r w:rsidR="005056BB" w:rsidRPr="00E572B3">
        <w:rPr>
          <w:rFonts w:ascii="Book Antiqua" w:hAnsi="Book Antiqua" w:cs="Times New Roman"/>
          <w:sz w:val="24"/>
          <w:szCs w:val="24"/>
        </w:rPr>
        <w:t xml:space="preserve"> toward the midline of the heel</w:t>
      </w:r>
      <w:r w:rsidR="005056BB" w:rsidRPr="00E572B3">
        <w:rPr>
          <w:rFonts w:ascii="Book Antiqua" w:hAnsi="Book Antiqua" w:cs="Times New Roman"/>
          <w:sz w:val="24"/>
          <w:szCs w:val="24"/>
          <w:vertAlign w:val="superscript"/>
        </w:rPr>
        <w:t>[18,</w:t>
      </w:r>
      <w:r w:rsidRPr="00E572B3">
        <w:rPr>
          <w:rFonts w:ascii="Book Antiqua" w:hAnsi="Book Antiqua" w:cs="Times New Roman"/>
          <w:sz w:val="24"/>
          <w:szCs w:val="24"/>
          <w:vertAlign w:val="superscript"/>
        </w:rPr>
        <w:t>22]</w:t>
      </w:r>
      <w:r w:rsidRPr="00E572B3">
        <w:rPr>
          <w:rFonts w:ascii="Book Antiqua" w:hAnsi="Book Antiqua" w:cs="Times New Roman"/>
          <w:sz w:val="24"/>
          <w:szCs w:val="24"/>
        </w:rPr>
        <w:t>. The navicular is smaller than normal and articulates with the medial aspect of the neck of the talus, which forces the forefoot to adduct toward the midline. In addition, the cuboid is medially displaced and inv</w:t>
      </w:r>
      <w:r w:rsidR="005056BB" w:rsidRPr="00E572B3">
        <w:rPr>
          <w:rFonts w:ascii="Book Antiqua" w:hAnsi="Book Antiqua" w:cs="Times New Roman"/>
          <w:sz w:val="24"/>
          <w:szCs w:val="24"/>
        </w:rPr>
        <w:t>erted in front of the calcaneus</w:t>
      </w:r>
      <w:r w:rsidR="005056BB"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005056BB" w:rsidRPr="00E572B3">
        <w:rPr>
          <w:rFonts w:ascii="Book Antiqua" w:hAnsi="Book Antiqua" w:cs="Times New Roman"/>
          <w:sz w:val="24"/>
          <w:szCs w:val="24"/>
          <w:vertAlign w:val="superscript"/>
        </w:rPr>
        <w:t>,18,</w:t>
      </w:r>
      <w:r w:rsidRPr="00E572B3">
        <w:rPr>
          <w:rFonts w:ascii="Book Antiqua" w:hAnsi="Book Antiqua" w:cs="Times New Roman"/>
          <w:sz w:val="24"/>
          <w:szCs w:val="24"/>
          <w:vertAlign w:val="superscript"/>
        </w:rPr>
        <w:t>22]</w:t>
      </w:r>
      <w:r w:rsidRPr="00E572B3">
        <w:rPr>
          <w:rFonts w:ascii="Book Antiqua" w:hAnsi="Book Antiqua" w:cs="Times New Roman"/>
          <w:sz w:val="24"/>
          <w:szCs w:val="24"/>
        </w:rPr>
        <w:t xml:space="preserve">. The cuneiforms are displaced downward and inward in front of the navicular. The medial displacements of the navicular, cuboid, cuneiforms, and metatarsals contribute in varying degrees to the severe adduction of the club foot. The varus deformity of the calcaneus and the adducted mid-tarsometatarsal bones together are </w:t>
      </w:r>
      <w:r w:rsidR="005056BB" w:rsidRPr="00E572B3">
        <w:rPr>
          <w:rFonts w:ascii="Book Antiqua" w:hAnsi="Book Antiqua" w:cs="Times New Roman"/>
          <w:sz w:val="24"/>
          <w:szCs w:val="24"/>
        </w:rPr>
        <w:t>the cause of the foot inversion</w:t>
      </w:r>
      <w:r w:rsidR="005056BB" w:rsidRPr="00E572B3">
        <w:rPr>
          <w:rFonts w:ascii="Book Antiqua" w:hAnsi="Book Antiqua" w:cs="Times New Roman"/>
          <w:sz w:val="24"/>
          <w:szCs w:val="24"/>
          <w:vertAlign w:val="superscript"/>
        </w:rPr>
        <w:t>[18,</w:t>
      </w:r>
      <w:r w:rsidRPr="00E572B3">
        <w:rPr>
          <w:rFonts w:ascii="Book Antiqua" w:hAnsi="Book Antiqua" w:cs="Times New Roman"/>
          <w:sz w:val="24"/>
          <w:szCs w:val="24"/>
          <w:vertAlign w:val="superscript"/>
        </w:rPr>
        <w:t>22]</w:t>
      </w:r>
      <w:r w:rsidRPr="00E572B3">
        <w:rPr>
          <w:rFonts w:ascii="Book Antiqua" w:hAnsi="Book Antiqua" w:cs="Times New Roman"/>
          <w:sz w:val="24"/>
          <w:szCs w:val="24"/>
        </w:rPr>
        <w:t xml:space="preserve">. Generalized hypoplasia of the major foot bones causes the affected foot to be smaller than normal </w:t>
      </w:r>
      <w:r w:rsidR="005056BB" w:rsidRPr="00E572B3">
        <w:rPr>
          <w:rFonts w:ascii="Book Antiqua" w:hAnsi="Book Antiqua" w:cs="Times New Roman"/>
          <w:sz w:val="24"/>
          <w:szCs w:val="24"/>
          <w:vertAlign w:val="superscript"/>
        </w:rPr>
        <w:t>[1</w:t>
      </w:r>
      <w:r w:rsidR="000A6716">
        <w:rPr>
          <w:rFonts w:ascii="Book Antiqua" w:hAnsi="Book Antiqua" w:cs="Times New Roman" w:hint="eastAsia"/>
          <w:sz w:val="24"/>
          <w:szCs w:val="24"/>
          <w:vertAlign w:val="superscript"/>
          <w:lang w:eastAsia="zh-CN"/>
        </w:rPr>
        <w:t>6</w:t>
      </w:r>
      <w:r w:rsidR="005056BB" w:rsidRPr="00E572B3">
        <w:rPr>
          <w:rFonts w:ascii="Book Antiqua" w:hAnsi="Book Antiqua" w:cs="Times New Roman"/>
          <w:sz w:val="24"/>
          <w:szCs w:val="24"/>
          <w:vertAlign w:val="superscript"/>
        </w:rPr>
        <w:t>,</w:t>
      </w:r>
      <w:r w:rsidRPr="00E572B3">
        <w:rPr>
          <w:rFonts w:ascii="Book Antiqua" w:hAnsi="Book Antiqua" w:cs="Times New Roman"/>
          <w:sz w:val="24"/>
          <w:szCs w:val="24"/>
          <w:vertAlign w:val="superscript"/>
        </w:rPr>
        <w:t>19]</w:t>
      </w:r>
      <w:r w:rsidRPr="00E572B3">
        <w:rPr>
          <w:rFonts w:ascii="Book Antiqua" w:hAnsi="Book Antiqua" w:cs="Times New Roman"/>
          <w:sz w:val="24"/>
          <w:szCs w:val="24"/>
        </w:rPr>
        <w:t>. Commonly, th</w:t>
      </w:r>
      <w:r w:rsidR="005056BB" w:rsidRPr="00E572B3">
        <w:rPr>
          <w:rFonts w:ascii="Book Antiqua" w:hAnsi="Book Antiqua" w:cs="Times New Roman"/>
          <w:sz w:val="24"/>
          <w:szCs w:val="24"/>
        </w:rPr>
        <w:t>e first metatarsal ray is short</w:t>
      </w:r>
      <w:r w:rsidRPr="00E572B3">
        <w:rPr>
          <w:rFonts w:ascii="Book Antiqua" w:hAnsi="Book Antiqua" w:cs="Times New Roman"/>
          <w:sz w:val="24"/>
          <w:szCs w:val="24"/>
          <w:vertAlign w:val="superscript"/>
        </w:rPr>
        <w:t>[12]</w:t>
      </w:r>
      <w:r w:rsidRPr="00E572B3">
        <w:rPr>
          <w:rFonts w:ascii="Book Antiqua" w:hAnsi="Book Antiqua" w:cs="Times New Roman"/>
          <w:sz w:val="24"/>
          <w:szCs w:val="24"/>
        </w:rPr>
        <w:t>. Hypoplasia of the calf muscles is another well-recognized</w:t>
      </w:r>
      <w:r w:rsidR="005056BB" w:rsidRPr="00E572B3">
        <w:rPr>
          <w:rFonts w:ascii="Book Antiqua" w:hAnsi="Book Antiqua" w:cs="Times New Roman"/>
          <w:sz w:val="24"/>
          <w:szCs w:val="24"/>
        </w:rPr>
        <w:t xml:space="preserve"> anatomical abnormality of CTEV</w:t>
      </w:r>
      <w:r w:rsidRPr="00E572B3">
        <w:rPr>
          <w:rFonts w:ascii="Book Antiqua" w:hAnsi="Book Antiqua" w:cs="Times New Roman"/>
          <w:sz w:val="24"/>
          <w:szCs w:val="24"/>
          <w:vertAlign w:val="superscript"/>
        </w:rPr>
        <w:t>[19]</w:t>
      </w:r>
      <w:r w:rsidRPr="00E572B3">
        <w:rPr>
          <w:rFonts w:ascii="Book Antiqua" w:hAnsi="Book Antiqua" w:cs="Times New Roman"/>
          <w:sz w:val="24"/>
          <w:szCs w:val="24"/>
        </w:rPr>
        <w:t>. In addition, the abnormal positioning of the foot can create a deep medial and/or posterior foot crease on</w:t>
      </w:r>
      <w:r w:rsidR="005056BB" w:rsidRPr="00E572B3">
        <w:rPr>
          <w:rFonts w:ascii="Book Antiqua" w:hAnsi="Book Antiqua" w:cs="Times New Roman"/>
          <w:sz w:val="24"/>
          <w:szCs w:val="24"/>
        </w:rPr>
        <w:t xml:space="preserve"> the plantar aspect of the foot</w:t>
      </w:r>
      <w:r w:rsidR="00D112C0" w:rsidRPr="00E572B3">
        <w:rPr>
          <w:rFonts w:ascii="Book Antiqua" w:hAnsi="Book Antiqua" w:cs="Times New Roman"/>
          <w:sz w:val="24"/>
          <w:szCs w:val="24"/>
          <w:vertAlign w:val="superscript"/>
        </w:rPr>
        <w:t>[</w:t>
      </w:r>
      <w:r w:rsidR="00E572B3" w:rsidRPr="00E572B3">
        <w:rPr>
          <w:rFonts w:ascii="Book Antiqua" w:hAnsi="Book Antiqua" w:cs="Times New Roman" w:hint="eastAsia"/>
          <w:sz w:val="24"/>
          <w:szCs w:val="24"/>
          <w:vertAlign w:val="superscript"/>
          <w:lang w:eastAsia="zh-CN"/>
        </w:rPr>
        <w:t>15,</w:t>
      </w:r>
      <w:r w:rsidR="00E572B3" w:rsidRPr="00E572B3">
        <w:rPr>
          <w:rFonts w:ascii="Book Antiqua" w:hAnsi="Book Antiqua" w:cs="Times New Roman"/>
          <w:sz w:val="24"/>
          <w:szCs w:val="24"/>
          <w:vertAlign w:val="superscript"/>
        </w:rPr>
        <w:t>16,</w:t>
      </w:r>
      <w:r w:rsidRPr="00E572B3">
        <w:rPr>
          <w:rFonts w:ascii="Book Antiqua" w:hAnsi="Book Antiqua" w:cs="Times New Roman"/>
          <w:sz w:val="24"/>
          <w:szCs w:val="24"/>
          <w:vertAlign w:val="superscript"/>
        </w:rPr>
        <w:t>23]</w:t>
      </w:r>
      <w:r w:rsidRPr="00E572B3">
        <w:rPr>
          <w:rFonts w:ascii="Book Antiqua" w:hAnsi="Book Antiqua" w:cs="Times New Roman"/>
          <w:sz w:val="24"/>
          <w:szCs w:val="24"/>
        </w:rPr>
        <w:t>.</w:t>
      </w:r>
      <w:r w:rsidR="002B0E2F">
        <w:rPr>
          <w:rFonts w:ascii="Book Antiqua" w:hAnsi="Book Antiqua" w:cs="Times New Roman"/>
          <w:sz w:val="24"/>
          <w:szCs w:val="24"/>
        </w:rPr>
        <w:t xml:space="preserve"> </w:t>
      </w:r>
    </w:p>
    <w:p w14:paraId="5FCE9EBC" w14:textId="2CDE209B"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 xml:space="preserve"> The severity of the club foot deformity may be classified accordi</w:t>
      </w:r>
      <w:r w:rsidR="005056BB" w:rsidRPr="00E572B3">
        <w:rPr>
          <w:rFonts w:ascii="Book Antiqua" w:hAnsi="Book Antiqua" w:cs="Times New Roman"/>
          <w:sz w:val="24"/>
          <w:szCs w:val="24"/>
        </w:rPr>
        <w:t>ng to the Pirani scoring system</w:t>
      </w:r>
      <w:r w:rsidRPr="00E572B3">
        <w:rPr>
          <w:rFonts w:ascii="Book Antiqua" w:hAnsi="Book Antiqua" w:cs="Times New Roman"/>
          <w:sz w:val="24"/>
          <w:szCs w:val="24"/>
          <w:vertAlign w:val="superscript"/>
        </w:rPr>
        <w:t>[1</w:t>
      </w:r>
      <w:r w:rsidR="000A6716">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It includes six clinical features to describe the abnormality, with each being graded as zero, 0.5, or one depending on its severity. The scores are summed to give a score between zero and six with six be</w:t>
      </w:r>
      <w:r w:rsidR="005056BB" w:rsidRPr="00E572B3">
        <w:rPr>
          <w:rFonts w:ascii="Book Antiqua" w:hAnsi="Book Antiqua" w:cs="Times New Roman"/>
          <w:sz w:val="24"/>
          <w:szCs w:val="24"/>
        </w:rPr>
        <w:t>ing the most severe</w:t>
      </w:r>
      <w:r w:rsidRPr="00E572B3">
        <w:rPr>
          <w:rFonts w:ascii="Book Antiqua" w:hAnsi="Book Antiqua" w:cs="Times New Roman"/>
          <w:sz w:val="24"/>
          <w:szCs w:val="24"/>
          <w:vertAlign w:val="superscript"/>
        </w:rPr>
        <w:t>[1</w:t>
      </w:r>
      <w:r w:rsidR="000A6716">
        <w:rPr>
          <w:rFonts w:ascii="Book Antiqua" w:hAnsi="Book Antiqua" w:cs="Times New Roman" w:hint="eastAsia"/>
          <w:sz w:val="24"/>
          <w:szCs w:val="24"/>
          <w:vertAlign w:val="superscript"/>
          <w:lang w:eastAsia="zh-CN"/>
        </w:rPr>
        <w:t>7</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xml:space="preserve">. Clinical characteristics of children with CTEV include a hypotrophic anterior tibial artery and </w:t>
      </w:r>
      <w:r w:rsidRPr="00E572B3">
        <w:rPr>
          <w:rFonts w:ascii="Book Antiqua" w:hAnsi="Book Antiqua" w:cs="Times New Roman"/>
          <w:sz w:val="24"/>
          <w:szCs w:val="24"/>
        </w:rPr>
        <w:lastRenderedPageBreak/>
        <w:t xml:space="preserve">atrophy of </w:t>
      </w:r>
      <w:r w:rsidR="005056BB" w:rsidRPr="00E572B3">
        <w:rPr>
          <w:rFonts w:ascii="Book Antiqua" w:hAnsi="Book Antiqua" w:cs="Times New Roman"/>
          <w:sz w:val="24"/>
          <w:szCs w:val="24"/>
        </w:rPr>
        <w:t>the musculature around the calf</w:t>
      </w:r>
      <w:r w:rsidRPr="00E572B3">
        <w:rPr>
          <w:rFonts w:ascii="Book Antiqua" w:hAnsi="Book Antiqua" w:cs="Times New Roman"/>
          <w:sz w:val="24"/>
          <w:szCs w:val="24"/>
          <w:vertAlign w:val="superscript"/>
        </w:rPr>
        <w:t>[14]</w:t>
      </w:r>
      <w:r w:rsidRPr="00E572B3">
        <w:rPr>
          <w:rFonts w:ascii="Book Antiqua" w:hAnsi="Book Antiqua" w:cs="Times New Roman"/>
          <w:sz w:val="24"/>
          <w:szCs w:val="24"/>
        </w:rPr>
        <w:t xml:space="preserve">. In many patients, the dorsalis pedis artery </w:t>
      </w:r>
      <w:r w:rsidR="005056BB" w:rsidRPr="00E572B3">
        <w:rPr>
          <w:rFonts w:ascii="Book Antiqua" w:hAnsi="Book Antiqua" w:cs="Times New Roman"/>
          <w:sz w:val="24"/>
          <w:szCs w:val="24"/>
        </w:rPr>
        <w:t>is also affected or even absent</w:t>
      </w:r>
      <w:r w:rsidRPr="00E572B3">
        <w:rPr>
          <w:rFonts w:ascii="Book Antiqua" w:hAnsi="Book Antiqua" w:cs="Times New Roman"/>
          <w:sz w:val="24"/>
          <w:szCs w:val="24"/>
          <w:vertAlign w:val="superscript"/>
        </w:rPr>
        <w:t>[24]</w:t>
      </w:r>
      <w:r w:rsidRPr="00E572B3">
        <w:rPr>
          <w:rFonts w:ascii="Book Antiqua" w:hAnsi="Book Antiqua" w:cs="Times New Roman"/>
          <w:sz w:val="24"/>
          <w:szCs w:val="24"/>
        </w:rPr>
        <w:t>.</w:t>
      </w:r>
    </w:p>
    <w:p w14:paraId="14AC8743" w14:textId="26C6754F"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There are three classifications of CTEV: postural, idiopathic, and teratogenic or syndromic. Postural foot is a molding abnormality that is resolved with simple maternal manipulation shortly after birth. Idiopathic CTEV represents the majority of cases and has no known cause. Teratogenic or syndromic CTEV is associated with other diagnoses, such as arthrogryposis, spina bifid</w:t>
      </w:r>
      <w:r w:rsidR="00C126DD" w:rsidRPr="00E572B3">
        <w:rPr>
          <w:rFonts w:ascii="Book Antiqua" w:hAnsi="Book Antiqua" w:cs="Times New Roman"/>
          <w:sz w:val="24"/>
          <w:szCs w:val="24"/>
        </w:rPr>
        <w:t>a, and/or chromosomal anomalies</w:t>
      </w:r>
      <w:r w:rsidR="00C126DD"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5</w:t>
      </w:r>
      <w:r w:rsidR="00C126DD" w:rsidRPr="00E572B3">
        <w:rPr>
          <w:rFonts w:ascii="Book Antiqua" w:hAnsi="Book Antiqua" w:cs="Times New Roman"/>
          <w:sz w:val="24"/>
          <w:szCs w:val="24"/>
          <w:vertAlign w:val="superscript"/>
        </w:rPr>
        <w:t>,</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Pr="00E572B3">
        <w:rPr>
          <w:rFonts w:ascii="Book Antiqua" w:hAnsi="Book Antiqua" w:cs="Times New Roman"/>
          <w:sz w:val="24"/>
          <w:szCs w:val="24"/>
        </w:rPr>
        <w:t xml:space="preserve">. </w:t>
      </w:r>
    </w:p>
    <w:p w14:paraId="39CDDD92" w14:textId="397CBBEC" w:rsidR="00D01B84" w:rsidRPr="00E572B3" w:rsidRDefault="00C126DD"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The cause of CTEV is unknown</w:t>
      </w:r>
      <w:r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Pr="00E572B3">
        <w:rPr>
          <w:rFonts w:ascii="Book Antiqua" w:hAnsi="Book Antiqua" w:cs="Times New Roman"/>
          <w:sz w:val="24"/>
          <w:szCs w:val="24"/>
          <w:vertAlign w:val="superscript"/>
        </w:rPr>
        <w:t>,</w:t>
      </w:r>
      <w:r w:rsidR="00D01B84" w:rsidRPr="00E572B3">
        <w:rPr>
          <w:rFonts w:ascii="Book Antiqua" w:hAnsi="Book Antiqua" w:cs="Times New Roman"/>
          <w:sz w:val="24"/>
          <w:szCs w:val="24"/>
          <w:vertAlign w:val="superscript"/>
        </w:rPr>
        <w:t>19]</w:t>
      </w:r>
      <w:r w:rsidR="00D01B84" w:rsidRPr="00E572B3">
        <w:rPr>
          <w:rFonts w:ascii="Book Antiqua" w:hAnsi="Book Antiqua" w:cs="Times New Roman"/>
          <w:sz w:val="24"/>
          <w:szCs w:val="24"/>
        </w:rPr>
        <w:t>. There is a clear multifactorial inheritance pattern with many pot</w:t>
      </w:r>
      <w:r w:rsidRPr="00E572B3">
        <w:rPr>
          <w:rFonts w:ascii="Book Antiqua" w:hAnsi="Book Antiqua" w:cs="Times New Roman"/>
          <w:sz w:val="24"/>
          <w:szCs w:val="24"/>
        </w:rPr>
        <w:t>ential environmental influences</w:t>
      </w:r>
      <w:r w:rsidR="00D01B84" w:rsidRPr="00E572B3">
        <w:rPr>
          <w:rFonts w:ascii="Book Antiqua" w:hAnsi="Book Antiqua" w:cs="Times New Roman"/>
          <w:sz w:val="24"/>
          <w:szCs w:val="24"/>
          <w:vertAlign w:val="superscript"/>
        </w:rPr>
        <w:t>[1</w:t>
      </w:r>
      <w:r w:rsidR="00E572B3" w:rsidRPr="00E572B3">
        <w:rPr>
          <w:rFonts w:ascii="Book Antiqua" w:hAnsi="Book Antiqua" w:cs="Times New Roman" w:hint="eastAsia"/>
          <w:sz w:val="24"/>
          <w:szCs w:val="24"/>
          <w:vertAlign w:val="superscript"/>
          <w:lang w:eastAsia="zh-CN"/>
        </w:rPr>
        <w:t>6</w:t>
      </w:r>
      <w:r w:rsidR="00D01B84" w:rsidRPr="00E572B3">
        <w:rPr>
          <w:rFonts w:ascii="Book Antiqua" w:hAnsi="Book Antiqua" w:cs="Times New Roman"/>
          <w:sz w:val="24"/>
          <w:szCs w:val="24"/>
          <w:vertAlign w:val="superscript"/>
        </w:rPr>
        <w:t>]</w:t>
      </w:r>
      <w:r w:rsidR="00D01B84" w:rsidRPr="00E572B3">
        <w:rPr>
          <w:rFonts w:ascii="Book Antiqua" w:hAnsi="Book Antiqua" w:cs="Times New Roman"/>
          <w:sz w:val="24"/>
          <w:szCs w:val="24"/>
        </w:rPr>
        <w:t xml:space="preserve">. Possible causes of CTEV include an arrest during fetal development, a primary germ plasm defect in the talus causing continued plantar flexion and inversion of this bone with subsequent soft tissue changes in the joints and musculotendinous complexes, or an enteroviral infection affecting anterior horn cells resulting in club foot. Other potential causes include attempted abortion causing amniotic injury or hemorrhage which affect bone development, positioning </w:t>
      </w:r>
      <w:r w:rsidR="00D01B84" w:rsidRPr="00E572B3">
        <w:rPr>
          <w:rFonts w:ascii="Book Antiqua" w:hAnsi="Book Antiqua" w:cs="Times New Roman"/>
          <w:i/>
          <w:sz w:val="24"/>
          <w:szCs w:val="24"/>
        </w:rPr>
        <w:t>in utero</w:t>
      </w:r>
      <w:r w:rsidR="00D01B84" w:rsidRPr="00E572B3">
        <w:rPr>
          <w:rFonts w:ascii="Book Antiqua" w:hAnsi="Book Antiqua" w:cs="Times New Roman"/>
          <w:sz w:val="24"/>
          <w:szCs w:val="24"/>
        </w:rPr>
        <w:t>, or primary soft tissue abnormalities within the neuromuscular units</w:t>
      </w:r>
      <w:r w:rsidR="00D112C0" w:rsidRPr="00E572B3">
        <w:rPr>
          <w:rFonts w:ascii="Book Antiqua" w:hAnsi="Book Antiqua" w:cs="Times New Roman"/>
          <w:sz w:val="24"/>
          <w:szCs w:val="24"/>
        </w:rPr>
        <w:t xml:space="preserve"> causing secondary bony changes</w:t>
      </w:r>
      <w:r w:rsidR="00D01B84" w:rsidRPr="00E572B3">
        <w:rPr>
          <w:rFonts w:ascii="Book Antiqua" w:hAnsi="Book Antiqua" w:cs="Times New Roman"/>
          <w:sz w:val="24"/>
          <w:szCs w:val="24"/>
          <w:vertAlign w:val="superscript"/>
        </w:rPr>
        <w:t>[14]</w:t>
      </w:r>
      <w:r w:rsidR="00D01B84" w:rsidRPr="00E572B3">
        <w:rPr>
          <w:rFonts w:ascii="Book Antiqua" w:hAnsi="Book Antiqua" w:cs="Times New Roman"/>
          <w:sz w:val="24"/>
          <w:szCs w:val="24"/>
        </w:rPr>
        <w:t>. Retracting fibrosis has also been identified as a primary etiological f</w:t>
      </w:r>
      <w:r w:rsidR="00D112C0" w:rsidRPr="00E572B3">
        <w:rPr>
          <w:rFonts w:ascii="Book Antiqua" w:hAnsi="Book Antiqua" w:cs="Times New Roman"/>
          <w:sz w:val="24"/>
          <w:szCs w:val="24"/>
        </w:rPr>
        <w:t>actor of the club foot deformity</w:t>
      </w:r>
      <w:r w:rsidR="00D01B84" w:rsidRPr="00E572B3">
        <w:rPr>
          <w:rFonts w:ascii="Book Antiqua" w:hAnsi="Book Antiqua" w:cs="Times New Roman"/>
          <w:sz w:val="24"/>
          <w:szCs w:val="24"/>
          <w:vertAlign w:val="superscript"/>
        </w:rPr>
        <w:t>[18]</w:t>
      </w:r>
      <w:r w:rsidR="00D01B84" w:rsidRPr="00E572B3">
        <w:rPr>
          <w:rFonts w:ascii="Book Antiqua" w:hAnsi="Book Antiqua" w:cs="Times New Roman"/>
          <w:sz w:val="24"/>
          <w:szCs w:val="24"/>
        </w:rPr>
        <w:t>.</w:t>
      </w:r>
    </w:p>
    <w:p w14:paraId="29BA07C7" w14:textId="28AB9D0F" w:rsidR="00D01B84" w:rsidRPr="00E572B3" w:rsidRDefault="00D01B84" w:rsidP="00A71D9E">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Although each of the aforementioned syndromes is relatively rare, comorbidity of all three of these disorders is even rarer, if not unique (1.7</w:t>
      </w:r>
      <w:r w:rsidR="00AC5899" w:rsidRPr="00E572B3">
        <w:rPr>
          <w:rFonts w:ascii="Book Antiqua" w:hAnsi="Book Antiqua" w:cs="Times New Roman" w:hint="eastAsia"/>
          <w:sz w:val="24"/>
          <w:szCs w:val="24"/>
          <w:lang w:eastAsia="zh-CN"/>
        </w:rPr>
        <w:t>-</w:t>
      </w:r>
      <w:r w:rsidRPr="00E572B3">
        <w:rPr>
          <w:rFonts w:ascii="Book Antiqua" w:hAnsi="Book Antiqua" w:cs="Times New Roman"/>
          <w:sz w:val="24"/>
          <w:szCs w:val="24"/>
        </w:rPr>
        <w:t xml:space="preserve">5.1 </w:t>
      </w:r>
      <w:r w:rsidR="00AC5899" w:rsidRPr="00E572B3">
        <w:rPr>
          <w:rFonts w:ascii="Book Antiqua" w:hAnsi="Book Antiqua" w:cs="Times New Roman"/>
          <w:sz w:val="24"/>
          <w:szCs w:val="24"/>
        </w:rPr>
        <w:t>×</w:t>
      </w:r>
      <w:r w:rsidRPr="00E572B3">
        <w:rPr>
          <w:rFonts w:ascii="Book Antiqua" w:hAnsi="Book Antiqua" w:cs="Times New Roman"/>
          <w:sz w:val="24"/>
          <w:szCs w:val="24"/>
        </w:rPr>
        <w:t xml:space="preserve"> 10</w:t>
      </w:r>
      <w:r w:rsidRPr="00E572B3">
        <w:rPr>
          <w:rFonts w:ascii="Book Antiqua" w:hAnsi="Book Antiqua" w:cs="Times New Roman"/>
          <w:sz w:val="24"/>
          <w:szCs w:val="24"/>
          <w:vertAlign w:val="superscript"/>
        </w:rPr>
        <w:t>12</w:t>
      </w:r>
      <w:r w:rsidRPr="00E572B3">
        <w:rPr>
          <w:rFonts w:ascii="Book Antiqua" w:hAnsi="Book Antiqua" w:cs="Times New Roman"/>
          <w:sz w:val="24"/>
          <w:szCs w:val="24"/>
        </w:rPr>
        <w:t>). In this individual, all three of these conditions occurred simultaneously. O</w:t>
      </w:r>
      <w:r w:rsidR="00D112C0" w:rsidRPr="00E572B3">
        <w:rPr>
          <w:rFonts w:ascii="Book Antiqua" w:hAnsi="Book Antiqua" w:cs="Times New Roman"/>
          <w:sz w:val="24"/>
          <w:szCs w:val="24"/>
        </w:rPr>
        <w:t xml:space="preserve">ne other study </w:t>
      </w:r>
      <w:r w:rsidR="00AC5899" w:rsidRPr="00E572B3">
        <w:rPr>
          <w:rFonts w:ascii="Book Antiqua" w:hAnsi="Book Antiqua" w:cs="Times New Roman"/>
          <w:sz w:val="24"/>
          <w:szCs w:val="24"/>
        </w:rPr>
        <w:t xml:space="preserve">(Hootnick </w:t>
      </w:r>
      <w:r w:rsidR="00AC5899"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[6]</w:t>
      </w:r>
      <w:r w:rsidRPr="00E572B3">
        <w:rPr>
          <w:rFonts w:ascii="Book Antiqua" w:hAnsi="Book Antiqua" w:cs="Times New Roman"/>
          <w:sz w:val="24"/>
          <w:szCs w:val="24"/>
        </w:rPr>
        <w:t>) with similar presentation was found in our literature search.</w:t>
      </w:r>
      <w:r w:rsidR="002B0E2F">
        <w:rPr>
          <w:rFonts w:ascii="Book Antiqua" w:hAnsi="Book Antiqua" w:cs="Times New Roman"/>
          <w:sz w:val="24"/>
          <w:szCs w:val="24"/>
        </w:rPr>
        <w:t xml:space="preserve"> </w:t>
      </w:r>
      <w:r w:rsidRPr="00E572B3">
        <w:rPr>
          <w:rFonts w:ascii="Book Antiqua" w:hAnsi="Book Antiqua" w:cs="Times New Roman"/>
          <w:sz w:val="24"/>
          <w:szCs w:val="24"/>
        </w:rPr>
        <w:t xml:space="preserve">Both similarities and differences were observed and noted. </w:t>
      </w:r>
    </w:p>
    <w:p w14:paraId="60C919AF" w14:textId="124EA870" w:rsidR="00D01B84" w:rsidRPr="00E572B3" w:rsidRDefault="00D01B84"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sz w:val="24"/>
          <w:szCs w:val="24"/>
        </w:rPr>
        <w:tab/>
        <w:t xml:space="preserve">Similar to </w:t>
      </w:r>
      <w:r w:rsidR="00D112C0" w:rsidRPr="00E572B3">
        <w:rPr>
          <w:rFonts w:ascii="Book Antiqua" w:hAnsi="Book Antiqua" w:cs="Times New Roman"/>
          <w:sz w:val="24"/>
          <w:szCs w:val="24"/>
        </w:rPr>
        <w:t xml:space="preserve">the findings of </w:t>
      </w:r>
      <w:r w:rsidR="00AC5899" w:rsidRPr="00E572B3">
        <w:rPr>
          <w:rFonts w:ascii="Book Antiqua" w:hAnsi="Book Antiqua" w:cs="Times New Roman"/>
          <w:sz w:val="24"/>
          <w:szCs w:val="24"/>
        </w:rPr>
        <w:t xml:space="preserve">Hootnick </w:t>
      </w:r>
      <w:r w:rsidR="00AC5899"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[6]</w:t>
      </w:r>
      <w:r w:rsidRPr="00E572B3">
        <w:rPr>
          <w:rFonts w:ascii="Book Antiqua" w:hAnsi="Book Antiqua" w:cs="Times New Roman"/>
          <w:sz w:val="24"/>
          <w:szCs w:val="24"/>
        </w:rPr>
        <w:t>, we found the limb displayed hip dysplasia with equal femur lengths. The femur displayed no visible condyles or epiphyses on the radiographs. The tibia was absent (TH), and the fibula was complete, but bowed, shortened, and thickened. The navicular was small and deficient. There were three tarsal bones identifiable, but no cuboid or cuneiforms were visible on the radiographs.</w:t>
      </w:r>
    </w:p>
    <w:p w14:paraId="1DEB37DA" w14:textId="71A965C9" w:rsidR="00D01B84" w:rsidRPr="00E572B3" w:rsidRDefault="00D01B84" w:rsidP="00A71D9E">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b/>
          <w:sz w:val="24"/>
          <w:szCs w:val="24"/>
        </w:rPr>
        <w:lastRenderedPageBreak/>
        <w:tab/>
      </w:r>
      <w:r w:rsidRPr="00E572B3">
        <w:rPr>
          <w:rFonts w:ascii="Book Antiqua" w:hAnsi="Book Antiqua" w:cs="Times New Roman"/>
          <w:sz w:val="24"/>
          <w:szCs w:val="24"/>
        </w:rPr>
        <w:t>Our findings diffe</w:t>
      </w:r>
      <w:r w:rsidR="00D112C0" w:rsidRPr="00E572B3">
        <w:rPr>
          <w:rFonts w:ascii="Book Antiqua" w:hAnsi="Book Antiqua" w:cs="Times New Roman"/>
          <w:sz w:val="24"/>
          <w:szCs w:val="24"/>
        </w:rPr>
        <w:t xml:space="preserve">r from those of </w:t>
      </w:r>
      <w:r w:rsidR="00AC5899" w:rsidRPr="00E572B3">
        <w:rPr>
          <w:rFonts w:ascii="Book Antiqua" w:hAnsi="Book Antiqua" w:cs="Times New Roman"/>
          <w:sz w:val="24"/>
          <w:szCs w:val="24"/>
        </w:rPr>
        <w:t xml:space="preserve">Hootnick </w:t>
      </w:r>
      <w:r w:rsidR="00AC5899"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[6]</w:t>
      </w:r>
      <w:r w:rsidRPr="00E572B3">
        <w:rPr>
          <w:rFonts w:ascii="Book Antiqua" w:hAnsi="Book Antiqua" w:cs="Times New Roman"/>
          <w:sz w:val="24"/>
          <w:szCs w:val="24"/>
        </w:rPr>
        <w:t xml:space="preserve"> in</w:t>
      </w:r>
      <w:r w:rsidR="00BA0CD3" w:rsidRPr="00E572B3">
        <w:rPr>
          <w:rFonts w:ascii="Book Antiqua" w:hAnsi="Book Antiqua" w:cs="Times New Roman"/>
          <w:sz w:val="24"/>
          <w:szCs w:val="24"/>
        </w:rPr>
        <w:t xml:space="preserve"> that our case involved a seven-</w:t>
      </w:r>
      <w:r w:rsidRPr="00E572B3">
        <w:rPr>
          <w:rFonts w:ascii="Book Antiqua" w:hAnsi="Book Antiqua" w:cs="Times New Roman"/>
          <w:sz w:val="24"/>
          <w:szCs w:val="24"/>
        </w:rPr>
        <w:t xml:space="preserve">month old female; theirs, a </w:t>
      </w:r>
      <w:r w:rsidR="003A7EDA" w:rsidRPr="00E572B3">
        <w:rPr>
          <w:rFonts w:ascii="Book Antiqua" w:hAnsi="Book Antiqua" w:cs="Times New Roman"/>
          <w:sz w:val="24"/>
          <w:szCs w:val="24"/>
        </w:rPr>
        <w:t>15-mo</w:t>
      </w:r>
      <w:r w:rsidRPr="00E572B3">
        <w:rPr>
          <w:rFonts w:ascii="Book Antiqua" w:hAnsi="Book Antiqua" w:cs="Times New Roman"/>
          <w:sz w:val="24"/>
          <w:szCs w:val="24"/>
        </w:rPr>
        <w:t xml:space="preserve"> old male. In our case, the left limb was affected; in theirs, the right limb was affected. In our case, there was proximal articulation of the fibula and femur; in theirs, there was no evident proximal articulation. In our case, there was no tendinous band in place of the tibia; in theirs, a tendinous band connected the medial head of the fibula to the medial side of the lateral malleolus. In our case, there were seven metatarsals; in theirs, there were six. In our case, the metatarsals and phalanges two and three were normal, but four and five were abnormal; in theirs, metatarsals and phalanges were normal for digits three through five, with a normal second metatarsal with bifid proximal phalanx. In our case, there were seven digits with a hallux; in theirs, no hallux was identifiable. In our case, there were two supernumerary toes: toes A and B; in theirs, three supernumerary toes: toes A, B, and C, with partial syndactyly between toes two, A, and B. In our case, toe A was normal, but toe B was missing the middle and distal phalanges; in theirs, the second metatarsal was normal, except a medial bony projection.</w:t>
      </w:r>
      <w:r w:rsidR="002B0E2F">
        <w:rPr>
          <w:rFonts w:ascii="Book Antiqua" w:hAnsi="Book Antiqua" w:cs="Times New Roman"/>
          <w:sz w:val="24"/>
          <w:szCs w:val="24"/>
        </w:rPr>
        <w:t xml:space="preserve"> </w:t>
      </w:r>
    </w:p>
    <w:p w14:paraId="63CA6189" w14:textId="7D386134" w:rsidR="00D01B84" w:rsidRPr="00E572B3" w:rsidRDefault="00D01B84" w:rsidP="00A71D9E">
      <w:pPr>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sz w:val="24"/>
          <w:szCs w:val="24"/>
        </w:rPr>
        <w:t>Thus, this child seems to have partial mirror foot polydactyly consisting of only mirrored copies of the second and third toes, but not the hallux. This child exhibited preaxial polydactyly and CTEV as a result of having TH. As a result of the absence of the tibia, the foot became severely inverted and adducted as it articulated with the fibula. Since the patient’s parents had no identifiable limb or other malformations, it is most likely that this disorder may have been the result of a rare autosomal recessive gene</w:t>
      </w:r>
      <w:r w:rsidRPr="00E572B3">
        <w:rPr>
          <w:rFonts w:ascii="Book Antiqua" w:hAnsi="Book Antiqua" w:cs="Times New Roman"/>
          <w:sz w:val="24"/>
          <w:szCs w:val="24"/>
          <w:vertAlign w:val="superscript"/>
        </w:rPr>
        <w:t>[12]</w:t>
      </w:r>
      <w:r w:rsidRPr="00E572B3">
        <w:rPr>
          <w:rFonts w:ascii="Book Antiqua" w:hAnsi="Book Antiqua" w:cs="Times New Roman"/>
          <w:sz w:val="24"/>
          <w:szCs w:val="24"/>
        </w:rPr>
        <w:t xml:space="preserve">, </w:t>
      </w:r>
      <w:r w:rsidRPr="00E229F3">
        <w:rPr>
          <w:rFonts w:ascii="Book Antiqua" w:hAnsi="Book Antiqua" w:cs="Times New Roman"/>
          <w:i/>
          <w:sz w:val="24"/>
          <w:szCs w:val="24"/>
        </w:rPr>
        <w:t>de novo</w:t>
      </w:r>
      <w:r w:rsidRPr="00E572B3">
        <w:rPr>
          <w:rFonts w:ascii="Book Antiqua" w:hAnsi="Book Antiqua" w:cs="Times New Roman"/>
          <w:sz w:val="24"/>
          <w:szCs w:val="24"/>
        </w:rPr>
        <w:t xml:space="preserve"> dominant mutation, or localized vascular malformation during limb formation. A possible teratogenic event may have occurred in the affected leg at a time when limb developmental specifications had proceeded to the lower leg and foot</w:t>
      </w:r>
      <w:r w:rsidRPr="00E572B3">
        <w:rPr>
          <w:rFonts w:ascii="Book Antiqua" w:hAnsi="Book Antiqua" w:cs="Times New Roman"/>
          <w:sz w:val="24"/>
          <w:szCs w:val="24"/>
          <w:vertAlign w:val="superscript"/>
        </w:rPr>
        <w:t>[5]</w:t>
      </w:r>
      <w:r w:rsidRPr="00E572B3">
        <w:rPr>
          <w:rFonts w:ascii="Book Antiqua" w:hAnsi="Book Antiqua" w:cs="Times New Roman"/>
          <w:sz w:val="24"/>
          <w:szCs w:val="24"/>
        </w:rPr>
        <w:t>.</w:t>
      </w:r>
    </w:p>
    <w:p w14:paraId="4B0AD9FA" w14:textId="74BACFEA" w:rsidR="00AC5899" w:rsidRPr="00E572B3" w:rsidRDefault="00AC5899" w:rsidP="00E572B3">
      <w:pPr>
        <w:autoSpaceDE w:val="0"/>
        <w:autoSpaceDN w:val="0"/>
        <w:adjustRightInd w:val="0"/>
        <w:snapToGrid w:val="0"/>
        <w:spacing w:after="0" w:line="360" w:lineRule="auto"/>
        <w:ind w:firstLine="720"/>
        <w:jc w:val="both"/>
        <w:rPr>
          <w:rFonts w:ascii="Book Antiqua" w:hAnsi="Book Antiqua" w:cs="Times New Roman"/>
          <w:sz w:val="24"/>
          <w:szCs w:val="24"/>
        </w:rPr>
      </w:pPr>
      <w:r w:rsidRPr="00E572B3">
        <w:rPr>
          <w:rFonts w:ascii="Book Antiqua" w:hAnsi="Book Antiqua" w:cs="Times New Roman" w:hint="eastAsia"/>
          <w:sz w:val="24"/>
          <w:szCs w:val="24"/>
          <w:lang w:eastAsia="zh-CN"/>
        </w:rPr>
        <w:t xml:space="preserve">In </w:t>
      </w:r>
      <w:r w:rsidRPr="00E572B3">
        <w:rPr>
          <w:rFonts w:ascii="Book Antiqua" w:hAnsi="Book Antiqua" w:cs="Times New Roman"/>
          <w:sz w:val="24"/>
          <w:szCs w:val="24"/>
        </w:rPr>
        <w:t>conclusion</w:t>
      </w:r>
      <w:r w:rsidRPr="00E572B3">
        <w:rPr>
          <w:rFonts w:ascii="Book Antiqua" w:hAnsi="Book Antiqua" w:cs="Times New Roman" w:hint="eastAsia"/>
          <w:sz w:val="24"/>
          <w:szCs w:val="24"/>
          <w:lang w:eastAsia="zh-CN"/>
        </w:rPr>
        <w:t>, t</w:t>
      </w:r>
      <w:r w:rsidRPr="00E572B3">
        <w:rPr>
          <w:rFonts w:ascii="Book Antiqua" w:hAnsi="Book Antiqua" w:cs="Times New Roman"/>
          <w:sz w:val="24"/>
          <w:szCs w:val="24"/>
        </w:rPr>
        <w:t xml:space="preserve">his case report analyzes the anatomical findings associated with systematic post-surgical examination of the foot of a seven-month old female presenting with a very rare combination of lower limb malformations. These observations include superficial dissection, </w:t>
      </w:r>
      <w:r w:rsidR="00E229F3">
        <w:rPr>
          <w:rFonts w:ascii="Book Antiqua" w:hAnsi="Book Antiqua" w:cs="Times New Roman" w:hint="eastAsia"/>
          <w:sz w:val="24"/>
          <w:szCs w:val="24"/>
          <w:lang w:eastAsia="zh-CN"/>
        </w:rPr>
        <w:t>X</w:t>
      </w:r>
      <w:r w:rsidRPr="00E572B3">
        <w:rPr>
          <w:rFonts w:ascii="Book Antiqua" w:hAnsi="Book Antiqua" w:cs="Times New Roman"/>
          <w:sz w:val="24"/>
          <w:szCs w:val="24"/>
        </w:rPr>
        <w:t xml:space="preserve">-rays and CT scans. Hootnick </w:t>
      </w:r>
      <w:r w:rsidRPr="00E572B3">
        <w:rPr>
          <w:rFonts w:ascii="Book Antiqua" w:hAnsi="Book Antiqua" w:cs="Times New Roman"/>
          <w:i/>
          <w:sz w:val="24"/>
          <w:szCs w:val="24"/>
        </w:rPr>
        <w:t>et al</w:t>
      </w:r>
      <w:r w:rsidRPr="00E572B3">
        <w:rPr>
          <w:rFonts w:ascii="Book Antiqua" w:hAnsi="Book Antiqua" w:cs="Times New Roman"/>
          <w:sz w:val="24"/>
          <w:szCs w:val="24"/>
          <w:vertAlign w:val="superscript"/>
        </w:rPr>
        <w:t>[6]</w:t>
      </w:r>
      <w:r w:rsidRPr="00E572B3">
        <w:rPr>
          <w:rFonts w:ascii="Book Antiqua" w:hAnsi="Book Antiqua" w:cs="Times New Roman"/>
          <w:sz w:val="24"/>
          <w:szCs w:val="24"/>
        </w:rPr>
        <w:t xml:space="preserve"> also described a similar case in the right lower limb of a 15-mo old male with comparable rare findings to our case, </w:t>
      </w:r>
      <w:r w:rsidRPr="00E572B3">
        <w:rPr>
          <w:rFonts w:ascii="Book Antiqua" w:hAnsi="Book Antiqua" w:cs="Times New Roman"/>
          <w:sz w:val="24"/>
          <w:szCs w:val="24"/>
        </w:rPr>
        <w:lastRenderedPageBreak/>
        <w:t>but with some notable and noteworthy differences. Due to the rarity of this combination of anatomical findings, descriptions of such cases are very infrequent in the literature.</w:t>
      </w:r>
    </w:p>
    <w:p w14:paraId="5653F5DA" w14:textId="77777777" w:rsidR="00AC5899" w:rsidRPr="00E572B3" w:rsidRDefault="00AC5899" w:rsidP="00A71D9E">
      <w:pPr>
        <w:autoSpaceDE w:val="0"/>
        <w:autoSpaceDN w:val="0"/>
        <w:adjustRightInd w:val="0"/>
        <w:snapToGrid w:val="0"/>
        <w:spacing w:after="0" w:line="360" w:lineRule="auto"/>
        <w:jc w:val="both"/>
        <w:rPr>
          <w:rFonts w:ascii="Book Antiqua" w:hAnsi="Book Antiqua" w:cs="Times New Roman"/>
          <w:sz w:val="24"/>
          <w:szCs w:val="24"/>
          <w:lang w:eastAsia="zh-CN"/>
        </w:rPr>
      </w:pPr>
    </w:p>
    <w:p w14:paraId="121E5F72" w14:textId="77777777"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ACKNOWLEDGEMENTS</w:t>
      </w:r>
    </w:p>
    <w:p w14:paraId="32404140" w14:textId="77777777" w:rsidR="00D01B84" w:rsidRPr="00E572B3" w:rsidRDefault="00D01B84" w:rsidP="00AC5899">
      <w:pPr>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sz w:val="24"/>
          <w:szCs w:val="24"/>
        </w:rPr>
        <w:t>The authors would like to thank the family for this generous donation.</w:t>
      </w:r>
    </w:p>
    <w:p w14:paraId="66140DDD" w14:textId="77777777" w:rsidR="001E2E40" w:rsidRPr="00E572B3" w:rsidRDefault="001E2E40" w:rsidP="00A71D9E">
      <w:pPr>
        <w:autoSpaceDE w:val="0"/>
        <w:autoSpaceDN w:val="0"/>
        <w:adjustRightInd w:val="0"/>
        <w:snapToGrid w:val="0"/>
        <w:spacing w:after="0" w:line="360" w:lineRule="auto"/>
        <w:jc w:val="both"/>
        <w:rPr>
          <w:rFonts w:ascii="Book Antiqua" w:hAnsi="Book Antiqua" w:cs="Times New Roman"/>
          <w:b/>
          <w:sz w:val="24"/>
          <w:szCs w:val="24"/>
        </w:rPr>
      </w:pPr>
    </w:p>
    <w:p w14:paraId="6ADC8A71" w14:textId="3D9A409C" w:rsidR="002B6E8B" w:rsidRPr="00E572B3" w:rsidRDefault="002B6E8B" w:rsidP="00A71D9E">
      <w:pPr>
        <w:adjustRightInd w:val="0"/>
        <w:snapToGrid w:val="0"/>
        <w:spacing w:after="0" w:line="360" w:lineRule="auto"/>
        <w:jc w:val="both"/>
        <w:rPr>
          <w:rFonts w:ascii="Book Antiqua" w:hAnsi="Book Antiqua" w:cs="Times New Roman"/>
          <w:b/>
          <w:sz w:val="24"/>
          <w:szCs w:val="24"/>
          <w:lang w:eastAsia="zh-CN"/>
        </w:rPr>
      </w:pPr>
      <w:r w:rsidRPr="00E572B3">
        <w:rPr>
          <w:rFonts w:ascii="Book Antiqua" w:hAnsi="Book Antiqua" w:cs="Times New Roman" w:hint="eastAsia"/>
          <w:b/>
          <w:sz w:val="24"/>
          <w:szCs w:val="24"/>
          <w:lang w:eastAsia="zh-CN"/>
        </w:rPr>
        <w:t>COMMENT</w:t>
      </w:r>
      <w:r w:rsidR="009A49D9" w:rsidRPr="00E572B3">
        <w:rPr>
          <w:rFonts w:ascii="Book Antiqua" w:hAnsi="Book Antiqua" w:cs="Times New Roman"/>
          <w:b/>
          <w:sz w:val="24"/>
          <w:szCs w:val="24"/>
          <w:lang w:eastAsia="zh-CN"/>
        </w:rPr>
        <w:t>S</w:t>
      </w:r>
    </w:p>
    <w:p w14:paraId="27327450" w14:textId="77777777" w:rsidR="00C348CB" w:rsidRPr="00E572B3" w:rsidRDefault="00C348CB" w:rsidP="00C348CB">
      <w:pPr>
        <w:spacing w:after="0" w:line="360" w:lineRule="auto"/>
        <w:jc w:val="both"/>
        <w:rPr>
          <w:rFonts w:ascii="Book Antiqua" w:hAnsi="Book Antiqua" w:cs="Book Antiqua"/>
          <w:b/>
          <w:i/>
          <w:sz w:val="24"/>
          <w:szCs w:val="24"/>
        </w:rPr>
      </w:pPr>
      <w:r w:rsidRPr="00E572B3">
        <w:rPr>
          <w:rFonts w:ascii="Book Antiqua" w:hAnsi="Book Antiqua" w:cs="Book Antiqua"/>
          <w:b/>
          <w:i/>
          <w:sz w:val="24"/>
          <w:szCs w:val="24"/>
        </w:rPr>
        <w:t>Case characteristics</w:t>
      </w:r>
    </w:p>
    <w:p w14:paraId="259F1A37" w14:textId="1AFDF439" w:rsidR="009A49D9" w:rsidRPr="00E572B3" w:rsidRDefault="009A49D9"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t xml:space="preserve">A seven-month old female presented with </w:t>
      </w:r>
      <w:r w:rsidR="00116BE6" w:rsidRPr="00E572B3">
        <w:rPr>
          <w:rFonts w:ascii="Book Antiqua" w:hAnsi="Book Antiqua" w:cs="Times New Roman"/>
          <w:sz w:val="24"/>
          <w:szCs w:val="24"/>
        </w:rPr>
        <w:t>tibial hemimelia (</w:t>
      </w:r>
      <w:r w:rsidRPr="00E572B3">
        <w:rPr>
          <w:rFonts w:ascii="Book Antiqua" w:hAnsi="Book Antiqua" w:cs="Times New Roman"/>
          <w:sz w:val="24"/>
          <w:szCs w:val="24"/>
        </w:rPr>
        <w:t>TH</w:t>
      </w:r>
      <w:r w:rsidR="00116BE6" w:rsidRPr="00E572B3">
        <w:rPr>
          <w:rFonts w:ascii="Book Antiqua" w:hAnsi="Book Antiqua" w:cs="Times New Roman"/>
          <w:sz w:val="24"/>
          <w:szCs w:val="24"/>
        </w:rPr>
        <w:t>)</w:t>
      </w:r>
      <w:r w:rsidRPr="00E572B3">
        <w:rPr>
          <w:rFonts w:ascii="Book Antiqua" w:hAnsi="Book Antiqua" w:cs="Times New Roman"/>
          <w:sz w:val="24"/>
          <w:szCs w:val="24"/>
        </w:rPr>
        <w:t>, seven-toed preaxial polydactyly</w:t>
      </w:r>
      <w:r w:rsidR="008E2C64" w:rsidRPr="00E572B3">
        <w:rPr>
          <w:rFonts w:ascii="Book Antiqua" w:hAnsi="Book Antiqua" w:cs="Times New Roman"/>
          <w:sz w:val="24"/>
          <w:szCs w:val="24"/>
        </w:rPr>
        <w:t>,</w:t>
      </w:r>
      <w:r w:rsidRPr="00E572B3">
        <w:rPr>
          <w:rFonts w:ascii="Book Antiqua" w:hAnsi="Book Antiqua" w:cs="Times New Roman"/>
          <w:sz w:val="24"/>
          <w:szCs w:val="24"/>
        </w:rPr>
        <w:t xml:space="preserve"> and severe left </w:t>
      </w:r>
      <w:r w:rsidR="00116BE6" w:rsidRPr="00E572B3">
        <w:rPr>
          <w:rFonts w:ascii="Book Antiqua" w:hAnsi="Book Antiqua" w:cs="Times New Roman"/>
          <w:sz w:val="24"/>
          <w:szCs w:val="24"/>
        </w:rPr>
        <w:t>congenital talipes equinovarus (</w:t>
      </w:r>
      <w:r w:rsidRPr="00E572B3">
        <w:rPr>
          <w:rFonts w:ascii="Book Antiqua" w:hAnsi="Book Antiqua" w:cs="Times New Roman"/>
          <w:sz w:val="24"/>
          <w:szCs w:val="24"/>
        </w:rPr>
        <w:t>CTEV</w:t>
      </w:r>
      <w:r w:rsidR="00116BE6" w:rsidRPr="00E572B3">
        <w:rPr>
          <w:rFonts w:ascii="Book Antiqua" w:hAnsi="Book Antiqua" w:cs="Times New Roman"/>
          <w:sz w:val="24"/>
          <w:szCs w:val="24"/>
        </w:rPr>
        <w:t>)</w:t>
      </w:r>
      <w:r w:rsidRPr="00E572B3">
        <w:rPr>
          <w:rFonts w:ascii="Book Antiqua" w:hAnsi="Book Antiqua" w:cs="Times New Roman"/>
          <w:sz w:val="24"/>
          <w:szCs w:val="24"/>
        </w:rPr>
        <w:t>.</w:t>
      </w:r>
    </w:p>
    <w:p w14:paraId="46A0714F" w14:textId="77777777" w:rsidR="00AC5899" w:rsidRPr="00E572B3" w:rsidRDefault="00AC5899" w:rsidP="00A71D9E">
      <w:pPr>
        <w:adjustRightInd w:val="0"/>
        <w:snapToGrid w:val="0"/>
        <w:spacing w:after="0" w:line="360" w:lineRule="auto"/>
        <w:jc w:val="both"/>
        <w:rPr>
          <w:rFonts w:ascii="Book Antiqua" w:hAnsi="Book Antiqua" w:cs="Times New Roman"/>
          <w:b/>
          <w:sz w:val="24"/>
          <w:szCs w:val="24"/>
          <w:lang w:eastAsia="zh-CN"/>
        </w:rPr>
      </w:pPr>
    </w:p>
    <w:p w14:paraId="32DBBCE1" w14:textId="77777777" w:rsidR="00C348CB" w:rsidRPr="00E572B3" w:rsidRDefault="00C348CB" w:rsidP="00C348CB">
      <w:pPr>
        <w:spacing w:after="0" w:line="360" w:lineRule="auto"/>
        <w:jc w:val="both"/>
        <w:rPr>
          <w:rFonts w:ascii="Book Antiqua" w:hAnsi="Book Antiqua" w:cs="Arial"/>
          <w:b/>
          <w:i/>
          <w:sz w:val="24"/>
          <w:szCs w:val="24"/>
        </w:rPr>
      </w:pPr>
      <w:r w:rsidRPr="00E572B3">
        <w:rPr>
          <w:rFonts w:ascii="Book Antiqua" w:hAnsi="Book Antiqua" w:cs="Arial"/>
          <w:b/>
          <w:i/>
          <w:sz w:val="24"/>
          <w:szCs w:val="24"/>
        </w:rPr>
        <w:t>Clinical diagnosis</w:t>
      </w:r>
    </w:p>
    <w:p w14:paraId="47AED2AA" w14:textId="7DC5767C" w:rsidR="009A49D9" w:rsidRPr="00E572B3" w:rsidRDefault="009A49D9"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t>Medial contracture of the left foot and lower leg wit</w:t>
      </w:r>
      <w:r w:rsidR="00754C05" w:rsidRPr="00E572B3">
        <w:rPr>
          <w:rFonts w:ascii="Book Antiqua" w:hAnsi="Book Antiqua" w:cs="Times New Roman"/>
          <w:sz w:val="24"/>
          <w:szCs w:val="24"/>
        </w:rPr>
        <w:t xml:space="preserve">h left congenital hip dysplasia, </w:t>
      </w:r>
      <w:r w:rsidR="00EE7393" w:rsidRPr="00E572B3">
        <w:rPr>
          <w:rFonts w:ascii="Book Antiqua" w:hAnsi="Book Antiqua" w:cs="Times New Roman"/>
          <w:sz w:val="24"/>
          <w:szCs w:val="24"/>
        </w:rPr>
        <w:t xml:space="preserve">the </w:t>
      </w:r>
      <w:r w:rsidR="00754C05" w:rsidRPr="00E572B3">
        <w:rPr>
          <w:rFonts w:ascii="Book Antiqua" w:hAnsi="Book Antiqua" w:cs="Times New Roman"/>
          <w:sz w:val="24"/>
          <w:szCs w:val="24"/>
        </w:rPr>
        <w:t>absence of the left tibia, patella, active quadriceps mechanism and posterior tibial artery, and left fibular bowing</w:t>
      </w:r>
      <w:r w:rsidRPr="00E572B3">
        <w:rPr>
          <w:rFonts w:ascii="Book Antiqua" w:hAnsi="Book Antiqua" w:cs="Times New Roman"/>
          <w:sz w:val="24"/>
          <w:szCs w:val="24"/>
        </w:rPr>
        <w:t xml:space="preserve"> </w:t>
      </w:r>
      <w:r w:rsidR="00754C05" w:rsidRPr="00E572B3">
        <w:rPr>
          <w:rFonts w:ascii="Book Antiqua" w:hAnsi="Book Antiqua" w:cs="Times New Roman"/>
          <w:sz w:val="24"/>
          <w:szCs w:val="24"/>
        </w:rPr>
        <w:t>with articulation to the lateral side of the left femur.</w:t>
      </w:r>
    </w:p>
    <w:p w14:paraId="6C568E7B" w14:textId="77777777" w:rsidR="00AC5899" w:rsidRPr="00E572B3" w:rsidRDefault="00AC5899" w:rsidP="00A71D9E">
      <w:pPr>
        <w:adjustRightInd w:val="0"/>
        <w:snapToGrid w:val="0"/>
        <w:spacing w:after="0" w:line="360" w:lineRule="auto"/>
        <w:jc w:val="both"/>
        <w:rPr>
          <w:rFonts w:ascii="Book Antiqua" w:hAnsi="Book Antiqua" w:cs="Times New Roman"/>
          <w:b/>
          <w:sz w:val="24"/>
          <w:szCs w:val="24"/>
          <w:lang w:eastAsia="zh-CN"/>
        </w:rPr>
      </w:pPr>
    </w:p>
    <w:p w14:paraId="4EE97F54" w14:textId="77777777" w:rsidR="00C348CB" w:rsidRPr="00E572B3" w:rsidRDefault="00C348CB" w:rsidP="00C348CB">
      <w:pPr>
        <w:spacing w:after="0" w:line="360" w:lineRule="auto"/>
        <w:jc w:val="both"/>
        <w:rPr>
          <w:rFonts w:ascii="Book Antiqua" w:hAnsi="Book Antiqua" w:cs="Arial"/>
          <w:b/>
          <w:i/>
          <w:sz w:val="24"/>
          <w:szCs w:val="24"/>
        </w:rPr>
      </w:pPr>
      <w:r w:rsidRPr="00E572B3">
        <w:rPr>
          <w:rFonts w:ascii="Book Antiqua" w:hAnsi="Book Antiqua" w:cs="Arial"/>
          <w:b/>
          <w:i/>
          <w:sz w:val="24"/>
          <w:szCs w:val="24"/>
        </w:rPr>
        <w:t>Differential diagnosis</w:t>
      </w:r>
    </w:p>
    <w:p w14:paraId="12F1AA11" w14:textId="1D1A8F9B" w:rsidR="00116BE6" w:rsidRPr="00E572B3" w:rsidRDefault="00116BE6"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lang w:eastAsia="zh-CN"/>
        </w:rPr>
        <w:t>Interuterine toxic exposure to an agent, such as thalidomide; no evidence of such exposure, amniotic band stricture syndrome, rare autosomal recessive genetic mutation, de novo dominant, or localized vascular malformation during limb formation.</w:t>
      </w:r>
    </w:p>
    <w:p w14:paraId="4FA5022E" w14:textId="77777777" w:rsidR="00AC5899" w:rsidRPr="00E572B3" w:rsidRDefault="00AC5899" w:rsidP="00A71D9E">
      <w:pPr>
        <w:adjustRightInd w:val="0"/>
        <w:snapToGrid w:val="0"/>
        <w:spacing w:after="0" w:line="360" w:lineRule="auto"/>
        <w:jc w:val="both"/>
        <w:rPr>
          <w:rFonts w:ascii="Book Antiqua" w:hAnsi="Book Antiqua" w:cs="Times New Roman"/>
          <w:sz w:val="24"/>
          <w:szCs w:val="24"/>
          <w:lang w:eastAsia="zh-CN"/>
        </w:rPr>
      </w:pPr>
    </w:p>
    <w:p w14:paraId="5312BB9A" w14:textId="77777777" w:rsidR="00C348CB" w:rsidRPr="00E572B3" w:rsidRDefault="00C348CB" w:rsidP="00C348CB">
      <w:pPr>
        <w:spacing w:after="0" w:line="360" w:lineRule="auto"/>
        <w:jc w:val="both"/>
        <w:rPr>
          <w:rFonts w:ascii="Book Antiqua" w:hAnsi="Book Antiqua" w:cs="Arial"/>
          <w:b/>
          <w:i/>
          <w:sz w:val="24"/>
          <w:szCs w:val="24"/>
        </w:rPr>
      </w:pPr>
      <w:r w:rsidRPr="00E572B3">
        <w:rPr>
          <w:rFonts w:ascii="Book Antiqua" w:hAnsi="Book Antiqua" w:cs="Arial"/>
          <w:b/>
          <w:i/>
          <w:sz w:val="24"/>
          <w:szCs w:val="24"/>
        </w:rPr>
        <w:t>Laboratory diagnosis</w:t>
      </w:r>
    </w:p>
    <w:p w14:paraId="3373DF50" w14:textId="50FBF4EA" w:rsidR="00116BE6" w:rsidRPr="00E572B3" w:rsidRDefault="00116BE6"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lang w:eastAsia="zh-CN"/>
        </w:rPr>
        <w:t>All labs are within normal limits.</w:t>
      </w:r>
    </w:p>
    <w:p w14:paraId="085172DC" w14:textId="77777777" w:rsidR="00AC5899" w:rsidRPr="00E572B3" w:rsidRDefault="00AC5899" w:rsidP="00A71D9E">
      <w:pPr>
        <w:adjustRightInd w:val="0"/>
        <w:snapToGrid w:val="0"/>
        <w:spacing w:after="0" w:line="360" w:lineRule="auto"/>
        <w:jc w:val="both"/>
        <w:rPr>
          <w:rFonts w:ascii="Book Antiqua" w:hAnsi="Book Antiqua" w:cs="Times New Roman"/>
          <w:sz w:val="24"/>
          <w:szCs w:val="24"/>
          <w:lang w:eastAsia="zh-CN"/>
        </w:rPr>
      </w:pPr>
    </w:p>
    <w:p w14:paraId="5E7D6473" w14:textId="77777777" w:rsidR="00C348CB" w:rsidRPr="00E572B3" w:rsidRDefault="00C348CB" w:rsidP="00C348CB">
      <w:pPr>
        <w:spacing w:after="0" w:line="360" w:lineRule="auto"/>
        <w:jc w:val="both"/>
        <w:rPr>
          <w:rFonts w:ascii="Book Antiqua" w:hAnsi="Book Antiqua"/>
          <w:sz w:val="24"/>
          <w:szCs w:val="24"/>
        </w:rPr>
      </w:pPr>
      <w:r w:rsidRPr="00E572B3">
        <w:rPr>
          <w:rFonts w:ascii="Book Antiqua" w:hAnsi="Book Antiqua" w:cs="Arial"/>
          <w:b/>
          <w:i/>
          <w:sz w:val="24"/>
          <w:szCs w:val="24"/>
        </w:rPr>
        <w:t>Imaging diagnosis</w:t>
      </w:r>
    </w:p>
    <w:p w14:paraId="15588386" w14:textId="64784E81" w:rsidR="00EE7393" w:rsidRPr="00E572B3" w:rsidRDefault="00EE7393"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t xml:space="preserve">X-rays and CT scans showed curved and overlapping preaxial supernumerary toes, hypoplastic first metatarsal, lack of middle and distal phalanges in one supernumerary toe, three tarsal bones, hypoplastic middle phalanx and no distal phalanx for fourth toe, </w:t>
      </w:r>
      <w:r w:rsidRPr="00E572B3">
        <w:rPr>
          <w:rFonts w:ascii="Book Antiqua" w:hAnsi="Book Antiqua" w:cs="Times New Roman"/>
          <w:sz w:val="24"/>
          <w:szCs w:val="24"/>
        </w:rPr>
        <w:lastRenderedPageBreak/>
        <w:t>no middle or distal phalanges for fifth toe, and the fibula articulated with the anteromedial calcaneus with an absent tibia.</w:t>
      </w:r>
    </w:p>
    <w:p w14:paraId="37B014B9" w14:textId="77777777" w:rsidR="00AC5899" w:rsidRPr="00E572B3" w:rsidRDefault="00AC5899" w:rsidP="00A71D9E">
      <w:pPr>
        <w:adjustRightInd w:val="0"/>
        <w:snapToGrid w:val="0"/>
        <w:spacing w:after="0" w:line="360" w:lineRule="auto"/>
        <w:jc w:val="both"/>
        <w:rPr>
          <w:rFonts w:ascii="Book Antiqua" w:hAnsi="Book Antiqua" w:cs="Times New Roman"/>
          <w:b/>
          <w:sz w:val="24"/>
          <w:szCs w:val="24"/>
          <w:lang w:eastAsia="zh-CN"/>
        </w:rPr>
      </w:pPr>
    </w:p>
    <w:p w14:paraId="4DF5C75C" w14:textId="77777777" w:rsidR="00C348CB" w:rsidRPr="00E572B3" w:rsidRDefault="00C348CB" w:rsidP="00C348CB">
      <w:pPr>
        <w:spacing w:after="0" w:line="360" w:lineRule="auto"/>
        <w:jc w:val="both"/>
        <w:rPr>
          <w:rFonts w:ascii="Book Antiqua" w:hAnsi="Book Antiqua" w:cs="Arial"/>
          <w:b/>
          <w:i/>
          <w:sz w:val="24"/>
          <w:szCs w:val="24"/>
        </w:rPr>
      </w:pPr>
      <w:r w:rsidRPr="00E572B3">
        <w:rPr>
          <w:rFonts w:ascii="Book Antiqua" w:hAnsi="Book Antiqua" w:cs="Arial"/>
          <w:b/>
          <w:i/>
          <w:sz w:val="24"/>
          <w:szCs w:val="24"/>
        </w:rPr>
        <w:t>Pathological diagnosis</w:t>
      </w:r>
    </w:p>
    <w:p w14:paraId="7D4EF9F2" w14:textId="0D56F0C8" w:rsidR="006E1044" w:rsidRPr="00E572B3" w:rsidRDefault="006E1044"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lang w:eastAsia="zh-CN"/>
        </w:rPr>
        <w:t xml:space="preserve">Tibial hemimelia (TH) with preaxial polydactyly and congenital talipes equinovarus (CTEV) of the left lower limb. </w:t>
      </w:r>
    </w:p>
    <w:p w14:paraId="7917DCE3" w14:textId="77777777" w:rsidR="00AC5899" w:rsidRPr="00E572B3" w:rsidRDefault="00AC5899" w:rsidP="00A71D9E">
      <w:pPr>
        <w:adjustRightInd w:val="0"/>
        <w:snapToGrid w:val="0"/>
        <w:spacing w:after="0" w:line="360" w:lineRule="auto"/>
        <w:jc w:val="both"/>
        <w:rPr>
          <w:rFonts w:ascii="Book Antiqua" w:hAnsi="Book Antiqua" w:cs="Times New Roman"/>
          <w:sz w:val="24"/>
          <w:szCs w:val="24"/>
          <w:lang w:eastAsia="zh-CN"/>
        </w:rPr>
      </w:pPr>
    </w:p>
    <w:p w14:paraId="0BA948B4" w14:textId="77777777" w:rsidR="00C348CB" w:rsidRPr="00E572B3" w:rsidRDefault="00C348CB" w:rsidP="00C348CB">
      <w:pPr>
        <w:spacing w:after="0" w:line="360" w:lineRule="auto"/>
        <w:jc w:val="both"/>
        <w:rPr>
          <w:rFonts w:ascii="Book Antiqua" w:hAnsi="Book Antiqua" w:cs="Arial"/>
          <w:b/>
          <w:i/>
          <w:sz w:val="24"/>
          <w:szCs w:val="24"/>
        </w:rPr>
      </w:pPr>
      <w:r w:rsidRPr="00E572B3">
        <w:rPr>
          <w:rFonts w:ascii="Book Antiqua" w:hAnsi="Book Antiqua" w:cs="Arial"/>
          <w:b/>
          <w:i/>
          <w:sz w:val="24"/>
          <w:szCs w:val="24"/>
        </w:rPr>
        <w:t>Treatment</w:t>
      </w:r>
    </w:p>
    <w:p w14:paraId="354035E9" w14:textId="09A3FE92" w:rsidR="00EE7393" w:rsidRPr="00E572B3" w:rsidRDefault="00EE7393"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t>Due to the severity of the deformity, and the unlikelihood of a successful limb salvage procedure, amputation was advised</w:t>
      </w:r>
      <w:r w:rsidR="00467F9C" w:rsidRPr="00E572B3">
        <w:rPr>
          <w:rFonts w:ascii="Book Antiqua" w:hAnsi="Book Antiqua" w:cs="Times New Roman"/>
          <w:sz w:val="24"/>
          <w:szCs w:val="24"/>
        </w:rPr>
        <w:t xml:space="preserve"> and performed</w:t>
      </w:r>
      <w:r w:rsidRPr="00E572B3">
        <w:rPr>
          <w:rFonts w:ascii="Book Antiqua" w:hAnsi="Book Antiqua" w:cs="Times New Roman"/>
          <w:sz w:val="24"/>
          <w:szCs w:val="24"/>
        </w:rPr>
        <w:t>.</w:t>
      </w:r>
    </w:p>
    <w:p w14:paraId="56F52733" w14:textId="77777777" w:rsidR="00AC5899" w:rsidRPr="00E572B3" w:rsidRDefault="00AC5899" w:rsidP="00A71D9E">
      <w:pPr>
        <w:adjustRightInd w:val="0"/>
        <w:snapToGrid w:val="0"/>
        <w:spacing w:after="0" w:line="360" w:lineRule="auto"/>
        <w:jc w:val="both"/>
        <w:rPr>
          <w:rFonts w:ascii="Book Antiqua" w:hAnsi="Book Antiqua" w:cs="Times New Roman"/>
          <w:b/>
          <w:sz w:val="24"/>
          <w:szCs w:val="24"/>
          <w:lang w:eastAsia="zh-CN"/>
        </w:rPr>
      </w:pPr>
    </w:p>
    <w:p w14:paraId="37A6C982" w14:textId="77777777" w:rsidR="00C348CB" w:rsidRPr="00E572B3" w:rsidRDefault="00C348CB" w:rsidP="00C348CB">
      <w:pPr>
        <w:spacing w:after="0" w:line="360" w:lineRule="auto"/>
        <w:jc w:val="both"/>
        <w:rPr>
          <w:rFonts w:ascii="Book Antiqua" w:hAnsi="Book Antiqua" w:cs="Book Antiqua"/>
          <w:b/>
          <w:i/>
          <w:sz w:val="24"/>
          <w:szCs w:val="24"/>
        </w:rPr>
      </w:pPr>
      <w:r w:rsidRPr="00E572B3">
        <w:rPr>
          <w:rFonts w:ascii="Book Antiqua" w:hAnsi="Book Antiqua" w:cs="Book Antiqua"/>
          <w:b/>
          <w:i/>
          <w:sz w:val="24"/>
          <w:szCs w:val="24"/>
        </w:rPr>
        <w:t>Related reports</w:t>
      </w:r>
    </w:p>
    <w:p w14:paraId="472EE816" w14:textId="070AE1FB" w:rsidR="0043752A" w:rsidRPr="00E572B3" w:rsidRDefault="0043752A"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t>Hootnick</w:t>
      </w:r>
      <w:r w:rsidR="004B6BA1" w:rsidRPr="00E572B3">
        <w:rPr>
          <w:rFonts w:ascii="Book Antiqua" w:hAnsi="Book Antiqua" w:cs="Times New Roman"/>
          <w:sz w:val="24"/>
          <w:szCs w:val="24"/>
        </w:rPr>
        <w:t>’s</w:t>
      </w:r>
      <w:r w:rsidR="002B0E2F">
        <w:rPr>
          <w:rFonts w:ascii="Book Antiqua" w:hAnsi="Book Antiqua" w:cs="Times New Roman"/>
          <w:sz w:val="24"/>
          <w:szCs w:val="24"/>
        </w:rPr>
        <w:t xml:space="preserve"> </w:t>
      </w:r>
      <w:r w:rsidR="004B6BA1" w:rsidRPr="00E572B3">
        <w:rPr>
          <w:rFonts w:ascii="Book Antiqua" w:hAnsi="Book Antiqua" w:cs="Times New Roman"/>
          <w:sz w:val="24"/>
          <w:szCs w:val="24"/>
        </w:rPr>
        <w:t>article</w:t>
      </w:r>
      <w:r w:rsidRPr="00E572B3">
        <w:rPr>
          <w:rFonts w:ascii="Book Antiqua" w:hAnsi="Book Antiqua" w:cs="Times New Roman"/>
          <w:sz w:val="24"/>
          <w:szCs w:val="24"/>
        </w:rPr>
        <w:t xml:space="preserve"> </w:t>
      </w:r>
      <w:r w:rsidR="00AC5899" w:rsidRPr="00E572B3">
        <w:rPr>
          <w:rFonts w:ascii="Book Antiqua" w:hAnsi="Book Antiqua" w:cs="Times New Roman" w:hint="eastAsia"/>
          <w:sz w:val="24"/>
          <w:szCs w:val="24"/>
          <w:lang w:eastAsia="zh-CN"/>
        </w:rPr>
        <w:t>(</w:t>
      </w:r>
      <w:r w:rsidR="00AC5899" w:rsidRPr="00E572B3">
        <w:rPr>
          <w:rFonts w:ascii="Book Antiqua" w:hAnsi="Book Antiqua" w:cs="Times New Roman"/>
          <w:sz w:val="24"/>
          <w:szCs w:val="24"/>
        </w:rPr>
        <w:t>1983</w:t>
      </w:r>
      <w:r w:rsidR="00AC5899" w:rsidRPr="00E572B3">
        <w:rPr>
          <w:rFonts w:ascii="Book Antiqua" w:hAnsi="Book Antiqua" w:cs="Times New Roman" w:hint="eastAsia"/>
          <w:sz w:val="24"/>
          <w:szCs w:val="24"/>
          <w:lang w:eastAsia="zh-CN"/>
        </w:rPr>
        <w:t xml:space="preserve">) </w:t>
      </w:r>
      <w:r w:rsidRPr="00E572B3">
        <w:rPr>
          <w:rFonts w:ascii="Book Antiqua" w:hAnsi="Book Antiqua" w:cs="Times New Roman"/>
          <w:sz w:val="24"/>
          <w:szCs w:val="24"/>
        </w:rPr>
        <w:t>also described a similar case in the right lower limb of a 15-mo old male with comparable rare findings to our case, but with some notable and noteworthy differences</w:t>
      </w:r>
      <w:r w:rsidR="004B6BA1" w:rsidRPr="00E572B3">
        <w:rPr>
          <w:rFonts w:ascii="Book Antiqua" w:hAnsi="Book Antiqua" w:cs="Times New Roman"/>
          <w:sz w:val="24"/>
          <w:szCs w:val="24"/>
        </w:rPr>
        <w:t>.</w:t>
      </w:r>
    </w:p>
    <w:p w14:paraId="24C88651" w14:textId="77777777" w:rsidR="00AC5899" w:rsidRPr="00E572B3" w:rsidRDefault="00AC5899" w:rsidP="00A71D9E">
      <w:pPr>
        <w:adjustRightInd w:val="0"/>
        <w:snapToGrid w:val="0"/>
        <w:spacing w:after="0" w:line="360" w:lineRule="auto"/>
        <w:jc w:val="both"/>
        <w:rPr>
          <w:rFonts w:ascii="Book Antiqua" w:hAnsi="Book Antiqua" w:cs="Times New Roman"/>
          <w:b/>
          <w:sz w:val="24"/>
          <w:szCs w:val="24"/>
          <w:lang w:eastAsia="zh-CN"/>
        </w:rPr>
      </w:pPr>
    </w:p>
    <w:p w14:paraId="0DE78E4D" w14:textId="77777777" w:rsidR="00C348CB" w:rsidRPr="00E572B3" w:rsidRDefault="00C348CB" w:rsidP="00C348CB">
      <w:pPr>
        <w:spacing w:after="0" w:line="360" w:lineRule="auto"/>
        <w:jc w:val="both"/>
        <w:rPr>
          <w:rFonts w:ascii="Book Antiqua" w:hAnsi="Book Antiqua" w:cs="Book Antiqua"/>
          <w:b/>
          <w:i/>
          <w:sz w:val="24"/>
          <w:szCs w:val="24"/>
        </w:rPr>
      </w:pPr>
      <w:r w:rsidRPr="00E572B3">
        <w:rPr>
          <w:rFonts w:ascii="Book Antiqua" w:hAnsi="Book Antiqua" w:cs="Book Antiqua"/>
          <w:b/>
          <w:i/>
          <w:sz w:val="24"/>
          <w:szCs w:val="24"/>
        </w:rPr>
        <w:t xml:space="preserve">Term explanation </w:t>
      </w:r>
    </w:p>
    <w:p w14:paraId="3551A13B" w14:textId="1B22726E" w:rsidR="00EE7393" w:rsidRPr="00E572B3" w:rsidRDefault="0043752A"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t>Tibial</w:t>
      </w:r>
      <w:r w:rsidR="00AC5899" w:rsidRPr="00E572B3">
        <w:rPr>
          <w:rFonts w:ascii="Book Antiqua" w:hAnsi="Book Antiqua" w:cs="Times New Roman"/>
          <w:sz w:val="24"/>
          <w:szCs w:val="24"/>
        </w:rPr>
        <w:t xml:space="preserve"> hemimelia </w:t>
      </w:r>
      <w:r w:rsidR="00EE7393" w:rsidRPr="00E572B3">
        <w:rPr>
          <w:rFonts w:ascii="Book Antiqua" w:hAnsi="Book Antiqua" w:cs="Times New Roman"/>
          <w:sz w:val="24"/>
          <w:szCs w:val="24"/>
        </w:rPr>
        <w:t>(TH</w:t>
      </w:r>
      <w:r w:rsidRPr="00E572B3">
        <w:rPr>
          <w:rFonts w:ascii="Book Antiqua" w:hAnsi="Book Antiqua" w:cs="Times New Roman"/>
          <w:sz w:val="24"/>
          <w:szCs w:val="24"/>
        </w:rPr>
        <w:t>)</w:t>
      </w:r>
      <w:r w:rsidR="00EE7393" w:rsidRPr="00E572B3">
        <w:rPr>
          <w:rFonts w:ascii="Book Antiqua" w:hAnsi="Book Antiqua" w:cs="Times New Roman"/>
          <w:sz w:val="24"/>
          <w:szCs w:val="24"/>
        </w:rPr>
        <w:t xml:space="preserve"> or congenital tibial aplasia</w:t>
      </w:r>
      <w:r w:rsidRPr="00E572B3">
        <w:rPr>
          <w:rFonts w:ascii="Book Antiqua" w:hAnsi="Book Antiqua" w:cs="Times New Roman"/>
          <w:sz w:val="24"/>
          <w:szCs w:val="24"/>
        </w:rPr>
        <w:t xml:space="preserve"> is </w:t>
      </w:r>
      <w:r w:rsidRPr="00E572B3">
        <w:rPr>
          <w:rFonts w:ascii="Book Antiqua" w:hAnsi="Book Antiqua" w:cs="Times New Roman"/>
          <w:sz w:val="24"/>
          <w:szCs w:val="24"/>
          <w:shd w:val="clear" w:color="auto" w:fill="FFFFFF"/>
        </w:rPr>
        <w:t>a rare congenital anomaly characterized by variable degrees of deficiency of the tibia with a relatively intact fibula. P</w:t>
      </w:r>
      <w:r w:rsidRPr="00E572B3">
        <w:rPr>
          <w:rFonts w:ascii="Book Antiqua" w:hAnsi="Book Antiqua" w:cs="Times New Roman"/>
          <w:sz w:val="24"/>
          <w:szCs w:val="24"/>
        </w:rPr>
        <w:t xml:space="preserve">reaxial polydactyly is a congenital physical anomaly involving superfluous digits found on the lateral aspect of the affected upper limb or medial aspect of the affected lower limb. </w:t>
      </w:r>
      <w:r w:rsidR="00EE7393" w:rsidRPr="00E572B3">
        <w:rPr>
          <w:rFonts w:ascii="Book Antiqua" w:hAnsi="Book Antiqua" w:cs="Times New Roman"/>
          <w:sz w:val="24"/>
          <w:szCs w:val="24"/>
        </w:rPr>
        <w:t xml:space="preserve">Club </w:t>
      </w:r>
      <w:r w:rsidR="00AC5899" w:rsidRPr="00E572B3">
        <w:rPr>
          <w:rFonts w:ascii="Book Antiqua" w:hAnsi="Book Antiqua" w:cs="Times New Roman"/>
          <w:sz w:val="24"/>
          <w:szCs w:val="24"/>
        </w:rPr>
        <w:t>f</w:t>
      </w:r>
      <w:r w:rsidR="00EE7393" w:rsidRPr="00E572B3">
        <w:rPr>
          <w:rFonts w:ascii="Book Antiqua" w:hAnsi="Book Antiqua" w:cs="Times New Roman"/>
          <w:sz w:val="24"/>
          <w:szCs w:val="24"/>
        </w:rPr>
        <w:t xml:space="preserve">oot </w:t>
      </w:r>
      <w:r w:rsidR="00AC5899" w:rsidRPr="00E572B3">
        <w:rPr>
          <w:rFonts w:ascii="Book Antiqua" w:hAnsi="Book Antiqua" w:cs="Times New Roman"/>
          <w:sz w:val="24"/>
          <w:szCs w:val="24"/>
        </w:rPr>
        <w:t xml:space="preserve">or congenital talipes equinovarus </w:t>
      </w:r>
      <w:r w:rsidR="00EE7393" w:rsidRPr="00E572B3">
        <w:rPr>
          <w:rFonts w:ascii="Book Antiqua" w:hAnsi="Book Antiqua" w:cs="Times New Roman"/>
          <w:sz w:val="24"/>
          <w:szCs w:val="24"/>
        </w:rPr>
        <w:t>(CTEV) is a complex, fixed deformity of the lower limb that is always present at birth and can be unilateral or bilateral</w:t>
      </w:r>
      <w:r w:rsidRPr="00E572B3">
        <w:rPr>
          <w:rFonts w:ascii="Book Antiqua" w:hAnsi="Book Antiqua" w:cs="Times New Roman"/>
          <w:sz w:val="24"/>
          <w:szCs w:val="24"/>
        </w:rPr>
        <w:t>.</w:t>
      </w:r>
    </w:p>
    <w:p w14:paraId="138CB085" w14:textId="77777777" w:rsidR="00AC5899" w:rsidRPr="00E572B3" w:rsidRDefault="00AC5899" w:rsidP="00A71D9E">
      <w:pPr>
        <w:adjustRightInd w:val="0"/>
        <w:snapToGrid w:val="0"/>
        <w:spacing w:after="0" w:line="360" w:lineRule="auto"/>
        <w:jc w:val="both"/>
        <w:rPr>
          <w:rFonts w:ascii="Book Antiqua" w:hAnsi="Book Antiqua" w:cs="Times New Roman"/>
          <w:b/>
          <w:sz w:val="24"/>
          <w:szCs w:val="24"/>
          <w:lang w:eastAsia="zh-CN"/>
        </w:rPr>
      </w:pPr>
    </w:p>
    <w:p w14:paraId="5AE4085D" w14:textId="77777777" w:rsidR="00C348CB" w:rsidRPr="00E572B3" w:rsidRDefault="00C348CB" w:rsidP="00C348CB">
      <w:pPr>
        <w:spacing w:after="0" w:line="360" w:lineRule="auto"/>
        <w:jc w:val="both"/>
        <w:rPr>
          <w:rFonts w:ascii="Book Antiqua" w:hAnsi="Book Antiqua" w:cs="Arial"/>
          <w:b/>
          <w:i/>
          <w:sz w:val="24"/>
          <w:szCs w:val="24"/>
        </w:rPr>
      </w:pPr>
      <w:r w:rsidRPr="00E572B3">
        <w:rPr>
          <w:rFonts w:ascii="Book Antiqua" w:hAnsi="Book Antiqua" w:cs="Arial"/>
          <w:b/>
          <w:i/>
          <w:sz w:val="24"/>
          <w:szCs w:val="24"/>
        </w:rPr>
        <w:t>Experiences and lessons</w:t>
      </w:r>
    </w:p>
    <w:p w14:paraId="1B9FE160" w14:textId="25F61327" w:rsidR="00467F9C" w:rsidRPr="00E572B3" w:rsidRDefault="00467F9C" w:rsidP="00A71D9E">
      <w:pPr>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lang w:eastAsia="zh-CN"/>
        </w:rPr>
        <w:t>Although each of the aforementioned syndromes is relatively rare, comorbidity of all three disorders is e</w:t>
      </w:r>
      <w:r w:rsidR="00AC5899" w:rsidRPr="00E572B3">
        <w:rPr>
          <w:rFonts w:ascii="Book Antiqua" w:hAnsi="Book Antiqua" w:cs="Times New Roman"/>
          <w:sz w:val="24"/>
          <w:szCs w:val="24"/>
          <w:lang w:eastAsia="zh-CN"/>
        </w:rPr>
        <w:t>ven rarer, if not unique (1.7</w:t>
      </w:r>
      <w:r w:rsidR="00AC5899" w:rsidRPr="00E572B3">
        <w:rPr>
          <w:rFonts w:ascii="Book Antiqua" w:hAnsi="Book Antiqua" w:cs="Times New Roman" w:hint="eastAsia"/>
          <w:sz w:val="24"/>
          <w:szCs w:val="24"/>
          <w:lang w:eastAsia="zh-CN"/>
        </w:rPr>
        <w:t>-</w:t>
      </w:r>
      <w:r w:rsidRPr="00E572B3">
        <w:rPr>
          <w:rFonts w:ascii="Book Antiqua" w:hAnsi="Book Antiqua" w:cs="Times New Roman"/>
          <w:sz w:val="24"/>
          <w:szCs w:val="24"/>
          <w:lang w:eastAsia="zh-CN"/>
        </w:rPr>
        <w:t xml:space="preserve">5.1 </w:t>
      </w:r>
      <w:r w:rsidR="00AC5899" w:rsidRPr="00E572B3">
        <w:rPr>
          <w:rFonts w:ascii="Book Antiqua" w:hAnsi="Book Antiqua" w:cs="Times New Roman"/>
          <w:sz w:val="24"/>
          <w:szCs w:val="24"/>
          <w:lang w:eastAsia="zh-CN"/>
        </w:rPr>
        <w:t>×</w:t>
      </w:r>
      <w:r w:rsidRPr="00E572B3">
        <w:rPr>
          <w:rFonts w:ascii="Book Antiqua" w:hAnsi="Book Antiqua" w:cs="Times New Roman"/>
          <w:sz w:val="24"/>
          <w:szCs w:val="24"/>
          <w:lang w:eastAsia="zh-CN"/>
        </w:rPr>
        <w:t xml:space="preserve"> 10</w:t>
      </w:r>
      <w:r w:rsidRPr="00E572B3">
        <w:rPr>
          <w:rFonts w:ascii="Book Antiqua" w:hAnsi="Book Antiqua" w:cs="Times New Roman"/>
          <w:sz w:val="24"/>
          <w:szCs w:val="24"/>
          <w:vertAlign w:val="superscript"/>
          <w:lang w:eastAsia="zh-CN"/>
        </w:rPr>
        <w:t>12</w:t>
      </w:r>
      <w:r w:rsidRPr="00E572B3">
        <w:rPr>
          <w:rFonts w:ascii="Book Antiqua" w:hAnsi="Book Antiqua" w:cs="Times New Roman"/>
          <w:sz w:val="24"/>
          <w:szCs w:val="24"/>
          <w:lang w:eastAsia="zh-CN"/>
        </w:rPr>
        <w:t>)</w:t>
      </w:r>
      <w:r w:rsidR="008C3D94" w:rsidRPr="00E572B3">
        <w:rPr>
          <w:rFonts w:ascii="Book Antiqua" w:hAnsi="Book Antiqua" w:cs="Times New Roman"/>
          <w:sz w:val="24"/>
          <w:szCs w:val="24"/>
          <w:lang w:eastAsia="zh-CN"/>
        </w:rPr>
        <w:t>.</w:t>
      </w:r>
    </w:p>
    <w:p w14:paraId="175C8788" w14:textId="77777777" w:rsidR="00AC5899" w:rsidRPr="00E572B3" w:rsidRDefault="00AC5899" w:rsidP="00A71D9E">
      <w:pPr>
        <w:adjustRightInd w:val="0"/>
        <w:snapToGrid w:val="0"/>
        <w:spacing w:after="0" w:line="360" w:lineRule="auto"/>
        <w:jc w:val="both"/>
        <w:rPr>
          <w:rFonts w:ascii="Book Antiqua" w:hAnsi="Book Antiqua" w:cs="Times New Roman"/>
          <w:sz w:val="24"/>
          <w:szCs w:val="24"/>
          <w:lang w:eastAsia="zh-CN"/>
        </w:rPr>
      </w:pPr>
    </w:p>
    <w:p w14:paraId="1FB5F59F" w14:textId="77777777" w:rsidR="00C348CB" w:rsidRPr="00E572B3" w:rsidRDefault="00C348CB" w:rsidP="00C348CB">
      <w:pPr>
        <w:spacing w:after="0" w:line="360" w:lineRule="auto"/>
        <w:jc w:val="both"/>
        <w:rPr>
          <w:rFonts w:ascii="Book Antiqua" w:hAnsi="Book Antiqua" w:cs="Times New Roman"/>
          <w:b/>
          <w:bCs/>
          <w:i/>
          <w:sz w:val="24"/>
          <w:szCs w:val="24"/>
          <w:lang w:eastAsia="zh-CN"/>
        </w:rPr>
      </w:pPr>
      <w:r w:rsidRPr="00E572B3">
        <w:rPr>
          <w:rFonts w:ascii="Book Antiqua" w:hAnsi="Book Antiqua" w:cs="Times New Roman"/>
          <w:b/>
          <w:bCs/>
          <w:i/>
          <w:sz w:val="24"/>
          <w:szCs w:val="24"/>
          <w:lang w:eastAsia="zh-CN"/>
        </w:rPr>
        <w:lastRenderedPageBreak/>
        <w:t>Peer-review</w:t>
      </w:r>
    </w:p>
    <w:p w14:paraId="021A16E2" w14:textId="77777777" w:rsidR="00192E62" w:rsidRDefault="00361828" w:rsidP="00A71D9E">
      <w:pPr>
        <w:adjustRightInd w:val="0"/>
        <w:snapToGrid w:val="0"/>
        <w:spacing w:after="0" w:line="360" w:lineRule="auto"/>
        <w:jc w:val="both"/>
        <w:rPr>
          <w:rFonts w:ascii="Book Antiqua" w:hAnsi="Book Antiqua" w:cs="Times New Roman"/>
          <w:b/>
          <w:sz w:val="24"/>
          <w:szCs w:val="24"/>
          <w:lang w:eastAsia="zh-CN"/>
        </w:rPr>
      </w:pPr>
      <w:r w:rsidRPr="00E572B3">
        <w:rPr>
          <w:rFonts w:ascii="Book Antiqua" w:hAnsi="Book Antiqua" w:cs="Times New Roman"/>
          <w:sz w:val="24"/>
          <w:szCs w:val="24"/>
          <w:lang w:eastAsia="zh-CN"/>
        </w:rPr>
        <w:t>The authors describe a rare and very interesting case of a longitudinal deficiency of the lower extremity including a clubfoot-like deformity and polydactyly. The manuscript is well written and easy to understand, despite the complexity of the topic. The discussion is comprehensive, which enables the reader to understand the three components of the deformity.</w:t>
      </w:r>
      <w:r w:rsidRPr="00E572B3">
        <w:rPr>
          <w:rFonts w:ascii="Book Antiqua" w:hAnsi="Book Antiqua" w:cs="Times New Roman" w:hint="eastAsia"/>
          <w:sz w:val="24"/>
          <w:szCs w:val="24"/>
          <w:lang w:eastAsia="zh-CN"/>
        </w:rPr>
        <w:t xml:space="preserve"> </w:t>
      </w:r>
      <w:r w:rsidRPr="00E572B3">
        <w:rPr>
          <w:rFonts w:ascii="Book Antiqua" w:hAnsi="Book Antiqua" w:cs="Times New Roman"/>
          <w:sz w:val="24"/>
          <w:szCs w:val="24"/>
          <w:lang w:eastAsia="zh-CN"/>
        </w:rPr>
        <w:t xml:space="preserve">This case adds valuable information to the current literature that might help in decision making and counseling in similar cases. </w:t>
      </w:r>
    </w:p>
    <w:p w14:paraId="374FD250" w14:textId="77777777" w:rsidR="00192E62" w:rsidRDefault="00192E62" w:rsidP="00A71D9E">
      <w:pPr>
        <w:adjustRightInd w:val="0"/>
        <w:snapToGrid w:val="0"/>
        <w:spacing w:after="0" w:line="360" w:lineRule="auto"/>
        <w:jc w:val="both"/>
        <w:rPr>
          <w:rFonts w:ascii="Book Antiqua" w:hAnsi="Book Antiqua" w:cs="Times New Roman"/>
          <w:b/>
          <w:sz w:val="24"/>
          <w:szCs w:val="24"/>
          <w:lang w:eastAsia="zh-CN"/>
        </w:rPr>
      </w:pPr>
    </w:p>
    <w:p w14:paraId="29B271FE" w14:textId="77777777" w:rsidR="00192E62" w:rsidRDefault="00192E62">
      <w:pPr>
        <w:spacing w:after="160" w:line="259" w:lineRule="auto"/>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123641EC" w14:textId="0C440CF9" w:rsidR="00D01B84" w:rsidRPr="00E572B3" w:rsidRDefault="00D01B84" w:rsidP="00A71D9E">
      <w:pPr>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lastRenderedPageBreak/>
        <w:t>REFERENCES</w:t>
      </w:r>
    </w:p>
    <w:p w14:paraId="10774158" w14:textId="11EE8A0F"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Kalamchi A</w:t>
      </w:r>
      <w:r w:rsidRPr="00E572B3">
        <w:rPr>
          <w:rFonts w:ascii="Book Antiqua" w:hAnsi="Book Antiqua" w:cs="Times New Roman"/>
          <w:sz w:val="24"/>
          <w:szCs w:val="24"/>
          <w:lang w:eastAsia="zh-CN"/>
        </w:rPr>
        <w:t>, Dawe RV. Congenital deficiency of the tibia. </w:t>
      </w:r>
      <w:r w:rsidRPr="00E572B3">
        <w:rPr>
          <w:rFonts w:ascii="Book Antiqua" w:hAnsi="Book Antiqua" w:cs="Times New Roman"/>
          <w:i/>
          <w:iCs/>
          <w:sz w:val="24"/>
          <w:szCs w:val="24"/>
          <w:lang w:eastAsia="zh-CN"/>
        </w:rPr>
        <w:t>J Bone Joint Surg Br</w:t>
      </w:r>
      <w:r w:rsidRPr="00E572B3">
        <w:rPr>
          <w:rFonts w:ascii="Book Antiqua" w:hAnsi="Book Antiqua" w:cs="Times New Roman"/>
          <w:sz w:val="24"/>
          <w:szCs w:val="24"/>
          <w:lang w:eastAsia="zh-CN"/>
        </w:rPr>
        <w:t> 1985; </w:t>
      </w:r>
      <w:r w:rsidRPr="00E572B3">
        <w:rPr>
          <w:rFonts w:ascii="Book Antiqua" w:hAnsi="Book Antiqua" w:cs="Times New Roman"/>
          <w:b/>
          <w:bCs/>
          <w:sz w:val="24"/>
          <w:szCs w:val="24"/>
          <w:lang w:eastAsia="zh-CN"/>
        </w:rPr>
        <w:t>67</w:t>
      </w:r>
      <w:r w:rsidRPr="00E572B3">
        <w:rPr>
          <w:rFonts w:ascii="Book Antiqua" w:hAnsi="Book Antiqua" w:cs="Times New Roman"/>
          <w:sz w:val="24"/>
          <w:szCs w:val="24"/>
          <w:lang w:eastAsia="zh-CN"/>
        </w:rPr>
        <w:t>: 581-584 [PMID: 4030854 DOI: 10.1007/978-1-4613-8882-1_8]</w:t>
      </w:r>
    </w:p>
    <w:p w14:paraId="4A127E92" w14:textId="34585709"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Schoenecker PL</w:t>
      </w:r>
      <w:r w:rsidRPr="00E572B3">
        <w:rPr>
          <w:rFonts w:ascii="Book Antiqua" w:hAnsi="Book Antiqua" w:cs="Times New Roman"/>
          <w:sz w:val="24"/>
          <w:szCs w:val="24"/>
          <w:lang w:eastAsia="zh-CN"/>
        </w:rPr>
        <w:t>, Capelli AM, Millar EA, Sheen MR, Haher T, Aiona MD, Meyer LC. Congenital longitudinal deficiency of the tibia. </w:t>
      </w:r>
      <w:r w:rsidRPr="00E572B3">
        <w:rPr>
          <w:rFonts w:ascii="Book Antiqua" w:hAnsi="Book Antiqua" w:cs="Times New Roman"/>
          <w:i/>
          <w:iCs/>
          <w:sz w:val="24"/>
          <w:szCs w:val="24"/>
          <w:lang w:eastAsia="zh-CN"/>
        </w:rPr>
        <w:t>J Bone Joint Surg Am</w:t>
      </w:r>
      <w:r w:rsidRPr="00E572B3">
        <w:rPr>
          <w:rFonts w:ascii="Book Antiqua" w:hAnsi="Book Antiqua" w:cs="Times New Roman"/>
          <w:sz w:val="24"/>
          <w:szCs w:val="24"/>
          <w:lang w:eastAsia="zh-CN"/>
        </w:rPr>
        <w:t> 1989; </w:t>
      </w:r>
      <w:r w:rsidRPr="00E572B3">
        <w:rPr>
          <w:rFonts w:ascii="Book Antiqua" w:hAnsi="Book Antiqua" w:cs="Times New Roman"/>
          <w:b/>
          <w:bCs/>
          <w:sz w:val="24"/>
          <w:szCs w:val="24"/>
          <w:lang w:eastAsia="zh-CN"/>
        </w:rPr>
        <w:t>71</w:t>
      </w:r>
      <w:r w:rsidRPr="00E572B3">
        <w:rPr>
          <w:rFonts w:ascii="Book Antiqua" w:hAnsi="Book Antiqua" w:cs="Times New Roman"/>
          <w:sz w:val="24"/>
          <w:szCs w:val="24"/>
          <w:lang w:eastAsia="zh-CN"/>
        </w:rPr>
        <w:t>: 278-287 [PMID: 2918013]</w:t>
      </w:r>
    </w:p>
    <w:p w14:paraId="428E8A52" w14:textId="5C1B4412"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Weber M</w:t>
      </w:r>
      <w:r w:rsidRPr="00E572B3">
        <w:rPr>
          <w:rFonts w:ascii="Book Antiqua" w:hAnsi="Book Antiqua" w:cs="Times New Roman"/>
          <w:sz w:val="24"/>
          <w:szCs w:val="24"/>
          <w:lang w:eastAsia="zh-CN"/>
        </w:rPr>
        <w:t>. New classification and score for tibial hemimelia. </w:t>
      </w:r>
      <w:r w:rsidRPr="00E572B3">
        <w:rPr>
          <w:rFonts w:ascii="Book Antiqua" w:hAnsi="Book Antiqua" w:cs="Times New Roman"/>
          <w:i/>
          <w:iCs/>
          <w:sz w:val="24"/>
          <w:szCs w:val="24"/>
          <w:lang w:eastAsia="zh-CN"/>
        </w:rPr>
        <w:t>J Child Orthop</w:t>
      </w:r>
      <w:r w:rsidRPr="00E572B3">
        <w:rPr>
          <w:rFonts w:ascii="Book Antiqua" w:hAnsi="Book Antiqua" w:cs="Times New Roman"/>
          <w:sz w:val="24"/>
          <w:szCs w:val="24"/>
          <w:lang w:eastAsia="zh-CN"/>
        </w:rPr>
        <w:t> 2008; </w:t>
      </w:r>
      <w:r w:rsidRPr="00E572B3">
        <w:rPr>
          <w:rFonts w:ascii="Book Antiqua" w:hAnsi="Book Antiqua" w:cs="Times New Roman"/>
          <w:b/>
          <w:bCs/>
          <w:sz w:val="24"/>
          <w:szCs w:val="24"/>
          <w:lang w:eastAsia="zh-CN"/>
        </w:rPr>
        <w:t>2</w:t>
      </w:r>
      <w:r w:rsidRPr="00E572B3">
        <w:rPr>
          <w:rFonts w:ascii="Book Antiqua" w:hAnsi="Book Antiqua" w:cs="Times New Roman"/>
          <w:sz w:val="24"/>
          <w:szCs w:val="24"/>
          <w:lang w:eastAsia="zh-CN"/>
        </w:rPr>
        <w:t>: 169-175 [PMID: 19308574 DOI: 10.1007/s11832-008-0081-5]</w:t>
      </w:r>
    </w:p>
    <w:p w14:paraId="715D391D" w14:textId="47521196"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Wolfgang GL</w:t>
      </w:r>
      <w:r w:rsidRPr="00E572B3">
        <w:rPr>
          <w:rFonts w:ascii="Book Antiqua" w:hAnsi="Book Antiqua" w:cs="Times New Roman"/>
          <w:sz w:val="24"/>
          <w:szCs w:val="24"/>
          <w:lang w:eastAsia="zh-CN"/>
        </w:rPr>
        <w:t>. Complex congenital anomalies of the lower extremities: femoral bifurcation, tibial hemimelia, and diastasis of the ankle. Case report and review of the literature. </w:t>
      </w:r>
      <w:r w:rsidRPr="00E572B3">
        <w:rPr>
          <w:rFonts w:ascii="Book Antiqua" w:hAnsi="Book Antiqua" w:cs="Times New Roman"/>
          <w:i/>
          <w:iCs/>
          <w:sz w:val="24"/>
          <w:szCs w:val="24"/>
          <w:lang w:eastAsia="zh-CN"/>
        </w:rPr>
        <w:t>J Bone Joint Surg Am</w:t>
      </w:r>
      <w:r w:rsidRPr="00E572B3">
        <w:rPr>
          <w:rFonts w:ascii="Book Antiqua" w:hAnsi="Book Antiqua" w:cs="Times New Roman"/>
          <w:sz w:val="24"/>
          <w:szCs w:val="24"/>
          <w:lang w:eastAsia="zh-CN"/>
        </w:rPr>
        <w:t> 1984; </w:t>
      </w:r>
      <w:r w:rsidRPr="00E572B3">
        <w:rPr>
          <w:rFonts w:ascii="Book Antiqua" w:hAnsi="Book Antiqua" w:cs="Times New Roman"/>
          <w:b/>
          <w:bCs/>
          <w:sz w:val="24"/>
          <w:szCs w:val="24"/>
          <w:lang w:eastAsia="zh-CN"/>
        </w:rPr>
        <w:t>66</w:t>
      </w:r>
      <w:r w:rsidRPr="00E572B3">
        <w:rPr>
          <w:rFonts w:ascii="Book Antiqua" w:hAnsi="Book Antiqua" w:cs="Times New Roman"/>
          <w:sz w:val="24"/>
          <w:szCs w:val="24"/>
          <w:lang w:eastAsia="zh-CN"/>
        </w:rPr>
        <w:t>: 453-458 [PMID: 6699064]</w:t>
      </w:r>
    </w:p>
    <w:p w14:paraId="2064F8C3" w14:textId="74064E47"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Holmes LB</w:t>
      </w:r>
      <w:r w:rsidRPr="00E572B3">
        <w:rPr>
          <w:rFonts w:ascii="Book Antiqua" w:hAnsi="Book Antiqua" w:cs="Times New Roman"/>
          <w:sz w:val="24"/>
          <w:szCs w:val="24"/>
          <w:lang w:eastAsia="zh-CN"/>
        </w:rPr>
        <w:t>, Redline RW, Brown DL, Williams AJ, Collins T. Absence/hypoplasia of tibia, polydactyly, retrocerebellar arachnoid cyst, and other anomalies: an autosomal recessive disorder. </w:t>
      </w:r>
      <w:r w:rsidRPr="00E572B3">
        <w:rPr>
          <w:rFonts w:ascii="Book Antiqua" w:hAnsi="Book Antiqua" w:cs="Times New Roman"/>
          <w:i/>
          <w:iCs/>
          <w:sz w:val="24"/>
          <w:szCs w:val="24"/>
          <w:lang w:eastAsia="zh-CN"/>
        </w:rPr>
        <w:t>J Med Genet</w:t>
      </w:r>
      <w:r w:rsidRPr="00E572B3">
        <w:rPr>
          <w:rFonts w:ascii="Book Antiqua" w:hAnsi="Book Antiqua" w:cs="Times New Roman"/>
          <w:sz w:val="24"/>
          <w:szCs w:val="24"/>
          <w:lang w:eastAsia="zh-CN"/>
        </w:rPr>
        <w:t> 1995; </w:t>
      </w:r>
      <w:r w:rsidRPr="00E572B3">
        <w:rPr>
          <w:rFonts w:ascii="Book Antiqua" w:hAnsi="Book Antiqua" w:cs="Times New Roman"/>
          <w:b/>
          <w:bCs/>
          <w:sz w:val="24"/>
          <w:szCs w:val="24"/>
          <w:lang w:eastAsia="zh-CN"/>
        </w:rPr>
        <w:t>32</w:t>
      </w:r>
      <w:r w:rsidRPr="00E572B3">
        <w:rPr>
          <w:rFonts w:ascii="Book Antiqua" w:hAnsi="Book Antiqua" w:cs="Times New Roman"/>
          <w:sz w:val="24"/>
          <w:szCs w:val="24"/>
          <w:lang w:eastAsia="zh-CN"/>
        </w:rPr>
        <w:t>: 896-900 [PMID: 8592337 DOI: 10.1136/jmg.]</w:t>
      </w:r>
    </w:p>
    <w:p w14:paraId="5CA8019E" w14:textId="3C3FB317"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Hootnick DR</w:t>
      </w:r>
      <w:r w:rsidRPr="00E572B3">
        <w:rPr>
          <w:rFonts w:ascii="Book Antiqua" w:hAnsi="Book Antiqua" w:cs="Times New Roman"/>
          <w:sz w:val="24"/>
          <w:szCs w:val="24"/>
          <w:lang w:eastAsia="zh-CN"/>
        </w:rPr>
        <w:t>, Packard DS, Levinsohn EM. Congenital tibial aplasia with preaxial polydactyly: soft tissue anatomy as a clue to teratogenesis. </w:t>
      </w:r>
      <w:r w:rsidRPr="00E572B3">
        <w:rPr>
          <w:rFonts w:ascii="Book Antiqua" w:hAnsi="Book Antiqua" w:cs="Times New Roman"/>
          <w:i/>
          <w:iCs/>
          <w:sz w:val="24"/>
          <w:szCs w:val="24"/>
          <w:lang w:eastAsia="zh-CN"/>
        </w:rPr>
        <w:t>Teratology</w:t>
      </w:r>
      <w:r w:rsidRPr="00E572B3">
        <w:rPr>
          <w:rFonts w:ascii="Book Antiqua" w:hAnsi="Book Antiqua" w:cs="Times New Roman"/>
          <w:sz w:val="24"/>
          <w:szCs w:val="24"/>
          <w:lang w:eastAsia="zh-CN"/>
        </w:rPr>
        <w:t> 1983; </w:t>
      </w:r>
      <w:r w:rsidRPr="00E572B3">
        <w:rPr>
          <w:rFonts w:ascii="Book Antiqua" w:hAnsi="Book Antiqua" w:cs="Times New Roman"/>
          <w:b/>
          <w:bCs/>
          <w:sz w:val="24"/>
          <w:szCs w:val="24"/>
          <w:lang w:eastAsia="zh-CN"/>
        </w:rPr>
        <w:t>27</w:t>
      </w:r>
      <w:r w:rsidRPr="00E572B3">
        <w:rPr>
          <w:rFonts w:ascii="Book Antiqua" w:hAnsi="Book Antiqua" w:cs="Times New Roman"/>
          <w:sz w:val="24"/>
          <w:szCs w:val="24"/>
          <w:lang w:eastAsia="zh-CN"/>
        </w:rPr>
        <w:t>: 169-179 [PMID: 6867939 DOI: 10.1002/tera.1420270205]</w:t>
      </w:r>
    </w:p>
    <w:p w14:paraId="3452EDC1" w14:textId="5A0E782A"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Belthur MV</w:t>
      </w:r>
      <w:r w:rsidRPr="00E572B3">
        <w:rPr>
          <w:rFonts w:ascii="Book Antiqua" w:hAnsi="Book Antiqua" w:cs="Times New Roman"/>
          <w:sz w:val="24"/>
          <w:szCs w:val="24"/>
          <w:lang w:eastAsia="zh-CN"/>
        </w:rPr>
        <w:t>, Linton JL, Barnes DA. The spectrum of preaxial polydactyly of the foot. </w:t>
      </w:r>
      <w:r w:rsidRPr="00E572B3">
        <w:rPr>
          <w:rFonts w:ascii="Book Antiqua" w:hAnsi="Book Antiqua" w:cs="Times New Roman"/>
          <w:i/>
          <w:iCs/>
          <w:sz w:val="24"/>
          <w:szCs w:val="24"/>
          <w:lang w:eastAsia="zh-CN"/>
        </w:rPr>
        <w:t>J Pediatr Orthop</w:t>
      </w:r>
      <w:r w:rsidRPr="00E572B3">
        <w:rPr>
          <w:rFonts w:ascii="Book Antiqua" w:hAnsi="Book Antiqua" w:cs="Times New Roman"/>
          <w:sz w:val="24"/>
          <w:szCs w:val="24"/>
          <w:lang w:eastAsia="zh-CN"/>
        </w:rPr>
        <w:t> 2011; </w:t>
      </w:r>
      <w:r w:rsidRPr="00E572B3">
        <w:rPr>
          <w:rFonts w:ascii="Book Antiqua" w:hAnsi="Book Antiqua" w:cs="Times New Roman"/>
          <w:b/>
          <w:bCs/>
          <w:sz w:val="24"/>
          <w:szCs w:val="24"/>
          <w:lang w:eastAsia="zh-CN"/>
        </w:rPr>
        <w:t>31</w:t>
      </w:r>
      <w:r w:rsidRPr="00E572B3">
        <w:rPr>
          <w:rFonts w:ascii="Book Antiqua" w:hAnsi="Book Antiqua" w:cs="Times New Roman"/>
          <w:sz w:val="24"/>
          <w:szCs w:val="24"/>
          <w:lang w:eastAsia="zh-CN"/>
        </w:rPr>
        <w:t>: 435-447 [PMID: 21572282 DOI: 10.1097/bpo.0b013e3182199a68]</w:t>
      </w:r>
    </w:p>
    <w:p w14:paraId="6C77D968" w14:textId="6C93153B"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Drennan JC</w:t>
      </w:r>
      <w:r w:rsidRPr="00E572B3">
        <w:rPr>
          <w:rFonts w:ascii="Book Antiqua" w:hAnsi="Book Antiqua" w:cs="Times New Roman"/>
          <w:sz w:val="24"/>
          <w:szCs w:val="24"/>
          <w:lang w:eastAsia="zh-CN"/>
        </w:rPr>
        <w:t>. Congenital Deformities of the Foot and Ankle. In: Myerson MS, ed. Foot and Ankle Disorders, Vol 1. Philadelphia, PA: W.B. Saunders Company, 2000: 648-649</w:t>
      </w:r>
    </w:p>
    <w:p w14:paraId="4CDC51E2" w14:textId="36C275F7"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Venn-Watson EA</w:t>
      </w:r>
      <w:r w:rsidRPr="00E572B3">
        <w:rPr>
          <w:rFonts w:ascii="Book Antiqua" w:hAnsi="Book Antiqua" w:cs="Times New Roman"/>
          <w:sz w:val="24"/>
          <w:szCs w:val="24"/>
          <w:lang w:eastAsia="zh-CN"/>
        </w:rPr>
        <w:t>. Problems in polydactyly of the foot. </w:t>
      </w:r>
      <w:r w:rsidRPr="00E572B3">
        <w:rPr>
          <w:rFonts w:ascii="Book Antiqua" w:hAnsi="Book Antiqua" w:cs="Times New Roman"/>
          <w:i/>
          <w:iCs/>
          <w:sz w:val="24"/>
          <w:szCs w:val="24"/>
          <w:lang w:eastAsia="zh-CN"/>
        </w:rPr>
        <w:t>Orthop Clin North Am</w:t>
      </w:r>
      <w:r w:rsidRPr="00E572B3">
        <w:rPr>
          <w:rFonts w:ascii="Book Antiqua" w:hAnsi="Book Antiqua" w:cs="Times New Roman"/>
          <w:sz w:val="24"/>
          <w:szCs w:val="24"/>
          <w:lang w:eastAsia="zh-CN"/>
        </w:rPr>
        <w:t> 1976; </w:t>
      </w:r>
      <w:r w:rsidRPr="00E572B3">
        <w:rPr>
          <w:rFonts w:ascii="Book Antiqua" w:hAnsi="Book Antiqua" w:cs="Times New Roman"/>
          <w:b/>
          <w:bCs/>
          <w:sz w:val="24"/>
          <w:szCs w:val="24"/>
          <w:lang w:eastAsia="zh-CN"/>
        </w:rPr>
        <w:t>7</w:t>
      </w:r>
      <w:r w:rsidRPr="00E572B3">
        <w:rPr>
          <w:rFonts w:ascii="Book Antiqua" w:hAnsi="Book Antiqua" w:cs="Times New Roman"/>
          <w:sz w:val="24"/>
          <w:szCs w:val="24"/>
          <w:lang w:eastAsia="zh-CN"/>
        </w:rPr>
        <w:t>: 909-927 [PMID: 185565]</w:t>
      </w:r>
    </w:p>
    <w:p w14:paraId="3B3E228B" w14:textId="020754DB"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Masada K</w:t>
      </w:r>
      <w:r w:rsidRPr="00E572B3">
        <w:rPr>
          <w:rFonts w:ascii="Book Antiqua" w:hAnsi="Book Antiqua" w:cs="Times New Roman"/>
          <w:sz w:val="24"/>
          <w:szCs w:val="24"/>
          <w:lang w:eastAsia="zh-CN"/>
        </w:rPr>
        <w:t>, Tsuyuguchi Y, Kawabata H, Ono K. Treatment of preaxial polydactyly of the foot. </w:t>
      </w:r>
      <w:r w:rsidRPr="00E572B3">
        <w:rPr>
          <w:rFonts w:ascii="Book Antiqua" w:hAnsi="Book Antiqua" w:cs="Times New Roman"/>
          <w:i/>
          <w:iCs/>
          <w:sz w:val="24"/>
          <w:szCs w:val="24"/>
          <w:lang w:eastAsia="zh-CN"/>
        </w:rPr>
        <w:t>Plast Reconstr Surg</w:t>
      </w:r>
      <w:r w:rsidRPr="00E572B3">
        <w:rPr>
          <w:rFonts w:ascii="Book Antiqua" w:hAnsi="Book Antiqua" w:cs="Times New Roman"/>
          <w:sz w:val="24"/>
          <w:szCs w:val="24"/>
          <w:lang w:eastAsia="zh-CN"/>
        </w:rPr>
        <w:t> 1987; </w:t>
      </w:r>
      <w:r w:rsidRPr="00E572B3">
        <w:rPr>
          <w:rFonts w:ascii="Book Antiqua" w:hAnsi="Book Antiqua" w:cs="Times New Roman"/>
          <w:b/>
          <w:bCs/>
          <w:sz w:val="24"/>
          <w:szCs w:val="24"/>
          <w:lang w:eastAsia="zh-CN"/>
        </w:rPr>
        <w:t>79</w:t>
      </w:r>
      <w:r w:rsidRPr="00E572B3">
        <w:rPr>
          <w:rFonts w:ascii="Book Antiqua" w:hAnsi="Book Antiqua" w:cs="Times New Roman"/>
          <w:sz w:val="24"/>
          <w:szCs w:val="24"/>
          <w:lang w:eastAsia="zh-CN"/>
        </w:rPr>
        <w:t>: 251-258 [PMID: 3809271 DOI: 10.1097/00006534-198702000-00018]</w:t>
      </w:r>
    </w:p>
    <w:p w14:paraId="59C0075C" w14:textId="679C19BC"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lastRenderedPageBreak/>
        <w:t>Verghese R</w:t>
      </w:r>
      <w:r w:rsidRPr="00E572B3">
        <w:rPr>
          <w:rFonts w:ascii="Book Antiqua" w:hAnsi="Book Antiqua" w:cs="Times New Roman"/>
          <w:sz w:val="24"/>
          <w:szCs w:val="24"/>
          <w:lang w:eastAsia="zh-CN"/>
        </w:rPr>
        <w:t>, Shah H, Rebello G, Joseph B. Pre-axial mirror polydactyly associated with tibial deficiency: a study of the patterns of skeletal anomalies of the foot and leg. </w:t>
      </w:r>
      <w:r w:rsidRPr="00E572B3">
        <w:rPr>
          <w:rFonts w:ascii="Book Antiqua" w:hAnsi="Book Antiqua" w:cs="Times New Roman"/>
          <w:i/>
          <w:iCs/>
          <w:sz w:val="24"/>
          <w:szCs w:val="24"/>
          <w:lang w:eastAsia="zh-CN"/>
        </w:rPr>
        <w:t>J Child Orthop</w:t>
      </w:r>
      <w:r w:rsidRPr="00E572B3">
        <w:rPr>
          <w:rFonts w:ascii="Book Antiqua" w:hAnsi="Book Antiqua" w:cs="Times New Roman"/>
          <w:sz w:val="24"/>
          <w:szCs w:val="24"/>
          <w:lang w:eastAsia="zh-CN"/>
        </w:rPr>
        <w:t> 2007; </w:t>
      </w:r>
      <w:r w:rsidRPr="00E572B3">
        <w:rPr>
          <w:rFonts w:ascii="Book Antiqua" w:hAnsi="Book Antiqua" w:cs="Times New Roman"/>
          <w:b/>
          <w:bCs/>
          <w:sz w:val="24"/>
          <w:szCs w:val="24"/>
          <w:lang w:eastAsia="zh-CN"/>
        </w:rPr>
        <w:t>1</w:t>
      </w:r>
      <w:r w:rsidRPr="00E572B3">
        <w:rPr>
          <w:rFonts w:ascii="Book Antiqua" w:hAnsi="Book Antiqua" w:cs="Times New Roman"/>
          <w:sz w:val="24"/>
          <w:szCs w:val="24"/>
          <w:lang w:eastAsia="zh-CN"/>
        </w:rPr>
        <w:t>: 49-54 [PMID: 19308506 DOI: 10.1007/s11832-006-0001-5]</w:t>
      </w:r>
    </w:p>
    <w:p w14:paraId="36E73E99" w14:textId="64F26461"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Helfet AJ</w:t>
      </w:r>
      <w:r w:rsidRPr="00E572B3">
        <w:rPr>
          <w:rFonts w:ascii="Book Antiqua" w:hAnsi="Book Antiqua" w:cs="Times New Roman"/>
          <w:sz w:val="24"/>
          <w:szCs w:val="24"/>
          <w:lang w:eastAsia="zh-CN"/>
        </w:rPr>
        <w:t>, Greubel Lee DM. Congenital Deformities of the Feet. Philadelphia, PA: J.B. Lippincott Company, 1980: 83-84</w:t>
      </w:r>
    </w:p>
    <w:p w14:paraId="605935D1" w14:textId="2C1B3935"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Bar-On E</w:t>
      </w:r>
      <w:r w:rsidRPr="00E572B3">
        <w:rPr>
          <w:rFonts w:ascii="Book Antiqua" w:hAnsi="Book Antiqua" w:cs="Times New Roman"/>
          <w:sz w:val="24"/>
          <w:szCs w:val="24"/>
          <w:lang w:eastAsia="zh-CN"/>
        </w:rPr>
        <w:t>, Mashiach R, Inbar O, Weigl D, Katz K, Meizner I. Prenatal ultrasound diagnosis of club foot: outcome and recommendations for counselling and follow-up. </w:t>
      </w:r>
      <w:r w:rsidRPr="00E572B3">
        <w:rPr>
          <w:rFonts w:ascii="Book Antiqua" w:hAnsi="Book Antiqua" w:cs="Times New Roman"/>
          <w:i/>
          <w:iCs/>
          <w:sz w:val="24"/>
          <w:szCs w:val="24"/>
          <w:lang w:eastAsia="zh-CN"/>
        </w:rPr>
        <w:t>J Bone Joint Surg Br</w:t>
      </w:r>
      <w:r w:rsidRPr="00E572B3">
        <w:rPr>
          <w:rFonts w:ascii="Book Antiqua" w:hAnsi="Book Antiqua" w:cs="Times New Roman"/>
          <w:sz w:val="24"/>
          <w:szCs w:val="24"/>
          <w:lang w:eastAsia="zh-CN"/>
        </w:rPr>
        <w:t> 2005; </w:t>
      </w:r>
      <w:r w:rsidRPr="00E572B3">
        <w:rPr>
          <w:rFonts w:ascii="Book Antiqua" w:hAnsi="Book Antiqua" w:cs="Times New Roman"/>
          <w:b/>
          <w:bCs/>
          <w:sz w:val="24"/>
          <w:szCs w:val="24"/>
          <w:lang w:eastAsia="zh-CN"/>
        </w:rPr>
        <w:t>87</w:t>
      </w:r>
      <w:r w:rsidRPr="00E572B3">
        <w:rPr>
          <w:rFonts w:ascii="Book Antiqua" w:hAnsi="Book Antiqua" w:cs="Times New Roman"/>
          <w:sz w:val="24"/>
          <w:szCs w:val="24"/>
          <w:lang w:eastAsia="zh-CN"/>
        </w:rPr>
        <w:t>: 990-993 [PMID: 15972918 DOI: 10.1302/0301-620x.87b7.16076]</w:t>
      </w:r>
    </w:p>
    <w:p w14:paraId="597282A5" w14:textId="5F92660D"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Beaty JH</w:t>
      </w:r>
      <w:r w:rsidRPr="00E572B3">
        <w:rPr>
          <w:rFonts w:ascii="Book Antiqua" w:hAnsi="Book Antiqua" w:cs="Times New Roman"/>
          <w:sz w:val="24"/>
          <w:szCs w:val="24"/>
          <w:lang w:eastAsia="zh-CN"/>
        </w:rPr>
        <w:t>. Congenital Foot Deformities. In: Coughlin MJ, Mann RA, Saltzman CL, eds. Surgery of the Foot and Ankle, Volume 2. Philadelphia, PA: Mosby, 2007: 1729-1760</w:t>
      </w:r>
    </w:p>
    <w:p w14:paraId="4D856ED6" w14:textId="20BF6FF3"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Bass A</w:t>
      </w:r>
      <w:r w:rsidRPr="00E572B3">
        <w:rPr>
          <w:rFonts w:ascii="Book Antiqua" w:hAnsi="Book Antiqua" w:cs="Times New Roman"/>
          <w:sz w:val="24"/>
          <w:szCs w:val="24"/>
          <w:lang w:eastAsia="zh-CN"/>
        </w:rPr>
        <w:t xml:space="preserve">. Update on Club Foot. </w:t>
      </w:r>
      <w:r w:rsidRPr="00E572B3">
        <w:rPr>
          <w:rFonts w:ascii="Book Antiqua" w:hAnsi="Book Antiqua" w:cs="Times New Roman"/>
          <w:i/>
          <w:sz w:val="24"/>
          <w:szCs w:val="24"/>
          <w:lang w:eastAsia="zh-CN"/>
        </w:rPr>
        <w:t>Paediatr Child Healt</w:t>
      </w:r>
      <w:r w:rsidRPr="00E572B3">
        <w:rPr>
          <w:rFonts w:ascii="Book Antiqua" w:hAnsi="Book Antiqua" w:cs="Times New Roman"/>
          <w:sz w:val="24"/>
          <w:szCs w:val="24"/>
          <w:lang w:eastAsia="zh-CN"/>
        </w:rPr>
        <w:t xml:space="preserve"> 2012; </w:t>
      </w:r>
      <w:r w:rsidRPr="00E572B3">
        <w:rPr>
          <w:rFonts w:ascii="Book Antiqua" w:hAnsi="Book Antiqua" w:cs="Times New Roman"/>
          <w:b/>
          <w:sz w:val="24"/>
          <w:szCs w:val="24"/>
          <w:lang w:eastAsia="zh-CN"/>
        </w:rPr>
        <w:t>22</w:t>
      </w:r>
      <w:r w:rsidRPr="00E572B3">
        <w:rPr>
          <w:rFonts w:ascii="Book Antiqua" w:hAnsi="Book Antiqua" w:cs="Times New Roman"/>
          <w:sz w:val="24"/>
          <w:szCs w:val="24"/>
          <w:lang w:eastAsia="zh-CN"/>
        </w:rPr>
        <w:t>: 239-242 [DOI: 10.1016/j.paed.2011.11.007]</w:t>
      </w:r>
    </w:p>
    <w:p w14:paraId="12F9F6A4" w14:textId="271CE403"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Sullivan RJ</w:t>
      </w:r>
      <w:r w:rsidRPr="00E572B3">
        <w:rPr>
          <w:rFonts w:ascii="Book Antiqua" w:hAnsi="Book Antiqua" w:cs="Times New Roman"/>
          <w:sz w:val="24"/>
          <w:szCs w:val="24"/>
          <w:lang w:eastAsia="zh-CN"/>
        </w:rPr>
        <w:t>. Congenital Talipes Equinovarus. In: Myerson MS ed. Foot and Ankle Disorders, Vol. 1. Philadelphia, PA: W.B. Saunders Company, 2000: 693-698</w:t>
      </w:r>
    </w:p>
    <w:p w14:paraId="0DB57786" w14:textId="7FBEE337" w:rsidR="00E572B3" w:rsidRPr="00E572B3" w:rsidRDefault="00E572B3" w:rsidP="00E572B3">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Shaheen S</w:t>
      </w:r>
      <w:r w:rsidRPr="00E572B3">
        <w:rPr>
          <w:rFonts w:ascii="Book Antiqua" w:hAnsi="Book Antiqua" w:cs="Times New Roman"/>
          <w:sz w:val="24"/>
          <w:szCs w:val="24"/>
          <w:lang w:eastAsia="zh-CN"/>
        </w:rPr>
        <w:t>, Jaiballa H, Pirani S. Interobserver reliability in Pirani clubfoot severity scoring between a paediatric orthopaedic surgeon and a physiotherapy assistant. </w:t>
      </w:r>
      <w:r w:rsidRPr="00E572B3">
        <w:rPr>
          <w:rFonts w:ascii="Book Antiqua" w:hAnsi="Book Antiqua" w:cs="Times New Roman"/>
          <w:i/>
          <w:iCs/>
          <w:sz w:val="24"/>
          <w:szCs w:val="24"/>
          <w:lang w:eastAsia="zh-CN"/>
        </w:rPr>
        <w:t>J Pediatr Orthop B</w:t>
      </w:r>
      <w:r w:rsidRPr="00E572B3">
        <w:rPr>
          <w:rFonts w:ascii="Book Antiqua" w:hAnsi="Book Antiqua" w:cs="Times New Roman"/>
          <w:sz w:val="24"/>
          <w:szCs w:val="24"/>
          <w:lang w:eastAsia="zh-CN"/>
        </w:rPr>
        <w:t> 2012; </w:t>
      </w:r>
      <w:r w:rsidRPr="00E572B3">
        <w:rPr>
          <w:rFonts w:ascii="Book Antiqua" w:hAnsi="Book Antiqua" w:cs="Times New Roman"/>
          <w:b/>
          <w:bCs/>
          <w:sz w:val="24"/>
          <w:szCs w:val="24"/>
          <w:lang w:eastAsia="zh-CN"/>
        </w:rPr>
        <w:t>21</w:t>
      </w:r>
      <w:r w:rsidRPr="00E572B3">
        <w:rPr>
          <w:rFonts w:ascii="Book Antiqua" w:hAnsi="Book Antiqua" w:cs="Times New Roman"/>
          <w:sz w:val="24"/>
          <w:szCs w:val="24"/>
          <w:lang w:eastAsia="zh-CN"/>
        </w:rPr>
        <w:t>: 366-368 [PMID: 22343939 DOI: 10.1097/]</w:t>
      </w:r>
    </w:p>
    <w:p w14:paraId="1A779E76" w14:textId="3CD610C4"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Ponseti IV</w:t>
      </w:r>
      <w:r w:rsidRPr="00E572B3">
        <w:rPr>
          <w:rFonts w:ascii="Book Antiqua" w:hAnsi="Book Antiqua" w:cs="Times New Roman"/>
          <w:sz w:val="24"/>
          <w:szCs w:val="24"/>
          <w:lang w:eastAsia="zh-CN"/>
        </w:rPr>
        <w:t>. Congenital Clubfoot: Fundamentals of Treatment. New York, NY: Oxford Medical Publications, 1996: 8-35</w:t>
      </w:r>
    </w:p>
    <w:p w14:paraId="7A06E723" w14:textId="19E5DD3E"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Siapkara A</w:t>
      </w:r>
      <w:r w:rsidRPr="00E572B3">
        <w:rPr>
          <w:rFonts w:ascii="Book Antiqua" w:hAnsi="Book Antiqua" w:cs="Times New Roman"/>
          <w:sz w:val="24"/>
          <w:szCs w:val="24"/>
          <w:lang w:eastAsia="zh-CN"/>
        </w:rPr>
        <w:t>, Duncan R. Congenital talipes equinovarus: a review of current management. </w:t>
      </w:r>
      <w:r w:rsidRPr="00E572B3">
        <w:rPr>
          <w:rFonts w:ascii="Book Antiqua" w:hAnsi="Book Antiqua" w:cs="Times New Roman"/>
          <w:i/>
          <w:iCs/>
          <w:sz w:val="24"/>
          <w:szCs w:val="24"/>
          <w:lang w:eastAsia="zh-CN"/>
        </w:rPr>
        <w:t>J Bone Joint Surg Br</w:t>
      </w:r>
      <w:r w:rsidRPr="00E572B3">
        <w:rPr>
          <w:rFonts w:ascii="Book Antiqua" w:hAnsi="Book Antiqua" w:cs="Times New Roman"/>
          <w:sz w:val="24"/>
          <w:szCs w:val="24"/>
          <w:lang w:eastAsia="zh-CN"/>
        </w:rPr>
        <w:t> 2007; </w:t>
      </w:r>
      <w:r w:rsidRPr="00E572B3">
        <w:rPr>
          <w:rFonts w:ascii="Book Antiqua" w:hAnsi="Book Antiqua" w:cs="Times New Roman"/>
          <w:b/>
          <w:bCs/>
          <w:sz w:val="24"/>
          <w:szCs w:val="24"/>
          <w:lang w:eastAsia="zh-CN"/>
        </w:rPr>
        <w:t>89</w:t>
      </w:r>
      <w:r w:rsidRPr="00E572B3">
        <w:rPr>
          <w:rFonts w:ascii="Book Antiqua" w:hAnsi="Book Antiqua" w:cs="Times New Roman"/>
          <w:sz w:val="24"/>
          <w:szCs w:val="24"/>
          <w:lang w:eastAsia="zh-CN"/>
        </w:rPr>
        <w:t>: 995-1000 [PMID: 17785734 DOI: 10.1302/0301-620X.89B8.19008]</w:t>
      </w:r>
    </w:p>
    <w:p w14:paraId="75DE147C" w14:textId="4BAA55D9"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Jones D</w:t>
      </w:r>
      <w:r w:rsidRPr="00E572B3">
        <w:rPr>
          <w:rFonts w:ascii="Book Antiqua" w:hAnsi="Book Antiqua" w:cs="Times New Roman"/>
          <w:sz w:val="24"/>
          <w:szCs w:val="24"/>
          <w:lang w:eastAsia="zh-CN"/>
        </w:rPr>
        <w:t>, Barnes J, Lloyd-Roberts GC. Congenital aplasia and dysplasia of the tibia with intact fibula. Classification and management. </w:t>
      </w:r>
      <w:r w:rsidRPr="00E572B3">
        <w:rPr>
          <w:rFonts w:ascii="Book Antiqua" w:hAnsi="Book Antiqua" w:cs="Times New Roman"/>
          <w:i/>
          <w:iCs/>
          <w:sz w:val="24"/>
          <w:szCs w:val="24"/>
          <w:lang w:eastAsia="zh-CN"/>
        </w:rPr>
        <w:t>J Bone Joint Surg Br</w:t>
      </w:r>
      <w:r w:rsidRPr="00E572B3">
        <w:rPr>
          <w:rFonts w:ascii="Book Antiqua" w:hAnsi="Book Antiqua" w:cs="Times New Roman"/>
          <w:sz w:val="24"/>
          <w:szCs w:val="24"/>
          <w:lang w:eastAsia="zh-CN"/>
        </w:rPr>
        <w:t> 1978; </w:t>
      </w:r>
      <w:r w:rsidRPr="00E572B3">
        <w:rPr>
          <w:rFonts w:ascii="Book Antiqua" w:hAnsi="Book Antiqua" w:cs="Times New Roman"/>
          <w:b/>
          <w:bCs/>
          <w:sz w:val="24"/>
          <w:szCs w:val="24"/>
          <w:lang w:eastAsia="zh-CN"/>
        </w:rPr>
        <w:t>60</w:t>
      </w:r>
      <w:r w:rsidRPr="00E572B3">
        <w:rPr>
          <w:rFonts w:ascii="Book Antiqua" w:hAnsi="Book Antiqua" w:cs="Times New Roman"/>
          <w:sz w:val="24"/>
          <w:szCs w:val="24"/>
          <w:lang w:eastAsia="zh-CN"/>
        </w:rPr>
        <w:t>: 31-39 [PMID: 627576 DOI: 10.1016/S0022-3468(78)80365-0]</w:t>
      </w:r>
    </w:p>
    <w:p w14:paraId="63C4D31A" w14:textId="4228FA7F"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lastRenderedPageBreak/>
        <w:t>Watanabe H</w:t>
      </w:r>
      <w:r w:rsidRPr="00E572B3">
        <w:rPr>
          <w:rFonts w:ascii="Book Antiqua" w:hAnsi="Book Antiqua" w:cs="Times New Roman"/>
          <w:sz w:val="24"/>
          <w:szCs w:val="24"/>
          <w:lang w:eastAsia="zh-CN"/>
        </w:rPr>
        <w:t>, Fujita S, Oka I. Polydactyly of the foot: an analysis of 265 cases and a morphological classification. </w:t>
      </w:r>
      <w:r w:rsidRPr="00E572B3">
        <w:rPr>
          <w:rFonts w:ascii="Book Antiqua" w:hAnsi="Book Antiqua" w:cs="Times New Roman"/>
          <w:i/>
          <w:iCs/>
          <w:sz w:val="24"/>
          <w:szCs w:val="24"/>
          <w:lang w:eastAsia="zh-CN"/>
        </w:rPr>
        <w:t>Plast Reconstr Surg</w:t>
      </w:r>
      <w:r w:rsidRPr="00E572B3">
        <w:rPr>
          <w:rFonts w:ascii="Book Antiqua" w:hAnsi="Book Antiqua" w:cs="Times New Roman"/>
          <w:sz w:val="24"/>
          <w:szCs w:val="24"/>
          <w:lang w:eastAsia="zh-CN"/>
        </w:rPr>
        <w:t> 1992; </w:t>
      </w:r>
      <w:r w:rsidRPr="00E572B3">
        <w:rPr>
          <w:rFonts w:ascii="Book Antiqua" w:hAnsi="Book Antiqua" w:cs="Times New Roman"/>
          <w:b/>
          <w:bCs/>
          <w:sz w:val="24"/>
          <w:szCs w:val="24"/>
          <w:lang w:eastAsia="zh-CN"/>
        </w:rPr>
        <w:t>89</w:t>
      </w:r>
      <w:r w:rsidRPr="00E572B3">
        <w:rPr>
          <w:rFonts w:ascii="Book Antiqua" w:hAnsi="Book Antiqua" w:cs="Times New Roman"/>
          <w:sz w:val="24"/>
          <w:szCs w:val="24"/>
          <w:lang w:eastAsia="zh-CN"/>
        </w:rPr>
        <w:t>: 856-877 [PMID: 1561258 DOI: 10.1097/00006534-199205000-00014]</w:t>
      </w:r>
    </w:p>
    <w:p w14:paraId="10E3889B" w14:textId="4555AEA6"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Ponseti IV</w:t>
      </w:r>
      <w:r w:rsidRPr="00E572B3">
        <w:rPr>
          <w:rFonts w:ascii="Book Antiqua" w:hAnsi="Book Antiqua" w:cs="Times New Roman"/>
          <w:sz w:val="24"/>
          <w:szCs w:val="24"/>
          <w:lang w:eastAsia="zh-CN"/>
        </w:rPr>
        <w:t>, Smoley EN. The classic: congenital club foot: the results of treatment. 1963. </w:t>
      </w:r>
      <w:r w:rsidRPr="00E572B3">
        <w:rPr>
          <w:rFonts w:ascii="Book Antiqua" w:hAnsi="Book Antiqua" w:cs="Times New Roman"/>
          <w:i/>
          <w:iCs/>
          <w:sz w:val="24"/>
          <w:szCs w:val="24"/>
          <w:lang w:eastAsia="zh-CN"/>
        </w:rPr>
        <w:t>Clin Orthop Relat Res</w:t>
      </w:r>
      <w:r w:rsidRPr="00E572B3">
        <w:rPr>
          <w:rFonts w:ascii="Book Antiqua" w:hAnsi="Book Antiqua" w:cs="Times New Roman"/>
          <w:sz w:val="24"/>
          <w:szCs w:val="24"/>
          <w:lang w:eastAsia="zh-CN"/>
        </w:rPr>
        <w:t> 2009; </w:t>
      </w:r>
      <w:r w:rsidRPr="00E572B3">
        <w:rPr>
          <w:rFonts w:ascii="Book Antiqua" w:hAnsi="Book Antiqua" w:cs="Times New Roman"/>
          <w:b/>
          <w:bCs/>
          <w:sz w:val="24"/>
          <w:szCs w:val="24"/>
          <w:lang w:eastAsia="zh-CN"/>
        </w:rPr>
        <w:t>467</w:t>
      </w:r>
      <w:r w:rsidRPr="00E572B3">
        <w:rPr>
          <w:rFonts w:ascii="Book Antiqua" w:hAnsi="Book Antiqua" w:cs="Times New Roman"/>
          <w:sz w:val="24"/>
          <w:szCs w:val="24"/>
          <w:lang w:eastAsia="zh-CN"/>
        </w:rPr>
        <w:t>: 1133-1145 [PMID: 19219519 DOI: 10.1007/s11999-009-0720-2]</w:t>
      </w:r>
    </w:p>
    <w:p w14:paraId="03FC54F7" w14:textId="10F4E157"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sz w:val="24"/>
          <w:szCs w:val="24"/>
          <w:lang w:eastAsia="zh-CN"/>
        </w:rPr>
        <w:t>Jain M</w:t>
      </w:r>
      <w:r w:rsidRPr="00E572B3">
        <w:rPr>
          <w:rFonts w:ascii="Book Antiqua" w:hAnsi="Book Antiqua" w:cs="Times New Roman"/>
          <w:sz w:val="24"/>
          <w:szCs w:val="24"/>
          <w:lang w:eastAsia="zh-CN"/>
        </w:rPr>
        <w:t xml:space="preserve">, Dhande S, Vyas N. Biomodeling of club foot deformity of babies. </w:t>
      </w:r>
      <w:r w:rsidRPr="00E572B3">
        <w:rPr>
          <w:rFonts w:ascii="Book Antiqua" w:hAnsi="Book Antiqua" w:cs="Times New Roman"/>
          <w:i/>
          <w:sz w:val="24"/>
          <w:szCs w:val="24"/>
          <w:lang w:eastAsia="zh-CN"/>
        </w:rPr>
        <w:t>Rapid Prototyping J</w:t>
      </w:r>
      <w:r w:rsidRPr="00E572B3">
        <w:rPr>
          <w:rFonts w:ascii="Book Antiqua" w:hAnsi="Book Antiqua" w:cs="Times New Roman"/>
          <w:sz w:val="24"/>
          <w:szCs w:val="24"/>
          <w:lang w:eastAsia="zh-CN"/>
        </w:rPr>
        <w:t xml:space="preserve"> 2009; </w:t>
      </w:r>
      <w:r w:rsidRPr="00E572B3">
        <w:rPr>
          <w:rFonts w:ascii="Book Antiqua" w:hAnsi="Book Antiqua" w:cs="Times New Roman"/>
          <w:b/>
          <w:sz w:val="24"/>
          <w:szCs w:val="24"/>
          <w:lang w:eastAsia="zh-CN"/>
        </w:rPr>
        <w:t>15</w:t>
      </w:r>
      <w:r w:rsidRPr="00E572B3">
        <w:rPr>
          <w:rFonts w:ascii="Book Antiqua" w:hAnsi="Book Antiqua" w:cs="Times New Roman"/>
          <w:sz w:val="24"/>
          <w:szCs w:val="24"/>
          <w:lang w:eastAsia="zh-CN"/>
        </w:rPr>
        <w:t>: 164-170 [DOI: 10.1108/13552540910960253]</w:t>
      </w:r>
    </w:p>
    <w:p w14:paraId="0254331E" w14:textId="6DB93E1A" w:rsidR="00E8163A" w:rsidRPr="00E572B3" w:rsidRDefault="00E8163A" w:rsidP="00E8163A">
      <w:pPr>
        <w:pStyle w:val="aa"/>
        <w:numPr>
          <w:ilvl w:val="0"/>
          <w:numId w:val="2"/>
        </w:numPr>
        <w:adjustRightInd w:val="0"/>
        <w:snapToGrid w:val="0"/>
        <w:spacing w:after="0" w:line="360" w:lineRule="auto"/>
        <w:ind w:left="426" w:hanging="426"/>
        <w:jc w:val="both"/>
        <w:rPr>
          <w:rFonts w:ascii="Book Antiqua" w:hAnsi="Book Antiqua" w:cs="Times New Roman"/>
          <w:sz w:val="24"/>
          <w:szCs w:val="24"/>
          <w:lang w:eastAsia="zh-CN"/>
        </w:rPr>
      </w:pPr>
      <w:r w:rsidRPr="00E572B3">
        <w:rPr>
          <w:rFonts w:ascii="Book Antiqua" w:hAnsi="Book Antiqua" w:cs="Times New Roman"/>
          <w:b/>
          <w:bCs/>
          <w:sz w:val="24"/>
          <w:szCs w:val="24"/>
          <w:lang w:eastAsia="zh-CN"/>
        </w:rPr>
        <w:t>Kruse L</w:t>
      </w:r>
      <w:r w:rsidRPr="00E572B3">
        <w:rPr>
          <w:rFonts w:ascii="Book Antiqua" w:hAnsi="Book Antiqua" w:cs="Times New Roman"/>
          <w:sz w:val="24"/>
          <w:szCs w:val="24"/>
          <w:lang w:eastAsia="zh-CN"/>
        </w:rPr>
        <w:t>, Gurnett CA, Hootnick D, Dobbs MB. Magnetic resonance angiography in clubfoot and vertical talus: a feasibility study. </w:t>
      </w:r>
      <w:r w:rsidRPr="00E572B3">
        <w:rPr>
          <w:rFonts w:ascii="Book Antiqua" w:hAnsi="Book Antiqua" w:cs="Times New Roman"/>
          <w:i/>
          <w:iCs/>
          <w:sz w:val="24"/>
          <w:szCs w:val="24"/>
          <w:lang w:eastAsia="zh-CN"/>
        </w:rPr>
        <w:t>Clin Orthop Relat Res</w:t>
      </w:r>
      <w:r w:rsidRPr="00E572B3">
        <w:rPr>
          <w:rFonts w:ascii="Book Antiqua" w:hAnsi="Book Antiqua" w:cs="Times New Roman"/>
          <w:sz w:val="24"/>
          <w:szCs w:val="24"/>
          <w:lang w:eastAsia="zh-CN"/>
        </w:rPr>
        <w:t> 2009; </w:t>
      </w:r>
      <w:r w:rsidRPr="00E572B3">
        <w:rPr>
          <w:rFonts w:ascii="Book Antiqua" w:hAnsi="Book Antiqua" w:cs="Times New Roman"/>
          <w:b/>
          <w:bCs/>
          <w:sz w:val="24"/>
          <w:szCs w:val="24"/>
          <w:lang w:eastAsia="zh-CN"/>
        </w:rPr>
        <w:t>467</w:t>
      </w:r>
      <w:r w:rsidRPr="00E572B3">
        <w:rPr>
          <w:rFonts w:ascii="Book Antiqua" w:hAnsi="Book Antiqua" w:cs="Times New Roman"/>
          <w:sz w:val="24"/>
          <w:szCs w:val="24"/>
          <w:lang w:eastAsia="zh-CN"/>
        </w:rPr>
        <w:t>: 1250-1255 [PMID: 19127394 DOI: 10.1007/s11999-008-0673-x]</w:t>
      </w:r>
    </w:p>
    <w:p w14:paraId="5F1DCA8A" w14:textId="77777777" w:rsidR="007278F7" w:rsidRDefault="007278F7" w:rsidP="00046F1E">
      <w:pPr>
        <w:snapToGrid w:val="0"/>
        <w:spacing w:after="0" w:line="360" w:lineRule="auto"/>
        <w:jc w:val="right"/>
        <w:rPr>
          <w:rFonts w:ascii="Book Antiqua" w:hAnsi="Book Antiqua" w:cs="Times New Roman"/>
          <w:b/>
          <w:color w:val="000000"/>
          <w:sz w:val="24"/>
          <w:szCs w:val="24"/>
          <w:lang w:eastAsia="zh-CN"/>
        </w:rPr>
      </w:pPr>
      <w:bookmarkStart w:id="51" w:name="OLE_LINK157"/>
      <w:bookmarkStart w:id="52" w:name="OLE_LINK161"/>
      <w:bookmarkStart w:id="53" w:name="OLE_LINK166"/>
      <w:bookmarkStart w:id="54" w:name="OLE_LINK176"/>
      <w:bookmarkStart w:id="55" w:name="OLE_LINK226"/>
      <w:bookmarkStart w:id="56" w:name="OLE_LINK231"/>
      <w:bookmarkStart w:id="57" w:name="OLE_LINK235"/>
      <w:bookmarkStart w:id="58" w:name="OLE_LINK238"/>
      <w:bookmarkStart w:id="59" w:name="OLE_LINK243"/>
      <w:bookmarkStart w:id="60" w:name="OLE_LINK247"/>
      <w:bookmarkStart w:id="61" w:name="OLE_LINK259"/>
      <w:bookmarkStart w:id="62" w:name="OLE_LINK257"/>
      <w:bookmarkStart w:id="63" w:name="OLE_LINK273"/>
      <w:bookmarkStart w:id="64" w:name="OLE_LINK270"/>
      <w:bookmarkStart w:id="65" w:name="OLE_LINK279"/>
      <w:bookmarkStart w:id="66" w:name="OLE_LINK293"/>
      <w:bookmarkStart w:id="67" w:name="OLE_LINK275"/>
      <w:bookmarkStart w:id="68" w:name="OLE_LINK303"/>
      <w:bookmarkStart w:id="69" w:name="OLE_LINK304"/>
    </w:p>
    <w:p w14:paraId="2FF719BB" w14:textId="7D20A8B1" w:rsidR="00046F1E" w:rsidRPr="00E572B3" w:rsidRDefault="00046F1E" w:rsidP="00046F1E">
      <w:pPr>
        <w:snapToGrid w:val="0"/>
        <w:spacing w:after="0" w:line="360" w:lineRule="auto"/>
        <w:jc w:val="right"/>
        <w:rPr>
          <w:rFonts w:ascii="Book Antiqua" w:hAnsi="Book Antiqua" w:cs="Times New Roman"/>
          <w:color w:val="000000"/>
          <w:sz w:val="24"/>
          <w:szCs w:val="24"/>
        </w:rPr>
      </w:pPr>
      <w:r w:rsidRPr="00E572B3">
        <w:rPr>
          <w:rFonts w:ascii="Book Antiqua" w:hAnsi="Book Antiqua" w:cs="Times New Roman"/>
          <w:b/>
          <w:color w:val="000000"/>
          <w:sz w:val="24"/>
          <w:szCs w:val="24"/>
        </w:rPr>
        <w:t>P-Reviewer:</w:t>
      </w:r>
      <w:r w:rsidRPr="00E572B3">
        <w:rPr>
          <w:rFonts w:ascii="Book Antiqua" w:hAnsi="Book Antiqua" w:cs="Times New Roman"/>
          <w:color w:val="000000"/>
          <w:sz w:val="24"/>
          <w:szCs w:val="24"/>
        </w:rPr>
        <w:t xml:space="preserve"> </w:t>
      </w:r>
      <w:r w:rsidR="00195FD9" w:rsidRPr="00E572B3">
        <w:rPr>
          <w:rFonts w:ascii="Book Antiqua" w:hAnsi="Book Antiqua" w:cs="Times New Roman"/>
          <w:color w:val="000000"/>
          <w:sz w:val="24"/>
          <w:szCs w:val="24"/>
        </w:rPr>
        <w:t>Radler</w:t>
      </w:r>
      <w:r w:rsidR="00195FD9" w:rsidRPr="00E572B3">
        <w:rPr>
          <w:rFonts w:ascii="Book Antiqua" w:hAnsi="Book Antiqua" w:cs="Times New Roman" w:hint="eastAsia"/>
          <w:color w:val="000000"/>
          <w:sz w:val="24"/>
          <w:szCs w:val="24"/>
          <w:lang w:eastAsia="zh-CN"/>
        </w:rPr>
        <w:t xml:space="preserve"> C </w:t>
      </w:r>
      <w:r w:rsidRPr="00E572B3">
        <w:rPr>
          <w:rFonts w:ascii="Book Antiqua" w:hAnsi="Book Antiqua" w:cs="Times New Roman"/>
          <w:b/>
          <w:color w:val="000000"/>
          <w:sz w:val="24"/>
          <w:szCs w:val="24"/>
        </w:rPr>
        <w:t xml:space="preserve">S-Editor: </w:t>
      </w:r>
      <w:r w:rsidRPr="00E572B3">
        <w:rPr>
          <w:rFonts w:ascii="Book Antiqua" w:hAnsi="Book Antiqua" w:cs="Times New Roman"/>
          <w:color w:val="000000"/>
          <w:sz w:val="24"/>
          <w:szCs w:val="24"/>
        </w:rPr>
        <w:t xml:space="preserve">Kong JX </w:t>
      </w:r>
      <w:r w:rsidRPr="00E572B3">
        <w:rPr>
          <w:rFonts w:ascii="Book Antiqua" w:hAnsi="Book Antiqua" w:cs="Times New Roman"/>
          <w:b/>
          <w:color w:val="000000"/>
          <w:sz w:val="24"/>
          <w:szCs w:val="24"/>
        </w:rPr>
        <w:t>L-Editor: E-Editor:</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3AD09B86" w14:textId="77777777" w:rsidR="00046F1E" w:rsidRPr="00E572B3" w:rsidRDefault="00046F1E" w:rsidP="00A71D9E">
      <w:pPr>
        <w:autoSpaceDE w:val="0"/>
        <w:autoSpaceDN w:val="0"/>
        <w:adjustRightInd w:val="0"/>
        <w:snapToGrid w:val="0"/>
        <w:spacing w:after="0" w:line="360" w:lineRule="auto"/>
        <w:jc w:val="both"/>
        <w:rPr>
          <w:rFonts w:ascii="Book Antiqua" w:hAnsi="Book Antiqua" w:cs="Times New Roman"/>
          <w:sz w:val="24"/>
          <w:szCs w:val="24"/>
          <w:lang w:eastAsia="zh-CN"/>
        </w:rPr>
      </w:pPr>
    </w:p>
    <w:p w14:paraId="0266A110" w14:textId="0A8C1364" w:rsidR="00D01B84" w:rsidRPr="00E572B3" w:rsidRDefault="00D01B84" w:rsidP="00A71D9E">
      <w:pPr>
        <w:autoSpaceDE w:val="0"/>
        <w:autoSpaceDN w:val="0"/>
        <w:adjustRightInd w:val="0"/>
        <w:snapToGrid w:val="0"/>
        <w:spacing w:after="0" w:line="360" w:lineRule="auto"/>
        <w:jc w:val="both"/>
        <w:rPr>
          <w:rFonts w:ascii="Book Antiqua" w:hAnsi="Book Antiqua" w:cs="Times New Roman"/>
          <w:sz w:val="24"/>
          <w:szCs w:val="24"/>
          <w:lang w:eastAsia="zh-CN"/>
        </w:rPr>
      </w:pPr>
      <w:r w:rsidRPr="00E572B3">
        <w:rPr>
          <w:rFonts w:ascii="Book Antiqua" w:hAnsi="Book Antiqua" w:cs="Times New Roman"/>
          <w:sz w:val="24"/>
          <w:szCs w:val="24"/>
        </w:rPr>
        <w:br w:type="page"/>
      </w:r>
    </w:p>
    <w:bookmarkEnd w:id="68"/>
    <w:bookmarkEnd w:id="69"/>
    <w:p w14:paraId="363DA4FA" w14:textId="77777777" w:rsidR="00D01B84"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noProof/>
          <w:sz w:val="24"/>
          <w:szCs w:val="24"/>
          <w:lang w:eastAsia="zh-CN"/>
        </w:rPr>
        <w:lastRenderedPageBreak/>
        <w:drawing>
          <wp:inline distT="0" distB="0" distL="0" distR="0" wp14:anchorId="10DB41FC" wp14:editId="306C0922">
            <wp:extent cx="5204460" cy="3888313"/>
            <wp:effectExtent l="0" t="0" r="0" b="0"/>
            <wp:docPr id="1" name="Picture 1" descr="C:\Users\Guin\Desktop\GEG AACA 2013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n\Desktop\GEG AACA 2013 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4460" cy="3888313"/>
                    </a:xfrm>
                    <a:prstGeom prst="rect">
                      <a:avLst/>
                    </a:prstGeom>
                    <a:noFill/>
                    <a:ln>
                      <a:noFill/>
                    </a:ln>
                  </pic:spPr>
                </pic:pic>
              </a:graphicData>
            </a:graphic>
          </wp:inline>
        </w:drawing>
      </w:r>
    </w:p>
    <w:p w14:paraId="75EECD35" w14:textId="77777777" w:rsidR="00D01B84"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Figure </w:t>
      </w:r>
      <w:r w:rsidR="00D01B84" w:rsidRPr="00E572B3">
        <w:rPr>
          <w:rFonts w:ascii="Book Antiqua" w:hAnsi="Book Antiqua" w:cs="Times New Roman"/>
          <w:b/>
          <w:sz w:val="24"/>
          <w:szCs w:val="24"/>
        </w:rPr>
        <w:t>1 Post-amputation superficial dissection demonstrating complete fibula, and supernumerary toes with toe A (purple arrow) and toe B (red arrow), with toe A being closest to the hallux</w:t>
      </w:r>
      <w:r w:rsidR="001C5969" w:rsidRPr="00E572B3">
        <w:rPr>
          <w:rFonts w:ascii="Book Antiqua" w:hAnsi="Book Antiqua" w:cs="Times New Roman"/>
          <w:b/>
          <w:sz w:val="24"/>
          <w:szCs w:val="24"/>
        </w:rPr>
        <w:t>.</w:t>
      </w:r>
    </w:p>
    <w:p w14:paraId="6543588C" w14:textId="77777777" w:rsidR="00591BB8"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p>
    <w:p w14:paraId="63A8DB15" w14:textId="77777777" w:rsidR="00591BB8"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noProof/>
          <w:sz w:val="24"/>
          <w:szCs w:val="24"/>
          <w:lang w:eastAsia="zh-CN"/>
        </w:rPr>
        <w:lastRenderedPageBreak/>
        <w:drawing>
          <wp:inline distT="0" distB="0" distL="0" distR="0" wp14:anchorId="12C5CC26" wp14:editId="4935955C">
            <wp:extent cx="4876800" cy="4876800"/>
            <wp:effectExtent l="0" t="0" r="0" b="0"/>
            <wp:docPr id="2" name="Picture 2" descr="C:\Users\Guin\Desktop\GEG AACA 2013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n\Desktop\GEG AACA 2013 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5FE9A7DE" w14:textId="21B4C359" w:rsidR="00D01B84"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 xml:space="preserve">Figure </w:t>
      </w:r>
      <w:r w:rsidR="00D01B84" w:rsidRPr="00E572B3">
        <w:rPr>
          <w:rFonts w:ascii="Book Antiqua" w:hAnsi="Book Antiqua" w:cs="Times New Roman"/>
          <w:b/>
          <w:sz w:val="24"/>
          <w:szCs w:val="24"/>
        </w:rPr>
        <w:t xml:space="preserve">2 </w:t>
      </w:r>
      <w:r w:rsidR="00A04A18" w:rsidRPr="00E572B3">
        <w:rPr>
          <w:rFonts w:ascii="Book Antiqua" w:hAnsi="Book Antiqua" w:cs="Times New Roman"/>
          <w:b/>
          <w:sz w:val="24"/>
          <w:szCs w:val="24"/>
        </w:rPr>
        <w:t>Computed tomography</w:t>
      </w:r>
      <w:r w:rsidR="00D01B84" w:rsidRPr="00E572B3">
        <w:rPr>
          <w:rFonts w:ascii="Book Antiqua" w:hAnsi="Book Antiqua" w:cs="Times New Roman"/>
          <w:b/>
          <w:sz w:val="24"/>
          <w:szCs w:val="24"/>
        </w:rPr>
        <w:t xml:space="preserve"> scan demonstrating skeletal characteristics with regard to the fibula, tarsal bones, metatarsals, and phalanges</w:t>
      </w:r>
      <w:r w:rsidR="001C5969" w:rsidRPr="00E572B3">
        <w:rPr>
          <w:rFonts w:ascii="Book Antiqua" w:hAnsi="Book Antiqua" w:cs="Times New Roman"/>
          <w:b/>
          <w:sz w:val="24"/>
          <w:szCs w:val="24"/>
        </w:rPr>
        <w:t>.</w:t>
      </w:r>
      <w:r w:rsidR="00D01B84" w:rsidRPr="00E572B3">
        <w:rPr>
          <w:rFonts w:ascii="Book Antiqua" w:hAnsi="Book Antiqua" w:cs="Times New Roman"/>
          <w:b/>
          <w:sz w:val="24"/>
          <w:szCs w:val="24"/>
        </w:rPr>
        <w:t xml:space="preserve"> </w:t>
      </w:r>
    </w:p>
    <w:p w14:paraId="21D9D76D" w14:textId="77777777" w:rsidR="00591BB8"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p>
    <w:p w14:paraId="3D2A3A07" w14:textId="77777777" w:rsidR="00591BB8"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noProof/>
          <w:sz w:val="24"/>
          <w:szCs w:val="24"/>
          <w:lang w:eastAsia="zh-CN"/>
        </w:rPr>
        <w:lastRenderedPageBreak/>
        <w:drawing>
          <wp:inline distT="0" distB="0" distL="0" distR="0" wp14:anchorId="27AFD62C" wp14:editId="1FB8111B">
            <wp:extent cx="4876800" cy="4876800"/>
            <wp:effectExtent l="0" t="0" r="0" b="0"/>
            <wp:docPr id="3" name="Picture 3" descr="C:\Users\Guin\Desktop\GEG AACA 2013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n\Desktop\GEG AACA 2013 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1800F8AF" w14:textId="77777777" w:rsidR="00D01B84" w:rsidRPr="00E572B3" w:rsidRDefault="00D01B84"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Fig</w:t>
      </w:r>
      <w:r w:rsidR="002E7245" w:rsidRPr="00E572B3">
        <w:rPr>
          <w:rFonts w:ascii="Book Antiqua" w:hAnsi="Book Antiqua" w:cs="Times New Roman"/>
          <w:b/>
          <w:sz w:val="24"/>
          <w:szCs w:val="24"/>
        </w:rPr>
        <w:t>ure</w:t>
      </w:r>
      <w:r w:rsidRPr="00E572B3">
        <w:rPr>
          <w:rFonts w:ascii="Book Antiqua" w:hAnsi="Book Antiqua" w:cs="Times New Roman"/>
          <w:b/>
          <w:sz w:val="24"/>
          <w:szCs w:val="24"/>
        </w:rPr>
        <w:t xml:space="preserve"> 3 Plain radiograph showing skeletal characteristics with regard to the fibula, tarsal bones, metatarsals, and phalanges</w:t>
      </w:r>
      <w:r w:rsidR="001C5969" w:rsidRPr="00E572B3">
        <w:rPr>
          <w:rFonts w:ascii="Book Antiqua" w:hAnsi="Book Antiqua" w:cs="Times New Roman"/>
          <w:b/>
          <w:sz w:val="24"/>
          <w:szCs w:val="24"/>
        </w:rPr>
        <w:t>.</w:t>
      </w:r>
    </w:p>
    <w:p w14:paraId="785118C1" w14:textId="77777777" w:rsidR="00D01B84"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noProof/>
          <w:sz w:val="24"/>
          <w:szCs w:val="24"/>
          <w:lang w:eastAsia="zh-CN"/>
        </w:rPr>
        <w:lastRenderedPageBreak/>
        <w:drawing>
          <wp:inline distT="0" distB="0" distL="0" distR="0" wp14:anchorId="7374F858" wp14:editId="6968495E">
            <wp:extent cx="5935980" cy="4434840"/>
            <wp:effectExtent l="0" t="0" r="7620" b="3810"/>
            <wp:docPr id="4" name="Picture 4" descr="C:\Users\Guin\Desktop\GEG AACA 2013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n\Desktop\GEG AACA 2013 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434840"/>
                    </a:xfrm>
                    <a:prstGeom prst="rect">
                      <a:avLst/>
                    </a:prstGeom>
                    <a:noFill/>
                    <a:ln>
                      <a:noFill/>
                    </a:ln>
                  </pic:spPr>
                </pic:pic>
              </a:graphicData>
            </a:graphic>
          </wp:inline>
        </w:drawing>
      </w:r>
    </w:p>
    <w:p w14:paraId="5A2F9361" w14:textId="77777777" w:rsidR="00D01B84" w:rsidRPr="00E572B3" w:rsidRDefault="00D01B84"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Fig</w:t>
      </w:r>
      <w:r w:rsidR="002E7245" w:rsidRPr="00E572B3">
        <w:rPr>
          <w:rFonts w:ascii="Book Antiqua" w:hAnsi="Book Antiqua" w:cs="Times New Roman"/>
          <w:b/>
          <w:sz w:val="24"/>
          <w:szCs w:val="24"/>
        </w:rPr>
        <w:t>ure</w:t>
      </w:r>
      <w:r w:rsidRPr="00E572B3">
        <w:rPr>
          <w:rFonts w:ascii="Book Antiqua" w:hAnsi="Book Antiqua" w:cs="Times New Roman"/>
          <w:b/>
          <w:sz w:val="24"/>
          <w:szCs w:val="24"/>
        </w:rPr>
        <w:t xml:space="preserve"> 4 Superficial dissection demonstrating extensor muscles visible in the lower leg and foot</w:t>
      </w:r>
      <w:r w:rsidR="001C5969" w:rsidRPr="00E572B3">
        <w:rPr>
          <w:rFonts w:ascii="Book Antiqua" w:hAnsi="Book Antiqua" w:cs="Times New Roman"/>
          <w:b/>
          <w:sz w:val="24"/>
          <w:szCs w:val="24"/>
        </w:rPr>
        <w:t>.</w:t>
      </w:r>
    </w:p>
    <w:p w14:paraId="6E35E666" w14:textId="251E8CDF" w:rsidR="00D01B84" w:rsidRPr="00E572B3" w:rsidRDefault="008875F6" w:rsidP="00A71D9E">
      <w:pPr>
        <w:autoSpaceDE w:val="0"/>
        <w:autoSpaceDN w:val="0"/>
        <w:adjustRightInd w:val="0"/>
        <w:snapToGrid w:val="0"/>
        <w:spacing w:after="0" w:line="360" w:lineRule="auto"/>
        <w:jc w:val="both"/>
        <w:rPr>
          <w:rFonts w:ascii="Book Antiqua" w:hAnsi="Book Antiqua" w:cs="Times New Roman"/>
          <w:b/>
          <w:sz w:val="24"/>
          <w:szCs w:val="24"/>
        </w:rPr>
      </w:pPr>
      <w:r>
        <w:rPr>
          <w:noProof/>
          <w:lang w:eastAsia="zh-CN"/>
        </w:rPr>
        <w:lastRenderedPageBreak/>
        <w:drawing>
          <wp:inline distT="0" distB="0" distL="0" distR="0" wp14:anchorId="6403329E" wp14:editId="63934DDA">
            <wp:extent cx="5935980" cy="4434840"/>
            <wp:effectExtent l="0" t="0" r="7620" b="3810"/>
            <wp:docPr id="8" name="Picture 9" descr="C:\Users\Guin\Desktop\GEG AACA 2013 Figure 5.tif"/>
            <wp:cNvGraphicFramePr/>
            <a:graphic xmlns:a="http://schemas.openxmlformats.org/drawingml/2006/main">
              <a:graphicData uri="http://schemas.openxmlformats.org/drawingml/2006/picture">
                <pic:pic xmlns:pic="http://schemas.openxmlformats.org/drawingml/2006/picture">
                  <pic:nvPicPr>
                    <pic:cNvPr id="1" name="Picture 1" descr="C:\Users\Guin\Desktop\GEG AACA 2013 Figure 5.tif"/>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34840"/>
                    </a:xfrm>
                    <a:prstGeom prst="rect">
                      <a:avLst/>
                    </a:prstGeom>
                    <a:noFill/>
                    <a:ln>
                      <a:noFill/>
                    </a:ln>
                  </pic:spPr>
                </pic:pic>
              </a:graphicData>
            </a:graphic>
          </wp:inline>
        </w:drawing>
      </w:r>
    </w:p>
    <w:p w14:paraId="24D4C20E" w14:textId="6AFC8AC1" w:rsidR="00D01B84" w:rsidRPr="00E572B3" w:rsidRDefault="00D01B84" w:rsidP="00A71D9E">
      <w:pPr>
        <w:autoSpaceDE w:val="0"/>
        <w:autoSpaceDN w:val="0"/>
        <w:adjustRightInd w:val="0"/>
        <w:snapToGrid w:val="0"/>
        <w:spacing w:after="0" w:line="360" w:lineRule="auto"/>
        <w:jc w:val="both"/>
        <w:rPr>
          <w:rFonts w:ascii="Book Antiqua" w:hAnsi="Book Antiqua" w:cs="Times New Roman"/>
          <w:b/>
          <w:sz w:val="24"/>
          <w:szCs w:val="24"/>
          <w:lang w:eastAsia="zh-CN"/>
        </w:rPr>
      </w:pPr>
      <w:r w:rsidRPr="00E572B3">
        <w:rPr>
          <w:rFonts w:ascii="Book Antiqua" w:hAnsi="Book Antiqua" w:cs="Times New Roman"/>
          <w:b/>
          <w:sz w:val="24"/>
          <w:szCs w:val="24"/>
        </w:rPr>
        <w:t>Fig</w:t>
      </w:r>
      <w:r w:rsidR="002E7245" w:rsidRPr="00E572B3">
        <w:rPr>
          <w:rFonts w:ascii="Book Antiqua" w:hAnsi="Book Antiqua" w:cs="Times New Roman"/>
          <w:b/>
          <w:sz w:val="24"/>
          <w:szCs w:val="24"/>
        </w:rPr>
        <w:t>ure</w:t>
      </w:r>
      <w:r w:rsidRPr="00E572B3">
        <w:rPr>
          <w:rFonts w:ascii="Book Antiqua" w:hAnsi="Book Antiqua" w:cs="Times New Roman"/>
          <w:b/>
          <w:sz w:val="24"/>
          <w:szCs w:val="24"/>
        </w:rPr>
        <w:t xml:space="preserve"> 5 Superficial dissection demonstrating flexor muscles visible in the lower leg and foot, and nerves showing a supernumerary branch of the lateral plantar nerve connec</w:t>
      </w:r>
      <w:r w:rsidR="00872475" w:rsidRPr="00E572B3">
        <w:rPr>
          <w:rFonts w:ascii="Book Antiqua" w:hAnsi="Book Antiqua" w:cs="Times New Roman"/>
          <w:b/>
          <w:sz w:val="24"/>
          <w:szCs w:val="24"/>
        </w:rPr>
        <w:t>ting to toe A</w:t>
      </w:r>
      <w:r w:rsidR="00DC24A4">
        <w:rPr>
          <w:rFonts w:ascii="Book Antiqua" w:hAnsi="Book Antiqua" w:cs="Times New Roman" w:hint="eastAsia"/>
          <w:b/>
          <w:sz w:val="24"/>
          <w:szCs w:val="24"/>
          <w:lang w:eastAsia="zh-CN"/>
        </w:rPr>
        <w:t xml:space="preserve"> </w:t>
      </w:r>
      <w:r w:rsidR="00DC24A4" w:rsidRPr="00306AE0">
        <w:rPr>
          <w:rFonts w:ascii="Book Antiqua" w:hAnsi="Book Antiqua" w:cs="Times New Roman"/>
          <w:b/>
          <w:sz w:val="24"/>
          <w:szCs w:val="24"/>
        </w:rPr>
        <w:t>(light blue arrow).</w:t>
      </w:r>
    </w:p>
    <w:p w14:paraId="11255540" w14:textId="77777777" w:rsidR="00D01B84"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noProof/>
          <w:sz w:val="24"/>
          <w:szCs w:val="24"/>
          <w:lang w:eastAsia="zh-CN"/>
        </w:rPr>
        <w:lastRenderedPageBreak/>
        <w:drawing>
          <wp:inline distT="0" distB="0" distL="0" distR="0" wp14:anchorId="0CE87199" wp14:editId="4C5AB4BA">
            <wp:extent cx="5935980" cy="4434840"/>
            <wp:effectExtent l="0" t="0" r="7620" b="3810"/>
            <wp:docPr id="6" name="Picture 6" descr="C:\Users\Guin\Desktop\GEG AACA 2013 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n\Desktop\GEG AACA 2013 Figure 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434840"/>
                    </a:xfrm>
                    <a:prstGeom prst="rect">
                      <a:avLst/>
                    </a:prstGeom>
                    <a:noFill/>
                    <a:ln>
                      <a:noFill/>
                    </a:ln>
                  </pic:spPr>
                </pic:pic>
              </a:graphicData>
            </a:graphic>
          </wp:inline>
        </w:drawing>
      </w:r>
    </w:p>
    <w:p w14:paraId="60443AA3" w14:textId="77777777" w:rsidR="00D01B84" w:rsidRPr="00E572B3" w:rsidRDefault="002E7245"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sz w:val="24"/>
          <w:szCs w:val="24"/>
        </w:rPr>
        <w:t>Figure</w:t>
      </w:r>
      <w:r w:rsidR="00D01B84" w:rsidRPr="00E572B3">
        <w:rPr>
          <w:rFonts w:ascii="Book Antiqua" w:hAnsi="Book Antiqua" w:cs="Times New Roman"/>
          <w:b/>
          <w:sz w:val="24"/>
          <w:szCs w:val="24"/>
        </w:rPr>
        <w:t xml:space="preserve"> 6 Superficial venous arch visible upon initial superficial dissection (white arrows)</w:t>
      </w:r>
      <w:r w:rsidR="001C5969" w:rsidRPr="00E572B3">
        <w:rPr>
          <w:rFonts w:ascii="Book Antiqua" w:hAnsi="Book Antiqua" w:cs="Times New Roman"/>
          <w:b/>
          <w:sz w:val="24"/>
          <w:szCs w:val="24"/>
        </w:rPr>
        <w:t>.</w:t>
      </w:r>
    </w:p>
    <w:p w14:paraId="348A5682" w14:textId="77777777" w:rsidR="00591BB8"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p>
    <w:p w14:paraId="3AA16270" w14:textId="77777777" w:rsidR="00A04A18" w:rsidRPr="00E572B3" w:rsidRDefault="00A04A18">
      <w:pPr>
        <w:spacing w:after="160" w:line="259" w:lineRule="auto"/>
        <w:rPr>
          <w:rFonts w:ascii="Book Antiqua" w:hAnsi="Book Antiqua" w:cs="Times New Roman"/>
          <w:b/>
          <w:sz w:val="24"/>
          <w:szCs w:val="24"/>
        </w:rPr>
      </w:pPr>
      <w:r w:rsidRPr="00E572B3">
        <w:rPr>
          <w:rFonts w:ascii="Book Antiqua" w:hAnsi="Book Antiqua" w:cs="Times New Roman"/>
          <w:b/>
          <w:sz w:val="24"/>
          <w:szCs w:val="24"/>
        </w:rPr>
        <w:br w:type="page"/>
      </w:r>
    </w:p>
    <w:p w14:paraId="3A258428" w14:textId="2EB6ECA6" w:rsidR="00D01B84" w:rsidRPr="00E572B3" w:rsidRDefault="00591BB8" w:rsidP="00A71D9E">
      <w:pPr>
        <w:autoSpaceDE w:val="0"/>
        <w:autoSpaceDN w:val="0"/>
        <w:adjustRightInd w:val="0"/>
        <w:snapToGrid w:val="0"/>
        <w:spacing w:after="0" w:line="360" w:lineRule="auto"/>
        <w:jc w:val="both"/>
        <w:rPr>
          <w:rFonts w:ascii="Book Antiqua" w:hAnsi="Book Antiqua" w:cs="Times New Roman"/>
          <w:b/>
          <w:sz w:val="24"/>
          <w:szCs w:val="24"/>
        </w:rPr>
      </w:pPr>
      <w:r w:rsidRPr="00E572B3">
        <w:rPr>
          <w:rFonts w:ascii="Book Antiqua" w:hAnsi="Book Antiqua" w:cs="Times New Roman"/>
          <w:b/>
          <w:noProof/>
          <w:sz w:val="24"/>
          <w:szCs w:val="24"/>
          <w:lang w:eastAsia="zh-CN"/>
        </w:rPr>
        <w:lastRenderedPageBreak/>
        <w:drawing>
          <wp:inline distT="0" distB="0" distL="0" distR="0" wp14:anchorId="4ED41B9C" wp14:editId="3A3419EC">
            <wp:extent cx="5943600" cy="2302510"/>
            <wp:effectExtent l="0" t="0" r="0" b="2540"/>
            <wp:docPr id="7" name="Picture 7" descr="C:\Users\Guin\Desktop\GEG AACA 2013 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n\Desktop\GEG AACA 2013 Figure 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02510"/>
                    </a:xfrm>
                    <a:prstGeom prst="rect">
                      <a:avLst/>
                    </a:prstGeom>
                    <a:noFill/>
                    <a:ln>
                      <a:noFill/>
                    </a:ln>
                  </pic:spPr>
                </pic:pic>
              </a:graphicData>
            </a:graphic>
          </wp:inline>
        </w:drawing>
      </w:r>
    </w:p>
    <w:p w14:paraId="4C4BBE95" w14:textId="77777777" w:rsidR="000A480D" w:rsidRPr="00306AE0" w:rsidRDefault="002E7245" w:rsidP="00A71D9E">
      <w:pPr>
        <w:autoSpaceDE w:val="0"/>
        <w:autoSpaceDN w:val="0"/>
        <w:adjustRightInd w:val="0"/>
        <w:snapToGrid w:val="0"/>
        <w:spacing w:after="0" w:line="360" w:lineRule="auto"/>
        <w:jc w:val="both"/>
        <w:rPr>
          <w:rFonts w:ascii="Book Antiqua" w:hAnsi="Book Antiqua" w:cs="Times New Roman"/>
          <w:sz w:val="24"/>
          <w:szCs w:val="24"/>
        </w:rPr>
      </w:pPr>
      <w:r w:rsidRPr="00E572B3">
        <w:rPr>
          <w:rFonts w:ascii="Book Antiqua" w:hAnsi="Book Antiqua" w:cs="Times New Roman"/>
          <w:b/>
          <w:sz w:val="24"/>
          <w:szCs w:val="24"/>
        </w:rPr>
        <w:t xml:space="preserve">Figure </w:t>
      </w:r>
      <w:r w:rsidR="00D01B84" w:rsidRPr="00E572B3">
        <w:rPr>
          <w:rFonts w:ascii="Book Antiqua" w:hAnsi="Book Antiqua" w:cs="Times New Roman"/>
          <w:b/>
          <w:sz w:val="24"/>
          <w:szCs w:val="24"/>
        </w:rPr>
        <w:t>7 Dorsalis pedis artery penetrating into the deep compartment of the foot (blue arrow)</w:t>
      </w:r>
      <w:r w:rsidR="001C5969" w:rsidRPr="00E572B3">
        <w:rPr>
          <w:rFonts w:ascii="Book Antiqua" w:hAnsi="Book Antiqua" w:cs="Times New Roman"/>
          <w:b/>
          <w:sz w:val="24"/>
          <w:szCs w:val="24"/>
        </w:rPr>
        <w:t>.</w:t>
      </w:r>
    </w:p>
    <w:sectPr w:rsidR="000A480D" w:rsidRPr="00306AE0" w:rsidSect="009366B7">
      <w:footerReference w:type="default" r:id="rId17"/>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2003A" w14:textId="77777777" w:rsidR="003033CC" w:rsidRDefault="003033CC" w:rsidP="009366B7">
      <w:pPr>
        <w:spacing w:after="0" w:line="240" w:lineRule="auto"/>
      </w:pPr>
      <w:r>
        <w:separator/>
      </w:r>
    </w:p>
  </w:endnote>
  <w:endnote w:type="continuationSeparator" w:id="0">
    <w:p w14:paraId="4C0E345C" w14:textId="77777777" w:rsidR="003033CC" w:rsidRDefault="003033CC" w:rsidP="00936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6CB94" w14:textId="77777777" w:rsidR="000146FB" w:rsidRDefault="000146FB">
    <w:pPr>
      <w:pStyle w:val="a3"/>
      <w:jc w:val="center"/>
    </w:pPr>
  </w:p>
  <w:p w14:paraId="4B7CBDD6" w14:textId="77777777" w:rsidR="00DD5170" w:rsidRDefault="003033C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615518"/>
      <w:docPartObj>
        <w:docPartGallery w:val="Page Numbers (Bottom of Page)"/>
        <w:docPartUnique/>
      </w:docPartObj>
    </w:sdtPr>
    <w:sdtEndPr>
      <w:rPr>
        <w:noProof/>
      </w:rPr>
    </w:sdtEndPr>
    <w:sdtContent>
      <w:p w14:paraId="07E3865F" w14:textId="07B19552" w:rsidR="00704C2B" w:rsidRDefault="00704C2B">
        <w:pPr>
          <w:pStyle w:val="a3"/>
          <w:jc w:val="center"/>
        </w:pPr>
        <w:r>
          <w:fldChar w:fldCharType="begin"/>
        </w:r>
        <w:r>
          <w:instrText xml:space="preserve"> PAGE   \* MERGEFORMAT </w:instrText>
        </w:r>
        <w:r>
          <w:fldChar w:fldCharType="separate"/>
        </w:r>
        <w:r w:rsidR="00E35C51">
          <w:rPr>
            <w:noProof/>
          </w:rPr>
          <w:t>2</w:t>
        </w:r>
        <w:r>
          <w:rPr>
            <w:noProof/>
          </w:rPr>
          <w:fldChar w:fldCharType="end"/>
        </w:r>
      </w:p>
    </w:sdtContent>
  </w:sdt>
  <w:p w14:paraId="3EA68CE7" w14:textId="77777777" w:rsidR="00704C2B" w:rsidRDefault="00704C2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2F4E2" w14:textId="77777777" w:rsidR="003033CC" w:rsidRDefault="003033CC" w:rsidP="009366B7">
      <w:pPr>
        <w:spacing w:after="0" w:line="240" w:lineRule="auto"/>
      </w:pPr>
      <w:r>
        <w:separator/>
      </w:r>
    </w:p>
  </w:footnote>
  <w:footnote w:type="continuationSeparator" w:id="0">
    <w:p w14:paraId="5302C21A" w14:textId="77777777" w:rsidR="003033CC" w:rsidRDefault="003033CC" w:rsidP="00936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F11BF"/>
    <w:multiLevelType w:val="hybridMultilevel"/>
    <w:tmpl w:val="E0164A6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FF0CC0"/>
    <w:multiLevelType w:val="multilevel"/>
    <w:tmpl w:val="93F22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GxMDIwM7O0tDQ2NLJQ0lEKTi0uzszPAykwrgUAqj03hywAAAA="/>
  </w:docVars>
  <w:rsids>
    <w:rsidRoot w:val="00D01B84"/>
    <w:rsid w:val="000146FB"/>
    <w:rsid w:val="0001780C"/>
    <w:rsid w:val="000322A5"/>
    <w:rsid w:val="00041DC1"/>
    <w:rsid w:val="00046F1E"/>
    <w:rsid w:val="00076FB6"/>
    <w:rsid w:val="000A480D"/>
    <w:rsid w:val="000A6716"/>
    <w:rsid w:val="000B4D81"/>
    <w:rsid w:val="00116BE6"/>
    <w:rsid w:val="00116DBA"/>
    <w:rsid w:val="00133342"/>
    <w:rsid w:val="00150273"/>
    <w:rsid w:val="00157A32"/>
    <w:rsid w:val="00180B64"/>
    <w:rsid w:val="00192E62"/>
    <w:rsid w:val="00195FD9"/>
    <w:rsid w:val="001C5969"/>
    <w:rsid w:val="001E2E40"/>
    <w:rsid w:val="00251CAF"/>
    <w:rsid w:val="002B0E2F"/>
    <w:rsid w:val="002B60EB"/>
    <w:rsid w:val="002B6E8B"/>
    <w:rsid w:val="002C0FB6"/>
    <w:rsid w:val="002C5099"/>
    <w:rsid w:val="002E0561"/>
    <w:rsid w:val="002E7245"/>
    <w:rsid w:val="003033CC"/>
    <w:rsid w:val="00306AE0"/>
    <w:rsid w:val="00361828"/>
    <w:rsid w:val="00385B9A"/>
    <w:rsid w:val="00395234"/>
    <w:rsid w:val="003A161D"/>
    <w:rsid w:val="003A79A7"/>
    <w:rsid w:val="003A7EDA"/>
    <w:rsid w:val="00404437"/>
    <w:rsid w:val="00420F42"/>
    <w:rsid w:val="00423726"/>
    <w:rsid w:val="004267DD"/>
    <w:rsid w:val="0043752A"/>
    <w:rsid w:val="00444C36"/>
    <w:rsid w:val="00467F9C"/>
    <w:rsid w:val="004867E6"/>
    <w:rsid w:val="004B6BA1"/>
    <w:rsid w:val="004D0033"/>
    <w:rsid w:val="00502686"/>
    <w:rsid w:val="005056BB"/>
    <w:rsid w:val="005240B5"/>
    <w:rsid w:val="00550EAE"/>
    <w:rsid w:val="00582922"/>
    <w:rsid w:val="00591BB8"/>
    <w:rsid w:val="0059740C"/>
    <w:rsid w:val="005B5638"/>
    <w:rsid w:val="006305AD"/>
    <w:rsid w:val="00652EF1"/>
    <w:rsid w:val="006E1044"/>
    <w:rsid w:val="00703449"/>
    <w:rsid w:val="00704C2B"/>
    <w:rsid w:val="007131E3"/>
    <w:rsid w:val="00721B91"/>
    <w:rsid w:val="007278F7"/>
    <w:rsid w:val="00751203"/>
    <w:rsid w:val="00754C05"/>
    <w:rsid w:val="00794CBD"/>
    <w:rsid w:val="00836B47"/>
    <w:rsid w:val="00857A5C"/>
    <w:rsid w:val="00857DE6"/>
    <w:rsid w:val="00872475"/>
    <w:rsid w:val="008875F6"/>
    <w:rsid w:val="00897831"/>
    <w:rsid w:val="008A14B2"/>
    <w:rsid w:val="008C3D94"/>
    <w:rsid w:val="008E2C64"/>
    <w:rsid w:val="009203B6"/>
    <w:rsid w:val="00930CEA"/>
    <w:rsid w:val="00931ECB"/>
    <w:rsid w:val="009366B7"/>
    <w:rsid w:val="00963393"/>
    <w:rsid w:val="00963D00"/>
    <w:rsid w:val="0098387F"/>
    <w:rsid w:val="009A13A9"/>
    <w:rsid w:val="009A49D9"/>
    <w:rsid w:val="009C517F"/>
    <w:rsid w:val="009E4DDB"/>
    <w:rsid w:val="00A04A18"/>
    <w:rsid w:val="00A11662"/>
    <w:rsid w:val="00A20F20"/>
    <w:rsid w:val="00A36FA0"/>
    <w:rsid w:val="00A71D9E"/>
    <w:rsid w:val="00A73F48"/>
    <w:rsid w:val="00A76B28"/>
    <w:rsid w:val="00A955E3"/>
    <w:rsid w:val="00AA2F2C"/>
    <w:rsid w:val="00AB03F8"/>
    <w:rsid w:val="00AC5899"/>
    <w:rsid w:val="00B13832"/>
    <w:rsid w:val="00BA0C54"/>
    <w:rsid w:val="00BA0CD3"/>
    <w:rsid w:val="00BC2765"/>
    <w:rsid w:val="00C126DD"/>
    <w:rsid w:val="00C348CB"/>
    <w:rsid w:val="00C75784"/>
    <w:rsid w:val="00CD2950"/>
    <w:rsid w:val="00CE55F2"/>
    <w:rsid w:val="00D01B84"/>
    <w:rsid w:val="00D112C0"/>
    <w:rsid w:val="00D402D9"/>
    <w:rsid w:val="00D43980"/>
    <w:rsid w:val="00D511DA"/>
    <w:rsid w:val="00D97E32"/>
    <w:rsid w:val="00DC24A4"/>
    <w:rsid w:val="00E13D16"/>
    <w:rsid w:val="00E229F3"/>
    <w:rsid w:val="00E35C51"/>
    <w:rsid w:val="00E44E2F"/>
    <w:rsid w:val="00E572B3"/>
    <w:rsid w:val="00E70320"/>
    <w:rsid w:val="00E8163A"/>
    <w:rsid w:val="00E96B8C"/>
    <w:rsid w:val="00ED19E8"/>
    <w:rsid w:val="00EE5F16"/>
    <w:rsid w:val="00EE7393"/>
    <w:rsid w:val="00F61B4B"/>
    <w:rsid w:val="00F62502"/>
    <w:rsid w:val="00F806A5"/>
    <w:rsid w:val="00F90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6B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B84"/>
    <w:pPr>
      <w:spacing w:after="200" w:line="276" w:lineRule="auto"/>
    </w:pPr>
  </w:style>
  <w:style w:type="paragraph" w:styleId="1">
    <w:name w:val="heading 1"/>
    <w:basedOn w:val="a"/>
    <w:next w:val="a"/>
    <w:link w:val="1Char"/>
    <w:uiPriority w:val="9"/>
    <w:qFormat/>
    <w:rsid w:val="00A20F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Char"/>
    <w:uiPriority w:val="9"/>
    <w:qFormat/>
    <w:rsid w:val="00D01B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930C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01B84"/>
    <w:rPr>
      <w:rFonts w:ascii="Times New Roman" w:eastAsia="Times New Roman" w:hAnsi="Times New Roman" w:cs="Times New Roman"/>
      <w:b/>
      <w:bCs/>
      <w:sz w:val="36"/>
      <w:szCs w:val="36"/>
    </w:rPr>
  </w:style>
  <w:style w:type="paragraph" w:styleId="a3">
    <w:name w:val="footer"/>
    <w:basedOn w:val="a"/>
    <w:link w:val="Char"/>
    <w:uiPriority w:val="99"/>
    <w:unhideWhenUsed/>
    <w:rsid w:val="00D01B84"/>
    <w:pPr>
      <w:tabs>
        <w:tab w:val="center" w:pos="4680"/>
        <w:tab w:val="right" w:pos="9360"/>
      </w:tabs>
      <w:spacing w:after="0" w:line="240" w:lineRule="auto"/>
    </w:pPr>
  </w:style>
  <w:style w:type="character" w:customStyle="1" w:styleId="Char">
    <w:name w:val="页脚 Char"/>
    <w:basedOn w:val="a0"/>
    <w:link w:val="a3"/>
    <w:uiPriority w:val="99"/>
    <w:rsid w:val="00D01B84"/>
  </w:style>
  <w:style w:type="character" w:styleId="a4">
    <w:name w:val="Hyperlink"/>
    <w:basedOn w:val="a0"/>
    <w:uiPriority w:val="99"/>
    <w:unhideWhenUsed/>
    <w:rsid w:val="00D01B84"/>
    <w:rPr>
      <w:color w:val="0563C1" w:themeColor="hyperlink"/>
      <w:u w:val="single"/>
    </w:rPr>
  </w:style>
  <w:style w:type="paragraph" w:styleId="a5">
    <w:name w:val="header"/>
    <w:basedOn w:val="a"/>
    <w:link w:val="Char0"/>
    <w:uiPriority w:val="99"/>
    <w:unhideWhenUsed/>
    <w:rsid w:val="009366B7"/>
    <w:pPr>
      <w:tabs>
        <w:tab w:val="center" w:pos="4680"/>
        <w:tab w:val="right" w:pos="9360"/>
      </w:tabs>
      <w:spacing w:after="0" w:line="240" w:lineRule="auto"/>
    </w:pPr>
  </w:style>
  <w:style w:type="character" w:customStyle="1" w:styleId="Char0">
    <w:name w:val="页眉 Char"/>
    <w:basedOn w:val="a0"/>
    <w:link w:val="a5"/>
    <w:uiPriority w:val="99"/>
    <w:rsid w:val="009366B7"/>
  </w:style>
  <w:style w:type="paragraph" w:styleId="a6">
    <w:name w:val="endnote text"/>
    <w:basedOn w:val="a"/>
    <w:link w:val="Char1"/>
    <w:uiPriority w:val="99"/>
    <w:semiHidden/>
    <w:unhideWhenUsed/>
    <w:rsid w:val="003A7EDA"/>
    <w:pPr>
      <w:spacing w:after="0" w:line="240" w:lineRule="auto"/>
    </w:pPr>
    <w:rPr>
      <w:sz w:val="20"/>
      <w:szCs w:val="20"/>
    </w:rPr>
  </w:style>
  <w:style w:type="character" w:customStyle="1" w:styleId="Char1">
    <w:name w:val="尾注文本 Char"/>
    <w:basedOn w:val="a0"/>
    <w:link w:val="a6"/>
    <w:uiPriority w:val="99"/>
    <w:semiHidden/>
    <w:rsid w:val="003A7EDA"/>
    <w:rPr>
      <w:sz w:val="20"/>
      <w:szCs w:val="20"/>
    </w:rPr>
  </w:style>
  <w:style w:type="character" w:styleId="a7">
    <w:name w:val="endnote reference"/>
    <w:basedOn w:val="a0"/>
    <w:uiPriority w:val="99"/>
    <w:semiHidden/>
    <w:unhideWhenUsed/>
    <w:rsid w:val="003A7EDA"/>
    <w:rPr>
      <w:vertAlign w:val="superscript"/>
    </w:rPr>
  </w:style>
  <w:style w:type="paragraph" w:styleId="a8">
    <w:name w:val="footnote text"/>
    <w:basedOn w:val="a"/>
    <w:link w:val="Char2"/>
    <w:uiPriority w:val="99"/>
    <w:semiHidden/>
    <w:unhideWhenUsed/>
    <w:rsid w:val="003A7EDA"/>
    <w:pPr>
      <w:spacing w:after="0" w:line="240" w:lineRule="auto"/>
    </w:pPr>
    <w:rPr>
      <w:sz w:val="20"/>
      <w:szCs w:val="20"/>
    </w:rPr>
  </w:style>
  <w:style w:type="character" w:customStyle="1" w:styleId="Char2">
    <w:name w:val="脚注文本 Char"/>
    <w:basedOn w:val="a0"/>
    <w:link w:val="a8"/>
    <w:uiPriority w:val="99"/>
    <w:semiHidden/>
    <w:rsid w:val="003A7EDA"/>
    <w:rPr>
      <w:sz w:val="20"/>
      <w:szCs w:val="20"/>
    </w:rPr>
  </w:style>
  <w:style w:type="character" w:styleId="a9">
    <w:name w:val="footnote reference"/>
    <w:basedOn w:val="a0"/>
    <w:uiPriority w:val="99"/>
    <w:semiHidden/>
    <w:unhideWhenUsed/>
    <w:rsid w:val="003A7EDA"/>
    <w:rPr>
      <w:vertAlign w:val="superscript"/>
    </w:rPr>
  </w:style>
  <w:style w:type="character" w:customStyle="1" w:styleId="3Char">
    <w:name w:val="标题 3 Char"/>
    <w:basedOn w:val="a0"/>
    <w:link w:val="3"/>
    <w:uiPriority w:val="9"/>
    <w:semiHidden/>
    <w:rsid w:val="00930CEA"/>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930CEA"/>
  </w:style>
  <w:style w:type="character" w:customStyle="1" w:styleId="ui-ncbitoggler-master-text">
    <w:name w:val="ui-ncbitoggler-master-text"/>
    <w:basedOn w:val="a0"/>
    <w:rsid w:val="00930CEA"/>
  </w:style>
  <w:style w:type="character" w:customStyle="1" w:styleId="name">
    <w:name w:val="name"/>
    <w:basedOn w:val="a0"/>
    <w:rsid w:val="00EE5F16"/>
  </w:style>
  <w:style w:type="paragraph" w:styleId="aa">
    <w:name w:val="List Paragraph"/>
    <w:basedOn w:val="a"/>
    <w:uiPriority w:val="34"/>
    <w:qFormat/>
    <w:rsid w:val="00EE5F16"/>
    <w:pPr>
      <w:ind w:left="720"/>
      <w:contextualSpacing/>
    </w:pPr>
  </w:style>
  <w:style w:type="character" w:customStyle="1" w:styleId="hl">
    <w:name w:val="hl"/>
    <w:basedOn w:val="a0"/>
    <w:rsid w:val="00423726"/>
  </w:style>
  <w:style w:type="paragraph" w:styleId="ab">
    <w:name w:val="Balloon Text"/>
    <w:basedOn w:val="a"/>
    <w:link w:val="Char3"/>
    <w:uiPriority w:val="99"/>
    <w:semiHidden/>
    <w:unhideWhenUsed/>
    <w:rsid w:val="00AB03F8"/>
    <w:pPr>
      <w:spacing w:after="0" w:line="240" w:lineRule="auto"/>
    </w:pPr>
    <w:rPr>
      <w:rFonts w:ascii="Segoe UI" w:hAnsi="Segoe UI" w:cs="Segoe UI"/>
      <w:sz w:val="18"/>
      <w:szCs w:val="18"/>
    </w:rPr>
  </w:style>
  <w:style w:type="character" w:customStyle="1" w:styleId="Char3">
    <w:name w:val="批注框文本 Char"/>
    <w:basedOn w:val="a0"/>
    <w:link w:val="ab"/>
    <w:uiPriority w:val="99"/>
    <w:semiHidden/>
    <w:rsid w:val="00AB03F8"/>
    <w:rPr>
      <w:rFonts w:ascii="Segoe UI" w:hAnsi="Segoe UI" w:cs="Segoe UI"/>
      <w:sz w:val="18"/>
      <w:szCs w:val="18"/>
    </w:rPr>
  </w:style>
  <w:style w:type="character" w:customStyle="1" w:styleId="nlm-given-names">
    <w:name w:val="nlm-given-names"/>
    <w:basedOn w:val="a0"/>
    <w:rsid w:val="00D97E32"/>
  </w:style>
  <w:style w:type="character" w:customStyle="1" w:styleId="nlm-surname">
    <w:name w:val="nlm-surname"/>
    <w:basedOn w:val="a0"/>
    <w:rsid w:val="00D97E32"/>
  </w:style>
  <w:style w:type="character" w:styleId="ac">
    <w:name w:val="annotation reference"/>
    <w:basedOn w:val="a0"/>
    <w:uiPriority w:val="99"/>
    <w:semiHidden/>
    <w:unhideWhenUsed/>
    <w:rsid w:val="002B6E8B"/>
    <w:rPr>
      <w:sz w:val="16"/>
      <w:szCs w:val="16"/>
    </w:rPr>
  </w:style>
  <w:style w:type="paragraph" w:styleId="ad">
    <w:name w:val="annotation text"/>
    <w:basedOn w:val="a"/>
    <w:link w:val="Char4"/>
    <w:uiPriority w:val="99"/>
    <w:semiHidden/>
    <w:unhideWhenUsed/>
    <w:rsid w:val="002B6E8B"/>
    <w:pPr>
      <w:spacing w:line="240" w:lineRule="auto"/>
    </w:pPr>
    <w:rPr>
      <w:sz w:val="20"/>
      <w:szCs w:val="20"/>
    </w:rPr>
  </w:style>
  <w:style w:type="character" w:customStyle="1" w:styleId="Char4">
    <w:name w:val="批注文字 Char"/>
    <w:basedOn w:val="a0"/>
    <w:link w:val="ad"/>
    <w:uiPriority w:val="99"/>
    <w:semiHidden/>
    <w:rsid w:val="002B6E8B"/>
    <w:rPr>
      <w:sz w:val="20"/>
      <w:szCs w:val="20"/>
    </w:rPr>
  </w:style>
  <w:style w:type="paragraph" w:styleId="ae">
    <w:name w:val="annotation subject"/>
    <w:basedOn w:val="ad"/>
    <w:next w:val="ad"/>
    <w:link w:val="Char5"/>
    <w:uiPriority w:val="99"/>
    <w:semiHidden/>
    <w:unhideWhenUsed/>
    <w:rsid w:val="002B6E8B"/>
    <w:rPr>
      <w:b/>
      <w:bCs/>
    </w:rPr>
  </w:style>
  <w:style w:type="character" w:customStyle="1" w:styleId="Char5">
    <w:name w:val="批注主题 Char"/>
    <w:basedOn w:val="Char4"/>
    <w:link w:val="ae"/>
    <w:uiPriority w:val="99"/>
    <w:semiHidden/>
    <w:rsid w:val="002B6E8B"/>
    <w:rPr>
      <w:b/>
      <w:bCs/>
      <w:sz w:val="20"/>
      <w:szCs w:val="20"/>
    </w:rPr>
  </w:style>
  <w:style w:type="character" w:customStyle="1" w:styleId="1Char">
    <w:name w:val="标题 1 Char"/>
    <w:basedOn w:val="a0"/>
    <w:link w:val="1"/>
    <w:uiPriority w:val="9"/>
    <w:rsid w:val="00A20F20"/>
    <w:rPr>
      <w:rFonts w:asciiTheme="majorHAnsi" w:eastAsiaTheme="majorEastAsia" w:hAnsiTheme="majorHAnsi" w:cstheme="majorBidi"/>
      <w:b/>
      <w:bCs/>
      <w:color w:val="2E74B5" w:themeColor="accent1" w:themeShade="BF"/>
      <w:sz w:val="28"/>
      <w:szCs w:val="28"/>
    </w:rPr>
  </w:style>
  <w:style w:type="character" w:styleId="af">
    <w:name w:val="Emphasis"/>
    <w:qFormat/>
    <w:rsid w:val="003A161D"/>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B84"/>
    <w:pPr>
      <w:spacing w:after="200" w:line="276" w:lineRule="auto"/>
    </w:pPr>
  </w:style>
  <w:style w:type="paragraph" w:styleId="1">
    <w:name w:val="heading 1"/>
    <w:basedOn w:val="a"/>
    <w:next w:val="a"/>
    <w:link w:val="1Char"/>
    <w:uiPriority w:val="9"/>
    <w:qFormat/>
    <w:rsid w:val="00A20F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Char"/>
    <w:uiPriority w:val="9"/>
    <w:qFormat/>
    <w:rsid w:val="00D01B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semiHidden/>
    <w:unhideWhenUsed/>
    <w:qFormat/>
    <w:rsid w:val="00930C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01B84"/>
    <w:rPr>
      <w:rFonts w:ascii="Times New Roman" w:eastAsia="Times New Roman" w:hAnsi="Times New Roman" w:cs="Times New Roman"/>
      <w:b/>
      <w:bCs/>
      <w:sz w:val="36"/>
      <w:szCs w:val="36"/>
    </w:rPr>
  </w:style>
  <w:style w:type="paragraph" w:styleId="a3">
    <w:name w:val="footer"/>
    <w:basedOn w:val="a"/>
    <w:link w:val="Char"/>
    <w:uiPriority w:val="99"/>
    <w:unhideWhenUsed/>
    <w:rsid w:val="00D01B84"/>
    <w:pPr>
      <w:tabs>
        <w:tab w:val="center" w:pos="4680"/>
        <w:tab w:val="right" w:pos="9360"/>
      </w:tabs>
      <w:spacing w:after="0" w:line="240" w:lineRule="auto"/>
    </w:pPr>
  </w:style>
  <w:style w:type="character" w:customStyle="1" w:styleId="Char">
    <w:name w:val="页脚 Char"/>
    <w:basedOn w:val="a0"/>
    <w:link w:val="a3"/>
    <w:uiPriority w:val="99"/>
    <w:rsid w:val="00D01B84"/>
  </w:style>
  <w:style w:type="character" w:styleId="a4">
    <w:name w:val="Hyperlink"/>
    <w:basedOn w:val="a0"/>
    <w:uiPriority w:val="99"/>
    <w:unhideWhenUsed/>
    <w:rsid w:val="00D01B84"/>
    <w:rPr>
      <w:color w:val="0563C1" w:themeColor="hyperlink"/>
      <w:u w:val="single"/>
    </w:rPr>
  </w:style>
  <w:style w:type="paragraph" w:styleId="a5">
    <w:name w:val="header"/>
    <w:basedOn w:val="a"/>
    <w:link w:val="Char0"/>
    <w:uiPriority w:val="99"/>
    <w:unhideWhenUsed/>
    <w:rsid w:val="009366B7"/>
    <w:pPr>
      <w:tabs>
        <w:tab w:val="center" w:pos="4680"/>
        <w:tab w:val="right" w:pos="9360"/>
      </w:tabs>
      <w:spacing w:after="0" w:line="240" w:lineRule="auto"/>
    </w:pPr>
  </w:style>
  <w:style w:type="character" w:customStyle="1" w:styleId="Char0">
    <w:name w:val="页眉 Char"/>
    <w:basedOn w:val="a0"/>
    <w:link w:val="a5"/>
    <w:uiPriority w:val="99"/>
    <w:rsid w:val="009366B7"/>
  </w:style>
  <w:style w:type="paragraph" w:styleId="a6">
    <w:name w:val="endnote text"/>
    <w:basedOn w:val="a"/>
    <w:link w:val="Char1"/>
    <w:uiPriority w:val="99"/>
    <w:semiHidden/>
    <w:unhideWhenUsed/>
    <w:rsid w:val="003A7EDA"/>
    <w:pPr>
      <w:spacing w:after="0" w:line="240" w:lineRule="auto"/>
    </w:pPr>
    <w:rPr>
      <w:sz w:val="20"/>
      <w:szCs w:val="20"/>
    </w:rPr>
  </w:style>
  <w:style w:type="character" w:customStyle="1" w:styleId="Char1">
    <w:name w:val="尾注文本 Char"/>
    <w:basedOn w:val="a0"/>
    <w:link w:val="a6"/>
    <w:uiPriority w:val="99"/>
    <w:semiHidden/>
    <w:rsid w:val="003A7EDA"/>
    <w:rPr>
      <w:sz w:val="20"/>
      <w:szCs w:val="20"/>
    </w:rPr>
  </w:style>
  <w:style w:type="character" w:styleId="a7">
    <w:name w:val="endnote reference"/>
    <w:basedOn w:val="a0"/>
    <w:uiPriority w:val="99"/>
    <w:semiHidden/>
    <w:unhideWhenUsed/>
    <w:rsid w:val="003A7EDA"/>
    <w:rPr>
      <w:vertAlign w:val="superscript"/>
    </w:rPr>
  </w:style>
  <w:style w:type="paragraph" w:styleId="a8">
    <w:name w:val="footnote text"/>
    <w:basedOn w:val="a"/>
    <w:link w:val="Char2"/>
    <w:uiPriority w:val="99"/>
    <w:semiHidden/>
    <w:unhideWhenUsed/>
    <w:rsid w:val="003A7EDA"/>
    <w:pPr>
      <w:spacing w:after="0" w:line="240" w:lineRule="auto"/>
    </w:pPr>
    <w:rPr>
      <w:sz w:val="20"/>
      <w:szCs w:val="20"/>
    </w:rPr>
  </w:style>
  <w:style w:type="character" w:customStyle="1" w:styleId="Char2">
    <w:name w:val="脚注文本 Char"/>
    <w:basedOn w:val="a0"/>
    <w:link w:val="a8"/>
    <w:uiPriority w:val="99"/>
    <w:semiHidden/>
    <w:rsid w:val="003A7EDA"/>
    <w:rPr>
      <w:sz w:val="20"/>
      <w:szCs w:val="20"/>
    </w:rPr>
  </w:style>
  <w:style w:type="character" w:styleId="a9">
    <w:name w:val="footnote reference"/>
    <w:basedOn w:val="a0"/>
    <w:uiPriority w:val="99"/>
    <w:semiHidden/>
    <w:unhideWhenUsed/>
    <w:rsid w:val="003A7EDA"/>
    <w:rPr>
      <w:vertAlign w:val="superscript"/>
    </w:rPr>
  </w:style>
  <w:style w:type="character" w:customStyle="1" w:styleId="3Char">
    <w:name w:val="标题 3 Char"/>
    <w:basedOn w:val="a0"/>
    <w:link w:val="3"/>
    <w:uiPriority w:val="9"/>
    <w:semiHidden/>
    <w:rsid w:val="00930CEA"/>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930CEA"/>
  </w:style>
  <w:style w:type="character" w:customStyle="1" w:styleId="ui-ncbitoggler-master-text">
    <w:name w:val="ui-ncbitoggler-master-text"/>
    <w:basedOn w:val="a0"/>
    <w:rsid w:val="00930CEA"/>
  </w:style>
  <w:style w:type="character" w:customStyle="1" w:styleId="name">
    <w:name w:val="name"/>
    <w:basedOn w:val="a0"/>
    <w:rsid w:val="00EE5F16"/>
  </w:style>
  <w:style w:type="paragraph" w:styleId="aa">
    <w:name w:val="List Paragraph"/>
    <w:basedOn w:val="a"/>
    <w:uiPriority w:val="34"/>
    <w:qFormat/>
    <w:rsid w:val="00EE5F16"/>
    <w:pPr>
      <w:ind w:left="720"/>
      <w:contextualSpacing/>
    </w:pPr>
  </w:style>
  <w:style w:type="character" w:customStyle="1" w:styleId="hl">
    <w:name w:val="hl"/>
    <w:basedOn w:val="a0"/>
    <w:rsid w:val="00423726"/>
  </w:style>
  <w:style w:type="paragraph" w:styleId="ab">
    <w:name w:val="Balloon Text"/>
    <w:basedOn w:val="a"/>
    <w:link w:val="Char3"/>
    <w:uiPriority w:val="99"/>
    <w:semiHidden/>
    <w:unhideWhenUsed/>
    <w:rsid w:val="00AB03F8"/>
    <w:pPr>
      <w:spacing w:after="0" w:line="240" w:lineRule="auto"/>
    </w:pPr>
    <w:rPr>
      <w:rFonts w:ascii="Segoe UI" w:hAnsi="Segoe UI" w:cs="Segoe UI"/>
      <w:sz w:val="18"/>
      <w:szCs w:val="18"/>
    </w:rPr>
  </w:style>
  <w:style w:type="character" w:customStyle="1" w:styleId="Char3">
    <w:name w:val="批注框文本 Char"/>
    <w:basedOn w:val="a0"/>
    <w:link w:val="ab"/>
    <w:uiPriority w:val="99"/>
    <w:semiHidden/>
    <w:rsid w:val="00AB03F8"/>
    <w:rPr>
      <w:rFonts w:ascii="Segoe UI" w:hAnsi="Segoe UI" w:cs="Segoe UI"/>
      <w:sz w:val="18"/>
      <w:szCs w:val="18"/>
    </w:rPr>
  </w:style>
  <w:style w:type="character" w:customStyle="1" w:styleId="nlm-given-names">
    <w:name w:val="nlm-given-names"/>
    <w:basedOn w:val="a0"/>
    <w:rsid w:val="00D97E32"/>
  </w:style>
  <w:style w:type="character" w:customStyle="1" w:styleId="nlm-surname">
    <w:name w:val="nlm-surname"/>
    <w:basedOn w:val="a0"/>
    <w:rsid w:val="00D97E32"/>
  </w:style>
  <w:style w:type="character" w:styleId="ac">
    <w:name w:val="annotation reference"/>
    <w:basedOn w:val="a0"/>
    <w:uiPriority w:val="99"/>
    <w:semiHidden/>
    <w:unhideWhenUsed/>
    <w:rsid w:val="002B6E8B"/>
    <w:rPr>
      <w:sz w:val="16"/>
      <w:szCs w:val="16"/>
    </w:rPr>
  </w:style>
  <w:style w:type="paragraph" w:styleId="ad">
    <w:name w:val="annotation text"/>
    <w:basedOn w:val="a"/>
    <w:link w:val="Char4"/>
    <w:uiPriority w:val="99"/>
    <w:semiHidden/>
    <w:unhideWhenUsed/>
    <w:rsid w:val="002B6E8B"/>
    <w:pPr>
      <w:spacing w:line="240" w:lineRule="auto"/>
    </w:pPr>
    <w:rPr>
      <w:sz w:val="20"/>
      <w:szCs w:val="20"/>
    </w:rPr>
  </w:style>
  <w:style w:type="character" w:customStyle="1" w:styleId="Char4">
    <w:name w:val="批注文字 Char"/>
    <w:basedOn w:val="a0"/>
    <w:link w:val="ad"/>
    <w:uiPriority w:val="99"/>
    <w:semiHidden/>
    <w:rsid w:val="002B6E8B"/>
    <w:rPr>
      <w:sz w:val="20"/>
      <w:szCs w:val="20"/>
    </w:rPr>
  </w:style>
  <w:style w:type="paragraph" w:styleId="ae">
    <w:name w:val="annotation subject"/>
    <w:basedOn w:val="ad"/>
    <w:next w:val="ad"/>
    <w:link w:val="Char5"/>
    <w:uiPriority w:val="99"/>
    <w:semiHidden/>
    <w:unhideWhenUsed/>
    <w:rsid w:val="002B6E8B"/>
    <w:rPr>
      <w:b/>
      <w:bCs/>
    </w:rPr>
  </w:style>
  <w:style w:type="character" w:customStyle="1" w:styleId="Char5">
    <w:name w:val="批注主题 Char"/>
    <w:basedOn w:val="Char4"/>
    <w:link w:val="ae"/>
    <w:uiPriority w:val="99"/>
    <w:semiHidden/>
    <w:rsid w:val="002B6E8B"/>
    <w:rPr>
      <w:b/>
      <w:bCs/>
      <w:sz w:val="20"/>
      <w:szCs w:val="20"/>
    </w:rPr>
  </w:style>
  <w:style w:type="character" w:customStyle="1" w:styleId="1Char">
    <w:name w:val="标题 1 Char"/>
    <w:basedOn w:val="a0"/>
    <w:link w:val="1"/>
    <w:uiPriority w:val="9"/>
    <w:rsid w:val="00A20F20"/>
    <w:rPr>
      <w:rFonts w:asciiTheme="majorHAnsi" w:eastAsiaTheme="majorEastAsia" w:hAnsiTheme="majorHAnsi" w:cstheme="majorBidi"/>
      <w:b/>
      <w:bCs/>
      <w:color w:val="2E74B5" w:themeColor="accent1" w:themeShade="BF"/>
      <w:sz w:val="28"/>
      <w:szCs w:val="28"/>
    </w:rPr>
  </w:style>
  <w:style w:type="character" w:styleId="af">
    <w:name w:val="Emphasis"/>
    <w:qFormat/>
    <w:rsid w:val="003A161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2849">
      <w:bodyDiv w:val="1"/>
      <w:marLeft w:val="0"/>
      <w:marRight w:val="0"/>
      <w:marTop w:val="0"/>
      <w:marBottom w:val="0"/>
      <w:divBdr>
        <w:top w:val="none" w:sz="0" w:space="0" w:color="auto"/>
        <w:left w:val="none" w:sz="0" w:space="0" w:color="auto"/>
        <w:bottom w:val="none" w:sz="0" w:space="0" w:color="auto"/>
        <w:right w:val="none" w:sz="0" w:space="0" w:color="auto"/>
      </w:divBdr>
    </w:div>
    <w:div w:id="211623046">
      <w:bodyDiv w:val="1"/>
      <w:marLeft w:val="0"/>
      <w:marRight w:val="0"/>
      <w:marTop w:val="0"/>
      <w:marBottom w:val="0"/>
      <w:divBdr>
        <w:top w:val="none" w:sz="0" w:space="0" w:color="auto"/>
        <w:left w:val="none" w:sz="0" w:space="0" w:color="auto"/>
        <w:bottom w:val="none" w:sz="0" w:space="0" w:color="auto"/>
        <w:right w:val="none" w:sz="0" w:space="0" w:color="auto"/>
      </w:divBdr>
    </w:div>
    <w:div w:id="257914122">
      <w:bodyDiv w:val="1"/>
      <w:marLeft w:val="0"/>
      <w:marRight w:val="0"/>
      <w:marTop w:val="0"/>
      <w:marBottom w:val="0"/>
      <w:divBdr>
        <w:top w:val="none" w:sz="0" w:space="0" w:color="auto"/>
        <w:left w:val="none" w:sz="0" w:space="0" w:color="auto"/>
        <w:bottom w:val="none" w:sz="0" w:space="0" w:color="auto"/>
        <w:right w:val="none" w:sz="0" w:space="0" w:color="auto"/>
      </w:divBdr>
    </w:div>
    <w:div w:id="514418569">
      <w:bodyDiv w:val="1"/>
      <w:marLeft w:val="0"/>
      <w:marRight w:val="0"/>
      <w:marTop w:val="0"/>
      <w:marBottom w:val="0"/>
      <w:divBdr>
        <w:top w:val="none" w:sz="0" w:space="0" w:color="auto"/>
        <w:left w:val="none" w:sz="0" w:space="0" w:color="auto"/>
        <w:bottom w:val="none" w:sz="0" w:space="0" w:color="auto"/>
        <w:right w:val="none" w:sz="0" w:space="0" w:color="auto"/>
      </w:divBdr>
    </w:div>
    <w:div w:id="746420253">
      <w:bodyDiv w:val="1"/>
      <w:marLeft w:val="0"/>
      <w:marRight w:val="0"/>
      <w:marTop w:val="0"/>
      <w:marBottom w:val="0"/>
      <w:divBdr>
        <w:top w:val="none" w:sz="0" w:space="0" w:color="auto"/>
        <w:left w:val="none" w:sz="0" w:space="0" w:color="auto"/>
        <w:bottom w:val="none" w:sz="0" w:space="0" w:color="auto"/>
        <w:right w:val="none" w:sz="0" w:space="0" w:color="auto"/>
      </w:divBdr>
    </w:div>
    <w:div w:id="881943822">
      <w:bodyDiv w:val="1"/>
      <w:marLeft w:val="0"/>
      <w:marRight w:val="0"/>
      <w:marTop w:val="0"/>
      <w:marBottom w:val="0"/>
      <w:divBdr>
        <w:top w:val="none" w:sz="0" w:space="0" w:color="auto"/>
        <w:left w:val="none" w:sz="0" w:space="0" w:color="auto"/>
        <w:bottom w:val="none" w:sz="0" w:space="0" w:color="auto"/>
        <w:right w:val="none" w:sz="0" w:space="0" w:color="auto"/>
      </w:divBdr>
    </w:div>
    <w:div w:id="935866605">
      <w:bodyDiv w:val="1"/>
      <w:marLeft w:val="0"/>
      <w:marRight w:val="0"/>
      <w:marTop w:val="0"/>
      <w:marBottom w:val="0"/>
      <w:divBdr>
        <w:top w:val="none" w:sz="0" w:space="0" w:color="auto"/>
        <w:left w:val="none" w:sz="0" w:space="0" w:color="auto"/>
        <w:bottom w:val="none" w:sz="0" w:space="0" w:color="auto"/>
        <w:right w:val="none" w:sz="0" w:space="0" w:color="auto"/>
      </w:divBdr>
    </w:div>
    <w:div w:id="1231885285">
      <w:bodyDiv w:val="1"/>
      <w:marLeft w:val="0"/>
      <w:marRight w:val="0"/>
      <w:marTop w:val="0"/>
      <w:marBottom w:val="0"/>
      <w:divBdr>
        <w:top w:val="none" w:sz="0" w:space="0" w:color="auto"/>
        <w:left w:val="none" w:sz="0" w:space="0" w:color="auto"/>
        <w:bottom w:val="none" w:sz="0" w:space="0" w:color="auto"/>
        <w:right w:val="none" w:sz="0" w:space="0" w:color="auto"/>
      </w:divBdr>
    </w:div>
    <w:div w:id="1267956532">
      <w:bodyDiv w:val="1"/>
      <w:marLeft w:val="0"/>
      <w:marRight w:val="0"/>
      <w:marTop w:val="0"/>
      <w:marBottom w:val="0"/>
      <w:divBdr>
        <w:top w:val="none" w:sz="0" w:space="0" w:color="auto"/>
        <w:left w:val="none" w:sz="0" w:space="0" w:color="auto"/>
        <w:bottom w:val="none" w:sz="0" w:space="0" w:color="auto"/>
        <w:right w:val="none" w:sz="0" w:space="0" w:color="auto"/>
      </w:divBdr>
    </w:div>
    <w:div w:id="1454396823">
      <w:bodyDiv w:val="1"/>
      <w:marLeft w:val="0"/>
      <w:marRight w:val="0"/>
      <w:marTop w:val="0"/>
      <w:marBottom w:val="0"/>
      <w:divBdr>
        <w:top w:val="none" w:sz="0" w:space="0" w:color="auto"/>
        <w:left w:val="none" w:sz="0" w:space="0" w:color="auto"/>
        <w:bottom w:val="none" w:sz="0" w:space="0" w:color="auto"/>
        <w:right w:val="none" w:sz="0" w:space="0" w:color="auto"/>
      </w:divBdr>
      <w:divsChild>
        <w:div w:id="625236534">
          <w:marLeft w:val="0"/>
          <w:marRight w:val="0"/>
          <w:marTop w:val="0"/>
          <w:marBottom w:val="0"/>
          <w:divBdr>
            <w:top w:val="none" w:sz="0" w:space="0" w:color="auto"/>
            <w:left w:val="none" w:sz="0" w:space="0" w:color="auto"/>
            <w:bottom w:val="none" w:sz="0" w:space="0" w:color="auto"/>
            <w:right w:val="none" w:sz="0" w:space="0" w:color="auto"/>
          </w:divBdr>
        </w:div>
        <w:div w:id="1776553292">
          <w:marLeft w:val="0"/>
          <w:marRight w:val="0"/>
          <w:marTop w:val="0"/>
          <w:marBottom w:val="0"/>
          <w:divBdr>
            <w:top w:val="none" w:sz="0" w:space="0" w:color="auto"/>
            <w:left w:val="none" w:sz="0" w:space="0" w:color="auto"/>
            <w:bottom w:val="none" w:sz="0" w:space="0" w:color="auto"/>
            <w:right w:val="none" w:sz="0" w:space="0" w:color="auto"/>
          </w:divBdr>
        </w:div>
        <w:div w:id="472798753">
          <w:marLeft w:val="0"/>
          <w:marRight w:val="0"/>
          <w:marTop w:val="0"/>
          <w:marBottom w:val="0"/>
          <w:divBdr>
            <w:top w:val="none" w:sz="0" w:space="0" w:color="auto"/>
            <w:left w:val="none" w:sz="0" w:space="0" w:color="auto"/>
            <w:bottom w:val="none" w:sz="0" w:space="0" w:color="auto"/>
            <w:right w:val="none" w:sz="0" w:space="0" w:color="auto"/>
          </w:divBdr>
        </w:div>
        <w:div w:id="1071537748">
          <w:marLeft w:val="0"/>
          <w:marRight w:val="0"/>
          <w:marTop w:val="0"/>
          <w:marBottom w:val="0"/>
          <w:divBdr>
            <w:top w:val="none" w:sz="0" w:space="0" w:color="auto"/>
            <w:left w:val="none" w:sz="0" w:space="0" w:color="auto"/>
            <w:bottom w:val="none" w:sz="0" w:space="0" w:color="auto"/>
            <w:right w:val="none" w:sz="0" w:space="0" w:color="auto"/>
          </w:divBdr>
        </w:div>
        <w:div w:id="1527906964">
          <w:marLeft w:val="0"/>
          <w:marRight w:val="0"/>
          <w:marTop w:val="0"/>
          <w:marBottom w:val="0"/>
          <w:divBdr>
            <w:top w:val="none" w:sz="0" w:space="0" w:color="auto"/>
            <w:left w:val="none" w:sz="0" w:space="0" w:color="auto"/>
            <w:bottom w:val="none" w:sz="0" w:space="0" w:color="auto"/>
            <w:right w:val="none" w:sz="0" w:space="0" w:color="auto"/>
          </w:divBdr>
        </w:div>
        <w:div w:id="2072969294">
          <w:marLeft w:val="0"/>
          <w:marRight w:val="0"/>
          <w:marTop w:val="0"/>
          <w:marBottom w:val="0"/>
          <w:divBdr>
            <w:top w:val="none" w:sz="0" w:space="0" w:color="auto"/>
            <w:left w:val="none" w:sz="0" w:space="0" w:color="auto"/>
            <w:bottom w:val="none" w:sz="0" w:space="0" w:color="auto"/>
            <w:right w:val="none" w:sz="0" w:space="0" w:color="auto"/>
          </w:divBdr>
        </w:div>
        <w:div w:id="707533903">
          <w:marLeft w:val="0"/>
          <w:marRight w:val="0"/>
          <w:marTop w:val="0"/>
          <w:marBottom w:val="0"/>
          <w:divBdr>
            <w:top w:val="none" w:sz="0" w:space="0" w:color="auto"/>
            <w:left w:val="none" w:sz="0" w:space="0" w:color="auto"/>
            <w:bottom w:val="none" w:sz="0" w:space="0" w:color="auto"/>
            <w:right w:val="none" w:sz="0" w:space="0" w:color="auto"/>
          </w:divBdr>
        </w:div>
        <w:div w:id="6255297">
          <w:marLeft w:val="0"/>
          <w:marRight w:val="0"/>
          <w:marTop w:val="0"/>
          <w:marBottom w:val="0"/>
          <w:divBdr>
            <w:top w:val="none" w:sz="0" w:space="0" w:color="auto"/>
            <w:left w:val="none" w:sz="0" w:space="0" w:color="auto"/>
            <w:bottom w:val="none" w:sz="0" w:space="0" w:color="auto"/>
            <w:right w:val="none" w:sz="0" w:space="0" w:color="auto"/>
          </w:divBdr>
        </w:div>
        <w:div w:id="137382280">
          <w:marLeft w:val="0"/>
          <w:marRight w:val="0"/>
          <w:marTop w:val="0"/>
          <w:marBottom w:val="0"/>
          <w:divBdr>
            <w:top w:val="none" w:sz="0" w:space="0" w:color="auto"/>
            <w:left w:val="none" w:sz="0" w:space="0" w:color="auto"/>
            <w:bottom w:val="none" w:sz="0" w:space="0" w:color="auto"/>
            <w:right w:val="none" w:sz="0" w:space="0" w:color="auto"/>
          </w:divBdr>
        </w:div>
        <w:div w:id="317654228">
          <w:marLeft w:val="0"/>
          <w:marRight w:val="0"/>
          <w:marTop w:val="0"/>
          <w:marBottom w:val="0"/>
          <w:divBdr>
            <w:top w:val="none" w:sz="0" w:space="0" w:color="auto"/>
            <w:left w:val="none" w:sz="0" w:space="0" w:color="auto"/>
            <w:bottom w:val="none" w:sz="0" w:space="0" w:color="auto"/>
            <w:right w:val="none" w:sz="0" w:space="0" w:color="auto"/>
          </w:divBdr>
        </w:div>
        <w:div w:id="1385981213">
          <w:marLeft w:val="0"/>
          <w:marRight w:val="0"/>
          <w:marTop w:val="0"/>
          <w:marBottom w:val="0"/>
          <w:divBdr>
            <w:top w:val="none" w:sz="0" w:space="0" w:color="auto"/>
            <w:left w:val="none" w:sz="0" w:space="0" w:color="auto"/>
            <w:bottom w:val="none" w:sz="0" w:space="0" w:color="auto"/>
            <w:right w:val="none" w:sz="0" w:space="0" w:color="auto"/>
          </w:divBdr>
        </w:div>
        <w:div w:id="531307109">
          <w:marLeft w:val="0"/>
          <w:marRight w:val="0"/>
          <w:marTop w:val="0"/>
          <w:marBottom w:val="0"/>
          <w:divBdr>
            <w:top w:val="none" w:sz="0" w:space="0" w:color="auto"/>
            <w:left w:val="none" w:sz="0" w:space="0" w:color="auto"/>
            <w:bottom w:val="none" w:sz="0" w:space="0" w:color="auto"/>
            <w:right w:val="none" w:sz="0" w:space="0" w:color="auto"/>
          </w:divBdr>
        </w:div>
        <w:div w:id="798498221">
          <w:marLeft w:val="0"/>
          <w:marRight w:val="0"/>
          <w:marTop w:val="0"/>
          <w:marBottom w:val="0"/>
          <w:divBdr>
            <w:top w:val="none" w:sz="0" w:space="0" w:color="auto"/>
            <w:left w:val="none" w:sz="0" w:space="0" w:color="auto"/>
            <w:bottom w:val="none" w:sz="0" w:space="0" w:color="auto"/>
            <w:right w:val="none" w:sz="0" w:space="0" w:color="auto"/>
          </w:divBdr>
        </w:div>
        <w:div w:id="127598696">
          <w:marLeft w:val="0"/>
          <w:marRight w:val="0"/>
          <w:marTop w:val="0"/>
          <w:marBottom w:val="0"/>
          <w:divBdr>
            <w:top w:val="none" w:sz="0" w:space="0" w:color="auto"/>
            <w:left w:val="none" w:sz="0" w:space="0" w:color="auto"/>
            <w:bottom w:val="none" w:sz="0" w:space="0" w:color="auto"/>
            <w:right w:val="none" w:sz="0" w:space="0" w:color="auto"/>
          </w:divBdr>
        </w:div>
        <w:div w:id="458186270">
          <w:marLeft w:val="0"/>
          <w:marRight w:val="0"/>
          <w:marTop w:val="0"/>
          <w:marBottom w:val="0"/>
          <w:divBdr>
            <w:top w:val="none" w:sz="0" w:space="0" w:color="auto"/>
            <w:left w:val="none" w:sz="0" w:space="0" w:color="auto"/>
            <w:bottom w:val="none" w:sz="0" w:space="0" w:color="auto"/>
            <w:right w:val="none" w:sz="0" w:space="0" w:color="auto"/>
          </w:divBdr>
        </w:div>
        <w:div w:id="1330789396">
          <w:marLeft w:val="0"/>
          <w:marRight w:val="0"/>
          <w:marTop w:val="0"/>
          <w:marBottom w:val="0"/>
          <w:divBdr>
            <w:top w:val="none" w:sz="0" w:space="0" w:color="auto"/>
            <w:left w:val="none" w:sz="0" w:space="0" w:color="auto"/>
            <w:bottom w:val="none" w:sz="0" w:space="0" w:color="auto"/>
            <w:right w:val="none" w:sz="0" w:space="0" w:color="auto"/>
          </w:divBdr>
        </w:div>
        <w:div w:id="1598059398">
          <w:marLeft w:val="0"/>
          <w:marRight w:val="0"/>
          <w:marTop w:val="0"/>
          <w:marBottom w:val="0"/>
          <w:divBdr>
            <w:top w:val="none" w:sz="0" w:space="0" w:color="auto"/>
            <w:left w:val="none" w:sz="0" w:space="0" w:color="auto"/>
            <w:bottom w:val="none" w:sz="0" w:space="0" w:color="auto"/>
            <w:right w:val="none" w:sz="0" w:space="0" w:color="auto"/>
          </w:divBdr>
        </w:div>
        <w:div w:id="175197332">
          <w:marLeft w:val="0"/>
          <w:marRight w:val="0"/>
          <w:marTop w:val="0"/>
          <w:marBottom w:val="0"/>
          <w:divBdr>
            <w:top w:val="none" w:sz="0" w:space="0" w:color="auto"/>
            <w:left w:val="none" w:sz="0" w:space="0" w:color="auto"/>
            <w:bottom w:val="none" w:sz="0" w:space="0" w:color="auto"/>
            <w:right w:val="none" w:sz="0" w:space="0" w:color="auto"/>
          </w:divBdr>
        </w:div>
        <w:div w:id="1629818317">
          <w:marLeft w:val="0"/>
          <w:marRight w:val="0"/>
          <w:marTop w:val="0"/>
          <w:marBottom w:val="0"/>
          <w:divBdr>
            <w:top w:val="none" w:sz="0" w:space="0" w:color="auto"/>
            <w:left w:val="none" w:sz="0" w:space="0" w:color="auto"/>
            <w:bottom w:val="none" w:sz="0" w:space="0" w:color="auto"/>
            <w:right w:val="none" w:sz="0" w:space="0" w:color="auto"/>
          </w:divBdr>
        </w:div>
        <w:div w:id="222984020">
          <w:marLeft w:val="0"/>
          <w:marRight w:val="0"/>
          <w:marTop w:val="0"/>
          <w:marBottom w:val="0"/>
          <w:divBdr>
            <w:top w:val="none" w:sz="0" w:space="0" w:color="auto"/>
            <w:left w:val="none" w:sz="0" w:space="0" w:color="auto"/>
            <w:bottom w:val="none" w:sz="0" w:space="0" w:color="auto"/>
            <w:right w:val="none" w:sz="0" w:space="0" w:color="auto"/>
          </w:divBdr>
        </w:div>
        <w:div w:id="2069256210">
          <w:marLeft w:val="0"/>
          <w:marRight w:val="0"/>
          <w:marTop w:val="0"/>
          <w:marBottom w:val="0"/>
          <w:divBdr>
            <w:top w:val="none" w:sz="0" w:space="0" w:color="auto"/>
            <w:left w:val="none" w:sz="0" w:space="0" w:color="auto"/>
            <w:bottom w:val="none" w:sz="0" w:space="0" w:color="auto"/>
            <w:right w:val="none" w:sz="0" w:space="0" w:color="auto"/>
          </w:divBdr>
        </w:div>
        <w:div w:id="1215770533">
          <w:marLeft w:val="0"/>
          <w:marRight w:val="0"/>
          <w:marTop w:val="0"/>
          <w:marBottom w:val="0"/>
          <w:divBdr>
            <w:top w:val="none" w:sz="0" w:space="0" w:color="auto"/>
            <w:left w:val="none" w:sz="0" w:space="0" w:color="auto"/>
            <w:bottom w:val="none" w:sz="0" w:space="0" w:color="auto"/>
            <w:right w:val="none" w:sz="0" w:space="0" w:color="auto"/>
          </w:divBdr>
        </w:div>
        <w:div w:id="1892113713">
          <w:marLeft w:val="0"/>
          <w:marRight w:val="0"/>
          <w:marTop w:val="0"/>
          <w:marBottom w:val="0"/>
          <w:divBdr>
            <w:top w:val="none" w:sz="0" w:space="0" w:color="auto"/>
            <w:left w:val="none" w:sz="0" w:space="0" w:color="auto"/>
            <w:bottom w:val="none" w:sz="0" w:space="0" w:color="auto"/>
            <w:right w:val="none" w:sz="0" w:space="0" w:color="auto"/>
          </w:divBdr>
        </w:div>
        <w:div w:id="1471826184">
          <w:marLeft w:val="0"/>
          <w:marRight w:val="0"/>
          <w:marTop w:val="0"/>
          <w:marBottom w:val="0"/>
          <w:divBdr>
            <w:top w:val="none" w:sz="0" w:space="0" w:color="auto"/>
            <w:left w:val="none" w:sz="0" w:space="0" w:color="auto"/>
            <w:bottom w:val="none" w:sz="0" w:space="0" w:color="auto"/>
            <w:right w:val="none" w:sz="0" w:space="0" w:color="auto"/>
          </w:divBdr>
        </w:div>
      </w:divsChild>
    </w:div>
    <w:div w:id="20410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CD3E7-C7D1-4DBA-84ED-DA06723CF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5140</Words>
  <Characters>29304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Guinevere Granite</dc:creator>
  <cp:keywords/>
  <dc:description/>
  <cp:lastModifiedBy>Windows 用户</cp:lastModifiedBy>
  <cp:revision>3</cp:revision>
  <cp:lastPrinted>2016-05-01T17:02:00Z</cp:lastPrinted>
  <dcterms:created xsi:type="dcterms:W3CDTF">2016-09-21T17:49:00Z</dcterms:created>
  <dcterms:modified xsi:type="dcterms:W3CDTF">2016-09-22T02:50:00Z</dcterms:modified>
</cp:coreProperties>
</file>