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BF" w:rsidRPr="00752273" w:rsidRDefault="00D04DBF" w:rsidP="00D04DBF">
      <w:pPr>
        <w:widowControl w:val="0"/>
        <w:autoSpaceDE w:val="0"/>
        <w:autoSpaceDN w:val="0"/>
        <w:adjustRightInd w:val="0"/>
        <w:spacing w:line="360" w:lineRule="auto"/>
        <w:ind w:left="640" w:hanging="640"/>
        <w:rPr>
          <w:rFonts w:ascii="Book Antiqua" w:hAnsi="Book Antiqua"/>
          <w:lang w:val="en-US"/>
        </w:rPr>
      </w:pPr>
      <w:proofErr w:type="gramStart"/>
      <w:r w:rsidRPr="00752273">
        <w:rPr>
          <w:rFonts w:ascii="Book Antiqua" w:hAnsi="Book Antiqua"/>
          <w:b/>
          <w:lang w:val="en-US"/>
        </w:rPr>
        <w:t>Table 1.</w:t>
      </w:r>
      <w:proofErr w:type="gramEnd"/>
      <w:r w:rsidRPr="00752273">
        <w:rPr>
          <w:rFonts w:ascii="Book Antiqua" w:hAnsi="Book Antiqua"/>
          <w:b/>
          <w:lang w:val="en-US"/>
        </w:rPr>
        <w:t xml:space="preserve">  </w:t>
      </w:r>
      <w:proofErr w:type="gramStart"/>
      <w:r w:rsidRPr="00752273">
        <w:rPr>
          <w:rFonts w:ascii="Book Antiqua" w:hAnsi="Book Antiqua"/>
          <w:lang w:val="en-US"/>
        </w:rPr>
        <w:t>Diagnostic criteria for AUD and other definitions of unhealthy alcohol use.</w:t>
      </w:r>
      <w:proofErr w:type="gramEnd"/>
      <w:r w:rsidRPr="00752273">
        <w:rPr>
          <w:rFonts w:ascii="Book Antiqua" w:hAnsi="Book Antiqua"/>
          <w:lang w:val="en-US"/>
        </w:rPr>
        <w:t xml:space="preserve"> </w:t>
      </w:r>
    </w:p>
    <w:p w:rsidR="00D04DBF" w:rsidRPr="00752273" w:rsidRDefault="00D04DBF" w:rsidP="00D04DBF">
      <w:pPr>
        <w:widowControl w:val="0"/>
        <w:autoSpaceDE w:val="0"/>
        <w:autoSpaceDN w:val="0"/>
        <w:adjustRightInd w:val="0"/>
        <w:spacing w:line="360" w:lineRule="auto"/>
        <w:ind w:left="640" w:hanging="640"/>
        <w:rPr>
          <w:rFonts w:ascii="Book Antiqua" w:hAnsi="Book Antiqua"/>
          <w:lang w:val="en-US"/>
        </w:rPr>
      </w:pPr>
    </w:p>
    <w:tbl>
      <w:tblPr>
        <w:tblStyle w:val="Tablaconcuadrcula"/>
        <w:tblW w:w="0" w:type="auto"/>
        <w:tblInd w:w="-34" w:type="dxa"/>
        <w:tblLook w:val="04A0"/>
      </w:tblPr>
      <w:tblGrid>
        <w:gridCol w:w="8550"/>
      </w:tblGrid>
      <w:tr w:rsidR="00D04DBF" w:rsidRPr="003E7B41" w:rsidTr="00DD123D">
        <w:tc>
          <w:tcPr>
            <w:tcW w:w="8550" w:type="dxa"/>
          </w:tcPr>
          <w:p w:rsidR="00D04DBF" w:rsidRPr="00752273" w:rsidRDefault="00D04DBF" w:rsidP="00DD123D">
            <w:pPr>
              <w:spacing w:before="100" w:beforeAutospacing="1" w:after="100" w:afterAutospacing="1" w:line="360" w:lineRule="auto"/>
              <w:rPr>
                <w:rFonts w:ascii="Book Antiqua" w:eastAsia="Times New Roman" w:hAnsi="Book Antiqua" w:cs="Times New Roman"/>
                <w:i/>
                <w:lang w:val="en-US" w:eastAsia="es-ES"/>
              </w:rPr>
            </w:pPr>
            <w:r w:rsidRPr="00752273">
              <w:rPr>
                <w:rFonts w:ascii="Book Antiqua" w:eastAsia="Times New Roman" w:hAnsi="Book Antiqua" w:cs="Times New Roman"/>
                <w:i/>
                <w:lang w:val="en-US" w:eastAsia="es-ES"/>
              </w:rPr>
              <w:t xml:space="preserve">AUD (DSM-5) </w:t>
            </w:r>
            <w:r w:rsidRPr="003E7B41">
              <w:rPr>
                <w:rFonts w:ascii="Book Antiqua" w:hAnsi="Book Antiqua"/>
                <w:i/>
              </w:rPr>
              <w:fldChar w:fldCharType="begin" w:fldLock="1"/>
            </w:r>
            <w:r w:rsidRPr="00752273">
              <w:rPr>
                <w:rFonts w:ascii="Book Antiqua" w:hAnsi="Book Antiqua"/>
                <w:i/>
                <w:lang w:val="en-US"/>
              </w:rPr>
              <w:instrText>ADDIN CSL_CITATION { "citationItems" : [ { "id" : "ITEM-1", "itemData" : { "ISBN" : "978-0-89042-554-1", "author" : [ { "dropping-particle" : "", "family" : "Association", "given" : "American Psychiatric", "non-dropping-particle" : "", "parse-names" : false, "suffix" : "" } ], "id" : "ITEM-1", "issued" : { "date-parts" : [ [ "2013" ] ] }, "title" : "Diagnostic and Statistical Manual of Mental Disorders, DSM-5", "type" : "book" }, "uris" : [ "http://www.mendeley.com/documents/?uuid=773bc4c5-bd87-4de5-81e7-3275b8dedee6" ] } ], "mendeley" : { "formattedCitation" : "&lt;sup&gt;2&lt;/sup&gt;", "plainTextFormattedCitation" : "2", "previouslyFormattedCitation" : "&lt;sup&gt;7&lt;/sup&gt;" }, "properties" : { "noteIndex" : 0 }, "schema" : "https://github.com/citation-style-language/schema/raw/master/csl-citation.json" }</w:instrText>
            </w:r>
            <w:r w:rsidRPr="003E7B41">
              <w:rPr>
                <w:rFonts w:ascii="Book Antiqua" w:hAnsi="Book Antiqua"/>
                <w:i/>
              </w:rPr>
              <w:fldChar w:fldCharType="separate"/>
            </w:r>
            <w:r w:rsidRPr="00752273">
              <w:rPr>
                <w:rFonts w:ascii="Book Antiqua" w:hAnsi="Book Antiqua"/>
                <w:noProof/>
                <w:vertAlign w:val="superscript"/>
                <w:lang w:val="en-US"/>
              </w:rPr>
              <w:t>2</w:t>
            </w:r>
            <w:r w:rsidRPr="003E7B41">
              <w:rPr>
                <w:rFonts w:ascii="Book Antiqua" w:hAnsi="Book Antiqua"/>
                <w:i/>
              </w:rPr>
              <w:fldChar w:fldCharType="end"/>
            </w:r>
          </w:p>
          <w:p w:rsidR="00D04DBF" w:rsidRPr="00752273" w:rsidRDefault="00D04DBF" w:rsidP="00DD123D">
            <w:pPr>
              <w:spacing w:before="100" w:beforeAutospacing="1" w:after="100" w:afterAutospacing="1" w:line="360" w:lineRule="auto"/>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In the past year, have you*:</w:t>
            </w:r>
          </w:p>
          <w:p w:rsidR="00D04DBF" w:rsidRPr="00752273" w:rsidRDefault="00D04DBF" w:rsidP="00DD123D">
            <w:pPr>
              <w:numPr>
                <w:ilvl w:val="0"/>
                <w:numId w:val="1"/>
              </w:numPr>
              <w:spacing w:before="100" w:beforeAutospacing="1" w:after="100" w:afterAutospacing="1" w:line="360" w:lineRule="auto"/>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Had times when you ended up drinking more, or longer than you intended?</w:t>
            </w:r>
          </w:p>
          <w:p w:rsidR="00D04DBF" w:rsidRPr="00752273" w:rsidRDefault="00D04DBF" w:rsidP="00DD123D">
            <w:pPr>
              <w:numPr>
                <w:ilvl w:val="0"/>
                <w:numId w:val="1"/>
              </w:numPr>
              <w:spacing w:before="100" w:beforeAutospacing="1" w:after="100" w:afterAutospacing="1" w:line="360" w:lineRule="auto"/>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More than once wanted to cut down or stop drinking, or tried to, but couldn’t? </w:t>
            </w:r>
          </w:p>
          <w:p w:rsidR="00D04DBF" w:rsidRPr="00752273" w:rsidRDefault="00D04DBF" w:rsidP="00DD123D">
            <w:pPr>
              <w:numPr>
                <w:ilvl w:val="0"/>
                <w:numId w:val="1"/>
              </w:numPr>
              <w:spacing w:before="100" w:beforeAutospacing="1" w:after="100" w:afterAutospacing="1" w:line="360" w:lineRule="auto"/>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Spent a lot of time drinking? Or being sick or getting over the aftereffects?</w:t>
            </w:r>
          </w:p>
          <w:p w:rsidR="00D04DBF" w:rsidRPr="00752273" w:rsidRDefault="00D04DBF" w:rsidP="00DD123D">
            <w:pPr>
              <w:numPr>
                <w:ilvl w:val="0"/>
                <w:numId w:val="1"/>
              </w:numPr>
              <w:spacing w:before="100" w:beforeAutospacing="1" w:after="100" w:afterAutospacing="1" w:line="360" w:lineRule="auto"/>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Experienced craving — a strong need, or urge, to drink? </w:t>
            </w:r>
          </w:p>
          <w:p w:rsidR="00D04DBF" w:rsidRPr="003E7B41" w:rsidRDefault="00D04DBF" w:rsidP="00DD123D">
            <w:pPr>
              <w:numPr>
                <w:ilvl w:val="0"/>
                <w:numId w:val="1"/>
              </w:numPr>
              <w:spacing w:before="100" w:beforeAutospacing="1" w:after="100" w:afterAutospacing="1" w:line="360" w:lineRule="auto"/>
              <w:rPr>
                <w:rFonts w:ascii="Book Antiqua" w:eastAsia="Times New Roman" w:hAnsi="Book Antiqua" w:cs="Times New Roman"/>
                <w:lang w:eastAsia="es-ES"/>
              </w:rPr>
            </w:pPr>
            <w:r w:rsidRPr="00752273">
              <w:rPr>
                <w:rFonts w:ascii="Book Antiqua" w:eastAsia="Times New Roman" w:hAnsi="Book Antiqua" w:cs="Times New Roman"/>
                <w:lang w:val="en-US" w:eastAsia="es-ES"/>
              </w:rPr>
              <w:t xml:space="preserve">Found that drinking — or being sick from drinking — often interfered with taking care of your home or family? </w:t>
            </w:r>
            <w:proofErr w:type="spellStart"/>
            <w:r w:rsidRPr="003E7B41">
              <w:rPr>
                <w:rFonts w:ascii="Book Antiqua" w:eastAsia="Times New Roman" w:hAnsi="Book Antiqua" w:cs="Times New Roman"/>
                <w:lang w:eastAsia="es-ES"/>
              </w:rPr>
              <w:t>Or</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caused</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job</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troubles</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Or</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school</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problems</w:t>
            </w:r>
            <w:proofErr w:type="spellEnd"/>
            <w:r w:rsidRPr="003E7B41">
              <w:rPr>
                <w:rFonts w:ascii="Book Antiqua" w:eastAsia="Times New Roman" w:hAnsi="Book Antiqua" w:cs="Times New Roman"/>
                <w:lang w:eastAsia="es-ES"/>
              </w:rPr>
              <w:t>?</w:t>
            </w:r>
          </w:p>
          <w:p w:rsidR="00D04DBF" w:rsidRPr="00752273" w:rsidRDefault="00D04DBF" w:rsidP="00DD123D">
            <w:pPr>
              <w:numPr>
                <w:ilvl w:val="0"/>
                <w:numId w:val="1"/>
              </w:numPr>
              <w:spacing w:before="100" w:beforeAutospacing="1" w:after="100" w:afterAutospacing="1" w:line="360" w:lineRule="auto"/>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Continued to drink even though it was causing trouble with your family or friends?</w:t>
            </w:r>
          </w:p>
          <w:p w:rsidR="00D04DBF" w:rsidRPr="00752273" w:rsidRDefault="00D04DBF" w:rsidP="00DD123D">
            <w:pPr>
              <w:numPr>
                <w:ilvl w:val="0"/>
                <w:numId w:val="1"/>
              </w:numPr>
              <w:spacing w:before="100" w:beforeAutospacing="1" w:after="100" w:afterAutospacing="1" w:line="360" w:lineRule="auto"/>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Given up or cut back on activities that were important or interesting to you, or gave you pleasure, in order to drink?</w:t>
            </w:r>
          </w:p>
          <w:p w:rsidR="00D04DBF" w:rsidRPr="00752273" w:rsidRDefault="00D04DBF" w:rsidP="00DD123D">
            <w:pPr>
              <w:numPr>
                <w:ilvl w:val="0"/>
                <w:numId w:val="1"/>
              </w:numPr>
              <w:spacing w:before="100" w:beforeAutospacing="1" w:after="100" w:afterAutospacing="1" w:line="360" w:lineRule="auto"/>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More than once gotten into situations while or after drinking that increased your chances of getting hurt (such as driving, swimming, using machinery, walking in a dangerous area, or having unsafe sex)?</w:t>
            </w:r>
          </w:p>
          <w:p w:rsidR="00D04DBF" w:rsidRPr="003E7B41" w:rsidRDefault="00D04DBF" w:rsidP="00DD123D">
            <w:pPr>
              <w:numPr>
                <w:ilvl w:val="0"/>
                <w:numId w:val="1"/>
              </w:numPr>
              <w:spacing w:before="100" w:beforeAutospacing="1" w:after="100" w:afterAutospacing="1" w:line="360" w:lineRule="auto"/>
              <w:rPr>
                <w:rFonts w:ascii="Book Antiqua" w:eastAsia="Times New Roman" w:hAnsi="Book Antiqua" w:cs="Times New Roman"/>
                <w:lang w:eastAsia="es-ES"/>
              </w:rPr>
            </w:pPr>
            <w:r w:rsidRPr="00752273">
              <w:rPr>
                <w:rFonts w:ascii="Book Antiqua" w:eastAsia="Times New Roman" w:hAnsi="Book Antiqua" w:cs="Times New Roman"/>
                <w:lang w:val="en-US" w:eastAsia="es-ES"/>
              </w:rPr>
              <w:t xml:space="preserve">Continued to drink even though it was making you feel depressed or anxious or adding to another health problem? </w:t>
            </w:r>
            <w:proofErr w:type="spellStart"/>
            <w:r w:rsidRPr="003E7B41">
              <w:rPr>
                <w:rFonts w:ascii="Book Antiqua" w:eastAsia="Times New Roman" w:hAnsi="Book Antiqua" w:cs="Times New Roman"/>
                <w:lang w:eastAsia="es-ES"/>
              </w:rPr>
              <w:t>Or</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after</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having</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had</w:t>
            </w:r>
            <w:proofErr w:type="spellEnd"/>
            <w:r w:rsidRPr="003E7B41">
              <w:rPr>
                <w:rFonts w:ascii="Book Antiqua" w:eastAsia="Times New Roman" w:hAnsi="Book Antiqua" w:cs="Times New Roman"/>
                <w:lang w:eastAsia="es-ES"/>
              </w:rPr>
              <w:t xml:space="preserve"> a </w:t>
            </w:r>
            <w:proofErr w:type="spellStart"/>
            <w:r w:rsidRPr="003E7B41">
              <w:rPr>
                <w:rFonts w:ascii="Book Antiqua" w:eastAsia="Times New Roman" w:hAnsi="Book Antiqua" w:cs="Times New Roman"/>
                <w:lang w:eastAsia="es-ES"/>
              </w:rPr>
              <w:t>memory</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blackout</w:t>
            </w:r>
            <w:proofErr w:type="spellEnd"/>
            <w:r w:rsidRPr="003E7B41">
              <w:rPr>
                <w:rFonts w:ascii="Book Antiqua" w:eastAsia="Times New Roman" w:hAnsi="Book Antiqua" w:cs="Times New Roman"/>
                <w:lang w:eastAsia="es-ES"/>
              </w:rPr>
              <w:t>?</w:t>
            </w:r>
          </w:p>
          <w:p w:rsidR="00D04DBF" w:rsidRPr="00752273" w:rsidRDefault="00D04DBF" w:rsidP="00DD123D">
            <w:pPr>
              <w:numPr>
                <w:ilvl w:val="0"/>
                <w:numId w:val="1"/>
              </w:numPr>
              <w:spacing w:before="100" w:beforeAutospacing="1" w:after="100" w:afterAutospacing="1" w:line="360" w:lineRule="auto"/>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Had to drink much more than you once did to get the effect you want? Or found that your usual number of drinks had much less effect than before?</w:t>
            </w:r>
          </w:p>
          <w:p w:rsidR="00D04DBF" w:rsidRPr="003E7B41" w:rsidRDefault="00D04DBF" w:rsidP="00DD123D">
            <w:pPr>
              <w:numPr>
                <w:ilvl w:val="0"/>
                <w:numId w:val="1"/>
              </w:numPr>
              <w:spacing w:before="100" w:beforeAutospacing="1" w:after="100" w:afterAutospacing="1" w:line="360" w:lineRule="auto"/>
              <w:rPr>
                <w:rFonts w:ascii="Book Antiqua" w:eastAsia="Times New Roman" w:hAnsi="Book Antiqua" w:cs="Times New Roman"/>
                <w:lang w:eastAsia="es-ES"/>
              </w:rPr>
            </w:pPr>
            <w:r w:rsidRPr="00752273">
              <w:rPr>
                <w:rFonts w:ascii="Book Antiqua" w:eastAsia="Times New Roman" w:hAnsi="Book Antiqua" w:cs="Times New Roman"/>
                <w:lang w:val="en-US" w:eastAsia="es-ES"/>
              </w:rPr>
              <w:t xml:space="preserve">Found that when the effects of alcohol were wearing off, you had </w:t>
            </w:r>
            <w:r w:rsidRPr="00752273">
              <w:rPr>
                <w:rFonts w:ascii="Book Antiqua" w:eastAsia="Times New Roman" w:hAnsi="Book Antiqua" w:cs="Times New Roman"/>
                <w:lang w:val="en-US" w:eastAsia="es-ES"/>
              </w:rPr>
              <w:lastRenderedPageBreak/>
              <w:t xml:space="preserve">withdrawal symptoms, such as trouble sleeping, shakiness, irritability, anxiety, depression, restlessness, nausea, or sweating? </w:t>
            </w:r>
            <w:proofErr w:type="spellStart"/>
            <w:r w:rsidRPr="003E7B41">
              <w:rPr>
                <w:rFonts w:ascii="Book Antiqua" w:eastAsia="Times New Roman" w:hAnsi="Book Antiqua" w:cs="Times New Roman"/>
                <w:lang w:eastAsia="es-ES"/>
              </w:rPr>
              <w:t>Or</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sensed</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things</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that</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were</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not</w:t>
            </w:r>
            <w:proofErr w:type="spellEnd"/>
            <w:r w:rsidRPr="003E7B41">
              <w:rPr>
                <w:rFonts w:ascii="Book Antiqua" w:eastAsia="Times New Roman" w:hAnsi="Book Antiqua" w:cs="Times New Roman"/>
                <w:lang w:eastAsia="es-ES"/>
              </w:rPr>
              <w:t xml:space="preserve"> </w:t>
            </w:r>
            <w:proofErr w:type="spellStart"/>
            <w:r w:rsidRPr="003E7B41">
              <w:rPr>
                <w:rFonts w:ascii="Book Antiqua" w:eastAsia="Times New Roman" w:hAnsi="Book Antiqua" w:cs="Times New Roman"/>
                <w:lang w:eastAsia="es-ES"/>
              </w:rPr>
              <w:t>there</w:t>
            </w:r>
            <w:proofErr w:type="spellEnd"/>
            <w:r w:rsidRPr="003E7B41">
              <w:rPr>
                <w:rFonts w:ascii="Book Antiqua" w:eastAsia="Times New Roman" w:hAnsi="Book Antiqua" w:cs="Times New Roman"/>
                <w:lang w:eastAsia="es-ES"/>
              </w:rPr>
              <w:t>?</w:t>
            </w:r>
          </w:p>
        </w:tc>
      </w:tr>
      <w:tr w:rsidR="00D04DBF" w:rsidRPr="00C03CA4" w:rsidTr="00DD123D">
        <w:tc>
          <w:tcPr>
            <w:tcW w:w="8550" w:type="dxa"/>
          </w:tcPr>
          <w:p w:rsidR="00D04DBF" w:rsidRPr="003E7B41" w:rsidRDefault="00D04DBF" w:rsidP="00DD123D">
            <w:pPr>
              <w:widowControl w:val="0"/>
              <w:autoSpaceDE w:val="0"/>
              <w:autoSpaceDN w:val="0"/>
              <w:adjustRightInd w:val="0"/>
              <w:spacing w:line="360" w:lineRule="auto"/>
              <w:rPr>
                <w:rFonts w:ascii="Book Antiqua" w:eastAsia="Times New Roman" w:hAnsi="Book Antiqua" w:cs="Times New Roman"/>
                <w:i/>
              </w:rPr>
            </w:pPr>
            <w:proofErr w:type="spellStart"/>
            <w:r w:rsidRPr="003E7B41">
              <w:rPr>
                <w:rFonts w:ascii="Book Antiqua" w:eastAsia="Times New Roman" w:hAnsi="Book Antiqua" w:cs="Times New Roman"/>
                <w:i/>
              </w:rPr>
              <w:lastRenderedPageBreak/>
              <w:t>Risky</w:t>
            </w:r>
            <w:proofErr w:type="spellEnd"/>
            <w:r w:rsidRPr="003E7B41">
              <w:rPr>
                <w:rFonts w:ascii="Book Antiqua" w:eastAsia="Times New Roman" w:hAnsi="Book Antiqua" w:cs="Times New Roman"/>
                <w:i/>
              </w:rPr>
              <w:t xml:space="preserve"> alcohol use </w:t>
            </w:r>
            <w:r w:rsidRPr="003E7B41">
              <w:rPr>
                <w:rFonts w:ascii="Book Antiqua" w:eastAsia="Times New Roman" w:hAnsi="Book Antiqua" w:cs="Times New Roman"/>
                <w:i/>
              </w:rPr>
              <w:fldChar w:fldCharType="begin" w:fldLock="1"/>
            </w:r>
            <w:r w:rsidRPr="003E7B41">
              <w:rPr>
                <w:rFonts w:ascii="Book Antiqua" w:eastAsia="Times New Roman" w:hAnsi="Book Antiqua" w:cs="Times New Roman"/>
                <w:i/>
              </w:rPr>
              <w:instrText>ADDIN CSL_CITATION { "citationItems" : [ { "id" : "ITEM-1", "itemData" : { "author" : [ { "dropping-particle" : "", "family" : "National Institute on Alcohol Abuse and Alcoholism", "given" : "", "non-dropping-particle" : "", "parse-names" : false, "suffix" : "" } ], "edition" : "2007", "id" : "ITEM-1", "issued" : { "date-parts" : [ [ "2007" ] ] }, "publisher-place" : "Bethesda, MD", "title" : "Helping patients who drink too much: a clinician's guide", "type" : "book" }, "uris" : [ "http://www.mendeley.com/documents/?uuid=5bb89556-df5c-4578-9ed3-0a4298ad8024" ] } ], "mendeley" : { "formattedCitation" : "&lt;sup&gt;178&lt;/sup&gt;", "plainTextFormattedCitation" : "178", "previouslyFormattedCitation" : "&lt;sup&gt;178&lt;/sup&gt;" }, "properties" : { "noteIndex" : 0 }, "schema" : "https://github.com/citation-style-language/schema/raw/master/csl-citation.json" }</w:instrText>
            </w:r>
            <w:r w:rsidRPr="003E7B41">
              <w:rPr>
                <w:rFonts w:ascii="Book Antiqua" w:eastAsia="Times New Roman" w:hAnsi="Book Antiqua" w:cs="Times New Roman"/>
                <w:i/>
              </w:rPr>
              <w:fldChar w:fldCharType="separate"/>
            </w:r>
            <w:r w:rsidRPr="003E7B41">
              <w:rPr>
                <w:rFonts w:ascii="Book Antiqua" w:eastAsia="Times New Roman" w:hAnsi="Book Antiqua" w:cs="Times New Roman"/>
                <w:noProof/>
                <w:vertAlign w:val="superscript"/>
              </w:rPr>
              <w:t>178</w:t>
            </w:r>
            <w:r w:rsidRPr="003E7B41">
              <w:rPr>
                <w:rFonts w:ascii="Book Antiqua" w:eastAsia="Times New Roman" w:hAnsi="Book Antiqua" w:cs="Times New Roman"/>
                <w:i/>
              </w:rPr>
              <w:fldChar w:fldCharType="end"/>
            </w:r>
            <w:r w:rsidRPr="003E7B41">
              <w:rPr>
                <w:rFonts w:ascii="Book Antiqua" w:eastAsia="Times New Roman" w:hAnsi="Book Antiqua" w:cs="Times New Roman"/>
                <w:i/>
              </w:rPr>
              <w:t xml:space="preserve"> </w:t>
            </w:r>
          </w:p>
          <w:p w:rsidR="00D04DBF" w:rsidRPr="003E7B41" w:rsidRDefault="00D04DBF" w:rsidP="00DD123D">
            <w:pPr>
              <w:widowControl w:val="0"/>
              <w:autoSpaceDE w:val="0"/>
              <w:autoSpaceDN w:val="0"/>
              <w:adjustRightInd w:val="0"/>
              <w:spacing w:line="360" w:lineRule="auto"/>
              <w:rPr>
                <w:rFonts w:ascii="Book Antiqua" w:eastAsia="Times New Roman" w:hAnsi="Book Antiqua" w:cs="Times New Roman"/>
                <w:i/>
              </w:rPr>
            </w:pPr>
          </w:p>
          <w:p w:rsidR="00D04DBF" w:rsidRPr="00752273" w:rsidRDefault="00D04DBF" w:rsidP="00DD123D">
            <w:pPr>
              <w:widowControl w:val="0"/>
              <w:autoSpaceDE w:val="0"/>
              <w:autoSpaceDN w:val="0"/>
              <w:adjustRightInd w:val="0"/>
              <w:spacing w:line="360" w:lineRule="auto"/>
              <w:rPr>
                <w:rFonts w:ascii="Book Antiqua" w:eastAsia="Times New Roman" w:hAnsi="Book Antiqua" w:cs="Times New Roman"/>
                <w:lang w:val="en-US"/>
              </w:rPr>
            </w:pPr>
            <w:r w:rsidRPr="00752273">
              <w:rPr>
                <w:rFonts w:ascii="Book Antiqua" w:eastAsia="Times New Roman" w:hAnsi="Book Antiqua" w:cs="Times New Roman"/>
                <w:lang w:val="en-US"/>
              </w:rPr>
              <w:t xml:space="preserve">Drinking more than the recommended amount by the </w:t>
            </w:r>
            <w:r w:rsidRPr="00752273">
              <w:rPr>
                <w:rFonts w:ascii="Book Antiqua" w:hAnsi="Book Antiqua"/>
                <w:lang w:val="en-US"/>
              </w:rPr>
              <w:t>National Institute on Alcohol Abuse and Alcoholism</w:t>
            </w:r>
          </w:p>
          <w:p w:rsidR="00D04DBF" w:rsidRPr="00752273" w:rsidRDefault="00D04DBF" w:rsidP="00DD123D">
            <w:pPr>
              <w:pStyle w:val="Prrafodelista"/>
              <w:widowControl w:val="0"/>
              <w:numPr>
                <w:ilvl w:val="0"/>
                <w:numId w:val="2"/>
              </w:numPr>
              <w:autoSpaceDE w:val="0"/>
              <w:autoSpaceDN w:val="0"/>
              <w:adjustRightInd w:val="0"/>
              <w:spacing w:line="360" w:lineRule="auto"/>
              <w:rPr>
                <w:rFonts w:ascii="Book Antiqua" w:eastAsia="Times New Roman" w:hAnsi="Book Antiqua" w:cs="Times New Roman"/>
                <w:lang w:val="en-US"/>
              </w:rPr>
            </w:pPr>
            <w:r w:rsidRPr="00752273">
              <w:rPr>
                <w:rFonts w:ascii="Book Antiqua" w:eastAsia="Times New Roman" w:hAnsi="Book Antiqua" w:cs="Times New Roman"/>
                <w:lang w:val="en-US"/>
              </w:rPr>
              <w:t xml:space="preserve">&gt;14 drinks per week of &gt;4 drinks on any day for men </w:t>
            </w:r>
          </w:p>
          <w:p w:rsidR="00D04DBF" w:rsidRPr="00752273" w:rsidRDefault="00D04DBF" w:rsidP="00DD123D">
            <w:pPr>
              <w:pStyle w:val="Prrafodelista"/>
              <w:widowControl w:val="0"/>
              <w:numPr>
                <w:ilvl w:val="0"/>
                <w:numId w:val="2"/>
              </w:numPr>
              <w:autoSpaceDE w:val="0"/>
              <w:autoSpaceDN w:val="0"/>
              <w:adjustRightInd w:val="0"/>
              <w:spacing w:line="360" w:lineRule="auto"/>
              <w:rPr>
                <w:rFonts w:ascii="Book Antiqua" w:hAnsi="Book Antiqua"/>
                <w:lang w:val="en-US"/>
              </w:rPr>
            </w:pPr>
            <w:r w:rsidRPr="00752273">
              <w:rPr>
                <w:rFonts w:ascii="Book Antiqua" w:eastAsia="Times New Roman" w:hAnsi="Book Antiqua" w:cs="Times New Roman"/>
                <w:lang w:val="en-US"/>
              </w:rPr>
              <w:t>&gt;7 drinks per week or &gt;3 drinks on any day for women or men &gt;65 years</w:t>
            </w:r>
          </w:p>
        </w:tc>
      </w:tr>
      <w:tr w:rsidR="00D04DBF" w:rsidRPr="00C03CA4" w:rsidTr="00DD123D">
        <w:tc>
          <w:tcPr>
            <w:tcW w:w="8550" w:type="dxa"/>
          </w:tcPr>
          <w:p w:rsidR="00D04DBF" w:rsidRPr="00752273" w:rsidRDefault="00D04DBF" w:rsidP="00DD123D">
            <w:pPr>
              <w:widowControl w:val="0"/>
              <w:autoSpaceDE w:val="0"/>
              <w:autoSpaceDN w:val="0"/>
              <w:adjustRightInd w:val="0"/>
              <w:spacing w:line="360" w:lineRule="auto"/>
              <w:rPr>
                <w:rFonts w:ascii="Book Antiqua" w:hAnsi="Book Antiqua"/>
                <w:i/>
                <w:lang w:val="en-US"/>
              </w:rPr>
            </w:pPr>
            <w:r w:rsidRPr="00752273">
              <w:rPr>
                <w:rFonts w:ascii="Book Antiqua" w:hAnsi="Book Antiqua"/>
                <w:i/>
                <w:lang w:val="en-US"/>
              </w:rPr>
              <w:t xml:space="preserve">Problem drinking </w:t>
            </w:r>
            <w:r w:rsidRPr="003E7B41">
              <w:rPr>
                <w:rFonts w:ascii="Book Antiqua" w:hAnsi="Book Antiqua"/>
                <w:i/>
              </w:rPr>
              <w:fldChar w:fldCharType="begin" w:fldLock="1"/>
            </w:r>
            <w:r w:rsidRPr="00752273">
              <w:rPr>
                <w:rFonts w:ascii="Book Antiqua" w:hAnsi="Book Antiqua"/>
                <w:i/>
                <w:lang w:val="en-US"/>
              </w:rPr>
              <w:instrText>ADDIN CSL_CITATION { "citationItems" : [ { "id" : "ITEM-1", "itemData" : { "DOI" : "10.1056/NEJMcp042262", "ISSN" : "1533-4406; 0028-4793", "author" : [ { "dropping-particle" : "", "family" : "Saitz", "given" : "R", "non-dropping-particle" : "", "parse-names" : false, "suffix" : "" } ], "container-title" : "The New England journal of medicine", "id" : "ITEM-1", "issue" : "6", "issued" : { "date-parts" : [ [ "2005", "2", "10" ] ] }, "note" : "LR: 20081121; GR: 04-3314093/PHS HHS/United States; GR: K30 HL04124/HL/NHLBI NIH HHS/United States; GR: P60 AA013759/AA/NIAAA NIH HHS/United States; GR: R-01 13216/PHS HHS/United States; GR: R-01 13304/PHS HHS/United States; GR: R-01 AA12617/AA/NIAAA NIH HHS/United States; GR: R-25 13822/PHS HHS/United States; JID: 0255562; 12794-10-4 (Benzodiazepines); CIN: N Engl J Med. 2005 May 19;352(20):2139-40; author reply 2139-40. PMID: 15901874; RF: 61; ppublish", "page" : "596-607", "publisher-place" : "Clinical Addiction Research and Education (CARE) Unit, Section of General Internal Medicine, Department of Medicine, Boston University School of Medicine and Boston Medical Center, Boston, MA 02118, USA. rsaitz@bu.edu", "title" : "Clinical practice. Unhealthy alcohol use", "type" : "article-journal", "volume" : "352" }, "uris" : [ "http://www.mendeley.com/documents/?uuid=69ed7b5c-e983-4d30-89ed-6ad3a66cb537" ] } ], "mendeley" : { "formattedCitation" : "&lt;sup&gt;1&lt;/sup&gt;", "plainTextFormattedCitation" : "1", "previouslyFormattedCitation" : "&lt;sup&gt;1&lt;/sup&gt;" }, "properties" : { "noteIndex" : 0 }, "schema" : "https://github.com/citation-style-language/schema/raw/master/csl-citation.json" }</w:instrText>
            </w:r>
            <w:r w:rsidRPr="003E7B41">
              <w:rPr>
                <w:rFonts w:ascii="Book Antiqua" w:hAnsi="Book Antiqua"/>
                <w:i/>
              </w:rPr>
              <w:fldChar w:fldCharType="separate"/>
            </w:r>
            <w:r w:rsidRPr="00752273">
              <w:rPr>
                <w:rFonts w:ascii="Book Antiqua" w:hAnsi="Book Antiqua"/>
                <w:noProof/>
                <w:vertAlign w:val="superscript"/>
                <w:lang w:val="en-US"/>
              </w:rPr>
              <w:t>1</w:t>
            </w:r>
            <w:r w:rsidRPr="003E7B41">
              <w:rPr>
                <w:rFonts w:ascii="Book Antiqua" w:hAnsi="Book Antiqua"/>
                <w:i/>
              </w:rPr>
              <w:fldChar w:fldCharType="end"/>
            </w:r>
          </w:p>
          <w:p w:rsidR="00D04DBF" w:rsidRPr="00752273" w:rsidRDefault="00D04DBF" w:rsidP="00DD123D">
            <w:pPr>
              <w:widowControl w:val="0"/>
              <w:autoSpaceDE w:val="0"/>
              <w:autoSpaceDN w:val="0"/>
              <w:adjustRightInd w:val="0"/>
              <w:spacing w:line="360" w:lineRule="auto"/>
              <w:rPr>
                <w:rFonts w:ascii="Book Antiqua" w:hAnsi="Book Antiqua"/>
                <w:i/>
                <w:lang w:val="en-US"/>
              </w:rPr>
            </w:pPr>
          </w:p>
          <w:p w:rsidR="00D04DBF" w:rsidRPr="00752273" w:rsidRDefault="00D04DBF" w:rsidP="00DD123D">
            <w:pPr>
              <w:widowControl w:val="0"/>
              <w:autoSpaceDE w:val="0"/>
              <w:autoSpaceDN w:val="0"/>
              <w:adjustRightInd w:val="0"/>
              <w:spacing w:line="360" w:lineRule="auto"/>
              <w:rPr>
                <w:rFonts w:ascii="Book Antiqua" w:eastAsia="Times New Roman" w:hAnsi="Book Antiqua" w:cs="Times New Roman"/>
                <w:i/>
                <w:lang w:val="en-US"/>
              </w:rPr>
            </w:pPr>
            <w:r w:rsidRPr="00752273">
              <w:rPr>
                <w:rFonts w:ascii="Book Antiqua" w:hAnsi="Book Antiqua"/>
                <w:lang w:val="en-US"/>
              </w:rPr>
              <w:t>Use of alcohol accompanied by alcohol-related consequences but not meeting criteria for AUD</w:t>
            </w:r>
          </w:p>
        </w:tc>
      </w:tr>
    </w:tbl>
    <w:p w:rsidR="00D04DBF" w:rsidRPr="00752273" w:rsidRDefault="00D04DBF" w:rsidP="00D04DBF">
      <w:pPr>
        <w:spacing w:line="360" w:lineRule="auto"/>
        <w:rPr>
          <w:rFonts w:ascii="Book Antiqua" w:hAnsi="Book Antiqua"/>
          <w:b/>
          <w:lang w:val="en-US"/>
        </w:rPr>
      </w:pPr>
      <w:r w:rsidRPr="00752273">
        <w:rPr>
          <w:rFonts w:ascii="Book Antiqua" w:hAnsi="Book Antiqua"/>
          <w:lang w:val="en-US"/>
        </w:rPr>
        <w:t>*</w:t>
      </w:r>
      <w:r w:rsidRPr="00752273">
        <w:rPr>
          <w:rFonts w:ascii="Book Antiqua" w:eastAsia="Times New Roman" w:hAnsi="Book Antiqua" w:cs="Times New Roman"/>
          <w:lang w:val="en-US" w:eastAsia="es-ES"/>
        </w:rPr>
        <w:t>Meeting any two of the 11 criteria during the same 12-month period is consistent with AUD. The severity of an AUD—mild, moderate, or severe—is based on the number of criteria met.</w:t>
      </w:r>
      <w:r w:rsidRPr="00752273">
        <w:rPr>
          <w:rFonts w:ascii="Book Antiqua" w:hAnsi="Book Antiqua"/>
          <w:b/>
          <w:lang w:val="en-US"/>
        </w:rPr>
        <w:br w:type="page"/>
      </w:r>
    </w:p>
    <w:p w:rsidR="00D04DBF" w:rsidRPr="00752273" w:rsidRDefault="00D04DBF" w:rsidP="00D04DBF">
      <w:pPr>
        <w:spacing w:line="360" w:lineRule="auto"/>
        <w:rPr>
          <w:rFonts w:ascii="Book Antiqua" w:hAnsi="Book Antiqua"/>
          <w:lang w:val="en-US"/>
        </w:rPr>
      </w:pPr>
      <w:proofErr w:type="gramStart"/>
      <w:r w:rsidRPr="00752273">
        <w:rPr>
          <w:rFonts w:ascii="Book Antiqua" w:hAnsi="Book Antiqua"/>
          <w:b/>
          <w:lang w:val="en-US"/>
        </w:rPr>
        <w:lastRenderedPageBreak/>
        <w:t>Table 2.</w:t>
      </w:r>
      <w:proofErr w:type="gramEnd"/>
      <w:r w:rsidRPr="00752273">
        <w:rPr>
          <w:rFonts w:ascii="Book Antiqua" w:hAnsi="Book Antiqua"/>
          <w:b/>
          <w:lang w:val="en-US"/>
        </w:rPr>
        <w:t xml:space="preserve"> </w:t>
      </w:r>
      <w:proofErr w:type="gramStart"/>
      <w:r w:rsidRPr="00752273">
        <w:rPr>
          <w:rFonts w:ascii="Book Antiqua" w:hAnsi="Book Antiqua"/>
          <w:lang w:val="en-US"/>
        </w:rPr>
        <w:t>Treatment interventions for unhealthy alcohol use and AUD.</w:t>
      </w:r>
      <w:proofErr w:type="gramEnd"/>
    </w:p>
    <w:p w:rsidR="00D04DBF" w:rsidRPr="00752273" w:rsidRDefault="00D04DBF" w:rsidP="00D04DBF">
      <w:pPr>
        <w:spacing w:line="360" w:lineRule="auto"/>
        <w:rPr>
          <w:rFonts w:ascii="Book Antiqua" w:hAnsi="Book Antiqua"/>
          <w:lang w:val="en-US"/>
        </w:rPr>
      </w:pPr>
    </w:p>
    <w:p w:rsidR="00D04DBF" w:rsidRPr="00752273" w:rsidRDefault="00D04DBF" w:rsidP="00D04DBF">
      <w:pPr>
        <w:spacing w:line="360" w:lineRule="auto"/>
        <w:rPr>
          <w:rFonts w:ascii="Book Antiqua" w:hAnsi="Book Antiqua"/>
          <w:lang w:val="en-US"/>
        </w:rPr>
      </w:pPr>
    </w:p>
    <w:p w:rsidR="00D04DBF" w:rsidRPr="003E7B41" w:rsidRDefault="00D04DBF" w:rsidP="00D04DBF">
      <w:pPr>
        <w:spacing w:line="360" w:lineRule="auto"/>
        <w:rPr>
          <w:rFonts w:ascii="Book Antiqua" w:hAnsi="Book Antiqua"/>
          <w:b/>
        </w:rPr>
      </w:pPr>
      <w:proofErr w:type="spellStart"/>
      <w:r w:rsidRPr="003E7B41">
        <w:rPr>
          <w:rFonts w:ascii="Book Antiqua" w:hAnsi="Book Antiqua"/>
          <w:b/>
        </w:rPr>
        <w:t>Condition</w:t>
      </w:r>
      <w:proofErr w:type="spellEnd"/>
      <w:r w:rsidRPr="003E7B41">
        <w:rPr>
          <w:rFonts w:ascii="Book Antiqua" w:hAnsi="Book Antiqua"/>
          <w:b/>
        </w:rPr>
        <w:t xml:space="preserve">                                                             </w:t>
      </w:r>
      <w:proofErr w:type="spellStart"/>
      <w:r w:rsidRPr="003E7B41">
        <w:rPr>
          <w:rFonts w:ascii="Book Antiqua" w:hAnsi="Book Antiqua"/>
          <w:b/>
        </w:rPr>
        <w:t>Intervention</w:t>
      </w:r>
      <w:proofErr w:type="spellEnd"/>
    </w:p>
    <w:tbl>
      <w:tblPr>
        <w:tblStyle w:val="Tablaconcuadrcula"/>
        <w:tblW w:w="0" w:type="auto"/>
        <w:tblLook w:val="04A0"/>
      </w:tblPr>
      <w:tblGrid>
        <w:gridCol w:w="4258"/>
        <w:gridCol w:w="4258"/>
      </w:tblGrid>
      <w:tr w:rsidR="00D04DBF" w:rsidRPr="003E7B41" w:rsidTr="00DD123D">
        <w:tc>
          <w:tcPr>
            <w:tcW w:w="4258" w:type="dxa"/>
          </w:tcPr>
          <w:p w:rsidR="00D04DBF" w:rsidRPr="003E7B41" w:rsidRDefault="00D04DBF" w:rsidP="00DD123D">
            <w:pPr>
              <w:spacing w:line="360" w:lineRule="auto"/>
              <w:rPr>
                <w:rFonts w:ascii="Book Antiqua" w:hAnsi="Book Antiqua"/>
              </w:rPr>
            </w:pPr>
            <w:proofErr w:type="spellStart"/>
            <w:r w:rsidRPr="003E7B41">
              <w:rPr>
                <w:rFonts w:ascii="Book Antiqua" w:hAnsi="Book Antiqua"/>
              </w:rPr>
              <w:t>Unhealthy</w:t>
            </w:r>
            <w:proofErr w:type="spellEnd"/>
            <w:r w:rsidRPr="003E7B41">
              <w:rPr>
                <w:rFonts w:ascii="Book Antiqua" w:hAnsi="Book Antiqua"/>
              </w:rPr>
              <w:t xml:space="preserve"> alcohol use</w:t>
            </w:r>
          </w:p>
        </w:tc>
        <w:tc>
          <w:tcPr>
            <w:tcW w:w="4258" w:type="dxa"/>
          </w:tcPr>
          <w:p w:rsidR="00D04DBF" w:rsidRPr="003E7B41" w:rsidRDefault="00D04DBF" w:rsidP="00DD123D">
            <w:pPr>
              <w:spacing w:line="360" w:lineRule="auto"/>
              <w:rPr>
                <w:rFonts w:ascii="Book Antiqua" w:hAnsi="Book Antiqua"/>
              </w:rPr>
            </w:pPr>
            <w:proofErr w:type="spellStart"/>
            <w:r w:rsidRPr="003E7B41">
              <w:rPr>
                <w:rFonts w:ascii="Book Antiqua" w:hAnsi="Book Antiqua"/>
              </w:rPr>
              <w:t>Brief</w:t>
            </w:r>
            <w:proofErr w:type="spellEnd"/>
            <w:r w:rsidRPr="003E7B41">
              <w:rPr>
                <w:rFonts w:ascii="Book Antiqua" w:hAnsi="Book Antiqua"/>
              </w:rPr>
              <w:t xml:space="preserve"> </w:t>
            </w:r>
            <w:proofErr w:type="spellStart"/>
            <w:r w:rsidRPr="003E7B41">
              <w:rPr>
                <w:rFonts w:ascii="Book Antiqua" w:hAnsi="Book Antiqua"/>
              </w:rPr>
              <w:t>intervention</w:t>
            </w:r>
            <w:proofErr w:type="spellEnd"/>
          </w:p>
          <w:p w:rsidR="00D04DBF" w:rsidRPr="003E7B41" w:rsidRDefault="00D04DBF" w:rsidP="00DD123D">
            <w:pPr>
              <w:spacing w:line="360" w:lineRule="auto"/>
              <w:rPr>
                <w:rFonts w:ascii="Book Antiqua" w:hAnsi="Book Antiqua"/>
                <w:b/>
              </w:rPr>
            </w:pPr>
            <w:proofErr w:type="spellStart"/>
            <w:r w:rsidRPr="003E7B41">
              <w:rPr>
                <w:rFonts w:ascii="Book Antiqua" w:hAnsi="Book Antiqua"/>
              </w:rPr>
              <w:t>Motivational</w:t>
            </w:r>
            <w:proofErr w:type="spellEnd"/>
            <w:r w:rsidRPr="003E7B41">
              <w:rPr>
                <w:rFonts w:ascii="Book Antiqua" w:hAnsi="Book Antiqua"/>
              </w:rPr>
              <w:t xml:space="preserve"> </w:t>
            </w:r>
            <w:proofErr w:type="spellStart"/>
            <w:r w:rsidRPr="003E7B41">
              <w:rPr>
                <w:rFonts w:ascii="Book Antiqua" w:hAnsi="Book Antiqua"/>
              </w:rPr>
              <w:t>interviewing</w:t>
            </w:r>
            <w:proofErr w:type="spellEnd"/>
          </w:p>
        </w:tc>
      </w:tr>
      <w:tr w:rsidR="00D04DBF" w:rsidRPr="003E7B41" w:rsidTr="00DD123D">
        <w:tc>
          <w:tcPr>
            <w:tcW w:w="4258" w:type="dxa"/>
            <w:vMerge w:val="restart"/>
          </w:tcPr>
          <w:p w:rsidR="00D04DBF" w:rsidRPr="003E7B41" w:rsidRDefault="00D04DBF" w:rsidP="00DD123D">
            <w:pPr>
              <w:spacing w:line="360" w:lineRule="auto"/>
              <w:rPr>
                <w:rFonts w:ascii="Book Antiqua" w:hAnsi="Book Antiqua"/>
              </w:rPr>
            </w:pPr>
            <w:r w:rsidRPr="003E7B41">
              <w:rPr>
                <w:rFonts w:ascii="Book Antiqua" w:hAnsi="Book Antiqua"/>
              </w:rPr>
              <w:t>AUD</w:t>
            </w:r>
          </w:p>
        </w:tc>
        <w:tc>
          <w:tcPr>
            <w:tcW w:w="4258" w:type="dxa"/>
          </w:tcPr>
          <w:p w:rsidR="00D04DBF" w:rsidRPr="003E7B41" w:rsidRDefault="00D04DBF" w:rsidP="00DD123D">
            <w:pPr>
              <w:spacing w:line="360" w:lineRule="auto"/>
              <w:rPr>
                <w:rFonts w:ascii="Book Antiqua" w:hAnsi="Book Antiqua"/>
              </w:rPr>
            </w:pPr>
            <w:r w:rsidRPr="003E7B41">
              <w:rPr>
                <w:rFonts w:ascii="Book Antiqua" w:hAnsi="Book Antiqua"/>
              </w:rPr>
              <w:t xml:space="preserve">Hospital </w:t>
            </w:r>
            <w:proofErr w:type="spellStart"/>
            <w:r w:rsidRPr="003E7B41">
              <w:rPr>
                <w:rFonts w:ascii="Book Antiqua" w:hAnsi="Book Antiqua"/>
              </w:rPr>
              <w:t>detoxification</w:t>
            </w:r>
            <w:proofErr w:type="spellEnd"/>
          </w:p>
        </w:tc>
      </w:tr>
      <w:tr w:rsidR="00D04DBF" w:rsidRPr="003E7B41" w:rsidTr="00DD123D">
        <w:tc>
          <w:tcPr>
            <w:tcW w:w="4258" w:type="dxa"/>
            <w:vMerge/>
          </w:tcPr>
          <w:p w:rsidR="00D04DBF" w:rsidRPr="003E7B41" w:rsidRDefault="00D04DBF" w:rsidP="00DD123D">
            <w:pPr>
              <w:spacing w:line="360" w:lineRule="auto"/>
              <w:rPr>
                <w:rFonts w:ascii="Book Antiqua" w:hAnsi="Book Antiqua"/>
                <w:b/>
              </w:rPr>
            </w:pPr>
          </w:p>
        </w:tc>
        <w:tc>
          <w:tcPr>
            <w:tcW w:w="4258" w:type="dxa"/>
          </w:tcPr>
          <w:p w:rsidR="00D04DBF" w:rsidRPr="003E7B41" w:rsidRDefault="00D04DBF" w:rsidP="00DD123D">
            <w:pPr>
              <w:spacing w:line="360" w:lineRule="auto"/>
              <w:rPr>
                <w:rFonts w:ascii="Book Antiqua" w:hAnsi="Book Antiqua"/>
              </w:rPr>
            </w:pPr>
            <w:r w:rsidRPr="003E7B41">
              <w:rPr>
                <w:rFonts w:ascii="Book Antiqua" w:hAnsi="Book Antiqua"/>
              </w:rPr>
              <w:t xml:space="preserve">Individual and </w:t>
            </w:r>
            <w:proofErr w:type="spellStart"/>
            <w:r w:rsidRPr="003E7B41">
              <w:rPr>
                <w:rFonts w:ascii="Book Antiqua" w:hAnsi="Book Antiqua"/>
              </w:rPr>
              <w:t>group</w:t>
            </w:r>
            <w:proofErr w:type="spellEnd"/>
            <w:r w:rsidRPr="003E7B41">
              <w:rPr>
                <w:rFonts w:ascii="Book Antiqua" w:hAnsi="Book Antiqua"/>
              </w:rPr>
              <w:t xml:space="preserve"> </w:t>
            </w:r>
            <w:proofErr w:type="spellStart"/>
            <w:r w:rsidRPr="003E7B41">
              <w:rPr>
                <w:rFonts w:ascii="Book Antiqua" w:hAnsi="Book Antiqua"/>
              </w:rPr>
              <w:t>therapy</w:t>
            </w:r>
            <w:proofErr w:type="spellEnd"/>
            <w:r w:rsidRPr="003E7B41">
              <w:rPr>
                <w:rFonts w:ascii="Book Antiqua" w:hAnsi="Book Antiqua"/>
              </w:rPr>
              <w:t xml:space="preserve"> </w:t>
            </w:r>
          </w:p>
        </w:tc>
      </w:tr>
      <w:tr w:rsidR="00D04DBF" w:rsidRPr="003E7B41" w:rsidTr="00DD123D">
        <w:tc>
          <w:tcPr>
            <w:tcW w:w="4258" w:type="dxa"/>
            <w:vMerge/>
          </w:tcPr>
          <w:p w:rsidR="00D04DBF" w:rsidRPr="003E7B41" w:rsidRDefault="00D04DBF" w:rsidP="00DD123D">
            <w:pPr>
              <w:spacing w:line="360" w:lineRule="auto"/>
              <w:rPr>
                <w:rFonts w:ascii="Book Antiqua" w:hAnsi="Book Antiqua"/>
                <w:b/>
              </w:rPr>
            </w:pPr>
          </w:p>
        </w:tc>
        <w:tc>
          <w:tcPr>
            <w:tcW w:w="4258" w:type="dxa"/>
          </w:tcPr>
          <w:p w:rsidR="00D04DBF" w:rsidRPr="00752273" w:rsidRDefault="00D04DBF" w:rsidP="00DD123D">
            <w:pPr>
              <w:spacing w:line="360" w:lineRule="auto"/>
              <w:rPr>
                <w:rFonts w:ascii="Book Antiqua" w:hAnsi="Book Antiqua"/>
                <w:i/>
                <w:lang w:val="en-US"/>
              </w:rPr>
            </w:pPr>
            <w:r w:rsidRPr="00752273">
              <w:rPr>
                <w:rFonts w:ascii="Book Antiqua" w:hAnsi="Book Antiqua"/>
                <w:i/>
                <w:lang w:val="en-US"/>
              </w:rPr>
              <w:t>Approved pharmacological treatments:</w:t>
            </w:r>
          </w:p>
          <w:p w:rsidR="00D04DBF" w:rsidRPr="00752273" w:rsidRDefault="00D04DBF" w:rsidP="00DD123D">
            <w:pPr>
              <w:spacing w:line="360" w:lineRule="auto"/>
              <w:rPr>
                <w:rFonts w:ascii="Book Antiqua" w:hAnsi="Book Antiqua"/>
                <w:lang w:val="en-US"/>
              </w:rPr>
            </w:pPr>
            <w:proofErr w:type="spellStart"/>
            <w:r w:rsidRPr="00752273">
              <w:rPr>
                <w:rFonts w:ascii="Book Antiqua" w:hAnsi="Book Antiqua"/>
                <w:lang w:val="en-US"/>
              </w:rPr>
              <w:t>Disulfiram</w:t>
            </w:r>
            <w:proofErr w:type="spellEnd"/>
          </w:p>
          <w:p w:rsidR="00D04DBF" w:rsidRPr="00752273" w:rsidRDefault="00D04DBF" w:rsidP="00DD123D">
            <w:pPr>
              <w:spacing w:line="360" w:lineRule="auto"/>
              <w:rPr>
                <w:rFonts w:ascii="Book Antiqua" w:eastAsia="Times New Roman" w:hAnsi="Book Antiqua" w:cs="Times New Roman"/>
                <w:lang w:val="en-US"/>
              </w:rPr>
            </w:pPr>
            <w:proofErr w:type="spellStart"/>
            <w:r w:rsidRPr="00752273">
              <w:rPr>
                <w:rFonts w:ascii="Book Antiqua" w:eastAsia="Times New Roman" w:hAnsi="Book Antiqua" w:cs="Times New Roman"/>
                <w:lang w:val="en-US"/>
              </w:rPr>
              <w:t>Acamprosate</w:t>
            </w:r>
            <w:proofErr w:type="spellEnd"/>
          </w:p>
          <w:p w:rsidR="00D04DBF" w:rsidRPr="00752273" w:rsidRDefault="00D04DBF" w:rsidP="00DD123D">
            <w:pPr>
              <w:spacing w:line="360" w:lineRule="auto"/>
              <w:rPr>
                <w:rFonts w:ascii="Book Antiqua" w:eastAsia="Times New Roman" w:hAnsi="Book Antiqua" w:cs="Times New Roman"/>
                <w:lang w:val="en-US"/>
              </w:rPr>
            </w:pPr>
            <w:proofErr w:type="spellStart"/>
            <w:r w:rsidRPr="00752273">
              <w:rPr>
                <w:rFonts w:ascii="Book Antiqua" w:eastAsia="Times New Roman" w:hAnsi="Book Antiqua" w:cs="Times New Roman"/>
                <w:lang w:val="en-US"/>
              </w:rPr>
              <w:t>Naltrexone</w:t>
            </w:r>
            <w:proofErr w:type="spellEnd"/>
            <w:r w:rsidRPr="00752273">
              <w:rPr>
                <w:rFonts w:ascii="Book Antiqua" w:eastAsia="Times New Roman" w:hAnsi="Book Antiqua" w:cs="Times New Roman"/>
                <w:lang w:val="en-US"/>
              </w:rPr>
              <w:t xml:space="preserve"> </w:t>
            </w:r>
          </w:p>
          <w:p w:rsidR="00D04DBF" w:rsidRPr="003E7B41" w:rsidRDefault="00D04DBF" w:rsidP="00DD123D">
            <w:pPr>
              <w:spacing w:line="360" w:lineRule="auto"/>
              <w:rPr>
                <w:rFonts w:ascii="Book Antiqua" w:hAnsi="Book Antiqua"/>
                <w:b/>
              </w:rPr>
            </w:pPr>
            <w:proofErr w:type="spellStart"/>
            <w:r w:rsidRPr="003E7B41">
              <w:rPr>
                <w:rFonts w:ascii="Book Antiqua" w:eastAsia="Times New Roman" w:hAnsi="Book Antiqua" w:cs="Times New Roman"/>
              </w:rPr>
              <w:t>Nalmefene</w:t>
            </w:r>
            <w:proofErr w:type="spellEnd"/>
          </w:p>
        </w:tc>
      </w:tr>
      <w:tr w:rsidR="00D04DBF" w:rsidRPr="00C03CA4" w:rsidTr="00DD123D">
        <w:tc>
          <w:tcPr>
            <w:tcW w:w="4258" w:type="dxa"/>
            <w:vMerge/>
          </w:tcPr>
          <w:p w:rsidR="00D04DBF" w:rsidRPr="003E7B41" w:rsidRDefault="00D04DBF" w:rsidP="00DD123D">
            <w:pPr>
              <w:spacing w:line="360" w:lineRule="auto"/>
              <w:rPr>
                <w:rFonts w:ascii="Book Antiqua" w:hAnsi="Book Antiqua"/>
                <w:b/>
              </w:rPr>
            </w:pPr>
          </w:p>
        </w:tc>
        <w:tc>
          <w:tcPr>
            <w:tcW w:w="4258" w:type="dxa"/>
          </w:tcPr>
          <w:p w:rsidR="00D04DBF" w:rsidRPr="00752273" w:rsidRDefault="00D04DBF" w:rsidP="00DD123D">
            <w:pPr>
              <w:spacing w:line="360" w:lineRule="auto"/>
              <w:rPr>
                <w:rFonts w:ascii="Book Antiqua" w:hAnsi="Book Antiqua"/>
                <w:i/>
                <w:lang w:val="en-US"/>
              </w:rPr>
            </w:pPr>
            <w:r w:rsidRPr="00752273">
              <w:rPr>
                <w:rFonts w:ascii="Book Antiqua" w:hAnsi="Book Antiqua"/>
                <w:i/>
                <w:lang w:val="en-US"/>
              </w:rPr>
              <w:t>Investigational treatments:</w:t>
            </w:r>
          </w:p>
          <w:p w:rsidR="00D04DBF" w:rsidRPr="00752273" w:rsidRDefault="00D04DBF" w:rsidP="00DD123D">
            <w:pPr>
              <w:spacing w:line="360" w:lineRule="auto"/>
              <w:rPr>
                <w:rFonts w:ascii="Book Antiqua" w:hAnsi="Book Antiqua"/>
                <w:lang w:val="en-US"/>
              </w:rPr>
            </w:pPr>
            <w:proofErr w:type="spellStart"/>
            <w:r w:rsidRPr="00752273">
              <w:rPr>
                <w:rFonts w:ascii="Book Antiqua" w:hAnsi="Book Antiqua"/>
                <w:lang w:val="en-US"/>
              </w:rPr>
              <w:t>Baclofene</w:t>
            </w:r>
            <w:proofErr w:type="spellEnd"/>
          </w:p>
          <w:p w:rsidR="00D04DBF" w:rsidRPr="00752273" w:rsidRDefault="00D04DBF" w:rsidP="00DD123D">
            <w:pPr>
              <w:spacing w:line="360" w:lineRule="auto"/>
              <w:rPr>
                <w:rFonts w:ascii="Book Antiqua" w:hAnsi="Book Antiqua"/>
                <w:lang w:val="en-US"/>
              </w:rPr>
            </w:pPr>
            <w:proofErr w:type="spellStart"/>
            <w:r w:rsidRPr="00752273">
              <w:rPr>
                <w:rFonts w:ascii="Book Antiqua" w:hAnsi="Book Antiqua"/>
                <w:lang w:val="en-US"/>
              </w:rPr>
              <w:t>Topiramate</w:t>
            </w:r>
            <w:proofErr w:type="spellEnd"/>
          </w:p>
          <w:p w:rsidR="00D04DBF" w:rsidRPr="00752273" w:rsidRDefault="00D04DBF" w:rsidP="00DD123D">
            <w:pPr>
              <w:spacing w:line="360" w:lineRule="auto"/>
              <w:rPr>
                <w:rFonts w:ascii="Book Antiqua" w:hAnsi="Book Antiqua"/>
                <w:lang w:val="en-US"/>
              </w:rPr>
            </w:pPr>
            <w:proofErr w:type="spellStart"/>
            <w:r w:rsidRPr="00752273">
              <w:rPr>
                <w:rFonts w:ascii="Book Antiqua" w:hAnsi="Book Antiqua"/>
                <w:lang w:val="en-US"/>
              </w:rPr>
              <w:t>Gabapentin</w:t>
            </w:r>
            <w:proofErr w:type="spellEnd"/>
          </w:p>
        </w:tc>
      </w:tr>
    </w:tbl>
    <w:p w:rsidR="00D04DBF" w:rsidRPr="00752273" w:rsidRDefault="00D04DBF" w:rsidP="00D04DBF">
      <w:pPr>
        <w:spacing w:line="360" w:lineRule="auto"/>
        <w:rPr>
          <w:rFonts w:ascii="Book Antiqua" w:hAnsi="Book Antiqua"/>
          <w:b/>
          <w:lang w:val="en-US"/>
        </w:rPr>
      </w:pPr>
      <w:r w:rsidRPr="00752273">
        <w:rPr>
          <w:rFonts w:ascii="Book Antiqua" w:hAnsi="Book Antiqua"/>
          <w:b/>
          <w:lang w:val="en-US"/>
        </w:rPr>
        <w:br w:type="page"/>
      </w:r>
    </w:p>
    <w:p w:rsidR="00D04DBF" w:rsidRPr="00752273" w:rsidRDefault="00D04DBF" w:rsidP="00D04DBF">
      <w:pPr>
        <w:spacing w:line="360" w:lineRule="auto"/>
        <w:rPr>
          <w:rFonts w:ascii="Book Antiqua" w:hAnsi="Book Antiqua"/>
          <w:b/>
          <w:highlight w:val="darkGray"/>
          <w:lang w:val="en-US"/>
        </w:rPr>
        <w:sectPr w:rsidR="00D04DBF" w:rsidRPr="00752273" w:rsidSect="00781A6C">
          <w:pgSz w:w="11900" w:h="16840"/>
          <w:pgMar w:top="1440" w:right="1800" w:bottom="1440" w:left="1800" w:header="708" w:footer="708" w:gutter="0"/>
          <w:cols w:space="708"/>
          <w:docGrid w:linePitch="360"/>
        </w:sectPr>
      </w:pPr>
    </w:p>
    <w:p w:rsidR="00D04DBF" w:rsidRPr="00752273" w:rsidRDefault="00D04DBF" w:rsidP="00D04DBF">
      <w:pPr>
        <w:spacing w:line="360" w:lineRule="auto"/>
        <w:rPr>
          <w:rFonts w:ascii="Book Antiqua" w:hAnsi="Book Antiqua"/>
          <w:lang w:val="en-US"/>
        </w:rPr>
      </w:pPr>
      <w:proofErr w:type="gramStart"/>
      <w:r w:rsidRPr="00752273">
        <w:rPr>
          <w:rFonts w:ascii="Book Antiqua" w:hAnsi="Book Antiqua"/>
          <w:b/>
          <w:lang w:val="en-US"/>
        </w:rPr>
        <w:lastRenderedPageBreak/>
        <w:t>Table 3.</w:t>
      </w:r>
      <w:proofErr w:type="gramEnd"/>
      <w:r w:rsidRPr="00752273">
        <w:rPr>
          <w:rFonts w:ascii="Book Antiqua" w:hAnsi="Book Antiqua"/>
          <w:b/>
          <w:lang w:val="en-US"/>
        </w:rPr>
        <w:t xml:space="preserve">  </w:t>
      </w:r>
      <w:proofErr w:type="gramStart"/>
      <w:r w:rsidRPr="00752273">
        <w:rPr>
          <w:rFonts w:ascii="Book Antiqua" w:hAnsi="Book Antiqua"/>
          <w:lang w:val="en-US"/>
        </w:rPr>
        <w:t>Non-invasive methods for analyzing liver fibrosis in patients with AUD, HCV infection and HCV-HIV co-infection.</w:t>
      </w:r>
      <w:proofErr w:type="gramEnd"/>
    </w:p>
    <w:p w:rsidR="00D04DBF" w:rsidRPr="00752273" w:rsidRDefault="00D04DBF" w:rsidP="00D04DBF">
      <w:pPr>
        <w:spacing w:line="360" w:lineRule="auto"/>
        <w:rPr>
          <w:rFonts w:ascii="Book Antiqua" w:hAnsi="Book Antiqua"/>
          <w:b/>
          <w:lang w:val="en-US"/>
        </w:rPr>
      </w:pPr>
    </w:p>
    <w:tbl>
      <w:tblPr>
        <w:tblStyle w:val="Tablaconcuadrcula"/>
        <w:tblW w:w="0" w:type="auto"/>
        <w:tblLook w:val="04A0"/>
      </w:tblPr>
      <w:tblGrid>
        <w:gridCol w:w="3190"/>
        <w:gridCol w:w="2186"/>
        <w:gridCol w:w="1291"/>
        <w:gridCol w:w="2230"/>
        <w:gridCol w:w="5279"/>
      </w:tblGrid>
      <w:tr w:rsidR="00D04DBF" w:rsidRPr="003E7B41" w:rsidTr="00DD123D">
        <w:tc>
          <w:tcPr>
            <w:tcW w:w="3190" w:type="dxa"/>
          </w:tcPr>
          <w:p w:rsidR="00D04DBF" w:rsidRPr="003E7B41" w:rsidRDefault="00D04DBF" w:rsidP="00DD123D">
            <w:pPr>
              <w:spacing w:line="360" w:lineRule="auto"/>
              <w:rPr>
                <w:rFonts w:ascii="Book Antiqua" w:hAnsi="Book Antiqua"/>
              </w:rPr>
            </w:pPr>
            <w:proofErr w:type="spellStart"/>
            <w:r w:rsidRPr="003E7B41">
              <w:rPr>
                <w:rFonts w:ascii="Book Antiqua" w:hAnsi="Book Antiqua"/>
              </w:rPr>
              <w:t>Author</w:t>
            </w:r>
            <w:proofErr w:type="spellEnd"/>
            <w:r w:rsidRPr="003E7B41">
              <w:rPr>
                <w:rFonts w:ascii="Book Antiqua" w:hAnsi="Book Antiqua"/>
              </w:rPr>
              <w:t xml:space="preserve">, </w:t>
            </w:r>
            <w:proofErr w:type="spellStart"/>
            <w:r w:rsidRPr="003E7B41">
              <w:rPr>
                <w:rFonts w:ascii="Book Antiqua" w:hAnsi="Book Antiqua"/>
              </w:rPr>
              <w:t>year</w:t>
            </w:r>
            <w:proofErr w:type="spellEnd"/>
          </w:p>
        </w:tc>
        <w:tc>
          <w:tcPr>
            <w:tcW w:w="2186" w:type="dxa"/>
          </w:tcPr>
          <w:p w:rsidR="00D04DBF" w:rsidRPr="003E7B41" w:rsidRDefault="00D04DBF" w:rsidP="00DD123D">
            <w:pPr>
              <w:spacing w:line="360" w:lineRule="auto"/>
              <w:rPr>
                <w:rFonts w:ascii="Book Antiqua" w:hAnsi="Book Antiqua"/>
              </w:rPr>
            </w:pPr>
            <w:proofErr w:type="spellStart"/>
            <w:r w:rsidRPr="003E7B41">
              <w:rPr>
                <w:rFonts w:ascii="Book Antiqua" w:hAnsi="Book Antiqua"/>
              </w:rPr>
              <w:t>Setting</w:t>
            </w:r>
            <w:proofErr w:type="spellEnd"/>
          </w:p>
        </w:tc>
        <w:tc>
          <w:tcPr>
            <w:tcW w:w="1291" w:type="dxa"/>
          </w:tcPr>
          <w:p w:rsidR="00D04DBF" w:rsidRPr="003E7B41" w:rsidRDefault="00D04DBF" w:rsidP="00DD123D">
            <w:pPr>
              <w:spacing w:line="360" w:lineRule="auto"/>
              <w:rPr>
                <w:rFonts w:ascii="Book Antiqua" w:hAnsi="Book Antiqua"/>
              </w:rPr>
            </w:pPr>
            <w:r w:rsidRPr="003E7B41">
              <w:rPr>
                <w:rFonts w:ascii="Book Antiqua" w:hAnsi="Book Antiqua"/>
              </w:rPr>
              <w:t>Non-</w:t>
            </w:r>
            <w:proofErr w:type="spellStart"/>
            <w:r w:rsidRPr="003E7B41">
              <w:rPr>
                <w:rFonts w:ascii="Book Antiqua" w:hAnsi="Book Antiqua"/>
              </w:rPr>
              <w:t>invasive</w:t>
            </w:r>
            <w:proofErr w:type="spellEnd"/>
            <w:r w:rsidRPr="003E7B41">
              <w:rPr>
                <w:rFonts w:ascii="Book Antiqua" w:hAnsi="Book Antiqua"/>
              </w:rPr>
              <w:t xml:space="preserve"> </w:t>
            </w:r>
            <w:proofErr w:type="spellStart"/>
            <w:r w:rsidRPr="003E7B41">
              <w:rPr>
                <w:rFonts w:ascii="Book Antiqua" w:hAnsi="Book Antiqua"/>
              </w:rPr>
              <w:t>method</w:t>
            </w:r>
            <w:proofErr w:type="spellEnd"/>
          </w:p>
        </w:tc>
        <w:tc>
          <w:tcPr>
            <w:tcW w:w="2230"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Method for detecting alcohol consumption</w:t>
            </w:r>
          </w:p>
        </w:tc>
        <w:tc>
          <w:tcPr>
            <w:tcW w:w="5279" w:type="dxa"/>
          </w:tcPr>
          <w:p w:rsidR="00D04DBF" w:rsidRPr="003E7B41" w:rsidRDefault="00D04DBF" w:rsidP="00DD123D">
            <w:pPr>
              <w:spacing w:line="360" w:lineRule="auto"/>
              <w:rPr>
                <w:rFonts w:ascii="Book Antiqua" w:hAnsi="Book Antiqua"/>
              </w:rPr>
            </w:pPr>
            <w:proofErr w:type="spellStart"/>
            <w:r w:rsidRPr="003E7B41">
              <w:rPr>
                <w:rFonts w:ascii="Book Antiqua" w:hAnsi="Book Antiqua"/>
              </w:rPr>
              <w:t>Finding</w:t>
            </w:r>
            <w:proofErr w:type="spellEnd"/>
          </w:p>
        </w:tc>
      </w:tr>
      <w:tr w:rsidR="00D04DBF" w:rsidRPr="003E7B41" w:rsidTr="00DD123D">
        <w:tc>
          <w:tcPr>
            <w:tcW w:w="3190" w:type="dxa"/>
          </w:tcPr>
          <w:p w:rsidR="00D04DBF" w:rsidRPr="003E7B41" w:rsidRDefault="00D04DBF" w:rsidP="00DD123D">
            <w:pPr>
              <w:spacing w:line="360" w:lineRule="auto"/>
              <w:rPr>
                <w:rFonts w:ascii="Book Antiqua" w:hAnsi="Book Antiqua"/>
              </w:rPr>
            </w:pPr>
            <w:proofErr w:type="spellStart"/>
            <w:r w:rsidRPr="003E7B41">
              <w:rPr>
                <w:rFonts w:ascii="Book Antiqua" w:hAnsi="Book Antiqua"/>
              </w:rPr>
              <w:t>Lieber</w:t>
            </w:r>
            <w:proofErr w:type="spellEnd"/>
            <w:r w:rsidRPr="003E7B41">
              <w:rPr>
                <w:rFonts w:ascii="Book Antiqua" w:hAnsi="Book Antiqua"/>
              </w:rPr>
              <w:t xml:space="preserve">  CS et al., 2006 </w:t>
            </w:r>
            <w:r w:rsidRPr="003E7B41">
              <w:rPr>
                <w:rFonts w:ascii="Book Antiqua" w:hAnsi="Book Antiqua"/>
              </w:rPr>
              <w:fldChar w:fldCharType="begin" w:fldLock="1"/>
            </w:r>
            <w:r>
              <w:rPr>
                <w:rFonts w:ascii="Book Antiqua" w:hAnsi="Book Antiqua"/>
              </w:rPr>
              <w:instrText>ADDIN CSL_CITATION { "citationItems" : [ { "id" : "ITEM-1", "itemData" : { "DOI" : "10.1111/j.1572-0241.2006.00610.x", "ISSN" : "0002-9270; 0002-9270", "abstract" : "OBJECTIVE: Aspartate aminotransferase (AST) to platelet ratio index (APRI) has been proposed as an easily determined and accurate noninvasive marker of liver fibrosis in chronic hepatitis C. To validate APRI in hepatitis C and to determine its usefulness in other liver diseases, we evaluated APRI in patients with liver fibrosis due to excessive alcohol consumption with or without viral hepatitis C. METHODS: A total of 1,308 subjects from two VA cooperative studies of alcoholic liver disease were evaluated. Liver biopsy was available from 781 noncirrhotic patients while a history of decompensation was present in 527. Alcohol intake was determined by self-report. Hepatitis C was confirmed by PCR. RESULTS: Ninety-eight percent were men with a mean age of 51.5 yr. Alcohol intake averaged 19 drinks/day for 20.6 yr. One hundred thirty-three (10.2%) were hepatitis C positive. In the HCV-positive subgroup, APRI had a sensitivity of 35.6% and a specificity of 29.7% for significant fibrosis. Of 64 patients classified as significant fibrosis, 21 (32.8%) were incorrectly classified. In the 507 HCV negative patients with biopsy confirmed fibrosis, the sensitivity of APRI for significant fibrosis was 13.2% and the specificity was 77.6%. Twenty percent were classified incorrectly. CONCLUSION: APRI has low sensitivity and specificity for the diagnosis of significant fibrosis in patients with alcoholic liver disease, including patients who have hepatitis C. Given the frequent history of alcohol use in patients with hepatitis C, APRI may be of limited usefulness in the diagnosis of fibrosis in many patients.", "author" : [ { "dropping-particle" : "", "family" : "Lieber", "given" : "C S", "non-dropping-particle" : "", "parse-names" : false, "suffix" : "" }, { "dropping-particle" : "", "family" : "Weiss", "given" : "D G", "non-dropping-particle" : "", "parse-names" : false, "suffix" : "" }, { "dropping-particle" : "", "family" : "Morgan", "given" : "T R", "non-dropping-particle" : "", "parse-names" : false, "suffix" : "" }, { "dropping-particle" : "", "family" : "Paronetto", "given" : "F", "non-dropping-particle" : "", "parse-names" : false, "suffix" : "" } ], "container-title" : "The American Journal of Gastroenterology", "id" : "ITEM-1", "issue" : "7", "issued" : { "date-parts" : [ [ "2006", "7" ] ] }, "note" : "LR: 20071114; GR: AA014326/AA/NIAAA NIH HHS/United States; JID: 0421030; EC 2.6.1.1 (Aspartate Aminotransferases); ppublish", "page" : "1500-1508", "publisher-place" : "James J. Peters Veterans Affairs Medical Center, Alcohol Research and Treatment Center, Liver Diseases and Nutrition Section, Bronx, New York 10468, USA.", "title" : "Aspartate aminotransferase to platelet ratio index in patients with alcoholic liver fibrosis", "type" : "article-journal", "volume" : "101" }, "uris" : [ "http://www.mendeley.com/documents/?uuid=a92adb61-139d-469f-b64a-3fb280486412" ] } ], "mendeley" : { "formattedCitation" : "&lt;sup&gt;69&lt;/sup&gt;", "plainTextFormattedCitation" : "69", "previouslyFormattedCitation" : "&lt;sup&gt;69&lt;/sup&gt;" }, "properties" : { "noteIndex" : 0 }, "schema" : "https://github.com/citation-style-language/schema/raw/master/csl-citation.json" }</w:instrText>
            </w:r>
            <w:r w:rsidRPr="003E7B41">
              <w:rPr>
                <w:rFonts w:ascii="Book Antiqua" w:hAnsi="Book Antiqua"/>
              </w:rPr>
              <w:fldChar w:fldCharType="separate"/>
            </w:r>
            <w:r w:rsidRPr="003E7B41">
              <w:rPr>
                <w:rFonts w:ascii="Book Antiqua" w:hAnsi="Book Antiqua"/>
                <w:noProof/>
                <w:vertAlign w:val="superscript"/>
              </w:rPr>
              <w:t>69</w:t>
            </w:r>
            <w:r w:rsidRPr="003E7B41">
              <w:rPr>
                <w:rFonts w:ascii="Book Antiqua" w:hAnsi="Book Antiqua"/>
              </w:rPr>
              <w:fldChar w:fldCharType="end"/>
            </w:r>
          </w:p>
        </w:tc>
        <w:tc>
          <w:tcPr>
            <w:tcW w:w="2186" w:type="dxa"/>
          </w:tcPr>
          <w:p w:rsidR="00D04DBF" w:rsidRPr="003E7B41" w:rsidRDefault="00D04DBF" w:rsidP="00DD123D">
            <w:pPr>
              <w:spacing w:line="360" w:lineRule="auto"/>
              <w:rPr>
                <w:rFonts w:ascii="Book Antiqua" w:hAnsi="Book Antiqua"/>
              </w:rPr>
            </w:pPr>
            <w:r w:rsidRPr="003E7B41">
              <w:rPr>
                <w:rFonts w:ascii="Book Antiqua" w:hAnsi="Book Antiqua"/>
              </w:rPr>
              <w:t>VA</w:t>
            </w:r>
            <w:r w:rsidRPr="003E7B41">
              <w:rPr>
                <w:rFonts w:ascii="Book Antiqua" w:hAnsi="Book Antiqua" w:cs="Arial"/>
              </w:rPr>
              <w:t xml:space="preserve"> </w:t>
            </w:r>
            <w:proofErr w:type="spellStart"/>
            <w:r w:rsidRPr="003E7B41">
              <w:rPr>
                <w:rFonts w:ascii="Book Antiqua" w:hAnsi="Book Antiqua" w:cs="Arial"/>
              </w:rPr>
              <w:t>studies</w:t>
            </w:r>
            <w:proofErr w:type="spellEnd"/>
            <w:r w:rsidRPr="003E7B41">
              <w:rPr>
                <w:rFonts w:ascii="Book Antiqua" w:hAnsi="Book Antiqua" w:cs="Arial"/>
              </w:rPr>
              <w:t xml:space="preserve"> (2) of </w:t>
            </w:r>
            <w:proofErr w:type="spellStart"/>
            <w:r w:rsidRPr="003E7B41">
              <w:rPr>
                <w:rFonts w:ascii="Book Antiqua" w:hAnsi="Book Antiqua" w:cs="Arial"/>
              </w:rPr>
              <w:t>alcoholic</w:t>
            </w:r>
            <w:proofErr w:type="spellEnd"/>
            <w:r w:rsidRPr="003E7B41">
              <w:rPr>
                <w:rFonts w:ascii="Book Antiqua" w:hAnsi="Book Antiqua" w:cs="Arial"/>
              </w:rPr>
              <w:t xml:space="preserve"> </w:t>
            </w:r>
            <w:proofErr w:type="spellStart"/>
            <w:r w:rsidRPr="003E7B41">
              <w:rPr>
                <w:rFonts w:ascii="Book Antiqua" w:hAnsi="Book Antiqua" w:cs="Arial"/>
              </w:rPr>
              <w:t>liver</w:t>
            </w:r>
            <w:proofErr w:type="spellEnd"/>
            <w:r w:rsidRPr="003E7B41">
              <w:rPr>
                <w:rFonts w:ascii="Book Antiqua" w:hAnsi="Book Antiqua" w:cs="Arial"/>
              </w:rPr>
              <w:t xml:space="preserve"> </w:t>
            </w:r>
            <w:proofErr w:type="spellStart"/>
            <w:r w:rsidRPr="003E7B41">
              <w:rPr>
                <w:rFonts w:ascii="Book Antiqua" w:hAnsi="Book Antiqua" w:cs="Arial"/>
              </w:rPr>
              <w:t>disease</w:t>
            </w:r>
            <w:proofErr w:type="spellEnd"/>
          </w:p>
        </w:tc>
        <w:tc>
          <w:tcPr>
            <w:tcW w:w="1291" w:type="dxa"/>
          </w:tcPr>
          <w:p w:rsidR="00D04DBF" w:rsidRPr="003E7B41" w:rsidRDefault="00D04DBF" w:rsidP="00DD123D">
            <w:pPr>
              <w:spacing w:line="360" w:lineRule="auto"/>
              <w:rPr>
                <w:rFonts w:ascii="Book Antiqua" w:hAnsi="Book Antiqua"/>
              </w:rPr>
            </w:pPr>
            <w:r w:rsidRPr="003E7B41">
              <w:rPr>
                <w:rFonts w:ascii="Book Antiqua" w:hAnsi="Book Antiqua"/>
              </w:rPr>
              <w:t>APRI*</w:t>
            </w:r>
          </w:p>
        </w:tc>
        <w:tc>
          <w:tcPr>
            <w:tcW w:w="2230" w:type="dxa"/>
          </w:tcPr>
          <w:p w:rsidR="00D04DBF" w:rsidRPr="003E7B41" w:rsidRDefault="00D04DBF" w:rsidP="00DD123D">
            <w:pPr>
              <w:spacing w:line="360" w:lineRule="auto"/>
              <w:rPr>
                <w:rFonts w:ascii="Book Antiqua" w:hAnsi="Book Antiqua"/>
              </w:rPr>
            </w:pPr>
            <w:proofErr w:type="spellStart"/>
            <w:r w:rsidRPr="003E7B41">
              <w:rPr>
                <w:rFonts w:ascii="Book Antiqua" w:hAnsi="Book Antiqua"/>
              </w:rPr>
              <w:t>Average</w:t>
            </w:r>
            <w:proofErr w:type="spellEnd"/>
            <w:r w:rsidRPr="003E7B41">
              <w:rPr>
                <w:rFonts w:ascii="Book Antiqua" w:hAnsi="Book Antiqua"/>
              </w:rPr>
              <w:t xml:space="preserve"> alcohol </w:t>
            </w:r>
            <w:proofErr w:type="spellStart"/>
            <w:r w:rsidRPr="003E7B41">
              <w:rPr>
                <w:rFonts w:ascii="Book Antiqua" w:hAnsi="Book Antiqua"/>
              </w:rPr>
              <w:t>intake</w:t>
            </w:r>
            <w:proofErr w:type="spellEnd"/>
          </w:p>
        </w:tc>
        <w:tc>
          <w:tcPr>
            <w:tcW w:w="5279" w:type="dxa"/>
          </w:tcPr>
          <w:p w:rsidR="00D04DBF" w:rsidRPr="003E7B41" w:rsidRDefault="00D04DBF" w:rsidP="00DD123D">
            <w:pPr>
              <w:spacing w:line="360" w:lineRule="auto"/>
              <w:rPr>
                <w:rFonts w:ascii="Book Antiqua" w:hAnsi="Book Antiqua"/>
              </w:rPr>
            </w:pPr>
            <w:proofErr w:type="spellStart"/>
            <w:r w:rsidRPr="003E7B41">
              <w:rPr>
                <w:rFonts w:ascii="Book Antiqua" w:hAnsi="Book Antiqua" w:cs="Arial"/>
              </w:rPr>
              <w:t>Low</w:t>
            </w:r>
            <w:proofErr w:type="spellEnd"/>
            <w:r w:rsidRPr="003E7B41">
              <w:rPr>
                <w:rFonts w:ascii="Book Antiqua" w:hAnsi="Book Antiqua" w:cs="Arial"/>
              </w:rPr>
              <w:t xml:space="preserve"> </w:t>
            </w:r>
            <w:proofErr w:type="spellStart"/>
            <w:r w:rsidRPr="003E7B41">
              <w:rPr>
                <w:rFonts w:ascii="Book Antiqua" w:hAnsi="Book Antiqua" w:cs="Arial"/>
              </w:rPr>
              <w:t>sensitivity</w:t>
            </w:r>
            <w:proofErr w:type="spellEnd"/>
            <w:r w:rsidRPr="003E7B41">
              <w:rPr>
                <w:rFonts w:ascii="Book Antiqua" w:hAnsi="Book Antiqua" w:cs="Arial"/>
              </w:rPr>
              <w:t xml:space="preserve"> and </w:t>
            </w:r>
            <w:proofErr w:type="spellStart"/>
            <w:r w:rsidRPr="003E7B41">
              <w:rPr>
                <w:rFonts w:ascii="Book Antiqua" w:hAnsi="Book Antiqua" w:cs="Arial"/>
              </w:rPr>
              <w:t>specificity</w:t>
            </w:r>
            <w:proofErr w:type="spellEnd"/>
            <w:r w:rsidRPr="003E7B41">
              <w:rPr>
                <w:rFonts w:ascii="Book Antiqua" w:hAnsi="Book Antiqua" w:cs="Arial"/>
              </w:rPr>
              <w:t xml:space="preserve"> of APRI in </w:t>
            </w:r>
            <w:proofErr w:type="spellStart"/>
            <w:r w:rsidRPr="003E7B41">
              <w:rPr>
                <w:rFonts w:ascii="Book Antiqua" w:hAnsi="Book Antiqua" w:cs="Arial"/>
              </w:rPr>
              <w:t>comparison</w:t>
            </w:r>
            <w:proofErr w:type="spellEnd"/>
            <w:r w:rsidRPr="003E7B41">
              <w:rPr>
                <w:rFonts w:ascii="Book Antiqua" w:hAnsi="Book Antiqua" w:cs="Arial"/>
              </w:rPr>
              <w:t xml:space="preserve"> </w:t>
            </w:r>
            <w:proofErr w:type="spellStart"/>
            <w:r w:rsidRPr="003E7B41">
              <w:rPr>
                <w:rFonts w:ascii="Book Antiqua" w:hAnsi="Book Antiqua" w:cs="Arial"/>
              </w:rPr>
              <w:t>to</w:t>
            </w:r>
            <w:proofErr w:type="spellEnd"/>
            <w:r w:rsidRPr="003E7B41">
              <w:rPr>
                <w:rFonts w:ascii="Book Antiqua" w:hAnsi="Book Antiqua" w:cs="Arial"/>
              </w:rPr>
              <w:t xml:space="preserve"> </w:t>
            </w:r>
            <w:proofErr w:type="spellStart"/>
            <w:r w:rsidRPr="003E7B41">
              <w:rPr>
                <w:rFonts w:ascii="Book Antiqua" w:hAnsi="Book Antiqua" w:cs="Arial"/>
              </w:rPr>
              <w:t>liver</w:t>
            </w:r>
            <w:proofErr w:type="spellEnd"/>
            <w:r w:rsidRPr="003E7B41">
              <w:rPr>
                <w:rFonts w:ascii="Book Antiqua" w:hAnsi="Book Antiqua" w:cs="Arial"/>
              </w:rPr>
              <w:t xml:space="preserve"> </w:t>
            </w:r>
            <w:proofErr w:type="spellStart"/>
            <w:r w:rsidRPr="003E7B41">
              <w:rPr>
                <w:rFonts w:ascii="Book Antiqua" w:hAnsi="Book Antiqua" w:cs="Arial"/>
              </w:rPr>
              <w:t>biopsy</w:t>
            </w:r>
            <w:proofErr w:type="spellEnd"/>
            <w:r w:rsidRPr="003E7B41">
              <w:rPr>
                <w:rFonts w:ascii="Book Antiqua" w:hAnsi="Book Antiqua" w:cs="Arial"/>
              </w:rPr>
              <w:t xml:space="preserve">, </w:t>
            </w:r>
            <w:proofErr w:type="spellStart"/>
            <w:r w:rsidRPr="003E7B41">
              <w:rPr>
                <w:rFonts w:ascii="Book Antiqua" w:hAnsi="Book Antiqua" w:cs="Arial"/>
              </w:rPr>
              <w:t>especially</w:t>
            </w:r>
            <w:proofErr w:type="spellEnd"/>
            <w:r w:rsidRPr="003E7B41">
              <w:rPr>
                <w:rFonts w:ascii="Book Antiqua" w:hAnsi="Book Antiqua" w:cs="Arial"/>
              </w:rPr>
              <w:t xml:space="preserve"> in </w:t>
            </w:r>
            <w:proofErr w:type="spellStart"/>
            <w:r w:rsidRPr="003E7B41">
              <w:rPr>
                <w:rFonts w:ascii="Book Antiqua" w:hAnsi="Book Antiqua" w:cs="Arial"/>
              </w:rPr>
              <w:t>subjects</w:t>
            </w:r>
            <w:proofErr w:type="spellEnd"/>
            <w:r w:rsidRPr="003E7B41">
              <w:rPr>
                <w:rFonts w:ascii="Book Antiqua" w:hAnsi="Book Antiqua" w:cs="Arial"/>
              </w:rPr>
              <w:t xml:space="preserve"> </w:t>
            </w:r>
            <w:proofErr w:type="spellStart"/>
            <w:r w:rsidRPr="003E7B41">
              <w:rPr>
                <w:rFonts w:ascii="Book Antiqua" w:hAnsi="Book Antiqua" w:cs="Arial"/>
              </w:rPr>
              <w:t>with</w:t>
            </w:r>
            <w:proofErr w:type="spellEnd"/>
            <w:r w:rsidRPr="003E7B41">
              <w:rPr>
                <w:rFonts w:ascii="Book Antiqua" w:hAnsi="Book Antiqua" w:cs="Arial"/>
              </w:rPr>
              <w:t xml:space="preserve"> HCV.</w:t>
            </w:r>
          </w:p>
        </w:tc>
      </w:tr>
      <w:tr w:rsidR="00D04DBF" w:rsidRPr="00C03CA4" w:rsidTr="00DD123D">
        <w:tc>
          <w:tcPr>
            <w:tcW w:w="3190" w:type="dxa"/>
          </w:tcPr>
          <w:p w:rsidR="00D04DBF" w:rsidRPr="00752273" w:rsidRDefault="00D04DBF" w:rsidP="00DD123D">
            <w:pPr>
              <w:spacing w:line="360" w:lineRule="auto"/>
              <w:rPr>
                <w:rFonts w:ascii="Book Antiqua" w:hAnsi="Book Antiqua"/>
                <w:lang w:val="en-US"/>
              </w:rPr>
            </w:pPr>
            <w:proofErr w:type="spellStart"/>
            <w:r w:rsidRPr="003E7B41">
              <w:rPr>
                <w:rFonts w:ascii="Book Antiqua" w:hAnsi="Book Antiqua"/>
              </w:rPr>
              <w:t>Chaudhry</w:t>
            </w:r>
            <w:proofErr w:type="spellEnd"/>
            <w:r w:rsidRPr="003E7B41">
              <w:rPr>
                <w:rFonts w:ascii="Book Antiqua" w:hAnsi="Book Antiqua"/>
              </w:rPr>
              <w:t xml:space="preserve"> AA et al., 2009 </w:t>
            </w:r>
            <w:r w:rsidRPr="003E7B41">
              <w:rPr>
                <w:rFonts w:ascii="Book Antiqua" w:hAnsi="Book Antiqua"/>
              </w:rPr>
              <w:fldChar w:fldCharType="begin" w:fldLock="1"/>
            </w:r>
            <w:r w:rsidRPr="003E7B41">
              <w:rPr>
                <w:rFonts w:ascii="Book Antiqua" w:hAnsi="Book Antiqua"/>
              </w:rPr>
              <w:instrText>ADDIN CSL_CITATION { "citationItems" : [ { "id" : "ITEM-1", "itemData" : { "DOI" : "10.1111/j.1468-1293.2008.00662.x", "ISSN" : "1468-1293; 1464-2662", "abstract" : "OBJECTIVES: The aim of the study was to determine the relationship between alcohol consumption and liver fibrosis as assessed by aspartate aminotransferase to platelet ratio index (APRI) in HIV-infected adults and to explore the relative contributions of alcohol and hepatitis C virus (HCV) to APRI among HIV/HCV-coinfected adults. METHODS: We performed a cross-sectional analysis of data from an observational clinical cohort. Alcohol consumption was categorized according to National Institute on Alcohol Abuse and Alcoholism guidelines. We defined significant liver disease as APRI&gt;1.5, and used multinomial logistic regression to identify correlates of increased APRI. RESULTS: Among 1358 participants, 10.4% reported hazardous drinking. It was found that 11.6% had APRI&gt;1.5, indicating liver fibrosis. Hazardous drinking was associated with increased APRI [adjusted relative risk ratio (RRR) 2.30; 95% confidence interval (CI) 1.26-4.17]. Other factors associated with increased APRI were male gender, viral hepatitis, and HIV transmission category of injecting drug use. Among coinfected individuals, 18.3% had APRI&gt;1.5, and hazardous drinking was not associated with APRI. Among non-HCV-infected individuals, 5.3% had APRI&gt;1.5 and hazardous drinking was associated with increased APRI (adjusted RRR 3.72; 95% CI 1.40-9.87). CONCLUSIONS: Hazardous drinking is an important modifiable risk factor for liver fibrosis, particularly among non-HCV-infected patients. Clinicians and researchers must address alcohol use as the burden of liver disease increases among HIV-positive individuals.", "author" : [ { "dropping-particle" : "", "family" : "Chaudhry", "given" : "A A", "non-dropping-particle" : "", "parse-names" : false, "suffix" : "" }, { "dropping-particle" : "", "family" : "Sulkowski", "given" : "M S", "non-dropping-particle" : "", "parse-names" : false, "suffix" : "" }, { "dropping-particle" : "", "family" : "Chander", "given" : "G", "non-dropping-particle" : "", "parse-names" : false, "suffix" : "" }, { "dropping-particle" : "", "family" : "Moore", "given" : "R D", "non-dropping-particle" : "", "parse-names" : false, "suffix" : "" } ], "container-title" : "HIV medicine", "id" : "ITEM-1", "issue" : "3", "issue</w:instrText>
            </w:r>
            <w:r w:rsidRPr="00752273">
              <w:rPr>
                <w:rFonts w:ascii="Book Antiqua" w:hAnsi="Book Antiqua"/>
                <w:lang w:val="en-US"/>
              </w:rPr>
              <w:instrText>d" : { "date-parts" : [ [ "2009", "3" ] ] }, "note" : "LR: 20110613; GR: K23 AA015313/AA/NIAAA NIH HHS/United States; GR: K24 DA000432-09/DA/NIDA NIH HHS/United States; GR: R01 AA016893-01A2/AA/NIAAA NIH HHS/United States; GR: R01 AA016893-04/AA/NIAAA NIH HHS/United States; GR: R01 DA011602-10/DA/NIDA NIH HHS/United States; GR: R01 DA011602-11A2/DA/NIDA NIH HHS/United States; GR: R01 DA11602/DA/NIDA NIH HHS/United States; GR: R01 DA16065/DA/NIDA NIH HHS/United States; GR: R21 AA015032-02/AA/NIAAA NIH HHS/United States; JID: 100897392; 0 (Biological Markers); EC 2.6.1.1 (Aspartate Aminotransferases); CIN: HIV Med. 2009 Sep;10(8):524; author reply 524-5. PMID: 19689715; NIHMS67637; OID: NLM: NIHMS67637; OID: NLM: PMC2654191; 2008/12/20 [aheadofprint]; ppublish", "page" : "133-142", "publisher-place" : "Department of Medicine, Johns Hopkins University School of Medicine, Baltimore, MD, USA. amina.chaudhry@jhu.edu", "title" : "Hazardous drinking is associated with an elevated aspartate aminotransferase to platelet ratio index in an urban HIV-infected clinical cohort", "type" : "article-journal", "volume" : "10" }, "uris" : [ "http://www.mendeley.com/documents/?uuid=c287c5ee-8b9e-469c-a112-4a7450f0174c" ] } ], "mendeley" : { "formattedCitation" : "&lt;sup&gt;169&lt;/sup&gt;", "plainTextFormattedCitation" : "169", "previouslyFormattedCitation" : "&lt;sup&gt;169&lt;/sup&gt;" }, "properties" : { "noteIndex" : 0 }, "schema" : "https://github.com/citation-style-language/schema/raw/master/csl-citation.json" }</w:instrText>
            </w:r>
            <w:r w:rsidRPr="003E7B41">
              <w:rPr>
                <w:rFonts w:ascii="Book Antiqua" w:hAnsi="Book Antiqua"/>
              </w:rPr>
              <w:fldChar w:fldCharType="separate"/>
            </w:r>
            <w:r w:rsidRPr="00752273">
              <w:rPr>
                <w:rFonts w:ascii="Book Antiqua" w:hAnsi="Book Antiqua"/>
                <w:noProof/>
                <w:vertAlign w:val="superscript"/>
                <w:lang w:val="en-US"/>
              </w:rPr>
              <w:t>169</w:t>
            </w:r>
            <w:r w:rsidRPr="003E7B41">
              <w:rPr>
                <w:rFonts w:ascii="Book Antiqua" w:hAnsi="Book Antiqua"/>
              </w:rPr>
              <w:fldChar w:fldCharType="end"/>
            </w:r>
          </w:p>
        </w:tc>
        <w:tc>
          <w:tcPr>
            <w:tcW w:w="2186"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HIV Hopkins clinical cohort</w:t>
            </w:r>
          </w:p>
        </w:tc>
        <w:tc>
          <w:tcPr>
            <w:tcW w:w="1291"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APRI</w:t>
            </w:r>
          </w:p>
        </w:tc>
        <w:tc>
          <w:tcPr>
            <w:tcW w:w="2230"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Past 6-months hazardous drinking</w:t>
            </w:r>
          </w:p>
        </w:tc>
        <w:tc>
          <w:tcPr>
            <w:tcW w:w="5279"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No effect of alcohol on APRI values in HCV/HIV co-infection</w:t>
            </w:r>
          </w:p>
        </w:tc>
      </w:tr>
      <w:tr w:rsidR="00D04DBF" w:rsidRPr="00C03CA4" w:rsidTr="00DD123D">
        <w:tc>
          <w:tcPr>
            <w:tcW w:w="3190" w:type="dxa"/>
          </w:tcPr>
          <w:p w:rsidR="00D04DBF" w:rsidRPr="00752273" w:rsidRDefault="00D04DBF" w:rsidP="00DD123D">
            <w:pPr>
              <w:spacing w:line="360" w:lineRule="auto"/>
              <w:rPr>
                <w:rFonts w:ascii="Book Antiqua" w:hAnsi="Book Antiqua"/>
                <w:lang w:val="en-US"/>
              </w:rPr>
            </w:pPr>
            <w:proofErr w:type="spellStart"/>
            <w:r w:rsidRPr="00752273">
              <w:rPr>
                <w:rFonts w:ascii="Book Antiqua" w:hAnsi="Book Antiqua"/>
                <w:lang w:val="en-US"/>
              </w:rPr>
              <w:t>Blackard</w:t>
            </w:r>
            <w:proofErr w:type="spellEnd"/>
            <w:r w:rsidRPr="00752273">
              <w:rPr>
                <w:rFonts w:ascii="Book Antiqua" w:hAnsi="Book Antiqua"/>
                <w:lang w:val="en-US"/>
              </w:rPr>
              <w:t xml:space="preserve"> GT et al., 2011 </w:t>
            </w:r>
            <w:r w:rsidRPr="003E7B41">
              <w:rPr>
                <w:rFonts w:ascii="Book Antiqua" w:hAnsi="Book Antiqua"/>
              </w:rPr>
              <w:fldChar w:fldCharType="begin" w:fldLock="1"/>
            </w:r>
            <w:r w:rsidRPr="00752273">
              <w:rPr>
                <w:rFonts w:ascii="Book Antiqua" w:hAnsi="Book Antiqua"/>
                <w:lang w:val="en-US"/>
              </w:rPr>
              <w:instrText>ADDIN CSL_CITATION { "citationItems" : [ { "id" : "ITEM-1", "itemData" : { "DOI" : "10.1093/cid/ciq199", "ISSN" : "1537-6591; 1058-4838", "abstract" : "BACKGROUND: FIB-4 represents a noninvasive, composite index that is a validated measure of hepatic fibrosis, which is an important indicator of liver disease. To date, there are limited data regarding hepatic fibrosis in women. METHODS: FIB-4 was evaluated in a cohort of 1227 women, and associations were evaluated in univariate and multivariate regression models among 4 groups of subjects classified by their human immunodeficiency virus (HIV) and hepatitis C virus (HCV) infection status. RESULTS: The median FIB-4 scores were 0.60 in HIV-/HCV- women, 0.83 in HIV-/HCV+ women, 0.86 in HIV+/HCV- women, and 1.30 in HIV+/HCV+ women. In the HIV/HCV co-infected group, multivariate analysis showed that CD4(+) cell count and albumin level were negatively associated with FIB-4 (P &lt;.0001), whereas antiretroviral therapy (ART) was positively associated with FIB-4 score (P =.0008). For the HIV mono-infected group, multivariate analysis showed that CD4(+) cell count (P &lt;.0001) and albumin level (P =.0019) were negatively correlated with FIB-4 score, ART was positively associated with FIB-4 score (P =.0008), and plasma HIV RNA level was marginally associated with FIB-4 score (P =.080). I</w:instrText>
            </w:r>
            <w:r w:rsidRPr="003E7B41">
              <w:rPr>
                <w:rFonts w:ascii="Book Antiqua" w:hAnsi="Book Antiqua"/>
              </w:rPr>
              <w:instrText>n 72 HIV mono-infected women who were also hepatitis B surface antigen negative, ART naive, and reported no recent alcohol intake, plasma HIV RNA level was associated with increased FIB-4 score (P =.030). CONCLUSIONS: HIV RNA level was associated with increased FIB-4 score in the absence of hepatitis B, hepatitis C, ART, or alcohol use, suggesting a potential relationship between HIV infection and hepatic fibrosis in vivo. A better understanding of the various demographic and virologic variables that contribute to hepatic fibrosis may lead to more effective treatment of HIV infection and its co-morbid conditions.", "author" : [ { "dropping-particle" : "", "family" : "Blackard", "given" : "J T", "non-dropping-particle" : "", "parse-names" : false, "suffix" : "" }, { "dropping-particle" : "", "family" : "Welge", "given" : "J A", "non-dropping-particle" : "", "parse-names" : false, "suffix" : "" }, { "dropping-particle" : "", "family" : "Taylor", "given" : "L E", "non-dropping-particle" : "", "parse-names" : false, "suffix" : "" }, { "dropping-particle" : "", "family" : "Mayer", "given" : "K H", "non-dropping-particle" : "", "parse-names" : false, "suffix" : "" }, { "dropping-particle" : "", "family" : "Klein", "given" : "R S", "non-dropping-particle" : "", "parse-names" : false, "suffix" : "" }, { "dropping-particle" : "", "family" : "Celentano", "given" : "D D", "non-dropping-particle" : "", "parse-names" : false, "suffix" : "" }, { "dropping-particle" : "", "family" : "Jamieson", "given" : "D J", "non-dropping-particle" : "", "parse-names" : false, "suffix" : "" }, { "dropping</w:instrText>
            </w:r>
            <w:r w:rsidRPr="00752273">
              <w:rPr>
                <w:rFonts w:ascii="Book Antiqua" w:hAnsi="Book Antiqua"/>
                <w:lang w:val="en-US"/>
              </w:rPr>
              <w:instrText>-particle" : "", "family" : "Gardner", "given" : "L", "non-dropping-particle" : "", "parse-names" : false, "suffix" : "" }, { "dropping-particle" : "", "family" : "Sherman", "given" : "K E", "non-dropping-particle" : "", "parse-names" : false, "suffix" : "" } ], "container-title" : "Clinical infectious diseases : an official publication of the Infectious Diseases Society of America", "id" : "ITEM-1", "issue" : "5", "issued" : { "date-parts" : [ [ "2011", "3", "1" ] ] }, "note" : "LR: 20110926; GR: K23 DA020383-04/DA/NIDA NIH HHS/United States; GR: R21 AI081564/AI/NIAID NIH HHS/United States; GR: R21 AI081564-01A2/AI/NIAID NIH HHS/United States; JID: 9203213; 0 (Biological Markers); 0 (RNA, Viral); OID: NLM: PMC3106241 [Available on 03/01/12]; PMCR: 2012/03/01; 2011/01/19 [aheadofprint]; ppublish", "page" : "674-680", "publisher-place" : "Division of Digestive Disease, University of Cincinnati College of Medicine, Cincinnati, Ohio, USA. ason.blackard@uc.edu", "title" : "HIV mono-infection is associated with FIB-4 - A noninvasive index of liver fibrosis - in women", "type" : "article-journal", "volume" : "52" }, "uris" : [ "http://www.mendeley.com/documents/?uuid=fa827bf0-8d22-4b6d-a3d0-5104ef6ed035" ] } ], "mendeley" : { "formattedCitation" : "&lt;sup&gt;170&lt;/sup&gt;", "plainTextFormattedCitation" : "170", "previouslyFormattedCitation" : "&lt;sup&gt;170&lt;/sup&gt;" }, "properties" : { "noteIndex" : 0 }, "schema" : "https://github.com/citation-style-language/schema/raw/master/csl-citation.json" }</w:instrText>
            </w:r>
            <w:r w:rsidRPr="003E7B41">
              <w:rPr>
                <w:rFonts w:ascii="Book Antiqua" w:hAnsi="Book Antiqua"/>
              </w:rPr>
              <w:fldChar w:fldCharType="separate"/>
            </w:r>
            <w:r w:rsidRPr="00752273">
              <w:rPr>
                <w:rFonts w:ascii="Book Antiqua" w:hAnsi="Book Antiqua"/>
                <w:noProof/>
                <w:vertAlign w:val="superscript"/>
                <w:lang w:val="en-US"/>
              </w:rPr>
              <w:t>170</w:t>
            </w:r>
            <w:r w:rsidRPr="003E7B41">
              <w:rPr>
                <w:rFonts w:ascii="Book Antiqua" w:hAnsi="Book Antiqua"/>
              </w:rPr>
              <w:fldChar w:fldCharType="end"/>
            </w:r>
          </w:p>
        </w:tc>
        <w:tc>
          <w:tcPr>
            <w:tcW w:w="2186"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WIHS cohort</w:t>
            </w:r>
          </w:p>
        </w:tc>
        <w:tc>
          <w:tcPr>
            <w:tcW w:w="1291"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FIB-4**</w:t>
            </w:r>
          </w:p>
        </w:tc>
        <w:tc>
          <w:tcPr>
            <w:tcW w:w="2230"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Recent drinking</w:t>
            </w:r>
          </w:p>
        </w:tc>
        <w:tc>
          <w:tcPr>
            <w:tcW w:w="5279"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No association between alcohol intake and FIB-4 values in HCV/HIV co-infection,</w:t>
            </w:r>
          </w:p>
        </w:tc>
      </w:tr>
      <w:tr w:rsidR="00D04DBF" w:rsidRPr="00C03CA4" w:rsidTr="00DD123D">
        <w:tc>
          <w:tcPr>
            <w:tcW w:w="3190" w:type="dxa"/>
          </w:tcPr>
          <w:p w:rsidR="00D04DBF" w:rsidRPr="00752273" w:rsidRDefault="00D04DBF" w:rsidP="00DD123D">
            <w:pPr>
              <w:spacing w:line="360" w:lineRule="auto"/>
              <w:rPr>
                <w:rFonts w:ascii="Book Antiqua" w:hAnsi="Book Antiqua"/>
                <w:lang w:val="en-US"/>
              </w:rPr>
            </w:pPr>
            <w:proofErr w:type="spellStart"/>
            <w:r w:rsidRPr="00752273">
              <w:rPr>
                <w:rFonts w:ascii="Book Antiqua" w:hAnsi="Book Antiqua"/>
                <w:lang w:val="en-US"/>
              </w:rPr>
              <w:t>Muga</w:t>
            </w:r>
            <w:proofErr w:type="spellEnd"/>
            <w:r w:rsidRPr="00752273">
              <w:rPr>
                <w:rFonts w:ascii="Book Antiqua" w:hAnsi="Book Antiqua"/>
                <w:lang w:val="en-US"/>
              </w:rPr>
              <w:t xml:space="preserve"> R et al., 2012 </w:t>
            </w:r>
            <w:r w:rsidRPr="003E7B41">
              <w:rPr>
                <w:rFonts w:ascii="Book Antiqua" w:hAnsi="Book Antiqua"/>
              </w:rPr>
              <w:fldChar w:fldCharType="begin" w:fldLock="1"/>
            </w:r>
            <w:r w:rsidRPr="00752273">
              <w:rPr>
                <w:rFonts w:ascii="Book Antiqua" w:hAnsi="Book Antiqua"/>
                <w:lang w:val="en-US"/>
              </w:rPr>
              <w:instrText>ADDIN CSL_CITATION { "citationItems" : [ { "id" : "ITEM-1", "itemData" : { "DOI" : "10.1371/journal.pone.0046810; 10.1371/journal.pone.0046810", "ISSN" : "1932-6203; 1932-6203", "abstract" : "AIM: To analyze alcohol use, clinical data and laboratory parameters that may affect FIB-4, an index for measuring liver fibrosis, in HCV-monoinfected and HCV/HIV-coinfected drug users. PATIENTS AND METHODS: Patients admitted for substance abuse treatment between 1994 and 2006 were studied. Socio-demographic data, alcohol and drug use characteristics and clinical variables were obtained through hospital records. Blood samples for biochemistry, liver function tests, CD4 cell count, and serology of HIV and HCV infection were collected at admission. Multivariate linear regression was used to analyze the predictors of FIB-4 increase. RESULTS: A total of 472 (83% M, 17% F) patients were eligible. The median age at admission was 31 years (Interquartile range (IQR) 27-35 years), and the median duration of drug use was 10 years (IQR 5.5-15 years). Unhealthy drinking (&gt;50 grams/day) was reported in 32% of the patients. The FIB-4 scores were significantly greater in the HCV/HIV-coinfected patients (1.14, IQR 0.76-1.87) than in the HCV-monoinfected patients (0.75, IQR 0.56-1.11) (p&lt;0.001). In the multivariate analysis, unhealthy drinking (p = 0.034), lower t</w:instrText>
            </w:r>
            <w:r w:rsidRPr="003E7B41">
              <w:rPr>
                <w:rFonts w:ascii="Book Antiqua" w:hAnsi="Book Antiqua"/>
              </w:rPr>
              <w:instrText>otal cholesterol (p = 0.042), serum albumin (p&lt;0.001), higher GGT (p&lt;0.001) and a longer duration of addiction (p = 0.005) were independently associated with higher FIB-4 scores in the HCV-monoinfected drug users. The effect of unhealthy drinking on FIB-4 scores disappeared in the HCV/HIV-coinfected patients, whereas lower serum albumin (p&lt;0.001), a lower CD4 cell count (p = 0.006), higher total bilirubin (p&lt;0.001) and a longer drug addiction duration (p&lt;0.001) were significantly associated with higher FIB-4 values. CONCLUSIONS: Unhealthy alcohol use in the HCV-monoinfected patients and HIV-related immunodeficiency in the HCV/HIV-coinfected patients are important risk factors associated with liver fibrosis in the respective populations.", "author" : [ { "dropping-particle" : "", "family" : "Muga", "given" : "R", "non-dropping-particle" : "", "parse-names" : false, "suffix" : "" }, { "dropping-particle" : "", "family" : "Sanvisens", "given" : "A", "non-dropping-particle" : "", "parse-names" : false, "suffix" : "" }, { "dropping-particle" : "", "family" : "Fuster", "given" : "D", "non-dropping-particle" : "", "parse-names" : false, "suffix" : "" }, { "dro</w:instrText>
            </w:r>
            <w:r w:rsidRPr="00752273">
              <w:rPr>
                <w:rFonts w:ascii="Book Antiqua" w:hAnsi="Book Antiqua"/>
                <w:lang w:val="en-US"/>
              </w:rPr>
              <w:instrText>pping-particle" : "", "family" : "Tor", "given" : "J", "non-dropping-particle" : "", "parse-names" : false, "suffix" : "" }, { "dropping-particle" : "", "family" : "Martinez", "given" : "E", "non-dropping-particle" : "", "parse-names" : false, "suffix" : "" }, { "dropping-particle" : "", "family" : "Perez-Hoyos", "given" : "S", "non-dropping-particle" : "", "parse-names" : false, "suffix" : "" }, { "dropping-particle" : "", "family" : "Munoz", "given" : "A", "non-dropping-particle" : "", "parse-names" : false, "suffix" : "" } ], "container-title" : "PloS one", "id" : "ITEM-1", "issue" : "10", "issued" : { "date-parts" : [ [ "2012" ] ] }, "note" : "JID: 101285081; OID: NLM: PMC3467291; 2012/05/02 [received]; 2012/09/06 [accepted]; 2012/10/09 [epublish]; ppublish", "page" : "e46810", "publisher-place" : "Department of Internal Medicine, Hospital Universitari Germans Trias i Pujol, Universitat Autonoma Barcelona, Barcelona, Spain. rmuga.germanstrias@gencat.cat", "title" : "Unhealthy alcohol use, HIV infection and risk of liver fibrosis in drug users with hepatitis C", "type" : "article-journal", "volume" : "7" }, "uris" : [ "http://www.mendeley.com/documents/?uuid=90651005-3c68-4b56-8196-7903639ea9fb" ] } ], "mendeley" : { "formattedCitation" : "&lt;sup&gt;171&lt;/sup&gt;", "plainTextFormattedCitation" : "171", "previouslyFormattedCitation" : "&lt;sup&gt;171&lt;/sup&gt;" }, "properties" : { "noteIndex" : 0 }, "schema" : "https://github.com/citation-style-language/schema/raw/master/csl-citation.json" }</w:instrText>
            </w:r>
            <w:r w:rsidRPr="003E7B41">
              <w:rPr>
                <w:rFonts w:ascii="Book Antiqua" w:hAnsi="Book Antiqua"/>
              </w:rPr>
              <w:fldChar w:fldCharType="separate"/>
            </w:r>
            <w:r w:rsidRPr="00752273">
              <w:rPr>
                <w:rFonts w:ascii="Book Antiqua" w:hAnsi="Book Antiqua"/>
                <w:noProof/>
                <w:vertAlign w:val="superscript"/>
                <w:lang w:val="en-US"/>
              </w:rPr>
              <w:t>171</w:t>
            </w:r>
            <w:r w:rsidRPr="003E7B41">
              <w:rPr>
                <w:rFonts w:ascii="Book Antiqua" w:hAnsi="Book Antiqua"/>
              </w:rPr>
              <w:fldChar w:fldCharType="end"/>
            </w:r>
          </w:p>
        </w:tc>
        <w:tc>
          <w:tcPr>
            <w:tcW w:w="2186"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 xml:space="preserve">AUD patients admitted for detoxification </w:t>
            </w:r>
          </w:p>
        </w:tc>
        <w:tc>
          <w:tcPr>
            <w:tcW w:w="1291"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FIB-4</w:t>
            </w:r>
          </w:p>
        </w:tc>
        <w:tc>
          <w:tcPr>
            <w:tcW w:w="2230"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Past 6-months unhealthy drinking</w:t>
            </w:r>
          </w:p>
        </w:tc>
        <w:tc>
          <w:tcPr>
            <w:tcW w:w="5279"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No association between FIB-4 and alcohol use in HCV/HIV co-infection.</w:t>
            </w:r>
          </w:p>
        </w:tc>
      </w:tr>
      <w:tr w:rsidR="00D04DBF" w:rsidRPr="00C03CA4" w:rsidTr="00DD123D">
        <w:tc>
          <w:tcPr>
            <w:tcW w:w="3190" w:type="dxa"/>
          </w:tcPr>
          <w:p w:rsidR="00D04DBF" w:rsidRPr="003E7B41" w:rsidRDefault="00D04DBF" w:rsidP="00DD123D">
            <w:pPr>
              <w:spacing w:line="360" w:lineRule="auto"/>
              <w:rPr>
                <w:rFonts w:ascii="Book Antiqua" w:hAnsi="Book Antiqua"/>
              </w:rPr>
            </w:pPr>
            <w:proofErr w:type="spellStart"/>
            <w:r w:rsidRPr="00752273">
              <w:rPr>
                <w:rFonts w:ascii="Book Antiqua" w:hAnsi="Book Antiqua"/>
                <w:lang w:val="en-US"/>
              </w:rPr>
              <w:t>Fuster</w:t>
            </w:r>
            <w:proofErr w:type="spellEnd"/>
            <w:r w:rsidRPr="00752273">
              <w:rPr>
                <w:rFonts w:ascii="Book Antiqua" w:hAnsi="Book Antiqua"/>
                <w:lang w:val="en-US"/>
              </w:rPr>
              <w:t xml:space="preserve"> D et al., 2013 </w:t>
            </w:r>
            <w:r w:rsidRPr="003E7B41">
              <w:rPr>
                <w:rFonts w:ascii="Book Antiqua" w:hAnsi="Book Antiqua"/>
              </w:rPr>
              <w:fldChar w:fldCharType="begin" w:fldLock="1"/>
            </w:r>
            <w:r w:rsidRPr="00752273">
              <w:rPr>
                <w:rFonts w:ascii="Book Antiqua" w:hAnsi="Book Antiqua"/>
                <w:lang w:val="en-US"/>
              </w:rPr>
              <w:instrText>ADDIN CSL_CITATION { "citationItems" : [ { "id" : "ITEM-1", "itemData" : { "author" : [ { "dropping-particle" : "", "family" : "Fuster", "given" : "D", "non-dropping-particle" : "", "parse-names" : false, "suffix" : "" }, { "dropping-particle" : "", "family" : "Tsui", "given" : "J I", "non-dropping-particle" : "", "parse-names" : false, "suffix" : "" }, { "dropping-particle" : "", "family" : "Cheng", "given" : "D M", "non-dropping-particle" : "", "parse-names" : false, "suffix" : "" }, { "dropping-particle" : "", "family" : "Quinn", "given" : "E K", "non-dropping-particle" : "", "parse-names" : false, "suffix" : "" }, { "dropping-particle" : "", "family" : "Bridden", "given" : "C", "non-dropping-particle" : "", "parse-names" : false, "suffix" : "" }, { "dropping-particle" : "", "family" : "Nunes", "given" : "D", "non-dropping-particle" : "", "parse-names" : false, "suffix" : "" }, { "dropping-particle" : "", "family" : "Libman", "given" : "H", "non-dropping-particle" : "", "parse-names" : false, "suffix" : "" }, { "dropping-particle" : "", "family" : "Saitz", "given" : "R", "non-dropping-particle" : "", "parse-names" : false, "suffix" : "" }, { "dropping-particle" : "", "family" : "Samet", "given" : "J H", "non-dropping-particle" : "", "parse-names" : false, "suffix" : "" } ], "container-title" : "A</w:instrText>
            </w:r>
            <w:r w:rsidRPr="003E7B41">
              <w:rPr>
                <w:rFonts w:ascii="Book Antiqua" w:hAnsi="Book Antiqua"/>
              </w:rPr>
              <w:instrText>lcohol Clin Exp Res.", "id" : "ITEM-1", "issued" : { "date-parts" : [ [ "2013" ] ] }, "title" : "Impact of lifetime alcohol use on liver fibrosis in a population of HIV-infected patients with and without hepatitis C coinfection. ", "type" : "article-journal", "volume" : "In press" }, "uris" : [ "http://www.mendeley.com/documents/?uuid=9ccda505-8284-42c5-84e2-c4750b961267" ] } ], "mendeley" : { "formattedCitation" : "&lt;sup&gt;173&lt;/sup&gt;", "plainTextFormattedCitation" : "173", "previouslyFormattedCitation" : "&lt;sup&gt;173&lt;/sup&gt;" }, "properties" : { "noteIndex" : 0 }, "schema" : "https://github.com/citation-style-language/schema/raw/master/csl-citation.json" }</w:instrText>
            </w:r>
            <w:r w:rsidRPr="003E7B41">
              <w:rPr>
                <w:rFonts w:ascii="Book Antiqua" w:hAnsi="Book Antiqua"/>
              </w:rPr>
              <w:fldChar w:fldCharType="separate"/>
            </w:r>
            <w:r w:rsidRPr="003E7B41">
              <w:rPr>
                <w:rFonts w:ascii="Book Antiqua" w:hAnsi="Book Antiqua"/>
                <w:noProof/>
                <w:vertAlign w:val="superscript"/>
              </w:rPr>
              <w:t>173</w:t>
            </w:r>
            <w:r w:rsidRPr="003E7B41">
              <w:rPr>
                <w:rFonts w:ascii="Book Antiqua" w:hAnsi="Book Antiqua"/>
              </w:rPr>
              <w:fldChar w:fldCharType="end"/>
            </w:r>
          </w:p>
        </w:tc>
        <w:tc>
          <w:tcPr>
            <w:tcW w:w="2186" w:type="dxa"/>
          </w:tcPr>
          <w:p w:rsidR="00D04DBF" w:rsidRPr="003E7B41" w:rsidRDefault="00D04DBF" w:rsidP="00DD123D">
            <w:pPr>
              <w:spacing w:line="360" w:lineRule="auto"/>
              <w:rPr>
                <w:rFonts w:ascii="Book Antiqua" w:hAnsi="Book Antiqua"/>
              </w:rPr>
            </w:pPr>
            <w:r w:rsidRPr="003E7B41">
              <w:rPr>
                <w:rFonts w:ascii="Book Antiqua" w:hAnsi="Book Antiqua"/>
              </w:rPr>
              <w:t xml:space="preserve">HIV-LIVE </w:t>
            </w:r>
            <w:proofErr w:type="spellStart"/>
            <w:r w:rsidRPr="003E7B41">
              <w:rPr>
                <w:rFonts w:ascii="Book Antiqua" w:hAnsi="Book Antiqua"/>
              </w:rPr>
              <w:t>cohort</w:t>
            </w:r>
            <w:proofErr w:type="spellEnd"/>
          </w:p>
        </w:tc>
        <w:tc>
          <w:tcPr>
            <w:tcW w:w="1291" w:type="dxa"/>
          </w:tcPr>
          <w:p w:rsidR="00D04DBF" w:rsidRPr="003E7B41" w:rsidRDefault="00D04DBF" w:rsidP="00DD123D">
            <w:pPr>
              <w:spacing w:line="360" w:lineRule="auto"/>
              <w:rPr>
                <w:rFonts w:ascii="Book Antiqua" w:hAnsi="Book Antiqua"/>
              </w:rPr>
            </w:pPr>
            <w:r w:rsidRPr="003E7B41">
              <w:rPr>
                <w:rFonts w:ascii="Book Antiqua" w:hAnsi="Book Antiqua"/>
              </w:rPr>
              <w:t>FIB-4 and APRI</w:t>
            </w:r>
          </w:p>
        </w:tc>
        <w:tc>
          <w:tcPr>
            <w:tcW w:w="2230" w:type="dxa"/>
          </w:tcPr>
          <w:p w:rsidR="00D04DBF" w:rsidRPr="003E7B41" w:rsidRDefault="00D04DBF" w:rsidP="00DD123D">
            <w:pPr>
              <w:spacing w:line="360" w:lineRule="auto"/>
              <w:rPr>
                <w:rFonts w:ascii="Book Antiqua" w:hAnsi="Book Antiqua"/>
              </w:rPr>
            </w:pPr>
            <w:proofErr w:type="spellStart"/>
            <w:r w:rsidRPr="003E7B41">
              <w:rPr>
                <w:rFonts w:ascii="Book Antiqua" w:hAnsi="Book Antiqua"/>
              </w:rPr>
              <w:t>Lifetime</w:t>
            </w:r>
            <w:proofErr w:type="spellEnd"/>
            <w:r w:rsidRPr="003E7B41">
              <w:rPr>
                <w:rFonts w:ascii="Book Antiqua" w:hAnsi="Book Antiqua"/>
              </w:rPr>
              <w:t xml:space="preserve"> </w:t>
            </w:r>
            <w:proofErr w:type="spellStart"/>
            <w:r w:rsidRPr="003E7B41">
              <w:rPr>
                <w:rFonts w:ascii="Book Antiqua" w:hAnsi="Book Antiqua"/>
              </w:rPr>
              <w:t>Drinking</w:t>
            </w:r>
            <w:proofErr w:type="spellEnd"/>
            <w:r w:rsidRPr="003E7B41">
              <w:rPr>
                <w:rFonts w:ascii="Book Antiqua" w:hAnsi="Book Antiqua"/>
              </w:rPr>
              <w:t xml:space="preserve"> </w:t>
            </w:r>
            <w:proofErr w:type="spellStart"/>
            <w:r w:rsidRPr="003E7B41">
              <w:rPr>
                <w:rFonts w:ascii="Book Antiqua" w:hAnsi="Book Antiqua"/>
              </w:rPr>
              <w:t>History</w:t>
            </w:r>
            <w:proofErr w:type="spellEnd"/>
            <w:r w:rsidRPr="003E7B41">
              <w:rPr>
                <w:rFonts w:ascii="Book Antiqua" w:hAnsi="Book Antiqua"/>
              </w:rPr>
              <w:t xml:space="preserve">  (LDH) </w:t>
            </w:r>
          </w:p>
        </w:tc>
        <w:tc>
          <w:tcPr>
            <w:tcW w:w="5279" w:type="dxa"/>
          </w:tcPr>
          <w:p w:rsidR="00D04DBF" w:rsidRPr="00752273" w:rsidRDefault="00D04DBF" w:rsidP="00DD123D">
            <w:pPr>
              <w:spacing w:line="360" w:lineRule="auto"/>
              <w:rPr>
                <w:rFonts w:ascii="Book Antiqua" w:hAnsi="Book Antiqua"/>
                <w:lang w:val="en-US"/>
              </w:rPr>
            </w:pPr>
            <w:r w:rsidRPr="00752273">
              <w:rPr>
                <w:rFonts w:ascii="Book Antiqua" w:hAnsi="Book Antiqua"/>
                <w:lang w:val="en-US"/>
              </w:rPr>
              <w:t>No association between LDH and liver fibrosis measured with FIB-4 or APRI.</w:t>
            </w:r>
          </w:p>
        </w:tc>
      </w:tr>
      <w:tr w:rsidR="00D04DBF" w:rsidRPr="00C03CA4" w:rsidTr="00DD123D">
        <w:tc>
          <w:tcPr>
            <w:tcW w:w="3190" w:type="dxa"/>
          </w:tcPr>
          <w:p w:rsidR="00D04DBF" w:rsidRPr="00D44C5B" w:rsidRDefault="00D04DBF" w:rsidP="00DD123D">
            <w:pPr>
              <w:spacing w:line="360" w:lineRule="auto"/>
              <w:rPr>
                <w:rFonts w:ascii="Book Antiqua" w:hAnsi="Book Antiqua"/>
                <w:lang w:val="en-GB"/>
              </w:rPr>
            </w:pPr>
            <w:proofErr w:type="spellStart"/>
            <w:r w:rsidRPr="003E7B41">
              <w:rPr>
                <w:rFonts w:ascii="Book Antiqua" w:hAnsi="Book Antiqua"/>
              </w:rPr>
              <w:lastRenderedPageBreak/>
              <w:t>Lim</w:t>
            </w:r>
            <w:proofErr w:type="spellEnd"/>
            <w:r w:rsidRPr="003E7B41">
              <w:rPr>
                <w:rFonts w:ascii="Book Antiqua" w:hAnsi="Book Antiqua"/>
              </w:rPr>
              <w:t xml:space="preserve"> LK et. al., 2014 </w:t>
            </w:r>
            <w:r w:rsidRPr="003E7B41">
              <w:rPr>
                <w:rFonts w:ascii="Book Antiqua" w:hAnsi="Book Antiqua"/>
              </w:rPr>
              <w:fldChar w:fldCharType="begin" w:fldLock="1"/>
            </w:r>
            <w:r w:rsidRPr="003E7B41">
              <w:rPr>
                <w:rFonts w:ascii="Book Antiqua" w:hAnsi="Book Antiqua"/>
              </w:rPr>
              <w:instrText>ADDIN CSL_CITATION { "citationItems" : [ { "id" : "ITEM-1", "itemData" : { "DOI" : "10.1093/cid/ciu097", "ISSN" : "1537-6591", "PMID" : "24569533", "abstract" : "BACKGROUND: It is unclear if the risk of liver disease associated with different levels of alcohol consumption is higher for patients infected with human immunodeficiency virus (HIV) or chronic hepatitis C virus (HCV). We evaluated associations between alcohol use categories and advanced hepatic fibrosis, by HIV and chronic HCV status.\n\nMETHODS: We performed a cross-sectional study among participants in the Veterans Aging Cohort Study who reported alcohol consumption at enrollment (701 HIV/HCV-coinfected; 1410 HIV-monoinfected; 296 HCV-monoinfected; 1158 HIV/HCV-uninfected). Alcohol use category was determined by the Alcohol Use Disorders Identification Test-Consumption (AUDIT-C) questionnaire and alcohol-related diagnoses and was classified as nonhazardous drinking, hazardous/binge drinking, or alcohol-related diagnosis. Advanced hepatic fibrosis was defined by FIB-4 index &gt;3.25.\n\nRESULTS: Within each HIV/HCV group, the prevalence of advanced hepatic fibrosis increased as alcohol use category increased. For each alcohol use category, advanced hepatic fibrosis was more common among HIV-infected than uninfected (nonhazardous: 6.7% vs 1.4%; hazardous/binge: 9.5% vs 3.0%; alcohol-related diagnosis: 19.0% vs 8.6%; P &lt; .01) and chronic HCV-infected than uninfected (nonhazardous: 13.6% vs 2.5%; hazardous/binge: 18.2% vs 3.1%; alcohol-related diagnosis: 22.1% vs 6.5%; P &lt; .01) participants. Strong associations with advanced hepatic fibrosis (adjusted odds ratio [95% confidence interval]) were observed among HIV/HCV-coinfected patients with nonhazardous drinking (14.2 [5.91-34.0]), hazardous/binge drinking (18.9 [7.98-44.8]), and alcohol-related diagnoses (25.2 [10.6-59.7]) compared with uninfected nonhazardous drinkers.\n\nCONCLUSIONS: Advanced hepatic fibrosis was present at low levels of alcohol consumption, increased with higher alcohol use categories, and was more prevalent among HIV-infected and chronic HCV-infected patients than uninfected individuals. All alcohol use categories were strongly associated with advanced hepatic fibrosis in HIV/HCV-coinfected patients.", "author" : [ { "dropping-particle" : "", "family" : "Lim", "given" : "Joseph K", "non-dropping-particle" : "", "parse-names" : false, "suffix" : "" }, { "dropping-particle" : "", "family" : "Tate", "given" : "Janet P", "non-dropping-particle" : "", "parse-names" : false, "suffix" : "" }, { "dropping-particle" : "", "family" : "Fultz", "given" : "Shawn L", "non-dropping-particle" : "", "parse-names" : false, "suffix" : "" }, { "dropping-particle" : "", "family" : "Goulet", "given" : "Joseph L", "non-dropping-particle" : "", "parse-names" : false, "suffix" : "" }, { "dropping-particle" : "", "family" : "Conigliaro", "given" : "Joseph", "non-dropping-particle" : "", "parse-names" : false, "suffix" : "" }, { "dropping-particle" : "", "family" : "Bryant", "given" : "Kendall J", "non-dropping-particle" : "", "parse-names" : false, "suffix" : "" }, { "dropping-particle" : "", "family" : "Gordon", "given" : "Adam J", "non-dropping-particle" : "", "parse-names" : false, "suffix" : "" }, { "dropping-particle" : "", "family" : "Gibert", "given" : "Cynthia", "non-dropping-particle" : "", "parse-names" : false, "suffix" : "" }, { "dropping-particle" : "", "family" : "Rimland", "given" : "David", "non-dropping-particle" : "", "parse-names" : false, "suffix" : "" }, { "dropping-particle" : "", "family" : "Go</w:instrText>
            </w:r>
            <w:r w:rsidRPr="00D44C5B">
              <w:rPr>
                <w:rFonts w:ascii="Book Antiqua" w:hAnsi="Book Antiqua"/>
                <w:lang w:val="en-GB"/>
              </w:rPr>
              <w:instrText>etz", "given" : "Matthew Bidwell", "non-dropping-particle" : "", "parse-names" : false, "suffix" : "" }, { "dropping-particle" : "", "family" : "Klein", "given" : "Marina B", "non-dropping-particle" : "", "parse-names" : false, "suffix" : "" }, { "dropping-particle" : "", "family" : "Fiellin", "given" : "David A", "non-dropping-particle" : "", "parse-names" : false, "suffix" : "" }, { "dropping-particle" : "", "family" : "Justice", "given" : "Amy C", "non-dropping-particle" : "", "parse-names" : false, "suffix" : "" }, { "dropping-particle" : "", "family" : "Re", "given" : "Vincent", "non-dropping-particle" : "Lo", "parse-names" : false, "suffix" : "" } ], "container-title" : "Clinical infectious diseases : an official publication of the Infectious Diseases Society of America", "id" : "ITEM-1", "issue" : "10", "issued" : { "date-parts" : [ [ "2014", "5" ] ] }, "page" : "1449-58", "title" : "Relationship between alcohol use categories and noninvasive markers of advanced hepatic fibrosis in HIV-infected, chronic hepatitis C virus-infected, and uninfected patients.", "type" : "article-journal", "volume" : "58" }, "uris" : [ "http://www.mendeley.com/documents/?uuid=e1b4dfd1-1fb9-4bb3-811c-c3f5e28155b0" ] } ], "mendeley" : { "formattedCitation" : "&lt;sup&gt;174&lt;/sup&gt;", "plainTextFormattedCitation" : "174", "previouslyFormattedCitation" : "&lt;sup&gt;174&lt;/sup&gt;" }, "properties" : { "noteIndex" : 0 }, "schema" : "https://github.com/citation-style-language/schema/raw/master/csl-citation.json" }</w:instrText>
            </w:r>
            <w:r w:rsidRPr="003E7B41">
              <w:rPr>
                <w:rFonts w:ascii="Book Antiqua" w:hAnsi="Book Antiqua"/>
              </w:rPr>
              <w:fldChar w:fldCharType="separate"/>
            </w:r>
            <w:r w:rsidRPr="00D44C5B">
              <w:rPr>
                <w:rFonts w:ascii="Book Antiqua" w:hAnsi="Book Antiqua"/>
                <w:noProof/>
                <w:vertAlign w:val="superscript"/>
                <w:lang w:val="en-GB"/>
              </w:rPr>
              <w:t>174</w:t>
            </w:r>
            <w:r w:rsidRPr="003E7B41">
              <w:rPr>
                <w:rFonts w:ascii="Book Antiqua" w:hAnsi="Book Antiqua"/>
              </w:rPr>
              <w:fldChar w:fldCharType="end"/>
            </w:r>
          </w:p>
        </w:tc>
        <w:tc>
          <w:tcPr>
            <w:tcW w:w="2186" w:type="dxa"/>
          </w:tcPr>
          <w:p w:rsidR="00D04DBF" w:rsidRPr="00D44C5B" w:rsidRDefault="00D04DBF" w:rsidP="00DD123D">
            <w:pPr>
              <w:spacing w:line="360" w:lineRule="auto"/>
              <w:rPr>
                <w:rFonts w:ascii="Book Antiqua" w:hAnsi="Book Antiqua"/>
                <w:lang w:val="en-GB"/>
              </w:rPr>
            </w:pPr>
            <w:r w:rsidRPr="00D44C5B">
              <w:rPr>
                <w:rFonts w:ascii="Book Antiqua" w:hAnsi="Book Antiqua"/>
                <w:lang w:val="en-GB"/>
              </w:rPr>
              <w:t>VACS cohort</w:t>
            </w:r>
          </w:p>
        </w:tc>
        <w:tc>
          <w:tcPr>
            <w:tcW w:w="1291" w:type="dxa"/>
          </w:tcPr>
          <w:p w:rsidR="00D04DBF" w:rsidRPr="00D44C5B" w:rsidRDefault="00D04DBF" w:rsidP="00DD123D">
            <w:pPr>
              <w:spacing w:line="360" w:lineRule="auto"/>
              <w:rPr>
                <w:rFonts w:ascii="Book Antiqua" w:hAnsi="Book Antiqua"/>
                <w:lang w:val="en-GB"/>
              </w:rPr>
            </w:pPr>
            <w:r w:rsidRPr="00D44C5B">
              <w:rPr>
                <w:rFonts w:ascii="Book Antiqua" w:hAnsi="Book Antiqua"/>
                <w:lang w:val="en-GB"/>
              </w:rPr>
              <w:t>FIB-4</w:t>
            </w:r>
          </w:p>
        </w:tc>
        <w:tc>
          <w:tcPr>
            <w:tcW w:w="2230" w:type="dxa"/>
          </w:tcPr>
          <w:p w:rsidR="00D04DBF" w:rsidRPr="00D44C5B" w:rsidRDefault="00D04DBF" w:rsidP="00DD123D">
            <w:pPr>
              <w:spacing w:line="360" w:lineRule="auto"/>
              <w:rPr>
                <w:rFonts w:ascii="Book Antiqua" w:hAnsi="Book Antiqua"/>
                <w:lang w:val="en-GB"/>
              </w:rPr>
            </w:pPr>
            <w:r w:rsidRPr="00D44C5B">
              <w:rPr>
                <w:rFonts w:ascii="Book Antiqua" w:hAnsi="Book Antiqua"/>
                <w:lang w:val="en-GB"/>
              </w:rPr>
              <w:t>AUDIT-C***</w:t>
            </w:r>
          </w:p>
        </w:tc>
        <w:tc>
          <w:tcPr>
            <w:tcW w:w="5279" w:type="dxa"/>
          </w:tcPr>
          <w:p w:rsidR="00D04DBF" w:rsidRPr="00D44C5B" w:rsidRDefault="00D04DBF" w:rsidP="00DD123D">
            <w:pPr>
              <w:spacing w:line="360" w:lineRule="auto"/>
              <w:rPr>
                <w:rFonts w:ascii="Book Antiqua" w:hAnsi="Book Antiqua"/>
                <w:lang w:val="en-GB"/>
              </w:rPr>
            </w:pPr>
            <w:r w:rsidRPr="00D44C5B">
              <w:rPr>
                <w:rFonts w:ascii="Book Antiqua" w:hAnsi="Book Antiqua"/>
                <w:lang w:val="en-GB"/>
              </w:rPr>
              <w:t>Advanced liver fibrosis correlated with alcohol use.</w:t>
            </w:r>
          </w:p>
        </w:tc>
      </w:tr>
    </w:tbl>
    <w:p w:rsidR="00D04DBF" w:rsidRPr="00752273" w:rsidRDefault="00D04DBF" w:rsidP="00D04DBF">
      <w:pPr>
        <w:widowControl w:val="0"/>
        <w:autoSpaceDE w:val="0"/>
        <w:autoSpaceDN w:val="0"/>
        <w:adjustRightInd w:val="0"/>
        <w:spacing w:line="360" w:lineRule="auto"/>
        <w:rPr>
          <w:rFonts w:ascii="Book Antiqua" w:hAnsi="Book Antiqua" w:cs="Times New Roman"/>
          <w:sz w:val="18"/>
          <w:szCs w:val="18"/>
          <w:lang w:val="en-US"/>
        </w:rPr>
      </w:pPr>
      <w:r w:rsidRPr="00D44C5B">
        <w:rPr>
          <w:rFonts w:ascii="Book Antiqua" w:hAnsi="Book Antiqua"/>
          <w:lang w:val="en-GB"/>
        </w:rPr>
        <w:t>*APRI: AST to platelet ratio Index= (</w:t>
      </w:r>
      <w:r w:rsidRPr="00D44C5B">
        <w:rPr>
          <w:rFonts w:ascii="Book Antiqua" w:hAnsi="Book Antiqua" w:cs="Times New Roman"/>
          <w:lang w:val="en-GB"/>
        </w:rPr>
        <w:t>(patient AST/AST upper limit of normal [IU/L]) /plat</w:t>
      </w:r>
      <w:proofErr w:type="spellStart"/>
      <w:r w:rsidRPr="00752273">
        <w:rPr>
          <w:rFonts w:ascii="Book Antiqua" w:hAnsi="Book Antiqua" w:cs="Times New Roman"/>
          <w:lang w:val="en-US"/>
        </w:rPr>
        <w:t>elet</w:t>
      </w:r>
      <w:proofErr w:type="spellEnd"/>
      <w:r w:rsidRPr="00752273">
        <w:rPr>
          <w:rFonts w:ascii="Book Antiqua" w:hAnsi="Book Antiqua" w:cs="Times New Roman"/>
          <w:lang w:val="en-US"/>
        </w:rPr>
        <w:t xml:space="preserve"> count [10</w:t>
      </w:r>
      <w:r w:rsidRPr="00752273">
        <w:rPr>
          <w:rFonts w:ascii="Book Antiqua" w:hAnsi="Book Antiqua" w:cs="Times New Roman"/>
          <w:vertAlign w:val="superscript"/>
          <w:lang w:val="en-US"/>
        </w:rPr>
        <w:t>9</w:t>
      </w:r>
      <w:r w:rsidRPr="00752273">
        <w:rPr>
          <w:rFonts w:ascii="Book Antiqua" w:hAnsi="Book Antiqua" w:cs="Times New Roman"/>
          <w:lang w:val="en-US"/>
        </w:rPr>
        <w:t>/L]) x 100</w:t>
      </w:r>
      <w:r w:rsidRPr="003E7B41">
        <w:rPr>
          <w:rFonts w:ascii="Book Antiqua" w:hAnsi="Book Antiqua" w:cs="Times New Roman"/>
        </w:rPr>
        <w:fldChar w:fldCharType="begin" w:fldLock="1"/>
      </w:r>
      <w:r w:rsidRPr="00752273">
        <w:rPr>
          <w:rFonts w:ascii="Book Antiqua" w:hAnsi="Book Antiqua" w:cs="Times New Roman"/>
          <w:lang w:val="en-US"/>
        </w:rPr>
        <w:instrText>ADDIN CSL_CITATION { "citationItems" : [ { "id" : "ITEM-1", "itemData" : { "DOI" : "10.1053/jhep.2003.50346", "ISSN" : "0270-9139; 0270-9139", "abstract" : "Information on the stage of liver fibrosis is essential in managing chronic hepatitis C (CHC) patients. However, most models for predicting liver fibrosis are complicated and separate formulas are needed to predict significant fibrosis and cirrhosis. The aim of our study was to construct one simple model consisting of routine laboratory data to predict both significant fibrosis and cirrhosis among patients with CHC. Consecutive treatment-naive CHC patients who underwent liver biopsy over a 25-month period were divided into 2 sequential cohorts: training set (n = 192) and validation set (n = 78). The best model for predicting both significant fibrosis (Ishak score &gt; or = 3) and cirrhosis in the training set included platelets, aspartate aminotransferase (AST), and alkaline phosphatase with an area under ROC curves (AUC) of 0.82 and 0.92, respectively. A novel index, AST to platelet ratio index (APRI), was developed to amplify the opposing effects of liver fibrosis on AST and platelet count. The AUC of APRI for predicting significant fibrosis and cirrhosis were 0.80 and 0.89, respectively, in the training set. Using optimize</w:instrText>
      </w:r>
      <w:r w:rsidRPr="00C163F8">
        <w:rPr>
          <w:rFonts w:ascii="Book Antiqua" w:hAnsi="Book Antiqua" w:cs="Times New Roman"/>
          <w:lang w:val="en-US"/>
        </w:rPr>
        <w:instrText xml:space="preserve">d cut-off values, significant fibrosis could be predicted accurately in 51% and cirrhosis in 81% of patients. The AUC of APRI for predicting significant fibrosis and cirrhosis in the validation set were 0.88 and 0.94, respectively. In conclusion, our study showed that a simple index using readily available laboratory results can identify CHC patients with significant fibrosis and cirrhosis with a high degree of accuracy. Application of this index may decrease the need for staging liver biopsy specimens among CHC patients.", "author" : [ { "dropping-particle" : "", "family" : "Wai", "given" : "C T", "non-dropping-particle" : "", "parse-names" : false, "suffix" : "" }, { "dropping-particle" : "", "family" : "Greenson", "given" : "J K", "non-dropping-particle" : "", "parse-names" : false, "suffix" : "" }, { "dropping-particle" : "", "family" : "Fontana", "given" : "R J", "non-dropping-particle" : "", "parse-names" : false, "suffix" : "" }, { "dropping-particle" : "", "family" : "Kalbfleisch", "given" : "J D", "non-dropping-particle" : "", "parse-names" : false, "suffix" : "" }, { "dropping-particle" : "", "family" : "Marrero", "given" : "J A", "non-dropping-particle" : "", "parse-names" : false, "suffix" : "" }, { "dropping-particle" : "", "family" : "Conjeevaram", "given" : "H S", "non-dropping-particle" : "", "parse-names" </w:instrText>
      </w:r>
      <w:r w:rsidRPr="00752273">
        <w:rPr>
          <w:rFonts w:ascii="Book Antiqua" w:hAnsi="Book Antiqua" w:cs="Times New Roman"/>
          <w:lang w:val="en-US"/>
        </w:rPr>
        <w:instrText>: false, "suffix" : "" }, { "dropping-particle" : "", "family" : "Lok", "given" : "A S", "non-dropping-particle" : "", "parse-names" : false, "suffix" : "" } ], "container-title" : "Hepatology (Baltimore, Md.)", "id" : "ITEM-1", "issue" : "2", "issued" : { "date-parts" : [ [ "2003" ] ] }, "note" : "LR: 20071114; GR: N01-DK-9-2323/DK/NIDDK NIH HHS/United States; GR: R43-AI-51919/AI/NIAID NIH HHS/United States; GR: U01-DK-57577/DK/NIDDK NIH HHS/United States; GR: U01-DK-62498/DK/NIDDK NIH HHS/United States; JID: 8302946; CIN: Hepatology. 2005 Jun;41(6):1434-5. PMID: 15915470; CIN: Hepatology. 2003 Nov;38(5):1312-3; author reply 1313. PMID: 14578874; CIN: Hepatology. 2004 Mar;39(3):862-3; author reply 863. PMID: 14999708; CIN: Hepatology. 2004 May;39(5):1456-7; author reply 1457-8. PMID: 15122779; ppublish", "page" : "518-526", "publisher-place" : "Division of Gastroenterology, University of Michigan Medical School, Ann Arbor, MI 48109, USA.", "title" : "A simple noninvasive index can predict both significant fibrosis and cirrhosis in patients with chronic hepatitis C", "type" : "article-journal", "volume" : "38" }, "uris" : [ "http://www.mendeley.com/documents/?uuid=e07e9abe-2f11-46c9-92f2-3e6b38d1b264" ] } ], "mendeley" : { "formattedCitation" : "&lt;sup&gt;64&lt;/sup&gt;", "plainTextFormattedCitation" : "64", "previouslyFormattedCitation" : "&lt;sup&gt;64&lt;/sup&gt;" }, "properties" : { "noteIndex" : 0 }, "schema" : "https://github.com/citation-style-language/schema/raw/master/csl-citation.json" }</w:instrText>
      </w:r>
      <w:r w:rsidRPr="003E7B41">
        <w:rPr>
          <w:rFonts w:ascii="Book Antiqua" w:hAnsi="Book Antiqua" w:cs="Times New Roman"/>
        </w:rPr>
        <w:fldChar w:fldCharType="separate"/>
      </w:r>
      <w:r w:rsidRPr="00752273">
        <w:rPr>
          <w:rFonts w:ascii="Book Antiqua" w:hAnsi="Book Antiqua" w:cs="Times New Roman"/>
          <w:noProof/>
          <w:vertAlign w:val="superscript"/>
          <w:lang w:val="en-US"/>
        </w:rPr>
        <w:t>64</w:t>
      </w:r>
      <w:r w:rsidRPr="003E7B41">
        <w:rPr>
          <w:rFonts w:ascii="Book Antiqua" w:hAnsi="Book Antiqua" w:cs="Times New Roman"/>
        </w:rPr>
        <w:fldChar w:fldCharType="end"/>
      </w:r>
      <w:r w:rsidRPr="00752273">
        <w:rPr>
          <w:rFonts w:ascii="Book Antiqua" w:hAnsi="Book Antiqua" w:cs="Times New Roman"/>
          <w:lang w:val="en-US"/>
        </w:rPr>
        <w:t>.</w:t>
      </w:r>
    </w:p>
    <w:p w:rsidR="00D04DBF" w:rsidRPr="00752273" w:rsidRDefault="00D04DBF" w:rsidP="00D04DBF">
      <w:pPr>
        <w:spacing w:line="360" w:lineRule="auto"/>
        <w:rPr>
          <w:rFonts w:ascii="Book Antiqua" w:hAnsi="Book Antiqua"/>
          <w:color w:val="000000" w:themeColor="text1"/>
          <w:lang w:val="en-US"/>
        </w:rPr>
      </w:pPr>
      <w:r w:rsidRPr="00752273">
        <w:rPr>
          <w:rFonts w:ascii="Book Antiqua" w:hAnsi="Book Antiqua"/>
          <w:lang w:val="en-US"/>
        </w:rPr>
        <w:t xml:space="preserve">**FIB-4= </w:t>
      </w:r>
      <w:r w:rsidRPr="00752273">
        <w:rPr>
          <w:rFonts w:ascii="Book Antiqua" w:hAnsi="Book Antiqua" w:cs="Times New Roman"/>
          <w:lang w:val="en-US"/>
        </w:rPr>
        <w:t>age x AST (IU/L)/platelet count (</w:t>
      </w:r>
      <w:r w:rsidRPr="00752273">
        <w:rPr>
          <w:rFonts w:ascii="Book Antiqua" w:hAnsi="Book Antiqua" w:cs="Times New Roman"/>
          <w:color w:val="000000" w:themeColor="text1"/>
          <w:lang w:val="en-US"/>
        </w:rPr>
        <w:t>10</w:t>
      </w:r>
      <w:r w:rsidRPr="00752273">
        <w:rPr>
          <w:rFonts w:ascii="Book Antiqua" w:hAnsi="Book Antiqua" w:cs="Times New Roman"/>
          <w:color w:val="000000" w:themeColor="text1"/>
          <w:vertAlign w:val="superscript"/>
          <w:lang w:val="en-US"/>
        </w:rPr>
        <w:t>9</w:t>
      </w:r>
      <w:r w:rsidRPr="00752273">
        <w:rPr>
          <w:rFonts w:ascii="Book Antiqua" w:hAnsi="Book Antiqua" w:cs="Times New Roman"/>
          <w:color w:val="000000" w:themeColor="text1"/>
          <w:lang w:val="en-US"/>
        </w:rPr>
        <w:t>/L) x ALT (IU/L)</w:t>
      </w:r>
      <w:r w:rsidRPr="00752273">
        <w:rPr>
          <w:rFonts w:ascii="Book Antiqua" w:hAnsi="Book Antiqua" w:cs="Times New Roman"/>
          <w:color w:val="000000" w:themeColor="text1"/>
          <w:vertAlign w:val="superscript"/>
          <w:lang w:val="en-US"/>
        </w:rPr>
        <w:t xml:space="preserve">1/2 </w:t>
      </w:r>
      <w:r w:rsidRPr="003E7B41">
        <w:rPr>
          <w:rFonts w:ascii="Book Antiqua" w:hAnsi="Book Antiqua" w:cs="Times New Roman"/>
          <w:color w:val="000000" w:themeColor="text1"/>
          <w:vertAlign w:val="superscript"/>
        </w:rPr>
        <w:fldChar w:fldCharType="begin" w:fldLock="1"/>
      </w:r>
      <w:r w:rsidRPr="00752273">
        <w:rPr>
          <w:rFonts w:ascii="Book Antiqua" w:hAnsi="Book Antiqua" w:cs="Times New Roman"/>
          <w:color w:val="000000" w:themeColor="text1"/>
          <w:vertAlign w:val="superscript"/>
          <w:lang w:val="en-US"/>
        </w:rPr>
        <w:instrText xml:space="preserve">ADDIN CSL_CITATION { "citationItems" : [ { "id" : "ITEM-1", "itemData" : { "DOI" : "10.1002/hep.21178", "ISSN" : "0270-9139; 0270-9139", "abstract" : "Liver biopsy remains the gold standard in the assessment of severity of liver disease. Noninvasive tests have gained popularity to predict histology in view of the associated risks of biopsy. However, many models include tests not readily available, and there are limited data from patients with HIV/hepatitis C virus (HCV) coinfection. We aimed to develop a model using routine tests to predict liver fibrosis in patients with HIV/HCV coinfection. A retrospective analysis of liver histology was performed in 832 patients. Liver fibrosis was assessed via Ishak score; patients were categorized as 0-1, 2-3, or 4-6 and were randomly assigned to training (n = 555) or validation (n = 277) sets. Multivariate logistic regression analysis revealed that platelet count (PLT), age, AST, and INR were significantly associated with fibrosis. Additional analysis revealed PLT, age, AST, and ALT as an alternative model. Based on this, a simple index (FIB-4) was developed: age ([yr] x AST [U/L]) / ((PLT [10(9)/L]) x (ALT [U/L])(1/2)). The AUROC of the index was 0.765 for differentiation between Ishak stage 0-3 and 4-6. At a cutoff of 3.25 had a positive predictive value of 65% and a specificity of 97%. Using these cutoffs, 87% of the 198 patients with FIB-4 values outside 1.45-3.25 would be correctly classified, and liver biopsy could be avoided in 71% of the validation group. In conclusion, noninvasive tests can accurately predict hepatic fibrosis and may reduce the need for liver biopsy in the majority of HIV/HCV-coinfected patients.", "author" : [ { "dropping-particle" : "", "family" : "Sterling", "given" : "R K", "non-dropping-particle" : "", "parse-names" : false, "suffix" : "" }, { "dropping-particle" : "", "family" : "Lissen", "given" : "E", "non-dropping-particle" : "", "parse-names" : false, "suffix" : "" }, { "dropping-particle" : "", "family" : "Clumeck", "given" : "N", "non-dropping-particle" : "", "parse-names" : false, "suffix" : "" }, { "dropping-particle" : "", "family" : "Sola", "given" : "R", "non-dropping-particle" : "", "parse-names" : false, "suffix" : "" }, { "dropping-particle" : "", "family" : "Correa", "given" : "M C", "non-dropping-particle" : "", "parse-names" : false, "suffix" : "" }, { "dropping-particle" : "", "family" : "Montaner", "given" : "J", "non-dropping-particle" : "", "parse-names" : false, "suffix" : "" }, { "dropping-particle" : "", "family" : "S Sulkowski", "given" : "M", "non-dropping-particle" : "", "parse-names" : false, "suffix" : "" }, { "dropping-particle" : "", "family" : "Torriani", "given" : "F J", "non-dropping-particle" : "", "parse-names" : false, "suffix" : "" }, { "dropping-particle" : "", "family" : "Dieterich", "given" : "D T", "non-dropping-particle" : "", "parse-names" : false, "suffix" : "" }, { </w:instrText>
      </w:r>
      <w:r>
        <w:rPr>
          <w:rFonts w:ascii="Book Antiqua" w:hAnsi="Book Antiqua" w:cs="Times New Roman"/>
          <w:color w:val="000000" w:themeColor="text1"/>
          <w:vertAlign w:val="superscript"/>
        </w:rPr>
        <w:instrText>"dropping-particle" : "", "family" : "Thomas", "given" : "D L", "non-dropping-particle" : "", "parse-names" : false, "suffix" : "" }, { "dropping-particle" : "", "family" : "Messinger", "given" : "D", "non-dropping-particle" : "", "parse-names" : fal</w:instrText>
      </w:r>
      <w:r w:rsidRPr="00752273">
        <w:rPr>
          <w:rFonts w:ascii="Book Antiqua" w:hAnsi="Book Antiqua" w:cs="Times New Roman"/>
          <w:color w:val="000000" w:themeColor="text1"/>
          <w:vertAlign w:val="superscript"/>
          <w:lang w:val="en-US"/>
        </w:rPr>
        <w:instrText>se, "suffix" : "" }, { "dropping-particle" : "", "family" : "Nelson", "given" : "M", "non-dropping-particle" : "", "parse-names" : false, "suffix" : "" }, { "dropping-particle" : "", "family" : "Investigators", "given" : "APRICOT Clinical", "non-dropping-particle" : "", "parse-names" : false, "suffix" : "" } ], "container-title" : "Hepatology (Baltimore, Md.)", "id" : "ITEM-1", "issue" : "6", "issued" : { "date-parts" : [ [ "2006", "6" ] ] }, "note" : "LR: 20080304; GR: K23 DK064578/DK/NIDDK NIH HHS/United States; GR: R01DA16078/DA/NIDA NIH HHS/United States; JID: 8302946; CIN: Hepatology. 2008 Jan;47(1):352; author reply 352-3. PMID: 18161729; CIN: Hepatology. 2006 Sep;44(3):769; author reply 769-70. PMID: 16941681; CIN: Hepatology. 2007 Jan;45(1):257-8. PMID: 17187416; ppublish", "page" : "1317-1325", "publisher-place" : "Section of Hepatology, Virginia Commonwealth University Health System, Richmond, VA 23298-0341, USA. rksterli@hsc.vcu.edu", "title" : "Development of a simple noninvasive index to predict significant fibrosis in patients with HIV/HCV coinfection", "type" : "article-journal", "volume" : "43" }, "uris" : [ "http://www.mendeley.com/documents/?uuid=5dfb2cc9-e8e9-4721-af47-9b717cb9c93f" ] } ], "mendeley" : { "formattedCitation" : "&lt;sup&gt;63&lt;/sup&gt;", "plainTextFormattedCitation" : "63", "previouslyFormattedCitation" : "&lt;sup&gt;63&lt;/sup&gt;" }, "properties" : { "noteIndex" : 0 }, "schema" : "https://github.com/citation-style-language/schema/raw/master/csl-citation.json" }</w:instrText>
      </w:r>
      <w:r w:rsidRPr="003E7B41">
        <w:rPr>
          <w:rFonts w:ascii="Book Antiqua" w:hAnsi="Book Antiqua" w:cs="Times New Roman"/>
          <w:color w:val="000000" w:themeColor="text1"/>
          <w:vertAlign w:val="superscript"/>
        </w:rPr>
        <w:fldChar w:fldCharType="separate"/>
      </w:r>
      <w:r w:rsidRPr="00752273">
        <w:rPr>
          <w:rFonts w:ascii="Book Antiqua" w:hAnsi="Book Antiqua" w:cs="Times New Roman"/>
          <w:noProof/>
          <w:color w:val="000000" w:themeColor="text1"/>
          <w:vertAlign w:val="superscript"/>
          <w:lang w:val="en-US"/>
        </w:rPr>
        <w:t>63</w:t>
      </w:r>
      <w:r w:rsidRPr="003E7B41">
        <w:rPr>
          <w:rFonts w:ascii="Book Antiqua" w:hAnsi="Book Antiqua" w:cs="Times New Roman"/>
          <w:color w:val="000000" w:themeColor="text1"/>
          <w:vertAlign w:val="superscript"/>
        </w:rPr>
        <w:fldChar w:fldCharType="end"/>
      </w:r>
      <w:r w:rsidRPr="00752273">
        <w:rPr>
          <w:rFonts w:ascii="Book Antiqua" w:hAnsi="Book Antiqua" w:cs="Times New Roman"/>
          <w:color w:val="000000" w:themeColor="text1"/>
          <w:lang w:val="en-US"/>
        </w:rPr>
        <w:t>.</w:t>
      </w:r>
    </w:p>
    <w:p w:rsidR="00D04DBF" w:rsidRPr="00752273" w:rsidRDefault="00D04DBF" w:rsidP="00D04DBF">
      <w:pPr>
        <w:spacing w:line="360" w:lineRule="auto"/>
        <w:rPr>
          <w:rFonts w:ascii="Book Antiqua" w:hAnsi="Book Antiqua"/>
          <w:color w:val="000000" w:themeColor="text1"/>
          <w:lang w:val="en-US"/>
        </w:rPr>
      </w:pPr>
      <w:r w:rsidRPr="00752273">
        <w:rPr>
          <w:rFonts w:ascii="Book Antiqua" w:hAnsi="Book Antiqua"/>
          <w:color w:val="000000" w:themeColor="text1"/>
          <w:lang w:val="en-US"/>
        </w:rPr>
        <w:t xml:space="preserve">***AUDIT-C: </w:t>
      </w:r>
      <w:r w:rsidRPr="00752273">
        <w:rPr>
          <w:rFonts w:ascii="Book Antiqua" w:hAnsi="Book Antiqua" w:cs="Arial"/>
          <w:color w:val="000000" w:themeColor="text1"/>
          <w:lang w:val="en-US"/>
        </w:rPr>
        <w:t xml:space="preserve">Alcohol Use Disorders Identification Test </w:t>
      </w:r>
      <w:r w:rsidRPr="003E7B41">
        <w:rPr>
          <w:rFonts w:ascii="Book Antiqua" w:hAnsi="Book Antiqua" w:cs="Arial"/>
          <w:color w:val="000000" w:themeColor="text1"/>
        </w:rPr>
        <w:fldChar w:fldCharType="begin" w:fldLock="1"/>
      </w:r>
      <w:r w:rsidRPr="00752273">
        <w:rPr>
          <w:rFonts w:ascii="Book Antiqua" w:hAnsi="Book Antiqua" w:cs="Arial"/>
          <w:color w:val="000000" w:themeColor="text1"/>
          <w:lang w:val="en-US"/>
        </w:rPr>
        <w:instrText>ADDIN CSL_CITATION { "citationItems" : [ { "id" : "ITEM-1", "itemData" : { "ISSN" : "0003-9926; 0003-9926", "abstract" : "OBJECTIVE: To evaluate the 3 alcohol consumption questions from the Alcohol Use Disorders Identification Test (AUDIT-C) as a brief screening test for heavy drinking and/or active alcohol abuse or dependence. METHODS: Patients from 3 Veterans Affairs general medical clinics were mailed questionnaires. A random, weighted sample of Health History Questionnaire respondents, who had 5 or more drinks over the past year, were eligible for telephone interviews (N = 447). Heavy drinkers were oversampled 2:1. Patients were excluded if they could not be contacted by telephone, were too ill for interviews, or were female (n = 54). Areas under receiver operating characteristic curves (AUROCs) were used to compare mailed alcohol screening questionnaires (AUDIT-C and full AUDIT) with 3 comparison standards based on telephone interviews: (1) past year heavy drinking (&gt;14 drinks/week or &gt; or =5 drinks/ occasion); (2) active alcohol abuse or dependence according to the Diagnostic and Statistical Manual of Mental Disorders, Revised Third Edition, criteria; and (3) either. RESULTS: Of 393 eligible patients, 243 (62%) completed AUDIT-C and interviews. For detecting heavy drinking, AUDIT-C had a higher AUROC than the full AUDIT (0.891 vs 0.881; P = .03). Although the full AUDIT performed better than AUDIT-C for detecting active alcohol abuse or dependence (0.811 vs 0.786; P&lt;.001), the 2 questionnaires performed similarly for detecting heavy drinking and/or active abuse or dependence (0.880 vs 0.881). CONCLUSIONS: Three questions about alcohol consumption (AUDIT-C) appear to be a practical, valid primary care screening test for heavy drinking and/or active alcohol abuse or dependence.", "author" : [ { "dropping-particle" : "", "family" : "Bush", "given" : "K", "non-dropping-particle" : "", "parse-names" : false, "suffix" : "" }, { "dropping-particle" : "", "family" : "Kivlahan", "given" : "D R", "non-dropping-particle" : "", "parse-names" : false, "suffix" : "" }, { "dropping-particle" : "", "family" : "McDonell", "given" : "M B", "non-dropping-particle" : "", "parse-names" : false, "suffix" : "" }, { "dropping-particle" : "", "family" : "Fihn", "given" : "S D", "non-dropping-particle" : "", "parse-names" : false, "suffix" : "" }, { "dropping-particle" : "", "family" : "Bradley", "given" : "K A", "non-dropping-particle" : "", "parse-names" : false, "suffix" : "" } ], "container-title" : "Archives of Internal Medicine", "id" : "ITEM-1", "issue" : "16", "issued" : { "date-parts" : [ [ "1998", "9", "14" ] ] }, "note" : "LR: 20061115; JID: 0372440; ppublish", "page" : "1789-1795", "publisher-place" : "Health Services Research and Development, the Center of Excellence for Substance Abuse Treatment and Education, VA Puget Sound Health Care System, Seattle Division, Wash 98108, USA.", "title" : "The AUDIT alcohol consumption questions (AUDIT-C): an effective brief screening test for problem drinking. Ambulatory Care Quality Improvement Project (ACQUIP). Alcohol Use Disorders Identification Test", "type" : "article-journal", "volume" : "158" }, "uris" : [ "http://www.mendeley.com/documents/?uuid=9383a5de-e509-4375-8443-fe9f9376c709" ] } ], "mendeley" : { "formattedCitation" : "&lt;sup&gt;179&lt;/sup&gt;", "plainTextFormattedCitation" : "179", "previouslyFormattedCitation" : "&lt;sup&gt;179&lt;/sup&gt;" }, "properties" : { "noteIndex" : 0 }, "schema" : "https://github.com/citation-style-language/schema/raw/master/csl-citation.json" }</w:instrText>
      </w:r>
      <w:r w:rsidRPr="003E7B41">
        <w:rPr>
          <w:rFonts w:ascii="Book Antiqua" w:hAnsi="Book Antiqua" w:cs="Arial"/>
          <w:color w:val="000000" w:themeColor="text1"/>
        </w:rPr>
        <w:fldChar w:fldCharType="separate"/>
      </w:r>
      <w:r w:rsidRPr="00752273">
        <w:rPr>
          <w:rFonts w:ascii="Book Antiqua" w:hAnsi="Book Antiqua" w:cs="Arial"/>
          <w:noProof/>
          <w:color w:val="000000" w:themeColor="text1"/>
          <w:vertAlign w:val="superscript"/>
          <w:lang w:val="en-US"/>
        </w:rPr>
        <w:t>179</w:t>
      </w:r>
      <w:r w:rsidRPr="003E7B41">
        <w:rPr>
          <w:rFonts w:ascii="Book Antiqua" w:hAnsi="Book Antiqua" w:cs="Arial"/>
          <w:color w:val="000000" w:themeColor="text1"/>
        </w:rPr>
        <w:fldChar w:fldCharType="end"/>
      </w:r>
      <w:r w:rsidRPr="00752273">
        <w:rPr>
          <w:rFonts w:ascii="Book Antiqua" w:hAnsi="Book Antiqua" w:cs="Arial"/>
          <w:color w:val="000000" w:themeColor="text1"/>
          <w:lang w:val="en-US"/>
        </w:rPr>
        <w:t xml:space="preserve">. </w:t>
      </w:r>
    </w:p>
    <w:p w:rsidR="009E71B8" w:rsidRDefault="009E71B8"/>
    <w:sectPr w:rsidR="009E71B8" w:rsidSect="00D04DBF">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6A57"/>
    <w:multiLevelType w:val="hybridMultilevel"/>
    <w:tmpl w:val="C03E9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0E6E8B"/>
    <w:multiLevelType w:val="multilevel"/>
    <w:tmpl w:val="991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04DBF"/>
    <w:rsid w:val="009E71B8"/>
    <w:rsid w:val="00D04D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BF"/>
    <w:pPr>
      <w:spacing w:after="0" w:line="240" w:lineRule="auto"/>
    </w:pPr>
    <w:rPr>
      <w:rFonts w:eastAsiaTheme="minorEastAsia"/>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4DBF"/>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04DB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6518</Words>
  <Characters>35855</Characters>
  <Application>Microsoft Office Word</Application>
  <DocSecurity>0</DocSecurity>
  <Lines>298</Lines>
  <Paragraphs>84</Paragraphs>
  <ScaleCrop>false</ScaleCrop>
  <Company>HUGTIP</Company>
  <LinksUpToDate>false</LinksUpToDate>
  <CharactersWithSpaces>42289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drgres1</dc:creator>
  <cp:lastModifiedBy>drgres1</cp:lastModifiedBy>
  <cp:revision>1</cp:revision>
  <dcterms:created xsi:type="dcterms:W3CDTF">2016-05-04T11:12:00Z</dcterms:created>
  <dcterms:modified xsi:type="dcterms:W3CDTF">2016-05-04T11:13:00Z</dcterms:modified>
</cp:coreProperties>
</file>