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4F6E1A" w:rsidRPr="009D0154" w:rsidRDefault="009D0154">
            <w:pPr>
              <w:spacing w:line="360" w:lineRule="auto"/>
              <w:rPr>
                <w:rFonts w:ascii="Book Antiqua" w:hAnsi="Book Antiqua"/>
                <w:bCs/>
                <w:color w:val="000000"/>
                <w:sz w:val="24"/>
                <w:szCs w:val="24"/>
              </w:rPr>
            </w:pPr>
            <w:r w:rsidRPr="009D0154">
              <w:rPr>
                <w:rFonts w:ascii="Book Antiqua" w:hAnsi="Book Antiqua"/>
                <w:bCs/>
                <w:color w:val="000000"/>
                <w:sz w:val="24"/>
                <w:szCs w:val="24"/>
              </w:rPr>
              <w:t>Association between gastrointestinal symptoms and affectivity in patients with bipolar disorder</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4F6E1A" w:rsidRPr="009D0154" w:rsidRDefault="009D0154">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9D0154">
              <w:rPr>
                <w:rFonts w:ascii="Book Antiqua" w:hAnsi="Book Antiqua"/>
                <w:color w:val="000000"/>
                <w:sz w:val="24"/>
                <w:szCs w:val="24"/>
              </w:rPr>
              <w:t xml:space="preserve">Pontus </w:t>
            </w:r>
            <w:proofErr w:type="spellStart"/>
            <w:r w:rsidRPr="009D0154">
              <w:rPr>
                <w:rFonts w:ascii="Book Antiqua" w:hAnsi="Book Antiqua"/>
                <w:color w:val="000000"/>
                <w:sz w:val="24"/>
                <w:szCs w:val="24"/>
              </w:rPr>
              <w:t>Karling</w:t>
            </w:r>
            <w:proofErr w:type="spellEnd"/>
            <w:r w:rsidRPr="009D0154">
              <w:rPr>
                <w:rFonts w:ascii="Book Antiqua" w:hAnsi="Book Antiqua"/>
                <w:color w:val="000000"/>
                <w:sz w:val="24"/>
                <w:szCs w:val="24"/>
              </w:rPr>
              <w:t xml:space="preserve">, Martin </w:t>
            </w:r>
            <w:proofErr w:type="spellStart"/>
            <w:r w:rsidRPr="009D0154">
              <w:rPr>
                <w:rFonts w:ascii="Book Antiqua" w:hAnsi="Book Antiqua"/>
                <w:color w:val="000000"/>
                <w:sz w:val="24"/>
                <w:szCs w:val="24"/>
              </w:rPr>
              <w:t>Maripuu</w:t>
            </w:r>
            <w:proofErr w:type="spellEnd"/>
            <w:r w:rsidRPr="009D0154">
              <w:rPr>
                <w:rFonts w:ascii="Book Antiqua" w:hAnsi="Book Antiqua"/>
                <w:color w:val="000000"/>
                <w:sz w:val="24"/>
                <w:szCs w:val="24"/>
              </w:rPr>
              <w:t xml:space="preserve">, Mikael </w:t>
            </w:r>
            <w:proofErr w:type="spellStart"/>
            <w:r w:rsidRPr="009D0154">
              <w:rPr>
                <w:rFonts w:ascii="Book Antiqua" w:hAnsi="Book Antiqua"/>
                <w:color w:val="000000"/>
                <w:sz w:val="24"/>
                <w:szCs w:val="24"/>
              </w:rPr>
              <w:t>Wikgren</w:t>
            </w:r>
            <w:proofErr w:type="spellEnd"/>
            <w:r w:rsidRPr="009D0154">
              <w:rPr>
                <w:rFonts w:ascii="Book Antiqua" w:hAnsi="Book Antiqua"/>
                <w:color w:val="000000"/>
                <w:sz w:val="24"/>
                <w:szCs w:val="24"/>
              </w:rPr>
              <w:t xml:space="preserve">, Rolf </w:t>
            </w:r>
            <w:proofErr w:type="spellStart"/>
            <w:r w:rsidRPr="009D0154">
              <w:rPr>
                <w:rFonts w:ascii="Book Antiqua" w:hAnsi="Book Antiqua"/>
                <w:color w:val="000000"/>
                <w:sz w:val="24"/>
                <w:szCs w:val="24"/>
              </w:rPr>
              <w:t>Adolfsson</w:t>
            </w:r>
            <w:proofErr w:type="spellEnd"/>
            <w:r w:rsidRPr="009D0154">
              <w:rPr>
                <w:rFonts w:ascii="Book Antiqua" w:hAnsi="Book Antiqua"/>
                <w:color w:val="000000"/>
                <w:sz w:val="24"/>
                <w:szCs w:val="24"/>
              </w:rPr>
              <w:t xml:space="preserve">, Karl-Fredrik </w:t>
            </w:r>
            <w:proofErr w:type="spellStart"/>
            <w:r w:rsidRPr="009D0154">
              <w:rPr>
                <w:rFonts w:ascii="Book Antiqua" w:hAnsi="Book Antiqua"/>
                <w:color w:val="000000"/>
                <w:sz w:val="24"/>
                <w:szCs w:val="24"/>
              </w:rPr>
              <w:t>Norrback</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9D0154" w:rsidP="003577BA">
            <w:pPr>
              <w:pStyle w:val="a9"/>
              <w:spacing w:line="360" w:lineRule="auto"/>
              <w:rPr>
                <w:rFonts w:ascii="Book Antiqua" w:hAnsi="Book Antiqua"/>
                <w:sz w:val="24"/>
                <w:szCs w:val="24"/>
                <w:lang w:val="zh-CN"/>
              </w:rPr>
            </w:pPr>
            <w:proofErr w:type="spellStart"/>
            <w:r w:rsidRPr="009D0154">
              <w:rPr>
                <w:rFonts w:ascii="Book Antiqua" w:hAnsi="Book Antiqua"/>
                <w:sz w:val="24"/>
                <w:szCs w:val="24"/>
              </w:rPr>
              <w:t>Karling</w:t>
            </w:r>
            <w:proofErr w:type="spellEnd"/>
            <w:r w:rsidRPr="009D0154">
              <w:rPr>
                <w:rFonts w:ascii="Book Antiqua" w:hAnsi="Book Antiqua"/>
                <w:sz w:val="24"/>
                <w:szCs w:val="24"/>
              </w:rPr>
              <w:t xml:space="preserve"> P, </w:t>
            </w:r>
            <w:proofErr w:type="spellStart"/>
            <w:r w:rsidRPr="009D0154">
              <w:rPr>
                <w:rFonts w:ascii="Book Antiqua" w:hAnsi="Book Antiqua"/>
                <w:sz w:val="24"/>
                <w:szCs w:val="24"/>
              </w:rPr>
              <w:t>Maripuu</w:t>
            </w:r>
            <w:proofErr w:type="spellEnd"/>
            <w:r w:rsidRPr="009D0154">
              <w:rPr>
                <w:rFonts w:ascii="Book Antiqua" w:hAnsi="Book Antiqua"/>
                <w:sz w:val="24"/>
                <w:szCs w:val="24"/>
              </w:rPr>
              <w:t xml:space="preserve"> M, </w:t>
            </w:r>
            <w:proofErr w:type="spellStart"/>
            <w:r w:rsidRPr="009D0154">
              <w:rPr>
                <w:rFonts w:ascii="Book Antiqua" w:hAnsi="Book Antiqua"/>
                <w:sz w:val="24"/>
                <w:szCs w:val="24"/>
              </w:rPr>
              <w:t>Wikgren</w:t>
            </w:r>
            <w:proofErr w:type="spellEnd"/>
            <w:r w:rsidRPr="009D0154">
              <w:rPr>
                <w:rFonts w:ascii="Book Antiqua" w:hAnsi="Book Antiqua"/>
                <w:sz w:val="24"/>
                <w:szCs w:val="24"/>
              </w:rPr>
              <w:t xml:space="preserve"> M, </w:t>
            </w:r>
            <w:proofErr w:type="spellStart"/>
            <w:r w:rsidRPr="009D0154">
              <w:rPr>
                <w:rFonts w:ascii="Book Antiqua" w:hAnsi="Book Antiqua"/>
                <w:sz w:val="24"/>
                <w:szCs w:val="24"/>
              </w:rPr>
              <w:t>Adolfsson</w:t>
            </w:r>
            <w:proofErr w:type="spellEnd"/>
            <w:r w:rsidRPr="009D0154">
              <w:rPr>
                <w:rFonts w:ascii="Book Antiqua" w:hAnsi="Book Antiqua"/>
                <w:sz w:val="24"/>
                <w:szCs w:val="24"/>
              </w:rPr>
              <w:t xml:space="preserve"> R, </w:t>
            </w:r>
            <w:proofErr w:type="spellStart"/>
            <w:r w:rsidRPr="009D0154">
              <w:rPr>
                <w:rFonts w:ascii="Book Antiqua" w:hAnsi="Book Antiqua"/>
                <w:sz w:val="24"/>
                <w:szCs w:val="24"/>
              </w:rPr>
              <w:t>Norrback</w:t>
            </w:r>
            <w:proofErr w:type="spellEnd"/>
            <w:r w:rsidRPr="009D0154">
              <w:rPr>
                <w:rFonts w:ascii="Book Antiqua" w:hAnsi="Book Antiqua"/>
                <w:sz w:val="24"/>
                <w:szCs w:val="24"/>
              </w:rPr>
              <w:t xml:space="preserve"> KF. Association between gastrointestinal symptoms and affectivity in patients with bipolar disorder.</w:t>
            </w:r>
            <w:r w:rsidRPr="009D0154">
              <w:rPr>
                <w:rFonts w:ascii="Book Antiqua" w:hAnsi="Book Antiqua"/>
                <w:i/>
                <w:iCs/>
                <w:sz w:val="24"/>
                <w:szCs w:val="24"/>
              </w:rPr>
              <w:t xml:space="preserve"> World J </w:t>
            </w:r>
            <w:proofErr w:type="spellStart"/>
            <w:r w:rsidRPr="009D0154">
              <w:rPr>
                <w:rFonts w:ascii="Book Antiqua" w:hAnsi="Book Antiqua"/>
                <w:i/>
                <w:iCs/>
                <w:sz w:val="24"/>
                <w:szCs w:val="24"/>
              </w:rPr>
              <w:t>Gastroenterol</w:t>
            </w:r>
            <w:proofErr w:type="spellEnd"/>
            <w:r w:rsidRPr="009D0154">
              <w:rPr>
                <w:rFonts w:ascii="Book Antiqua" w:hAnsi="Book Antiqua"/>
                <w:sz w:val="24"/>
                <w:szCs w:val="24"/>
              </w:rPr>
              <w:t xml:space="preserve"> 2016; 22(38): 8540-8548</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9D0154" w:rsidP="003577BA">
            <w:pPr>
              <w:pStyle w:val="a8"/>
              <w:spacing w:line="360" w:lineRule="auto"/>
              <w:rPr>
                <w:rFonts w:ascii="Book Antiqua" w:hAnsi="Book Antiqua"/>
                <w:b w:val="0"/>
                <w:bCs w:val="0"/>
                <w:sz w:val="24"/>
                <w:szCs w:val="24"/>
                <w:lang w:val="en-US"/>
              </w:rPr>
            </w:pPr>
            <w:r w:rsidRPr="009D0154">
              <w:rPr>
                <w:rFonts w:ascii="Book Antiqua" w:hAnsi="Book Antiqua"/>
                <w:b w:val="0"/>
                <w:sz w:val="24"/>
                <w:szCs w:val="24"/>
                <w:lang w:val="en-US"/>
              </w:rPr>
              <w:t>http://www.wjgnet.com/1007-9327/full/v22/i38/8540.htm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9D0154" w:rsidRDefault="009D0154" w:rsidP="003577BA">
            <w:pPr>
              <w:pStyle w:val="a8"/>
              <w:spacing w:line="360" w:lineRule="auto"/>
              <w:rPr>
                <w:rFonts w:ascii="Book Antiqua" w:hAnsi="Book Antiqua"/>
                <w:b w:val="0"/>
                <w:sz w:val="24"/>
                <w:szCs w:val="24"/>
                <w:lang w:val="en-US"/>
              </w:rPr>
            </w:pPr>
            <w:r w:rsidRPr="009D0154">
              <w:rPr>
                <w:rFonts w:ascii="Book Antiqua" w:hAnsi="Book Antiqua"/>
                <w:b w:val="0"/>
                <w:sz w:val="24"/>
                <w:szCs w:val="24"/>
                <w:lang w:val="en-US"/>
              </w:rPr>
              <w:t>http://dx.doi.org/10.3748/wjg.v22.i38.8540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9D0154" w:rsidRDefault="009D0154" w:rsidP="003577BA">
            <w:pPr>
              <w:pStyle w:val="aa"/>
              <w:spacing w:line="360" w:lineRule="auto"/>
              <w:rPr>
                <w:rFonts w:ascii="Book Antiqua" w:hAnsi="Book Antiqua"/>
                <w:color w:val="000000"/>
                <w:sz w:val="24"/>
                <w:szCs w:val="24"/>
              </w:rPr>
            </w:pPr>
            <w:r w:rsidRPr="009D0154">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4F6E1A" w:rsidRPr="009D0154" w:rsidRDefault="009D0154">
            <w:pPr>
              <w:pStyle w:val="E-1"/>
              <w:spacing w:line="360" w:lineRule="auto"/>
              <w:rPr>
                <w:rFonts w:ascii="Book Antiqua" w:hAnsi="Book Antiqua"/>
                <w:sz w:val="24"/>
                <w:szCs w:val="24"/>
              </w:rPr>
            </w:pPr>
            <w:r w:rsidRPr="009D0154">
              <w:rPr>
                <w:rFonts w:ascii="Book Antiqua" w:hAnsi="Book Antiqua"/>
                <w:sz w:val="24"/>
                <w:szCs w:val="24"/>
              </w:rPr>
              <w:t>Bipolar patients with depressive symptoms, but not with anxiety symptoms, reported more gastrointestinal (GI) symptoms than control subjects. Unexplained GI-symptoms in bipolar patients should be seriously considered to suffer from depression and receive adequate treatment.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4F6E1A" w:rsidRPr="009D0154" w:rsidRDefault="009D0154">
            <w:pPr>
              <w:pStyle w:val="E-1"/>
              <w:spacing w:line="360" w:lineRule="auto"/>
              <w:rPr>
                <w:rFonts w:ascii="Book Antiqua" w:hAnsi="Book Antiqua"/>
                <w:sz w:val="24"/>
                <w:szCs w:val="24"/>
              </w:rPr>
            </w:pPr>
            <w:r w:rsidRPr="009D0154">
              <w:rPr>
                <w:rFonts w:ascii="Book Antiqua" w:hAnsi="Book Antiqua"/>
                <w:sz w:val="24"/>
                <w:szCs w:val="24"/>
              </w:rPr>
              <w:t>Anxiety; Bipolar disorder; Brain-Gut axis; Depression; Dyspepsia; Functional gastrointestinal disorder; Gastrointestinal Symptom Rating Scale- irritable bowel syndrome; Irritable bowel syndrome; Hospital Anxie</w:t>
            </w:r>
            <w:r>
              <w:rPr>
                <w:rFonts w:ascii="Book Antiqua" w:hAnsi="Book Antiqua"/>
                <w:sz w:val="24"/>
                <w:szCs w:val="24"/>
              </w:rPr>
              <w:t>ty and Depression Scale; Stress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9D0154" w:rsidRDefault="009D0154" w:rsidP="003577BA">
            <w:pPr>
              <w:pStyle w:val="a8"/>
              <w:spacing w:line="360" w:lineRule="auto"/>
              <w:rPr>
                <w:rFonts w:ascii="Book Antiqua" w:hAnsi="Book Antiqua"/>
                <w:sz w:val="24"/>
                <w:szCs w:val="24"/>
                <w:lang w:val="en-US"/>
              </w:rPr>
            </w:pPr>
            <w:r w:rsidRPr="009D0154">
              <w:rPr>
                <w:rFonts w:ascii="Book Antiqua" w:hAnsi="Book Antiqua"/>
                <w:sz w:val="24"/>
                <w:szCs w:val="24"/>
                <w:lang w:val="en-US"/>
              </w:rPr>
              <w:t xml:space="preserve">© The Author(s) 2016. </w:t>
            </w:r>
            <w:r w:rsidRPr="009D0154">
              <w:rPr>
                <w:rFonts w:ascii="Book Antiqua" w:hAnsi="Book Antiqua"/>
                <w:b w:val="0"/>
                <w:sz w:val="24"/>
                <w:szCs w:val="24"/>
                <w:lang w:val="en-US"/>
              </w:rPr>
              <w:t xml:space="preserve">Published by </w:t>
            </w:r>
            <w:proofErr w:type="spellStart"/>
            <w:r w:rsidRPr="009D0154">
              <w:rPr>
                <w:rFonts w:ascii="Book Antiqua" w:hAnsi="Book Antiqua"/>
                <w:b w:val="0"/>
                <w:sz w:val="24"/>
                <w:szCs w:val="24"/>
                <w:lang w:val="en-US"/>
              </w:rPr>
              <w:t>Baishideng</w:t>
            </w:r>
            <w:proofErr w:type="spellEnd"/>
            <w:r w:rsidRPr="009D0154">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4F6E1A" w:rsidRDefault="00884F3A">
            <w:pPr>
              <w:pStyle w:val="a8"/>
              <w:spacing w:line="360" w:lineRule="auto"/>
              <w:rPr>
                <w:rFonts w:ascii="Book Antiqua" w:hAnsi="Book Antiqua"/>
                <w:b w:val="0"/>
                <w:i/>
                <w:sz w:val="24"/>
                <w:szCs w:val="24"/>
                <w:lang w:val="en-US"/>
              </w:rPr>
            </w:pPr>
            <w:r w:rsidRPr="009D0154">
              <w:rPr>
                <w:rFonts w:ascii="Book Antiqua" w:hAnsi="Book Antiqua"/>
                <w:b w:val="0"/>
                <w:sz w:val="24"/>
                <w:szCs w:val="24"/>
                <w:lang w:val="en-US"/>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4F6E1A" w:rsidRDefault="00884F3A">
            <w:pPr>
              <w:pStyle w:val="a8"/>
              <w:spacing w:line="360" w:lineRule="auto"/>
              <w:rPr>
                <w:rFonts w:ascii="Book Antiqua" w:hAnsi="Book Antiqua"/>
                <w:b w:val="0"/>
                <w:sz w:val="24"/>
                <w:szCs w:val="24"/>
                <w:lang w:val="en-US"/>
              </w:rPr>
            </w:pPr>
            <w:r w:rsidRPr="009D0154">
              <w:rPr>
                <w:rFonts w:ascii="Book Antiqua" w:hAnsi="Book Antiqua"/>
                <w:b w:val="0"/>
                <w:sz w:val="24"/>
                <w:szCs w:val="24"/>
                <w:lang w:val="en-US"/>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4F6E1A" w:rsidRDefault="00884F3A">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4F6E1A" w:rsidRDefault="00884F3A">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F50781"/>
    <w:p w:rsidR="009D0154" w:rsidRDefault="009D0154" w:rsidP="009D0154">
      <w:pPr>
        <w:pStyle w:val="NormalParagraphStyle"/>
        <w:jc w:val="left"/>
        <w:rPr>
          <w:rFonts w:ascii="Tw Cen MT" w:cs="Tw Cen MT"/>
          <w:b/>
          <w:bCs/>
          <w:sz w:val="22"/>
          <w:szCs w:val="22"/>
          <w:lang w:val="en-US"/>
        </w:rPr>
      </w:pPr>
      <w:r w:rsidRPr="007653EB">
        <w:rPr>
          <w:lang w:val="en-US"/>
        </w:rPr>
        <w:lastRenderedPageBreak/>
        <w:t xml:space="preserve">                              </w:t>
      </w:r>
      <w:r>
        <w:rPr>
          <w:rFonts w:ascii="Tw Cen MT" w:cs="Tw Cen MT"/>
          <w:b/>
          <w:bCs/>
          <w:sz w:val="22"/>
          <w:szCs w:val="22"/>
          <w:lang w:val="en-US"/>
        </w:rPr>
        <w:t>Case Control Study</w:t>
      </w:r>
    </w:p>
    <w:p w:rsidR="009D0154" w:rsidRPr="007653EB" w:rsidRDefault="009D0154" w:rsidP="009D0154"/>
    <w:p w:rsidR="009D0154" w:rsidRPr="007653EB" w:rsidRDefault="009D0154" w:rsidP="009D0154">
      <w:pPr>
        <w:pStyle w:val="a8"/>
        <w:rPr>
          <w:lang w:val="en-US"/>
        </w:rPr>
      </w:pPr>
      <w:r w:rsidRPr="007653EB">
        <w:rPr>
          <w:lang w:val="en-US"/>
        </w:rPr>
        <w:t>Association between gastrointestinal symptoms and affectivity in patients with bipolar disorder</w:t>
      </w:r>
    </w:p>
    <w:p w:rsidR="009D0154" w:rsidRPr="007653EB" w:rsidRDefault="009D0154" w:rsidP="009D0154"/>
    <w:p w:rsidR="009D0154" w:rsidRPr="007653EB" w:rsidRDefault="009D0154" w:rsidP="009D0154">
      <w:pPr>
        <w:pStyle w:val="ae"/>
        <w:rPr>
          <w:lang w:val="en-US"/>
        </w:rPr>
      </w:pPr>
      <w:r w:rsidRPr="007653EB">
        <w:rPr>
          <w:lang w:val="en-US"/>
        </w:rPr>
        <w:t xml:space="preserve">Pontus </w:t>
      </w:r>
      <w:proofErr w:type="spellStart"/>
      <w:r w:rsidRPr="007653EB">
        <w:rPr>
          <w:lang w:val="en-US"/>
        </w:rPr>
        <w:t>Karling</w:t>
      </w:r>
      <w:proofErr w:type="spellEnd"/>
      <w:r w:rsidRPr="007653EB">
        <w:rPr>
          <w:lang w:val="en-US"/>
        </w:rPr>
        <w:t xml:space="preserve">, Martin </w:t>
      </w:r>
      <w:proofErr w:type="spellStart"/>
      <w:r w:rsidRPr="007653EB">
        <w:rPr>
          <w:lang w:val="en-US"/>
        </w:rPr>
        <w:t>Maripuu</w:t>
      </w:r>
      <w:proofErr w:type="spellEnd"/>
      <w:r w:rsidRPr="007653EB">
        <w:rPr>
          <w:lang w:val="en-US"/>
        </w:rPr>
        <w:t xml:space="preserve">, Mikael </w:t>
      </w:r>
      <w:proofErr w:type="spellStart"/>
      <w:r w:rsidRPr="007653EB">
        <w:rPr>
          <w:lang w:val="en-US"/>
        </w:rPr>
        <w:t>Wikgren</w:t>
      </w:r>
      <w:proofErr w:type="spellEnd"/>
      <w:r w:rsidRPr="007653EB">
        <w:rPr>
          <w:lang w:val="en-US"/>
        </w:rPr>
        <w:t xml:space="preserve">, Rolf </w:t>
      </w:r>
      <w:proofErr w:type="spellStart"/>
      <w:r w:rsidRPr="007653EB">
        <w:rPr>
          <w:lang w:val="en-US"/>
        </w:rPr>
        <w:t>Adolfsson</w:t>
      </w:r>
      <w:proofErr w:type="spellEnd"/>
      <w:r w:rsidRPr="007653EB">
        <w:rPr>
          <w:lang w:val="en-US"/>
        </w:rPr>
        <w:t xml:space="preserve">, Karl-Fredrik </w:t>
      </w:r>
      <w:proofErr w:type="spellStart"/>
      <w:r w:rsidRPr="007653EB">
        <w:rPr>
          <w:lang w:val="en-US"/>
        </w:rPr>
        <w:t>Norrback</w:t>
      </w:r>
      <w:proofErr w:type="spellEnd"/>
    </w:p>
    <w:p w:rsidR="009D0154" w:rsidRPr="007653EB" w:rsidRDefault="009D0154" w:rsidP="009D0154"/>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 xml:space="preserve">Pontus </w:t>
      </w:r>
      <w:proofErr w:type="spellStart"/>
      <w:r w:rsidRPr="007653EB">
        <w:rPr>
          <w:rFonts w:ascii="Tahoma" w:hAnsi="Tahoma" w:cs="Tahoma"/>
          <w:color w:val="000000"/>
          <w:spacing w:val="-2"/>
          <w:kern w:val="0"/>
          <w:sz w:val="18"/>
          <w:szCs w:val="18"/>
        </w:rPr>
        <w:t>Karling</w:t>
      </w:r>
      <w:proofErr w:type="spellEnd"/>
      <w:r w:rsidRPr="007653EB">
        <w:rPr>
          <w:rFonts w:ascii="Tahoma" w:hAnsi="Tahoma" w:cs="Tahoma"/>
          <w:color w:val="000000"/>
          <w:spacing w:val="-2"/>
          <w:kern w:val="0"/>
          <w:sz w:val="18"/>
          <w:szCs w:val="18"/>
        </w:rPr>
        <w:t>,</w:t>
      </w:r>
      <w:r w:rsidRPr="007653EB">
        <w:rPr>
          <w:color w:val="000000"/>
          <w:spacing w:val="-2"/>
          <w:kern w:val="0"/>
          <w:sz w:val="18"/>
          <w:szCs w:val="18"/>
        </w:rPr>
        <w:t xml:space="preserve"> Department of Public Health and Clinical Medicine, </w:t>
      </w:r>
      <w:proofErr w:type="spellStart"/>
      <w:r w:rsidRPr="007653EB">
        <w:rPr>
          <w:color w:val="000000"/>
          <w:spacing w:val="-2"/>
          <w:kern w:val="0"/>
          <w:sz w:val="18"/>
          <w:szCs w:val="18"/>
        </w:rPr>
        <w:t>Umeå</w:t>
      </w:r>
      <w:proofErr w:type="spellEnd"/>
      <w:r w:rsidRPr="007653EB">
        <w:rPr>
          <w:color w:val="000000"/>
          <w:spacing w:val="-2"/>
          <w:kern w:val="0"/>
          <w:sz w:val="18"/>
          <w:szCs w:val="18"/>
        </w:rPr>
        <w:t xml:space="preserve"> University, S-90185 </w:t>
      </w:r>
      <w:proofErr w:type="spellStart"/>
      <w:r w:rsidRPr="007653EB">
        <w:rPr>
          <w:color w:val="000000"/>
          <w:spacing w:val="-2"/>
          <w:kern w:val="0"/>
          <w:sz w:val="18"/>
          <w:szCs w:val="18"/>
        </w:rPr>
        <w:t>Umeå</w:t>
      </w:r>
      <w:proofErr w:type="spellEnd"/>
      <w:r w:rsidRPr="007653EB">
        <w:rPr>
          <w:color w:val="000000"/>
          <w:spacing w:val="-2"/>
          <w:kern w:val="0"/>
          <w:sz w:val="18"/>
          <w:szCs w:val="18"/>
        </w:rPr>
        <w:t>, Sweden</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 xml:space="preserve">Martin </w:t>
      </w:r>
      <w:proofErr w:type="spellStart"/>
      <w:r w:rsidRPr="007653EB">
        <w:rPr>
          <w:rFonts w:ascii="Tahoma" w:hAnsi="Tahoma" w:cs="Tahoma"/>
          <w:color w:val="000000"/>
          <w:spacing w:val="-2"/>
          <w:kern w:val="0"/>
          <w:sz w:val="18"/>
          <w:szCs w:val="18"/>
        </w:rPr>
        <w:t>Maripuu</w:t>
      </w:r>
      <w:proofErr w:type="spellEnd"/>
      <w:r w:rsidRPr="007653EB">
        <w:rPr>
          <w:rFonts w:ascii="Tahoma" w:hAnsi="Tahoma" w:cs="Tahoma"/>
          <w:color w:val="000000"/>
          <w:spacing w:val="-2"/>
          <w:kern w:val="0"/>
          <w:sz w:val="18"/>
          <w:szCs w:val="18"/>
        </w:rPr>
        <w:t xml:space="preserve">, Mikael </w:t>
      </w:r>
      <w:proofErr w:type="spellStart"/>
      <w:r w:rsidRPr="007653EB">
        <w:rPr>
          <w:rFonts w:ascii="Tahoma" w:hAnsi="Tahoma" w:cs="Tahoma"/>
          <w:color w:val="000000"/>
          <w:spacing w:val="-2"/>
          <w:kern w:val="0"/>
          <w:sz w:val="18"/>
          <w:szCs w:val="18"/>
        </w:rPr>
        <w:t>Wikgren</w:t>
      </w:r>
      <w:proofErr w:type="spellEnd"/>
      <w:r w:rsidRPr="007653EB">
        <w:rPr>
          <w:rFonts w:ascii="Tahoma" w:hAnsi="Tahoma" w:cs="Tahoma"/>
          <w:color w:val="000000"/>
          <w:spacing w:val="-2"/>
          <w:kern w:val="0"/>
          <w:sz w:val="18"/>
          <w:szCs w:val="18"/>
        </w:rPr>
        <w:t xml:space="preserve">, Rolf </w:t>
      </w:r>
      <w:proofErr w:type="spellStart"/>
      <w:r w:rsidRPr="007653EB">
        <w:rPr>
          <w:rFonts w:ascii="Tahoma" w:hAnsi="Tahoma" w:cs="Tahoma"/>
          <w:color w:val="000000"/>
          <w:spacing w:val="-2"/>
          <w:kern w:val="0"/>
          <w:sz w:val="18"/>
          <w:szCs w:val="18"/>
        </w:rPr>
        <w:t>Adolfsson</w:t>
      </w:r>
      <w:proofErr w:type="spellEnd"/>
      <w:r w:rsidRPr="007653EB">
        <w:rPr>
          <w:rFonts w:ascii="Tahoma" w:hAnsi="Tahoma" w:cs="Tahoma"/>
          <w:color w:val="000000"/>
          <w:spacing w:val="-2"/>
          <w:kern w:val="0"/>
          <w:sz w:val="18"/>
          <w:szCs w:val="18"/>
        </w:rPr>
        <w:t xml:space="preserve">, Karl-Fredrik </w:t>
      </w:r>
      <w:proofErr w:type="spellStart"/>
      <w:r w:rsidRPr="007653EB">
        <w:rPr>
          <w:rFonts w:ascii="Tahoma" w:hAnsi="Tahoma" w:cs="Tahoma"/>
          <w:color w:val="000000"/>
          <w:spacing w:val="-2"/>
          <w:kern w:val="0"/>
          <w:sz w:val="18"/>
          <w:szCs w:val="18"/>
        </w:rPr>
        <w:t>Norrback</w:t>
      </w:r>
      <w:proofErr w:type="spellEnd"/>
      <w:r w:rsidRPr="007653EB">
        <w:rPr>
          <w:rFonts w:ascii="Tahoma" w:hAnsi="Tahoma" w:cs="Tahoma"/>
          <w:color w:val="000000"/>
          <w:spacing w:val="-2"/>
          <w:kern w:val="0"/>
          <w:sz w:val="18"/>
          <w:szCs w:val="18"/>
        </w:rPr>
        <w:t>,</w:t>
      </w:r>
      <w:r w:rsidRPr="007653EB">
        <w:rPr>
          <w:color w:val="000000"/>
          <w:spacing w:val="-2"/>
          <w:kern w:val="0"/>
          <w:sz w:val="18"/>
          <w:szCs w:val="18"/>
        </w:rPr>
        <w:t xml:space="preserve"> Department of Clinical Sciences, Division of Psychiatry, </w:t>
      </w:r>
      <w:proofErr w:type="spellStart"/>
      <w:r w:rsidRPr="007653EB">
        <w:rPr>
          <w:color w:val="000000"/>
          <w:spacing w:val="-2"/>
          <w:kern w:val="0"/>
          <w:sz w:val="18"/>
          <w:szCs w:val="18"/>
        </w:rPr>
        <w:t>Umeå</w:t>
      </w:r>
      <w:proofErr w:type="spellEnd"/>
      <w:r w:rsidRPr="007653EB">
        <w:rPr>
          <w:color w:val="000000"/>
          <w:spacing w:val="-2"/>
          <w:kern w:val="0"/>
          <w:sz w:val="18"/>
          <w:szCs w:val="18"/>
        </w:rPr>
        <w:t xml:space="preserve"> University, S-90185 </w:t>
      </w:r>
      <w:proofErr w:type="spellStart"/>
      <w:r w:rsidRPr="007653EB">
        <w:rPr>
          <w:color w:val="000000"/>
          <w:spacing w:val="-2"/>
          <w:kern w:val="0"/>
          <w:sz w:val="18"/>
          <w:szCs w:val="18"/>
        </w:rPr>
        <w:t>Umeå</w:t>
      </w:r>
      <w:proofErr w:type="spellEnd"/>
      <w:r w:rsidRPr="007653EB">
        <w:rPr>
          <w:color w:val="000000"/>
          <w:spacing w:val="-2"/>
          <w:kern w:val="0"/>
          <w:sz w:val="18"/>
          <w:szCs w:val="18"/>
        </w:rPr>
        <w:t>, Sweden</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kern w:val="0"/>
          <w:sz w:val="18"/>
          <w:szCs w:val="18"/>
        </w:rPr>
        <w:t>Author contributions:</w:t>
      </w:r>
      <w:r w:rsidRPr="007653EB">
        <w:rPr>
          <w:color w:val="000000"/>
          <w:spacing w:val="-2"/>
          <w:kern w:val="0"/>
          <w:sz w:val="18"/>
          <w:szCs w:val="18"/>
        </w:rPr>
        <w:t xml:space="preserve"> </w:t>
      </w:r>
      <w:proofErr w:type="spellStart"/>
      <w:r w:rsidRPr="007653EB">
        <w:rPr>
          <w:color w:val="000000"/>
          <w:spacing w:val="-2"/>
          <w:kern w:val="0"/>
          <w:sz w:val="18"/>
          <w:szCs w:val="18"/>
        </w:rPr>
        <w:t>Karling</w:t>
      </w:r>
      <w:proofErr w:type="spellEnd"/>
      <w:r w:rsidRPr="007653EB">
        <w:rPr>
          <w:color w:val="000000"/>
          <w:spacing w:val="-2"/>
          <w:kern w:val="0"/>
          <w:sz w:val="18"/>
          <w:szCs w:val="18"/>
        </w:rPr>
        <w:t xml:space="preserve"> P and </w:t>
      </w:r>
      <w:proofErr w:type="spellStart"/>
      <w:r w:rsidRPr="007653EB">
        <w:rPr>
          <w:color w:val="000000"/>
          <w:spacing w:val="-2"/>
          <w:kern w:val="0"/>
          <w:sz w:val="18"/>
          <w:szCs w:val="18"/>
        </w:rPr>
        <w:t>Norrback</w:t>
      </w:r>
      <w:proofErr w:type="spellEnd"/>
      <w:r w:rsidRPr="007653EB">
        <w:rPr>
          <w:color w:val="000000"/>
          <w:spacing w:val="-2"/>
          <w:kern w:val="0"/>
          <w:sz w:val="18"/>
          <w:szCs w:val="18"/>
        </w:rPr>
        <w:t xml:space="preserve"> KF constructed the study design, contributed in the acquisition of the data, analyzed the data, interpreted the data and wrote the manuscript; </w:t>
      </w:r>
      <w:proofErr w:type="spellStart"/>
      <w:r w:rsidRPr="007653EB">
        <w:rPr>
          <w:color w:val="000000"/>
          <w:spacing w:val="-2"/>
          <w:kern w:val="0"/>
          <w:sz w:val="18"/>
          <w:szCs w:val="18"/>
        </w:rPr>
        <w:t>Maripuu</w:t>
      </w:r>
      <w:proofErr w:type="spellEnd"/>
      <w:r w:rsidRPr="007653EB">
        <w:rPr>
          <w:color w:val="000000"/>
          <w:spacing w:val="-2"/>
          <w:kern w:val="0"/>
          <w:sz w:val="18"/>
          <w:szCs w:val="18"/>
        </w:rPr>
        <w:t xml:space="preserve"> M and </w:t>
      </w:r>
      <w:proofErr w:type="spellStart"/>
      <w:r w:rsidRPr="007653EB">
        <w:rPr>
          <w:color w:val="000000"/>
          <w:spacing w:val="-2"/>
          <w:kern w:val="0"/>
          <w:sz w:val="18"/>
          <w:szCs w:val="18"/>
        </w:rPr>
        <w:t>Wikgren</w:t>
      </w:r>
      <w:proofErr w:type="spellEnd"/>
      <w:r w:rsidRPr="007653EB">
        <w:rPr>
          <w:color w:val="000000"/>
          <w:spacing w:val="-2"/>
          <w:kern w:val="0"/>
          <w:sz w:val="18"/>
          <w:szCs w:val="18"/>
        </w:rPr>
        <w:t xml:space="preserve"> M constructed the study design, interpreted the data and wrote the manuscript; </w:t>
      </w:r>
      <w:proofErr w:type="spellStart"/>
      <w:r w:rsidRPr="007653EB">
        <w:rPr>
          <w:color w:val="000000"/>
          <w:spacing w:val="-2"/>
          <w:kern w:val="0"/>
          <w:sz w:val="18"/>
          <w:szCs w:val="18"/>
        </w:rPr>
        <w:t>Adolfsson</w:t>
      </w:r>
      <w:proofErr w:type="spellEnd"/>
      <w:r w:rsidRPr="007653EB">
        <w:rPr>
          <w:color w:val="000000"/>
          <w:spacing w:val="-2"/>
          <w:kern w:val="0"/>
          <w:sz w:val="18"/>
          <w:szCs w:val="18"/>
        </w:rPr>
        <w:t xml:space="preserve"> R constructed the study design, contributed in the acquisition of the data, interpreted the data and wrote the manuscript; all authors did a final approval of the version to be published.</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proofErr w:type="gramStart"/>
      <w:r w:rsidRPr="007653EB">
        <w:rPr>
          <w:rFonts w:ascii="Tahoma" w:hAnsi="Tahoma" w:cs="Tahoma"/>
          <w:color w:val="000000"/>
          <w:kern w:val="0"/>
          <w:sz w:val="18"/>
          <w:szCs w:val="18"/>
        </w:rPr>
        <w:t>Supported by</w:t>
      </w:r>
      <w:r w:rsidRPr="007653EB">
        <w:rPr>
          <w:color w:val="000000"/>
          <w:spacing w:val="-2"/>
          <w:kern w:val="0"/>
          <w:sz w:val="18"/>
          <w:szCs w:val="18"/>
        </w:rPr>
        <w:t xml:space="preserve"> County Council of </w:t>
      </w:r>
      <w:proofErr w:type="spellStart"/>
      <w:r w:rsidRPr="007653EB">
        <w:rPr>
          <w:color w:val="000000"/>
          <w:spacing w:val="-2"/>
          <w:kern w:val="0"/>
          <w:sz w:val="18"/>
          <w:szCs w:val="18"/>
        </w:rPr>
        <w:t>Västerbotten</w:t>
      </w:r>
      <w:proofErr w:type="spellEnd"/>
      <w:r w:rsidRPr="007653EB">
        <w:rPr>
          <w:color w:val="000000"/>
          <w:spacing w:val="-2"/>
          <w:kern w:val="0"/>
          <w:sz w:val="18"/>
          <w:szCs w:val="18"/>
        </w:rPr>
        <w:t>, Sweden.</w:t>
      </w:r>
      <w:proofErr w:type="gramEnd"/>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kern w:val="0"/>
          <w:sz w:val="18"/>
          <w:szCs w:val="18"/>
        </w:rPr>
        <w:t>Correspondence to:</w:t>
      </w:r>
      <w:r w:rsidRPr="007653EB">
        <w:rPr>
          <w:rFonts w:ascii="Tahoma" w:hAnsi="Tahoma" w:cs="Tahoma"/>
          <w:color w:val="000000"/>
          <w:spacing w:val="-2"/>
          <w:kern w:val="0"/>
          <w:sz w:val="18"/>
          <w:szCs w:val="18"/>
        </w:rPr>
        <w:t xml:space="preserve"> Dr. Pontus </w:t>
      </w:r>
      <w:proofErr w:type="spellStart"/>
      <w:r w:rsidRPr="007653EB">
        <w:rPr>
          <w:rFonts w:ascii="Tahoma" w:hAnsi="Tahoma" w:cs="Tahoma"/>
          <w:color w:val="000000"/>
          <w:spacing w:val="-2"/>
          <w:kern w:val="0"/>
          <w:sz w:val="18"/>
          <w:szCs w:val="18"/>
        </w:rPr>
        <w:t>Karling</w:t>
      </w:r>
      <w:proofErr w:type="spellEnd"/>
      <w:r w:rsidRPr="007653EB">
        <w:rPr>
          <w:rFonts w:ascii="Tahoma" w:hAnsi="Tahoma" w:cs="Tahoma"/>
          <w:color w:val="000000"/>
          <w:spacing w:val="-2"/>
          <w:kern w:val="0"/>
          <w:sz w:val="18"/>
          <w:szCs w:val="18"/>
        </w:rPr>
        <w:t>,</w:t>
      </w:r>
      <w:r w:rsidRPr="007653EB">
        <w:rPr>
          <w:color w:val="000000"/>
          <w:spacing w:val="-2"/>
          <w:kern w:val="0"/>
          <w:sz w:val="18"/>
          <w:szCs w:val="18"/>
        </w:rPr>
        <w:t xml:space="preserve"> Department of Public Health and Clinical Medicine, </w:t>
      </w:r>
      <w:proofErr w:type="spellStart"/>
      <w:r w:rsidRPr="007653EB">
        <w:rPr>
          <w:color w:val="000000"/>
          <w:spacing w:val="-2"/>
          <w:kern w:val="0"/>
          <w:sz w:val="18"/>
          <w:szCs w:val="18"/>
        </w:rPr>
        <w:t>Umeå</w:t>
      </w:r>
      <w:proofErr w:type="spellEnd"/>
      <w:r w:rsidRPr="007653EB">
        <w:rPr>
          <w:color w:val="000000"/>
          <w:spacing w:val="-2"/>
          <w:kern w:val="0"/>
          <w:sz w:val="18"/>
          <w:szCs w:val="18"/>
        </w:rPr>
        <w:t xml:space="preserve"> University, </w:t>
      </w:r>
      <w:proofErr w:type="spellStart"/>
      <w:r w:rsidRPr="007653EB">
        <w:rPr>
          <w:color w:val="000000"/>
          <w:spacing w:val="-2"/>
          <w:kern w:val="0"/>
          <w:sz w:val="18"/>
          <w:szCs w:val="18"/>
        </w:rPr>
        <w:t>Universitetssjukhuset</w:t>
      </w:r>
      <w:proofErr w:type="spellEnd"/>
      <w:r w:rsidRPr="007653EB">
        <w:rPr>
          <w:color w:val="000000"/>
          <w:spacing w:val="-2"/>
          <w:kern w:val="0"/>
          <w:sz w:val="18"/>
          <w:szCs w:val="18"/>
        </w:rPr>
        <w:t xml:space="preserve">, S-90185 </w:t>
      </w:r>
      <w:proofErr w:type="spellStart"/>
      <w:r w:rsidRPr="007653EB">
        <w:rPr>
          <w:color w:val="000000"/>
          <w:spacing w:val="-2"/>
          <w:kern w:val="0"/>
          <w:sz w:val="18"/>
          <w:szCs w:val="18"/>
        </w:rPr>
        <w:t>Umeå</w:t>
      </w:r>
      <w:proofErr w:type="spellEnd"/>
      <w:r w:rsidRPr="007653EB">
        <w:rPr>
          <w:color w:val="000000"/>
          <w:spacing w:val="-2"/>
          <w:kern w:val="0"/>
          <w:sz w:val="18"/>
          <w:szCs w:val="18"/>
        </w:rPr>
        <w:t xml:space="preserve">, Sweden. </w:t>
      </w:r>
      <w:r w:rsidRPr="007653EB">
        <w:rPr>
          <w:color w:val="000000"/>
          <w:spacing w:val="-2"/>
          <w:kern w:val="0"/>
          <w:sz w:val="18"/>
          <w:szCs w:val="18"/>
          <w:u w:color="0000FF"/>
        </w:rPr>
        <w:t>pontus.karling@umu.se</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kern w:val="0"/>
          <w:sz w:val="18"/>
          <w:szCs w:val="18"/>
        </w:rPr>
        <w:t>Telephone:</w:t>
      </w:r>
      <w:r w:rsidRPr="007653EB">
        <w:rPr>
          <w:color w:val="000000"/>
          <w:spacing w:val="-2"/>
          <w:kern w:val="0"/>
          <w:sz w:val="18"/>
          <w:szCs w:val="18"/>
        </w:rPr>
        <w:t xml:space="preserve"> +46-907-850000</w:t>
      </w:r>
      <w:r>
        <w:rPr>
          <w:rFonts w:hint="eastAsia"/>
          <w:color w:val="000000"/>
          <w:spacing w:val="-2"/>
          <w:kern w:val="0"/>
          <w:sz w:val="18"/>
          <w:szCs w:val="18"/>
        </w:rPr>
        <w:t xml:space="preserve">    </w:t>
      </w:r>
      <w:r w:rsidRPr="007653EB">
        <w:rPr>
          <w:rFonts w:ascii="Tahoma" w:hAnsi="Tahoma" w:cs="Tahoma"/>
          <w:color w:val="000000"/>
          <w:kern w:val="0"/>
          <w:sz w:val="18"/>
          <w:szCs w:val="18"/>
        </w:rPr>
        <w:t>Fax:</w:t>
      </w:r>
      <w:r w:rsidRPr="007653EB">
        <w:rPr>
          <w:color w:val="000000"/>
          <w:spacing w:val="-2"/>
          <w:kern w:val="0"/>
          <w:sz w:val="18"/>
          <w:szCs w:val="18"/>
        </w:rPr>
        <w:t xml:space="preserve"> +46-901-43986</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Received:</w:t>
      </w:r>
      <w:r w:rsidRPr="007653EB">
        <w:rPr>
          <w:color w:val="000000"/>
          <w:spacing w:val="-2"/>
          <w:kern w:val="0"/>
          <w:sz w:val="18"/>
          <w:szCs w:val="18"/>
        </w:rPr>
        <w:t xml:space="preserve"> May 30, 2016</w:t>
      </w:r>
      <w:r>
        <w:rPr>
          <w:rFonts w:hint="eastAsia"/>
          <w:color w:val="000000"/>
          <w:spacing w:val="-2"/>
          <w:kern w:val="0"/>
          <w:sz w:val="18"/>
          <w:szCs w:val="18"/>
        </w:rPr>
        <w:t xml:space="preserve">    </w:t>
      </w:r>
      <w:r w:rsidRPr="007653EB">
        <w:rPr>
          <w:rFonts w:ascii="Tahoma" w:hAnsi="Tahoma" w:cs="Tahoma"/>
          <w:color w:val="000000"/>
          <w:spacing w:val="-2"/>
          <w:kern w:val="0"/>
          <w:sz w:val="18"/>
          <w:szCs w:val="18"/>
        </w:rPr>
        <w:t>Revised:</w:t>
      </w:r>
      <w:r w:rsidRPr="007653EB">
        <w:rPr>
          <w:color w:val="000000"/>
          <w:spacing w:val="-2"/>
          <w:kern w:val="0"/>
          <w:sz w:val="18"/>
          <w:szCs w:val="18"/>
        </w:rPr>
        <w:t xml:space="preserve"> August 24, </w:t>
      </w:r>
      <w:r w:rsidR="00A51B76">
        <w:rPr>
          <w:rFonts w:hint="eastAsia"/>
          <w:color w:val="000000"/>
          <w:spacing w:val="-2"/>
          <w:kern w:val="0"/>
          <w:sz w:val="18"/>
          <w:szCs w:val="18"/>
        </w:rPr>
        <w:t>2</w:t>
      </w:r>
      <w:bookmarkStart w:id="0" w:name="_GoBack"/>
      <w:bookmarkEnd w:id="0"/>
      <w:r w:rsidRPr="007653EB">
        <w:rPr>
          <w:color w:val="000000"/>
          <w:spacing w:val="-2"/>
          <w:kern w:val="0"/>
          <w:sz w:val="18"/>
          <w:szCs w:val="18"/>
        </w:rPr>
        <w:t>016</w:t>
      </w:r>
      <w:r>
        <w:rPr>
          <w:rFonts w:hint="eastAsia"/>
          <w:color w:val="000000"/>
          <w:spacing w:val="-2"/>
          <w:kern w:val="0"/>
          <w:sz w:val="18"/>
          <w:szCs w:val="18"/>
        </w:rPr>
        <w:t xml:space="preserve">   </w:t>
      </w:r>
      <w:r w:rsidRPr="007653EB">
        <w:rPr>
          <w:rFonts w:ascii="Tahoma" w:hAnsi="Tahoma" w:cs="Tahoma"/>
          <w:color w:val="000000"/>
          <w:spacing w:val="-2"/>
          <w:kern w:val="0"/>
          <w:sz w:val="18"/>
          <w:szCs w:val="18"/>
        </w:rPr>
        <w:t>Accepted:</w:t>
      </w:r>
      <w:r w:rsidRPr="007653EB">
        <w:rPr>
          <w:color w:val="000000"/>
          <w:spacing w:val="-2"/>
          <w:kern w:val="0"/>
          <w:sz w:val="18"/>
          <w:szCs w:val="18"/>
        </w:rPr>
        <w:t xml:space="preserve"> September 12, 2016</w:t>
      </w:r>
    </w:p>
    <w:p w:rsidR="009D0154" w:rsidRPr="007653EB" w:rsidRDefault="009D0154" w:rsidP="009D0154">
      <w:pPr>
        <w:suppressAutoHyphens/>
        <w:autoSpaceDE w:val="0"/>
        <w:autoSpaceDN w:val="0"/>
        <w:adjustRightInd w:val="0"/>
        <w:spacing w:line="288" w:lineRule="auto"/>
        <w:textAlignment w:val="center"/>
        <w:rPr>
          <w:color w:val="000000"/>
          <w:kern w:val="0"/>
          <w:sz w:val="18"/>
          <w:szCs w:val="18"/>
        </w:rPr>
      </w:pPr>
      <w:r w:rsidRPr="007653EB">
        <w:rPr>
          <w:rFonts w:ascii="Tahoma" w:hAnsi="Tahoma" w:cs="Tahoma"/>
          <w:color w:val="000000"/>
          <w:kern w:val="0"/>
          <w:sz w:val="18"/>
          <w:szCs w:val="18"/>
        </w:rPr>
        <w:t xml:space="preserve">Published online: </w:t>
      </w:r>
      <w:r w:rsidRPr="007653EB">
        <w:rPr>
          <w:color w:val="000000"/>
          <w:kern w:val="0"/>
          <w:sz w:val="18"/>
          <w:szCs w:val="18"/>
        </w:rPr>
        <w:t>October 14, 2016</w:t>
      </w:r>
    </w:p>
    <w:p w:rsidR="009D0154" w:rsidRPr="007653EB" w:rsidRDefault="009D0154" w:rsidP="009D0154">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9D0154" w:rsidRPr="007653EB" w:rsidRDefault="009D0154" w:rsidP="009D0154">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7653EB">
        <w:rPr>
          <w:rFonts w:ascii="Century Gothic" w:hAnsi="Century Gothic" w:cs="Century Gothic"/>
          <w:b/>
          <w:bCs/>
          <w:color w:val="000000"/>
          <w:spacing w:val="12"/>
          <w:kern w:val="0"/>
          <w:sz w:val="24"/>
          <w:szCs w:val="24"/>
        </w:rPr>
        <w:t>Abstract</w:t>
      </w:r>
    </w:p>
    <w:p w:rsidR="009D0154" w:rsidRPr="007653EB" w:rsidRDefault="009D0154" w:rsidP="009D0154">
      <w:pPr>
        <w:suppressAutoHyphens/>
        <w:autoSpaceDE w:val="0"/>
        <w:autoSpaceDN w:val="0"/>
        <w:adjustRightInd w:val="0"/>
        <w:spacing w:line="230" w:lineRule="atLeast"/>
        <w:textAlignment w:val="center"/>
        <w:rPr>
          <w:b/>
          <w:bCs/>
          <w:iCs/>
          <w:color w:val="000000"/>
          <w:spacing w:val="-1"/>
          <w:kern w:val="0"/>
          <w:sz w:val="19"/>
          <w:szCs w:val="19"/>
        </w:rPr>
      </w:pPr>
      <w:r w:rsidRPr="007653EB">
        <w:rPr>
          <w:b/>
          <w:bCs/>
          <w:iCs/>
          <w:color w:val="000000"/>
          <w:spacing w:val="-1"/>
          <w:kern w:val="0"/>
          <w:sz w:val="19"/>
          <w:szCs w:val="19"/>
        </w:rPr>
        <w:t>AIM</w:t>
      </w:r>
    </w:p>
    <w:p w:rsidR="009D0154" w:rsidRPr="007653EB" w:rsidRDefault="009D0154" w:rsidP="009D0154">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gramStart"/>
      <w:r w:rsidRPr="007653EB">
        <w:rPr>
          <w:rFonts w:ascii="Tahoma" w:hAnsi="Tahoma" w:cs="Tahoma"/>
          <w:color w:val="000000"/>
          <w:spacing w:val="-1"/>
          <w:kern w:val="0"/>
          <w:sz w:val="19"/>
          <w:szCs w:val="19"/>
        </w:rPr>
        <w:t>To study if anxiety, depression and experience of stress are associated with gastrointestinal (GI) symptoms in patients with bipolar disorder.</w:t>
      </w:r>
      <w:proofErr w:type="gramEnd"/>
    </w:p>
    <w:p w:rsidR="009D0154" w:rsidRPr="007653EB" w:rsidRDefault="009D0154" w:rsidP="009D0154">
      <w:pPr>
        <w:suppressAutoHyphens/>
        <w:autoSpaceDE w:val="0"/>
        <w:autoSpaceDN w:val="0"/>
        <w:adjustRightInd w:val="0"/>
        <w:spacing w:line="230" w:lineRule="atLeast"/>
        <w:textAlignment w:val="center"/>
        <w:rPr>
          <w:b/>
          <w:bCs/>
          <w:iCs/>
          <w:color w:val="000000"/>
          <w:spacing w:val="-1"/>
          <w:kern w:val="0"/>
          <w:sz w:val="19"/>
          <w:szCs w:val="19"/>
        </w:rPr>
      </w:pPr>
      <w:r w:rsidRPr="007653EB">
        <w:rPr>
          <w:b/>
          <w:bCs/>
          <w:iCs/>
          <w:color w:val="000000"/>
          <w:spacing w:val="-1"/>
          <w:kern w:val="0"/>
          <w:sz w:val="19"/>
          <w:szCs w:val="19"/>
        </w:rPr>
        <w:t>METHODS</w:t>
      </w:r>
    </w:p>
    <w:p w:rsidR="009D0154" w:rsidRPr="007653EB" w:rsidRDefault="009D0154" w:rsidP="009D015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7653EB">
        <w:rPr>
          <w:rFonts w:ascii="Tahoma" w:hAnsi="Tahoma" w:cs="Tahoma"/>
          <w:color w:val="000000"/>
          <w:spacing w:val="-1"/>
          <w:kern w:val="0"/>
          <w:sz w:val="19"/>
          <w:szCs w:val="19"/>
        </w:rPr>
        <w:t>A total of 136 patients with bipolar disorder (mean age 49.9 years; 61% women) and 136 controls from the general population (mean age 51.0 years; 60% women) were included in the study. GI symptoms were assessed with The Gastrointestinal Symptom Rating Scale-irritable bowel syndrome (GSRS-IBS), level of anxiety and depression with The Hospital Anxiety and Depression Scale (HADS) and stress-proneness with Perceived Stress Questionnaire. Over a ten year period, all visits in primary care were retrospectively recorded in order to identify functional GI disorders.</w:t>
      </w:r>
    </w:p>
    <w:p w:rsidR="009D0154" w:rsidRPr="007653EB" w:rsidRDefault="009D0154" w:rsidP="009D0154">
      <w:pPr>
        <w:suppressAutoHyphens/>
        <w:autoSpaceDE w:val="0"/>
        <w:autoSpaceDN w:val="0"/>
        <w:adjustRightInd w:val="0"/>
        <w:spacing w:line="230" w:lineRule="atLeast"/>
        <w:textAlignment w:val="center"/>
        <w:rPr>
          <w:b/>
          <w:bCs/>
          <w:iCs/>
          <w:color w:val="000000"/>
          <w:spacing w:val="-1"/>
          <w:kern w:val="0"/>
          <w:sz w:val="19"/>
          <w:szCs w:val="19"/>
        </w:rPr>
      </w:pPr>
      <w:r w:rsidRPr="007653EB">
        <w:rPr>
          <w:b/>
          <w:bCs/>
          <w:iCs/>
          <w:color w:val="000000"/>
          <w:spacing w:val="-1"/>
          <w:kern w:val="0"/>
          <w:sz w:val="19"/>
          <w:szCs w:val="19"/>
        </w:rPr>
        <w:t>RESULTS</w:t>
      </w:r>
    </w:p>
    <w:p w:rsidR="009D0154" w:rsidRPr="007653EB" w:rsidRDefault="009D0154" w:rsidP="009D015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7653EB">
        <w:rPr>
          <w:rFonts w:ascii="Tahoma" w:hAnsi="Tahoma" w:cs="Tahoma"/>
          <w:color w:val="000000"/>
          <w:spacing w:val="-1"/>
          <w:kern w:val="0"/>
          <w:sz w:val="19"/>
          <w:szCs w:val="19"/>
        </w:rPr>
        <w:t xml:space="preserve">In subjects with low total HADS-score, there were no significant differences in GI-symptoms between patients and controls (GSRS-IBS 7.0 </w:t>
      </w:r>
      <w:proofErr w:type="spellStart"/>
      <w:r w:rsidRPr="007653EB">
        <w:rPr>
          <w:rFonts w:ascii="Tahoma Italic" w:hAnsi="Tahoma Italic" w:cs="Tahoma Italic"/>
          <w:i/>
          <w:iCs/>
          <w:color w:val="000000"/>
          <w:spacing w:val="-1"/>
          <w:kern w:val="0"/>
          <w:sz w:val="19"/>
          <w:szCs w:val="19"/>
        </w:rPr>
        <w:t>vs</w:t>
      </w:r>
      <w:proofErr w:type="spellEnd"/>
      <w:r w:rsidRPr="007653EB">
        <w:rPr>
          <w:rFonts w:ascii="Tahoma" w:hAnsi="Tahoma" w:cs="Tahoma"/>
          <w:color w:val="000000"/>
          <w:spacing w:val="-1"/>
          <w:kern w:val="0"/>
          <w:sz w:val="19"/>
          <w:szCs w:val="19"/>
        </w:rPr>
        <w:t xml:space="preserve"> 6.5, </w:t>
      </w:r>
      <w:r w:rsidRPr="007653EB">
        <w:rPr>
          <w:rFonts w:ascii="Tahoma Italic" w:hAnsi="Tahoma Italic" w:cs="Tahoma Italic"/>
          <w:i/>
          <w:iCs/>
          <w:color w:val="000000"/>
          <w:spacing w:val="-1"/>
          <w:kern w:val="0"/>
          <w:sz w:val="19"/>
          <w:szCs w:val="19"/>
        </w:rPr>
        <w:t>P</w:t>
      </w:r>
      <w:r w:rsidRPr="007653EB">
        <w:rPr>
          <w:rFonts w:ascii="Tahoma" w:hAnsi="Tahoma" w:cs="Tahoma"/>
          <w:color w:val="000000"/>
          <w:spacing w:val="-1"/>
          <w:kern w:val="0"/>
          <w:sz w:val="19"/>
          <w:szCs w:val="19"/>
        </w:rPr>
        <w:t xml:space="preserve"> = 0.513). In the patients with bipolar disorder there were significant correlations between all GSRS and HADS </w:t>
      </w:r>
      <w:proofErr w:type="spellStart"/>
      <w:r w:rsidRPr="007653EB">
        <w:rPr>
          <w:rFonts w:ascii="Tahoma" w:hAnsi="Tahoma" w:cs="Tahoma"/>
          <w:color w:val="000000"/>
          <w:spacing w:val="-1"/>
          <w:kern w:val="0"/>
          <w:sz w:val="19"/>
          <w:szCs w:val="19"/>
        </w:rPr>
        <w:t>subscores</w:t>
      </w:r>
      <w:proofErr w:type="spellEnd"/>
      <w:r w:rsidRPr="007653EB">
        <w:rPr>
          <w:rFonts w:ascii="Tahoma" w:hAnsi="Tahoma" w:cs="Tahoma"/>
          <w:color w:val="000000"/>
          <w:spacing w:val="-1"/>
          <w:kern w:val="0"/>
          <w:sz w:val="19"/>
          <w:szCs w:val="19"/>
        </w:rPr>
        <w:t xml:space="preserve"> for all symptom clusters except for “constipation” and “reflux”. Factors associated to GI symptoms in the patient group were female sex (adjusted OR = 2.37, 95%CI: 1.07-5.24) and high HADS-Depression score (adjusted OR = 3.64, 95%CI: 1.07-12.4). These patients had also significantly more visits for IBS than patients with low HADS-Depression scores (29% </w:t>
      </w:r>
      <w:proofErr w:type="spellStart"/>
      <w:r w:rsidRPr="007653EB">
        <w:rPr>
          <w:rFonts w:ascii="Tahoma Italic" w:hAnsi="Tahoma Italic" w:cs="Tahoma Italic"/>
          <w:i/>
          <w:iCs/>
          <w:color w:val="000000"/>
          <w:spacing w:val="-1"/>
          <w:kern w:val="0"/>
          <w:sz w:val="19"/>
          <w:szCs w:val="19"/>
        </w:rPr>
        <w:t>vs</w:t>
      </w:r>
      <w:proofErr w:type="spellEnd"/>
      <w:r w:rsidRPr="007653EB">
        <w:rPr>
          <w:rFonts w:ascii="Tahoma" w:hAnsi="Tahoma" w:cs="Tahoma"/>
          <w:color w:val="000000"/>
          <w:spacing w:val="-1"/>
          <w:kern w:val="0"/>
          <w:sz w:val="19"/>
          <w:szCs w:val="19"/>
        </w:rPr>
        <w:t xml:space="preserve"> 8%, </w:t>
      </w:r>
      <w:r w:rsidRPr="007653EB">
        <w:rPr>
          <w:rFonts w:ascii="Tahoma Italic" w:hAnsi="Tahoma Italic" w:cs="Tahoma Italic"/>
          <w:i/>
          <w:iCs/>
          <w:color w:val="000000"/>
          <w:spacing w:val="-1"/>
          <w:kern w:val="0"/>
          <w:sz w:val="19"/>
          <w:szCs w:val="19"/>
        </w:rPr>
        <w:t>P</w:t>
      </w:r>
      <w:r w:rsidRPr="007653EB">
        <w:rPr>
          <w:rFonts w:ascii="Tahoma" w:hAnsi="Tahoma" w:cs="Tahoma"/>
          <w:color w:val="000000"/>
          <w:spacing w:val="-1"/>
          <w:kern w:val="0"/>
          <w:sz w:val="19"/>
          <w:szCs w:val="19"/>
        </w:rPr>
        <w:t xml:space="preserve"> = 0.008). However, there was no significant differences in consulting </w:t>
      </w:r>
      <w:proofErr w:type="spellStart"/>
      <w:r w:rsidRPr="007653EB">
        <w:rPr>
          <w:rFonts w:ascii="Tahoma" w:hAnsi="Tahoma" w:cs="Tahoma"/>
          <w:color w:val="000000"/>
          <w:spacing w:val="-1"/>
          <w:kern w:val="0"/>
          <w:sz w:val="19"/>
          <w:szCs w:val="19"/>
        </w:rPr>
        <w:t>behaviour</w:t>
      </w:r>
      <w:proofErr w:type="spellEnd"/>
      <w:r w:rsidRPr="007653EB">
        <w:rPr>
          <w:rFonts w:ascii="Tahoma" w:hAnsi="Tahoma" w:cs="Tahoma"/>
          <w:color w:val="000000"/>
          <w:spacing w:val="-1"/>
          <w:kern w:val="0"/>
          <w:sz w:val="19"/>
          <w:szCs w:val="19"/>
        </w:rPr>
        <w:t xml:space="preserve"> for functional GI disorders between patients and controls (25% </w:t>
      </w:r>
      <w:proofErr w:type="spellStart"/>
      <w:r w:rsidRPr="007653EB">
        <w:rPr>
          <w:rFonts w:ascii="Tahoma Italic" w:hAnsi="Tahoma Italic" w:cs="Tahoma Italic"/>
          <w:i/>
          <w:iCs/>
          <w:color w:val="000000"/>
          <w:spacing w:val="-1"/>
          <w:kern w:val="0"/>
          <w:sz w:val="19"/>
          <w:szCs w:val="19"/>
        </w:rPr>
        <w:t>vs</w:t>
      </w:r>
      <w:proofErr w:type="spellEnd"/>
      <w:r w:rsidRPr="007653EB">
        <w:rPr>
          <w:rFonts w:ascii="Tahoma" w:hAnsi="Tahoma" w:cs="Tahoma"/>
          <w:color w:val="000000"/>
          <w:spacing w:val="-1"/>
          <w:kern w:val="0"/>
          <w:sz w:val="19"/>
          <w:szCs w:val="19"/>
        </w:rPr>
        <w:t xml:space="preserve"> 17%, </w:t>
      </w:r>
      <w:r w:rsidRPr="007653EB">
        <w:rPr>
          <w:rFonts w:ascii="Tahoma Italic" w:hAnsi="Tahoma Italic" w:cs="Tahoma Italic"/>
          <w:i/>
          <w:iCs/>
          <w:color w:val="000000"/>
          <w:spacing w:val="-1"/>
          <w:kern w:val="0"/>
          <w:sz w:val="19"/>
          <w:szCs w:val="19"/>
        </w:rPr>
        <w:t>P</w:t>
      </w:r>
      <w:r w:rsidRPr="007653EB">
        <w:rPr>
          <w:rFonts w:ascii="Tahoma" w:hAnsi="Tahoma" w:cs="Tahoma"/>
          <w:color w:val="000000"/>
          <w:spacing w:val="-1"/>
          <w:kern w:val="0"/>
          <w:sz w:val="19"/>
          <w:szCs w:val="19"/>
        </w:rPr>
        <w:t xml:space="preserve"> = 0.108).</w:t>
      </w:r>
    </w:p>
    <w:p w:rsidR="009D0154" w:rsidRPr="007653EB" w:rsidRDefault="009D0154" w:rsidP="009D0154">
      <w:pPr>
        <w:suppressAutoHyphens/>
        <w:autoSpaceDE w:val="0"/>
        <w:autoSpaceDN w:val="0"/>
        <w:adjustRightInd w:val="0"/>
        <w:spacing w:line="230" w:lineRule="atLeast"/>
        <w:textAlignment w:val="center"/>
        <w:rPr>
          <w:b/>
          <w:bCs/>
          <w:iCs/>
          <w:color w:val="000000"/>
          <w:spacing w:val="-1"/>
          <w:kern w:val="0"/>
          <w:sz w:val="19"/>
          <w:szCs w:val="19"/>
        </w:rPr>
      </w:pPr>
      <w:r w:rsidRPr="007653EB">
        <w:rPr>
          <w:b/>
          <w:bCs/>
          <w:iCs/>
          <w:color w:val="000000"/>
          <w:spacing w:val="-1"/>
          <w:kern w:val="0"/>
          <w:sz w:val="19"/>
          <w:szCs w:val="19"/>
        </w:rPr>
        <w:t>CONCLUSION</w:t>
      </w:r>
    </w:p>
    <w:p w:rsidR="009D0154" w:rsidRPr="007653EB" w:rsidRDefault="009D0154" w:rsidP="009D015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7653EB">
        <w:rPr>
          <w:rFonts w:ascii="Tahoma" w:hAnsi="Tahoma" w:cs="Tahoma"/>
          <w:color w:val="000000"/>
          <w:spacing w:val="-1"/>
          <w:kern w:val="0"/>
          <w:sz w:val="19"/>
          <w:szCs w:val="19"/>
        </w:rPr>
        <w:t>Female patients and patients with high HADS depression score reported significantly more GI symptoms, whereas patients with low HADS scores did not differ from control subjects.</w:t>
      </w:r>
    </w:p>
    <w:p w:rsidR="009D0154" w:rsidRPr="007653EB" w:rsidRDefault="009D0154" w:rsidP="009D0154">
      <w:pPr>
        <w:suppressAutoHyphens/>
        <w:autoSpaceDE w:val="0"/>
        <w:autoSpaceDN w:val="0"/>
        <w:adjustRightInd w:val="0"/>
        <w:spacing w:line="230" w:lineRule="atLeast"/>
        <w:textAlignment w:val="center"/>
        <w:rPr>
          <w:b/>
          <w:bCs/>
          <w:color w:val="000000"/>
          <w:spacing w:val="-1"/>
          <w:kern w:val="0"/>
          <w:sz w:val="19"/>
          <w:szCs w:val="19"/>
        </w:rPr>
      </w:pPr>
    </w:p>
    <w:p w:rsidR="009D0154" w:rsidRPr="007653EB" w:rsidRDefault="009D0154" w:rsidP="009D015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7653EB">
        <w:rPr>
          <w:b/>
          <w:bCs/>
          <w:color w:val="000000"/>
          <w:spacing w:val="-1"/>
          <w:kern w:val="0"/>
          <w:sz w:val="19"/>
          <w:szCs w:val="19"/>
        </w:rPr>
        <w:t>Key words:</w:t>
      </w:r>
      <w:r w:rsidRPr="007653EB">
        <w:rPr>
          <w:rFonts w:ascii="Tahoma" w:hAnsi="Tahoma" w:cs="Tahoma"/>
          <w:b/>
          <w:bCs/>
          <w:color w:val="000000"/>
          <w:spacing w:val="-1"/>
          <w:kern w:val="0"/>
          <w:sz w:val="19"/>
          <w:szCs w:val="19"/>
        </w:rPr>
        <w:t xml:space="preserve"> </w:t>
      </w:r>
      <w:r w:rsidRPr="007653EB">
        <w:rPr>
          <w:rFonts w:ascii="Tahoma" w:hAnsi="Tahoma" w:cs="Tahoma"/>
          <w:color w:val="000000"/>
          <w:spacing w:val="-1"/>
          <w:kern w:val="0"/>
          <w:sz w:val="19"/>
          <w:szCs w:val="19"/>
        </w:rPr>
        <w:t>Anxiety; Bipolar disorder; Brain-Gut axis; Depression; Dyspepsia; Functional gastrointestinal disorder; Gastrointestinal Symptom Rating Scale- irritable bowel syndrome; Irritable bowel syndrome; Hospital Anxiety and Depression Scale; Stress</w:t>
      </w:r>
    </w:p>
    <w:p w:rsidR="009D0154" w:rsidRPr="007653EB" w:rsidRDefault="009D0154" w:rsidP="009D0154">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9D0154" w:rsidRPr="007653EB" w:rsidRDefault="009D0154" w:rsidP="009D0154">
      <w:pPr>
        <w:suppressAutoHyphens/>
        <w:autoSpaceDE w:val="0"/>
        <w:autoSpaceDN w:val="0"/>
        <w:adjustRightInd w:val="0"/>
        <w:spacing w:line="230" w:lineRule="atLeast"/>
        <w:textAlignment w:val="center"/>
        <w:rPr>
          <w:color w:val="000000"/>
          <w:spacing w:val="-1"/>
          <w:kern w:val="0"/>
          <w:sz w:val="18"/>
          <w:szCs w:val="18"/>
        </w:rPr>
      </w:pPr>
      <w:proofErr w:type="spellStart"/>
      <w:r w:rsidRPr="007653EB">
        <w:rPr>
          <w:color w:val="000000"/>
          <w:spacing w:val="-2"/>
          <w:kern w:val="0"/>
          <w:sz w:val="18"/>
          <w:szCs w:val="18"/>
        </w:rPr>
        <w:t>Karling</w:t>
      </w:r>
      <w:proofErr w:type="spellEnd"/>
      <w:r w:rsidRPr="007653EB">
        <w:rPr>
          <w:color w:val="000000"/>
          <w:spacing w:val="-2"/>
          <w:kern w:val="0"/>
          <w:sz w:val="18"/>
          <w:szCs w:val="18"/>
        </w:rPr>
        <w:t xml:space="preserve"> P, </w:t>
      </w:r>
      <w:proofErr w:type="spellStart"/>
      <w:r w:rsidRPr="007653EB">
        <w:rPr>
          <w:color w:val="000000"/>
          <w:spacing w:val="-2"/>
          <w:kern w:val="0"/>
          <w:sz w:val="18"/>
          <w:szCs w:val="18"/>
        </w:rPr>
        <w:t>Maripuu</w:t>
      </w:r>
      <w:proofErr w:type="spellEnd"/>
      <w:r w:rsidRPr="007653EB">
        <w:rPr>
          <w:color w:val="000000"/>
          <w:spacing w:val="-2"/>
          <w:kern w:val="0"/>
          <w:sz w:val="18"/>
          <w:szCs w:val="18"/>
        </w:rPr>
        <w:t xml:space="preserve"> M, </w:t>
      </w:r>
      <w:proofErr w:type="spellStart"/>
      <w:r w:rsidRPr="007653EB">
        <w:rPr>
          <w:color w:val="000000"/>
          <w:spacing w:val="-2"/>
          <w:kern w:val="0"/>
          <w:sz w:val="18"/>
          <w:szCs w:val="18"/>
        </w:rPr>
        <w:t>Wikgren</w:t>
      </w:r>
      <w:proofErr w:type="spellEnd"/>
      <w:r w:rsidRPr="007653EB">
        <w:rPr>
          <w:color w:val="000000"/>
          <w:spacing w:val="-2"/>
          <w:kern w:val="0"/>
          <w:sz w:val="18"/>
          <w:szCs w:val="18"/>
        </w:rPr>
        <w:t xml:space="preserve"> M, </w:t>
      </w:r>
      <w:proofErr w:type="spellStart"/>
      <w:r w:rsidRPr="007653EB">
        <w:rPr>
          <w:color w:val="000000"/>
          <w:spacing w:val="-2"/>
          <w:kern w:val="0"/>
          <w:sz w:val="18"/>
          <w:szCs w:val="18"/>
        </w:rPr>
        <w:t>Adolfsson</w:t>
      </w:r>
      <w:proofErr w:type="spellEnd"/>
      <w:r w:rsidRPr="007653EB">
        <w:rPr>
          <w:color w:val="000000"/>
          <w:spacing w:val="-2"/>
          <w:kern w:val="0"/>
          <w:sz w:val="18"/>
          <w:szCs w:val="18"/>
        </w:rPr>
        <w:t xml:space="preserve"> R, </w:t>
      </w:r>
      <w:proofErr w:type="spellStart"/>
      <w:r w:rsidRPr="007653EB">
        <w:rPr>
          <w:color w:val="000000"/>
          <w:spacing w:val="-2"/>
          <w:kern w:val="0"/>
          <w:sz w:val="18"/>
          <w:szCs w:val="18"/>
        </w:rPr>
        <w:t>Norrback</w:t>
      </w:r>
      <w:proofErr w:type="spellEnd"/>
      <w:r w:rsidRPr="007653EB">
        <w:rPr>
          <w:color w:val="000000"/>
          <w:spacing w:val="-2"/>
          <w:kern w:val="0"/>
          <w:sz w:val="18"/>
          <w:szCs w:val="18"/>
        </w:rPr>
        <w:t xml:space="preserve"> KF. </w:t>
      </w:r>
      <w:proofErr w:type="gramStart"/>
      <w:r w:rsidRPr="007653EB">
        <w:rPr>
          <w:color w:val="000000"/>
          <w:spacing w:val="-2"/>
          <w:kern w:val="0"/>
          <w:sz w:val="18"/>
          <w:szCs w:val="18"/>
        </w:rPr>
        <w:t>Association between gastrointestinal symptoms and affectivity in patients with bipolar disorder.</w:t>
      </w:r>
      <w:proofErr w:type="gramEnd"/>
      <w:r w:rsidRPr="007653EB">
        <w:rPr>
          <w:i/>
          <w:iCs/>
          <w:color w:val="000000"/>
          <w:spacing w:val="-2"/>
          <w:kern w:val="0"/>
          <w:sz w:val="18"/>
          <w:szCs w:val="18"/>
        </w:rPr>
        <w:t xml:space="preserve"> </w:t>
      </w:r>
      <w:r w:rsidRPr="007653EB">
        <w:rPr>
          <w:i/>
          <w:iCs/>
          <w:color w:val="000000"/>
          <w:spacing w:val="-1"/>
          <w:kern w:val="0"/>
          <w:sz w:val="18"/>
          <w:szCs w:val="18"/>
        </w:rPr>
        <w:t xml:space="preserve">World J </w:t>
      </w:r>
      <w:proofErr w:type="spellStart"/>
      <w:r w:rsidRPr="007653EB">
        <w:rPr>
          <w:i/>
          <w:iCs/>
          <w:color w:val="000000"/>
          <w:spacing w:val="-1"/>
          <w:kern w:val="0"/>
          <w:sz w:val="18"/>
          <w:szCs w:val="18"/>
        </w:rPr>
        <w:t>Gastroenterol</w:t>
      </w:r>
      <w:proofErr w:type="spellEnd"/>
      <w:r w:rsidRPr="007653EB">
        <w:rPr>
          <w:color w:val="000000"/>
          <w:spacing w:val="-1"/>
          <w:kern w:val="0"/>
          <w:sz w:val="18"/>
          <w:szCs w:val="18"/>
        </w:rPr>
        <w:t xml:space="preserve"> 2016; 22(38): 8540-</w:t>
      </w:r>
      <w:proofErr w:type="gramStart"/>
      <w:r w:rsidRPr="007653EB">
        <w:rPr>
          <w:color w:val="000000"/>
          <w:spacing w:val="-1"/>
          <w:kern w:val="0"/>
          <w:sz w:val="18"/>
          <w:szCs w:val="18"/>
        </w:rPr>
        <w:t>8548  Available</w:t>
      </w:r>
      <w:proofErr w:type="gramEnd"/>
      <w:r w:rsidRPr="007653EB">
        <w:rPr>
          <w:color w:val="000000"/>
          <w:spacing w:val="-1"/>
          <w:kern w:val="0"/>
          <w:sz w:val="18"/>
          <w:szCs w:val="18"/>
        </w:rPr>
        <w:t xml:space="preserve"> from: URL: http://www.wjgnet.com/1007-9327/full/v22/i38/8540.htm  DOI: http://dx.doi.org/10.3748/wjg.v22.i38.8540</w:t>
      </w:r>
    </w:p>
    <w:p w:rsidR="009D0154"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E00154" w:rsidRDefault="009D0154" w:rsidP="009D0154">
      <w:proofErr w:type="gramStart"/>
      <w:r w:rsidRPr="00E00154">
        <w:rPr>
          <w:b/>
          <w:bCs/>
        </w:rPr>
        <w:t>© The Author(s) 2016.</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7653EB">
        <w:rPr>
          <w:b/>
          <w:bCs/>
          <w:color w:val="000000"/>
          <w:spacing w:val="-3"/>
          <w:kern w:val="0"/>
          <w:sz w:val="19"/>
          <w:szCs w:val="19"/>
        </w:rPr>
        <w:t>Core tip:</w:t>
      </w:r>
      <w:r w:rsidRPr="007653EB">
        <w:rPr>
          <w:rFonts w:ascii="Tahoma" w:hAnsi="Tahoma" w:cs="Tahoma"/>
          <w:b/>
          <w:bCs/>
          <w:color w:val="000000"/>
          <w:spacing w:val="-1"/>
          <w:kern w:val="0"/>
          <w:sz w:val="19"/>
          <w:szCs w:val="19"/>
        </w:rPr>
        <w:t xml:space="preserve"> </w:t>
      </w:r>
      <w:r w:rsidRPr="007653EB">
        <w:rPr>
          <w:rFonts w:ascii="Tahoma" w:hAnsi="Tahoma" w:cs="Tahoma"/>
          <w:color w:val="000000"/>
          <w:spacing w:val="-1"/>
          <w:kern w:val="0"/>
          <w:sz w:val="19"/>
          <w:szCs w:val="19"/>
        </w:rPr>
        <w:t>Bipolar patients with depressive symptoms, but not with anxiety symptoms, reported more gastrointestinal (GI) symptoms than control subjects. Unexplained GI-symptoms in bipolar patients should be seriously considered to suffer from depression and receive adequate treatment.</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7653EB">
        <w:rPr>
          <w:rFonts w:ascii="Univers" w:hAnsi="Univers" w:cs="Univers"/>
          <w:b/>
          <w:bCs/>
          <w:color w:val="000000"/>
          <w:spacing w:val="-2"/>
          <w:kern w:val="0"/>
          <w:sz w:val="24"/>
          <w:szCs w:val="24"/>
          <w:u w:val="single"/>
        </w:rPr>
        <w:t>INTRODUCTION</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7653EB">
        <w:rPr>
          <w:rFonts w:ascii="Verdana" w:hAnsi="Verdana" w:cs="Verdana"/>
          <w:color w:val="000000"/>
          <w:spacing w:val="-8"/>
          <w:kern w:val="0"/>
          <w:sz w:val="18"/>
          <w:szCs w:val="18"/>
        </w:rPr>
        <w:t xml:space="preserve">Affective disorders or affective symptoms such as depression and anxiety are common in those who seek help for functional gastrointestinal (GI) </w:t>
      </w:r>
      <w:proofErr w:type="gramStart"/>
      <w:r w:rsidRPr="007653EB">
        <w:rPr>
          <w:rFonts w:ascii="Verdana" w:hAnsi="Verdana" w:cs="Verdana"/>
          <w:color w:val="000000"/>
          <w:spacing w:val="-8"/>
          <w:kern w:val="0"/>
          <w:sz w:val="18"/>
          <w:szCs w:val="18"/>
        </w:rPr>
        <w:t>complaints</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1]</w:t>
      </w:r>
      <w:r w:rsidRPr="007653EB">
        <w:rPr>
          <w:rFonts w:ascii="Verdana" w:hAnsi="Verdana" w:cs="Verdana"/>
          <w:color w:val="000000"/>
          <w:spacing w:val="-8"/>
          <w:kern w:val="0"/>
          <w:sz w:val="18"/>
          <w:szCs w:val="18"/>
        </w:rPr>
        <w:t xml:space="preserve">. Studies concerning the relationship between anxiety/depression and GI symptoms might be biased by a higher health care utilization that comes with psychological </w:t>
      </w:r>
      <w:proofErr w:type="gramStart"/>
      <w:r w:rsidRPr="007653EB">
        <w:rPr>
          <w:rFonts w:ascii="Verdana" w:hAnsi="Verdana" w:cs="Verdana"/>
          <w:color w:val="000000"/>
          <w:spacing w:val="-8"/>
          <w:kern w:val="0"/>
          <w:sz w:val="18"/>
          <w:szCs w:val="18"/>
        </w:rPr>
        <w:t>comorbidity</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2,3]</w:t>
      </w:r>
      <w:r w:rsidRPr="007653EB">
        <w:rPr>
          <w:rFonts w:ascii="Verdana" w:hAnsi="Verdana" w:cs="Verdana"/>
          <w:color w:val="000000"/>
          <w:spacing w:val="-8"/>
          <w:kern w:val="0"/>
          <w:sz w:val="18"/>
          <w:szCs w:val="18"/>
        </w:rPr>
        <w:t xml:space="preserve">. To study the temporal relationship between the onset of gut symptoms and the onset of affective symptoms is difficult because of the insidious onset and fluctuating course of both affective and functional GI </w:t>
      </w:r>
      <w:proofErr w:type="gramStart"/>
      <w:r w:rsidRPr="007653EB">
        <w:rPr>
          <w:rFonts w:ascii="Verdana" w:hAnsi="Verdana" w:cs="Verdana"/>
          <w:color w:val="000000"/>
          <w:spacing w:val="-8"/>
          <w:kern w:val="0"/>
          <w:sz w:val="18"/>
          <w:szCs w:val="18"/>
        </w:rPr>
        <w:t>disorders</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3,4]</w:t>
      </w:r>
      <w:r w:rsidRPr="007653EB">
        <w:rPr>
          <w:rFonts w:ascii="Verdana" w:hAnsi="Verdana" w:cs="Verdana"/>
          <w:color w:val="000000"/>
          <w:spacing w:val="-8"/>
          <w:kern w:val="0"/>
          <w:sz w:val="18"/>
          <w:szCs w:val="18"/>
        </w:rPr>
        <w:t>. Most studies that aim to characterize the relationship between bowel disorders and anxiety/depression are performed on patients from gastroenterology units. These patients often have longstanding and disabling gut symp</w:t>
      </w:r>
      <w:r w:rsidRPr="007653EB">
        <w:rPr>
          <w:rFonts w:ascii="Verdana" w:hAnsi="Verdana" w:cs="Verdana"/>
          <w:color w:val="000000"/>
          <w:spacing w:val="-8"/>
          <w:kern w:val="0"/>
          <w:sz w:val="18"/>
          <w:szCs w:val="18"/>
        </w:rPr>
        <w:softHyphen/>
        <w:t xml:space="preserve">toms with negative consequences on quality of life which in the long run may have an impact on mood. Therefore, a different approach for studying how affective syndromes influence the bowel and brain-gut interactions is to set the starting point at the psychiatric patients. Accordingly, there are relatively few studies using this </w:t>
      </w:r>
      <w:proofErr w:type="gramStart"/>
      <w:r w:rsidRPr="007653EB">
        <w:rPr>
          <w:rFonts w:ascii="Verdana" w:hAnsi="Verdana" w:cs="Verdana"/>
          <w:color w:val="000000"/>
          <w:spacing w:val="-8"/>
          <w:kern w:val="0"/>
          <w:sz w:val="18"/>
          <w:szCs w:val="18"/>
        </w:rPr>
        <w:t>approach</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5]</w:t>
      </w:r>
      <w:r w:rsidRPr="007653EB">
        <w:rPr>
          <w:rFonts w:ascii="Verdana" w:hAnsi="Verdana" w:cs="Verdana"/>
          <w:color w:val="000000"/>
          <w:spacing w:val="-8"/>
          <w:kern w:val="0"/>
          <w:sz w:val="18"/>
          <w:szCs w:val="18"/>
        </w:rPr>
        <w:t xml:space="preserve">. In a large group of patients with unipolar depression, we have previously described that GI symptoms were common and related to symptoms of anxiety and </w:t>
      </w:r>
      <w:proofErr w:type="gramStart"/>
      <w:r w:rsidRPr="007653EB">
        <w:rPr>
          <w:rFonts w:ascii="Verdana" w:hAnsi="Verdana" w:cs="Verdana"/>
          <w:color w:val="000000"/>
          <w:spacing w:val="-8"/>
          <w:kern w:val="0"/>
          <w:sz w:val="18"/>
          <w:szCs w:val="18"/>
        </w:rPr>
        <w:t>depression</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6]</w:t>
      </w:r>
      <w:r w:rsidRPr="007653EB">
        <w:rPr>
          <w:rFonts w:ascii="Verdana" w:hAnsi="Verdana" w:cs="Verdana"/>
          <w:color w:val="000000"/>
          <w:spacing w:val="-8"/>
          <w:kern w:val="0"/>
          <w:sz w:val="18"/>
          <w:szCs w:val="18"/>
        </w:rPr>
        <w:t>. Patients with unipolar depression have more pain, including abdominal pain, which in part correlates with the severity of the depressive mood, and patients with unipolar depression show a higher health care utilization for symptoms not denoted as “psychiatric</w:t>
      </w:r>
      <w:proofErr w:type="gramStart"/>
      <w:r w:rsidRPr="007653EB">
        <w:rPr>
          <w:rFonts w:ascii="Verdana" w:hAnsi="Verdana" w:cs="Verdana"/>
          <w:color w:val="000000"/>
          <w:spacing w:val="-8"/>
          <w:kern w:val="0"/>
          <w:sz w:val="18"/>
          <w:szCs w:val="18"/>
        </w:rPr>
        <w:t>”</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5-9]</w:t>
      </w:r>
      <w:r w:rsidRPr="007653EB">
        <w:rPr>
          <w:rFonts w:ascii="Verdana" w:hAnsi="Verdana" w:cs="Verdana"/>
          <w:color w:val="000000"/>
          <w:spacing w:val="-8"/>
          <w:kern w:val="0"/>
          <w:sz w:val="18"/>
          <w:szCs w:val="18"/>
        </w:rPr>
        <w: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7653EB">
        <w:rPr>
          <w:rFonts w:ascii="Verdana" w:hAnsi="Verdana" w:cs="Verdana"/>
          <w:color w:val="000000"/>
          <w:spacing w:val="-7"/>
          <w:kern w:val="0"/>
          <w:sz w:val="18"/>
          <w:szCs w:val="18"/>
        </w:rPr>
        <w:t>Bipolar disorder, including different subtypes such as bipolar disorder 1 and 2, is a common condition with reported life time prevalence in the population estimated at 2.4</w:t>
      </w:r>
      <w:proofErr w:type="gramStart"/>
      <w:r w:rsidRPr="007653EB">
        <w:rPr>
          <w:rFonts w:ascii="Verdana" w:hAnsi="Verdana" w:cs="Verdana"/>
          <w:color w:val="000000"/>
          <w:spacing w:val="-7"/>
          <w:kern w:val="0"/>
          <w:sz w:val="18"/>
          <w:szCs w:val="18"/>
        </w:rPr>
        <w:t>%</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10]</w:t>
      </w:r>
      <w:r w:rsidRPr="007653EB">
        <w:rPr>
          <w:rFonts w:ascii="Verdana" w:hAnsi="Verdana" w:cs="Verdana"/>
          <w:color w:val="000000"/>
          <w:spacing w:val="-7"/>
          <w:kern w:val="0"/>
          <w:sz w:val="18"/>
          <w:szCs w:val="18"/>
        </w:rPr>
        <w:t>. Furthermore, in the last decade bipolar disorder is more described as a chronic, progressive disorder with significant residual symp</w:t>
      </w:r>
      <w:r w:rsidRPr="007653EB">
        <w:rPr>
          <w:rFonts w:ascii="Verdana" w:hAnsi="Verdana" w:cs="Verdana"/>
          <w:color w:val="000000"/>
          <w:spacing w:val="-7"/>
          <w:kern w:val="0"/>
          <w:sz w:val="18"/>
          <w:szCs w:val="18"/>
        </w:rPr>
        <w:softHyphen/>
        <w:t xml:space="preserve">toms between episodes of depression and mania/hypomania rather than classically cyclical </w:t>
      </w:r>
      <w:proofErr w:type="gramStart"/>
      <w:r w:rsidRPr="007653EB">
        <w:rPr>
          <w:rFonts w:ascii="Verdana" w:hAnsi="Verdana" w:cs="Verdana"/>
          <w:color w:val="000000"/>
          <w:spacing w:val="-7"/>
          <w:kern w:val="0"/>
          <w:sz w:val="18"/>
          <w:szCs w:val="18"/>
        </w:rPr>
        <w:t>illness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11]</w:t>
      </w:r>
      <w:r w:rsidRPr="007653EB">
        <w:rPr>
          <w:rFonts w:ascii="Verdana" w:hAnsi="Verdana" w:cs="Verdana"/>
          <w:color w:val="000000"/>
          <w:spacing w:val="-7"/>
          <w:kern w:val="0"/>
          <w:sz w:val="18"/>
          <w:szCs w:val="18"/>
        </w:rPr>
        <w:t xml:space="preserve">. It is estimated that bipolar disorder patients suffer from affective symptoms 50% of the time even if they are appropriately treated and are receiving mood stabilizing medication. </w:t>
      </w:r>
      <w:r w:rsidRPr="007653EB">
        <w:rPr>
          <w:rFonts w:ascii="Verdana" w:hAnsi="Verdana" w:cs="Verdana"/>
          <w:color w:val="000000"/>
          <w:spacing w:val="-8"/>
          <w:kern w:val="0"/>
          <w:sz w:val="18"/>
          <w:szCs w:val="18"/>
        </w:rPr>
        <w:t xml:space="preserve">The cost of total health care for patients with bipolar disorder is estimated at two to four times higher than for age- and sex matched </w:t>
      </w:r>
      <w:proofErr w:type="gramStart"/>
      <w:r w:rsidRPr="007653EB">
        <w:rPr>
          <w:rFonts w:ascii="Verdana" w:hAnsi="Verdana" w:cs="Verdana"/>
          <w:color w:val="000000"/>
          <w:spacing w:val="-8"/>
          <w:kern w:val="0"/>
          <w:sz w:val="18"/>
          <w:szCs w:val="18"/>
        </w:rPr>
        <w:t>controls</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12]</w:t>
      </w:r>
      <w:r w:rsidRPr="007653EB">
        <w:rPr>
          <w:rFonts w:ascii="Verdana" w:hAnsi="Verdana" w:cs="Verdana"/>
          <w:color w:val="000000"/>
          <w:spacing w:val="-8"/>
          <w:kern w:val="0"/>
          <w:sz w:val="18"/>
          <w:szCs w:val="18"/>
        </w:rPr>
        <w:t>. In contrast to patients with unipolar depression, there are little published data concerning functional GI symptoms in patients with bipolar disorder.</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The primary aim of this study was to compare the prevalence of GI symptoms in patients with bipolar </w:t>
      </w:r>
      <w:r w:rsidRPr="007653EB">
        <w:rPr>
          <w:rFonts w:ascii="Verdana" w:hAnsi="Verdana" w:cs="Verdana"/>
          <w:color w:val="000000"/>
          <w:spacing w:val="-7"/>
          <w:kern w:val="0"/>
          <w:sz w:val="18"/>
          <w:szCs w:val="18"/>
        </w:rPr>
        <w:lastRenderedPageBreak/>
        <w:t>disorder versus controls, and to determine the extent to which symptoms of anxiety/depression/stress and GI symptoms correlates in patients with an established bipolar disorder. A secondary aim was to determine if other factors than affectivity are associated to GI symptoms in patients with bipolar disorder.</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7653EB">
        <w:rPr>
          <w:rFonts w:ascii="Univers" w:hAnsi="Univers" w:cs="Univers"/>
          <w:b/>
          <w:bCs/>
          <w:color w:val="000000"/>
          <w:spacing w:val="-2"/>
          <w:kern w:val="0"/>
          <w:sz w:val="24"/>
          <w:szCs w:val="24"/>
          <w:u w:val="single"/>
        </w:rPr>
        <w:t>MATERIALS AND METHODS</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Study participants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Outpatients with a bipolar type 1 or type 2 diagnoses were considered for participation in the study, which is part of the multiple-outcome research project, the </w:t>
      </w:r>
      <w:proofErr w:type="spellStart"/>
      <w:r w:rsidRPr="007653EB">
        <w:rPr>
          <w:rFonts w:ascii="Verdana" w:hAnsi="Verdana" w:cs="Verdana"/>
          <w:color w:val="000000"/>
          <w:spacing w:val="-7"/>
          <w:kern w:val="0"/>
          <w:sz w:val="18"/>
          <w:szCs w:val="18"/>
        </w:rPr>
        <w:t>Umeå</w:t>
      </w:r>
      <w:proofErr w:type="spellEnd"/>
      <w:r w:rsidRPr="007653EB">
        <w:rPr>
          <w:rFonts w:ascii="Verdana" w:hAnsi="Verdana" w:cs="Verdana"/>
          <w:color w:val="000000"/>
          <w:spacing w:val="-7"/>
          <w:kern w:val="0"/>
          <w:sz w:val="18"/>
          <w:szCs w:val="18"/>
        </w:rPr>
        <w:t xml:space="preserve"> Bipolar project. The patients were treated at a specialized outpatient affective unit at </w:t>
      </w:r>
      <w:proofErr w:type="spellStart"/>
      <w:r w:rsidRPr="007653EB">
        <w:rPr>
          <w:rFonts w:ascii="Verdana" w:hAnsi="Verdana" w:cs="Verdana"/>
          <w:color w:val="000000"/>
          <w:spacing w:val="-7"/>
          <w:kern w:val="0"/>
          <w:sz w:val="18"/>
          <w:szCs w:val="18"/>
        </w:rPr>
        <w:t>Umeå</w:t>
      </w:r>
      <w:proofErr w:type="spellEnd"/>
      <w:r w:rsidRPr="007653EB">
        <w:rPr>
          <w:rFonts w:ascii="Verdana" w:hAnsi="Verdana" w:cs="Verdana"/>
          <w:color w:val="000000"/>
          <w:spacing w:val="-7"/>
          <w:kern w:val="0"/>
          <w:sz w:val="18"/>
          <w:szCs w:val="18"/>
        </w:rPr>
        <w:t xml:space="preserve"> University Hospital. The diagnoses were made according to DSM-IV </w:t>
      </w:r>
      <w:proofErr w:type="gramStart"/>
      <w:r w:rsidRPr="007653EB">
        <w:rPr>
          <w:rFonts w:ascii="Verdana" w:hAnsi="Verdana" w:cs="Verdana"/>
          <w:color w:val="000000"/>
          <w:spacing w:val="-7"/>
          <w:kern w:val="0"/>
          <w:sz w:val="18"/>
          <w:szCs w:val="18"/>
        </w:rPr>
        <w:t>criteria</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13]</w:t>
      </w:r>
      <w:r w:rsidRPr="007653EB">
        <w:rPr>
          <w:rFonts w:ascii="Verdana" w:hAnsi="Verdana" w:cs="Verdana"/>
          <w:color w:val="000000"/>
          <w:spacing w:val="-7"/>
          <w:kern w:val="0"/>
          <w:sz w:val="18"/>
          <w:szCs w:val="18"/>
        </w:rPr>
        <w:t xml:space="preserve">. General exclusion criteria were dementia, mental retardation, relatedness as well as any other feature that would compromise the ability to </w:t>
      </w:r>
      <w:proofErr w:type="spellStart"/>
      <w:r w:rsidRPr="007653EB">
        <w:rPr>
          <w:rFonts w:ascii="Verdana" w:hAnsi="Verdana" w:cs="Verdana"/>
          <w:color w:val="000000"/>
          <w:spacing w:val="-7"/>
          <w:kern w:val="0"/>
          <w:sz w:val="18"/>
          <w:szCs w:val="18"/>
        </w:rPr>
        <w:t>fulfil</w:t>
      </w:r>
      <w:proofErr w:type="spellEnd"/>
      <w:r w:rsidRPr="007653EB">
        <w:rPr>
          <w:rFonts w:ascii="Verdana" w:hAnsi="Verdana" w:cs="Verdana"/>
          <w:color w:val="000000"/>
          <w:spacing w:val="-7"/>
          <w:kern w:val="0"/>
          <w:sz w:val="18"/>
          <w:szCs w:val="18"/>
        </w:rPr>
        <w:t xml:space="preserve"> the study protocol such as not having Swedish as a mother tongue, several visual or auditory handicaps. Pertaining to more specific exclusion criteria of the present study, all subjects with abdominal surgery within three months before and after the survey, and all with established GI diseases, hepatic and renal diseases were excluded. Subjects on beta blockers, calcium antagonists, </w:t>
      </w:r>
      <w:proofErr w:type="spellStart"/>
      <w:r w:rsidRPr="007653EB">
        <w:rPr>
          <w:rFonts w:ascii="Verdana" w:hAnsi="Verdana" w:cs="Verdana"/>
          <w:color w:val="000000"/>
          <w:spacing w:val="-7"/>
          <w:kern w:val="0"/>
          <w:sz w:val="18"/>
          <w:szCs w:val="18"/>
        </w:rPr>
        <w:t>statines</w:t>
      </w:r>
      <w:proofErr w:type="spellEnd"/>
      <w:r w:rsidRPr="007653EB">
        <w:rPr>
          <w:rFonts w:ascii="Verdana" w:hAnsi="Verdana" w:cs="Verdana"/>
          <w:color w:val="000000"/>
          <w:spacing w:val="-7"/>
          <w:kern w:val="0"/>
          <w:sz w:val="18"/>
          <w:szCs w:val="18"/>
        </w:rPr>
        <w:t xml:space="preserve">, antidepressants, pain medication including non-steroidal </w:t>
      </w:r>
      <w:proofErr w:type="spellStart"/>
      <w:r w:rsidRPr="007653EB">
        <w:rPr>
          <w:rFonts w:ascii="Verdana" w:hAnsi="Verdana" w:cs="Verdana"/>
          <w:color w:val="000000"/>
          <w:spacing w:val="-7"/>
          <w:kern w:val="0"/>
          <w:sz w:val="18"/>
          <w:szCs w:val="18"/>
        </w:rPr>
        <w:t>anti inflammatory</w:t>
      </w:r>
      <w:proofErr w:type="spellEnd"/>
      <w:r w:rsidRPr="007653EB">
        <w:rPr>
          <w:rFonts w:ascii="Verdana" w:hAnsi="Verdana" w:cs="Verdana"/>
          <w:color w:val="000000"/>
          <w:spacing w:val="-7"/>
          <w:kern w:val="0"/>
          <w:sz w:val="18"/>
          <w:szCs w:val="18"/>
        </w:rPr>
        <w:t xml:space="preserve"> medications were not excluded. Of 149 patients with bipolar disorder, 136 patients (88 bipolar type 1 and 48 bipolar </w:t>
      </w:r>
      <w:proofErr w:type="gramStart"/>
      <w:r w:rsidRPr="007653EB">
        <w:rPr>
          <w:rFonts w:ascii="Verdana" w:hAnsi="Verdana" w:cs="Verdana"/>
          <w:color w:val="000000"/>
          <w:spacing w:val="-7"/>
          <w:kern w:val="0"/>
          <w:sz w:val="18"/>
          <w:szCs w:val="18"/>
        </w:rPr>
        <w:t>type</w:t>
      </w:r>
      <w:proofErr w:type="gramEnd"/>
      <w:r w:rsidRPr="007653EB">
        <w:rPr>
          <w:rFonts w:ascii="Verdana" w:hAnsi="Verdana" w:cs="Verdana"/>
          <w:color w:val="000000"/>
          <w:spacing w:val="-7"/>
          <w:kern w:val="0"/>
          <w:sz w:val="18"/>
          <w:szCs w:val="18"/>
        </w:rPr>
        <w:t xml:space="preserve"> 2) between 20 and 84 years of age fulfilled the inclusion criteria and accepted participation. All patients were on stable medical treatment for three months prior to the study.</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The control sample consisted of 136 age- and sex-matched subjects from a sub study of the </w:t>
      </w:r>
      <w:proofErr w:type="spellStart"/>
      <w:r w:rsidRPr="007653EB">
        <w:rPr>
          <w:rFonts w:ascii="Verdana" w:hAnsi="Verdana" w:cs="Verdana"/>
          <w:color w:val="000000"/>
          <w:spacing w:val="-7"/>
          <w:kern w:val="0"/>
          <w:sz w:val="18"/>
          <w:szCs w:val="18"/>
        </w:rPr>
        <w:t>Betula</w:t>
      </w:r>
      <w:proofErr w:type="spellEnd"/>
      <w:r w:rsidRPr="007653EB">
        <w:rPr>
          <w:rFonts w:ascii="Verdana" w:hAnsi="Verdana" w:cs="Verdana"/>
          <w:color w:val="000000"/>
          <w:spacing w:val="-7"/>
          <w:kern w:val="0"/>
          <w:sz w:val="18"/>
          <w:szCs w:val="18"/>
        </w:rPr>
        <w:t xml:space="preserve"> project (</w:t>
      </w:r>
      <w:r w:rsidRPr="007653EB">
        <w:rPr>
          <w:rFonts w:ascii="Verdana" w:hAnsi="Verdana" w:cs="Verdana"/>
          <w:i/>
          <w:iCs/>
          <w:color w:val="000000"/>
          <w:spacing w:val="-7"/>
          <w:kern w:val="0"/>
          <w:sz w:val="18"/>
          <w:szCs w:val="18"/>
        </w:rPr>
        <w:t xml:space="preserve">n </w:t>
      </w:r>
      <w:r w:rsidRPr="007653EB">
        <w:rPr>
          <w:rFonts w:ascii="Verdana" w:hAnsi="Verdana" w:cs="Verdana"/>
          <w:color w:val="000000"/>
          <w:spacing w:val="-7"/>
          <w:kern w:val="0"/>
          <w:sz w:val="18"/>
          <w:szCs w:val="18"/>
        </w:rPr>
        <w:t xml:space="preserve">= 299). The </w:t>
      </w:r>
      <w:proofErr w:type="spellStart"/>
      <w:r w:rsidRPr="007653EB">
        <w:rPr>
          <w:rFonts w:ascii="Verdana" w:hAnsi="Verdana" w:cs="Verdana"/>
          <w:color w:val="000000"/>
          <w:spacing w:val="-7"/>
          <w:kern w:val="0"/>
          <w:sz w:val="18"/>
          <w:szCs w:val="18"/>
        </w:rPr>
        <w:t>Betula</w:t>
      </w:r>
      <w:proofErr w:type="spellEnd"/>
      <w:r w:rsidRPr="007653EB">
        <w:rPr>
          <w:rFonts w:ascii="Verdana" w:hAnsi="Verdana" w:cs="Verdana"/>
          <w:color w:val="000000"/>
          <w:spacing w:val="-7"/>
          <w:kern w:val="0"/>
          <w:sz w:val="18"/>
          <w:szCs w:val="18"/>
        </w:rPr>
        <w:t xml:space="preserve"> project is a large multiple-outcome study focused at exploring memory, health and aging in the general population. All participants were randomly selected from the population registry of the same region as the patient sample (the </w:t>
      </w:r>
      <w:proofErr w:type="spellStart"/>
      <w:r w:rsidRPr="007653EB">
        <w:rPr>
          <w:rFonts w:ascii="Verdana" w:hAnsi="Verdana" w:cs="Verdana"/>
          <w:color w:val="000000"/>
          <w:spacing w:val="-7"/>
          <w:kern w:val="0"/>
          <w:sz w:val="18"/>
          <w:szCs w:val="18"/>
        </w:rPr>
        <w:t>Umeå</w:t>
      </w:r>
      <w:proofErr w:type="spellEnd"/>
      <w:r w:rsidRPr="007653EB">
        <w:rPr>
          <w:rFonts w:ascii="Verdana" w:hAnsi="Verdana" w:cs="Verdana"/>
          <w:color w:val="000000"/>
          <w:spacing w:val="-7"/>
          <w:kern w:val="0"/>
          <w:sz w:val="18"/>
          <w:szCs w:val="18"/>
        </w:rPr>
        <w:t xml:space="preserve"> region, northern Sweden) and have been shown to be representative of the general </w:t>
      </w:r>
      <w:proofErr w:type="gramStart"/>
      <w:r w:rsidRPr="007653EB">
        <w:rPr>
          <w:rFonts w:ascii="Verdana" w:hAnsi="Verdana" w:cs="Verdana"/>
          <w:color w:val="000000"/>
          <w:spacing w:val="-7"/>
          <w:kern w:val="0"/>
          <w:sz w:val="18"/>
          <w:szCs w:val="18"/>
        </w:rPr>
        <w:t>population</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14]</w:t>
      </w:r>
      <w:r w:rsidRPr="007653EB">
        <w:rPr>
          <w:rFonts w:ascii="Verdana" w:hAnsi="Verdana" w:cs="Verdana"/>
          <w:color w:val="000000"/>
          <w:spacing w:val="-7"/>
          <w:kern w:val="0"/>
          <w:sz w:val="18"/>
          <w:szCs w:val="18"/>
        </w:rPr>
        <w:t>. The same exclusion criteria for the patients were applied to the control sample. The controls who took medications were likewise on stable treatment at least three month prior to the study.</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Questionnaires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7653EB">
        <w:rPr>
          <w:rFonts w:ascii="Verdana" w:hAnsi="Verdana" w:cs="Verdana"/>
          <w:color w:val="000000"/>
          <w:spacing w:val="-8"/>
          <w:kern w:val="0"/>
          <w:sz w:val="18"/>
          <w:szCs w:val="18"/>
        </w:rPr>
        <w:t>The Gastrointestinal Symptom Rating Scale-IBS (GSRS-IBS) is a validated self-assessment instrument to assess symptoms of irritable bowel syndrome (IBS</w:t>
      </w:r>
      <w:proofErr w:type="gramStart"/>
      <w:r w:rsidRPr="007653EB">
        <w:rPr>
          <w:rFonts w:ascii="Verdana" w:hAnsi="Verdana" w:cs="Verdana"/>
          <w:color w:val="000000"/>
          <w:spacing w:val="-8"/>
          <w:kern w:val="0"/>
          <w:sz w:val="18"/>
          <w:szCs w:val="18"/>
        </w:rPr>
        <w:t>)</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15]</w:t>
      </w:r>
      <w:r w:rsidRPr="007653EB">
        <w:rPr>
          <w:rFonts w:ascii="Verdana" w:hAnsi="Verdana" w:cs="Verdana"/>
          <w:color w:val="000000"/>
          <w:spacing w:val="-8"/>
          <w:kern w:val="0"/>
          <w:sz w:val="18"/>
          <w:szCs w:val="18"/>
        </w:rPr>
        <w:t xml:space="preserve">. The GSRS-IBS questionnaire includes 13 items, each using a </w:t>
      </w:r>
      <w:proofErr w:type="spellStart"/>
      <w:r w:rsidRPr="007653EB">
        <w:rPr>
          <w:rFonts w:ascii="Verdana" w:hAnsi="Verdana" w:cs="Verdana"/>
          <w:color w:val="000000"/>
          <w:spacing w:val="-8"/>
          <w:kern w:val="0"/>
          <w:sz w:val="18"/>
          <w:szCs w:val="18"/>
        </w:rPr>
        <w:t>Likert</w:t>
      </w:r>
      <w:proofErr w:type="spellEnd"/>
      <w:r w:rsidRPr="007653EB">
        <w:rPr>
          <w:rFonts w:ascii="Verdana" w:hAnsi="Verdana" w:cs="Verdana"/>
          <w:color w:val="000000"/>
          <w:spacing w:val="-8"/>
          <w:kern w:val="0"/>
          <w:sz w:val="18"/>
          <w:szCs w:val="18"/>
        </w:rPr>
        <w:t xml:space="preserve"> scale (0-6 points). The items are grouped into symptom clusters: Abdominal pain (two items), bloating (three items), constipation (two items), </w:t>
      </w:r>
      <w:proofErr w:type="spellStart"/>
      <w:r w:rsidRPr="007653EB">
        <w:rPr>
          <w:rFonts w:ascii="Verdana" w:hAnsi="Verdana" w:cs="Verdana"/>
          <w:color w:val="000000"/>
          <w:spacing w:val="-8"/>
          <w:kern w:val="0"/>
          <w:sz w:val="18"/>
          <w:szCs w:val="18"/>
        </w:rPr>
        <w:t>diarrhoea</w:t>
      </w:r>
      <w:proofErr w:type="spellEnd"/>
      <w:r w:rsidRPr="007653EB">
        <w:rPr>
          <w:rFonts w:ascii="Verdana" w:hAnsi="Verdana" w:cs="Verdana"/>
          <w:color w:val="000000"/>
          <w:spacing w:val="-8"/>
          <w:kern w:val="0"/>
          <w:sz w:val="18"/>
          <w:szCs w:val="18"/>
        </w:rPr>
        <w:t xml:space="preserve"> (four items) and satiety (two items). There is currently not a defined cut-off level for having IBS in the GSRS-IBS questionnaire. Therefore, to explore the relationship between IBS-like symptoms with other factors in patients with bipolar disorder we used the median total GSRS-IBS score (the sum of all 13 items score) for the patients. In addition, but not included in the total GSRS-IBS score, we used five questions from the former Gastrointestinal Symptom Rating Scale (GSRS), that concern symptoms of </w:t>
      </w:r>
      <w:proofErr w:type="spellStart"/>
      <w:r w:rsidRPr="007653EB">
        <w:rPr>
          <w:rFonts w:ascii="Verdana" w:hAnsi="Verdana" w:cs="Verdana"/>
          <w:color w:val="000000"/>
          <w:spacing w:val="-8"/>
          <w:kern w:val="0"/>
          <w:sz w:val="18"/>
          <w:szCs w:val="18"/>
        </w:rPr>
        <w:t>gastroesophagal</w:t>
      </w:r>
      <w:proofErr w:type="spellEnd"/>
      <w:r w:rsidRPr="007653EB">
        <w:rPr>
          <w:rFonts w:ascii="Verdana" w:hAnsi="Verdana" w:cs="Verdana"/>
          <w:color w:val="000000"/>
          <w:spacing w:val="-8"/>
          <w:kern w:val="0"/>
          <w:sz w:val="18"/>
          <w:szCs w:val="18"/>
        </w:rPr>
        <w:t xml:space="preserve"> reflux (two items) and dyspepsia (three items)</w:t>
      </w:r>
      <w:r w:rsidRPr="007653EB">
        <w:rPr>
          <w:rFonts w:ascii="Verdana" w:hAnsi="Verdana" w:cs="Verdana"/>
          <w:color w:val="000000"/>
          <w:spacing w:val="-8"/>
          <w:kern w:val="0"/>
          <w:sz w:val="18"/>
          <w:szCs w:val="18"/>
          <w:vertAlign w:val="superscript"/>
        </w:rPr>
        <w:t>[16]</w:t>
      </w:r>
      <w:r w:rsidRPr="007653EB">
        <w:rPr>
          <w:rFonts w:ascii="Verdana" w:hAnsi="Verdana" w:cs="Verdana"/>
          <w:color w:val="000000"/>
          <w:spacing w:val="-8"/>
          <w:kern w:val="0"/>
          <w:sz w:val="18"/>
          <w:szCs w:val="18"/>
        </w:rPr>
        <w: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The Hospital Anxiety and Depression Scale (HADS</w:t>
      </w:r>
      <w:proofErr w:type="gramStart"/>
      <w:r w:rsidRPr="007653EB">
        <w:rPr>
          <w:rFonts w:ascii="Verdana" w:hAnsi="Verdana" w:cs="Verdana"/>
          <w:color w:val="000000"/>
          <w:spacing w:val="-7"/>
          <w:kern w:val="0"/>
          <w:sz w:val="18"/>
          <w:szCs w:val="18"/>
        </w:rPr>
        <w:t>),</w:t>
      </w:r>
      <w:proofErr w:type="gramEnd"/>
      <w:r w:rsidRPr="007653EB">
        <w:rPr>
          <w:rFonts w:ascii="Verdana" w:hAnsi="Verdana" w:cs="Verdana"/>
          <w:color w:val="000000"/>
          <w:spacing w:val="-7"/>
          <w:kern w:val="0"/>
          <w:sz w:val="18"/>
          <w:szCs w:val="18"/>
        </w:rPr>
        <w:t xml:space="preserve"> developed by </w:t>
      </w:r>
      <w:proofErr w:type="spellStart"/>
      <w:r w:rsidRPr="007653EB">
        <w:rPr>
          <w:rFonts w:ascii="Verdana" w:hAnsi="Verdana" w:cs="Verdana"/>
          <w:color w:val="000000"/>
          <w:spacing w:val="-7"/>
          <w:kern w:val="0"/>
          <w:sz w:val="18"/>
          <w:szCs w:val="18"/>
        </w:rPr>
        <w:t>Zigmond</w:t>
      </w:r>
      <w:proofErr w:type="spellEnd"/>
      <w:r w:rsidRPr="007653EB">
        <w:rPr>
          <w:rFonts w:ascii="Verdana" w:hAnsi="Verdana" w:cs="Verdana"/>
          <w:color w:val="000000"/>
          <w:spacing w:val="-7"/>
          <w:kern w:val="0"/>
          <w:sz w:val="18"/>
          <w:szCs w:val="18"/>
        </w:rPr>
        <w:t xml:space="preserve"> and </w:t>
      </w:r>
      <w:proofErr w:type="spellStart"/>
      <w:r w:rsidRPr="007653EB">
        <w:rPr>
          <w:rFonts w:ascii="Verdana" w:hAnsi="Verdana" w:cs="Verdana"/>
          <w:color w:val="000000"/>
          <w:spacing w:val="-7"/>
          <w:kern w:val="0"/>
          <w:sz w:val="18"/>
          <w:szCs w:val="18"/>
        </w:rPr>
        <w:t>Snaith</w:t>
      </w:r>
      <w:proofErr w:type="spellEnd"/>
      <w:r w:rsidRPr="007653EB">
        <w:rPr>
          <w:rFonts w:ascii="Verdana" w:hAnsi="Verdana" w:cs="Verdana"/>
          <w:color w:val="000000"/>
          <w:spacing w:val="-7"/>
          <w:kern w:val="0"/>
          <w:sz w:val="18"/>
          <w:szCs w:val="18"/>
        </w:rPr>
        <w:t xml:space="preserve"> in 1983</w:t>
      </w:r>
      <w:r w:rsidRPr="007653EB">
        <w:rPr>
          <w:rFonts w:ascii="Verdana" w:hAnsi="Verdana" w:cs="Verdana"/>
          <w:color w:val="000000"/>
          <w:spacing w:val="-7"/>
          <w:kern w:val="0"/>
          <w:sz w:val="18"/>
          <w:szCs w:val="18"/>
          <w:vertAlign w:val="superscript"/>
        </w:rPr>
        <w:t>[17]</w:t>
      </w:r>
      <w:r w:rsidRPr="007653EB">
        <w:rPr>
          <w:rFonts w:ascii="Verdana" w:hAnsi="Verdana" w:cs="Verdana"/>
          <w:color w:val="000000"/>
          <w:spacing w:val="-7"/>
          <w:kern w:val="0"/>
          <w:sz w:val="18"/>
          <w:szCs w:val="18"/>
        </w:rPr>
        <w:t xml:space="preserve">, is a highly sensitive instrument to screen for symptoms of anxiety and depression among patients with somatic diseases. It consists of 7 items each for anxiety and depression, each using a 4-point </w:t>
      </w:r>
      <w:proofErr w:type="spellStart"/>
      <w:r w:rsidRPr="007653EB">
        <w:rPr>
          <w:rFonts w:ascii="Verdana" w:hAnsi="Verdana" w:cs="Verdana"/>
          <w:color w:val="000000"/>
          <w:spacing w:val="-7"/>
          <w:kern w:val="0"/>
          <w:sz w:val="18"/>
          <w:szCs w:val="18"/>
        </w:rPr>
        <w:t>Likert</w:t>
      </w:r>
      <w:proofErr w:type="spellEnd"/>
      <w:r w:rsidRPr="007653EB">
        <w:rPr>
          <w:rFonts w:ascii="Verdana" w:hAnsi="Verdana" w:cs="Verdana"/>
          <w:color w:val="000000"/>
          <w:spacing w:val="-7"/>
          <w:kern w:val="0"/>
          <w:sz w:val="18"/>
          <w:szCs w:val="18"/>
        </w:rPr>
        <w:t xml:space="preserve"> scale (0-3 points). We used the HADS scale because it has high sensitivity in detecting symptoms of anxiety and depression, it is </w:t>
      </w:r>
      <w:r w:rsidRPr="007653EB">
        <w:rPr>
          <w:rFonts w:ascii="Verdana" w:hAnsi="Verdana" w:cs="Verdana"/>
          <w:color w:val="000000"/>
          <w:spacing w:val="-7"/>
          <w:kern w:val="0"/>
          <w:sz w:val="18"/>
          <w:szCs w:val="18"/>
        </w:rPr>
        <w:lastRenderedPageBreak/>
        <w:t xml:space="preserve">well validated, and it is simple to fill in, which facilitates a higher response </w:t>
      </w:r>
      <w:proofErr w:type="gramStart"/>
      <w:r w:rsidRPr="007653EB">
        <w:rPr>
          <w:rFonts w:ascii="Verdana" w:hAnsi="Verdana" w:cs="Verdana"/>
          <w:color w:val="000000"/>
          <w:spacing w:val="-7"/>
          <w:kern w:val="0"/>
          <w:sz w:val="18"/>
          <w:szCs w:val="18"/>
        </w:rPr>
        <w:t>rate</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18,19]</w:t>
      </w:r>
      <w:r w:rsidRPr="007653EB">
        <w:rPr>
          <w:rFonts w:ascii="Verdana" w:hAnsi="Verdana" w:cs="Verdana"/>
          <w:color w:val="000000"/>
          <w:spacing w:val="-7"/>
          <w:kern w:val="0"/>
          <w:sz w:val="18"/>
          <w:szCs w:val="18"/>
        </w:rPr>
        <w:t>. The accepted cut-off level of 8 points or more for the depression part of HADS (HADS-D) was used to define patients suffering from depression and the cut off level of 9 points or more was used to define patients suffering from anxiety (HADS-A).</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The Perceived Stress Questionnaire (PSQ) was developed to measure general stress perceived during the past year and emphasizes cognitive perceptions more than emotional states or specific life </w:t>
      </w:r>
      <w:proofErr w:type="gramStart"/>
      <w:r w:rsidRPr="007653EB">
        <w:rPr>
          <w:rFonts w:ascii="Verdana" w:hAnsi="Verdana" w:cs="Verdana"/>
          <w:color w:val="000000"/>
          <w:spacing w:val="-7"/>
          <w:kern w:val="0"/>
          <w:sz w:val="18"/>
          <w:szCs w:val="18"/>
        </w:rPr>
        <w:t>events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20]</w:t>
      </w:r>
      <w:r w:rsidRPr="007653EB">
        <w:rPr>
          <w:rFonts w:ascii="Verdana" w:hAnsi="Verdana" w:cs="Verdana"/>
          <w:color w:val="000000"/>
          <w:spacing w:val="-7"/>
          <w:kern w:val="0"/>
          <w:sz w:val="18"/>
          <w:szCs w:val="18"/>
        </w:rPr>
        <w:t>.</w:t>
      </w:r>
      <w:r w:rsidRPr="007653EB">
        <w:rPr>
          <w:rFonts w:ascii="Verdana" w:hAnsi="Verdana" w:cs="Verdana"/>
          <w:color w:val="000000"/>
          <w:spacing w:val="-7"/>
          <w:kern w:val="0"/>
          <w:sz w:val="18"/>
          <w:szCs w:val="18"/>
          <w:vertAlign w:val="superscript"/>
        </w:rPr>
        <w:t xml:space="preserve"> </w:t>
      </w:r>
      <w:r w:rsidRPr="007653EB">
        <w:rPr>
          <w:rFonts w:ascii="Verdana" w:hAnsi="Verdana" w:cs="Verdana"/>
          <w:color w:val="000000"/>
          <w:spacing w:val="-7"/>
          <w:kern w:val="0"/>
          <w:sz w:val="18"/>
          <w:szCs w:val="18"/>
        </w:rPr>
        <w:t xml:space="preserve">The PSQ consist of 30 items using a 4-point </w:t>
      </w:r>
      <w:proofErr w:type="spellStart"/>
      <w:r w:rsidRPr="007653EB">
        <w:rPr>
          <w:rFonts w:ascii="Verdana" w:hAnsi="Verdana" w:cs="Verdana"/>
          <w:color w:val="000000"/>
          <w:spacing w:val="-7"/>
          <w:kern w:val="0"/>
          <w:sz w:val="18"/>
          <w:szCs w:val="18"/>
        </w:rPr>
        <w:t>Likert</w:t>
      </w:r>
      <w:proofErr w:type="spellEnd"/>
      <w:r w:rsidRPr="007653EB">
        <w:rPr>
          <w:rFonts w:ascii="Verdana" w:hAnsi="Verdana" w:cs="Verdana"/>
          <w:color w:val="000000"/>
          <w:spacing w:val="-7"/>
          <w:kern w:val="0"/>
          <w:sz w:val="18"/>
          <w:szCs w:val="18"/>
        </w:rPr>
        <w:t xml:space="preserve"> scale (0-3 points). A PSQ index, varying from 0 (the lowest level) to 1 (the highest level) is calculated by dividing the total raw score with 90</w:t>
      </w:r>
      <w:r w:rsidRPr="007653EB">
        <w:rPr>
          <w:rFonts w:ascii="Verdana" w:hAnsi="Verdana" w:cs="Verdana"/>
          <w:color w:val="000000"/>
          <w:spacing w:val="-7"/>
          <w:kern w:val="0"/>
          <w:sz w:val="18"/>
          <w:szCs w:val="18"/>
          <w:vertAlign w:val="superscript"/>
        </w:rPr>
        <w:t>[20]</w:t>
      </w:r>
      <w:r w:rsidRPr="007653EB">
        <w:rPr>
          <w:rFonts w:ascii="Verdana" w:hAnsi="Verdana" w:cs="Verdana"/>
          <w:color w:val="000000"/>
          <w:spacing w:val="-7"/>
          <w:kern w:val="0"/>
          <w:sz w:val="18"/>
          <w:szCs w:val="18"/>
        </w:rPr>
        <w:t xml:space="preserve">. We used the estimated PSQ index of &gt; 0.34 to define moderate level of perceived </w:t>
      </w:r>
      <w:proofErr w:type="gramStart"/>
      <w:r w:rsidRPr="007653EB">
        <w:rPr>
          <w:rFonts w:ascii="Verdana" w:hAnsi="Verdana" w:cs="Verdana"/>
          <w:color w:val="000000"/>
          <w:spacing w:val="-7"/>
          <w:kern w:val="0"/>
          <w:sz w:val="18"/>
          <w:szCs w:val="18"/>
        </w:rPr>
        <w:t>stress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21]</w:t>
      </w:r>
      <w:r w:rsidRPr="007653EB">
        <w:rPr>
          <w:rFonts w:ascii="Verdana" w:hAnsi="Verdana" w:cs="Verdana"/>
          <w:color w:val="000000"/>
          <w:spacing w:val="-7"/>
          <w:kern w:val="0"/>
          <w:sz w:val="18"/>
          <w:szCs w:val="18"/>
        </w:rPr>
        <w:t>.</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Medical records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After written consent from the subjects who responded to the questionnaires, records of primary care, surgery (including endoscopy unit) and infection clinics from 1999-2009, were searched twice for exclusion criteria (see study participants). The Swedish health care system includes a primary care health system with general physicians taking care of all initial referrals (except emergencies). Therefore, all patients who attend the gastroenterology out-patient clinic are initially referred by a general physician within the primary care. Blinded by the result of GSRS-IBS and HADS questionnaires, the records of primary care health </w:t>
      </w:r>
      <w:proofErr w:type="spellStart"/>
      <w:r w:rsidRPr="007653EB">
        <w:rPr>
          <w:rFonts w:ascii="Verdana" w:hAnsi="Verdana" w:cs="Verdana"/>
          <w:color w:val="000000"/>
          <w:spacing w:val="-7"/>
          <w:kern w:val="0"/>
          <w:sz w:val="18"/>
          <w:szCs w:val="18"/>
        </w:rPr>
        <w:t>centres</w:t>
      </w:r>
      <w:proofErr w:type="spellEnd"/>
      <w:r w:rsidRPr="007653EB">
        <w:rPr>
          <w:rFonts w:ascii="Verdana" w:hAnsi="Verdana" w:cs="Verdana"/>
          <w:color w:val="000000"/>
          <w:spacing w:val="-7"/>
          <w:kern w:val="0"/>
          <w:sz w:val="18"/>
          <w:szCs w:val="18"/>
        </w:rPr>
        <w:t xml:space="preserve"> were investigated twice to define consulters for IBS and any functional bowel disorders. Consulters for GI symptoms were defined by diagnosis of a functional bowel disorder as judged by their general physician or symptoms according to ROME </w:t>
      </w:r>
      <w:r w:rsidRPr="007653EB">
        <w:rPr>
          <w:rFonts w:ascii="KozMinPro-Regular" w:eastAsia="KozMinPro-Regular" w:hAnsi="Verdana" w:cs="KozMinPro-Regular" w:hint="eastAsia"/>
          <w:color w:val="000000"/>
          <w:spacing w:val="-7"/>
          <w:kern w:val="0"/>
          <w:sz w:val="18"/>
          <w:szCs w:val="18"/>
        </w:rPr>
        <w:t>Ⅲ</w:t>
      </w:r>
      <w:r w:rsidRPr="007653EB">
        <w:rPr>
          <w:rFonts w:ascii="Verdana" w:hAnsi="Verdana" w:cs="Verdana"/>
          <w:color w:val="000000"/>
          <w:spacing w:val="-7"/>
          <w:kern w:val="0"/>
          <w:sz w:val="18"/>
          <w:szCs w:val="18"/>
        </w:rPr>
        <w:t xml:space="preserve"> criteria</w:t>
      </w:r>
      <w:r w:rsidRPr="007653EB">
        <w:rPr>
          <w:rFonts w:ascii="Verdana" w:hAnsi="Verdana" w:cs="Verdana"/>
          <w:color w:val="000000"/>
          <w:spacing w:val="-7"/>
          <w:kern w:val="0"/>
          <w:sz w:val="18"/>
          <w:szCs w:val="18"/>
          <w:vertAlign w:val="superscript"/>
        </w:rPr>
        <w:t>[22]</w:t>
      </w:r>
      <w:r w:rsidRPr="007653EB">
        <w:rPr>
          <w:rFonts w:ascii="Verdana" w:hAnsi="Verdana" w:cs="Verdana"/>
          <w:color w:val="000000"/>
          <w:spacing w:val="-7"/>
          <w:kern w:val="0"/>
          <w:sz w:val="18"/>
          <w:szCs w:val="18"/>
        </w:rPr>
        <w:t>.</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Statistical analysis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All analysis </w:t>
      </w:r>
      <w:proofErr w:type="gramStart"/>
      <w:r w:rsidRPr="007653EB">
        <w:rPr>
          <w:rFonts w:ascii="Verdana" w:hAnsi="Verdana" w:cs="Verdana"/>
          <w:color w:val="000000"/>
          <w:spacing w:val="-7"/>
          <w:kern w:val="0"/>
          <w:sz w:val="18"/>
          <w:szCs w:val="18"/>
        </w:rPr>
        <w:t>were</w:t>
      </w:r>
      <w:proofErr w:type="gramEnd"/>
      <w:r w:rsidRPr="007653EB">
        <w:rPr>
          <w:rFonts w:ascii="Verdana" w:hAnsi="Verdana" w:cs="Verdana"/>
          <w:color w:val="000000"/>
          <w:spacing w:val="-7"/>
          <w:kern w:val="0"/>
          <w:sz w:val="18"/>
          <w:szCs w:val="18"/>
        </w:rPr>
        <w:t xml:space="preserve"> carried out using IBM SPSS Statistics version 23. Non-parametric tests were used for com</w:t>
      </w:r>
      <w:r w:rsidRPr="007653EB">
        <w:rPr>
          <w:rFonts w:ascii="Verdana" w:hAnsi="Verdana" w:cs="Verdana"/>
          <w:color w:val="000000"/>
          <w:spacing w:val="-7"/>
          <w:kern w:val="0"/>
          <w:sz w:val="18"/>
          <w:szCs w:val="18"/>
        </w:rPr>
        <w:softHyphen/>
        <w:t xml:space="preserve">paring ordinal scales and continuous variables (Mann-Whitney test) and for correlations (Spearman’s test). </w:t>
      </w:r>
      <w:r w:rsidRPr="007653EB">
        <w:rPr>
          <w:rFonts w:ascii="Symbol Italic" w:hAnsi="Symbol Italic" w:cs="Symbol Italic"/>
          <w:i/>
          <w:iCs/>
          <w:color w:val="000000"/>
          <w:spacing w:val="-7"/>
          <w:kern w:val="0"/>
          <w:sz w:val="18"/>
          <w:szCs w:val="18"/>
        </w:rPr>
        <w:t></w:t>
      </w:r>
      <w:r w:rsidRPr="007653EB">
        <w:rPr>
          <w:rFonts w:ascii="Verdana" w:hAnsi="Verdana" w:cs="Verdana"/>
          <w:i/>
          <w:iCs/>
          <w:color w:val="000000"/>
          <w:spacing w:val="-7"/>
          <w:kern w:val="0"/>
          <w:sz w:val="18"/>
          <w:szCs w:val="18"/>
          <w:vertAlign w:val="superscript"/>
        </w:rPr>
        <w:t>2</w:t>
      </w:r>
      <w:r w:rsidRPr="007653EB">
        <w:rPr>
          <w:rFonts w:ascii="Verdana" w:hAnsi="Verdana" w:cs="Verdana"/>
          <w:color w:val="000000"/>
          <w:spacing w:val="-7"/>
          <w:kern w:val="0"/>
          <w:sz w:val="18"/>
          <w:szCs w:val="18"/>
        </w:rPr>
        <w:t xml:space="preserve"> test was used for crosstabs analyses and Fisher exact test if the number of cases was below 10. Student-</w:t>
      </w:r>
      <w:r w:rsidRPr="007653EB">
        <w:rPr>
          <w:rFonts w:ascii="Verdana" w:hAnsi="Verdana" w:cs="Verdana"/>
          <w:i/>
          <w:iCs/>
          <w:color w:val="000000"/>
          <w:spacing w:val="-7"/>
          <w:kern w:val="0"/>
          <w:sz w:val="18"/>
          <w:szCs w:val="18"/>
        </w:rPr>
        <w:t>t</w:t>
      </w:r>
      <w:r w:rsidRPr="007653EB">
        <w:rPr>
          <w:rFonts w:ascii="Verdana" w:hAnsi="Verdana" w:cs="Verdana"/>
          <w:color w:val="000000"/>
          <w:spacing w:val="-7"/>
          <w:kern w:val="0"/>
          <w:sz w:val="18"/>
          <w:szCs w:val="18"/>
        </w:rPr>
        <w:t xml:space="preserve"> test was used for parametric comparison. A two-sided </w:t>
      </w:r>
      <w:r w:rsidRPr="007653EB">
        <w:rPr>
          <w:rFonts w:ascii="Verdana" w:hAnsi="Verdana" w:cs="Verdana"/>
          <w:i/>
          <w:iCs/>
          <w:color w:val="000000"/>
          <w:spacing w:val="-7"/>
          <w:kern w:val="0"/>
          <w:sz w:val="18"/>
          <w:szCs w:val="18"/>
        </w:rPr>
        <w:t>P</w:t>
      </w:r>
      <w:r w:rsidRPr="007653EB">
        <w:rPr>
          <w:rFonts w:ascii="Verdana" w:hAnsi="Verdana" w:cs="Verdana"/>
          <w:color w:val="000000"/>
          <w:spacing w:val="-7"/>
          <w:kern w:val="0"/>
          <w:sz w:val="18"/>
          <w:szCs w:val="18"/>
        </w:rPr>
        <w:t xml:space="preserve"> value less than 0.05 were regarded significant. Means and standard deviations were used for continuous variables and medians and inter quartile range (IQR) for ordinal variables. No correction for multiple testing was applied. A logistic regression (SPSS/analyze/regression/binary logistic) was used for adjusting for possible confounders to the dependent variable GSRS-IBS score (dichotomous variable divided by median score). In the regression model age and body mass index were regarded as continues variables. HADS-D was categorized into two groups according to the accepted “cut-off” at </w:t>
      </w:r>
      <w:r w:rsidRPr="007653EB">
        <w:rPr>
          <w:rFonts w:ascii="宋体" w:hAnsi="Verdana" w:cs="宋体" w:hint="eastAsia"/>
          <w:color w:val="000000"/>
          <w:spacing w:val="-7"/>
          <w:kern w:val="0"/>
          <w:sz w:val="18"/>
          <w:szCs w:val="18"/>
        </w:rPr>
        <w:t>≥</w:t>
      </w:r>
      <w:r w:rsidRPr="007653EB">
        <w:rPr>
          <w:rFonts w:ascii="Verdana" w:hAnsi="Verdana" w:cs="Verdana"/>
          <w:color w:val="000000"/>
          <w:spacing w:val="-7"/>
          <w:kern w:val="0"/>
          <w:sz w:val="18"/>
          <w:szCs w:val="18"/>
        </w:rPr>
        <w:t xml:space="preserve"> 8 points, HADS-A was categorized into two groups according to the accepted “cut-off” at </w:t>
      </w:r>
      <w:r w:rsidRPr="007653EB">
        <w:rPr>
          <w:rFonts w:ascii="宋体" w:hAnsi="Verdana" w:cs="宋体" w:hint="eastAsia"/>
          <w:color w:val="000000"/>
          <w:spacing w:val="-7"/>
          <w:kern w:val="0"/>
          <w:sz w:val="18"/>
          <w:szCs w:val="18"/>
        </w:rPr>
        <w:t>≥</w:t>
      </w:r>
      <w:r w:rsidRPr="007653EB">
        <w:rPr>
          <w:rFonts w:ascii="Verdana" w:hAnsi="Verdana" w:cs="Verdana"/>
          <w:color w:val="000000"/>
          <w:spacing w:val="-7"/>
          <w:kern w:val="0"/>
          <w:sz w:val="18"/>
          <w:szCs w:val="18"/>
        </w:rPr>
        <w:t xml:space="preserve"> 9 points</w:t>
      </w:r>
      <w:r w:rsidRPr="007653EB">
        <w:rPr>
          <w:rFonts w:ascii="Verdana" w:hAnsi="Verdana" w:cs="Verdana"/>
          <w:color w:val="000000"/>
          <w:spacing w:val="-7"/>
          <w:kern w:val="0"/>
          <w:sz w:val="18"/>
          <w:szCs w:val="18"/>
          <w:vertAlign w:val="superscript"/>
        </w:rPr>
        <w:t>[18,19]</w:t>
      </w:r>
      <w:r w:rsidRPr="007653EB">
        <w:rPr>
          <w:rFonts w:ascii="Verdana" w:hAnsi="Verdana" w:cs="Verdana"/>
          <w:color w:val="000000"/>
          <w:spacing w:val="-7"/>
          <w:kern w:val="0"/>
          <w:sz w:val="18"/>
          <w:szCs w:val="18"/>
        </w:rPr>
        <w:t>, PSQ index was categorized into two groups according the estimated moderate level of perceived stress (PSQ index &gt; 0.34)</w:t>
      </w:r>
      <w:r w:rsidRPr="007653EB">
        <w:rPr>
          <w:rFonts w:ascii="Verdana" w:hAnsi="Verdana" w:cs="Verdana"/>
          <w:color w:val="000000"/>
          <w:spacing w:val="-7"/>
          <w:kern w:val="0"/>
          <w:sz w:val="18"/>
          <w:szCs w:val="18"/>
          <w:vertAlign w:val="superscript"/>
        </w:rPr>
        <w:t>[21]</w:t>
      </w:r>
      <w:r w:rsidRPr="007653EB">
        <w:rPr>
          <w:rFonts w:ascii="Verdana" w:hAnsi="Verdana" w:cs="Verdana"/>
          <w:color w:val="000000"/>
          <w:spacing w:val="-7"/>
          <w:kern w:val="0"/>
          <w:sz w:val="18"/>
          <w:szCs w:val="18"/>
        </w:rPr>
        <w:t xml:space="preserve"> and the number of drugs was categorized into two groups by the median value. Each single drug used by more than ten patients with bipolar disorder was separately analyzed with age, body mass </w:t>
      </w:r>
      <w:proofErr w:type="gramStart"/>
      <w:r w:rsidRPr="007653EB">
        <w:rPr>
          <w:rFonts w:ascii="Verdana" w:hAnsi="Verdana" w:cs="Verdana"/>
          <w:color w:val="000000"/>
          <w:spacing w:val="-7"/>
          <w:kern w:val="0"/>
          <w:sz w:val="18"/>
          <w:szCs w:val="18"/>
        </w:rPr>
        <w:t>index,</w:t>
      </w:r>
      <w:proofErr w:type="gramEnd"/>
      <w:r w:rsidRPr="007653EB">
        <w:rPr>
          <w:rFonts w:ascii="Verdana" w:hAnsi="Verdana" w:cs="Verdana"/>
          <w:color w:val="000000"/>
          <w:spacing w:val="-7"/>
          <w:kern w:val="0"/>
          <w:sz w:val="18"/>
          <w:szCs w:val="18"/>
        </w:rPr>
        <w:t xml:space="preserve"> sex HADS-A and HADS-D.</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7653EB">
        <w:rPr>
          <w:rFonts w:ascii="Univers" w:hAnsi="Univers" w:cs="Univers"/>
          <w:b/>
          <w:bCs/>
          <w:color w:val="000000"/>
          <w:spacing w:val="-2"/>
          <w:kern w:val="0"/>
          <w:sz w:val="24"/>
          <w:szCs w:val="24"/>
          <w:u w:val="single"/>
        </w:rPr>
        <w:t>RESULTS</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Patients with bipolar disorder in comparison to control subjects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Patients with bipolar disorder had significant higher body mass index and scored significant higher on HADS </w:t>
      </w:r>
      <w:r w:rsidRPr="007653EB">
        <w:rPr>
          <w:rFonts w:ascii="Verdana" w:hAnsi="Verdana" w:cs="Verdana"/>
          <w:color w:val="000000"/>
          <w:spacing w:val="-7"/>
          <w:kern w:val="0"/>
          <w:sz w:val="18"/>
          <w:szCs w:val="18"/>
        </w:rPr>
        <w:lastRenderedPageBreak/>
        <w:t xml:space="preserve">scales in comparison to control subjects. Forty-eight (35%) of the bipolar patients versus 18 (13%) of the controls had either HADS-D scores </w:t>
      </w:r>
      <w:r w:rsidRPr="007653EB">
        <w:rPr>
          <w:rFonts w:ascii="宋体" w:hAnsi="Verdana" w:cs="宋体" w:hint="eastAsia"/>
          <w:color w:val="000000"/>
          <w:spacing w:val="-7"/>
          <w:kern w:val="0"/>
          <w:sz w:val="18"/>
          <w:szCs w:val="18"/>
        </w:rPr>
        <w:t>≥</w:t>
      </w:r>
      <w:r w:rsidRPr="007653EB">
        <w:rPr>
          <w:rFonts w:ascii="Verdana" w:hAnsi="Verdana" w:cs="Verdana"/>
          <w:color w:val="000000"/>
          <w:spacing w:val="-7"/>
          <w:kern w:val="0"/>
          <w:sz w:val="18"/>
          <w:szCs w:val="18"/>
        </w:rPr>
        <w:t xml:space="preserve"> 8 or HADS-A scores </w:t>
      </w:r>
      <w:r w:rsidRPr="007653EB">
        <w:rPr>
          <w:rFonts w:ascii="宋体" w:hAnsi="Verdana" w:cs="宋体" w:hint="eastAsia"/>
          <w:color w:val="000000"/>
          <w:spacing w:val="-7"/>
          <w:kern w:val="0"/>
          <w:sz w:val="18"/>
          <w:szCs w:val="18"/>
        </w:rPr>
        <w:t>≥</w:t>
      </w:r>
      <w:r w:rsidRPr="007653EB">
        <w:rPr>
          <w:rFonts w:ascii="Verdana" w:hAnsi="Verdana" w:cs="Verdana"/>
          <w:color w:val="000000"/>
          <w:spacing w:val="-7"/>
          <w:kern w:val="0"/>
          <w:sz w:val="18"/>
          <w:szCs w:val="18"/>
        </w:rPr>
        <w:t xml:space="preserve"> 9 (</w:t>
      </w:r>
      <w:r w:rsidRPr="007653EB">
        <w:rPr>
          <w:rFonts w:ascii="Verdana" w:hAnsi="Verdana" w:cs="Verdana"/>
          <w:i/>
          <w:iCs/>
          <w:color w:val="000000"/>
          <w:spacing w:val="-7"/>
          <w:kern w:val="0"/>
          <w:sz w:val="18"/>
          <w:szCs w:val="18"/>
        </w:rPr>
        <w:t>P</w:t>
      </w:r>
      <w:r w:rsidRPr="007653EB">
        <w:rPr>
          <w:rFonts w:ascii="Verdana" w:hAnsi="Verdana" w:cs="Verdana"/>
          <w:color w:val="000000"/>
          <w:spacing w:val="-7"/>
          <w:kern w:val="0"/>
          <w:sz w:val="18"/>
          <w:szCs w:val="18"/>
        </w:rPr>
        <w:t xml:space="preserve"> &lt; 0.001). Thirty-four percent (</w:t>
      </w:r>
      <w:r w:rsidRPr="007653EB">
        <w:rPr>
          <w:rFonts w:ascii="Verdana" w:hAnsi="Verdana" w:cs="Verdana"/>
          <w:i/>
          <w:iCs/>
          <w:color w:val="000000"/>
          <w:spacing w:val="-7"/>
          <w:kern w:val="0"/>
          <w:sz w:val="18"/>
          <w:szCs w:val="18"/>
        </w:rPr>
        <w:t>n</w:t>
      </w:r>
      <w:r w:rsidRPr="007653EB">
        <w:rPr>
          <w:rFonts w:ascii="Verdana" w:hAnsi="Verdana" w:cs="Verdana"/>
          <w:color w:val="000000"/>
          <w:spacing w:val="-7"/>
          <w:kern w:val="0"/>
          <w:sz w:val="18"/>
          <w:szCs w:val="18"/>
        </w:rPr>
        <w:t xml:space="preserve"> = 46) of the patients with bipolar disorder had a PSQ index &gt; 0.34 (estimated moderate or high perceived stress level). Total GSRS-IBS score was significant higher for patients with bipolar disorder than for controls. There were two symptom clusters that were significant higher among the patients; “the </w:t>
      </w:r>
      <w:proofErr w:type="spellStart"/>
      <w:r w:rsidRPr="007653EB">
        <w:rPr>
          <w:rFonts w:ascii="Verdana" w:hAnsi="Verdana" w:cs="Verdana"/>
          <w:color w:val="000000"/>
          <w:spacing w:val="-7"/>
          <w:kern w:val="0"/>
          <w:sz w:val="18"/>
          <w:szCs w:val="18"/>
        </w:rPr>
        <w:t>diarrhoea</w:t>
      </w:r>
      <w:proofErr w:type="spellEnd"/>
      <w:r w:rsidRPr="007653EB">
        <w:rPr>
          <w:rFonts w:ascii="Verdana" w:hAnsi="Verdana" w:cs="Verdana"/>
          <w:color w:val="000000"/>
          <w:spacing w:val="-7"/>
          <w:kern w:val="0"/>
          <w:sz w:val="18"/>
          <w:szCs w:val="18"/>
        </w:rPr>
        <w:t xml:space="preserve"> cluster” and “the satiety cluster” (Table 1). The patients with bipolar disorder tended to more often consulted primary care for a functional GI disorder than control subjects. Drug intake (number of drugs) was significant higher in patients with bipolar depression disorder compared to controls (median number 3 </w:t>
      </w:r>
      <w:proofErr w:type="spellStart"/>
      <w:r w:rsidRPr="007653EB">
        <w:rPr>
          <w:rFonts w:ascii="Verdana" w:hAnsi="Verdana" w:cs="Verdana"/>
          <w:i/>
          <w:iCs/>
          <w:color w:val="000000"/>
          <w:spacing w:val="-7"/>
          <w:kern w:val="0"/>
          <w:sz w:val="18"/>
          <w:szCs w:val="18"/>
        </w:rPr>
        <w:t>vs</w:t>
      </w:r>
      <w:proofErr w:type="spellEnd"/>
      <w:r w:rsidRPr="007653EB">
        <w:rPr>
          <w:rFonts w:ascii="Verdana" w:hAnsi="Verdana" w:cs="Verdana"/>
          <w:color w:val="000000"/>
          <w:spacing w:val="-7"/>
          <w:kern w:val="0"/>
          <w:sz w:val="18"/>
          <w:szCs w:val="18"/>
        </w:rPr>
        <w:t xml:space="preserve"> 1, </w:t>
      </w:r>
      <w:r w:rsidRPr="007653EB">
        <w:rPr>
          <w:rFonts w:ascii="Verdana" w:hAnsi="Verdana" w:cs="Verdana"/>
          <w:i/>
          <w:iCs/>
          <w:color w:val="000000"/>
          <w:spacing w:val="-7"/>
          <w:kern w:val="0"/>
          <w:sz w:val="18"/>
          <w:szCs w:val="18"/>
        </w:rPr>
        <w:t>P</w:t>
      </w:r>
      <w:r w:rsidRPr="007653EB">
        <w:rPr>
          <w:rFonts w:ascii="Verdana" w:hAnsi="Verdana" w:cs="Verdana"/>
          <w:color w:val="000000"/>
          <w:spacing w:val="-7"/>
          <w:kern w:val="0"/>
          <w:sz w:val="18"/>
          <w:szCs w:val="18"/>
        </w:rPr>
        <w:t xml:space="preserve"> &lt; 0.001). Drugs for affective disorders, drugs for insomnia, </w:t>
      </w:r>
      <w:proofErr w:type="spellStart"/>
      <w:r w:rsidRPr="007653EB">
        <w:rPr>
          <w:rFonts w:ascii="Verdana" w:hAnsi="Verdana" w:cs="Verdana"/>
          <w:color w:val="000000"/>
          <w:spacing w:val="-7"/>
          <w:kern w:val="0"/>
          <w:sz w:val="18"/>
          <w:szCs w:val="18"/>
        </w:rPr>
        <w:t>levothyrexine</w:t>
      </w:r>
      <w:proofErr w:type="spellEnd"/>
      <w:r w:rsidRPr="007653EB">
        <w:rPr>
          <w:rFonts w:ascii="Verdana" w:hAnsi="Verdana" w:cs="Verdana"/>
          <w:color w:val="000000"/>
          <w:spacing w:val="-7"/>
          <w:kern w:val="0"/>
          <w:sz w:val="18"/>
          <w:szCs w:val="18"/>
        </w:rPr>
        <w:t>, antacids therapy and IBS medications were significant more common among patients with bipolar disorder whereas analgesic were more seldom used in compa</w:t>
      </w:r>
      <w:r w:rsidRPr="007653EB">
        <w:rPr>
          <w:rFonts w:ascii="Verdana" w:hAnsi="Verdana" w:cs="Verdana"/>
          <w:color w:val="000000"/>
          <w:spacing w:val="-7"/>
          <w:kern w:val="0"/>
          <w:sz w:val="18"/>
          <w:szCs w:val="18"/>
        </w:rPr>
        <w:softHyphen/>
        <w:t>rison to control subjects.</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Association of affective symptoms and GI symptoms in bipolar disorder patients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Bipolar patients with low HADS-D and HADS-A scores reported GI symptoms to the same extent as control subjects with low HADS-D and HADS-A scores despite a higher use of medications (Table 2). Except for sub scores for “constipation” and “reflux”, there were significant correlations between all GSRS and all HADS sub scores, and the bipolar patients with high HADS-A and/or HADS-D scored higher on GI symptom clusters (than patients with low HADS scores (Table</w:t>
      </w:r>
      <w:r w:rsidR="005A6B8B">
        <w:rPr>
          <w:rFonts w:ascii="Verdana" w:hAnsi="Verdana" w:cs="Verdana" w:hint="eastAsia"/>
          <w:color w:val="000000"/>
          <w:spacing w:val="-7"/>
          <w:kern w:val="0"/>
          <w:sz w:val="18"/>
          <w:szCs w:val="18"/>
        </w:rPr>
        <w:t>s</w:t>
      </w:r>
      <w:r w:rsidRPr="007653EB">
        <w:rPr>
          <w:rFonts w:ascii="Verdana" w:hAnsi="Verdana" w:cs="Verdana"/>
          <w:color w:val="000000"/>
          <w:spacing w:val="-7"/>
          <w:kern w:val="0"/>
          <w:sz w:val="18"/>
          <w:szCs w:val="18"/>
        </w:rPr>
        <w:t xml:space="preserve"> 2 and 3). There was a significant higher consulting rate in primary care for IBS in the patients with current high HADS-D in comparison to the patients with low HADS-D score (29% </w:t>
      </w:r>
      <w:proofErr w:type="spellStart"/>
      <w:r w:rsidRPr="007653EB">
        <w:rPr>
          <w:rFonts w:ascii="Verdana" w:hAnsi="Verdana" w:cs="Verdana"/>
          <w:i/>
          <w:iCs/>
          <w:color w:val="000000"/>
          <w:spacing w:val="-7"/>
          <w:kern w:val="0"/>
          <w:sz w:val="18"/>
          <w:szCs w:val="18"/>
        </w:rPr>
        <w:t>vs</w:t>
      </w:r>
      <w:proofErr w:type="spellEnd"/>
      <w:r w:rsidRPr="007653EB">
        <w:rPr>
          <w:rFonts w:ascii="Verdana" w:hAnsi="Verdana" w:cs="Verdana"/>
          <w:color w:val="000000"/>
          <w:spacing w:val="-7"/>
          <w:kern w:val="0"/>
          <w:sz w:val="18"/>
          <w:szCs w:val="18"/>
        </w:rPr>
        <w:t xml:space="preserve"> 8%, </w:t>
      </w:r>
      <w:r w:rsidRPr="007653EB">
        <w:rPr>
          <w:rFonts w:ascii="Verdana" w:hAnsi="Verdana" w:cs="Verdana"/>
          <w:i/>
          <w:iCs/>
          <w:color w:val="000000"/>
          <w:spacing w:val="-7"/>
          <w:kern w:val="0"/>
          <w:sz w:val="18"/>
          <w:szCs w:val="18"/>
        </w:rPr>
        <w:t xml:space="preserve">P </w:t>
      </w:r>
      <w:r w:rsidRPr="007653EB">
        <w:rPr>
          <w:rFonts w:ascii="Verdana" w:hAnsi="Verdana" w:cs="Verdana"/>
          <w:color w:val="000000"/>
          <w:spacing w:val="-7"/>
          <w:kern w:val="0"/>
          <w:sz w:val="18"/>
          <w:szCs w:val="18"/>
        </w:rPr>
        <w:t xml:space="preserve">= 0.008). Also control subjects with high HADS-A and/or HADS-D had higher GSRS scores than controls with low HADS scores [median scores of GSRS-IBS 12 (IQR 23) </w:t>
      </w:r>
      <w:proofErr w:type="spellStart"/>
      <w:r w:rsidRPr="007653EB">
        <w:rPr>
          <w:rFonts w:ascii="Verdana" w:hAnsi="Verdana" w:cs="Verdana"/>
          <w:i/>
          <w:iCs/>
          <w:color w:val="000000"/>
          <w:spacing w:val="-7"/>
          <w:kern w:val="0"/>
          <w:sz w:val="18"/>
          <w:szCs w:val="18"/>
        </w:rPr>
        <w:t>vs</w:t>
      </w:r>
      <w:proofErr w:type="spellEnd"/>
      <w:r w:rsidRPr="007653EB">
        <w:rPr>
          <w:rFonts w:ascii="Verdana" w:hAnsi="Verdana" w:cs="Verdana"/>
          <w:color w:val="000000"/>
          <w:spacing w:val="-7"/>
          <w:kern w:val="0"/>
          <w:sz w:val="18"/>
          <w:szCs w:val="18"/>
        </w:rPr>
        <w:t xml:space="preserve"> 6.5 (IQR 13), </w:t>
      </w:r>
      <w:r w:rsidRPr="007653EB">
        <w:rPr>
          <w:rFonts w:ascii="Verdana" w:hAnsi="Verdana" w:cs="Verdana"/>
          <w:i/>
          <w:iCs/>
          <w:color w:val="000000"/>
          <w:spacing w:val="-7"/>
          <w:kern w:val="0"/>
          <w:sz w:val="18"/>
          <w:szCs w:val="18"/>
        </w:rPr>
        <w:t xml:space="preserve">P </w:t>
      </w:r>
      <w:r w:rsidRPr="007653EB">
        <w:rPr>
          <w:rFonts w:ascii="Verdana" w:hAnsi="Verdana" w:cs="Verdana"/>
          <w:color w:val="000000"/>
          <w:spacing w:val="-7"/>
          <w:kern w:val="0"/>
          <w:sz w:val="18"/>
          <w:szCs w:val="18"/>
        </w:rPr>
        <w:t>= 0.021] as well as for sub scores for “bloating” (</w:t>
      </w:r>
      <w:r w:rsidRPr="007653EB">
        <w:rPr>
          <w:rFonts w:ascii="Verdana" w:hAnsi="Verdana" w:cs="Verdana"/>
          <w:i/>
          <w:iCs/>
          <w:color w:val="000000"/>
          <w:spacing w:val="-7"/>
          <w:kern w:val="0"/>
          <w:sz w:val="18"/>
          <w:szCs w:val="18"/>
        </w:rPr>
        <w:t xml:space="preserve">P </w:t>
      </w:r>
      <w:r w:rsidRPr="007653EB">
        <w:rPr>
          <w:rFonts w:ascii="Verdana" w:hAnsi="Verdana" w:cs="Verdana"/>
          <w:color w:val="000000"/>
          <w:spacing w:val="-7"/>
          <w:kern w:val="0"/>
          <w:sz w:val="18"/>
          <w:szCs w:val="18"/>
        </w:rPr>
        <w:t>= 0.005) and “</w:t>
      </w:r>
      <w:proofErr w:type="spellStart"/>
      <w:r w:rsidRPr="007653EB">
        <w:rPr>
          <w:rFonts w:ascii="Verdana" w:hAnsi="Verdana" w:cs="Verdana"/>
          <w:color w:val="000000"/>
          <w:spacing w:val="-7"/>
          <w:kern w:val="0"/>
          <w:sz w:val="18"/>
          <w:szCs w:val="18"/>
        </w:rPr>
        <w:t>diarrhoea</w:t>
      </w:r>
      <w:proofErr w:type="spellEnd"/>
      <w:r w:rsidRPr="007653EB">
        <w:rPr>
          <w:rFonts w:ascii="Verdana" w:hAnsi="Verdana" w:cs="Verdana"/>
          <w:color w:val="000000"/>
          <w:spacing w:val="-7"/>
          <w:kern w:val="0"/>
          <w:sz w:val="18"/>
          <w:szCs w:val="18"/>
        </w:rPr>
        <w:t>” (</w:t>
      </w:r>
      <w:r w:rsidRPr="007653EB">
        <w:rPr>
          <w:rFonts w:ascii="Verdana" w:hAnsi="Verdana" w:cs="Verdana"/>
          <w:i/>
          <w:iCs/>
          <w:color w:val="000000"/>
          <w:spacing w:val="-7"/>
          <w:kern w:val="0"/>
          <w:sz w:val="18"/>
          <w:szCs w:val="18"/>
        </w:rPr>
        <w:t xml:space="preserve">P </w:t>
      </w:r>
      <w:r w:rsidRPr="007653EB">
        <w:rPr>
          <w:rFonts w:ascii="Verdana" w:hAnsi="Verdana" w:cs="Verdana"/>
          <w:color w:val="000000"/>
          <w:spacing w:val="-7"/>
          <w:kern w:val="0"/>
          <w:sz w:val="18"/>
          <w:szCs w:val="18"/>
        </w:rPr>
        <w:t>= 0.013).</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7653EB">
        <w:rPr>
          <w:rFonts w:ascii="Arial Narrow" w:hAnsi="Arial Narrow" w:cs="Arial Narrow"/>
          <w:b/>
          <w:bCs/>
          <w:i/>
          <w:iCs/>
          <w:color w:val="000000"/>
          <w:kern w:val="0"/>
          <w:szCs w:val="21"/>
        </w:rPr>
        <w:t>Logistic regression of factors that may influence GI symptoms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Table 4 shows the characteristic of patients with high versus low GSRS-IBS score. Female sex, high scores on anxiety and depression, the use of benzodiazepines (“borderline significance”) and the use of drugs for insomnia was significant more common in patients with high GSRS-IBS score. A logistic regression was </w:t>
      </w:r>
      <w:proofErr w:type="spellStart"/>
      <w:r w:rsidRPr="007653EB">
        <w:rPr>
          <w:rFonts w:ascii="Verdana" w:hAnsi="Verdana" w:cs="Verdana"/>
          <w:color w:val="000000"/>
          <w:spacing w:val="-7"/>
          <w:kern w:val="0"/>
          <w:sz w:val="18"/>
          <w:szCs w:val="18"/>
        </w:rPr>
        <w:t>preformed</w:t>
      </w:r>
      <w:proofErr w:type="spellEnd"/>
      <w:r w:rsidRPr="007653EB">
        <w:rPr>
          <w:rFonts w:ascii="Verdana" w:hAnsi="Verdana" w:cs="Verdana"/>
          <w:color w:val="000000"/>
          <w:spacing w:val="-7"/>
          <w:kern w:val="0"/>
          <w:sz w:val="18"/>
          <w:szCs w:val="18"/>
        </w:rPr>
        <w:t xml:space="preserve"> to analyze potential confounders that influence the presence of GI symptoms in patients with bipolar disorder. In the logistic regression model only female sex and high HADS-D score was significantly associated to IBS symptoms (Table 5) in the patients with bipolar disorder.</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7653EB">
        <w:rPr>
          <w:rFonts w:ascii="Verdana" w:hAnsi="Verdana" w:cs="Verdana"/>
          <w:color w:val="000000"/>
          <w:spacing w:val="-8"/>
          <w:kern w:val="0"/>
          <w:sz w:val="18"/>
          <w:szCs w:val="18"/>
        </w:rPr>
        <w:t>Neither number of drugs (“cut off median number of drugs”) (Table 5) or any single drug adjusted for age, sex, body mass index and HADS score significantly influenced GI symptoms.</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 xml:space="preserve">Bipolar disorder type I </w:t>
      </w:r>
      <w:proofErr w:type="spellStart"/>
      <w:r w:rsidRPr="007653EB">
        <w:rPr>
          <w:rFonts w:ascii="Arial Narrow" w:hAnsi="Arial Narrow" w:cs="Arial Narrow"/>
          <w:b/>
          <w:bCs/>
          <w:i/>
          <w:iCs/>
          <w:color w:val="000000"/>
          <w:kern w:val="0"/>
          <w:szCs w:val="21"/>
        </w:rPr>
        <w:t>vs</w:t>
      </w:r>
      <w:proofErr w:type="spellEnd"/>
      <w:r w:rsidRPr="007653EB">
        <w:rPr>
          <w:rFonts w:ascii="Arial Narrow" w:hAnsi="Arial Narrow" w:cs="Arial Narrow"/>
          <w:b/>
          <w:bCs/>
          <w:i/>
          <w:iCs/>
          <w:color w:val="000000"/>
          <w:kern w:val="0"/>
          <w:szCs w:val="21"/>
        </w:rPr>
        <w:t xml:space="preserve"> type II</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The patients with bipolar disorder type </w:t>
      </w:r>
      <w:r w:rsidRPr="007653EB">
        <w:rPr>
          <w:rFonts w:ascii="KozMinPro-Regular" w:eastAsia="KozMinPro-Regular" w:hAnsi="Verdana" w:cs="KozMinPro-Regular" w:hint="eastAsia"/>
          <w:color w:val="000000"/>
          <w:spacing w:val="-7"/>
          <w:kern w:val="0"/>
          <w:sz w:val="18"/>
          <w:szCs w:val="18"/>
        </w:rPr>
        <w:t>Ⅰ</w:t>
      </w:r>
      <w:r w:rsidRPr="007653EB">
        <w:rPr>
          <w:rFonts w:ascii="Verdana" w:hAnsi="Verdana" w:cs="Verdana"/>
          <w:color w:val="000000"/>
          <w:spacing w:val="-7"/>
          <w:kern w:val="0"/>
          <w:sz w:val="18"/>
          <w:szCs w:val="18"/>
        </w:rPr>
        <w:t xml:space="preserve"> were older than the patients with bipolar disorder type </w:t>
      </w:r>
      <w:r w:rsidRPr="007653EB">
        <w:rPr>
          <w:rFonts w:ascii="KozMinPro-Regular" w:eastAsia="KozMinPro-Regular" w:hAnsi="Verdana" w:cs="KozMinPro-Regular" w:hint="eastAsia"/>
          <w:color w:val="000000"/>
          <w:spacing w:val="-7"/>
          <w:kern w:val="0"/>
          <w:sz w:val="18"/>
          <w:szCs w:val="18"/>
        </w:rPr>
        <w:t>Ⅱ</w:t>
      </w:r>
      <w:r w:rsidRPr="007653EB">
        <w:rPr>
          <w:rFonts w:ascii="Verdana" w:hAnsi="Verdana" w:cs="Verdana"/>
          <w:color w:val="000000"/>
          <w:spacing w:val="-7"/>
          <w:kern w:val="0"/>
          <w:sz w:val="18"/>
          <w:szCs w:val="18"/>
        </w:rPr>
        <w:t xml:space="preserve"> (mean 51.9 years </w:t>
      </w:r>
      <w:proofErr w:type="spellStart"/>
      <w:r w:rsidRPr="007653EB">
        <w:rPr>
          <w:rFonts w:ascii="Verdana" w:hAnsi="Verdana" w:cs="Verdana"/>
          <w:i/>
          <w:iCs/>
          <w:color w:val="000000"/>
          <w:spacing w:val="-7"/>
          <w:kern w:val="0"/>
          <w:sz w:val="18"/>
          <w:szCs w:val="18"/>
        </w:rPr>
        <w:t>vs</w:t>
      </w:r>
      <w:proofErr w:type="spellEnd"/>
      <w:r w:rsidRPr="007653EB">
        <w:rPr>
          <w:rFonts w:ascii="Verdana" w:hAnsi="Verdana" w:cs="Verdana"/>
          <w:color w:val="000000"/>
          <w:spacing w:val="-7"/>
          <w:kern w:val="0"/>
          <w:sz w:val="18"/>
          <w:szCs w:val="18"/>
        </w:rPr>
        <w:t xml:space="preserve"> 46.2 years, </w:t>
      </w:r>
      <w:r w:rsidRPr="007653EB">
        <w:rPr>
          <w:rFonts w:ascii="Verdana" w:hAnsi="Verdana" w:cs="Verdana"/>
          <w:i/>
          <w:iCs/>
          <w:color w:val="000000"/>
          <w:spacing w:val="-7"/>
          <w:kern w:val="0"/>
          <w:sz w:val="18"/>
          <w:szCs w:val="18"/>
        </w:rPr>
        <w:t xml:space="preserve">P </w:t>
      </w:r>
      <w:r w:rsidRPr="007653EB">
        <w:rPr>
          <w:rFonts w:ascii="Verdana" w:hAnsi="Verdana" w:cs="Verdana"/>
          <w:color w:val="000000"/>
          <w:spacing w:val="-7"/>
          <w:kern w:val="0"/>
          <w:sz w:val="18"/>
          <w:szCs w:val="18"/>
        </w:rPr>
        <w:t>= 0.025). There were no significant differences in GSRS-IBS scores, HADS scores or GI visits between the subtypes of bipolar disorder.</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7653EB">
        <w:rPr>
          <w:rFonts w:ascii="Univers" w:hAnsi="Univers" w:cs="Univers"/>
          <w:b/>
          <w:bCs/>
          <w:color w:val="000000"/>
          <w:spacing w:val="-2"/>
          <w:kern w:val="0"/>
          <w:sz w:val="24"/>
          <w:szCs w:val="24"/>
          <w:u w:val="single"/>
        </w:rPr>
        <w:t>DISCUSSION</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7653EB">
        <w:rPr>
          <w:rFonts w:ascii="Verdana" w:hAnsi="Verdana" w:cs="Verdana"/>
          <w:color w:val="000000"/>
          <w:spacing w:val="-8"/>
          <w:kern w:val="0"/>
          <w:sz w:val="18"/>
          <w:szCs w:val="18"/>
        </w:rPr>
        <w:t xml:space="preserve">This present study, for the first time, aims to determine the extent in which affectivity is related to GI symptoms </w:t>
      </w:r>
      <w:r w:rsidRPr="007653EB">
        <w:rPr>
          <w:rFonts w:ascii="Verdana" w:hAnsi="Verdana" w:cs="Verdana"/>
          <w:color w:val="000000"/>
          <w:spacing w:val="-8"/>
          <w:kern w:val="0"/>
          <w:sz w:val="18"/>
          <w:szCs w:val="18"/>
        </w:rPr>
        <w:lastRenderedPageBreak/>
        <w:t>in a patient sample with an established bipolar disorder, a disorder characterized with fluctuating periods of hypomania/mania and depression. Our study shows that there is a strong association between symptoms of affectivity and GI symptoms in patients with bipolar disorder but also shows that patients with bipolar disorder with low scores on affectivity do not have more GI symptoms than control subjects. The latter is despite a more frequent use of medications with GI side-effects (</w:t>
      </w:r>
      <w:r w:rsidRPr="007653EB">
        <w:rPr>
          <w:rFonts w:ascii="Verdana" w:hAnsi="Verdana" w:cs="Verdana"/>
          <w:i/>
          <w:iCs/>
          <w:color w:val="000000"/>
          <w:spacing w:val="-8"/>
          <w:kern w:val="0"/>
          <w:sz w:val="18"/>
          <w:szCs w:val="18"/>
        </w:rPr>
        <w:t>i.e.,</w:t>
      </w:r>
      <w:r w:rsidRPr="007653EB">
        <w:rPr>
          <w:rFonts w:ascii="Verdana" w:hAnsi="Verdana" w:cs="Verdana"/>
          <w:color w:val="000000"/>
          <w:spacing w:val="-8"/>
          <w:kern w:val="0"/>
          <w:sz w:val="18"/>
          <w:szCs w:val="18"/>
        </w:rPr>
        <w:t xml:space="preserve"> neuroleptics, SSRIs) in patients with bipolar disorder. Therefore, unexplained GI-symptoms in patients with bipolar disorder should be seriously considered to suffer from depression and receive adequate treatment. It is tempting to assume that this would reduce the number of unnecessary somatic examinations. We have previously shown that also patients with an established recurrent depression disorder report high scores on GI symptoms, but when in remission they do not differ from controls in reporting GI </w:t>
      </w:r>
      <w:proofErr w:type="gramStart"/>
      <w:r w:rsidRPr="007653EB">
        <w:rPr>
          <w:rFonts w:ascii="Verdana" w:hAnsi="Verdana" w:cs="Verdana"/>
          <w:color w:val="000000"/>
          <w:spacing w:val="-8"/>
          <w:kern w:val="0"/>
          <w:sz w:val="18"/>
          <w:szCs w:val="18"/>
        </w:rPr>
        <w:t>symptoms</w:t>
      </w:r>
      <w:r w:rsidRPr="007653EB">
        <w:rPr>
          <w:rFonts w:ascii="Verdana" w:hAnsi="Verdana" w:cs="Verdana"/>
          <w:color w:val="000000"/>
          <w:spacing w:val="-8"/>
          <w:kern w:val="0"/>
          <w:sz w:val="18"/>
          <w:szCs w:val="18"/>
          <w:vertAlign w:val="superscript"/>
        </w:rPr>
        <w:t>[</w:t>
      </w:r>
      <w:proofErr w:type="gramEnd"/>
      <w:r w:rsidRPr="007653EB">
        <w:rPr>
          <w:rFonts w:ascii="Verdana" w:hAnsi="Verdana" w:cs="Verdana"/>
          <w:color w:val="000000"/>
          <w:spacing w:val="-8"/>
          <w:kern w:val="0"/>
          <w:sz w:val="18"/>
          <w:szCs w:val="18"/>
          <w:vertAlign w:val="superscript"/>
        </w:rPr>
        <w:t>6]</w:t>
      </w:r>
      <w:r w:rsidRPr="007653EB">
        <w:rPr>
          <w:rFonts w:ascii="Verdana" w:hAnsi="Verdana" w:cs="Verdana"/>
          <w:color w:val="000000"/>
          <w:spacing w:val="-8"/>
          <w:kern w:val="0"/>
          <w:sz w:val="18"/>
          <w:szCs w:val="18"/>
        </w:rPr>
        <w:t>. We believe that the present study and our previous study support that affectivity has an effect on the gut.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How the brain-gut axis is involved in the patho</w:t>
      </w:r>
      <w:r w:rsidRPr="007653EB">
        <w:rPr>
          <w:rFonts w:ascii="Verdana" w:hAnsi="Verdana" w:cs="Verdana"/>
          <w:color w:val="000000"/>
          <w:spacing w:val="-7"/>
          <w:kern w:val="0"/>
          <w:sz w:val="18"/>
          <w:szCs w:val="18"/>
        </w:rPr>
        <w:softHyphen/>
        <w:t xml:space="preserve">physiology of anxiety/depression is not known. In the brain areas that process visceral afferents and areas involved in fear and anxiety are closely related. For example, functional imaging studies on patients with IBS have shown that balloon distension of the </w:t>
      </w:r>
      <w:proofErr w:type="spellStart"/>
      <w:r w:rsidRPr="007653EB">
        <w:rPr>
          <w:rFonts w:ascii="Verdana" w:hAnsi="Verdana" w:cs="Verdana"/>
          <w:color w:val="000000"/>
          <w:spacing w:val="-7"/>
          <w:kern w:val="0"/>
          <w:sz w:val="18"/>
          <w:szCs w:val="18"/>
        </w:rPr>
        <w:t>rectosigmoid</w:t>
      </w:r>
      <w:proofErr w:type="spellEnd"/>
      <w:r w:rsidRPr="007653EB">
        <w:rPr>
          <w:rFonts w:ascii="Verdana" w:hAnsi="Verdana" w:cs="Verdana"/>
          <w:color w:val="000000"/>
          <w:spacing w:val="-7"/>
          <w:kern w:val="0"/>
          <w:sz w:val="18"/>
          <w:szCs w:val="18"/>
        </w:rPr>
        <w:t xml:space="preserve"> colon increases activity in certain areas of the brain involved in the regulation of affective and sensory processes such as the amygdala, insula, cingulated and prefrontal cortex</w:t>
      </w:r>
      <w:r w:rsidRPr="007653EB">
        <w:rPr>
          <w:rFonts w:ascii="Verdana" w:hAnsi="Verdana" w:cs="Verdana"/>
          <w:color w:val="000000"/>
          <w:spacing w:val="-7"/>
          <w:kern w:val="0"/>
          <w:sz w:val="18"/>
          <w:szCs w:val="18"/>
          <w:vertAlign w:val="superscript"/>
        </w:rPr>
        <w:t>[23-26]</w:t>
      </w:r>
      <w:r w:rsidRPr="007653EB">
        <w:rPr>
          <w:rFonts w:ascii="Verdana" w:hAnsi="Verdana" w:cs="Verdana"/>
          <w:color w:val="000000"/>
          <w:spacing w:val="-7"/>
          <w:kern w:val="0"/>
          <w:sz w:val="18"/>
          <w:szCs w:val="18"/>
        </w:rPr>
        <w: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There is also evidence that gut symptoms and visceral hypersensitivity improve in patients with IBS treated with anti-depressants, hypnosis and cognitive-</w:t>
      </w:r>
      <w:proofErr w:type="spellStart"/>
      <w:r w:rsidRPr="007653EB">
        <w:rPr>
          <w:rFonts w:ascii="Verdana" w:hAnsi="Verdana" w:cs="Verdana"/>
          <w:color w:val="000000"/>
          <w:spacing w:val="-7"/>
          <w:kern w:val="0"/>
          <w:sz w:val="18"/>
          <w:szCs w:val="18"/>
        </w:rPr>
        <w:t>behavioural</w:t>
      </w:r>
      <w:proofErr w:type="spellEnd"/>
      <w:r w:rsidRPr="007653EB">
        <w:rPr>
          <w:rFonts w:ascii="Verdana" w:hAnsi="Verdana" w:cs="Verdana"/>
          <w:color w:val="000000"/>
          <w:spacing w:val="-7"/>
          <w:kern w:val="0"/>
          <w:sz w:val="18"/>
          <w:szCs w:val="18"/>
        </w:rPr>
        <w:t xml:space="preserve"> </w:t>
      </w:r>
      <w:proofErr w:type="gramStart"/>
      <w:r w:rsidRPr="007653EB">
        <w:rPr>
          <w:rFonts w:ascii="Verdana" w:hAnsi="Verdana" w:cs="Verdana"/>
          <w:color w:val="000000"/>
          <w:spacing w:val="-7"/>
          <w:kern w:val="0"/>
          <w:sz w:val="18"/>
          <w:szCs w:val="18"/>
        </w:rPr>
        <w:t>treatment</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27-29]</w:t>
      </w:r>
      <w:r w:rsidRPr="007653EB">
        <w:rPr>
          <w:rFonts w:ascii="Verdana" w:hAnsi="Verdana" w:cs="Verdana"/>
          <w:color w:val="000000"/>
          <w:spacing w:val="-7"/>
          <w:kern w:val="0"/>
          <w:sz w:val="18"/>
          <w:szCs w:val="18"/>
        </w:rPr>
        <w:t xml:space="preserve">. One possible mechanism of these therapies could be an increase in prefrontal inhibition of the amygdale and anterior cingulated </w:t>
      </w:r>
      <w:proofErr w:type="gramStart"/>
      <w:r w:rsidRPr="007653EB">
        <w:rPr>
          <w:rFonts w:ascii="Verdana" w:hAnsi="Verdana" w:cs="Verdana"/>
          <w:color w:val="000000"/>
          <w:spacing w:val="-7"/>
          <w:kern w:val="0"/>
          <w:sz w:val="18"/>
          <w:szCs w:val="18"/>
        </w:rPr>
        <w:t>cortex</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30]</w:t>
      </w:r>
      <w:r w:rsidRPr="007653EB">
        <w:rPr>
          <w:rFonts w:ascii="Verdana" w:hAnsi="Verdana" w:cs="Verdana"/>
          <w:color w:val="000000"/>
          <w:spacing w:val="-7"/>
          <w:kern w:val="0"/>
          <w:sz w:val="18"/>
          <w:szCs w:val="18"/>
        </w:rPr>
        <w: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Another factor that links affectivity and the gut is corticotrophin-releasing hormone (CRH). Anxiety, depression and stress are associated with increased activity of </w:t>
      </w:r>
      <w:proofErr w:type="gramStart"/>
      <w:r w:rsidRPr="007653EB">
        <w:rPr>
          <w:rFonts w:ascii="Verdana" w:hAnsi="Verdana" w:cs="Verdana"/>
          <w:color w:val="000000"/>
          <w:spacing w:val="-7"/>
          <w:kern w:val="0"/>
          <w:sz w:val="18"/>
          <w:szCs w:val="18"/>
        </w:rPr>
        <w:t>CRH</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31]</w:t>
      </w:r>
      <w:r w:rsidRPr="007653EB">
        <w:rPr>
          <w:rFonts w:ascii="Verdana" w:hAnsi="Verdana" w:cs="Verdana"/>
          <w:color w:val="000000"/>
          <w:spacing w:val="-7"/>
          <w:kern w:val="0"/>
          <w:sz w:val="18"/>
          <w:szCs w:val="18"/>
        </w:rPr>
        <w:t xml:space="preserve">. CRH receptors are abundant in the amygdale as well in the gut and an exaggerated CRH response has been linked both to anxiety and </w:t>
      </w:r>
      <w:proofErr w:type="gramStart"/>
      <w:r w:rsidRPr="007653EB">
        <w:rPr>
          <w:rFonts w:ascii="Verdana" w:hAnsi="Verdana" w:cs="Verdana"/>
          <w:color w:val="000000"/>
          <w:spacing w:val="-7"/>
          <w:kern w:val="0"/>
          <w:sz w:val="18"/>
          <w:szCs w:val="18"/>
        </w:rPr>
        <w:t>depression</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31-33]</w:t>
      </w:r>
      <w:r w:rsidRPr="007653EB">
        <w:rPr>
          <w:rFonts w:ascii="Verdana" w:hAnsi="Verdana" w:cs="Verdana"/>
          <w:color w:val="000000"/>
          <w:spacing w:val="-7"/>
          <w:kern w:val="0"/>
          <w:sz w:val="18"/>
          <w:szCs w:val="18"/>
        </w:rPr>
        <w:t xml:space="preserve"> as well to gut physiology</w:t>
      </w:r>
      <w:r w:rsidRPr="007653EB">
        <w:rPr>
          <w:rFonts w:ascii="Verdana" w:hAnsi="Verdana" w:cs="Verdana"/>
          <w:color w:val="000000"/>
          <w:spacing w:val="-7"/>
          <w:kern w:val="0"/>
          <w:sz w:val="18"/>
          <w:szCs w:val="18"/>
          <w:vertAlign w:val="superscript"/>
        </w:rPr>
        <w:t>[34-37]</w:t>
      </w:r>
      <w:r w:rsidRPr="007653EB">
        <w:rPr>
          <w:rFonts w:ascii="Verdana" w:hAnsi="Verdana" w:cs="Verdana"/>
          <w:color w:val="000000"/>
          <w:spacing w:val="-7"/>
          <w:kern w:val="0"/>
          <w:sz w:val="18"/>
          <w:szCs w:val="18"/>
        </w:rPr>
        <w:t xml:space="preserve">. For example, injection of CRH results in an increased visceral hypersensitivity, exaggerated colonic motility and inhibition of upper gut </w:t>
      </w:r>
      <w:proofErr w:type="gramStart"/>
      <w:r w:rsidRPr="007653EB">
        <w:rPr>
          <w:rFonts w:ascii="Verdana" w:hAnsi="Verdana" w:cs="Verdana"/>
          <w:color w:val="000000"/>
          <w:spacing w:val="-7"/>
          <w:kern w:val="0"/>
          <w:sz w:val="18"/>
          <w:szCs w:val="18"/>
        </w:rPr>
        <w:t>motility</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34-37]</w:t>
      </w:r>
      <w:r w:rsidRPr="007653EB">
        <w:rPr>
          <w:rFonts w:ascii="Verdana" w:hAnsi="Verdana" w:cs="Verdana"/>
          <w:color w:val="000000"/>
          <w:spacing w:val="-7"/>
          <w:kern w:val="0"/>
          <w:sz w:val="18"/>
          <w:szCs w:val="18"/>
        </w:rPr>
        <w:t>. In a clinical perspective a high CRH drive may result in simul</w:t>
      </w:r>
      <w:r w:rsidRPr="007653EB">
        <w:rPr>
          <w:rFonts w:ascii="Verdana" w:hAnsi="Verdana" w:cs="Verdana"/>
          <w:color w:val="000000"/>
          <w:spacing w:val="-7"/>
          <w:kern w:val="0"/>
          <w:sz w:val="18"/>
          <w:szCs w:val="18"/>
        </w:rPr>
        <w:softHyphen/>
        <w:t xml:space="preserve">taneous occurrence of increased affectivity, visceral pain, </w:t>
      </w:r>
      <w:proofErr w:type="spellStart"/>
      <w:r w:rsidRPr="007653EB">
        <w:rPr>
          <w:rFonts w:ascii="Verdana" w:hAnsi="Verdana" w:cs="Verdana"/>
          <w:color w:val="000000"/>
          <w:spacing w:val="-7"/>
          <w:kern w:val="0"/>
          <w:sz w:val="18"/>
          <w:szCs w:val="18"/>
        </w:rPr>
        <w:t>diarrhoea</w:t>
      </w:r>
      <w:proofErr w:type="spellEnd"/>
      <w:r w:rsidRPr="007653EB">
        <w:rPr>
          <w:rFonts w:ascii="Verdana" w:hAnsi="Verdana" w:cs="Verdana"/>
          <w:color w:val="000000"/>
          <w:spacing w:val="-7"/>
          <w:kern w:val="0"/>
          <w:sz w:val="18"/>
          <w:szCs w:val="18"/>
        </w:rPr>
        <w:t xml:space="preserve">, urgency and dyspepsia. CRH also up regulates the hypothalamic-pituitary-adrenal axis leading to </w:t>
      </w:r>
      <w:proofErr w:type="spellStart"/>
      <w:r w:rsidRPr="007653EB">
        <w:rPr>
          <w:rFonts w:ascii="Verdana" w:hAnsi="Verdana" w:cs="Verdana"/>
          <w:color w:val="000000"/>
          <w:spacing w:val="-7"/>
          <w:kern w:val="0"/>
          <w:sz w:val="18"/>
          <w:szCs w:val="18"/>
        </w:rPr>
        <w:t>hypercortisolism</w:t>
      </w:r>
      <w:proofErr w:type="spellEnd"/>
      <w:r w:rsidRPr="007653EB">
        <w:rPr>
          <w:rFonts w:ascii="Verdana" w:hAnsi="Verdana" w:cs="Verdana"/>
          <w:color w:val="000000"/>
          <w:spacing w:val="-7"/>
          <w:kern w:val="0"/>
          <w:sz w:val="18"/>
          <w:szCs w:val="18"/>
        </w:rPr>
        <w:t xml:space="preserve"> and activates locus </w:t>
      </w:r>
      <w:proofErr w:type="spellStart"/>
      <w:r w:rsidRPr="007653EB">
        <w:rPr>
          <w:rFonts w:ascii="Verdana" w:hAnsi="Verdana" w:cs="Verdana"/>
          <w:color w:val="000000"/>
          <w:spacing w:val="-7"/>
          <w:kern w:val="0"/>
          <w:sz w:val="18"/>
          <w:szCs w:val="18"/>
        </w:rPr>
        <w:t>cereuleus</w:t>
      </w:r>
      <w:proofErr w:type="spellEnd"/>
      <w:r w:rsidRPr="007653EB">
        <w:rPr>
          <w:rFonts w:ascii="Verdana" w:hAnsi="Verdana" w:cs="Verdana"/>
          <w:color w:val="000000"/>
          <w:spacing w:val="-7"/>
          <w:kern w:val="0"/>
          <w:sz w:val="18"/>
          <w:szCs w:val="18"/>
          <w:vertAlign w:val="superscript"/>
        </w:rPr>
        <w:t>[31]</w:t>
      </w:r>
      <w:r w:rsidRPr="007653EB">
        <w:rPr>
          <w:rFonts w:ascii="Verdana" w:hAnsi="Verdana" w:cs="Verdana"/>
          <w:color w:val="000000"/>
          <w:spacing w:val="-7"/>
          <w:kern w:val="0"/>
          <w:sz w:val="18"/>
          <w:szCs w:val="18"/>
        </w:rPr>
        <w:t xml:space="preserve"> leading to a shift of the autonomic nervous system towards an increased sympathetic tone with possible complex downstream effects on the gut physiology (including motility, sensitivity, secretion and the gut immune system)</w:t>
      </w:r>
      <w:r w:rsidRPr="007653EB">
        <w:rPr>
          <w:rFonts w:ascii="Verdana" w:hAnsi="Verdana" w:cs="Verdana"/>
          <w:color w:val="000000"/>
          <w:spacing w:val="-7"/>
          <w:kern w:val="0"/>
          <w:sz w:val="18"/>
          <w:szCs w:val="18"/>
          <w:vertAlign w:val="superscript"/>
        </w:rPr>
        <w:t>[30,38,39]</w:t>
      </w:r>
      <w:r w:rsidRPr="007653EB">
        <w:rPr>
          <w:rFonts w:ascii="Verdana" w:hAnsi="Verdana" w:cs="Verdana"/>
          <w:color w:val="000000"/>
          <w:spacing w:val="-7"/>
          <w:kern w:val="0"/>
          <w:sz w:val="18"/>
          <w:szCs w:val="18"/>
        </w:rPr>
        <w: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The issue of the brain-gut axis is complex and many other possible factors may also be involved. For example, the gut </w:t>
      </w:r>
      <w:proofErr w:type="spellStart"/>
      <w:r w:rsidRPr="007653EB">
        <w:rPr>
          <w:rFonts w:ascii="Verdana" w:hAnsi="Verdana" w:cs="Verdana"/>
          <w:color w:val="000000"/>
          <w:spacing w:val="-7"/>
          <w:kern w:val="0"/>
          <w:sz w:val="18"/>
          <w:szCs w:val="18"/>
        </w:rPr>
        <w:t>microbiotica</w:t>
      </w:r>
      <w:proofErr w:type="spellEnd"/>
      <w:r w:rsidRPr="007653EB">
        <w:rPr>
          <w:rFonts w:ascii="Verdana" w:hAnsi="Verdana" w:cs="Verdana"/>
          <w:color w:val="000000"/>
          <w:spacing w:val="-7"/>
          <w:kern w:val="0"/>
          <w:sz w:val="18"/>
          <w:szCs w:val="18"/>
        </w:rPr>
        <w:t xml:space="preserve"> and/or subtle inflammation in the bowel may play a role in the regulation of mood</w:t>
      </w:r>
      <w:r w:rsidRPr="007653EB">
        <w:rPr>
          <w:rFonts w:ascii="Verdana" w:hAnsi="Verdana" w:cs="Verdana"/>
          <w:color w:val="000000"/>
          <w:spacing w:val="-7"/>
          <w:kern w:val="0"/>
          <w:sz w:val="18"/>
          <w:szCs w:val="18"/>
          <w:vertAlign w:val="superscript"/>
        </w:rPr>
        <w:t>[40]</w:t>
      </w:r>
      <w:r w:rsidRPr="007653EB">
        <w:rPr>
          <w:rFonts w:ascii="Verdana" w:hAnsi="Verdana" w:cs="Verdana"/>
          <w:color w:val="000000"/>
          <w:spacing w:val="-7"/>
          <w:kern w:val="0"/>
          <w:sz w:val="18"/>
          <w:szCs w:val="18"/>
        </w:rPr>
        <w:t>, indicating that in addition to a brain-gut axis there is also a gut-brain axis involved in the “link between affectivity and bowel symptoms.</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In the logistic regression analysis in our study depressive symptoms and not anxiety symptoms and not perceived stress were related to GI symptoma</w:t>
      </w:r>
      <w:r w:rsidRPr="007653EB">
        <w:rPr>
          <w:rFonts w:ascii="Verdana" w:hAnsi="Verdana" w:cs="Verdana"/>
          <w:color w:val="000000"/>
          <w:spacing w:val="-7"/>
          <w:kern w:val="0"/>
          <w:sz w:val="18"/>
          <w:szCs w:val="18"/>
        </w:rPr>
        <w:softHyphen/>
        <w:t xml:space="preserve">tology. This is a novel and important finding, which is contrary to that seen in studies on patients with </w:t>
      </w:r>
      <w:proofErr w:type="gramStart"/>
      <w:r w:rsidRPr="007653EB">
        <w:rPr>
          <w:rFonts w:ascii="Verdana" w:hAnsi="Verdana" w:cs="Verdana"/>
          <w:color w:val="000000"/>
          <w:spacing w:val="-7"/>
          <w:kern w:val="0"/>
          <w:sz w:val="18"/>
          <w:szCs w:val="18"/>
        </w:rPr>
        <w:t>IBS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18,41]</w:t>
      </w:r>
      <w:r w:rsidRPr="007653EB">
        <w:rPr>
          <w:rFonts w:ascii="Verdana" w:hAnsi="Verdana" w:cs="Verdana"/>
          <w:color w:val="000000"/>
          <w:spacing w:val="-7"/>
          <w:kern w:val="0"/>
          <w:sz w:val="18"/>
          <w:szCs w:val="18"/>
        </w:rPr>
        <w:t xml:space="preserve"> and control subjects</w:t>
      </w:r>
      <w:r w:rsidRPr="007653EB">
        <w:rPr>
          <w:rFonts w:ascii="Verdana" w:hAnsi="Verdana" w:cs="Verdana"/>
          <w:color w:val="000000"/>
          <w:spacing w:val="-7"/>
          <w:kern w:val="0"/>
          <w:sz w:val="18"/>
          <w:szCs w:val="18"/>
          <w:vertAlign w:val="superscript"/>
        </w:rPr>
        <w:t>[42]</w:t>
      </w:r>
      <w:r w:rsidRPr="007653EB">
        <w:rPr>
          <w:rFonts w:ascii="Verdana" w:hAnsi="Verdana" w:cs="Verdana"/>
          <w:color w:val="000000"/>
          <w:spacing w:val="-7"/>
          <w:kern w:val="0"/>
          <w:sz w:val="18"/>
          <w:szCs w:val="18"/>
        </w:rPr>
        <w:t xml:space="preserve"> in where anxiety correlates to an higher extent to reported GI symp</w:t>
      </w:r>
      <w:r w:rsidRPr="007653EB">
        <w:rPr>
          <w:rFonts w:ascii="Verdana" w:hAnsi="Verdana" w:cs="Verdana"/>
          <w:color w:val="000000"/>
          <w:spacing w:val="-7"/>
          <w:kern w:val="0"/>
          <w:sz w:val="18"/>
          <w:szCs w:val="18"/>
        </w:rPr>
        <w:softHyphen/>
        <w:t>toms. Women and younger individuals score in general higher on HADS-</w:t>
      </w:r>
      <w:proofErr w:type="gramStart"/>
      <w:r w:rsidRPr="007653EB">
        <w:rPr>
          <w:rFonts w:ascii="Verdana" w:hAnsi="Verdana" w:cs="Verdana"/>
          <w:color w:val="000000"/>
          <w:spacing w:val="-7"/>
          <w:kern w:val="0"/>
          <w:sz w:val="18"/>
          <w:szCs w:val="18"/>
        </w:rPr>
        <w:t>anxiety</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18]</w:t>
      </w:r>
      <w:r w:rsidRPr="007653EB">
        <w:rPr>
          <w:rFonts w:ascii="Verdana" w:hAnsi="Verdana" w:cs="Verdana"/>
          <w:color w:val="000000"/>
          <w:spacing w:val="-7"/>
          <w:kern w:val="0"/>
          <w:sz w:val="18"/>
          <w:szCs w:val="18"/>
        </w:rPr>
        <w:t xml:space="preserve"> and perceived stress</w:t>
      </w:r>
      <w:r w:rsidRPr="007653EB">
        <w:rPr>
          <w:rFonts w:ascii="Verdana" w:hAnsi="Verdana" w:cs="Verdana"/>
          <w:color w:val="000000"/>
          <w:spacing w:val="-7"/>
          <w:kern w:val="0"/>
          <w:sz w:val="18"/>
          <w:szCs w:val="18"/>
          <w:vertAlign w:val="superscript"/>
        </w:rPr>
        <w:t>[21]</w:t>
      </w:r>
      <w:r w:rsidRPr="007653EB">
        <w:rPr>
          <w:rFonts w:ascii="Verdana" w:hAnsi="Verdana" w:cs="Verdana"/>
          <w:color w:val="000000"/>
          <w:spacing w:val="-7"/>
          <w:kern w:val="0"/>
          <w:sz w:val="18"/>
          <w:szCs w:val="18"/>
        </w:rPr>
        <w:t xml:space="preserve">. The majority of patients with IBS are women and younger, whereas the patients in the present study are older and involves relatively more men. These differences in age and gender distribution may </w:t>
      </w:r>
      <w:r w:rsidRPr="007653EB">
        <w:rPr>
          <w:rFonts w:ascii="Verdana" w:hAnsi="Verdana" w:cs="Verdana"/>
          <w:color w:val="000000"/>
          <w:spacing w:val="-7"/>
          <w:kern w:val="0"/>
          <w:sz w:val="18"/>
          <w:szCs w:val="18"/>
        </w:rPr>
        <w:lastRenderedPageBreak/>
        <w:t>partly explain the different impact of anxiety and depression on GI symptomatology in patients with IBS and patients with bipolar disorder. We suggest further studies that focus on the different aspects of affectivity and their impact on symptoms from the gut.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 xml:space="preserve">There are some limitations of our study. The GSRS and GSRS-IBS questionnaire is designed to be a sensitive tool for detecting symptoms typically of functional GI </w:t>
      </w:r>
      <w:proofErr w:type="gramStart"/>
      <w:r w:rsidRPr="007653EB">
        <w:rPr>
          <w:rFonts w:ascii="Verdana" w:hAnsi="Verdana" w:cs="Verdana"/>
          <w:color w:val="000000"/>
          <w:spacing w:val="-7"/>
          <w:kern w:val="0"/>
          <w:sz w:val="18"/>
          <w:szCs w:val="18"/>
        </w:rPr>
        <w:t>disorders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15,16]</w:t>
      </w:r>
      <w:r w:rsidRPr="007653EB">
        <w:rPr>
          <w:rFonts w:ascii="Verdana" w:hAnsi="Verdana" w:cs="Verdana"/>
          <w:color w:val="000000"/>
          <w:spacing w:val="-7"/>
          <w:kern w:val="0"/>
          <w:sz w:val="18"/>
          <w:szCs w:val="18"/>
        </w:rPr>
        <w:t xml:space="preserve">. However, the questions in the GSRS questionnaire only focus on symptoms the last week which increases the validity of the responses but at the same time disallows us from making a diagnosis according to the ROME criteria. GSRS is regarded by some authors to overestimate functional GI disorders in comparison to the ROME based </w:t>
      </w:r>
      <w:proofErr w:type="gramStart"/>
      <w:r w:rsidRPr="007653EB">
        <w:rPr>
          <w:rFonts w:ascii="Verdana" w:hAnsi="Verdana" w:cs="Verdana"/>
          <w:color w:val="000000"/>
          <w:spacing w:val="-7"/>
          <w:kern w:val="0"/>
          <w:sz w:val="18"/>
          <w:szCs w:val="18"/>
        </w:rPr>
        <w:t>questionnaires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43]</w:t>
      </w:r>
      <w:r w:rsidRPr="007653EB">
        <w:rPr>
          <w:rFonts w:ascii="Verdana" w:hAnsi="Verdana" w:cs="Verdana"/>
          <w:color w:val="000000"/>
          <w:spacing w:val="-7"/>
          <w:kern w:val="0"/>
          <w:sz w:val="18"/>
          <w:szCs w:val="18"/>
        </w:rPr>
        <w:t>. Two questions in the GSRS-IBS questionnaire issue the symptoms typically of postprandial dyspepsia (satiety and early satiety) and are inappropriate to be classed in the IBS-like symptom cluster. Because the questionnaire was valid with the “satiety” questions we have included the questions in the total GSRS-</w:t>
      </w:r>
      <w:proofErr w:type="gramStart"/>
      <w:r w:rsidRPr="007653EB">
        <w:rPr>
          <w:rFonts w:ascii="Verdana" w:hAnsi="Verdana" w:cs="Verdana"/>
          <w:color w:val="000000"/>
          <w:spacing w:val="-7"/>
          <w:kern w:val="0"/>
          <w:sz w:val="18"/>
          <w:szCs w:val="18"/>
        </w:rPr>
        <w:t>IBS</w:t>
      </w:r>
      <w:r w:rsidRPr="007653EB">
        <w:rPr>
          <w:rFonts w:ascii="Verdana" w:hAnsi="Verdana" w:cs="Verdana"/>
          <w:color w:val="000000"/>
          <w:spacing w:val="-7"/>
          <w:kern w:val="0"/>
          <w:sz w:val="18"/>
          <w:szCs w:val="18"/>
          <w:vertAlign w:val="superscript"/>
        </w:rPr>
        <w:t>[</w:t>
      </w:r>
      <w:proofErr w:type="gramEnd"/>
      <w:r w:rsidRPr="007653EB">
        <w:rPr>
          <w:rFonts w:ascii="Verdana" w:hAnsi="Verdana" w:cs="Verdana"/>
          <w:color w:val="000000"/>
          <w:spacing w:val="-7"/>
          <w:kern w:val="0"/>
          <w:sz w:val="18"/>
          <w:szCs w:val="18"/>
          <w:vertAlign w:val="superscript"/>
        </w:rPr>
        <w:t>15]</w:t>
      </w:r>
      <w:r w:rsidRPr="007653EB">
        <w:rPr>
          <w:rFonts w:ascii="Verdana" w:hAnsi="Verdana" w:cs="Verdana"/>
          <w:color w:val="000000"/>
          <w:spacing w:val="-7"/>
          <w:kern w:val="0"/>
          <w:sz w:val="18"/>
          <w:szCs w:val="18"/>
        </w:rPr>
        <w:t>.</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The study design in the present study was mainly cross-sectional, which results in a lack of clear temporal relationship between depressive mood and GI symptoms. A prospective study design, analyzing GI symptoms in patients with affective disorder over time would better investigate this temporal relationship. Also, in studies comparing results from questionnaires there is some risk of reporting bias (reporting the same type of dignity on different scales). However, because of the fact that patients in remission (low HADS-D and HADS-A score) did not differ from controls in GI symptom score but the same patients tended to have more visits in primary care for functional GI complaints we argue that these data point toward a common pathophysiology between mood and gut symptoms in patients with bipolar disorder.</w:t>
      </w:r>
    </w:p>
    <w:p w:rsidR="009D0154" w:rsidRPr="007653EB" w:rsidRDefault="009D0154" w:rsidP="009D015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7653EB">
        <w:rPr>
          <w:rFonts w:ascii="Verdana" w:hAnsi="Verdana" w:cs="Verdana"/>
          <w:color w:val="000000"/>
          <w:spacing w:val="-7"/>
          <w:kern w:val="0"/>
          <w:sz w:val="18"/>
          <w:szCs w:val="18"/>
        </w:rPr>
        <w:t>Female patients and patients with high HADS depression score reported significantly more GI symptoms, whereas patients with low HADS scores did not differ from control subjects. Unexplained GI-symptoms in bipolar patients should be seriously considered to suffer from depression and receive adequate treatment.</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7653EB">
        <w:rPr>
          <w:rFonts w:ascii="Univers" w:hAnsi="Univers" w:cs="Univers"/>
          <w:b/>
          <w:bCs/>
          <w:color w:val="000000"/>
          <w:spacing w:val="-2"/>
          <w:kern w:val="0"/>
          <w:sz w:val="24"/>
          <w:szCs w:val="24"/>
          <w:u w:val="single"/>
        </w:rPr>
        <w:t>ACKNOWLEDGMENTS</w:t>
      </w:r>
    </w:p>
    <w:p w:rsidR="009D0154" w:rsidRPr="007653EB" w:rsidRDefault="009D0154" w:rsidP="009D0154">
      <w:pPr>
        <w:suppressAutoHyphens/>
        <w:autoSpaceDE w:val="0"/>
        <w:autoSpaceDN w:val="0"/>
        <w:adjustRightInd w:val="0"/>
        <w:spacing w:line="288" w:lineRule="auto"/>
        <w:textAlignment w:val="center"/>
        <w:rPr>
          <w:rFonts w:ascii="Verdana" w:hAnsi="Verdana" w:cs="Verdana"/>
          <w:color w:val="000000"/>
          <w:spacing w:val="-8"/>
          <w:kern w:val="0"/>
          <w:sz w:val="18"/>
          <w:szCs w:val="18"/>
        </w:rPr>
      </w:pPr>
      <w:proofErr w:type="spellStart"/>
      <w:r w:rsidRPr="007653EB">
        <w:rPr>
          <w:rFonts w:ascii="Verdana" w:hAnsi="Verdana" w:cs="Verdana"/>
          <w:color w:val="000000"/>
          <w:spacing w:val="-8"/>
          <w:kern w:val="0"/>
          <w:sz w:val="18"/>
          <w:szCs w:val="18"/>
        </w:rPr>
        <w:t>Lotta</w:t>
      </w:r>
      <w:proofErr w:type="spellEnd"/>
      <w:r w:rsidRPr="007653EB">
        <w:rPr>
          <w:rFonts w:ascii="Verdana" w:hAnsi="Verdana" w:cs="Verdana"/>
          <w:color w:val="000000"/>
          <w:spacing w:val="-8"/>
          <w:kern w:val="0"/>
          <w:sz w:val="18"/>
          <w:szCs w:val="18"/>
        </w:rPr>
        <w:t xml:space="preserve"> </w:t>
      </w:r>
      <w:proofErr w:type="spellStart"/>
      <w:r w:rsidRPr="007653EB">
        <w:rPr>
          <w:rFonts w:ascii="Verdana" w:hAnsi="Verdana" w:cs="Verdana"/>
          <w:color w:val="000000"/>
          <w:spacing w:val="-8"/>
          <w:kern w:val="0"/>
          <w:sz w:val="18"/>
          <w:szCs w:val="18"/>
        </w:rPr>
        <w:t>Kronberg</w:t>
      </w:r>
      <w:proofErr w:type="spellEnd"/>
      <w:r w:rsidRPr="007653EB">
        <w:rPr>
          <w:rFonts w:ascii="Verdana" w:hAnsi="Verdana" w:cs="Verdana"/>
          <w:color w:val="000000"/>
          <w:spacing w:val="-8"/>
          <w:kern w:val="0"/>
          <w:sz w:val="18"/>
          <w:szCs w:val="18"/>
        </w:rPr>
        <w:t xml:space="preserve">, Research Nurse, Department of Clinical Sciences, Division of Psychiatry, University hospital of </w:t>
      </w:r>
      <w:proofErr w:type="spellStart"/>
      <w:r w:rsidRPr="007653EB">
        <w:rPr>
          <w:rFonts w:ascii="Verdana" w:hAnsi="Verdana" w:cs="Verdana"/>
          <w:color w:val="000000"/>
          <w:spacing w:val="-8"/>
          <w:kern w:val="0"/>
          <w:sz w:val="18"/>
          <w:szCs w:val="18"/>
        </w:rPr>
        <w:t>Umeå</w:t>
      </w:r>
      <w:proofErr w:type="spellEnd"/>
      <w:r w:rsidRPr="007653EB">
        <w:rPr>
          <w:rFonts w:ascii="Verdana" w:hAnsi="Verdana" w:cs="Verdana"/>
          <w:color w:val="000000"/>
          <w:spacing w:val="-8"/>
          <w:kern w:val="0"/>
          <w:sz w:val="18"/>
          <w:szCs w:val="18"/>
        </w:rPr>
        <w:t xml:space="preserve">, S-90185 </w:t>
      </w:r>
      <w:proofErr w:type="spellStart"/>
      <w:r w:rsidRPr="007653EB">
        <w:rPr>
          <w:rFonts w:ascii="Verdana" w:hAnsi="Verdana" w:cs="Verdana"/>
          <w:color w:val="000000"/>
          <w:spacing w:val="-8"/>
          <w:kern w:val="0"/>
          <w:sz w:val="18"/>
          <w:szCs w:val="18"/>
        </w:rPr>
        <w:t>Umeå</w:t>
      </w:r>
      <w:proofErr w:type="spellEnd"/>
      <w:r w:rsidRPr="007653EB">
        <w:rPr>
          <w:rFonts w:ascii="Verdana" w:hAnsi="Verdana" w:cs="Verdana"/>
          <w:color w:val="000000"/>
          <w:spacing w:val="-8"/>
          <w:kern w:val="0"/>
          <w:sz w:val="18"/>
          <w:szCs w:val="18"/>
        </w:rPr>
        <w:t xml:space="preserve"> Financial support was obtained from the County Council of </w:t>
      </w:r>
      <w:proofErr w:type="spellStart"/>
      <w:r w:rsidRPr="007653EB">
        <w:rPr>
          <w:rFonts w:ascii="Verdana" w:hAnsi="Verdana" w:cs="Verdana"/>
          <w:color w:val="000000"/>
          <w:spacing w:val="-8"/>
          <w:kern w:val="0"/>
          <w:sz w:val="18"/>
          <w:szCs w:val="18"/>
        </w:rPr>
        <w:t>Västerbotten</w:t>
      </w:r>
      <w:proofErr w:type="spellEnd"/>
      <w:r w:rsidRPr="007653EB">
        <w:rPr>
          <w:rFonts w:ascii="Verdana" w:hAnsi="Verdana" w:cs="Verdana"/>
          <w:color w:val="000000"/>
          <w:spacing w:val="-8"/>
          <w:kern w:val="0"/>
          <w:sz w:val="18"/>
          <w:szCs w:val="18"/>
        </w:rPr>
        <w:t>, Sweden.</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7653EB">
        <w:rPr>
          <w:rFonts w:ascii="Univers" w:hAnsi="Univers" w:cs="Univers"/>
          <w:b/>
          <w:bCs/>
          <w:color w:val="000000"/>
          <w:spacing w:val="-2"/>
          <w:kern w:val="0"/>
          <w:sz w:val="24"/>
          <w:szCs w:val="24"/>
          <w:u w:val="single"/>
        </w:rPr>
        <w:t>COMMENTS</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Background</w:t>
      </w:r>
    </w:p>
    <w:p w:rsidR="009D0154" w:rsidRPr="007653EB" w:rsidRDefault="009D0154" w:rsidP="009D015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7653EB">
        <w:rPr>
          <w:rFonts w:ascii="Arial Narrow" w:hAnsi="Arial Narrow" w:cs="Arial Narrow"/>
          <w:color w:val="000000"/>
          <w:kern w:val="0"/>
          <w:sz w:val="16"/>
          <w:szCs w:val="16"/>
        </w:rPr>
        <w:t xml:space="preserve">Symptoms of anxiety and depression as well as increased stress-proneness are frequently occurring in patients with unexplained gastrointestinal (GI) </w:t>
      </w:r>
      <w:proofErr w:type="gramStart"/>
      <w:r w:rsidRPr="007653EB">
        <w:rPr>
          <w:rFonts w:ascii="Arial Narrow" w:hAnsi="Arial Narrow" w:cs="Arial Narrow"/>
          <w:color w:val="000000"/>
          <w:kern w:val="0"/>
          <w:sz w:val="16"/>
          <w:szCs w:val="16"/>
        </w:rPr>
        <w:t>symptoms,</w:t>
      </w:r>
      <w:proofErr w:type="gramEnd"/>
      <w:r w:rsidRPr="007653EB">
        <w:rPr>
          <w:rFonts w:ascii="Arial Narrow" w:hAnsi="Arial Narrow" w:cs="Arial Narrow"/>
          <w:color w:val="000000"/>
          <w:kern w:val="0"/>
          <w:sz w:val="16"/>
          <w:szCs w:val="16"/>
        </w:rPr>
        <w:t xml:space="preserve"> however the cause and effect relationship has not been clearly established</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Research frontiers</w:t>
      </w:r>
    </w:p>
    <w:p w:rsidR="009D0154" w:rsidRPr="007653EB" w:rsidRDefault="009D0154" w:rsidP="009D015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7653EB">
        <w:rPr>
          <w:rFonts w:ascii="Arial Narrow" w:hAnsi="Arial Narrow" w:cs="Arial Narrow"/>
          <w:color w:val="000000"/>
          <w:kern w:val="0"/>
          <w:sz w:val="16"/>
          <w:szCs w:val="16"/>
        </w:rPr>
        <w:t>There are many studies performed on patients with functional GI symptoms that investigate the prevalence and characteristics of symptoms of anxiety and depression. These patients often have longstanding and disabling gut symptoms with negative consequences on quality of life which in the long run may have an impact on mood. A different approach for studying how affective syndromes influence the bowel and brain-gut interactions is to set the starting point at the psychiatric patients. In the literature there are relatively few studies using this approach.</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Innovations and breakthroughs</w:t>
      </w:r>
    </w:p>
    <w:p w:rsidR="009D0154" w:rsidRPr="007653EB" w:rsidRDefault="009D0154" w:rsidP="009D015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7653EB">
        <w:rPr>
          <w:rFonts w:ascii="Arial Narrow" w:hAnsi="Arial Narrow" w:cs="Arial Narrow"/>
          <w:color w:val="000000"/>
          <w:kern w:val="0"/>
          <w:sz w:val="16"/>
          <w:szCs w:val="16"/>
        </w:rPr>
        <w:t>The present study supports a relationship between affectivity and gut symptoms. The finding that patients with bipolar disorder with low scores on affectivity do not have more GI symptoms than control subjects whereas patients with bipolar disorder with high scores on affectivity do have GI symptoms support the thesis that mood has an impact on gut function.</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Applications</w:t>
      </w:r>
    </w:p>
    <w:p w:rsidR="009D0154" w:rsidRPr="007653EB" w:rsidRDefault="009D0154" w:rsidP="009D015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7653EB">
        <w:rPr>
          <w:rFonts w:ascii="Arial Narrow" w:hAnsi="Arial Narrow" w:cs="Arial Narrow"/>
          <w:color w:val="000000"/>
          <w:kern w:val="0"/>
          <w:sz w:val="16"/>
          <w:szCs w:val="16"/>
        </w:rPr>
        <w:lastRenderedPageBreak/>
        <w:t>Unexplained GI-symptoms in bipolar patients should be seriously considered to suffer from depression and receive adequate treatment.</w:t>
      </w:r>
    </w:p>
    <w:p w:rsidR="009D0154" w:rsidRPr="007653EB" w:rsidRDefault="009D0154" w:rsidP="009D0154">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7653EB">
        <w:rPr>
          <w:rFonts w:ascii="Arial Narrow" w:hAnsi="Arial Narrow" w:cs="Arial Narrow"/>
          <w:b/>
          <w:bCs/>
          <w:i/>
          <w:iCs/>
          <w:color w:val="000000"/>
          <w:kern w:val="0"/>
          <w:szCs w:val="21"/>
        </w:rPr>
        <w:t>Peer-review</w:t>
      </w:r>
    </w:p>
    <w:p w:rsidR="009D0154" w:rsidRPr="007653EB" w:rsidRDefault="009D0154" w:rsidP="009D0154">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7653EB">
        <w:rPr>
          <w:rFonts w:ascii="Arial Narrow" w:hAnsi="Arial Narrow" w:cs="Arial Narrow"/>
          <w:color w:val="000000"/>
          <w:kern w:val="0"/>
          <w:sz w:val="16"/>
          <w:szCs w:val="16"/>
        </w:rPr>
        <w:t>The idea of search is significantly studied throughout function bowel disorders, with all types and disorders. Results confirm what we expected, no changes from previous studies.</w:t>
      </w: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9D0154" w:rsidRPr="007653EB" w:rsidRDefault="009D0154" w:rsidP="009D0154">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7653EB">
        <w:rPr>
          <w:rFonts w:ascii="Univers" w:hAnsi="Univers" w:cs="Univers"/>
          <w:b/>
          <w:bCs/>
          <w:color w:val="000000"/>
          <w:spacing w:val="-2"/>
          <w:kern w:val="0"/>
          <w:sz w:val="24"/>
          <w:szCs w:val="24"/>
        </w:rPr>
        <w:t>REFERENCES</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w:t>
      </w:r>
      <w:r w:rsidRPr="007653EB">
        <w:rPr>
          <w:color w:val="000000"/>
          <w:spacing w:val="-1"/>
          <w:kern w:val="0"/>
          <w:sz w:val="16"/>
          <w:szCs w:val="16"/>
        </w:rPr>
        <w:tab/>
      </w:r>
      <w:proofErr w:type="spellStart"/>
      <w:r w:rsidRPr="007653EB">
        <w:rPr>
          <w:b/>
          <w:bCs/>
          <w:color w:val="000000"/>
          <w:spacing w:val="-1"/>
          <w:kern w:val="0"/>
          <w:sz w:val="16"/>
          <w:szCs w:val="16"/>
        </w:rPr>
        <w:t>Palsson</w:t>
      </w:r>
      <w:proofErr w:type="spellEnd"/>
      <w:r w:rsidRPr="007653EB">
        <w:rPr>
          <w:b/>
          <w:bCs/>
          <w:color w:val="000000"/>
          <w:spacing w:val="-1"/>
          <w:kern w:val="0"/>
          <w:sz w:val="16"/>
          <w:szCs w:val="16"/>
        </w:rPr>
        <w:t xml:space="preserve"> OS</w:t>
      </w:r>
      <w:r w:rsidRPr="007653EB">
        <w:rPr>
          <w:color w:val="000000"/>
          <w:spacing w:val="-1"/>
          <w:kern w:val="0"/>
          <w:sz w:val="16"/>
          <w:szCs w:val="16"/>
        </w:rPr>
        <w:t xml:space="preserve">, Whitehead WE. </w:t>
      </w:r>
      <w:proofErr w:type="gramStart"/>
      <w:r w:rsidRPr="007653EB">
        <w:rPr>
          <w:color w:val="000000"/>
          <w:spacing w:val="-1"/>
          <w:kern w:val="0"/>
          <w:sz w:val="16"/>
          <w:szCs w:val="16"/>
        </w:rPr>
        <w:t>The growing case for hypnosis as adjunctive therapy for functional gastrointestinal disorders.</w:t>
      </w:r>
      <w:proofErr w:type="gramEnd"/>
      <w:r w:rsidRPr="007653EB">
        <w:rPr>
          <w:color w:val="000000"/>
          <w:spacing w:val="-1"/>
          <w:kern w:val="0"/>
          <w:sz w:val="16"/>
          <w:szCs w:val="16"/>
        </w:rPr>
        <w:t xml:space="preserve"> </w:t>
      </w:r>
      <w:r w:rsidRPr="007653EB">
        <w:rPr>
          <w:i/>
          <w:iCs/>
          <w:color w:val="000000"/>
          <w:spacing w:val="-1"/>
          <w:kern w:val="0"/>
          <w:sz w:val="16"/>
          <w:szCs w:val="16"/>
        </w:rPr>
        <w:t>Gastroenterology</w:t>
      </w:r>
      <w:r w:rsidRPr="007653EB">
        <w:rPr>
          <w:color w:val="000000"/>
          <w:spacing w:val="-1"/>
          <w:kern w:val="0"/>
          <w:sz w:val="16"/>
          <w:szCs w:val="16"/>
        </w:rPr>
        <w:t xml:space="preserve"> 2002; </w:t>
      </w:r>
      <w:r w:rsidRPr="007653EB">
        <w:rPr>
          <w:b/>
          <w:bCs/>
          <w:color w:val="000000"/>
          <w:spacing w:val="-1"/>
          <w:kern w:val="0"/>
          <w:sz w:val="16"/>
          <w:szCs w:val="16"/>
        </w:rPr>
        <w:t>123</w:t>
      </w:r>
      <w:r w:rsidRPr="007653EB">
        <w:rPr>
          <w:color w:val="000000"/>
          <w:spacing w:val="-1"/>
          <w:kern w:val="0"/>
          <w:sz w:val="16"/>
          <w:szCs w:val="16"/>
        </w:rPr>
        <w:t>: 2132-2135 [PMID: 12454867 DOI: 10.1053/gast.2002.32392]</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2</w:t>
      </w:r>
      <w:r w:rsidRPr="007653EB">
        <w:rPr>
          <w:color w:val="000000"/>
          <w:spacing w:val="-1"/>
          <w:kern w:val="0"/>
          <w:sz w:val="16"/>
          <w:szCs w:val="16"/>
        </w:rPr>
        <w:tab/>
      </w:r>
      <w:proofErr w:type="spellStart"/>
      <w:r w:rsidRPr="007653EB">
        <w:rPr>
          <w:b/>
          <w:bCs/>
          <w:color w:val="000000"/>
          <w:spacing w:val="-1"/>
          <w:kern w:val="0"/>
          <w:sz w:val="16"/>
          <w:szCs w:val="16"/>
        </w:rPr>
        <w:t>Koloski</w:t>
      </w:r>
      <w:proofErr w:type="spellEnd"/>
      <w:r w:rsidRPr="007653EB">
        <w:rPr>
          <w:b/>
          <w:bCs/>
          <w:color w:val="000000"/>
          <w:spacing w:val="-1"/>
          <w:kern w:val="0"/>
          <w:sz w:val="16"/>
          <w:szCs w:val="16"/>
        </w:rPr>
        <w:t xml:space="preserve"> NA</w:t>
      </w:r>
      <w:r w:rsidRPr="007653EB">
        <w:rPr>
          <w:color w:val="000000"/>
          <w:spacing w:val="-1"/>
          <w:kern w:val="0"/>
          <w:sz w:val="16"/>
          <w:szCs w:val="16"/>
        </w:rPr>
        <w:t xml:space="preserve">, Jones M, </w:t>
      </w:r>
      <w:proofErr w:type="spellStart"/>
      <w:r w:rsidRPr="007653EB">
        <w:rPr>
          <w:color w:val="000000"/>
          <w:spacing w:val="-1"/>
          <w:kern w:val="0"/>
          <w:sz w:val="16"/>
          <w:szCs w:val="16"/>
        </w:rPr>
        <w:t>Kalantar</w:t>
      </w:r>
      <w:proofErr w:type="spellEnd"/>
      <w:r w:rsidRPr="007653EB">
        <w:rPr>
          <w:color w:val="000000"/>
          <w:spacing w:val="-1"/>
          <w:kern w:val="0"/>
          <w:sz w:val="16"/>
          <w:szCs w:val="16"/>
        </w:rPr>
        <w:t xml:space="preserve"> J, </w:t>
      </w:r>
      <w:proofErr w:type="spellStart"/>
      <w:r w:rsidRPr="007653EB">
        <w:rPr>
          <w:color w:val="000000"/>
          <w:spacing w:val="-1"/>
          <w:kern w:val="0"/>
          <w:sz w:val="16"/>
          <w:szCs w:val="16"/>
        </w:rPr>
        <w:t>Weltman</w:t>
      </w:r>
      <w:proofErr w:type="spellEnd"/>
      <w:r w:rsidRPr="007653EB">
        <w:rPr>
          <w:color w:val="000000"/>
          <w:spacing w:val="-1"/>
          <w:kern w:val="0"/>
          <w:sz w:val="16"/>
          <w:szCs w:val="16"/>
        </w:rPr>
        <w:t xml:space="preserve"> M, </w:t>
      </w:r>
      <w:proofErr w:type="spellStart"/>
      <w:r w:rsidRPr="007653EB">
        <w:rPr>
          <w:color w:val="000000"/>
          <w:spacing w:val="-1"/>
          <w:kern w:val="0"/>
          <w:sz w:val="16"/>
          <w:szCs w:val="16"/>
        </w:rPr>
        <w:t>Zaguirre</w:t>
      </w:r>
      <w:proofErr w:type="spellEnd"/>
      <w:r w:rsidRPr="007653EB">
        <w:rPr>
          <w:color w:val="000000"/>
          <w:spacing w:val="-1"/>
          <w:kern w:val="0"/>
          <w:sz w:val="16"/>
          <w:szCs w:val="16"/>
        </w:rPr>
        <w:t xml:space="preserve"> J, Talley NJ. The brain--gut pathway in functional gastrointestinal disorders is bidirectional: a 12-year prospective population-based study. </w:t>
      </w:r>
      <w:r w:rsidRPr="007653EB">
        <w:rPr>
          <w:i/>
          <w:iCs/>
          <w:color w:val="000000"/>
          <w:spacing w:val="-1"/>
          <w:kern w:val="0"/>
          <w:sz w:val="16"/>
          <w:szCs w:val="16"/>
        </w:rPr>
        <w:t>Gut</w:t>
      </w:r>
      <w:r w:rsidRPr="007653EB">
        <w:rPr>
          <w:color w:val="000000"/>
          <w:spacing w:val="-1"/>
          <w:kern w:val="0"/>
          <w:sz w:val="16"/>
          <w:szCs w:val="16"/>
        </w:rPr>
        <w:t xml:space="preserve"> 2012; </w:t>
      </w:r>
      <w:r w:rsidRPr="007653EB">
        <w:rPr>
          <w:b/>
          <w:bCs/>
          <w:color w:val="000000"/>
          <w:spacing w:val="-1"/>
          <w:kern w:val="0"/>
          <w:sz w:val="16"/>
          <w:szCs w:val="16"/>
        </w:rPr>
        <w:t>61</w:t>
      </w:r>
      <w:r w:rsidRPr="007653EB">
        <w:rPr>
          <w:color w:val="000000"/>
          <w:spacing w:val="-1"/>
          <w:kern w:val="0"/>
          <w:sz w:val="16"/>
          <w:szCs w:val="16"/>
        </w:rPr>
        <w:t>: 1284-1290 [PMID: 22234979 DOI: 10.1136/gutjni.2011.300.474]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7653EB">
        <w:rPr>
          <w:color w:val="000000"/>
          <w:spacing w:val="-1"/>
          <w:kern w:val="0"/>
          <w:sz w:val="16"/>
          <w:szCs w:val="16"/>
        </w:rPr>
        <w:t>3</w:t>
      </w:r>
      <w:r w:rsidRPr="007653EB">
        <w:rPr>
          <w:color w:val="000000"/>
          <w:spacing w:val="-1"/>
          <w:kern w:val="0"/>
          <w:sz w:val="16"/>
          <w:szCs w:val="16"/>
        </w:rPr>
        <w:tab/>
      </w:r>
      <w:r w:rsidRPr="007653EB">
        <w:rPr>
          <w:b/>
          <w:bCs/>
          <w:color w:val="000000"/>
          <w:spacing w:val="-1"/>
          <w:kern w:val="0"/>
          <w:sz w:val="16"/>
          <w:szCs w:val="16"/>
        </w:rPr>
        <w:t>Mayer EA</w:t>
      </w:r>
      <w:r w:rsidRPr="007653EB">
        <w:rPr>
          <w:color w:val="000000"/>
          <w:spacing w:val="-1"/>
          <w:kern w:val="0"/>
          <w:sz w:val="16"/>
          <w:szCs w:val="16"/>
        </w:rPr>
        <w:t xml:space="preserve">, </w:t>
      </w:r>
      <w:proofErr w:type="spellStart"/>
      <w:r w:rsidRPr="007653EB">
        <w:rPr>
          <w:color w:val="000000"/>
          <w:spacing w:val="-1"/>
          <w:kern w:val="0"/>
          <w:sz w:val="16"/>
          <w:szCs w:val="16"/>
        </w:rPr>
        <w:t>Craske</w:t>
      </w:r>
      <w:proofErr w:type="spellEnd"/>
      <w:r w:rsidRPr="007653EB">
        <w:rPr>
          <w:color w:val="000000"/>
          <w:spacing w:val="-1"/>
          <w:kern w:val="0"/>
          <w:sz w:val="16"/>
          <w:szCs w:val="16"/>
        </w:rPr>
        <w:t xml:space="preserve"> M, </w:t>
      </w:r>
      <w:proofErr w:type="spellStart"/>
      <w:r w:rsidRPr="007653EB">
        <w:rPr>
          <w:color w:val="000000"/>
          <w:spacing w:val="-1"/>
          <w:kern w:val="0"/>
          <w:sz w:val="16"/>
          <w:szCs w:val="16"/>
        </w:rPr>
        <w:t>Naliboff</w:t>
      </w:r>
      <w:proofErr w:type="spellEnd"/>
      <w:r w:rsidRPr="007653EB">
        <w:rPr>
          <w:color w:val="000000"/>
          <w:spacing w:val="-1"/>
          <w:kern w:val="0"/>
          <w:sz w:val="16"/>
          <w:szCs w:val="16"/>
        </w:rPr>
        <w:t xml:space="preserve"> BD. Depression, anxiety, and the gastrointestinal system.</w:t>
      </w:r>
      <w:proofErr w:type="gramEnd"/>
      <w:r w:rsidRPr="007653EB">
        <w:rPr>
          <w:color w:val="000000"/>
          <w:spacing w:val="-1"/>
          <w:kern w:val="0"/>
          <w:sz w:val="16"/>
          <w:szCs w:val="16"/>
        </w:rPr>
        <w:t xml:space="preserve"> </w:t>
      </w:r>
      <w:r w:rsidRPr="007653EB">
        <w:rPr>
          <w:i/>
          <w:iCs/>
          <w:color w:val="000000"/>
          <w:spacing w:val="-1"/>
          <w:kern w:val="0"/>
          <w:sz w:val="16"/>
          <w:szCs w:val="16"/>
        </w:rPr>
        <w:t xml:space="preserve">J </w:t>
      </w:r>
      <w:proofErr w:type="spellStart"/>
      <w:r w:rsidRPr="007653EB">
        <w:rPr>
          <w:i/>
          <w:iCs/>
          <w:color w:val="000000"/>
          <w:spacing w:val="-1"/>
          <w:kern w:val="0"/>
          <w:sz w:val="16"/>
          <w:szCs w:val="16"/>
        </w:rPr>
        <w:t>Clin</w:t>
      </w:r>
      <w:proofErr w:type="spellEnd"/>
      <w:r w:rsidRPr="007653EB">
        <w:rPr>
          <w:i/>
          <w:iCs/>
          <w:color w:val="000000"/>
          <w:spacing w:val="-1"/>
          <w:kern w:val="0"/>
          <w:sz w:val="16"/>
          <w:szCs w:val="16"/>
        </w:rPr>
        <w:t xml:space="preserve"> Psychiatry</w:t>
      </w:r>
      <w:r w:rsidRPr="007653EB">
        <w:rPr>
          <w:color w:val="000000"/>
          <w:spacing w:val="-1"/>
          <w:kern w:val="0"/>
          <w:sz w:val="16"/>
          <w:szCs w:val="16"/>
        </w:rPr>
        <w:t xml:space="preserve"> 2001; </w:t>
      </w:r>
      <w:r w:rsidRPr="007653EB">
        <w:rPr>
          <w:b/>
          <w:bCs/>
          <w:color w:val="000000"/>
          <w:spacing w:val="-1"/>
          <w:kern w:val="0"/>
          <w:sz w:val="16"/>
          <w:szCs w:val="16"/>
        </w:rPr>
        <w:t xml:space="preserve">62 </w:t>
      </w:r>
      <w:proofErr w:type="spellStart"/>
      <w:r w:rsidRPr="007653EB">
        <w:rPr>
          <w:color w:val="000000"/>
          <w:spacing w:val="-1"/>
          <w:kern w:val="0"/>
          <w:sz w:val="16"/>
          <w:szCs w:val="16"/>
        </w:rPr>
        <w:t>Suppl</w:t>
      </w:r>
      <w:proofErr w:type="spellEnd"/>
      <w:r w:rsidRPr="007653EB">
        <w:rPr>
          <w:color w:val="000000"/>
          <w:spacing w:val="-1"/>
          <w:kern w:val="0"/>
          <w:sz w:val="16"/>
          <w:szCs w:val="16"/>
        </w:rPr>
        <w:t xml:space="preserve"> 8: 28-36; discussion 37 [PMID: 12108819]</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4</w:t>
      </w:r>
      <w:r w:rsidRPr="007653EB">
        <w:rPr>
          <w:color w:val="000000"/>
          <w:spacing w:val="-1"/>
          <w:kern w:val="0"/>
          <w:sz w:val="16"/>
          <w:szCs w:val="16"/>
        </w:rPr>
        <w:tab/>
      </w:r>
      <w:r w:rsidRPr="007653EB">
        <w:rPr>
          <w:b/>
          <w:bCs/>
          <w:color w:val="000000"/>
          <w:spacing w:val="-1"/>
          <w:kern w:val="0"/>
          <w:sz w:val="16"/>
          <w:szCs w:val="16"/>
        </w:rPr>
        <w:t>Talley NJ</w:t>
      </w:r>
      <w:r w:rsidRPr="007653EB">
        <w:rPr>
          <w:color w:val="000000"/>
          <w:spacing w:val="-1"/>
          <w:kern w:val="0"/>
          <w:sz w:val="16"/>
          <w:szCs w:val="16"/>
        </w:rPr>
        <w:t xml:space="preserve">, Howell S, </w:t>
      </w:r>
      <w:proofErr w:type="spellStart"/>
      <w:r w:rsidRPr="007653EB">
        <w:rPr>
          <w:color w:val="000000"/>
          <w:spacing w:val="-1"/>
          <w:kern w:val="0"/>
          <w:sz w:val="16"/>
          <w:szCs w:val="16"/>
        </w:rPr>
        <w:t>Poulton</w:t>
      </w:r>
      <w:proofErr w:type="spellEnd"/>
      <w:r w:rsidRPr="007653EB">
        <w:rPr>
          <w:color w:val="000000"/>
          <w:spacing w:val="-1"/>
          <w:kern w:val="0"/>
          <w:sz w:val="16"/>
          <w:szCs w:val="16"/>
        </w:rPr>
        <w:t xml:space="preserve"> R. The irritable bowel syndrome and psychiatric disorders in the community: is there a link? </w:t>
      </w:r>
      <w:r w:rsidRPr="007653EB">
        <w:rPr>
          <w:i/>
          <w:iCs/>
          <w:color w:val="000000"/>
          <w:spacing w:val="-1"/>
          <w:kern w:val="0"/>
          <w:sz w:val="16"/>
          <w:szCs w:val="16"/>
        </w:rPr>
        <w:t xml:space="preserve">Am J </w:t>
      </w:r>
      <w:proofErr w:type="spellStart"/>
      <w:r w:rsidRPr="007653EB">
        <w:rPr>
          <w:i/>
          <w:iCs/>
          <w:color w:val="000000"/>
          <w:spacing w:val="-1"/>
          <w:kern w:val="0"/>
          <w:sz w:val="16"/>
          <w:szCs w:val="16"/>
        </w:rPr>
        <w:t>Gastroenterol</w:t>
      </w:r>
      <w:proofErr w:type="spellEnd"/>
      <w:r w:rsidRPr="007653EB">
        <w:rPr>
          <w:color w:val="000000"/>
          <w:spacing w:val="-1"/>
          <w:kern w:val="0"/>
          <w:sz w:val="16"/>
          <w:szCs w:val="16"/>
        </w:rPr>
        <w:t xml:space="preserve"> 2001; </w:t>
      </w:r>
      <w:r w:rsidRPr="007653EB">
        <w:rPr>
          <w:b/>
          <w:bCs/>
          <w:color w:val="000000"/>
          <w:spacing w:val="-1"/>
          <w:kern w:val="0"/>
          <w:sz w:val="16"/>
          <w:szCs w:val="16"/>
        </w:rPr>
        <w:t>96</w:t>
      </w:r>
      <w:r w:rsidRPr="007653EB">
        <w:rPr>
          <w:color w:val="000000"/>
          <w:spacing w:val="-1"/>
          <w:kern w:val="0"/>
          <w:sz w:val="16"/>
          <w:szCs w:val="16"/>
        </w:rPr>
        <w:t>: 1072-1079 [PMID: 11316149 DOI: 10.1111/i1572-0241.2001.03741.x]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2"/>
          <w:kern w:val="0"/>
          <w:sz w:val="16"/>
          <w:szCs w:val="16"/>
        </w:rPr>
      </w:pPr>
      <w:r w:rsidRPr="007653EB">
        <w:rPr>
          <w:color w:val="000000"/>
          <w:spacing w:val="-1"/>
          <w:kern w:val="0"/>
          <w:sz w:val="16"/>
          <w:szCs w:val="16"/>
        </w:rPr>
        <w:t>5</w:t>
      </w:r>
      <w:r w:rsidRPr="007653EB">
        <w:rPr>
          <w:color w:val="000000"/>
          <w:spacing w:val="-1"/>
          <w:kern w:val="0"/>
          <w:sz w:val="16"/>
          <w:szCs w:val="16"/>
        </w:rPr>
        <w:tab/>
      </w:r>
      <w:proofErr w:type="spellStart"/>
      <w:r w:rsidRPr="007653EB">
        <w:rPr>
          <w:b/>
          <w:bCs/>
          <w:color w:val="000000"/>
          <w:spacing w:val="-2"/>
          <w:kern w:val="0"/>
          <w:sz w:val="16"/>
          <w:szCs w:val="16"/>
        </w:rPr>
        <w:t>Garakani</w:t>
      </w:r>
      <w:proofErr w:type="spellEnd"/>
      <w:r w:rsidRPr="007653EB">
        <w:rPr>
          <w:b/>
          <w:bCs/>
          <w:color w:val="000000"/>
          <w:spacing w:val="-2"/>
          <w:kern w:val="0"/>
          <w:sz w:val="16"/>
          <w:szCs w:val="16"/>
        </w:rPr>
        <w:t xml:space="preserve"> A</w:t>
      </w:r>
      <w:r w:rsidRPr="007653EB">
        <w:rPr>
          <w:color w:val="000000"/>
          <w:spacing w:val="-2"/>
          <w:kern w:val="0"/>
          <w:sz w:val="16"/>
          <w:szCs w:val="16"/>
        </w:rPr>
        <w:t xml:space="preserve">, Win T, </w:t>
      </w:r>
      <w:proofErr w:type="spellStart"/>
      <w:r w:rsidRPr="007653EB">
        <w:rPr>
          <w:color w:val="000000"/>
          <w:spacing w:val="-2"/>
          <w:kern w:val="0"/>
          <w:sz w:val="16"/>
          <w:szCs w:val="16"/>
        </w:rPr>
        <w:t>Virk</w:t>
      </w:r>
      <w:proofErr w:type="spellEnd"/>
      <w:r w:rsidRPr="007653EB">
        <w:rPr>
          <w:color w:val="000000"/>
          <w:spacing w:val="-2"/>
          <w:kern w:val="0"/>
          <w:sz w:val="16"/>
          <w:szCs w:val="16"/>
        </w:rPr>
        <w:t xml:space="preserve"> S, Gupta S, Kaplan D, </w:t>
      </w:r>
      <w:proofErr w:type="spellStart"/>
      <w:r w:rsidRPr="007653EB">
        <w:rPr>
          <w:color w:val="000000"/>
          <w:spacing w:val="-2"/>
          <w:kern w:val="0"/>
          <w:sz w:val="16"/>
          <w:szCs w:val="16"/>
        </w:rPr>
        <w:t>Masand</w:t>
      </w:r>
      <w:proofErr w:type="spellEnd"/>
      <w:r w:rsidRPr="007653EB">
        <w:rPr>
          <w:color w:val="000000"/>
          <w:spacing w:val="-2"/>
          <w:kern w:val="0"/>
          <w:sz w:val="16"/>
          <w:szCs w:val="16"/>
        </w:rPr>
        <w:t xml:space="preserve"> PS. Comorbidity of irritable bowel syndrome in psychiatric patients: a review. </w:t>
      </w:r>
      <w:r w:rsidRPr="007653EB">
        <w:rPr>
          <w:i/>
          <w:iCs/>
          <w:color w:val="000000"/>
          <w:spacing w:val="-2"/>
          <w:kern w:val="0"/>
          <w:sz w:val="16"/>
          <w:szCs w:val="16"/>
        </w:rPr>
        <w:t xml:space="preserve">Am J </w:t>
      </w:r>
      <w:proofErr w:type="spellStart"/>
      <w:r w:rsidRPr="007653EB">
        <w:rPr>
          <w:i/>
          <w:iCs/>
          <w:color w:val="000000"/>
          <w:spacing w:val="-2"/>
          <w:kern w:val="0"/>
          <w:sz w:val="16"/>
          <w:szCs w:val="16"/>
        </w:rPr>
        <w:t>Ther</w:t>
      </w:r>
      <w:proofErr w:type="spellEnd"/>
      <w:r w:rsidRPr="007653EB">
        <w:rPr>
          <w:color w:val="000000"/>
          <w:spacing w:val="-2"/>
          <w:kern w:val="0"/>
          <w:sz w:val="16"/>
          <w:szCs w:val="16"/>
        </w:rPr>
        <w:t xml:space="preserve"> 2003; </w:t>
      </w:r>
      <w:r w:rsidRPr="007653EB">
        <w:rPr>
          <w:b/>
          <w:bCs/>
          <w:color w:val="000000"/>
          <w:spacing w:val="-2"/>
          <w:kern w:val="0"/>
          <w:sz w:val="16"/>
          <w:szCs w:val="16"/>
        </w:rPr>
        <w:t>10</w:t>
      </w:r>
      <w:r w:rsidRPr="007653EB">
        <w:rPr>
          <w:color w:val="000000"/>
          <w:spacing w:val="-2"/>
          <w:kern w:val="0"/>
          <w:sz w:val="16"/>
          <w:szCs w:val="16"/>
        </w:rPr>
        <w:t>: 61-67 [PMID: 12522523 DOI: 00045391-200301000-00014]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6</w:t>
      </w:r>
      <w:r w:rsidRPr="007653EB">
        <w:rPr>
          <w:color w:val="000000"/>
          <w:spacing w:val="-1"/>
          <w:kern w:val="0"/>
          <w:sz w:val="16"/>
          <w:szCs w:val="16"/>
        </w:rPr>
        <w:tab/>
      </w:r>
      <w:proofErr w:type="spellStart"/>
      <w:r w:rsidRPr="007653EB">
        <w:rPr>
          <w:b/>
          <w:bCs/>
          <w:color w:val="000000"/>
          <w:spacing w:val="-1"/>
          <w:kern w:val="0"/>
          <w:sz w:val="16"/>
          <w:szCs w:val="16"/>
        </w:rPr>
        <w:t>Karling</w:t>
      </w:r>
      <w:proofErr w:type="spellEnd"/>
      <w:r w:rsidRPr="007653EB">
        <w:rPr>
          <w:b/>
          <w:bCs/>
          <w:color w:val="000000"/>
          <w:spacing w:val="-1"/>
          <w:kern w:val="0"/>
          <w:sz w:val="16"/>
          <w:szCs w:val="16"/>
        </w:rPr>
        <w:t xml:space="preserve"> P</w:t>
      </w:r>
      <w:r w:rsidRPr="007653EB">
        <w:rPr>
          <w:color w:val="000000"/>
          <w:spacing w:val="-1"/>
          <w:kern w:val="0"/>
          <w:sz w:val="16"/>
          <w:szCs w:val="16"/>
        </w:rPr>
        <w:t xml:space="preserve">, </w:t>
      </w:r>
      <w:proofErr w:type="spellStart"/>
      <w:r w:rsidRPr="007653EB">
        <w:rPr>
          <w:color w:val="000000"/>
          <w:spacing w:val="-1"/>
          <w:kern w:val="0"/>
          <w:sz w:val="16"/>
          <w:szCs w:val="16"/>
        </w:rPr>
        <w:t>Danielsson</w:t>
      </w:r>
      <w:proofErr w:type="spellEnd"/>
      <w:r w:rsidRPr="007653EB">
        <w:rPr>
          <w:color w:val="000000"/>
          <w:spacing w:val="-1"/>
          <w:kern w:val="0"/>
          <w:sz w:val="16"/>
          <w:szCs w:val="16"/>
        </w:rPr>
        <w:t xml:space="preserve"> A, </w:t>
      </w:r>
      <w:proofErr w:type="spellStart"/>
      <w:r w:rsidRPr="007653EB">
        <w:rPr>
          <w:color w:val="000000"/>
          <w:spacing w:val="-1"/>
          <w:kern w:val="0"/>
          <w:sz w:val="16"/>
          <w:szCs w:val="16"/>
        </w:rPr>
        <w:t>Adolfsson</w:t>
      </w:r>
      <w:proofErr w:type="spellEnd"/>
      <w:r w:rsidRPr="007653EB">
        <w:rPr>
          <w:color w:val="000000"/>
          <w:spacing w:val="-1"/>
          <w:kern w:val="0"/>
          <w:sz w:val="16"/>
          <w:szCs w:val="16"/>
        </w:rPr>
        <w:t xml:space="preserve"> R, </w:t>
      </w:r>
      <w:proofErr w:type="spellStart"/>
      <w:r w:rsidRPr="007653EB">
        <w:rPr>
          <w:color w:val="000000"/>
          <w:spacing w:val="-1"/>
          <w:kern w:val="0"/>
          <w:sz w:val="16"/>
          <w:szCs w:val="16"/>
        </w:rPr>
        <w:t>Norrback</w:t>
      </w:r>
      <w:proofErr w:type="spellEnd"/>
      <w:r w:rsidRPr="007653EB">
        <w:rPr>
          <w:color w:val="000000"/>
          <w:spacing w:val="-1"/>
          <w:kern w:val="0"/>
          <w:sz w:val="16"/>
          <w:szCs w:val="16"/>
        </w:rPr>
        <w:t xml:space="preserve"> KF. No difference in symptoms of irritable bowel syndrome between healthy subjects and patients with recurrent depression in remission. </w:t>
      </w:r>
      <w:proofErr w:type="spellStart"/>
      <w:r w:rsidRPr="007653EB">
        <w:rPr>
          <w:i/>
          <w:iCs/>
          <w:color w:val="000000"/>
          <w:spacing w:val="-1"/>
          <w:kern w:val="0"/>
          <w:sz w:val="16"/>
          <w:szCs w:val="16"/>
        </w:rPr>
        <w:t>Neurogastroenterol</w:t>
      </w:r>
      <w:proofErr w:type="spellEnd"/>
      <w:r w:rsidRPr="007653EB">
        <w:rPr>
          <w:i/>
          <w:iCs/>
          <w:color w:val="000000"/>
          <w:spacing w:val="-1"/>
          <w:kern w:val="0"/>
          <w:sz w:val="16"/>
          <w:szCs w:val="16"/>
        </w:rPr>
        <w:t xml:space="preserve"> </w:t>
      </w:r>
      <w:proofErr w:type="spellStart"/>
      <w:r w:rsidRPr="007653EB">
        <w:rPr>
          <w:i/>
          <w:iCs/>
          <w:color w:val="000000"/>
          <w:spacing w:val="-1"/>
          <w:kern w:val="0"/>
          <w:sz w:val="16"/>
          <w:szCs w:val="16"/>
        </w:rPr>
        <w:t>Motil</w:t>
      </w:r>
      <w:proofErr w:type="spellEnd"/>
      <w:r w:rsidRPr="007653EB">
        <w:rPr>
          <w:color w:val="000000"/>
          <w:spacing w:val="-1"/>
          <w:kern w:val="0"/>
          <w:sz w:val="16"/>
          <w:szCs w:val="16"/>
        </w:rPr>
        <w:t xml:space="preserve"> 2007; </w:t>
      </w:r>
      <w:r w:rsidRPr="007653EB">
        <w:rPr>
          <w:b/>
          <w:bCs/>
          <w:color w:val="000000"/>
          <w:spacing w:val="-1"/>
          <w:kern w:val="0"/>
          <w:sz w:val="16"/>
          <w:szCs w:val="16"/>
        </w:rPr>
        <w:t>19</w:t>
      </w:r>
      <w:r w:rsidRPr="007653EB">
        <w:rPr>
          <w:color w:val="000000"/>
          <w:spacing w:val="-1"/>
          <w:kern w:val="0"/>
          <w:sz w:val="16"/>
          <w:szCs w:val="16"/>
        </w:rPr>
        <w:t>: 896-904 [PMID: 17973640 DOI: 10.1111/j.1365-2982.2007.00967.x]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7</w:t>
      </w:r>
      <w:r w:rsidRPr="007653EB">
        <w:rPr>
          <w:color w:val="000000"/>
          <w:spacing w:val="-1"/>
          <w:kern w:val="0"/>
          <w:sz w:val="16"/>
          <w:szCs w:val="16"/>
        </w:rPr>
        <w:tab/>
      </w:r>
      <w:proofErr w:type="spellStart"/>
      <w:r w:rsidRPr="007653EB">
        <w:rPr>
          <w:b/>
          <w:bCs/>
          <w:color w:val="000000"/>
          <w:spacing w:val="-1"/>
          <w:kern w:val="0"/>
          <w:sz w:val="16"/>
          <w:szCs w:val="16"/>
        </w:rPr>
        <w:t>Corruble</w:t>
      </w:r>
      <w:proofErr w:type="spellEnd"/>
      <w:r w:rsidRPr="007653EB">
        <w:rPr>
          <w:b/>
          <w:bCs/>
          <w:color w:val="000000"/>
          <w:spacing w:val="-1"/>
          <w:kern w:val="0"/>
          <w:sz w:val="16"/>
          <w:szCs w:val="16"/>
        </w:rPr>
        <w:t xml:space="preserve"> E</w:t>
      </w:r>
      <w:r w:rsidRPr="007653EB">
        <w:rPr>
          <w:color w:val="000000"/>
          <w:spacing w:val="-1"/>
          <w:kern w:val="0"/>
          <w:sz w:val="16"/>
          <w:szCs w:val="16"/>
        </w:rPr>
        <w:t xml:space="preserve">, </w:t>
      </w:r>
      <w:proofErr w:type="spellStart"/>
      <w:r w:rsidRPr="007653EB">
        <w:rPr>
          <w:color w:val="000000"/>
          <w:spacing w:val="-1"/>
          <w:kern w:val="0"/>
          <w:sz w:val="16"/>
          <w:szCs w:val="16"/>
        </w:rPr>
        <w:t>Guelfi</w:t>
      </w:r>
      <w:proofErr w:type="spellEnd"/>
      <w:r w:rsidRPr="007653EB">
        <w:rPr>
          <w:color w:val="000000"/>
          <w:spacing w:val="-1"/>
          <w:kern w:val="0"/>
          <w:sz w:val="16"/>
          <w:szCs w:val="16"/>
        </w:rPr>
        <w:t xml:space="preserve"> JD. </w:t>
      </w:r>
      <w:proofErr w:type="gramStart"/>
      <w:r w:rsidRPr="007653EB">
        <w:rPr>
          <w:color w:val="000000"/>
          <w:spacing w:val="-1"/>
          <w:kern w:val="0"/>
          <w:sz w:val="16"/>
          <w:szCs w:val="16"/>
        </w:rPr>
        <w:t>Pain complaints in depressed inpatients.</w:t>
      </w:r>
      <w:proofErr w:type="gramEnd"/>
      <w:r w:rsidRPr="007653EB">
        <w:rPr>
          <w:color w:val="000000"/>
          <w:spacing w:val="-1"/>
          <w:kern w:val="0"/>
          <w:sz w:val="16"/>
          <w:szCs w:val="16"/>
        </w:rPr>
        <w:t xml:space="preserve"> </w:t>
      </w:r>
      <w:r w:rsidRPr="007653EB">
        <w:rPr>
          <w:i/>
          <w:iCs/>
          <w:color w:val="000000"/>
          <w:spacing w:val="-1"/>
          <w:kern w:val="0"/>
          <w:sz w:val="16"/>
          <w:szCs w:val="16"/>
        </w:rPr>
        <w:t>Psychopathology</w:t>
      </w:r>
      <w:r w:rsidRPr="007653EB">
        <w:rPr>
          <w:color w:val="000000"/>
          <w:spacing w:val="-1"/>
          <w:kern w:val="0"/>
          <w:sz w:val="16"/>
          <w:szCs w:val="16"/>
        </w:rPr>
        <w:t xml:space="preserve"> 2000; </w:t>
      </w:r>
      <w:r w:rsidRPr="007653EB">
        <w:rPr>
          <w:b/>
          <w:bCs/>
          <w:color w:val="000000"/>
          <w:spacing w:val="-1"/>
          <w:kern w:val="0"/>
          <w:sz w:val="16"/>
          <w:szCs w:val="16"/>
        </w:rPr>
        <w:t>33</w:t>
      </w:r>
      <w:r w:rsidRPr="007653EB">
        <w:rPr>
          <w:color w:val="000000"/>
          <w:spacing w:val="-1"/>
          <w:kern w:val="0"/>
          <w:sz w:val="16"/>
          <w:szCs w:val="16"/>
        </w:rPr>
        <w:t>: 307-309 [PMID: 11060514]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8</w:t>
      </w:r>
      <w:r w:rsidRPr="007653EB">
        <w:rPr>
          <w:color w:val="000000"/>
          <w:spacing w:val="-1"/>
          <w:kern w:val="0"/>
          <w:sz w:val="16"/>
          <w:szCs w:val="16"/>
        </w:rPr>
        <w:tab/>
      </w:r>
      <w:r w:rsidRPr="007653EB">
        <w:rPr>
          <w:b/>
          <w:bCs/>
          <w:color w:val="000000"/>
          <w:spacing w:val="-1"/>
          <w:kern w:val="0"/>
          <w:sz w:val="16"/>
          <w:szCs w:val="16"/>
        </w:rPr>
        <w:t>Gerber PD</w:t>
      </w:r>
      <w:r w:rsidRPr="007653EB">
        <w:rPr>
          <w:color w:val="000000"/>
          <w:spacing w:val="-1"/>
          <w:kern w:val="0"/>
          <w:sz w:val="16"/>
          <w:szCs w:val="16"/>
        </w:rPr>
        <w:t xml:space="preserve">, Barrett JE, Barrett JA, </w:t>
      </w:r>
      <w:proofErr w:type="spellStart"/>
      <w:r w:rsidRPr="007653EB">
        <w:rPr>
          <w:color w:val="000000"/>
          <w:spacing w:val="-1"/>
          <w:kern w:val="0"/>
          <w:sz w:val="16"/>
          <w:szCs w:val="16"/>
        </w:rPr>
        <w:t>Oxman</w:t>
      </w:r>
      <w:proofErr w:type="spellEnd"/>
      <w:r w:rsidRPr="007653EB">
        <w:rPr>
          <w:color w:val="000000"/>
          <w:spacing w:val="-1"/>
          <w:kern w:val="0"/>
          <w:sz w:val="16"/>
          <w:szCs w:val="16"/>
        </w:rPr>
        <w:t xml:space="preserve"> TE, </w:t>
      </w:r>
      <w:proofErr w:type="spellStart"/>
      <w:r w:rsidRPr="007653EB">
        <w:rPr>
          <w:color w:val="000000"/>
          <w:spacing w:val="-1"/>
          <w:kern w:val="0"/>
          <w:sz w:val="16"/>
          <w:szCs w:val="16"/>
        </w:rPr>
        <w:t>Manheimer</w:t>
      </w:r>
      <w:proofErr w:type="spellEnd"/>
      <w:r w:rsidRPr="007653EB">
        <w:rPr>
          <w:color w:val="000000"/>
          <w:spacing w:val="-1"/>
          <w:kern w:val="0"/>
          <w:sz w:val="16"/>
          <w:szCs w:val="16"/>
        </w:rPr>
        <w:t xml:space="preserve"> E, Smith R, Whiting RD. </w:t>
      </w:r>
      <w:proofErr w:type="gramStart"/>
      <w:r w:rsidRPr="007653EB">
        <w:rPr>
          <w:color w:val="000000"/>
          <w:spacing w:val="-1"/>
          <w:kern w:val="0"/>
          <w:sz w:val="16"/>
          <w:szCs w:val="16"/>
        </w:rPr>
        <w:t>The relationship of presenting physical complaints to depressive symptoms in primary care patients.</w:t>
      </w:r>
      <w:proofErr w:type="gramEnd"/>
      <w:r w:rsidRPr="007653EB">
        <w:rPr>
          <w:color w:val="000000"/>
          <w:spacing w:val="-1"/>
          <w:kern w:val="0"/>
          <w:sz w:val="16"/>
          <w:szCs w:val="16"/>
        </w:rPr>
        <w:t xml:space="preserve"> </w:t>
      </w:r>
      <w:r w:rsidRPr="007653EB">
        <w:rPr>
          <w:i/>
          <w:iCs/>
          <w:color w:val="000000"/>
          <w:spacing w:val="-1"/>
          <w:kern w:val="0"/>
          <w:sz w:val="16"/>
          <w:szCs w:val="16"/>
        </w:rPr>
        <w:t>J Gen Intern Med</w:t>
      </w:r>
      <w:r w:rsidRPr="007653EB">
        <w:rPr>
          <w:color w:val="000000"/>
          <w:spacing w:val="-1"/>
          <w:kern w:val="0"/>
          <w:sz w:val="16"/>
          <w:szCs w:val="16"/>
        </w:rPr>
        <w:t xml:space="preserve"> 1992; </w:t>
      </w:r>
      <w:r w:rsidRPr="007653EB">
        <w:rPr>
          <w:b/>
          <w:bCs/>
          <w:color w:val="000000"/>
          <w:spacing w:val="-1"/>
          <w:kern w:val="0"/>
          <w:sz w:val="16"/>
          <w:szCs w:val="16"/>
        </w:rPr>
        <w:t>7</w:t>
      </w:r>
      <w:r w:rsidRPr="007653EB">
        <w:rPr>
          <w:color w:val="000000"/>
          <w:spacing w:val="-1"/>
          <w:kern w:val="0"/>
          <w:sz w:val="16"/>
          <w:szCs w:val="16"/>
        </w:rPr>
        <w:t>: 170-173 [PMID: 1487765]</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9</w:t>
      </w:r>
      <w:r w:rsidRPr="007653EB">
        <w:rPr>
          <w:color w:val="000000"/>
          <w:spacing w:val="-1"/>
          <w:kern w:val="0"/>
          <w:sz w:val="16"/>
          <w:szCs w:val="16"/>
        </w:rPr>
        <w:tab/>
      </w:r>
      <w:proofErr w:type="spellStart"/>
      <w:r w:rsidRPr="007653EB">
        <w:rPr>
          <w:b/>
          <w:bCs/>
          <w:color w:val="000000"/>
          <w:spacing w:val="-1"/>
          <w:kern w:val="0"/>
          <w:sz w:val="16"/>
          <w:szCs w:val="16"/>
        </w:rPr>
        <w:t>Cadoret</w:t>
      </w:r>
      <w:proofErr w:type="spellEnd"/>
      <w:r w:rsidRPr="007653EB">
        <w:rPr>
          <w:b/>
          <w:bCs/>
          <w:color w:val="000000"/>
          <w:spacing w:val="-1"/>
          <w:kern w:val="0"/>
          <w:sz w:val="16"/>
          <w:szCs w:val="16"/>
        </w:rPr>
        <w:t xml:space="preserve"> RJ</w:t>
      </w:r>
      <w:r w:rsidRPr="007653EB">
        <w:rPr>
          <w:color w:val="000000"/>
          <w:spacing w:val="-1"/>
          <w:kern w:val="0"/>
          <w:sz w:val="16"/>
          <w:szCs w:val="16"/>
        </w:rPr>
        <w:t xml:space="preserve">, </w:t>
      </w:r>
      <w:proofErr w:type="spellStart"/>
      <w:r w:rsidRPr="007653EB">
        <w:rPr>
          <w:color w:val="000000"/>
          <w:spacing w:val="-1"/>
          <w:kern w:val="0"/>
          <w:sz w:val="16"/>
          <w:szCs w:val="16"/>
        </w:rPr>
        <w:t>Widmer</w:t>
      </w:r>
      <w:proofErr w:type="spellEnd"/>
      <w:r w:rsidRPr="007653EB">
        <w:rPr>
          <w:color w:val="000000"/>
          <w:spacing w:val="-1"/>
          <w:kern w:val="0"/>
          <w:sz w:val="16"/>
          <w:szCs w:val="16"/>
        </w:rPr>
        <w:t xml:space="preserve"> RB, North C. Depression in family practice: long-term prognosis and somatic complaints. </w:t>
      </w:r>
      <w:r w:rsidRPr="007653EB">
        <w:rPr>
          <w:i/>
          <w:iCs/>
          <w:color w:val="000000"/>
          <w:spacing w:val="-1"/>
          <w:kern w:val="0"/>
          <w:sz w:val="16"/>
          <w:szCs w:val="16"/>
        </w:rPr>
        <w:t xml:space="preserve">J </w:t>
      </w:r>
      <w:proofErr w:type="spellStart"/>
      <w:proofErr w:type="gramStart"/>
      <w:r w:rsidRPr="007653EB">
        <w:rPr>
          <w:i/>
          <w:iCs/>
          <w:color w:val="000000"/>
          <w:spacing w:val="-1"/>
          <w:kern w:val="0"/>
          <w:sz w:val="16"/>
          <w:szCs w:val="16"/>
        </w:rPr>
        <w:t>Fam</w:t>
      </w:r>
      <w:proofErr w:type="spellEnd"/>
      <w:proofErr w:type="gramEnd"/>
      <w:r w:rsidRPr="007653EB">
        <w:rPr>
          <w:i/>
          <w:iCs/>
          <w:color w:val="000000"/>
          <w:spacing w:val="-1"/>
          <w:kern w:val="0"/>
          <w:sz w:val="16"/>
          <w:szCs w:val="16"/>
        </w:rPr>
        <w:t xml:space="preserve"> </w:t>
      </w:r>
      <w:proofErr w:type="spellStart"/>
      <w:r w:rsidRPr="007653EB">
        <w:rPr>
          <w:i/>
          <w:iCs/>
          <w:color w:val="000000"/>
          <w:spacing w:val="-1"/>
          <w:kern w:val="0"/>
          <w:sz w:val="16"/>
          <w:szCs w:val="16"/>
        </w:rPr>
        <w:t>Pract</w:t>
      </w:r>
      <w:proofErr w:type="spellEnd"/>
      <w:r w:rsidRPr="007653EB">
        <w:rPr>
          <w:color w:val="000000"/>
          <w:spacing w:val="-1"/>
          <w:kern w:val="0"/>
          <w:sz w:val="16"/>
          <w:szCs w:val="16"/>
        </w:rPr>
        <w:t xml:space="preserve"> 1980; </w:t>
      </w:r>
      <w:r w:rsidRPr="007653EB">
        <w:rPr>
          <w:b/>
          <w:bCs/>
          <w:color w:val="000000"/>
          <w:spacing w:val="-1"/>
          <w:kern w:val="0"/>
          <w:sz w:val="16"/>
          <w:szCs w:val="16"/>
        </w:rPr>
        <w:t>10</w:t>
      </w:r>
      <w:r w:rsidRPr="007653EB">
        <w:rPr>
          <w:color w:val="000000"/>
          <w:spacing w:val="-1"/>
          <w:kern w:val="0"/>
          <w:sz w:val="16"/>
          <w:szCs w:val="16"/>
        </w:rPr>
        <w:t>: 625-629 [PMID: 7365435]</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10</w:t>
      </w:r>
      <w:r w:rsidRPr="007653EB">
        <w:rPr>
          <w:color w:val="000000"/>
          <w:spacing w:val="-1"/>
          <w:kern w:val="0"/>
          <w:sz w:val="16"/>
          <w:szCs w:val="16"/>
        </w:rPr>
        <w:tab/>
      </w:r>
      <w:r w:rsidRPr="007653EB">
        <w:rPr>
          <w:b/>
          <w:bCs/>
          <w:color w:val="000000"/>
          <w:spacing w:val="-1"/>
          <w:kern w:val="0"/>
          <w:sz w:val="16"/>
          <w:szCs w:val="16"/>
        </w:rPr>
        <w:t>Swanson SA</w:t>
      </w:r>
      <w:r w:rsidRPr="007653EB">
        <w:rPr>
          <w:color w:val="000000"/>
          <w:spacing w:val="-1"/>
          <w:kern w:val="0"/>
          <w:sz w:val="16"/>
          <w:szCs w:val="16"/>
        </w:rPr>
        <w:t xml:space="preserve">, Crow SJ, Le Grange D, </w:t>
      </w:r>
      <w:proofErr w:type="spellStart"/>
      <w:r w:rsidRPr="007653EB">
        <w:rPr>
          <w:color w:val="000000"/>
          <w:spacing w:val="-1"/>
          <w:kern w:val="0"/>
          <w:sz w:val="16"/>
          <w:szCs w:val="16"/>
        </w:rPr>
        <w:t>Swendsen</w:t>
      </w:r>
      <w:proofErr w:type="spellEnd"/>
      <w:r w:rsidRPr="007653EB">
        <w:rPr>
          <w:color w:val="000000"/>
          <w:spacing w:val="-1"/>
          <w:kern w:val="0"/>
          <w:sz w:val="16"/>
          <w:szCs w:val="16"/>
        </w:rPr>
        <w:t xml:space="preserve"> J, </w:t>
      </w:r>
      <w:proofErr w:type="spellStart"/>
      <w:r w:rsidRPr="007653EB">
        <w:rPr>
          <w:color w:val="000000"/>
          <w:spacing w:val="-1"/>
          <w:kern w:val="0"/>
          <w:sz w:val="16"/>
          <w:szCs w:val="16"/>
        </w:rPr>
        <w:t>Merikangas</w:t>
      </w:r>
      <w:proofErr w:type="spellEnd"/>
      <w:r w:rsidRPr="007653EB">
        <w:rPr>
          <w:color w:val="000000"/>
          <w:spacing w:val="-1"/>
          <w:kern w:val="0"/>
          <w:sz w:val="16"/>
          <w:szCs w:val="16"/>
        </w:rPr>
        <w:t xml:space="preserve"> KR. Prevalence and correlates of eating disorders in adolescents. Results from the national comorbidity survey replication adolescent supplement. </w:t>
      </w:r>
      <w:r w:rsidRPr="007653EB">
        <w:rPr>
          <w:i/>
          <w:iCs/>
          <w:color w:val="000000"/>
          <w:spacing w:val="-1"/>
          <w:kern w:val="0"/>
          <w:sz w:val="16"/>
          <w:szCs w:val="16"/>
        </w:rPr>
        <w:t>Arch Gen Psychiatry</w:t>
      </w:r>
      <w:r w:rsidRPr="007653EB">
        <w:rPr>
          <w:color w:val="000000"/>
          <w:spacing w:val="-1"/>
          <w:kern w:val="0"/>
          <w:sz w:val="16"/>
          <w:szCs w:val="16"/>
        </w:rPr>
        <w:t xml:space="preserve"> 2011; </w:t>
      </w:r>
      <w:r w:rsidRPr="007653EB">
        <w:rPr>
          <w:b/>
          <w:bCs/>
          <w:color w:val="000000"/>
          <w:spacing w:val="-1"/>
          <w:kern w:val="0"/>
          <w:sz w:val="16"/>
          <w:szCs w:val="16"/>
        </w:rPr>
        <w:t>68</w:t>
      </w:r>
      <w:r w:rsidRPr="007653EB">
        <w:rPr>
          <w:color w:val="000000"/>
          <w:spacing w:val="-1"/>
          <w:kern w:val="0"/>
          <w:sz w:val="16"/>
          <w:szCs w:val="16"/>
        </w:rPr>
        <w:t>: 714-723 [PMID: 21383252 DOI: 10.1001/archgenpsychiatry.2011.12]</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11</w:t>
      </w:r>
      <w:r w:rsidRPr="007653EB">
        <w:rPr>
          <w:color w:val="000000"/>
          <w:spacing w:val="-1"/>
          <w:kern w:val="0"/>
          <w:sz w:val="16"/>
          <w:szCs w:val="16"/>
        </w:rPr>
        <w:tab/>
      </w:r>
      <w:proofErr w:type="spellStart"/>
      <w:r w:rsidRPr="007653EB">
        <w:rPr>
          <w:b/>
          <w:bCs/>
          <w:color w:val="000000"/>
          <w:spacing w:val="-1"/>
          <w:kern w:val="0"/>
          <w:sz w:val="16"/>
          <w:szCs w:val="16"/>
        </w:rPr>
        <w:t>Leboyer</w:t>
      </w:r>
      <w:proofErr w:type="spellEnd"/>
      <w:r w:rsidRPr="007653EB">
        <w:rPr>
          <w:b/>
          <w:bCs/>
          <w:color w:val="000000"/>
          <w:spacing w:val="-1"/>
          <w:kern w:val="0"/>
          <w:sz w:val="16"/>
          <w:szCs w:val="16"/>
        </w:rPr>
        <w:t xml:space="preserve"> M</w:t>
      </w:r>
      <w:r w:rsidRPr="007653EB">
        <w:rPr>
          <w:color w:val="000000"/>
          <w:spacing w:val="-1"/>
          <w:kern w:val="0"/>
          <w:sz w:val="16"/>
          <w:szCs w:val="16"/>
        </w:rPr>
        <w:t xml:space="preserve">, </w:t>
      </w:r>
      <w:proofErr w:type="spellStart"/>
      <w:r w:rsidRPr="007653EB">
        <w:rPr>
          <w:color w:val="000000"/>
          <w:spacing w:val="-1"/>
          <w:kern w:val="0"/>
          <w:sz w:val="16"/>
          <w:szCs w:val="16"/>
        </w:rPr>
        <w:t>Kupfer</w:t>
      </w:r>
      <w:proofErr w:type="spellEnd"/>
      <w:r w:rsidRPr="007653EB">
        <w:rPr>
          <w:color w:val="000000"/>
          <w:spacing w:val="-1"/>
          <w:kern w:val="0"/>
          <w:sz w:val="16"/>
          <w:szCs w:val="16"/>
        </w:rPr>
        <w:t xml:space="preserve"> DJ. Bipolar disorder: new perspectives in health care and prevention. </w:t>
      </w:r>
      <w:r w:rsidRPr="007653EB">
        <w:rPr>
          <w:i/>
          <w:iCs/>
          <w:color w:val="000000"/>
          <w:spacing w:val="-1"/>
          <w:kern w:val="0"/>
          <w:sz w:val="16"/>
          <w:szCs w:val="16"/>
        </w:rPr>
        <w:t xml:space="preserve">J </w:t>
      </w:r>
      <w:proofErr w:type="spellStart"/>
      <w:r w:rsidRPr="007653EB">
        <w:rPr>
          <w:i/>
          <w:iCs/>
          <w:color w:val="000000"/>
          <w:spacing w:val="-1"/>
          <w:kern w:val="0"/>
          <w:sz w:val="16"/>
          <w:szCs w:val="16"/>
        </w:rPr>
        <w:t>Clin</w:t>
      </w:r>
      <w:proofErr w:type="spellEnd"/>
      <w:r w:rsidRPr="007653EB">
        <w:rPr>
          <w:i/>
          <w:iCs/>
          <w:color w:val="000000"/>
          <w:spacing w:val="-1"/>
          <w:kern w:val="0"/>
          <w:sz w:val="16"/>
          <w:szCs w:val="16"/>
        </w:rPr>
        <w:t xml:space="preserve"> Psychiatry</w:t>
      </w:r>
      <w:r w:rsidRPr="007653EB">
        <w:rPr>
          <w:color w:val="000000"/>
          <w:spacing w:val="-1"/>
          <w:kern w:val="0"/>
          <w:sz w:val="16"/>
          <w:szCs w:val="16"/>
        </w:rPr>
        <w:t xml:space="preserve"> 2010; </w:t>
      </w:r>
      <w:r w:rsidRPr="007653EB">
        <w:rPr>
          <w:b/>
          <w:bCs/>
          <w:color w:val="000000"/>
          <w:spacing w:val="-1"/>
          <w:kern w:val="0"/>
          <w:sz w:val="16"/>
          <w:szCs w:val="16"/>
        </w:rPr>
        <w:t>71</w:t>
      </w:r>
      <w:r w:rsidRPr="007653EB">
        <w:rPr>
          <w:color w:val="000000"/>
          <w:spacing w:val="-1"/>
          <w:kern w:val="0"/>
          <w:sz w:val="16"/>
          <w:szCs w:val="16"/>
        </w:rPr>
        <w:t>: 1689-1695 [PMID: 21190640 DOI: 10.4088/JCP.10m06347yel]</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12</w:t>
      </w:r>
      <w:r w:rsidRPr="007653EB">
        <w:rPr>
          <w:color w:val="000000"/>
          <w:spacing w:val="-1"/>
          <w:kern w:val="0"/>
          <w:sz w:val="16"/>
          <w:szCs w:val="16"/>
        </w:rPr>
        <w:tab/>
      </w:r>
      <w:r w:rsidRPr="007653EB">
        <w:rPr>
          <w:b/>
          <w:bCs/>
          <w:color w:val="000000"/>
          <w:spacing w:val="-1"/>
          <w:kern w:val="0"/>
          <w:sz w:val="16"/>
          <w:szCs w:val="16"/>
        </w:rPr>
        <w:t>Bryant-Comstock L</w:t>
      </w:r>
      <w:r w:rsidRPr="007653EB">
        <w:rPr>
          <w:color w:val="000000"/>
          <w:spacing w:val="-1"/>
          <w:kern w:val="0"/>
          <w:sz w:val="16"/>
          <w:szCs w:val="16"/>
        </w:rPr>
        <w:t xml:space="preserve">, </w:t>
      </w:r>
      <w:proofErr w:type="spellStart"/>
      <w:r w:rsidRPr="007653EB">
        <w:rPr>
          <w:color w:val="000000"/>
          <w:spacing w:val="-1"/>
          <w:kern w:val="0"/>
          <w:sz w:val="16"/>
          <w:szCs w:val="16"/>
        </w:rPr>
        <w:t>Stender</w:t>
      </w:r>
      <w:proofErr w:type="spellEnd"/>
      <w:r w:rsidRPr="007653EB">
        <w:rPr>
          <w:color w:val="000000"/>
          <w:spacing w:val="-1"/>
          <w:kern w:val="0"/>
          <w:sz w:val="16"/>
          <w:szCs w:val="16"/>
        </w:rPr>
        <w:t xml:space="preserve"> M, </w:t>
      </w:r>
      <w:proofErr w:type="spellStart"/>
      <w:r w:rsidRPr="007653EB">
        <w:rPr>
          <w:color w:val="000000"/>
          <w:spacing w:val="-1"/>
          <w:kern w:val="0"/>
          <w:sz w:val="16"/>
          <w:szCs w:val="16"/>
        </w:rPr>
        <w:t>Devercelli</w:t>
      </w:r>
      <w:proofErr w:type="spellEnd"/>
      <w:r w:rsidRPr="007653EB">
        <w:rPr>
          <w:color w:val="000000"/>
          <w:spacing w:val="-1"/>
          <w:kern w:val="0"/>
          <w:sz w:val="16"/>
          <w:szCs w:val="16"/>
        </w:rPr>
        <w:t xml:space="preserve"> G. Health care utilization and costs among privately insured patients with bipolar I disorder. </w:t>
      </w:r>
      <w:r w:rsidRPr="007653EB">
        <w:rPr>
          <w:i/>
          <w:iCs/>
          <w:color w:val="000000"/>
          <w:spacing w:val="-1"/>
          <w:kern w:val="0"/>
          <w:sz w:val="16"/>
          <w:szCs w:val="16"/>
        </w:rPr>
        <w:t xml:space="preserve">Bipolar </w:t>
      </w:r>
      <w:proofErr w:type="spellStart"/>
      <w:r w:rsidRPr="007653EB">
        <w:rPr>
          <w:i/>
          <w:iCs/>
          <w:color w:val="000000"/>
          <w:spacing w:val="-1"/>
          <w:kern w:val="0"/>
          <w:sz w:val="16"/>
          <w:szCs w:val="16"/>
        </w:rPr>
        <w:t>Disord</w:t>
      </w:r>
      <w:proofErr w:type="spellEnd"/>
      <w:r w:rsidRPr="007653EB">
        <w:rPr>
          <w:color w:val="000000"/>
          <w:spacing w:val="-1"/>
          <w:kern w:val="0"/>
          <w:sz w:val="16"/>
          <w:szCs w:val="16"/>
        </w:rPr>
        <w:t xml:space="preserve"> 2002; </w:t>
      </w:r>
      <w:r w:rsidRPr="007653EB">
        <w:rPr>
          <w:b/>
          <w:bCs/>
          <w:color w:val="000000"/>
          <w:spacing w:val="-1"/>
          <w:kern w:val="0"/>
          <w:sz w:val="16"/>
          <w:szCs w:val="16"/>
        </w:rPr>
        <w:t>4</w:t>
      </w:r>
      <w:r w:rsidRPr="007653EB">
        <w:rPr>
          <w:color w:val="000000"/>
          <w:spacing w:val="-1"/>
          <w:kern w:val="0"/>
          <w:sz w:val="16"/>
          <w:szCs w:val="16"/>
        </w:rPr>
        <w:t>: 398-405 [PMID: 12519100 DOI: 10.1034/j.1399-5618.2002.011.48x]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13</w:t>
      </w:r>
      <w:r w:rsidRPr="007653EB">
        <w:rPr>
          <w:color w:val="000000"/>
          <w:spacing w:val="-1"/>
          <w:kern w:val="0"/>
          <w:sz w:val="16"/>
          <w:szCs w:val="16"/>
        </w:rPr>
        <w:tab/>
      </w:r>
      <w:r w:rsidRPr="007653EB">
        <w:rPr>
          <w:b/>
          <w:bCs/>
          <w:color w:val="000000"/>
          <w:spacing w:val="-1"/>
          <w:kern w:val="0"/>
          <w:sz w:val="16"/>
          <w:szCs w:val="16"/>
        </w:rPr>
        <w:t>Rush AJ</w:t>
      </w:r>
      <w:r w:rsidRPr="007653EB">
        <w:rPr>
          <w:color w:val="000000"/>
          <w:spacing w:val="-1"/>
          <w:kern w:val="0"/>
          <w:sz w:val="16"/>
          <w:szCs w:val="16"/>
        </w:rPr>
        <w:t xml:space="preserve">, </w:t>
      </w:r>
      <w:proofErr w:type="spellStart"/>
      <w:r w:rsidRPr="007653EB">
        <w:rPr>
          <w:color w:val="000000"/>
          <w:spacing w:val="-1"/>
          <w:kern w:val="0"/>
          <w:sz w:val="16"/>
          <w:szCs w:val="16"/>
        </w:rPr>
        <w:t>Weissenburger</w:t>
      </w:r>
      <w:proofErr w:type="spellEnd"/>
      <w:r w:rsidRPr="007653EB">
        <w:rPr>
          <w:color w:val="000000"/>
          <w:spacing w:val="-1"/>
          <w:kern w:val="0"/>
          <w:sz w:val="16"/>
          <w:szCs w:val="16"/>
        </w:rPr>
        <w:t xml:space="preserve"> JE. Melancholic symptom features and DSM-IV. </w:t>
      </w:r>
      <w:r w:rsidRPr="007653EB">
        <w:rPr>
          <w:i/>
          <w:iCs/>
          <w:color w:val="000000"/>
          <w:spacing w:val="-1"/>
          <w:kern w:val="0"/>
          <w:sz w:val="16"/>
          <w:szCs w:val="16"/>
        </w:rPr>
        <w:t>Am J Psychiatry</w:t>
      </w:r>
      <w:r w:rsidRPr="007653EB">
        <w:rPr>
          <w:color w:val="000000"/>
          <w:spacing w:val="-1"/>
          <w:kern w:val="0"/>
          <w:sz w:val="16"/>
          <w:szCs w:val="16"/>
        </w:rPr>
        <w:t xml:space="preserve"> 1994; </w:t>
      </w:r>
      <w:r w:rsidRPr="007653EB">
        <w:rPr>
          <w:b/>
          <w:bCs/>
          <w:color w:val="000000"/>
          <w:spacing w:val="-1"/>
          <w:kern w:val="0"/>
          <w:sz w:val="16"/>
          <w:szCs w:val="16"/>
        </w:rPr>
        <w:t>151</w:t>
      </w:r>
      <w:r w:rsidRPr="007653EB">
        <w:rPr>
          <w:color w:val="000000"/>
          <w:spacing w:val="-1"/>
          <w:kern w:val="0"/>
          <w:sz w:val="16"/>
          <w:szCs w:val="16"/>
        </w:rPr>
        <w:t>: 489-498 [PMID: 8147445 DOI: 10.1176/aip.151.4.489]</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14</w:t>
      </w:r>
      <w:r w:rsidRPr="007653EB">
        <w:rPr>
          <w:color w:val="000000"/>
          <w:spacing w:val="-1"/>
          <w:kern w:val="0"/>
          <w:sz w:val="16"/>
          <w:szCs w:val="16"/>
        </w:rPr>
        <w:tab/>
      </w:r>
      <w:proofErr w:type="spellStart"/>
      <w:r w:rsidRPr="007653EB">
        <w:rPr>
          <w:b/>
          <w:bCs/>
          <w:color w:val="000000"/>
          <w:spacing w:val="-1"/>
          <w:kern w:val="0"/>
          <w:sz w:val="16"/>
          <w:szCs w:val="16"/>
        </w:rPr>
        <w:t>Herlitz</w:t>
      </w:r>
      <w:proofErr w:type="spellEnd"/>
      <w:r w:rsidRPr="007653EB">
        <w:rPr>
          <w:b/>
          <w:bCs/>
          <w:color w:val="000000"/>
          <w:spacing w:val="-1"/>
          <w:kern w:val="0"/>
          <w:sz w:val="16"/>
          <w:szCs w:val="16"/>
        </w:rPr>
        <w:t xml:space="preserve"> A</w:t>
      </w:r>
      <w:r w:rsidRPr="007653EB">
        <w:rPr>
          <w:color w:val="000000"/>
          <w:spacing w:val="-1"/>
          <w:kern w:val="0"/>
          <w:sz w:val="16"/>
          <w:szCs w:val="16"/>
        </w:rPr>
        <w:t xml:space="preserve">, Nilsson LG, </w:t>
      </w:r>
      <w:proofErr w:type="spellStart"/>
      <w:r w:rsidRPr="007653EB">
        <w:rPr>
          <w:color w:val="000000"/>
          <w:spacing w:val="-1"/>
          <w:kern w:val="0"/>
          <w:sz w:val="16"/>
          <w:szCs w:val="16"/>
        </w:rPr>
        <w:t>Bäckman</w:t>
      </w:r>
      <w:proofErr w:type="spellEnd"/>
      <w:r w:rsidRPr="007653EB">
        <w:rPr>
          <w:color w:val="000000"/>
          <w:spacing w:val="-1"/>
          <w:kern w:val="0"/>
          <w:sz w:val="16"/>
          <w:szCs w:val="16"/>
        </w:rPr>
        <w:t xml:space="preserve"> L. Gender differences in episodic memory. </w:t>
      </w:r>
      <w:proofErr w:type="spellStart"/>
      <w:r w:rsidRPr="007653EB">
        <w:rPr>
          <w:i/>
          <w:iCs/>
          <w:color w:val="000000"/>
          <w:spacing w:val="-1"/>
          <w:kern w:val="0"/>
          <w:sz w:val="16"/>
          <w:szCs w:val="16"/>
        </w:rPr>
        <w:t>Mem</w:t>
      </w:r>
      <w:proofErr w:type="spellEnd"/>
      <w:r w:rsidRPr="007653EB">
        <w:rPr>
          <w:i/>
          <w:iCs/>
          <w:color w:val="000000"/>
          <w:spacing w:val="-1"/>
          <w:kern w:val="0"/>
          <w:sz w:val="16"/>
          <w:szCs w:val="16"/>
        </w:rPr>
        <w:t xml:space="preserve"> </w:t>
      </w:r>
      <w:proofErr w:type="spellStart"/>
      <w:r w:rsidRPr="007653EB">
        <w:rPr>
          <w:i/>
          <w:iCs/>
          <w:color w:val="000000"/>
          <w:spacing w:val="-1"/>
          <w:kern w:val="0"/>
          <w:sz w:val="16"/>
          <w:szCs w:val="16"/>
        </w:rPr>
        <w:t>Cognit</w:t>
      </w:r>
      <w:proofErr w:type="spellEnd"/>
      <w:r w:rsidRPr="007653EB">
        <w:rPr>
          <w:color w:val="000000"/>
          <w:spacing w:val="-1"/>
          <w:kern w:val="0"/>
          <w:sz w:val="16"/>
          <w:szCs w:val="16"/>
        </w:rPr>
        <w:t xml:space="preserve"> 1997; </w:t>
      </w:r>
      <w:r w:rsidRPr="007653EB">
        <w:rPr>
          <w:b/>
          <w:bCs/>
          <w:color w:val="000000"/>
          <w:spacing w:val="-1"/>
          <w:kern w:val="0"/>
          <w:sz w:val="16"/>
          <w:szCs w:val="16"/>
        </w:rPr>
        <w:t>25</w:t>
      </w:r>
      <w:r w:rsidRPr="007653EB">
        <w:rPr>
          <w:color w:val="000000"/>
          <w:spacing w:val="-1"/>
          <w:kern w:val="0"/>
          <w:sz w:val="16"/>
          <w:szCs w:val="16"/>
        </w:rPr>
        <w:t>: 801-811 [PMID: 9421566 DOI: 10.3578/BF03211324]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15</w:t>
      </w:r>
      <w:r w:rsidRPr="007653EB">
        <w:rPr>
          <w:color w:val="000000"/>
          <w:spacing w:val="-1"/>
          <w:kern w:val="0"/>
          <w:sz w:val="16"/>
          <w:szCs w:val="16"/>
        </w:rPr>
        <w:tab/>
      </w:r>
      <w:proofErr w:type="spellStart"/>
      <w:r w:rsidRPr="007653EB">
        <w:rPr>
          <w:b/>
          <w:bCs/>
          <w:color w:val="000000"/>
          <w:spacing w:val="-1"/>
          <w:kern w:val="0"/>
          <w:sz w:val="16"/>
          <w:szCs w:val="16"/>
        </w:rPr>
        <w:t>Wiklund</w:t>
      </w:r>
      <w:proofErr w:type="spellEnd"/>
      <w:r w:rsidRPr="007653EB">
        <w:rPr>
          <w:b/>
          <w:bCs/>
          <w:color w:val="000000"/>
          <w:spacing w:val="-1"/>
          <w:kern w:val="0"/>
          <w:sz w:val="16"/>
          <w:szCs w:val="16"/>
        </w:rPr>
        <w:t xml:space="preserve"> IK</w:t>
      </w:r>
      <w:r w:rsidRPr="007653EB">
        <w:rPr>
          <w:color w:val="000000"/>
          <w:spacing w:val="-1"/>
          <w:kern w:val="0"/>
          <w:sz w:val="16"/>
          <w:szCs w:val="16"/>
        </w:rPr>
        <w:t xml:space="preserve">, Fullerton S, </w:t>
      </w:r>
      <w:proofErr w:type="spellStart"/>
      <w:r w:rsidRPr="007653EB">
        <w:rPr>
          <w:color w:val="000000"/>
          <w:spacing w:val="-1"/>
          <w:kern w:val="0"/>
          <w:sz w:val="16"/>
          <w:szCs w:val="16"/>
        </w:rPr>
        <w:t>Hawkey</w:t>
      </w:r>
      <w:proofErr w:type="spellEnd"/>
      <w:r w:rsidRPr="007653EB">
        <w:rPr>
          <w:color w:val="000000"/>
          <w:spacing w:val="-1"/>
          <w:kern w:val="0"/>
          <w:sz w:val="16"/>
          <w:szCs w:val="16"/>
        </w:rPr>
        <w:t xml:space="preserve"> CJ, Jones RH, </w:t>
      </w:r>
      <w:proofErr w:type="spellStart"/>
      <w:r w:rsidRPr="007653EB">
        <w:rPr>
          <w:color w:val="000000"/>
          <w:spacing w:val="-1"/>
          <w:kern w:val="0"/>
          <w:sz w:val="16"/>
          <w:szCs w:val="16"/>
        </w:rPr>
        <w:t>Longstreth</w:t>
      </w:r>
      <w:proofErr w:type="spellEnd"/>
      <w:r w:rsidRPr="007653EB">
        <w:rPr>
          <w:color w:val="000000"/>
          <w:spacing w:val="-1"/>
          <w:kern w:val="0"/>
          <w:sz w:val="16"/>
          <w:szCs w:val="16"/>
        </w:rPr>
        <w:t xml:space="preserve"> GF, Mayer EA, Peacock RA, Wilson IK, </w:t>
      </w:r>
      <w:proofErr w:type="spellStart"/>
      <w:r w:rsidRPr="007653EB">
        <w:rPr>
          <w:color w:val="000000"/>
          <w:spacing w:val="-1"/>
          <w:kern w:val="0"/>
          <w:sz w:val="16"/>
          <w:szCs w:val="16"/>
        </w:rPr>
        <w:t>Naesdal</w:t>
      </w:r>
      <w:proofErr w:type="spellEnd"/>
      <w:r w:rsidRPr="007653EB">
        <w:rPr>
          <w:color w:val="000000"/>
          <w:spacing w:val="-1"/>
          <w:kern w:val="0"/>
          <w:sz w:val="16"/>
          <w:szCs w:val="16"/>
        </w:rPr>
        <w:t xml:space="preserve"> J. An irritable bowel syndrome-specific symptom questionnaire: development and validation. </w:t>
      </w:r>
      <w:proofErr w:type="spellStart"/>
      <w:r w:rsidRPr="007653EB">
        <w:rPr>
          <w:i/>
          <w:iCs/>
          <w:color w:val="000000"/>
          <w:spacing w:val="-1"/>
          <w:kern w:val="0"/>
          <w:sz w:val="16"/>
          <w:szCs w:val="16"/>
        </w:rPr>
        <w:t>Scand</w:t>
      </w:r>
      <w:proofErr w:type="spellEnd"/>
      <w:r w:rsidRPr="007653EB">
        <w:rPr>
          <w:i/>
          <w:iCs/>
          <w:color w:val="000000"/>
          <w:spacing w:val="-1"/>
          <w:kern w:val="0"/>
          <w:sz w:val="16"/>
          <w:szCs w:val="16"/>
        </w:rPr>
        <w:t xml:space="preserve"> J </w:t>
      </w:r>
      <w:proofErr w:type="spellStart"/>
      <w:r w:rsidRPr="007653EB">
        <w:rPr>
          <w:i/>
          <w:iCs/>
          <w:color w:val="000000"/>
          <w:spacing w:val="-1"/>
          <w:kern w:val="0"/>
          <w:sz w:val="16"/>
          <w:szCs w:val="16"/>
        </w:rPr>
        <w:t>Gastroenterol</w:t>
      </w:r>
      <w:proofErr w:type="spellEnd"/>
      <w:r w:rsidRPr="007653EB">
        <w:rPr>
          <w:color w:val="000000"/>
          <w:spacing w:val="-1"/>
          <w:kern w:val="0"/>
          <w:sz w:val="16"/>
          <w:szCs w:val="16"/>
        </w:rPr>
        <w:t xml:space="preserve"> 2003; </w:t>
      </w:r>
      <w:r w:rsidRPr="007653EB">
        <w:rPr>
          <w:b/>
          <w:bCs/>
          <w:color w:val="000000"/>
          <w:spacing w:val="-1"/>
          <w:kern w:val="0"/>
          <w:sz w:val="16"/>
          <w:szCs w:val="16"/>
        </w:rPr>
        <w:t>38</w:t>
      </w:r>
      <w:r w:rsidRPr="007653EB">
        <w:rPr>
          <w:color w:val="000000"/>
          <w:spacing w:val="-1"/>
          <w:kern w:val="0"/>
          <w:sz w:val="16"/>
          <w:szCs w:val="16"/>
        </w:rPr>
        <w:t>: 947-954 [PMID: 14531531 DOI: 10.1080/00365520310004209]</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16</w:t>
      </w:r>
      <w:r w:rsidRPr="007653EB">
        <w:rPr>
          <w:color w:val="000000"/>
          <w:spacing w:val="-1"/>
          <w:kern w:val="0"/>
          <w:sz w:val="16"/>
          <w:szCs w:val="16"/>
        </w:rPr>
        <w:tab/>
      </w:r>
      <w:proofErr w:type="spellStart"/>
      <w:r w:rsidRPr="007653EB">
        <w:rPr>
          <w:b/>
          <w:bCs/>
          <w:color w:val="000000"/>
          <w:spacing w:val="-1"/>
          <w:kern w:val="0"/>
          <w:sz w:val="16"/>
          <w:szCs w:val="16"/>
        </w:rPr>
        <w:t>Dimenäs</w:t>
      </w:r>
      <w:proofErr w:type="spellEnd"/>
      <w:r w:rsidRPr="007653EB">
        <w:rPr>
          <w:b/>
          <w:bCs/>
          <w:color w:val="000000"/>
          <w:spacing w:val="-1"/>
          <w:kern w:val="0"/>
          <w:sz w:val="16"/>
          <w:szCs w:val="16"/>
        </w:rPr>
        <w:t xml:space="preserve"> E</w:t>
      </w:r>
      <w:r w:rsidRPr="007653EB">
        <w:rPr>
          <w:color w:val="000000"/>
          <w:spacing w:val="-1"/>
          <w:kern w:val="0"/>
          <w:sz w:val="16"/>
          <w:szCs w:val="16"/>
        </w:rPr>
        <w:t xml:space="preserve">, </w:t>
      </w:r>
      <w:proofErr w:type="spellStart"/>
      <w:r w:rsidRPr="007653EB">
        <w:rPr>
          <w:color w:val="000000"/>
          <w:spacing w:val="-1"/>
          <w:kern w:val="0"/>
          <w:sz w:val="16"/>
          <w:szCs w:val="16"/>
        </w:rPr>
        <w:t>Glise</w:t>
      </w:r>
      <w:proofErr w:type="spellEnd"/>
      <w:r w:rsidRPr="007653EB">
        <w:rPr>
          <w:color w:val="000000"/>
          <w:spacing w:val="-1"/>
          <w:kern w:val="0"/>
          <w:sz w:val="16"/>
          <w:szCs w:val="16"/>
        </w:rPr>
        <w:t xml:space="preserve"> H, </w:t>
      </w:r>
      <w:proofErr w:type="spellStart"/>
      <w:r w:rsidRPr="007653EB">
        <w:rPr>
          <w:color w:val="000000"/>
          <w:spacing w:val="-1"/>
          <w:kern w:val="0"/>
          <w:sz w:val="16"/>
          <w:szCs w:val="16"/>
        </w:rPr>
        <w:t>Hallerbäck</w:t>
      </w:r>
      <w:proofErr w:type="spellEnd"/>
      <w:r w:rsidRPr="007653EB">
        <w:rPr>
          <w:color w:val="000000"/>
          <w:spacing w:val="-1"/>
          <w:kern w:val="0"/>
          <w:sz w:val="16"/>
          <w:szCs w:val="16"/>
        </w:rPr>
        <w:t xml:space="preserve"> B, </w:t>
      </w:r>
      <w:proofErr w:type="spellStart"/>
      <w:r w:rsidRPr="007653EB">
        <w:rPr>
          <w:color w:val="000000"/>
          <w:spacing w:val="-1"/>
          <w:kern w:val="0"/>
          <w:sz w:val="16"/>
          <w:szCs w:val="16"/>
        </w:rPr>
        <w:t>Hernqvist</w:t>
      </w:r>
      <w:proofErr w:type="spellEnd"/>
      <w:r w:rsidRPr="007653EB">
        <w:rPr>
          <w:color w:val="000000"/>
          <w:spacing w:val="-1"/>
          <w:kern w:val="0"/>
          <w:sz w:val="16"/>
          <w:szCs w:val="16"/>
        </w:rPr>
        <w:t xml:space="preserve"> H, </w:t>
      </w:r>
      <w:proofErr w:type="spellStart"/>
      <w:r w:rsidRPr="007653EB">
        <w:rPr>
          <w:color w:val="000000"/>
          <w:spacing w:val="-1"/>
          <w:kern w:val="0"/>
          <w:sz w:val="16"/>
          <w:szCs w:val="16"/>
        </w:rPr>
        <w:t>Svedlund</w:t>
      </w:r>
      <w:proofErr w:type="spellEnd"/>
      <w:r w:rsidRPr="007653EB">
        <w:rPr>
          <w:color w:val="000000"/>
          <w:spacing w:val="-1"/>
          <w:kern w:val="0"/>
          <w:sz w:val="16"/>
          <w:szCs w:val="16"/>
        </w:rPr>
        <w:t xml:space="preserve"> J, </w:t>
      </w:r>
      <w:proofErr w:type="spellStart"/>
      <w:r w:rsidRPr="007653EB">
        <w:rPr>
          <w:color w:val="000000"/>
          <w:spacing w:val="-1"/>
          <w:kern w:val="0"/>
          <w:sz w:val="16"/>
          <w:szCs w:val="16"/>
        </w:rPr>
        <w:t>Wiklund</w:t>
      </w:r>
      <w:proofErr w:type="spellEnd"/>
      <w:r w:rsidRPr="007653EB">
        <w:rPr>
          <w:color w:val="000000"/>
          <w:spacing w:val="-1"/>
          <w:kern w:val="0"/>
          <w:sz w:val="16"/>
          <w:szCs w:val="16"/>
        </w:rPr>
        <w:t xml:space="preserve"> I. Quality of life in patients with upper gastrointestinal symptoms. </w:t>
      </w:r>
      <w:proofErr w:type="gramStart"/>
      <w:r w:rsidRPr="007653EB">
        <w:rPr>
          <w:color w:val="000000"/>
          <w:spacing w:val="-1"/>
          <w:kern w:val="0"/>
          <w:sz w:val="16"/>
          <w:szCs w:val="16"/>
        </w:rPr>
        <w:t>An improved evaluation of treatment regimens?</w:t>
      </w:r>
      <w:proofErr w:type="gramEnd"/>
      <w:r w:rsidRPr="007653EB">
        <w:rPr>
          <w:color w:val="000000"/>
          <w:spacing w:val="-1"/>
          <w:kern w:val="0"/>
          <w:sz w:val="16"/>
          <w:szCs w:val="16"/>
        </w:rPr>
        <w:t xml:space="preserve"> </w:t>
      </w:r>
      <w:proofErr w:type="spellStart"/>
      <w:r w:rsidRPr="007653EB">
        <w:rPr>
          <w:i/>
          <w:iCs/>
          <w:color w:val="000000"/>
          <w:spacing w:val="-1"/>
          <w:kern w:val="0"/>
          <w:sz w:val="16"/>
          <w:szCs w:val="16"/>
        </w:rPr>
        <w:t>Scand</w:t>
      </w:r>
      <w:proofErr w:type="spellEnd"/>
      <w:r w:rsidRPr="007653EB">
        <w:rPr>
          <w:i/>
          <w:iCs/>
          <w:color w:val="000000"/>
          <w:spacing w:val="-1"/>
          <w:kern w:val="0"/>
          <w:sz w:val="16"/>
          <w:szCs w:val="16"/>
        </w:rPr>
        <w:t xml:space="preserve"> J </w:t>
      </w:r>
      <w:proofErr w:type="spellStart"/>
      <w:r w:rsidRPr="007653EB">
        <w:rPr>
          <w:i/>
          <w:iCs/>
          <w:color w:val="000000"/>
          <w:spacing w:val="-1"/>
          <w:kern w:val="0"/>
          <w:sz w:val="16"/>
          <w:szCs w:val="16"/>
        </w:rPr>
        <w:t>Gastroenterol</w:t>
      </w:r>
      <w:proofErr w:type="spellEnd"/>
      <w:r w:rsidRPr="007653EB">
        <w:rPr>
          <w:color w:val="000000"/>
          <w:spacing w:val="-1"/>
          <w:kern w:val="0"/>
          <w:sz w:val="16"/>
          <w:szCs w:val="16"/>
        </w:rPr>
        <w:t xml:space="preserve"> 1993; </w:t>
      </w:r>
      <w:r w:rsidRPr="007653EB">
        <w:rPr>
          <w:b/>
          <w:bCs/>
          <w:color w:val="000000"/>
          <w:spacing w:val="-1"/>
          <w:kern w:val="0"/>
          <w:sz w:val="16"/>
          <w:szCs w:val="16"/>
        </w:rPr>
        <w:t>28</w:t>
      </w:r>
      <w:r w:rsidRPr="007653EB">
        <w:rPr>
          <w:color w:val="000000"/>
          <w:spacing w:val="-1"/>
          <w:kern w:val="0"/>
          <w:sz w:val="16"/>
          <w:szCs w:val="16"/>
        </w:rPr>
        <w:t>: 681-687 [PMID: 8210982 DOI: 10.3109/00365529309098272]</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17</w:t>
      </w:r>
      <w:r w:rsidRPr="007653EB">
        <w:rPr>
          <w:color w:val="000000"/>
          <w:spacing w:val="-1"/>
          <w:kern w:val="0"/>
          <w:sz w:val="16"/>
          <w:szCs w:val="16"/>
        </w:rPr>
        <w:tab/>
      </w:r>
      <w:proofErr w:type="spellStart"/>
      <w:r w:rsidRPr="007653EB">
        <w:rPr>
          <w:b/>
          <w:bCs/>
          <w:color w:val="000000"/>
          <w:spacing w:val="-1"/>
          <w:kern w:val="0"/>
          <w:sz w:val="16"/>
          <w:szCs w:val="16"/>
        </w:rPr>
        <w:t>Zigmond</w:t>
      </w:r>
      <w:proofErr w:type="spellEnd"/>
      <w:r w:rsidRPr="007653EB">
        <w:rPr>
          <w:b/>
          <w:bCs/>
          <w:color w:val="000000"/>
          <w:spacing w:val="-1"/>
          <w:kern w:val="0"/>
          <w:sz w:val="16"/>
          <w:szCs w:val="16"/>
        </w:rPr>
        <w:t xml:space="preserve"> AS</w:t>
      </w:r>
      <w:r w:rsidRPr="007653EB">
        <w:rPr>
          <w:color w:val="000000"/>
          <w:spacing w:val="-1"/>
          <w:kern w:val="0"/>
          <w:sz w:val="16"/>
          <w:szCs w:val="16"/>
        </w:rPr>
        <w:t xml:space="preserve">, </w:t>
      </w:r>
      <w:proofErr w:type="spellStart"/>
      <w:r w:rsidRPr="007653EB">
        <w:rPr>
          <w:color w:val="000000"/>
          <w:spacing w:val="-1"/>
          <w:kern w:val="0"/>
          <w:sz w:val="16"/>
          <w:szCs w:val="16"/>
        </w:rPr>
        <w:t>Snaith</w:t>
      </w:r>
      <w:proofErr w:type="spellEnd"/>
      <w:r w:rsidRPr="007653EB">
        <w:rPr>
          <w:color w:val="000000"/>
          <w:spacing w:val="-1"/>
          <w:kern w:val="0"/>
          <w:sz w:val="16"/>
          <w:szCs w:val="16"/>
        </w:rPr>
        <w:t xml:space="preserve"> RP. The hospital anxiety and depression scale. </w:t>
      </w:r>
      <w:proofErr w:type="spellStart"/>
      <w:r w:rsidRPr="007653EB">
        <w:rPr>
          <w:i/>
          <w:iCs/>
          <w:color w:val="000000"/>
          <w:spacing w:val="-1"/>
          <w:kern w:val="0"/>
          <w:sz w:val="16"/>
          <w:szCs w:val="16"/>
        </w:rPr>
        <w:t>Acta</w:t>
      </w:r>
      <w:proofErr w:type="spellEnd"/>
      <w:r w:rsidRPr="007653EB">
        <w:rPr>
          <w:i/>
          <w:iCs/>
          <w:color w:val="000000"/>
          <w:spacing w:val="-1"/>
          <w:kern w:val="0"/>
          <w:sz w:val="16"/>
          <w:szCs w:val="16"/>
        </w:rPr>
        <w:t xml:space="preserve"> </w:t>
      </w:r>
      <w:proofErr w:type="spellStart"/>
      <w:r w:rsidRPr="007653EB">
        <w:rPr>
          <w:i/>
          <w:iCs/>
          <w:color w:val="000000"/>
          <w:spacing w:val="-1"/>
          <w:kern w:val="0"/>
          <w:sz w:val="16"/>
          <w:szCs w:val="16"/>
        </w:rPr>
        <w:t>Psychiatr</w:t>
      </w:r>
      <w:proofErr w:type="spellEnd"/>
      <w:r w:rsidRPr="007653EB">
        <w:rPr>
          <w:i/>
          <w:iCs/>
          <w:color w:val="000000"/>
          <w:spacing w:val="-1"/>
          <w:kern w:val="0"/>
          <w:sz w:val="16"/>
          <w:szCs w:val="16"/>
        </w:rPr>
        <w:t xml:space="preserve"> </w:t>
      </w:r>
      <w:proofErr w:type="spellStart"/>
      <w:r w:rsidRPr="007653EB">
        <w:rPr>
          <w:i/>
          <w:iCs/>
          <w:color w:val="000000"/>
          <w:spacing w:val="-1"/>
          <w:kern w:val="0"/>
          <w:sz w:val="16"/>
          <w:szCs w:val="16"/>
        </w:rPr>
        <w:t>Scand</w:t>
      </w:r>
      <w:proofErr w:type="spellEnd"/>
      <w:r w:rsidRPr="007653EB">
        <w:rPr>
          <w:color w:val="000000"/>
          <w:spacing w:val="-1"/>
          <w:kern w:val="0"/>
          <w:sz w:val="16"/>
          <w:szCs w:val="16"/>
        </w:rPr>
        <w:t xml:space="preserve"> 1983; </w:t>
      </w:r>
      <w:r w:rsidRPr="007653EB">
        <w:rPr>
          <w:b/>
          <w:bCs/>
          <w:color w:val="000000"/>
          <w:spacing w:val="-1"/>
          <w:kern w:val="0"/>
          <w:sz w:val="16"/>
          <w:szCs w:val="16"/>
        </w:rPr>
        <w:t>67</w:t>
      </w:r>
      <w:r w:rsidRPr="007653EB">
        <w:rPr>
          <w:color w:val="000000"/>
          <w:spacing w:val="-1"/>
          <w:kern w:val="0"/>
          <w:sz w:val="16"/>
          <w:szCs w:val="16"/>
        </w:rPr>
        <w:t>: 361-370 [PMID: 6880820 DOI: 10.1111/j.1600-0447.1983.tb09716.x]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18</w:t>
      </w:r>
      <w:r w:rsidRPr="007653EB">
        <w:rPr>
          <w:color w:val="000000"/>
          <w:spacing w:val="-1"/>
          <w:kern w:val="0"/>
          <w:sz w:val="16"/>
          <w:szCs w:val="16"/>
        </w:rPr>
        <w:tab/>
      </w:r>
      <w:r w:rsidRPr="007653EB">
        <w:rPr>
          <w:b/>
          <w:bCs/>
          <w:color w:val="000000"/>
          <w:spacing w:val="-1"/>
          <w:kern w:val="0"/>
          <w:sz w:val="16"/>
          <w:szCs w:val="16"/>
        </w:rPr>
        <w:t>Herrmann C</w:t>
      </w:r>
      <w:r w:rsidRPr="007653EB">
        <w:rPr>
          <w:color w:val="000000"/>
          <w:spacing w:val="-1"/>
          <w:kern w:val="0"/>
          <w:sz w:val="16"/>
          <w:szCs w:val="16"/>
        </w:rPr>
        <w:t xml:space="preserve">. International experiences with the Hospital Anxiety and Depression Scale--a review of validation data and clinical results. </w:t>
      </w:r>
      <w:r w:rsidRPr="007653EB">
        <w:rPr>
          <w:i/>
          <w:iCs/>
          <w:color w:val="000000"/>
          <w:spacing w:val="-1"/>
          <w:kern w:val="0"/>
          <w:sz w:val="16"/>
          <w:szCs w:val="16"/>
        </w:rPr>
        <w:t xml:space="preserve">J </w:t>
      </w:r>
      <w:proofErr w:type="spellStart"/>
      <w:r w:rsidRPr="007653EB">
        <w:rPr>
          <w:i/>
          <w:iCs/>
          <w:color w:val="000000"/>
          <w:spacing w:val="-1"/>
          <w:kern w:val="0"/>
          <w:sz w:val="16"/>
          <w:szCs w:val="16"/>
        </w:rPr>
        <w:t>Psychosom</w:t>
      </w:r>
      <w:proofErr w:type="spellEnd"/>
      <w:r w:rsidRPr="007653EB">
        <w:rPr>
          <w:i/>
          <w:iCs/>
          <w:color w:val="000000"/>
          <w:spacing w:val="-1"/>
          <w:kern w:val="0"/>
          <w:sz w:val="16"/>
          <w:szCs w:val="16"/>
        </w:rPr>
        <w:t xml:space="preserve"> Res</w:t>
      </w:r>
      <w:r w:rsidRPr="007653EB">
        <w:rPr>
          <w:color w:val="000000"/>
          <w:spacing w:val="-1"/>
          <w:kern w:val="0"/>
          <w:sz w:val="16"/>
          <w:szCs w:val="16"/>
        </w:rPr>
        <w:t xml:space="preserve"> 1997; </w:t>
      </w:r>
      <w:r w:rsidRPr="007653EB">
        <w:rPr>
          <w:b/>
          <w:bCs/>
          <w:color w:val="000000"/>
          <w:spacing w:val="-1"/>
          <w:kern w:val="0"/>
          <w:sz w:val="16"/>
          <w:szCs w:val="16"/>
        </w:rPr>
        <w:t>42</w:t>
      </w:r>
      <w:r w:rsidRPr="007653EB">
        <w:rPr>
          <w:color w:val="000000"/>
          <w:spacing w:val="-1"/>
          <w:kern w:val="0"/>
          <w:sz w:val="16"/>
          <w:szCs w:val="16"/>
        </w:rPr>
        <w:t>: 17-41 [PMID: 9055211 DOI: 10.1016/S0022-3999(96)00216-4]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19</w:t>
      </w:r>
      <w:r w:rsidRPr="007653EB">
        <w:rPr>
          <w:color w:val="000000"/>
          <w:spacing w:val="-1"/>
          <w:kern w:val="0"/>
          <w:sz w:val="16"/>
          <w:szCs w:val="16"/>
        </w:rPr>
        <w:tab/>
      </w:r>
      <w:proofErr w:type="spellStart"/>
      <w:r w:rsidRPr="007653EB">
        <w:rPr>
          <w:b/>
          <w:bCs/>
          <w:color w:val="000000"/>
          <w:spacing w:val="-1"/>
          <w:kern w:val="0"/>
          <w:sz w:val="16"/>
          <w:szCs w:val="16"/>
        </w:rPr>
        <w:t>Bjelland</w:t>
      </w:r>
      <w:proofErr w:type="spellEnd"/>
      <w:r w:rsidRPr="007653EB">
        <w:rPr>
          <w:b/>
          <w:bCs/>
          <w:color w:val="000000"/>
          <w:spacing w:val="-1"/>
          <w:kern w:val="0"/>
          <w:sz w:val="16"/>
          <w:szCs w:val="16"/>
        </w:rPr>
        <w:t xml:space="preserve"> I</w:t>
      </w:r>
      <w:r w:rsidRPr="007653EB">
        <w:rPr>
          <w:color w:val="000000"/>
          <w:spacing w:val="-1"/>
          <w:kern w:val="0"/>
          <w:sz w:val="16"/>
          <w:szCs w:val="16"/>
        </w:rPr>
        <w:t xml:space="preserve">, Dahl AA, </w:t>
      </w:r>
      <w:proofErr w:type="spellStart"/>
      <w:r w:rsidRPr="007653EB">
        <w:rPr>
          <w:color w:val="000000"/>
          <w:spacing w:val="-1"/>
          <w:kern w:val="0"/>
          <w:sz w:val="16"/>
          <w:szCs w:val="16"/>
        </w:rPr>
        <w:t>Haug</w:t>
      </w:r>
      <w:proofErr w:type="spellEnd"/>
      <w:r w:rsidRPr="007653EB">
        <w:rPr>
          <w:color w:val="000000"/>
          <w:spacing w:val="-1"/>
          <w:kern w:val="0"/>
          <w:sz w:val="16"/>
          <w:szCs w:val="16"/>
        </w:rPr>
        <w:t xml:space="preserve"> TT, </w:t>
      </w:r>
      <w:proofErr w:type="spellStart"/>
      <w:r w:rsidRPr="007653EB">
        <w:rPr>
          <w:color w:val="000000"/>
          <w:spacing w:val="-1"/>
          <w:kern w:val="0"/>
          <w:sz w:val="16"/>
          <w:szCs w:val="16"/>
        </w:rPr>
        <w:t>Neckelmann</w:t>
      </w:r>
      <w:proofErr w:type="spellEnd"/>
      <w:r w:rsidRPr="007653EB">
        <w:rPr>
          <w:color w:val="000000"/>
          <w:spacing w:val="-1"/>
          <w:kern w:val="0"/>
          <w:sz w:val="16"/>
          <w:szCs w:val="16"/>
        </w:rPr>
        <w:t xml:space="preserve"> D. </w:t>
      </w:r>
      <w:proofErr w:type="gramStart"/>
      <w:r w:rsidRPr="007653EB">
        <w:rPr>
          <w:color w:val="000000"/>
          <w:spacing w:val="-1"/>
          <w:kern w:val="0"/>
          <w:sz w:val="16"/>
          <w:szCs w:val="16"/>
        </w:rPr>
        <w:t>The validity of the Hospital Anxiety and Depression Scale.</w:t>
      </w:r>
      <w:proofErr w:type="gramEnd"/>
      <w:r w:rsidRPr="007653EB">
        <w:rPr>
          <w:color w:val="000000"/>
          <w:spacing w:val="-1"/>
          <w:kern w:val="0"/>
          <w:sz w:val="16"/>
          <w:szCs w:val="16"/>
        </w:rPr>
        <w:t xml:space="preserve"> </w:t>
      </w:r>
      <w:proofErr w:type="gramStart"/>
      <w:r w:rsidRPr="007653EB">
        <w:rPr>
          <w:color w:val="000000"/>
          <w:spacing w:val="-1"/>
          <w:kern w:val="0"/>
          <w:sz w:val="16"/>
          <w:szCs w:val="16"/>
        </w:rPr>
        <w:t>An updated literature review.</w:t>
      </w:r>
      <w:proofErr w:type="gramEnd"/>
      <w:r w:rsidRPr="007653EB">
        <w:rPr>
          <w:color w:val="000000"/>
          <w:spacing w:val="-1"/>
          <w:kern w:val="0"/>
          <w:sz w:val="16"/>
          <w:szCs w:val="16"/>
        </w:rPr>
        <w:t xml:space="preserve"> </w:t>
      </w:r>
      <w:r w:rsidRPr="007653EB">
        <w:rPr>
          <w:i/>
          <w:iCs/>
          <w:color w:val="000000"/>
          <w:spacing w:val="-1"/>
          <w:kern w:val="0"/>
          <w:sz w:val="16"/>
          <w:szCs w:val="16"/>
        </w:rPr>
        <w:t xml:space="preserve">J </w:t>
      </w:r>
      <w:proofErr w:type="spellStart"/>
      <w:r w:rsidRPr="007653EB">
        <w:rPr>
          <w:i/>
          <w:iCs/>
          <w:color w:val="000000"/>
          <w:spacing w:val="-1"/>
          <w:kern w:val="0"/>
          <w:sz w:val="16"/>
          <w:szCs w:val="16"/>
        </w:rPr>
        <w:t>Psychosom</w:t>
      </w:r>
      <w:proofErr w:type="spellEnd"/>
      <w:r w:rsidRPr="007653EB">
        <w:rPr>
          <w:i/>
          <w:iCs/>
          <w:color w:val="000000"/>
          <w:spacing w:val="-1"/>
          <w:kern w:val="0"/>
          <w:sz w:val="16"/>
          <w:szCs w:val="16"/>
        </w:rPr>
        <w:t xml:space="preserve"> Res</w:t>
      </w:r>
      <w:r w:rsidRPr="007653EB">
        <w:rPr>
          <w:color w:val="000000"/>
          <w:spacing w:val="-1"/>
          <w:kern w:val="0"/>
          <w:sz w:val="16"/>
          <w:szCs w:val="16"/>
        </w:rPr>
        <w:t xml:space="preserve"> 2002; </w:t>
      </w:r>
      <w:r w:rsidRPr="007653EB">
        <w:rPr>
          <w:b/>
          <w:bCs/>
          <w:color w:val="000000"/>
          <w:spacing w:val="-1"/>
          <w:kern w:val="0"/>
          <w:sz w:val="16"/>
          <w:szCs w:val="16"/>
        </w:rPr>
        <w:t>52</w:t>
      </w:r>
      <w:r w:rsidRPr="007653EB">
        <w:rPr>
          <w:color w:val="000000"/>
          <w:spacing w:val="-1"/>
          <w:kern w:val="0"/>
          <w:sz w:val="16"/>
          <w:szCs w:val="16"/>
        </w:rPr>
        <w:t>: 69-77 [PMID: 11832252 DOI: 10.1016/</w:t>
      </w:r>
      <w:proofErr w:type="gramStart"/>
      <w:r w:rsidRPr="007653EB">
        <w:rPr>
          <w:color w:val="000000"/>
          <w:spacing w:val="-1"/>
          <w:kern w:val="0"/>
          <w:sz w:val="16"/>
          <w:szCs w:val="16"/>
        </w:rPr>
        <w:t>S0022(</w:t>
      </w:r>
      <w:proofErr w:type="gramEnd"/>
      <w:r w:rsidRPr="007653EB">
        <w:rPr>
          <w:color w:val="000000"/>
          <w:spacing w:val="-1"/>
          <w:kern w:val="0"/>
          <w:sz w:val="16"/>
          <w:szCs w:val="16"/>
        </w:rPr>
        <w:t>01)00296-3]</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lastRenderedPageBreak/>
        <w:t>20</w:t>
      </w:r>
      <w:r w:rsidRPr="007653EB">
        <w:rPr>
          <w:color w:val="000000"/>
          <w:spacing w:val="-1"/>
          <w:kern w:val="0"/>
          <w:sz w:val="16"/>
          <w:szCs w:val="16"/>
        </w:rPr>
        <w:tab/>
      </w:r>
      <w:proofErr w:type="spellStart"/>
      <w:r w:rsidRPr="007653EB">
        <w:rPr>
          <w:b/>
          <w:bCs/>
          <w:color w:val="000000"/>
          <w:spacing w:val="-1"/>
          <w:kern w:val="0"/>
          <w:sz w:val="16"/>
          <w:szCs w:val="16"/>
        </w:rPr>
        <w:t>Levenstein</w:t>
      </w:r>
      <w:proofErr w:type="spellEnd"/>
      <w:r w:rsidRPr="007653EB">
        <w:rPr>
          <w:b/>
          <w:bCs/>
          <w:color w:val="000000"/>
          <w:spacing w:val="-1"/>
          <w:kern w:val="0"/>
          <w:sz w:val="16"/>
          <w:szCs w:val="16"/>
        </w:rPr>
        <w:t xml:space="preserve"> S</w:t>
      </w:r>
      <w:r w:rsidRPr="007653EB">
        <w:rPr>
          <w:color w:val="000000"/>
          <w:spacing w:val="-1"/>
          <w:kern w:val="0"/>
          <w:sz w:val="16"/>
          <w:szCs w:val="16"/>
        </w:rPr>
        <w:t xml:space="preserve">, </w:t>
      </w:r>
      <w:proofErr w:type="spellStart"/>
      <w:r w:rsidRPr="007653EB">
        <w:rPr>
          <w:color w:val="000000"/>
          <w:spacing w:val="-1"/>
          <w:kern w:val="0"/>
          <w:sz w:val="16"/>
          <w:szCs w:val="16"/>
        </w:rPr>
        <w:t>Prantera</w:t>
      </w:r>
      <w:proofErr w:type="spellEnd"/>
      <w:r w:rsidRPr="007653EB">
        <w:rPr>
          <w:color w:val="000000"/>
          <w:spacing w:val="-1"/>
          <w:kern w:val="0"/>
          <w:sz w:val="16"/>
          <w:szCs w:val="16"/>
        </w:rPr>
        <w:t xml:space="preserve"> C, </w:t>
      </w:r>
      <w:proofErr w:type="spellStart"/>
      <w:r w:rsidRPr="007653EB">
        <w:rPr>
          <w:color w:val="000000"/>
          <w:spacing w:val="-1"/>
          <w:kern w:val="0"/>
          <w:sz w:val="16"/>
          <w:szCs w:val="16"/>
        </w:rPr>
        <w:t>Varvo</w:t>
      </w:r>
      <w:proofErr w:type="spellEnd"/>
      <w:r w:rsidRPr="007653EB">
        <w:rPr>
          <w:color w:val="000000"/>
          <w:spacing w:val="-1"/>
          <w:kern w:val="0"/>
          <w:sz w:val="16"/>
          <w:szCs w:val="16"/>
        </w:rPr>
        <w:t xml:space="preserve"> V, </w:t>
      </w:r>
      <w:proofErr w:type="spellStart"/>
      <w:r w:rsidRPr="007653EB">
        <w:rPr>
          <w:color w:val="000000"/>
          <w:spacing w:val="-1"/>
          <w:kern w:val="0"/>
          <w:sz w:val="16"/>
          <w:szCs w:val="16"/>
        </w:rPr>
        <w:t>Scribano</w:t>
      </w:r>
      <w:proofErr w:type="spellEnd"/>
      <w:r w:rsidRPr="007653EB">
        <w:rPr>
          <w:color w:val="000000"/>
          <w:spacing w:val="-1"/>
          <w:kern w:val="0"/>
          <w:sz w:val="16"/>
          <w:szCs w:val="16"/>
        </w:rPr>
        <w:t xml:space="preserve"> ML, </w:t>
      </w:r>
      <w:proofErr w:type="spellStart"/>
      <w:r w:rsidRPr="007653EB">
        <w:rPr>
          <w:color w:val="000000"/>
          <w:spacing w:val="-1"/>
          <w:kern w:val="0"/>
          <w:sz w:val="16"/>
          <w:szCs w:val="16"/>
        </w:rPr>
        <w:t>Berto</w:t>
      </w:r>
      <w:proofErr w:type="spellEnd"/>
      <w:r w:rsidRPr="007653EB">
        <w:rPr>
          <w:color w:val="000000"/>
          <w:spacing w:val="-1"/>
          <w:kern w:val="0"/>
          <w:sz w:val="16"/>
          <w:szCs w:val="16"/>
        </w:rPr>
        <w:t xml:space="preserve"> E, </w:t>
      </w:r>
      <w:proofErr w:type="spellStart"/>
      <w:r w:rsidRPr="007653EB">
        <w:rPr>
          <w:color w:val="000000"/>
          <w:spacing w:val="-1"/>
          <w:kern w:val="0"/>
          <w:sz w:val="16"/>
          <w:szCs w:val="16"/>
        </w:rPr>
        <w:t>Luzi</w:t>
      </w:r>
      <w:proofErr w:type="spellEnd"/>
      <w:r w:rsidRPr="007653EB">
        <w:rPr>
          <w:color w:val="000000"/>
          <w:spacing w:val="-1"/>
          <w:kern w:val="0"/>
          <w:sz w:val="16"/>
          <w:szCs w:val="16"/>
        </w:rPr>
        <w:t xml:space="preserve"> C, </w:t>
      </w:r>
      <w:proofErr w:type="spellStart"/>
      <w:r w:rsidRPr="007653EB">
        <w:rPr>
          <w:color w:val="000000"/>
          <w:spacing w:val="-1"/>
          <w:kern w:val="0"/>
          <w:sz w:val="16"/>
          <w:szCs w:val="16"/>
        </w:rPr>
        <w:t>Andreoli</w:t>
      </w:r>
      <w:proofErr w:type="spellEnd"/>
      <w:r w:rsidRPr="007653EB">
        <w:rPr>
          <w:color w:val="000000"/>
          <w:spacing w:val="-1"/>
          <w:kern w:val="0"/>
          <w:sz w:val="16"/>
          <w:szCs w:val="16"/>
        </w:rPr>
        <w:t xml:space="preserve"> A. Development of the Perceived Stress Questionnaire: a new tool for psychosomatic research. </w:t>
      </w:r>
      <w:r w:rsidRPr="007653EB">
        <w:rPr>
          <w:i/>
          <w:iCs/>
          <w:color w:val="000000"/>
          <w:spacing w:val="-1"/>
          <w:kern w:val="0"/>
          <w:sz w:val="16"/>
          <w:szCs w:val="16"/>
        </w:rPr>
        <w:t xml:space="preserve">J </w:t>
      </w:r>
      <w:proofErr w:type="spellStart"/>
      <w:r w:rsidRPr="007653EB">
        <w:rPr>
          <w:i/>
          <w:iCs/>
          <w:color w:val="000000"/>
          <w:spacing w:val="-1"/>
          <w:kern w:val="0"/>
          <w:sz w:val="16"/>
          <w:szCs w:val="16"/>
        </w:rPr>
        <w:t>Psychosom</w:t>
      </w:r>
      <w:proofErr w:type="spellEnd"/>
      <w:r w:rsidRPr="007653EB">
        <w:rPr>
          <w:i/>
          <w:iCs/>
          <w:color w:val="000000"/>
          <w:spacing w:val="-1"/>
          <w:kern w:val="0"/>
          <w:sz w:val="16"/>
          <w:szCs w:val="16"/>
        </w:rPr>
        <w:t xml:space="preserve"> Res</w:t>
      </w:r>
      <w:r w:rsidRPr="007653EB">
        <w:rPr>
          <w:color w:val="000000"/>
          <w:spacing w:val="-1"/>
          <w:kern w:val="0"/>
          <w:sz w:val="16"/>
          <w:szCs w:val="16"/>
        </w:rPr>
        <w:t xml:space="preserve"> 1993; </w:t>
      </w:r>
      <w:r w:rsidRPr="007653EB">
        <w:rPr>
          <w:b/>
          <w:bCs/>
          <w:color w:val="000000"/>
          <w:spacing w:val="-1"/>
          <w:kern w:val="0"/>
          <w:sz w:val="16"/>
          <w:szCs w:val="16"/>
        </w:rPr>
        <w:t>37</w:t>
      </w:r>
      <w:r w:rsidRPr="007653EB">
        <w:rPr>
          <w:color w:val="000000"/>
          <w:spacing w:val="-1"/>
          <w:kern w:val="0"/>
          <w:sz w:val="16"/>
          <w:szCs w:val="16"/>
        </w:rPr>
        <w:t>: 19-32 [PMID: 8421257 DOI: 10.1016/0022-3999(93)90120-5]</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21</w:t>
      </w:r>
      <w:r w:rsidRPr="007653EB">
        <w:rPr>
          <w:color w:val="000000"/>
          <w:spacing w:val="-1"/>
          <w:kern w:val="0"/>
          <w:sz w:val="16"/>
          <w:szCs w:val="16"/>
        </w:rPr>
        <w:tab/>
      </w:r>
      <w:proofErr w:type="spellStart"/>
      <w:r w:rsidRPr="007653EB">
        <w:rPr>
          <w:b/>
          <w:bCs/>
          <w:color w:val="000000"/>
          <w:spacing w:val="-1"/>
          <w:kern w:val="0"/>
          <w:sz w:val="16"/>
          <w:szCs w:val="16"/>
        </w:rPr>
        <w:t>Bergdahl</w:t>
      </w:r>
      <w:proofErr w:type="spellEnd"/>
      <w:r w:rsidRPr="007653EB">
        <w:rPr>
          <w:b/>
          <w:bCs/>
          <w:color w:val="000000"/>
          <w:spacing w:val="-1"/>
          <w:kern w:val="0"/>
          <w:sz w:val="16"/>
          <w:szCs w:val="16"/>
        </w:rPr>
        <w:t xml:space="preserve"> J,</w:t>
      </w:r>
      <w:r w:rsidRPr="007653EB">
        <w:rPr>
          <w:color w:val="000000"/>
          <w:spacing w:val="-1"/>
          <w:kern w:val="0"/>
          <w:sz w:val="16"/>
          <w:szCs w:val="16"/>
        </w:rPr>
        <w:t xml:space="preserve"> </w:t>
      </w:r>
      <w:proofErr w:type="spellStart"/>
      <w:r w:rsidRPr="007653EB">
        <w:rPr>
          <w:color w:val="000000"/>
          <w:spacing w:val="-1"/>
          <w:kern w:val="0"/>
          <w:sz w:val="16"/>
          <w:szCs w:val="16"/>
        </w:rPr>
        <w:t>Bergdahl</w:t>
      </w:r>
      <w:proofErr w:type="spellEnd"/>
      <w:r w:rsidRPr="007653EB">
        <w:rPr>
          <w:color w:val="000000"/>
          <w:spacing w:val="-1"/>
          <w:kern w:val="0"/>
          <w:sz w:val="16"/>
          <w:szCs w:val="16"/>
        </w:rPr>
        <w:t xml:space="preserve"> M. Perceived stress in adults: prevalence and association of depression, anxiety and medication in a Swedish population. </w:t>
      </w:r>
      <w:r w:rsidRPr="007653EB">
        <w:rPr>
          <w:i/>
          <w:iCs/>
          <w:color w:val="000000"/>
          <w:spacing w:val="-1"/>
          <w:kern w:val="0"/>
          <w:sz w:val="16"/>
          <w:szCs w:val="16"/>
        </w:rPr>
        <w:t xml:space="preserve">Stress and Health </w:t>
      </w:r>
      <w:r w:rsidRPr="007653EB">
        <w:rPr>
          <w:color w:val="000000"/>
          <w:spacing w:val="-1"/>
          <w:kern w:val="0"/>
          <w:sz w:val="16"/>
          <w:szCs w:val="16"/>
        </w:rPr>
        <w:t xml:space="preserve">2002; </w:t>
      </w:r>
      <w:r w:rsidRPr="007653EB">
        <w:rPr>
          <w:b/>
          <w:bCs/>
          <w:color w:val="000000"/>
          <w:spacing w:val="-1"/>
          <w:kern w:val="0"/>
          <w:sz w:val="16"/>
          <w:szCs w:val="16"/>
        </w:rPr>
        <w:t>18</w:t>
      </w:r>
      <w:r w:rsidRPr="007653EB">
        <w:rPr>
          <w:color w:val="000000"/>
          <w:spacing w:val="-1"/>
          <w:kern w:val="0"/>
          <w:sz w:val="16"/>
          <w:szCs w:val="16"/>
        </w:rPr>
        <w:t>: 235-241 [DOI: 10.1002/smi.946]</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2"/>
          <w:kern w:val="0"/>
          <w:sz w:val="16"/>
          <w:szCs w:val="16"/>
        </w:rPr>
      </w:pPr>
      <w:r w:rsidRPr="007653EB">
        <w:rPr>
          <w:color w:val="000000"/>
          <w:spacing w:val="-1"/>
          <w:kern w:val="0"/>
          <w:sz w:val="16"/>
          <w:szCs w:val="16"/>
        </w:rPr>
        <w:t>22</w:t>
      </w:r>
      <w:r w:rsidRPr="007653EB">
        <w:rPr>
          <w:color w:val="000000"/>
          <w:spacing w:val="-1"/>
          <w:kern w:val="0"/>
          <w:sz w:val="16"/>
          <w:szCs w:val="16"/>
        </w:rPr>
        <w:tab/>
      </w:r>
      <w:proofErr w:type="spellStart"/>
      <w:r w:rsidRPr="007653EB">
        <w:rPr>
          <w:b/>
          <w:bCs/>
          <w:color w:val="000000"/>
          <w:spacing w:val="-2"/>
          <w:kern w:val="0"/>
          <w:sz w:val="16"/>
          <w:szCs w:val="16"/>
        </w:rPr>
        <w:t>Longstreth</w:t>
      </w:r>
      <w:proofErr w:type="spellEnd"/>
      <w:r w:rsidRPr="007653EB">
        <w:rPr>
          <w:b/>
          <w:bCs/>
          <w:color w:val="000000"/>
          <w:spacing w:val="-2"/>
          <w:kern w:val="0"/>
          <w:sz w:val="16"/>
          <w:szCs w:val="16"/>
        </w:rPr>
        <w:t xml:space="preserve"> GF</w:t>
      </w:r>
      <w:r w:rsidRPr="007653EB">
        <w:rPr>
          <w:color w:val="000000"/>
          <w:spacing w:val="-2"/>
          <w:kern w:val="0"/>
          <w:sz w:val="16"/>
          <w:szCs w:val="16"/>
        </w:rPr>
        <w:t xml:space="preserve">, Thompson WG, </w:t>
      </w:r>
      <w:proofErr w:type="spellStart"/>
      <w:r w:rsidRPr="007653EB">
        <w:rPr>
          <w:color w:val="000000"/>
          <w:spacing w:val="-2"/>
          <w:kern w:val="0"/>
          <w:sz w:val="16"/>
          <w:szCs w:val="16"/>
        </w:rPr>
        <w:t>Chey</w:t>
      </w:r>
      <w:proofErr w:type="spellEnd"/>
      <w:r w:rsidRPr="007653EB">
        <w:rPr>
          <w:color w:val="000000"/>
          <w:spacing w:val="-2"/>
          <w:kern w:val="0"/>
          <w:sz w:val="16"/>
          <w:szCs w:val="16"/>
        </w:rPr>
        <w:t xml:space="preserve"> WD, Houghton LA, </w:t>
      </w:r>
      <w:proofErr w:type="spellStart"/>
      <w:r w:rsidRPr="007653EB">
        <w:rPr>
          <w:color w:val="000000"/>
          <w:spacing w:val="-2"/>
          <w:kern w:val="0"/>
          <w:sz w:val="16"/>
          <w:szCs w:val="16"/>
        </w:rPr>
        <w:t>Mearin</w:t>
      </w:r>
      <w:proofErr w:type="spellEnd"/>
      <w:r w:rsidRPr="007653EB">
        <w:rPr>
          <w:color w:val="000000"/>
          <w:spacing w:val="-2"/>
          <w:kern w:val="0"/>
          <w:sz w:val="16"/>
          <w:szCs w:val="16"/>
        </w:rPr>
        <w:t xml:space="preserve"> F, Spiller RC. </w:t>
      </w:r>
      <w:proofErr w:type="gramStart"/>
      <w:r w:rsidRPr="007653EB">
        <w:rPr>
          <w:color w:val="000000"/>
          <w:spacing w:val="-2"/>
          <w:kern w:val="0"/>
          <w:sz w:val="16"/>
          <w:szCs w:val="16"/>
        </w:rPr>
        <w:t>Functional bowel disorders.</w:t>
      </w:r>
      <w:proofErr w:type="gramEnd"/>
      <w:r w:rsidRPr="007653EB">
        <w:rPr>
          <w:color w:val="000000"/>
          <w:spacing w:val="-2"/>
          <w:kern w:val="0"/>
          <w:sz w:val="16"/>
          <w:szCs w:val="16"/>
        </w:rPr>
        <w:t xml:space="preserve"> </w:t>
      </w:r>
      <w:r w:rsidRPr="007653EB">
        <w:rPr>
          <w:i/>
          <w:iCs/>
          <w:color w:val="000000"/>
          <w:spacing w:val="-2"/>
          <w:kern w:val="0"/>
          <w:sz w:val="16"/>
          <w:szCs w:val="16"/>
        </w:rPr>
        <w:t>Gastroenterology</w:t>
      </w:r>
      <w:r w:rsidRPr="007653EB">
        <w:rPr>
          <w:color w:val="000000"/>
          <w:spacing w:val="-2"/>
          <w:kern w:val="0"/>
          <w:sz w:val="16"/>
          <w:szCs w:val="16"/>
        </w:rPr>
        <w:t xml:space="preserve"> 2006; </w:t>
      </w:r>
      <w:r w:rsidRPr="007653EB">
        <w:rPr>
          <w:b/>
          <w:bCs/>
          <w:color w:val="000000"/>
          <w:spacing w:val="-2"/>
          <w:kern w:val="0"/>
          <w:sz w:val="16"/>
          <w:szCs w:val="16"/>
        </w:rPr>
        <w:t>130</w:t>
      </w:r>
      <w:r w:rsidRPr="007653EB">
        <w:rPr>
          <w:color w:val="000000"/>
          <w:spacing w:val="-2"/>
          <w:kern w:val="0"/>
          <w:sz w:val="16"/>
          <w:szCs w:val="16"/>
        </w:rPr>
        <w:t>: 1480-1491 [PMID: 16678561 DOI: 10.1053/j.gastro.2005.11.061]</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2"/>
          <w:kern w:val="0"/>
          <w:sz w:val="16"/>
          <w:szCs w:val="16"/>
        </w:rPr>
      </w:pPr>
      <w:r w:rsidRPr="007653EB">
        <w:rPr>
          <w:color w:val="000000"/>
          <w:spacing w:val="-1"/>
          <w:kern w:val="0"/>
          <w:sz w:val="16"/>
          <w:szCs w:val="16"/>
        </w:rPr>
        <w:t>23</w:t>
      </w:r>
      <w:r w:rsidRPr="007653EB">
        <w:rPr>
          <w:color w:val="000000"/>
          <w:spacing w:val="-1"/>
          <w:kern w:val="0"/>
          <w:sz w:val="16"/>
          <w:szCs w:val="16"/>
        </w:rPr>
        <w:tab/>
      </w:r>
      <w:proofErr w:type="spellStart"/>
      <w:r w:rsidRPr="007653EB">
        <w:rPr>
          <w:b/>
          <w:bCs/>
          <w:color w:val="000000"/>
          <w:spacing w:val="-2"/>
          <w:kern w:val="0"/>
          <w:sz w:val="16"/>
          <w:szCs w:val="16"/>
        </w:rPr>
        <w:t>Naliboff</w:t>
      </w:r>
      <w:proofErr w:type="spellEnd"/>
      <w:r w:rsidRPr="007653EB">
        <w:rPr>
          <w:b/>
          <w:bCs/>
          <w:color w:val="000000"/>
          <w:spacing w:val="-2"/>
          <w:kern w:val="0"/>
          <w:sz w:val="16"/>
          <w:szCs w:val="16"/>
        </w:rPr>
        <w:t xml:space="preserve"> BD</w:t>
      </w:r>
      <w:r w:rsidRPr="007653EB">
        <w:rPr>
          <w:color w:val="000000"/>
          <w:spacing w:val="-2"/>
          <w:kern w:val="0"/>
          <w:sz w:val="16"/>
          <w:szCs w:val="16"/>
        </w:rPr>
        <w:t xml:space="preserve">, Berman S, Chang L, Derbyshire SW, </w:t>
      </w:r>
      <w:proofErr w:type="spellStart"/>
      <w:r w:rsidRPr="007653EB">
        <w:rPr>
          <w:color w:val="000000"/>
          <w:spacing w:val="-2"/>
          <w:kern w:val="0"/>
          <w:sz w:val="16"/>
          <w:szCs w:val="16"/>
        </w:rPr>
        <w:t>Suyenobu</w:t>
      </w:r>
      <w:proofErr w:type="spellEnd"/>
      <w:r w:rsidRPr="007653EB">
        <w:rPr>
          <w:color w:val="000000"/>
          <w:spacing w:val="-2"/>
          <w:kern w:val="0"/>
          <w:sz w:val="16"/>
          <w:szCs w:val="16"/>
        </w:rPr>
        <w:t xml:space="preserve"> B, Vogt BA, </w:t>
      </w:r>
      <w:proofErr w:type="spellStart"/>
      <w:r w:rsidRPr="007653EB">
        <w:rPr>
          <w:color w:val="000000"/>
          <w:spacing w:val="-2"/>
          <w:kern w:val="0"/>
          <w:sz w:val="16"/>
          <w:szCs w:val="16"/>
        </w:rPr>
        <w:t>Mandelkern</w:t>
      </w:r>
      <w:proofErr w:type="spellEnd"/>
      <w:r w:rsidRPr="007653EB">
        <w:rPr>
          <w:color w:val="000000"/>
          <w:spacing w:val="-2"/>
          <w:kern w:val="0"/>
          <w:sz w:val="16"/>
          <w:szCs w:val="16"/>
        </w:rPr>
        <w:t xml:space="preserve"> M, Mayer EA. Sex-related differences in IBS patients: central processing of visceral stimuli. </w:t>
      </w:r>
      <w:r w:rsidRPr="007653EB">
        <w:rPr>
          <w:i/>
          <w:iCs/>
          <w:color w:val="000000"/>
          <w:spacing w:val="-2"/>
          <w:kern w:val="0"/>
          <w:sz w:val="16"/>
          <w:szCs w:val="16"/>
        </w:rPr>
        <w:t>Gastroenterology</w:t>
      </w:r>
      <w:r w:rsidRPr="007653EB">
        <w:rPr>
          <w:color w:val="000000"/>
          <w:spacing w:val="-2"/>
          <w:kern w:val="0"/>
          <w:sz w:val="16"/>
          <w:szCs w:val="16"/>
        </w:rPr>
        <w:t xml:space="preserve"> 2003; </w:t>
      </w:r>
      <w:r w:rsidRPr="007653EB">
        <w:rPr>
          <w:b/>
          <w:bCs/>
          <w:color w:val="000000"/>
          <w:spacing w:val="-2"/>
          <w:kern w:val="0"/>
          <w:sz w:val="16"/>
          <w:szCs w:val="16"/>
        </w:rPr>
        <w:t>124</w:t>
      </w:r>
      <w:r w:rsidRPr="007653EB">
        <w:rPr>
          <w:color w:val="000000"/>
          <w:spacing w:val="-2"/>
          <w:kern w:val="0"/>
          <w:sz w:val="16"/>
          <w:szCs w:val="16"/>
        </w:rPr>
        <w:t>: 1738-1747 [PMID: 12806606 DOI: 10.1016/S0016-5085(03)00400-1]</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lang w:val="sv-SE"/>
        </w:rPr>
      </w:pPr>
      <w:r w:rsidRPr="007653EB">
        <w:rPr>
          <w:color w:val="000000"/>
          <w:spacing w:val="-1"/>
          <w:kern w:val="0"/>
          <w:sz w:val="16"/>
          <w:szCs w:val="16"/>
          <w:lang w:val="sv-SE"/>
        </w:rPr>
        <w:t>24</w:t>
      </w:r>
      <w:r w:rsidRPr="007653EB">
        <w:rPr>
          <w:color w:val="000000"/>
          <w:spacing w:val="-1"/>
          <w:kern w:val="0"/>
          <w:sz w:val="16"/>
          <w:szCs w:val="16"/>
          <w:lang w:val="sv-SE"/>
        </w:rPr>
        <w:tab/>
      </w:r>
      <w:r w:rsidRPr="007653EB">
        <w:rPr>
          <w:b/>
          <w:bCs/>
          <w:color w:val="000000"/>
          <w:spacing w:val="-1"/>
          <w:kern w:val="0"/>
          <w:sz w:val="16"/>
          <w:szCs w:val="16"/>
          <w:lang w:val="sv-SE"/>
        </w:rPr>
        <w:t>Wilder-Smith CH</w:t>
      </w:r>
      <w:r w:rsidRPr="007653EB">
        <w:rPr>
          <w:color w:val="000000"/>
          <w:spacing w:val="-1"/>
          <w:kern w:val="0"/>
          <w:sz w:val="16"/>
          <w:szCs w:val="16"/>
          <w:lang w:val="sv-SE"/>
        </w:rPr>
        <w:t xml:space="preserve">, Schindler D, Lovblad K, Redmond SM, Nirkko A. Brain functional magnetic resonance imaging of rectal pain and activation of endogenous inhibitory mechanisms in irritable bowel syndrome patient subgroups and healthy controls. </w:t>
      </w:r>
      <w:r w:rsidRPr="007653EB">
        <w:rPr>
          <w:i/>
          <w:iCs/>
          <w:color w:val="000000"/>
          <w:spacing w:val="-1"/>
          <w:kern w:val="0"/>
          <w:sz w:val="16"/>
          <w:szCs w:val="16"/>
          <w:lang w:val="sv-SE"/>
        </w:rPr>
        <w:t>Gut</w:t>
      </w:r>
      <w:r w:rsidRPr="007653EB">
        <w:rPr>
          <w:color w:val="000000"/>
          <w:spacing w:val="-1"/>
          <w:kern w:val="0"/>
          <w:sz w:val="16"/>
          <w:szCs w:val="16"/>
          <w:lang w:val="sv-SE"/>
        </w:rPr>
        <w:t xml:space="preserve"> 2004; </w:t>
      </w:r>
      <w:r w:rsidRPr="007653EB">
        <w:rPr>
          <w:b/>
          <w:bCs/>
          <w:color w:val="000000"/>
          <w:spacing w:val="-1"/>
          <w:kern w:val="0"/>
          <w:sz w:val="16"/>
          <w:szCs w:val="16"/>
          <w:lang w:val="sv-SE"/>
        </w:rPr>
        <w:t>53</w:t>
      </w:r>
      <w:r w:rsidRPr="007653EB">
        <w:rPr>
          <w:color w:val="000000"/>
          <w:spacing w:val="-1"/>
          <w:kern w:val="0"/>
          <w:sz w:val="16"/>
          <w:szCs w:val="16"/>
          <w:lang w:val="sv-SE"/>
        </w:rPr>
        <w:t>: 1595-1601 [PMID: 15479679 DOI: 10.1136/gut.2003.028514]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lang w:val="sv-SE"/>
        </w:rPr>
      </w:pPr>
      <w:r w:rsidRPr="007653EB">
        <w:rPr>
          <w:color w:val="000000"/>
          <w:spacing w:val="-1"/>
          <w:kern w:val="0"/>
          <w:sz w:val="16"/>
          <w:szCs w:val="16"/>
          <w:lang w:val="sv-SE"/>
        </w:rPr>
        <w:t>25</w:t>
      </w:r>
      <w:r w:rsidRPr="007653EB">
        <w:rPr>
          <w:color w:val="000000"/>
          <w:spacing w:val="-1"/>
          <w:kern w:val="0"/>
          <w:sz w:val="16"/>
          <w:szCs w:val="16"/>
          <w:lang w:val="sv-SE"/>
        </w:rPr>
        <w:tab/>
      </w:r>
      <w:r w:rsidRPr="007653EB">
        <w:rPr>
          <w:b/>
          <w:bCs/>
          <w:color w:val="000000"/>
          <w:spacing w:val="-1"/>
          <w:kern w:val="0"/>
          <w:sz w:val="16"/>
          <w:szCs w:val="16"/>
          <w:lang w:val="sv-SE"/>
        </w:rPr>
        <w:t>Tillisch K</w:t>
      </w:r>
      <w:r w:rsidRPr="007653EB">
        <w:rPr>
          <w:color w:val="000000"/>
          <w:spacing w:val="-1"/>
          <w:kern w:val="0"/>
          <w:sz w:val="16"/>
          <w:szCs w:val="16"/>
          <w:lang w:val="sv-SE"/>
        </w:rPr>
        <w:t xml:space="preserve">, Mayer EA, Labus JS. Quantitative meta-analysis identifies brain regions activated during rectal distension in irritable bowel syndrome. </w:t>
      </w:r>
      <w:r w:rsidRPr="007653EB">
        <w:rPr>
          <w:i/>
          <w:iCs/>
          <w:color w:val="000000"/>
          <w:spacing w:val="-1"/>
          <w:kern w:val="0"/>
          <w:sz w:val="16"/>
          <w:szCs w:val="16"/>
          <w:lang w:val="sv-SE"/>
        </w:rPr>
        <w:t>Gastroenterology</w:t>
      </w:r>
      <w:r w:rsidRPr="007653EB">
        <w:rPr>
          <w:color w:val="000000"/>
          <w:spacing w:val="-1"/>
          <w:kern w:val="0"/>
          <w:sz w:val="16"/>
          <w:szCs w:val="16"/>
          <w:lang w:val="sv-SE"/>
        </w:rPr>
        <w:t xml:space="preserve"> 2011; </w:t>
      </w:r>
      <w:r w:rsidRPr="007653EB">
        <w:rPr>
          <w:b/>
          <w:bCs/>
          <w:color w:val="000000"/>
          <w:spacing w:val="-1"/>
          <w:kern w:val="0"/>
          <w:sz w:val="16"/>
          <w:szCs w:val="16"/>
          <w:lang w:val="sv-SE"/>
        </w:rPr>
        <w:t>140</w:t>
      </w:r>
      <w:r w:rsidRPr="007653EB">
        <w:rPr>
          <w:color w:val="000000"/>
          <w:spacing w:val="-1"/>
          <w:kern w:val="0"/>
          <w:sz w:val="16"/>
          <w:szCs w:val="16"/>
          <w:lang w:val="sv-SE"/>
        </w:rPr>
        <w:t>: 91-100 [PMID: 20696168 DOI: 10.1053/j.gastro.2010.07.053]</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lang w:val="sv-SE"/>
        </w:rPr>
      </w:pPr>
      <w:r w:rsidRPr="007653EB">
        <w:rPr>
          <w:color w:val="000000"/>
          <w:spacing w:val="-1"/>
          <w:kern w:val="0"/>
          <w:sz w:val="16"/>
          <w:szCs w:val="16"/>
          <w:lang w:val="sv-SE"/>
        </w:rPr>
        <w:t>26</w:t>
      </w:r>
      <w:r w:rsidRPr="007653EB">
        <w:rPr>
          <w:color w:val="000000"/>
          <w:spacing w:val="-1"/>
          <w:kern w:val="0"/>
          <w:sz w:val="16"/>
          <w:szCs w:val="16"/>
          <w:lang w:val="sv-SE"/>
        </w:rPr>
        <w:tab/>
      </w:r>
      <w:r w:rsidRPr="007653EB">
        <w:rPr>
          <w:b/>
          <w:bCs/>
          <w:color w:val="000000"/>
          <w:spacing w:val="-1"/>
          <w:kern w:val="0"/>
          <w:sz w:val="16"/>
          <w:szCs w:val="16"/>
          <w:lang w:val="sv-SE"/>
        </w:rPr>
        <w:t>Larsson MB</w:t>
      </w:r>
      <w:r w:rsidRPr="007653EB">
        <w:rPr>
          <w:color w:val="000000"/>
          <w:spacing w:val="-1"/>
          <w:kern w:val="0"/>
          <w:sz w:val="16"/>
          <w:szCs w:val="16"/>
          <w:lang w:val="sv-SE"/>
        </w:rPr>
        <w:t xml:space="preserve">, Tillisch K, Craig AD, Engström M, Labus J, Naliboff B, Lundberg P, Ström M, Mayer EA, Walter SA. Brain responses to visceral stimuli reflect visceral sensitivity thresholds in patients with irritable bowel syndrome. </w:t>
      </w:r>
      <w:r w:rsidRPr="007653EB">
        <w:rPr>
          <w:i/>
          <w:iCs/>
          <w:color w:val="000000"/>
          <w:spacing w:val="-1"/>
          <w:kern w:val="0"/>
          <w:sz w:val="16"/>
          <w:szCs w:val="16"/>
          <w:lang w:val="sv-SE"/>
        </w:rPr>
        <w:t>Gastroenterology</w:t>
      </w:r>
      <w:r w:rsidRPr="007653EB">
        <w:rPr>
          <w:color w:val="000000"/>
          <w:spacing w:val="-1"/>
          <w:kern w:val="0"/>
          <w:sz w:val="16"/>
          <w:szCs w:val="16"/>
          <w:lang w:val="sv-SE"/>
        </w:rPr>
        <w:t xml:space="preserve"> 2012; </w:t>
      </w:r>
      <w:r w:rsidRPr="007653EB">
        <w:rPr>
          <w:b/>
          <w:bCs/>
          <w:color w:val="000000"/>
          <w:spacing w:val="-1"/>
          <w:kern w:val="0"/>
          <w:sz w:val="16"/>
          <w:szCs w:val="16"/>
          <w:lang w:val="sv-SE"/>
        </w:rPr>
        <w:t>142</w:t>
      </w:r>
      <w:r w:rsidRPr="007653EB">
        <w:rPr>
          <w:color w:val="000000"/>
          <w:spacing w:val="-1"/>
          <w:kern w:val="0"/>
          <w:sz w:val="16"/>
          <w:szCs w:val="16"/>
          <w:lang w:val="sv-SE"/>
        </w:rPr>
        <w:t>: 463-472.e3 [PMID: 22108191 DOI: 10.1053/j.gastro.2011.11.022]</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lang w:val="sv-SE"/>
        </w:rPr>
      </w:pPr>
      <w:r w:rsidRPr="007653EB">
        <w:rPr>
          <w:color w:val="000000"/>
          <w:spacing w:val="-1"/>
          <w:kern w:val="0"/>
          <w:sz w:val="16"/>
          <w:szCs w:val="16"/>
          <w:lang w:val="sv-SE"/>
        </w:rPr>
        <w:t>27</w:t>
      </w:r>
      <w:r w:rsidRPr="007653EB">
        <w:rPr>
          <w:color w:val="000000"/>
          <w:spacing w:val="-1"/>
          <w:kern w:val="0"/>
          <w:sz w:val="16"/>
          <w:szCs w:val="16"/>
          <w:lang w:val="sv-SE"/>
        </w:rPr>
        <w:tab/>
      </w:r>
      <w:r w:rsidRPr="007653EB">
        <w:rPr>
          <w:b/>
          <w:bCs/>
          <w:color w:val="000000"/>
          <w:spacing w:val="-1"/>
          <w:kern w:val="0"/>
          <w:sz w:val="16"/>
          <w:szCs w:val="16"/>
          <w:lang w:val="sv-SE"/>
        </w:rPr>
        <w:t>Guthrie E</w:t>
      </w:r>
      <w:r w:rsidRPr="007653EB">
        <w:rPr>
          <w:color w:val="000000"/>
          <w:spacing w:val="-1"/>
          <w:kern w:val="0"/>
          <w:sz w:val="16"/>
          <w:szCs w:val="16"/>
          <w:lang w:val="sv-SE"/>
        </w:rPr>
        <w:t xml:space="preserve">, Barlow J, Fernandes L, Ratcliffe J, Read N, Thompson DG, Tomenson B, Creed F. Changes in tolerance to rectal distension correlate with changes in psychological state in patients with severe irritable bowel syndrome. </w:t>
      </w:r>
      <w:r w:rsidRPr="007653EB">
        <w:rPr>
          <w:i/>
          <w:iCs/>
          <w:color w:val="000000"/>
          <w:spacing w:val="-1"/>
          <w:kern w:val="0"/>
          <w:sz w:val="16"/>
          <w:szCs w:val="16"/>
          <w:lang w:val="sv-SE"/>
        </w:rPr>
        <w:t>Psychosom Med</w:t>
      </w:r>
      <w:r w:rsidRPr="007653EB">
        <w:rPr>
          <w:color w:val="000000"/>
          <w:spacing w:val="-1"/>
          <w:kern w:val="0"/>
          <w:sz w:val="16"/>
          <w:szCs w:val="16"/>
          <w:lang w:val="sv-SE"/>
        </w:rPr>
        <w:t xml:space="preserve"> 2004; </w:t>
      </w:r>
      <w:r w:rsidRPr="007653EB">
        <w:rPr>
          <w:b/>
          <w:bCs/>
          <w:color w:val="000000"/>
          <w:spacing w:val="-1"/>
          <w:kern w:val="0"/>
          <w:sz w:val="16"/>
          <w:szCs w:val="16"/>
          <w:lang w:val="sv-SE"/>
        </w:rPr>
        <w:t>66</w:t>
      </w:r>
      <w:r w:rsidRPr="007653EB">
        <w:rPr>
          <w:color w:val="000000"/>
          <w:spacing w:val="-1"/>
          <w:kern w:val="0"/>
          <w:sz w:val="16"/>
          <w:szCs w:val="16"/>
          <w:lang w:val="sv-SE"/>
        </w:rPr>
        <w:t>: 578-582 [PMID: 15272106 DOI: 10.1097/01.psy.0000128899.22514.c0]</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lang w:val="sv-SE"/>
        </w:rPr>
      </w:pPr>
      <w:r w:rsidRPr="007653EB">
        <w:rPr>
          <w:color w:val="000000"/>
          <w:spacing w:val="-1"/>
          <w:kern w:val="0"/>
          <w:sz w:val="16"/>
          <w:szCs w:val="16"/>
          <w:lang w:val="sv-SE"/>
        </w:rPr>
        <w:t>28</w:t>
      </w:r>
      <w:r w:rsidRPr="007653EB">
        <w:rPr>
          <w:color w:val="000000"/>
          <w:spacing w:val="-1"/>
          <w:kern w:val="0"/>
          <w:sz w:val="16"/>
          <w:szCs w:val="16"/>
          <w:lang w:val="sv-SE"/>
        </w:rPr>
        <w:tab/>
      </w:r>
      <w:r w:rsidRPr="007653EB">
        <w:rPr>
          <w:b/>
          <w:bCs/>
          <w:color w:val="000000"/>
          <w:spacing w:val="-1"/>
          <w:kern w:val="0"/>
          <w:sz w:val="16"/>
          <w:szCs w:val="16"/>
          <w:lang w:val="sv-SE"/>
        </w:rPr>
        <w:t>Ford AC</w:t>
      </w:r>
      <w:r w:rsidRPr="007653EB">
        <w:rPr>
          <w:color w:val="000000"/>
          <w:spacing w:val="-1"/>
          <w:kern w:val="0"/>
          <w:sz w:val="16"/>
          <w:szCs w:val="16"/>
          <w:lang w:val="sv-SE"/>
        </w:rPr>
        <w:t xml:space="preserve">, Quigley EM, Lacy BE, Lembo AJ, Saito YA, Schiller LR, Soffer EE, Spiegel BM, Moayyedi P. Effect of antidepressants and psychological therapies, including hypnotherapy, in irritable bowel syndrome: systematic review and meta-analysis. </w:t>
      </w:r>
      <w:r w:rsidRPr="007653EB">
        <w:rPr>
          <w:i/>
          <w:iCs/>
          <w:color w:val="000000"/>
          <w:spacing w:val="-1"/>
          <w:kern w:val="0"/>
          <w:sz w:val="16"/>
          <w:szCs w:val="16"/>
          <w:lang w:val="sv-SE"/>
        </w:rPr>
        <w:t>Am J Gastroenterol</w:t>
      </w:r>
      <w:r w:rsidRPr="007653EB">
        <w:rPr>
          <w:color w:val="000000"/>
          <w:spacing w:val="-1"/>
          <w:kern w:val="0"/>
          <w:sz w:val="16"/>
          <w:szCs w:val="16"/>
          <w:lang w:val="sv-SE"/>
        </w:rPr>
        <w:t xml:space="preserve"> 2014; </w:t>
      </w:r>
      <w:r w:rsidRPr="007653EB">
        <w:rPr>
          <w:b/>
          <w:bCs/>
          <w:color w:val="000000"/>
          <w:spacing w:val="-1"/>
          <w:kern w:val="0"/>
          <w:sz w:val="16"/>
          <w:szCs w:val="16"/>
          <w:lang w:val="sv-SE"/>
        </w:rPr>
        <w:t>109</w:t>
      </w:r>
      <w:r w:rsidRPr="007653EB">
        <w:rPr>
          <w:color w:val="000000"/>
          <w:spacing w:val="-1"/>
          <w:kern w:val="0"/>
          <w:sz w:val="16"/>
          <w:szCs w:val="16"/>
          <w:lang w:val="sv-SE"/>
        </w:rPr>
        <w:t>: 1350-1</w:t>
      </w:r>
      <w:r w:rsidRPr="007653EB">
        <w:rPr>
          <w:color w:val="000000"/>
          <w:spacing w:val="-1"/>
          <w:kern w:val="0"/>
          <w:sz w:val="16"/>
          <w:szCs w:val="16"/>
        </w:rPr>
        <w:t>3</w:t>
      </w:r>
      <w:r w:rsidRPr="007653EB">
        <w:rPr>
          <w:color w:val="000000"/>
          <w:spacing w:val="-1"/>
          <w:kern w:val="0"/>
          <w:sz w:val="16"/>
          <w:szCs w:val="16"/>
          <w:lang w:val="sv-SE"/>
        </w:rPr>
        <w:t>65; quiz 1366 [PMID: 24935275 DOI: 10.1038/ajg.2014.148]</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29</w:t>
      </w:r>
      <w:r w:rsidRPr="007653EB">
        <w:rPr>
          <w:color w:val="000000"/>
          <w:spacing w:val="-1"/>
          <w:kern w:val="0"/>
          <w:sz w:val="16"/>
          <w:szCs w:val="16"/>
        </w:rPr>
        <w:tab/>
      </w:r>
      <w:r w:rsidRPr="007653EB">
        <w:rPr>
          <w:b/>
          <w:bCs/>
          <w:color w:val="000000"/>
          <w:spacing w:val="-1"/>
          <w:kern w:val="0"/>
          <w:sz w:val="16"/>
          <w:szCs w:val="16"/>
        </w:rPr>
        <w:t>Boyce PM</w:t>
      </w:r>
      <w:r w:rsidRPr="007653EB">
        <w:rPr>
          <w:color w:val="000000"/>
          <w:spacing w:val="-1"/>
          <w:kern w:val="0"/>
          <w:sz w:val="16"/>
          <w:szCs w:val="16"/>
        </w:rPr>
        <w:t xml:space="preserve">, Talley NJ, Balaam B, </w:t>
      </w:r>
      <w:proofErr w:type="spellStart"/>
      <w:r w:rsidRPr="007653EB">
        <w:rPr>
          <w:color w:val="000000"/>
          <w:spacing w:val="-1"/>
          <w:kern w:val="0"/>
          <w:sz w:val="16"/>
          <w:szCs w:val="16"/>
        </w:rPr>
        <w:t>Koloski</w:t>
      </w:r>
      <w:proofErr w:type="spellEnd"/>
      <w:r w:rsidRPr="007653EB">
        <w:rPr>
          <w:color w:val="000000"/>
          <w:spacing w:val="-1"/>
          <w:kern w:val="0"/>
          <w:sz w:val="16"/>
          <w:szCs w:val="16"/>
        </w:rPr>
        <w:t xml:space="preserve"> NA, Truman G. </w:t>
      </w:r>
      <w:proofErr w:type="gramStart"/>
      <w:r w:rsidRPr="007653EB">
        <w:rPr>
          <w:color w:val="000000"/>
          <w:spacing w:val="-1"/>
          <w:kern w:val="0"/>
          <w:sz w:val="16"/>
          <w:szCs w:val="16"/>
        </w:rPr>
        <w:t>A randomized controlled trial of cognitive behavior therapy, relaxation training, and routine clinical care for the irritable bowel syndrome.</w:t>
      </w:r>
      <w:proofErr w:type="gramEnd"/>
      <w:r w:rsidRPr="007653EB">
        <w:rPr>
          <w:color w:val="000000"/>
          <w:spacing w:val="-1"/>
          <w:kern w:val="0"/>
          <w:sz w:val="16"/>
          <w:szCs w:val="16"/>
        </w:rPr>
        <w:t xml:space="preserve"> </w:t>
      </w:r>
      <w:r w:rsidRPr="007653EB">
        <w:rPr>
          <w:i/>
          <w:iCs/>
          <w:color w:val="000000"/>
          <w:spacing w:val="-1"/>
          <w:kern w:val="0"/>
          <w:sz w:val="16"/>
          <w:szCs w:val="16"/>
        </w:rPr>
        <w:t xml:space="preserve">Am J </w:t>
      </w:r>
      <w:proofErr w:type="spellStart"/>
      <w:r w:rsidRPr="007653EB">
        <w:rPr>
          <w:i/>
          <w:iCs/>
          <w:color w:val="000000"/>
          <w:spacing w:val="-1"/>
          <w:kern w:val="0"/>
          <w:sz w:val="16"/>
          <w:szCs w:val="16"/>
        </w:rPr>
        <w:t>Gastroenterol</w:t>
      </w:r>
      <w:proofErr w:type="spellEnd"/>
      <w:r w:rsidRPr="007653EB">
        <w:rPr>
          <w:color w:val="000000"/>
          <w:spacing w:val="-1"/>
          <w:kern w:val="0"/>
          <w:sz w:val="16"/>
          <w:szCs w:val="16"/>
        </w:rPr>
        <w:t xml:space="preserve"> 2003; </w:t>
      </w:r>
      <w:r w:rsidRPr="007653EB">
        <w:rPr>
          <w:b/>
          <w:bCs/>
          <w:color w:val="000000"/>
          <w:spacing w:val="-1"/>
          <w:kern w:val="0"/>
          <w:sz w:val="16"/>
          <w:szCs w:val="16"/>
        </w:rPr>
        <w:t>98</w:t>
      </w:r>
      <w:r w:rsidRPr="007653EB">
        <w:rPr>
          <w:color w:val="000000"/>
          <w:spacing w:val="-1"/>
          <w:kern w:val="0"/>
          <w:sz w:val="16"/>
          <w:szCs w:val="16"/>
        </w:rPr>
        <w:t>: 2209-2218 [PMID: 14572570 DOI: 10.1111/j.1572-0241.2003.07716.x]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30</w:t>
      </w:r>
      <w:r w:rsidRPr="007653EB">
        <w:rPr>
          <w:color w:val="000000"/>
          <w:spacing w:val="-1"/>
          <w:kern w:val="0"/>
          <w:sz w:val="16"/>
          <w:szCs w:val="16"/>
        </w:rPr>
        <w:tab/>
      </w:r>
      <w:proofErr w:type="spellStart"/>
      <w:r w:rsidRPr="007653EB">
        <w:rPr>
          <w:b/>
          <w:bCs/>
          <w:color w:val="000000"/>
          <w:spacing w:val="-1"/>
          <w:kern w:val="0"/>
          <w:sz w:val="16"/>
          <w:szCs w:val="16"/>
        </w:rPr>
        <w:t>Keightley</w:t>
      </w:r>
      <w:proofErr w:type="spellEnd"/>
      <w:r w:rsidRPr="007653EB">
        <w:rPr>
          <w:b/>
          <w:bCs/>
          <w:color w:val="000000"/>
          <w:spacing w:val="-1"/>
          <w:kern w:val="0"/>
          <w:sz w:val="16"/>
          <w:szCs w:val="16"/>
        </w:rPr>
        <w:t xml:space="preserve"> PC</w:t>
      </w:r>
      <w:r w:rsidRPr="007653EB">
        <w:rPr>
          <w:color w:val="000000"/>
          <w:spacing w:val="-1"/>
          <w:kern w:val="0"/>
          <w:sz w:val="16"/>
          <w:szCs w:val="16"/>
        </w:rPr>
        <w:t xml:space="preserve">, </w:t>
      </w:r>
      <w:proofErr w:type="spellStart"/>
      <w:r w:rsidRPr="007653EB">
        <w:rPr>
          <w:color w:val="000000"/>
          <w:spacing w:val="-1"/>
          <w:kern w:val="0"/>
          <w:sz w:val="16"/>
          <w:szCs w:val="16"/>
        </w:rPr>
        <w:t>Koloski</w:t>
      </w:r>
      <w:proofErr w:type="spellEnd"/>
      <w:r w:rsidRPr="007653EB">
        <w:rPr>
          <w:color w:val="000000"/>
          <w:spacing w:val="-1"/>
          <w:kern w:val="0"/>
          <w:sz w:val="16"/>
          <w:szCs w:val="16"/>
        </w:rPr>
        <w:t xml:space="preserve"> NA, Talley NJ. Pathways in gut-brain communication: evidence for distinct gut-to-brain and brain-to-gut syndromes. </w:t>
      </w:r>
      <w:proofErr w:type="spellStart"/>
      <w:r w:rsidRPr="007653EB">
        <w:rPr>
          <w:i/>
          <w:iCs/>
          <w:color w:val="000000"/>
          <w:spacing w:val="-1"/>
          <w:kern w:val="0"/>
          <w:sz w:val="16"/>
          <w:szCs w:val="16"/>
        </w:rPr>
        <w:t>Aust</w:t>
      </w:r>
      <w:proofErr w:type="spellEnd"/>
      <w:r w:rsidRPr="007653EB">
        <w:rPr>
          <w:i/>
          <w:iCs/>
          <w:color w:val="000000"/>
          <w:spacing w:val="-1"/>
          <w:kern w:val="0"/>
          <w:sz w:val="16"/>
          <w:szCs w:val="16"/>
        </w:rPr>
        <w:t xml:space="preserve"> N Z J Psychiatry</w:t>
      </w:r>
      <w:r w:rsidRPr="007653EB">
        <w:rPr>
          <w:color w:val="000000"/>
          <w:spacing w:val="-1"/>
          <w:kern w:val="0"/>
          <w:sz w:val="16"/>
          <w:szCs w:val="16"/>
        </w:rPr>
        <w:t xml:space="preserve"> 2015; </w:t>
      </w:r>
      <w:r w:rsidRPr="007653EB">
        <w:rPr>
          <w:b/>
          <w:bCs/>
          <w:color w:val="000000"/>
          <w:spacing w:val="-1"/>
          <w:kern w:val="0"/>
          <w:sz w:val="16"/>
          <w:szCs w:val="16"/>
        </w:rPr>
        <w:t>49</w:t>
      </w:r>
      <w:r w:rsidRPr="007653EB">
        <w:rPr>
          <w:color w:val="000000"/>
          <w:spacing w:val="-1"/>
          <w:kern w:val="0"/>
          <w:sz w:val="16"/>
          <w:szCs w:val="16"/>
        </w:rPr>
        <w:t>: 207-214 [PMID: 25710826 DOI: 10.1177/0004867415569801]</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31</w:t>
      </w:r>
      <w:r w:rsidRPr="007653EB">
        <w:rPr>
          <w:color w:val="000000"/>
          <w:spacing w:val="-1"/>
          <w:kern w:val="0"/>
          <w:sz w:val="16"/>
          <w:szCs w:val="16"/>
        </w:rPr>
        <w:tab/>
      </w:r>
      <w:proofErr w:type="spellStart"/>
      <w:r w:rsidRPr="007653EB">
        <w:rPr>
          <w:b/>
          <w:bCs/>
          <w:color w:val="000000"/>
          <w:spacing w:val="-1"/>
          <w:kern w:val="0"/>
          <w:sz w:val="16"/>
          <w:szCs w:val="16"/>
        </w:rPr>
        <w:t>Claes</w:t>
      </w:r>
      <w:proofErr w:type="spellEnd"/>
      <w:r w:rsidRPr="007653EB">
        <w:rPr>
          <w:b/>
          <w:bCs/>
          <w:color w:val="000000"/>
          <w:spacing w:val="-1"/>
          <w:kern w:val="0"/>
          <w:sz w:val="16"/>
          <w:szCs w:val="16"/>
        </w:rPr>
        <w:t xml:space="preserve"> SJ</w:t>
      </w:r>
      <w:r w:rsidRPr="007653EB">
        <w:rPr>
          <w:color w:val="000000"/>
          <w:spacing w:val="-1"/>
          <w:kern w:val="0"/>
          <w:sz w:val="16"/>
          <w:szCs w:val="16"/>
        </w:rPr>
        <w:t xml:space="preserve">. </w:t>
      </w:r>
      <w:proofErr w:type="spellStart"/>
      <w:r w:rsidRPr="007653EB">
        <w:rPr>
          <w:color w:val="000000"/>
          <w:spacing w:val="-1"/>
          <w:kern w:val="0"/>
          <w:sz w:val="16"/>
          <w:szCs w:val="16"/>
        </w:rPr>
        <w:t>Corticotropin</w:t>
      </w:r>
      <w:proofErr w:type="spellEnd"/>
      <w:r w:rsidRPr="007653EB">
        <w:rPr>
          <w:color w:val="000000"/>
          <w:spacing w:val="-1"/>
          <w:kern w:val="0"/>
          <w:sz w:val="16"/>
          <w:szCs w:val="16"/>
        </w:rPr>
        <w:t xml:space="preserve">-releasing hormone (CRH) in psychiatry: from stress to psychopathology. </w:t>
      </w:r>
      <w:r w:rsidRPr="007653EB">
        <w:rPr>
          <w:i/>
          <w:iCs/>
          <w:color w:val="000000"/>
          <w:spacing w:val="-1"/>
          <w:kern w:val="0"/>
          <w:sz w:val="16"/>
          <w:szCs w:val="16"/>
        </w:rPr>
        <w:t>Ann Med</w:t>
      </w:r>
      <w:r w:rsidRPr="007653EB">
        <w:rPr>
          <w:color w:val="000000"/>
          <w:spacing w:val="-1"/>
          <w:kern w:val="0"/>
          <w:sz w:val="16"/>
          <w:szCs w:val="16"/>
        </w:rPr>
        <w:t xml:space="preserve"> 2004; </w:t>
      </w:r>
      <w:r w:rsidRPr="007653EB">
        <w:rPr>
          <w:b/>
          <w:bCs/>
          <w:color w:val="000000"/>
          <w:spacing w:val="-1"/>
          <w:kern w:val="0"/>
          <w:sz w:val="16"/>
          <w:szCs w:val="16"/>
        </w:rPr>
        <w:t>36</w:t>
      </w:r>
      <w:r w:rsidRPr="007653EB">
        <w:rPr>
          <w:color w:val="000000"/>
          <w:spacing w:val="-1"/>
          <w:kern w:val="0"/>
          <w:sz w:val="16"/>
          <w:szCs w:val="16"/>
        </w:rPr>
        <w:t>: 50-61 [PMID: 15000347 DOI: 10.1080/07853890310017044]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32</w:t>
      </w:r>
      <w:r w:rsidRPr="007653EB">
        <w:rPr>
          <w:color w:val="000000"/>
          <w:spacing w:val="-1"/>
          <w:kern w:val="0"/>
          <w:sz w:val="16"/>
          <w:szCs w:val="16"/>
        </w:rPr>
        <w:tab/>
      </w:r>
      <w:r w:rsidRPr="007653EB">
        <w:rPr>
          <w:b/>
          <w:bCs/>
          <w:color w:val="000000"/>
          <w:spacing w:val="-1"/>
          <w:kern w:val="0"/>
          <w:sz w:val="16"/>
          <w:szCs w:val="16"/>
        </w:rPr>
        <w:t>Mayer EA</w:t>
      </w:r>
      <w:r w:rsidRPr="007653EB">
        <w:rPr>
          <w:color w:val="000000"/>
          <w:spacing w:val="-1"/>
          <w:kern w:val="0"/>
          <w:sz w:val="16"/>
          <w:szCs w:val="16"/>
        </w:rPr>
        <w:t xml:space="preserve">. </w:t>
      </w:r>
      <w:proofErr w:type="gramStart"/>
      <w:r w:rsidRPr="007653EB">
        <w:rPr>
          <w:color w:val="000000"/>
          <w:spacing w:val="-1"/>
          <w:kern w:val="0"/>
          <w:sz w:val="16"/>
          <w:szCs w:val="16"/>
        </w:rPr>
        <w:t>The neurobiology of stress and gastrointestinal disease.</w:t>
      </w:r>
      <w:proofErr w:type="gramEnd"/>
      <w:r w:rsidRPr="007653EB">
        <w:rPr>
          <w:color w:val="000000"/>
          <w:spacing w:val="-1"/>
          <w:kern w:val="0"/>
          <w:sz w:val="16"/>
          <w:szCs w:val="16"/>
        </w:rPr>
        <w:t xml:space="preserve"> </w:t>
      </w:r>
      <w:r w:rsidRPr="007653EB">
        <w:rPr>
          <w:i/>
          <w:iCs/>
          <w:color w:val="000000"/>
          <w:spacing w:val="-1"/>
          <w:kern w:val="0"/>
          <w:sz w:val="16"/>
          <w:szCs w:val="16"/>
        </w:rPr>
        <w:t>Gut</w:t>
      </w:r>
      <w:r w:rsidRPr="007653EB">
        <w:rPr>
          <w:color w:val="000000"/>
          <w:spacing w:val="-1"/>
          <w:kern w:val="0"/>
          <w:sz w:val="16"/>
          <w:szCs w:val="16"/>
        </w:rPr>
        <w:t xml:space="preserve"> 2000; </w:t>
      </w:r>
      <w:r w:rsidRPr="007653EB">
        <w:rPr>
          <w:b/>
          <w:bCs/>
          <w:color w:val="000000"/>
          <w:spacing w:val="-1"/>
          <w:kern w:val="0"/>
          <w:sz w:val="16"/>
          <w:szCs w:val="16"/>
        </w:rPr>
        <w:t>47</w:t>
      </w:r>
      <w:r w:rsidRPr="007653EB">
        <w:rPr>
          <w:color w:val="000000"/>
          <w:spacing w:val="-1"/>
          <w:kern w:val="0"/>
          <w:sz w:val="16"/>
          <w:szCs w:val="16"/>
        </w:rPr>
        <w:t>: 861-869 [PMID: 11076888 DOI: 10.1136/gut.47.6.861]</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33</w:t>
      </w:r>
      <w:r w:rsidRPr="007653EB">
        <w:rPr>
          <w:color w:val="000000"/>
          <w:spacing w:val="-1"/>
          <w:kern w:val="0"/>
          <w:sz w:val="16"/>
          <w:szCs w:val="16"/>
        </w:rPr>
        <w:tab/>
      </w:r>
      <w:proofErr w:type="spellStart"/>
      <w:r w:rsidRPr="007653EB">
        <w:rPr>
          <w:b/>
          <w:bCs/>
          <w:color w:val="000000"/>
          <w:spacing w:val="-1"/>
          <w:kern w:val="0"/>
          <w:sz w:val="16"/>
          <w:szCs w:val="16"/>
        </w:rPr>
        <w:t>Schulkin</w:t>
      </w:r>
      <w:proofErr w:type="spellEnd"/>
      <w:r w:rsidRPr="007653EB">
        <w:rPr>
          <w:b/>
          <w:bCs/>
          <w:color w:val="000000"/>
          <w:spacing w:val="-1"/>
          <w:kern w:val="0"/>
          <w:sz w:val="16"/>
          <w:szCs w:val="16"/>
        </w:rPr>
        <w:t xml:space="preserve"> J</w:t>
      </w:r>
      <w:r w:rsidRPr="007653EB">
        <w:rPr>
          <w:color w:val="000000"/>
          <w:spacing w:val="-1"/>
          <w:kern w:val="0"/>
          <w:sz w:val="16"/>
          <w:szCs w:val="16"/>
        </w:rPr>
        <w:t xml:space="preserve">, Morgan MA, Rosen JB. </w:t>
      </w:r>
      <w:proofErr w:type="gramStart"/>
      <w:r w:rsidRPr="007653EB">
        <w:rPr>
          <w:color w:val="000000"/>
          <w:spacing w:val="-1"/>
          <w:kern w:val="0"/>
          <w:sz w:val="16"/>
          <w:szCs w:val="16"/>
        </w:rPr>
        <w:t>A neuroendocrine mechanism for sustaining fear.</w:t>
      </w:r>
      <w:proofErr w:type="gramEnd"/>
      <w:r w:rsidRPr="007653EB">
        <w:rPr>
          <w:color w:val="000000"/>
          <w:spacing w:val="-1"/>
          <w:kern w:val="0"/>
          <w:sz w:val="16"/>
          <w:szCs w:val="16"/>
        </w:rPr>
        <w:t xml:space="preserve"> </w:t>
      </w:r>
      <w:r w:rsidRPr="007653EB">
        <w:rPr>
          <w:i/>
          <w:iCs/>
          <w:color w:val="000000"/>
          <w:spacing w:val="-1"/>
          <w:kern w:val="0"/>
          <w:sz w:val="16"/>
          <w:szCs w:val="16"/>
        </w:rPr>
        <w:t xml:space="preserve">Trends </w:t>
      </w:r>
      <w:proofErr w:type="spellStart"/>
      <w:r w:rsidRPr="007653EB">
        <w:rPr>
          <w:i/>
          <w:iCs/>
          <w:color w:val="000000"/>
          <w:spacing w:val="-1"/>
          <w:kern w:val="0"/>
          <w:sz w:val="16"/>
          <w:szCs w:val="16"/>
        </w:rPr>
        <w:t>Neurosci</w:t>
      </w:r>
      <w:proofErr w:type="spellEnd"/>
      <w:r w:rsidRPr="007653EB">
        <w:rPr>
          <w:color w:val="000000"/>
          <w:spacing w:val="-1"/>
          <w:kern w:val="0"/>
          <w:sz w:val="16"/>
          <w:szCs w:val="16"/>
        </w:rPr>
        <w:t xml:space="preserve"> 2005; </w:t>
      </w:r>
      <w:r w:rsidRPr="007653EB">
        <w:rPr>
          <w:b/>
          <w:bCs/>
          <w:color w:val="000000"/>
          <w:spacing w:val="-1"/>
          <w:kern w:val="0"/>
          <w:sz w:val="16"/>
          <w:szCs w:val="16"/>
        </w:rPr>
        <w:t>28</w:t>
      </w:r>
      <w:r w:rsidRPr="007653EB">
        <w:rPr>
          <w:color w:val="000000"/>
          <w:spacing w:val="-1"/>
          <w:kern w:val="0"/>
          <w:sz w:val="16"/>
          <w:szCs w:val="16"/>
        </w:rPr>
        <w:t>: 629-635 [PMID: 16214230 DOI: 10.1016/j.tins.2005.09.009]</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34</w:t>
      </w:r>
      <w:r w:rsidRPr="007653EB">
        <w:rPr>
          <w:color w:val="000000"/>
          <w:spacing w:val="-1"/>
          <w:kern w:val="0"/>
          <w:sz w:val="16"/>
          <w:szCs w:val="16"/>
        </w:rPr>
        <w:tab/>
      </w:r>
      <w:proofErr w:type="spellStart"/>
      <w:r w:rsidRPr="007653EB">
        <w:rPr>
          <w:b/>
          <w:bCs/>
          <w:color w:val="000000"/>
          <w:spacing w:val="-1"/>
          <w:kern w:val="0"/>
          <w:sz w:val="16"/>
          <w:szCs w:val="16"/>
        </w:rPr>
        <w:t>Taché</w:t>
      </w:r>
      <w:proofErr w:type="spellEnd"/>
      <w:r w:rsidRPr="007653EB">
        <w:rPr>
          <w:b/>
          <w:bCs/>
          <w:color w:val="000000"/>
          <w:spacing w:val="-1"/>
          <w:kern w:val="0"/>
          <w:sz w:val="16"/>
          <w:szCs w:val="16"/>
        </w:rPr>
        <w:t xml:space="preserve"> Y</w:t>
      </w:r>
      <w:r w:rsidRPr="007653EB">
        <w:rPr>
          <w:color w:val="000000"/>
          <w:spacing w:val="-1"/>
          <w:kern w:val="0"/>
          <w:sz w:val="16"/>
          <w:szCs w:val="16"/>
        </w:rPr>
        <w:t xml:space="preserve">, Martinez V, Million M, Wang L. Stress and the gastrointestinal tract III. Stress-related alterations of gut motor function: role of brain </w:t>
      </w:r>
      <w:proofErr w:type="spellStart"/>
      <w:r w:rsidRPr="007653EB">
        <w:rPr>
          <w:color w:val="000000"/>
          <w:spacing w:val="-1"/>
          <w:kern w:val="0"/>
          <w:sz w:val="16"/>
          <w:szCs w:val="16"/>
        </w:rPr>
        <w:t>corticotropin</w:t>
      </w:r>
      <w:proofErr w:type="spellEnd"/>
      <w:r w:rsidRPr="007653EB">
        <w:rPr>
          <w:color w:val="000000"/>
          <w:spacing w:val="-1"/>
          <w:kern w:val="0"/>
          <w:sz w:val="16"/>
          <w:szCs w:val="16"/>
        </w:rPr>
        <w:t xml:space="preserve">-releasing factor receptors. </w:t>
      </w:r>
      <w:r w:rsidRPr="007653EB">
        <w:rPr>
          <w:i/>
          <w:iCs/>
          <w:color w:val="000000"/>
          <w:spacing w:val="-1"/>
          <w:kern w:val="0"/>
          <w:sz w:val="16"/>
          <w:szCs w:val="16"/>
        </w:rPr>
        <w:t xml:space="preserve">Am J </w:t>
      </w:r>
      <w:proofErr w:type="spellStart"/>
      <w:r w:rsidRPr="007653EB">
        <w:rPr>
          <w:i/>
          <w:iCs/>
          <w:color w:val="000000"/>
          <w:spacing w:val="-1"/>
          <w:kern w:val="0"/>
          <w:sz w:val="16"/>
          <w:szCs w:val="16"/>
        </w:rPr>
        <w:t>Physiol</w:t>
      </w:r>
      <w:proofErr w:type="spellEnd"/>
      <w:r w:rsidRPr="007653EB">
        <w:rPr>
          <w:i/>
          <w:iCs/>
          <w:color w:val="000000"/>
          <w:spacing w:val="-1"/>
          <w:kern w:val="0"/>
          <w:sz w:val="16"/>
          <w:szCs w:val="16"/>
        </w:rPr>
        <w:t xml:space="preserve"> </w:t>
      </w:r>
      <w:proofErr w:type="spellStart"/>
      <w:r w:rsidRPr="007653EB">
        <w:rPr>
          <w:i/>
          <w:iCs/>
          <w:color w:val="000000"/>
          <w:spacing w:val="-1"/>
          <w:kern w:val="0"/>
          <w:sz w:val="16"/>
          <w:szCs w:val="16"/>
        </w:rPr>
        <w:t>Gastrointest</w:t>
      </w:r>
      <w:proofErr w:type="spellEnd"/>
      <w:r w:rsidRPr="007653EB">
        <w:rPr>
          <w:i/>
          <w:iCs/>
          <w:color w:val="000000"/>
          <w:spacing w:val="-1"/>
          <w:kern w:val="0"/>
          <w:sz w:val="16"/>
          <w:szCs w:val="16"/>
        </w:rPr>
        <w:t xml:space="preserve"> Liver </w:t>
      </w:r>
      <w:proofErr w:type="spellStart"/>
      <w:r w:rsidRPr="007653EB">
        <w:rPr>
          <w:i/>
          <w:iCs/>
          <w:color w:val="000000"/>
          <w:spacing w:val="-1"/>
          <w:kern w:val="0"/>
          <w:sz w:val="16"/>
          <w:szCs w:val="16"/>
        </w:rPr>
        <w:t>Physiol</w:t>
      </w:r>
      <w:proofErr w:type="spellEnd"/>
      <w:r w:rsidRPr="007653EB">
        <w:rPr>
          <w:color w:val="000000"/>
          <w:spacing w:val="-1"/>
          <w:kern w:val="0"/>
          <w:sz w:val="16"/>
          <w:szCs w:val="16"/>
        </w:rPr>
        <w:t xml:space="preserve"> 2001; </w:t>
      </w:r>
      <w:r w:rsidRPr="007653EB">
        <w:rPr>
          <w:b/>
          <w:bCs/>
          <w:color w:val="000000"/>
          <w:spacing w:val="-1"/>
          <w:kern w:val="0"/>
          <w:sz w:val="16"/>
          <w:szCs w:val="16"/>
        </w:rPr>
        <w:t>280</w:t>
      </w:r>
      <w:r w:rsidRPr="007653EB">
        <w:rPr>
          <w:color w:val="000000"/>
          <w:spacing w:val="-1"/>
          <w:kern w:val="0"/>
          <w:sz w:val="16"/>
          <w:szCs w:val="16"/>
        </w:rPr>
        <w:t>: G173-G177 [PMID: 11208537]</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35</w:t>
      </w:r>
      <w:r w:rsidRPr="007653EB">
        <w:rPr>
          <w:color w:val="000000"/>
          <w:spacing w:val="-1"/>
          <w:kern w:val="0"/>
          <w:sz w:val="16"/>
          <w:szCs w:val="16"/>
        </w:rPr>
        <w:tab/>
      </w:r>
      <w:proofErr w:type="spellStart"/>
      <w:r w:rsidRPr="007653EB">
        <w:rPr>
          <w:b/>
          <w:bCs/>
          <w:color w:val="000000"/>
          <w:spacing w:val="-1"/>
          <w:kern w:val="0"/>
          <w:sz w:val="16"/>
          <w:szCs w:val="16"/>
        </w:rPr>
        <w:t>Fukudo</w:t>
      </w:r>
      <w:proofErr w:type="spellEnd"/>
      <w:r w:rsidRPr="007653EB">
        <w:rPr>
          <w:b/>
          <w:bCs/>
          <w:color w:val="000000"/>
          <w:spacing w:val="-1"/>
          <w:kern w:val="0"/>
          <w:sz w:val="16"/>
          <w:szCs w:val="16"/>
        </w:rPr>
        <w:t xml:space="preserve"> S</w:t>
      </w:r>
      <w:r w:rsidRPr="007653EB">
        <w:rPr>
          <w:color w:val="000000"/>
          <w:spacing w:val="-1"/>
          <w:kern w:val="0"/>
          <w:sz w:val="16"/>
          <w:szCs w:val="16"/>
        </w:rPr>
        <w:t xml:space="preserve">, Nomura T, </w:t>
      </w:r>
      <w:proofErr w:type="spellStart"/>
      <w:r w:rsidRPr="007653EB">
        <w:rPr>
          <w:color w:val="000000"/>
          <w:spacing w:val="-1"/>
          <w:kern w:val="0"/>
          <w:sz w:val="16"/>
          <w:szCs w:val="16"/>
        </w:rPr>
        <w:t>Hongo</w:t>
      </w:r>
      <w:proofErr w:type="spellEnd"/>
      <w:r w:rsidRPr="007653EB">
        <w:rPr>
          <w:color w:val="000000"/>
          <w:spacing w:val="-1"/>
          <w:kern w:val="0"/>
          <w:sz w:val="16"/>
          <w:szCs w:val="16"/>
        </w:rPr>
        <w:t xml:space="preserve"> M. Impact of </w:t>
      </w:r>
      <w:proofErr w:type="spellStart"/>
      <w:r w:rsidRPr="007653EB">
        <w:rPr>
          <w:color w:val="000000"/>
          <w:spacing w:val="-1"/>
          <w:kern w:val="0"/>
          <w:sz w:val="16"/>
          <w:szCs w:val="16"/>
        </w:rPr>
        <w:t>corticotropin</w:t>
      </w:r>
      <w:proofErr w:type="spellEnd"/>
      <w:r w:rsidRPr="007653EB">
        <w:rPr>
          <w:color w:val="000000"/>
          <w:spacing w:val="-1"/>
          <w:kern w:val="0"/>
          <w:sz w:val="16"/>
          <w:szCs w:val="16"/>
        </w:rPr>
        <w:t xml:space="preserve">-releasing hormone on gastrointestinal motility and adrenocorticotropic hormone in normal controls and patients with irritable bowel syndrome. </w:t>
      </w:r>
      <w:r w:rsidRPr="007653EB">
        <w:rPr>
          <w:i/>
          <w:iCs/>
          <w:color w:val="000000"/>
          <w:spacing w:val="-1"/>
          <w:kern w:val="0"/>
          <w:sz w:val="16"/>
          <w:szCs w:val="16"/>
        </w:rPr>
        <w:t>Gut</w:t>
      </w:r>
      <w:r w:rsidRPr="007653EB">
        <w:rPr>
          <w:color w:val="000000"/>
          <w:spacing w:val="-1"/>
          <w:kern w:val="0"/>
          <w:sz w:val="16"/>
          <w:szCs w:val="16"/>
        </w:rPr>
        <w:t xml:space="preserve"> 1998; </w:t>
      </w:r>
      <w:r w:rsidRPr="007653EB">
        <w:rPr>
          <w:b/>
          <w:bCs/>
          <w:color w:val="000000"/>
          <w:spacing w:val="-1"/>
          <w:kern w:val="0"/>
          <w:sz w:val="16"/>
          <w:szCs w:val="16"/>
        </w:rPr>
        <w:t>42</w:t>
      </w:r>
      <w:r w:rsidRPr="007653EB">
        <w:rPr>
          <w:color w:val="000000"/>
          <w:spacing w:val="-1"/>
          <w:kern w:val="0"/>
          <w:sz w:val="16"/>
          <w:szCs w:val="16"/>
        </w:rPr>
        <w:t>: 845-849 [PMID: 9691924 DOI: 10.1136/gut.42.6.845]</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36</w:t>
      </w:r>
      <w:r w:rsidRPr="007653EB">
        <w:rPr>
          <w:color w:val="000000"/>
          <w:spacing w:val="-1"/>
          <w:kern w:val="0"/>
          <w:sz w:val="16"/>
          <w:szCs w:val="16"/>
        </w:rPr>
        <w:tab/>
      </w:r>
      <w:proofErr w:type="spellStart"/>
      <w:r w:rsidRPr="007653EB">
        <w:rPr>
          <w:b/>
          <w:bCs/>
          <w:color w:val="000000"/>
          <w:spacing w:val="-1"/>
          <w:kern w:val="0"/>
          <w:sz w:val="16"/>
          <w:szCs w:val="16"/>
        </w:rPr>
        <w:t>Fukudo</w:t>
      </w:r>
      <w:proofErr w:type="spellEnd"/>
      <w:r w:rsidRPr="007653EB">
        <w:rPr>
          <w:b/>
          <w:bCs/>
          <w:color w:val="000000"/>
          <w:spacing w:val="-1"/>
          <w:kern w:val="0"/>
          <w:sz w:val="16"/>
          <w:szCs w:val="16"/>
        </w:rPr>
        <w:t xml:space="preserve"> S</w:t>
      </w:r>
      <w:r w:rsidRPr="007653EB">
        <w:rPr>
          <w:color w:val="000000"/>
          <w:spacing w:val="-1"/>
          <w:kern w:val="0"/>
          <w:sz w:val="16"/>
          <w:szCs w:val="16"/>
        </w:rPr>
        <w:t xml:space="preserve">, Kanazawa M, Kano M, Sagami Y, Endo Y, </w:t>
      </w:r>
      <w:proofErr w:type="spellStart"/>
      <w:r w:rsidRPr="007653EB">
        <w:rPr>
          <w:color w:val="000000"/>
          <w:spacing w:val="-1"/>
          <w:kern w:val="0"/>
          <w:sz w:val="16"/>
          <w:szCs w:val="16"/>
        </w:rPr>
        <w:t>Utsumi</w:t>
      </w:r>
      <w:proofErr w:type="spellEnd"/>
      <w:r w:rsidRPr="007653EB">
        <w:rPr>
          <w:color w:val="000000"/>
          <w:spacing w:val="-1"/>
          <w:kern w:val="0"/>
          <w:sz w:val="16"/>
          <w:szCs w:val="16"/>
        </w:rPr>
        <w:t xml:space="preserve"> A, Nomura T, </w:t>
      </w:r>
      <w:proofErr w:type="spellStart"/>
      <w:r w:rsidRPr="007653EB">
        <w:rPr>
          <w:color w:val="000000"/>
          <w:spacing w:val="-1"/>
          <w:kern w:val="0"/>
          <w:sz w:val="16"/>
          <w:szCs w:val="16"/>
        </w:rPr>
        <w:t>Hongo</w:t>
      </w:r>
      <w:proofErr w:type="spellEnd"/>
      <w:r w:rsidRPr="007653EB">
        <w:rPr>
          <w:color w:val="000000"/>
          <w:spacing w:val="-1"/>
          <w:kern w:val="0"/>
          <w:sz w:val="16"/>
          <w:szCs w:val="16"/>
        </w:rPr>
        <w:t xml:space="preserve"> M. Exaggerated motility of the descending colon with repetitive distention of the sigmoid colon in patients with irritable bowel syndrome. </w:t>
      </w:r>
      <w:r w:rsidRPr="007653EB">
        <w:rPr>
          <w:i/>
          <w:iCs/>
          <w:color w:val="000000"/>
          <w:spacing w:val="-1"/>
          <w:kern w:val="0"/>
          <w:sz w:val="16"/>
          <w:szCs w:val="16"/>
        </w:rPr>
        <w:t xml:space="preserve">J </w:t>
      </w:r>
      <w:proofErr w:type="spellStart"/>
      <w:r w:rsidRPr="007653EB">
        <w:rPr>
          <w:i/>
          <w:iCs/>
          <w:color w:val="000000"/>
          <w:spacing w:val="-1"/>
          <w:kern w:val="0"/>
          <w:sz w:val="16"/>
          <w:szCs w:val="16"/>
        </w:rPr>
        <w:t>Gastroenterol</w:t>
      </w:r>
      <w:proofErr w:type="spellEnd"/>
      <w:r w:rsidRPr="007653EB">
        <w:rPr>
          <w:color w:val="000000"/>
          <w:spacing w:val="-1"/>
          <w:kern w:val="0"/>
          <w:sz w:val="16"/>
          <w:szCs w:val="16"/>
        </w:rPr>
        <w:t xml:space="preserve"> 2002; </w:t>
      </w:r>
      <w:r w:rsidRPr="007653EB">
        <w:rPr>
          <w:b/>
          <w:bCs/>
          <w:color w:val="000000"/>
          <w:spacing w:val="-1"/>
          <w:kern w:val="0"/>
          <w:sz w:val="16"/>
          <w:szCs w:val="16"/>
        </w:rPr>
        <w:t xml:space="preserve">37 </w:t>
      </w:r>
      <w:proofErr w:type="spellStart"/>
      <w:r w:rsidRPr="007653EB">
        <w:rPr>
          <w:color w:val="000000"/>
          <w:spacing w:val="-1"/>
          <w:kern w:val="0"/>
          <w:sz w:val="16"/>
          <w:szCs w:val="16"/>
        </w:rPr>
        <w:t>Suppl</w:t>
      </w:r>
      <w:proofErr w:type="spellEnd"/>
      <w:r w:rsidRPr="007653EB">
        <w:rPr>
          <w:color w:val="000000"/>
          <w:spacing w:val="-1"/>
          <w:kern w:val="0"/>
          <w:sz w:val="16"/>
          <w:szCs w:val="16"/>
        </w:rPr>
        <w:t xml:space="preserve"> 14: 145-150 [PMID: 12572883 DOI: 10.1007/BF03326434]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4"/>
          <w:kern w:val="0"/>
          <w:sz w:val="16"/>
          <w:szCs w:val="16"/>
        </w:rPr>
      </w:pPr>
      <w:r w:rsidRPr="007653EB">
        <w:rPr>
          <w:color w:val="000000"/>
          <w:spacing w:val="-1"/>
          <w:kern w:val="0"/>
          <w:sz w:val="16"/>
          <w:szCs w:val="16"/>
        </w:rPr>
        <w:t>37</w:t>
      </w:r>
      <w:r w:rsidRPr="007653EB">
        <w:rPr>
          <w:color w:val="000000"/>
          <w:spacing w:val="-1"/>
          <w:kern w:val="0"/>
          <w:sz w:val="16"/>
          <w:szCs w:val="16"/>
        </w:rPr>
        <w:tab/>
      </w:r>
      <w:r w:rsidRPr="007653EB">
        <w:rPr>
          <w:b/>
          <w:bCs/>
          <w:color w:val="000000"/>
          <w:spacing w:val="-1"/>
          <w:kern w:val="0"/>
          <w:sz w:val="16"/>
          <w:szCs w:val="16"/>
        </w:rPr>
        <w:t>Saito-</w:t>
      </w:r>
      <w:proofErr w:type="spellStart"/>
      <w:r w:rsidRPr="007653EB">
        <w:rPr>
          <w:b/>
          <w:bCs/>
          <w:color w:val="000000"/>
          <w:spacing w:val="-1"/>
          <w:kern w:val="0"/>
          <w:sz w:val="16"/>
          <w:szCs w:val="16"/>
        </w:rPr>
        <w:t>Nakaya</w:t>
      </w:r>
      <w:proofErr w:type="spellEnd"/>
      <w:r w:rsidRPr="007653EB">
        <w:rPr>
          <w:b/>
          <w:bCs/>
          <w:color w:val="000000"/>
          <w:spacing w:val="-1"/>
          <w:kern w:val="0"/>
          <w:sz w:val="16"/>
          <w:szCs w:val="16"/>
        </w:rPr>
        <w:t xml:space="preserve"> K</w:t>
      </w:r>
      <w:r w:rsidRPr="007653EB">
        <w:rPr>
          <w:color w:val="000000"/>
          <w:spacing w:val="-1"/>
          <w:kern w:val="0"/>
          <w:sz w:val="16"/>
          <w:szCs w:val="16"/>
        </w:rPr>
        <w:t xml:space="preserve">, Hasegawa R, </w:t>
      </w:r>
      <w:proofErr w:type="spellStart"/>
      <w:r w:rsidRPr="007653EB">
        <w:rPr>
          <w:color w:val="000000"/>
          <w:spacing w:val="-1"/>
          <w:kern w:val="0"/>
          <w:sz w:val="16"/>
          <w:szCs w:val="16"/>
        </w:rPr>
        <w:t>Nagura</w:t>
      </w:r>
      <w:proofErr w:type="spellEnd"/>
      <w:r w:rsidRPr="007653EB">
        <w:rPr>
          <w:color w:val="000000"/>
          <w:spacing w:val="-1"/>
          <w:kern w:val="0"/>
          <w:sz w:val="16"/>
          <w:szCs w:val="16"/>
        </w:rPr>
        <w:t xml:space="preserve"> Y, Ito H, </w:t>
      </w:r>
      <w:proofErr w:type="spellStart"/>
      <w:r w:rsidRPr="007653EB">
        <w:rPr>
          <w:color w:val="000000"/>
          <w:spacing w:val="-1"/>
          <w:kern w:val="0"/>
          <w:sz w:val="16"/>
          <w:szCs w:val="16"/>
        </w:rPr>
        <w:t>Fukudo</w:t>
      </w:r>
      <w:proofErr w:type="spellEnd"/>
      <w:r w:rsidRPr="007653EB">
        <w:rPr>
          <w:color w:val="000000"/>
          <w:spacing w:val="-1"/>
          <w:kern w:val="0"/>
          <w:sz w:val="16"/>
          <w:szCs w:val="16"/>
        </w:rPr>
        <w:t xml:space="preserve"> S. </w:t>
      </w:r>
      <w:proofErr w:type="spellStart"/>
      <w:r w:rsidRPr="007653EB">
        <w:rPr>
          <w:color w:val="000000"/>
          <w:spacing w:val="-1"/>
          <w:kern w:val="0"/>
          <w:sz w:val="16"/>
          <w:szCs w:val="16"/>
        </w:rPr>
        <w:t>Corticotropin</w:t>
      </w:r>
      <w:proofErr w:type="spellEnd"/>
      <w:r w:rsidRPr="007653EB">
        <w:rPr>
          <w:color w:val="000000"/>
          <w:spacing w:val="-1"/>
          <w:kern w:val="0"/>
          <w:sz w:val="16"/>
          <w:szCs w:val="16"/>
        </w:rPr>
        <w:t xml:space="preserve">-releasing hormone receptor 1 antagonist blocks colonic hypersensitivity induced by a combination of inflammation </w:t>
      </w:r>
      <w:r w:rsidRPr="007653EB">
        <w:rPr>
          <w:color w:val="000000"/>
          <w:spacing w:val="-4"/>
          <w:kern w:val="0"/>
          <w:sz w:val="16"/>
          <w:szCs w:val="16"/>
        </w:rPr>
        <w:t xml:space="preserve">and repetitive colorectal distension. </w:t>
      </w:r>
      <w:proofErr w:type="spellStart"/>
      <w:r w:rsidRPr="007653EB">
        <w:rPr>
          <w:i/>
          <w:iCs/>
          <w:color w:val="000000"/>
          <w:spacing w:val="-4"/>
          <w:kern w:val="0"/>
          <w:sz w:val="16"/>
          <w:szCs w:val="16"/>
        </w:rPr>
        <w:t>Neurogastroenterol</w:t>
      </w:r>
      <w:proofErr w:type="spellEnd"/>
      <w:r w:rsidRPr="007653EB">
        <w:rPr>
          <w:i/>
          <w:iCs/>
          <w:color w:val="000000"/>
          <w:spacing w:val="-4"/>
          <w:kern w:val="0"/>
          <w:sz w:val="16"/>
          <w:szCs w:val="16"/>
        </w:rPr>
        <w:t xml:space="preserve"> </w:t>
      </w:r>
      <w:proofErr w:type="spellStart"/>
      <w:r w:rsidRPr="007653EB">
        <w:rPr>
          <w:i/>
          <w:iCs/>
          <w:color w:val="000000"/>
          <w:spacing w:val="-4"/>
          <w:kern w:val="0"/>
          <w:sz w:val="16"/>
          <w:szCs w:val="16"/>
        </w:rPr>
        <w:t>Motil</w:t>
      </w:r>
      <w:proofErr w:type="spellEnd"/>
      <w:r w:rsidRPr="007653EB">
        <w:rPr>
          <w:color w:val="000000"/>
          <w:spacing w:val="-4"/>
          <w:kern w:val="0"/>
          <w:sz w:val="16"/>
          <w:szCs w:val="16"/>
        </w:rPr>
        <w:t xml:space="preserve"> 2008; </w:t>
      </w:r>
      <w:r w:rsidRPr="007653EB">
        <w:rPr>
          <w:b/>
          <w:bCs/>
          <w:color w:val="000000"/>
          <w:spacing w:val="-4"/>
          <w:kern w:val="0"/>
          <w:sz w:val="16"/>
          <w:szCs w:val="16"/>
        </w:rPr>
        <w:t>20</w:t>
      </w:r>
      <w:r w:rsidRPr="007653EB">
        <w:rPr>
          <w:color w:val="000000"/>
          <w:spacing w:val="-4"/>
          <w:kern w:val="0"/>
          <w:sz w:val="16"/>
          <w:szCs w:val="16"/>
        </w:rPr>
        <w:t>: 1147-1156 [PMID: 18761632 DOI: 10.1111/j.1365-2982.2008.01151.x]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38</w:t>
      </w:r>
      <w:r w:rsidRPr="007653EB">
        <w:rPr>
          <w:color w:val="000000"/>
          <w:spacing w:val="-1"/>
          <w:kern w:val="0"/>
          <w:sz w:val="16"/>
          <w:szCs w:val="16"/>
        </w:rPr>
        <w:tab/>
      </w:r>
      <w:proofErr w:type="spellStart"/>
      <w:r w:rsidRPr="007653EB">
        <w:rPr>
          <w:b/>
          <w:bCs/>
          <w:color w:val="000000"/>
          <w:spacing w:val="-1"/>
          <w:kern w:val="0"/>
          <w:sz w:val="16"/>
          <w:szCs w:val="16"/>
        </w:rPr>
        <w:t>Aggarwal</w:t>
      </w:r>
      <w:proofErr w:type="spellEnd"/>
      <w:r w:rsidRPr="007653EB">
        <w:rPr>
          <w:b/>
          <w:bCs/>
          <w:color w:val="000000"/>
          <w:spacing w:val="-1"/>
          <w:kern w:val="0"/>
          <w:sz w:val="16"/>
          <w:szCs w:val="16"/>
        </w:rPr>
        <w:t xml:space="preserve"> A</w:t>
      </w:r>
      <w:r w:rsidRPr="007653EB">
        <w:rPr>
          <w:color w:val="000000"/>
          <w:spacing w:val="-1"/>
          <w:kern w:val="0"/>
          <w:sz w:val="16"/>
          <w:szCs w:val="16"/>
        </w:rPr>
        <w:t xml:space="preserve">, </w:t>
      </w:r>
      <w:proofErr w:type="spellStart"/>
      <w:r w:rsidRPr="007653EB">
        <w:rPr>
          <w:color w:val="000000"/>
          <w:spacing w:val="-1"/>
          <w:kern w:val="0"/>
          <w:sz w:val="16"/>
          <w:szCs w:val="16"/>
        </w:rPr>
        <w:t>Cutts</w:t>
      </w:r>
      <w:proofErr w:type="spellEnd"/>
      <w:r w:rsidRPr="007653EB">
        <w:rPr>
          <w:color w:val="000000"/>
          <w:spacing w:val="-1"/>
          <w:kern w:val="0"/>
          <w:sz w:val="16"/>
          <w:szCs w:val="16"/>
        </w:rPr>
        <w:t xml:space="preserve"> TF, </w:t>
      </w:r>
      <w:proofErr w:type="spellStart"/>
      <w:r w:rsidRPr="007653EB">
        <w:rPr>
          <w:color w:val="000000"/>
          <w:spacing w:val="-1"/>
          <w:kern w:val="0"/>
          <w:sz w:val="16"/>
          <w:szCs w:val="16"/>
        </w:rPr>
        <w:t>Abell</w:t>
      </w:r>
      <w:proofErr w:type="spellEnd"/>
      <w:r w:rsidRPr="007653EB">
        <w:rPr>
          <w:color w:val="000000"/>
          <w:spacing w:val="-1"/>
          <w:kern w:val="0"/>
          <w:sz w:val="16"/>
          <w:szCs w:val="16"/>
        </w:rPr>
        <w:t xml:space="preserve"> TL, Cardoso S, </w:t>
      </w:r>
      <w:proofErr w:type="spellStart"/>
      <w:r w:rsidRPr="007653EB">
        <w:rPr>
          <w:color w:val="000000"/>
          <w:spacing w:val="-1"/>
          <w:kern w:val="0"/>
          <w:sz w:val="16"/>
          <w:szCs w:val="16"/>
        </w:rPr>
        <w:t>Familoni</w:t>
      </w:r>
      <w:proofErr w:type="spellEnd"/>
      <w:r w:rsidRPr="007653EB">
        <w:rPr>
          <w:color w:val="000000"/>
          <w:spacing w:val="-1"/>
          <w:kern w:val="0"/>
          <w:sz w:val="16"/>
          <w:szCs w:val="16"/>
        </w:rPr>
        <w:t xml:space="preserve"> B, Bremer J, </w:t>
      </w:r>
      <w:proofErr w:type="spellStart"/>
      <w:r w:rsidRPr="007653EB">
        <w:rPr>
          <w:color w:val="000000"/>
          <w:spacing w:val="-1"/>
          <w:kern w:val="0"/>
          <w:sz w:val="16"/>
          <w:szCs w:val="16"/>
        </w:rPr>
        <w:t>Karas</w:t>
      </w:r>
      <w:proofErr w:type="spellEnd"/>
      <w:r w:rsidRPr="007653EB">
        <w:rPr>
          <w:color w:val="000000"/>
          <w:spacing w:val="-1"/>
          <w:kern w:val="0"/>
          <w:sz w:val="16"/>
          <w:szCs w:val="16"/>
        </w:rPr>
        <w:t xml:space="preserve"> J. Predominant symptoms in irritable bowel syndrome correlate with specific autonomic nervous system abnormalities. </w:t>
      </w:r>
      <w:r w:rsidRPr="007653EB">
        <w:rPr>
          <w:i/>
          <w:iCs/>
          <w:color w:val="000000"/>
          <w:spacing w:val="-1"/>
          <w:kern w:val="0"/>
          <w:sz w:val="16"/>
          <w:szCs w:val="16"/>
        </w:rPr>
        <w:t>Gastroenterology</w:t>
      </w:r>
      <w:r w:rsidRPr="007653EB">
        <w:rPr>
          <w:color w:val="000000"/>
          <w:spacing w:val="-1"/>
          <w:kern w:val="0"/>
          <w:sz w:val="16"/>
          <w:szCs w:val="16"/>
        </w:rPr>
        <w:t xml:space="preserve"> 1994; </w:t>
      </w:r>
      <w:r w:rsidRPr="007653EB">
        <w:rPr>
          <w:b/>
          <w:bCs/>
          <w:color w:val="000000"/>
          <w:spacing w:val="-1"/>
          <w:kern w:val="0"/>
          <w:sz w:val="16"/>
          <w:szCs w:val="16"/>
        </w:rPr>
        <w:t>106</w:t>
      </w:r>
      <w:r w:rsidRPr="007653EB">
        <w:rPr>
          <w:color w:val="000000"/>
          <w:spacing w:val="-1"/>
          <w:kern w:val="0"/>
          <w:sz w:val="16"/>
          <w:szCs w:val="16"/>
        </w:rPr>
        <w:t>: 945-950 [PMID: 8143999]</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39</w:t>
      </w:r>
      <w:r w:rsidRPr="007653EB">
        <w:rPr>
          <w:color w:val="000000"/>
          <w:spacing w:val="-1"/>
          <w:kern w:val="0"/>
          <w:sz w:val="16"/>
          <w:szCs w:val="16"/>
        </w:rPr>
        <w:tab/>
      </w:r>
      <w:proofErr w:type="spellStart"/>
      <w:r w:rsidRPr="007653EB">
        <w:rPr>
          <w:b/>
          <w:bCs/>
          <w:color w:val="000000"/>
          <w:spacing w:val="-1"/>
          <w:kern w:val="0"/>
          <w:sz w:val="16"/>
          <w:szCs w:val="16"/>
        </w:rPr>
        <w:t>Messay</w:t>
      </w:r>
      <w:proofErr w:type="spellEnd"/>
      <w:r w:rsidRPr="007653EB">
        <w:rPr>
          <w:b/>
          <w:bCs/>
          <w:color w:val="000000"/>
          <w:spacing w:val="-1"/>
          <w:kern w:val="0"/>
          <w:sz w:val="16"/>
          <w:szCs w:val="16"/>
        </w:rPr>
        <w:t xml:space="preserve"> B</w:t>
      </w:r>
      <w:r w:rsidRPr="007653EB">
        <w:rPr>
          <w:color w:val="000000"/>
          <w:spacing w:val="-1"/>
          <w:kern w:val="0"/>
          <w:sz w:val="16"/>
          <w:szCs w:val="16"/>
        </w:rPr>
        <w:t xml:space="preserve">, Lim A, </w:t>
      </w:r>
      <w:proofErr w:type="spellStart"/>
      <w:r w:rsidRPr="007653EB">
        <w:rPr>
          <w:color w:val="000000"/>
          <w:spacing w:val="-1"/>
          <w:kern w:val="0"/>
          <w:sz w:val="16"/>
          <w:szCs w:val="16"/>
        </w:rPr>
        <w:t>Marsland</w:t>
      </w:r>
      <w:proofErr w:type="spellEnd"/>
      <w:r w:rsidRPr="007653EB">
        <w:rPr>
          <w:color w:val="000000"/>
          <w:spacing w:val="-1"/>
          <w:kern w:val="0"/>
          <w:sz w:val="16"/>
          <w:szCs w:val="16"/>
        </w:rPr>
        <w:t xml:space="preserve"> AL. Current understanding of the bi-directional relationship of major depression with inflammation. </w:t>
      </w:r>
      <w:proofErr w:type="spellStart"/>
      <w:r w:rsidRPr="007653EB">
        <w:rPr>
          <w:i/>
          <w:iCs/>
          <w:color w:val="000000"/>
          <w:spacing w:val="-1"/>
          <w:kern w:val="0"/>
          <w:sz w:val="16"/>
          <w:szCs w:val="16"/>
        </w:rPr>
        <w:t>Biol</w:t>
      </w:r>
      <w:proofErr w:type="spellEnd"/>
      <w:r w:rsidRPr="007653EB">
        <w:rPr>
          <w:i/>
          <w:iCs/>
          <w:color w:val="000000"/>
          <w:spacing w:val="-1"/>
          <w:kern w:val="0"/>
          <w:sz w:val="16"/>
          <w:szCs w:val="16"/>
        </w:rPr>
        <w:t xml:space="preserve"> Mood Anxiety </w:t>
      </w:r>
      <w:proofErr w:type="spellStart"/>
      <w:r w:rsidRPr="007653EB">
        <w:rPr>
          <w:i/>
          <w:iCs/>
          <w:color w:val="000000"/>
          <w:spacing w:val="-1"/>
          <w:kern w:val="0"/>
          <w:sz w:val="16"/>
          <w:szCs w:val="16"/>
        </w:rPr>
        <w:t>Disord</w:t>
      </w:r>
      <w:proofErr w:type="spellEnd"/>
      <w:r w:rsidRPr="007653EB">
        <w:rPr>
          <w:color w:val="000000"/>
          <w:spacing w:val="-1"/>
          <w:kern w:val="0"/>
          <w:sz w:val="16"/>
          <w:szCs w:val="16"/>
        </w:rPr>
        <w:t xml:space="preserve"> 2012; </w:t>
      </w:r>
      <w:r w:rsidRPr="007653EB">
        <w:rPr>
          <w:b/>
          <w:bCs/>
          <w:color w:val="000000"/>
          <w:spacing w:val="-1"/>
          <w:kern w:val="0"/>
          <w:sz w:val="16"/>
          <w:szCs w:val="16"/>
        </w:rPr>
        <w:t>2</w:t>
      </w:r>
      <w:r w:rsidRPr="007653EB">
        <w:rPr>
          <w:color w:val="000000"/>
          <w:spacing w:val="-1"/>
          <w:kern w:val="0"/>
          <w:sz w:val="16"/>
          <w:szCs w:val="16"/>
        </w:rPr>
        <w:t>: 4 [PMID: 22738397 DOI: 10.1186/2045-5380-2-4]</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lastRenderedPageBreak/>
        <w:t>40</w:t>
      </w:r>
      <w:r w:rsidRPr="007653EB">
        <w:rPr>
          <w:color w:val="000000"/>
          <w:spacing w:val="-1"/>
          <w:kern w:val="0"/>
          <w:sz w:val="16"/>
          <w:szCs w:val="16"/>
        </w:rPr>
        <w:tab/>
      </w:r>
      <w:r w:rsidRPr="007653EB">
        <w:rPr>
          <w:b/>
          <w:bCs/>
          <w:color w:val="000000"/>
          <w:spacing w:val="-1"/>
          <w:kern w:val="0"/>
          <w:sz w:val="16"/>
          <w:szCs w:val="16"/>
        </w:rPr>
        <w:t>Zhou L</w:t>
      </w:r>
      <w:r w:rsidRPr="007653EB">
        <w:rPr>
          <w:color w:val="000000"/>
          <w:spacing w:val="-1"/>
          <w:kern w:val="0"/>
          <w:sz w:val="16"/>
          <w:szCs w:val="16"/>
        </w:rPr>
        <w:t xml:space="preserve">, Foster JA. </w:t>
      </w:r>
      <w:proofErr w:type="spellStart"/>
      <w:r w:rsidRPr="007653EB">
        <w:rPr>
          <w:color w:val="000000"/>
          <w:spacing w:val="-1"/>
          <w:kern w:val="0"/>
          <w:sz w:val="16"/>
          <w:szCs w:val="16"/>
        </w:rPr>
        <w:t>Psychobiotics</w:t>
      </w:r>
      <w:proofErr w:type="spellEnd"/>
      <w:r w:rsidRPr="007653EB">
        <w:rPr>
          <w:color w:val="000000"/>
          <w:spacing w:val="-1"/>
          <w:kern w:val="0"/>
          <w:sz w:val="16"/>
          <w:szCs w:val="16"/>
        </w:rPr>
        <w:t xml:space="preserve"> and the gut-brain axis: in the pursuit of happiness. </w:t>
      </w:r>
      <w:proofErr w:type="spellStart"/>
      <w:r w:rsidRPr="007653EB">
        <w:rPr>
          <w:i/>
          <w:iCs/>
          <w:color w:val="000000"/>
          <w:spacing w:val="-1"/>
          <w:kern w:val="0"/>
          <w:sz w:val="16"/>
          <w:szCs w:val="16"/>
        </w:rPr>
        <w:t>Neuropsychiatr</w:t>
      </w:r>
      <w:proofErr w:type="spellEnd"/>
      <w:r w:rsidRPr="007653EB">
        <w:rPr>
          <w:i/>
          <w:iCs/>
          <w:color w:val="000000"/>
          <w:spacing w:val="-1"/>
          <w:kern w:val="0"/>
          <w:sz w:val="16"/>
          <w:szCs w:val="16"/>
        </w:rPr>
        <w:t xml:space="preserve"> Dis Treat</w:t>
      </w:r>
      <w:r w:rsidRPr="007653EB">
        <w:rPr>
          <w:color w:val="000000"/>
          <w:spacing w:val="-1"/>
          <w:kern w:val="0"/>
          <w:sz w:val="16"/>
          <w:szCs w:val="16"/>
        </w:rPr>
        <w:t xml:space="preserve"> 2015; </w:t>
      </w:r>
      <w:r w:rsidRPr="007653EB">
        <w:rPr>
          <w:b/>
          <w:bCs/>
          <w:color w:val="000000"/>
          <w:spacing w:val="-1"/>
          <w:kern w:val="0"/>
          <w:sz w:val="16"/>
          <w:szCs w:val="16"/>
        </w:rPr>
        <w:t>11</w:t>
      </w:r>
      <w:r w:rsidRPr="007653EB">
        <w:rPr>
          <w:color w:val="000000"/>
          <w:spacing w:val="-1"/>
          <w:kern w:val="0"/>
          <w:sz w:val="16"/>
          <w:szCs w:val="16"/>
        </w:rPr>
        <w:t>: 715-723 [PMID: 25834446 DOI: 10.2147/NDT.S61997]</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41</w:t>
      </w:r>
      <w:r w:rsidRPr="007653EB">
        <w:rPr>
          <w:color w:val="000000"/>
          <w:spacing w:val="-1"/>
          <w:kern w:val="0"/>
          <w:sz w:val="16"/>
          <w:szCs w:val="16"/>
        </w:rPr>
        <w:tab/>
      </w:r>
      <w:proofErr w:type="spellStart"/>
      <w:r w:rsidRPr="007653EB">
        <w:rPr>
          <w:b/>
          <w:bCs/>
          <w:color w:val="000000"/>
          <w:spacing w:val="-1"/>
          <w:kern w:val="0"/>
          <w:sz w:val="16"/>
          <w:szCs w:val="16"/>
        </w:rPr>
        <w:t>Karling</w:t>
      </w:r>
      <w:proofErr w:type="spellEnd"/>
      <w:r w:rsidRPr="007653EB">
        <w:rPr>
          <w:b/>
          <w:bCs/>
          <w:color w:val="000000"/>
          <w:spacing w:val="-1"/>
          <w:kern w:val="0"/>
          <w:sz w:val="16"/>
          <w:szCs w:val="16"/>
        </w:rPr>
        <w:t xml:space="preserve"> P</w:t>
      </w:r>
      <w:r w:rsidRPr="007653EB">
        <w:rPr>
          <w:color w:val="000000"/>
          <w:spacing w:val="-1"/>
          <w:kern w:val="0"/>
          <w:sz w:val="16"/>
          <w:szCs w:val="16"/>
        </w:rPr>
        <w:t xml:space="preserve">, </w:t>
      </w:r>
      <w:proofErr w:type="spellStart"/>
      <w:r w:rsidRPr="007653EB">
        <w:rPr>
          <w:color w:val="000000"/>
          <w:spacing w:val="-1"/>
          <w:kern w:val="0"/>
          <w:sz w:val="16"/>
          <w:szCs w:val="16"/>
        </w:rPr>
        <w:t>Danielsson</w:t>
      </w:r>
      <w:proofErr w:type="spellEnd"/>
      <w:r w:rsidRPr="007653EB">
        <w:rPr>
          <w:color w:val="000000"/>
          <w:spacing w:val="-1"/>
          <w:kern w:val="0"/>
          <w:sz w:val="16"/>
          <w:szCs w:val="16"/>
        </w:rPr>
        <w:t xml:space="preserve"> Å, </w:t>
      </w:r>
      <w:proofErr w:type="spellStart"/>
      <w:r w:rsidRPr="007653EB">
        <w:rPr>
          <w:color w:val="000000"/>
          <w:spacing w:val="-1"/>
          <w:kern w:val="0"/>
          <w:sz w:val="16"/>
          <w:szCs w:val="16"/>
        </w:rPr>
        <w:t>Wikgren</w:t>
      </w:r>
      <w:proofErr w:type="spellEnd"/>
      <w:r w:rsidRPr="007653EB">
        <w:rPr>
          <w:color w:val="000000"/>
          <w:spacing w:val="-1"/>
          <w:kern w:val="0"/>
          <w:sz w:val="16"/>
          <w:szCs w:val="16"/>
        </w:rPr>
        <w:t xml:space="preserve"> M, </w:t>
      </w:r>
      <w:proofErr w:type="spellStart"/>
      <w:r w:rsidRPr="007653EB">
        <w:rPr>
          <w:color w:val="000000"/>
          <w:spacing w:val="-1"/>
          <w:kern w:val="0"/>
          <w:sz w:val="16"/>
          <w:szCs w:val="16"/>
        </w:rPr>
        <w:t>Söderström</w:t>
      </w:r>
      <w:proofErr w:type="spellEnd"/>
      <w:r w:rsidRPr="007653EB">
        <w:rPr>
          <w:color w:val="000000"/>
          <w:spacing w:val="-1"/>
          <w:kern w:val="0"/>
          <w:sz w:val="16"/>
          <w:szCs w:val="16"/>
        </w:rPr>
        <w:t xml:space="preserve"> I, Del-</w:t>
      </w:r>
      <w:proofErr w:type="spellStart"/>
      <w:r w:rsidRPr="007653EB">
        <w:rPr>
          <w:color w:val="000000"/>
          <w:spacing w:val="-1"/>
          <w:kern w:val="0"/>
          <w:sz w:val="16"/>
          <w:szCs w:val="16"/>
        </w:rPr>
        <w:t>Favero</w:t>
      </w:r>
      <w:proofErr w:type="spellEnd"/>
      <w:r w:rsidRPr="007653EB">
        <w:rPr>
          <w:color w:val="000000"/>
          <w:spacing w:val="-1"/>
          <w:kern w:val="0"/>
          <w:sz w:val="16"/>
          <w:szCs w:val="16"/>
        </w:rPr>
        <w:t xml:space="preserve"> J, </w:t>
      </w:r>
      <w:proofErr w:type="spellStart"/>
      <w:r w:rsidRPr="007653EB">
        <w:rPr>
          <w:color w:val="000000"/>
          <w:spacing w:val="-1"/>
          <w:kern w:val="0"/>
          <w:sz w:val="16"/>
          <w:szCs w:val="16"/>
        </w:rPr>
        <w:t>Adolfsson</w:t>
      </w:r>
      <w:proofErr w:type="spellEnd"/>
      <w:r w:rsidRPr="007653EB">
        <w:rPr>
          <w:color w:val="000000"/>
          <w:spacing w:val="-1"/>
          <w:kern w:val="0"/>
          <w:sz w:val="16"/>
          <w:szCs w:val="16"/>
        </w:rPr>
        <w:t xml:space="preserve"> R, </w:t>
      </w:r>
      <w:proofErr w:type="spellStart"/>
      <w:r w:rsidRPr="007653EB">
        <w:rPr>
          <w:color w:val="000000"/>
          <w:spacing w:val="-1"/>
          <w:kern w:val="0"/>
          <w:sz w:val="16"/>
          <w:szCs w:val="16"/>
        </w:rPr>
        <w:t>Norrback</w:t>
      </w:r>
      <w:proofErr w:type="spellEnd"/>
      <w:r w:rsidRPr="007653EB">
        <w:rPr>
          <w:color w:val="000000"/>
          <w:spacing w:val="-1"/>
          <w:kern w:val="0"/>
          <w:sz w:val="16"/>
          <w:szCs w:val="16"/>
        </w:rPr>
        <w:t xml:space="preserve"> KF. </w:t>
      </w:r>
      <w:proofErr w:type="gramStart"/>
      <w:r w:rsidRPr="007653EB">
        <w:rPr>
          <w:color w:val="000000"/>
          <w:spacing w:val="-1"/>
          <w:kern w:val="0"/>
          <w:sz w:val="16"/>
          <w:szCs w:val="16"/>
        </w:rPr>
        <w:t>The relationship between the val158met catechol-O-</w:t>
      </w:r>
      <w:proofErr w:type="spellStart"/>
      <w:r w:rsidRPr="007653EB">
        <w:rPr>
          <w:color w:val="000000"/>
          <w:spacing w:val="-1"/>
          <w:kern w:val="0"/>
          <w:sz w:val="16"/>
          <w:szCs w:val="16"/>
        </w:rPr>
        <w:t>methyltransferase</w:t>
      </w:r>
      <w:proofErr w:type="spellEnd"/>
      <w:r w:rsidRPr="007653EB">
        <w:rPr>
          <w:color w:val="000000"/>
          <w:spacing w:val="-1"/>
          <w:kern w:val="0"/>
          <w:sz w:val="16"/>
          <w:szCs w:val="16"/>
        </w:rPr>
        <w:t xml:space="preserve"> (COMT) polymorphism and irritable bowel syndrome.</w:t>
      </w:r>
      <w:proofErr w:type="gramEnd"/>
      <w:r w:rsidRPr="007653EB">
        <w:rPr>
          <w:color w:val="000000"/>
          <w:spacing w:val="-1"/>
          <w:kern w:val="0"/>
          <w:sz w:val="16"/>
          <w:szCs w:val="16"/>
        </w:rPr>
        <w:t xml:space="preserve"> </w:t>
      </w:r>
      <w:proofErr w:type="spellStart"/>
      <w:r w:rsidRPr="007653EB">
        <w:rPr>
          <w:i/>
          <w:iCs/>
          <w:color w:val="000000"/>
          <w:spacing w:val="-1"/>
          <w:kern w:val="0"/>
          <w:sz w:val="16"/>
          <w:szCs w:val="16"/>
        </w:rPr>
        <w:t>PLoS</w:t>
      </w:r>
      <w:proofErr w:type="spellEnd"/>
      <w:r w:rsidRPr="007653EB">
        <w:rPr>
          <w:i/>
          <w:iCs/>
          <w:color w:val="000000"/>
          <w:spacing w:val="-1"/>
          <w:kern w:val="0"/>
          <w:sz w:val="16"/>
          <w:szCs w:val="16"/>
        </w:rPr>
        <w:t xml:space="preserve"> One</w:t>
      </w:r>
      <w:r w:rsidRPr="007653EB">
        <w:rPr>
          <w:color w:val="000000"/>
          <w:spacing w:val="-1"/>
          <w:kern w:val="0"/>
          <w:sz w:val="16"/>
          <w:szCs w:val="16"/>
        </w:rPr>
        <w:t xml:space="preserve"> 2011; </w:t>
      </w:r>
      <w:r w:rsidRPr="007653EB">
        <w:rPr>
          <w:b/>
          <w:bCs/>
          <w:color w:val="000000"/>
          <w:spacing w:val="-1"/>
          <w:kern w:val="0"/>
          <w:sz w:val="16"/>
          <w:szCs w:val="16"/>
        </w:rPr>
        <w:t>6</w:t>
      </w:r>
      <w:r w:rsidRPr="007653EB">
        <w:rPr>
          <w:color w:val="000000"/>
          <w:spacing w:val="-1"/>
          <w:kern w:val="0"/>
          <w:sz w:val="16"/>
          <w:szCs w:val="16"/>
        </w:rPr>
        <w:t>: e18035 [PMID: 21437260]</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r w:rsidRPr="007653EB">
        <w:rPr>
          <w:color w:val="000000"/>
          <w:spacing w:val="-1"/>
          <w:kern w:val="0"/>
          <w:sz w:val="16"/>
          <w:szCs w:val="16"/>
        </w:rPr>
        <w:t>42</w:t>
      </w:r>
      <w:r w:rsidRPr="007653EB">
        <w:rPr>
          <w:color w:val="000000"/>
          <w:spacing w:val="-1"/>
          <w:kern w:val="0"/>
          <w:sz w:val="16"/>
          <w:szCs w:val="16"/>
        </w:rPr>
        <w:tab/>
      </w:r>
      <w:proofErr w:type="spellStart"/>
      <w:r w:rsidRPr="007653EB">
        <w:rPr>
          <w:b/>
          <w:bCs/>
          <w:color w:val="000000"/>
          <w:spacing w:val="-1"/>
          <w:kern w:val="0"/>
          <w:sz w:val="16"/>
          <w:szCs w:val="16"/>
        </w:rPr>
        <w:t>Karling</w:t>
      </w:r>
      <w:proofErr w:type="spellEnd"/>
      <w:r w:rsidRPr="007653EB">
        <w:rPr>
          <w:b/>
          <w:bCs/>
          <w:color w:val="000000"/>
          <w:spacing w:val="-1"/>
          <w:kern w:val="0"/>
          <w:sz w:val="16"/>
          <w:szCs w:val="16"/>
        </w:rPr>
        <w:t xml:space="preserve"> P</w:t>
      </w:r>
      <w:r w:rsidRPr="007653EB">
        <w:rPr>
          <w:color w:val="000000"/>
          <w:spacing w:val="-1"/>
          <w:kern w:val="0"/>
          <w:sz w:val="16"/>
          <w:szCs w:val="16"/>
        </w:rPr>
        <w:t xml:space="preserve">, </w:t>
      </w:r>
      <w:proofErr w:type="spellStart"/>
      <w:r w:rsidRPr="007653EB">
        <w:rPr>
          <w:color w:val="000000"/>
          <w:spacing w:val="-1"/>
          <w:kern w:val="0"/>
          <w:sz w:val="16"/>
          <w:szCs w:val="16"/>
        </w:rPr>
        <w:t>Norrback</w:t>
      </w:r>
      <w:proofErr w:type="spellEnd"/>
      <w:r w:rsidRPr="007653EB">
        <w:rPr>
          <w:color w:val="000000"/>
          <w:spacing w:val="-1"/>
          <w:kern w:val="0"/>
          <w:sz w:val="16"/>
          <w:szCs w:val="16"/>
        </w:rPr>
        <w:t xml:space="preserve"> KF, </w:t>
      </w:r>
      <w:proofErr w:type="spellStart"/>
      <w:r w:rsidRPr="007653EB">
        <w:rPr>
          <w:color w:val="000000"/>
          <w:spacing w:val="-1"/>
          <w:kern w:val="0"/>
          <w:sz w:val="16"/>
          <w:szCs w:val="16"/>
        </w:rPr>
        <w:t>Adolfsson</w:t>
      </w:r>
      <w:proofErr w:type="spellEnd"/>
      <w:r w:rsidRPr="007653EB">
        <w:rPr>
          <w:color w:val="000000"/>
          <w:spacing w:val="-1"/>
          <w:kern w:val="0"/>
          <w:sz w:val="16"/>
          <w:szCs w:val="16"/>
        </w:rPr>
        <w:t xml:space="preserve"> R, </w:t>
      </w:r>
      <w:proofErr w:type="spellStart"/>
      <w:r w:rsidRPr="007653EB">
        <w:rPr>
          <w:color w:val="000000"/>
          <w:spacing w:val="-1"/>
          <w:kern w:val="0"/>
          <w:sz w:val="16"/>
          <w:szCs w:val="16"/>
        </w:rPr>
        <w:t>Danielsson</w:t>
      </w:r>
      <w:proofErr w:type="spellEnd"/>
      <w:r w:rsidRPr="007653EB">
        <w:rPr>
          <w:color w:val="000000"/>
          <w:spacing w:val="-1"/>
          <w:kern w:val="0"/>
          <w:sz w:val="16"/>
          <w:szCs w:val="16"/>
        </w:rPr>
        <w:t xml:space="preserve"> A. Gastrointestinal symptoms are associated with hypothalamic-pituitary-adrenal axis suppression in healthy individuals. </w:t>
      </w:r>
      <w:proofErr w:type="spellStart"/>
      <w:r w:rsidRPr="007653EB">
        <w:rPr>
          <w:i/>
          <w:iCs/>
          <w:color w:val="000000"/>
          <w:spacing w:val="-1"/>
          <w:kern w:val="0"/>
          <w:sz w:val="16"/>
          <w:szCs w:val="16"/>
        </w:rPr>
        <w:t>Scand</w:t>
      </w:r>
      <w:proofErr w:type="spellEnd"/>
      <w:r w:rsidRPr="007653EB">
        <w:rPr>
          <w:i/>
          <w:iCs/>
          <w:color w:val="000000"/>
          <w:spacing w:val="-1"/>
          <w:kern w:val="0"/>
          <w:sz w:val="16"/>
          <w:szCs w:val="16"/>
        </w:rPr>
        <w:t xml:space="preserve"> J </w:t>
      </w:r>
      <w:proofErr w:type="spellStart"/>
      <w:r w:rsidRPr="007653EB">
        <w:rPr>
          <w:i/>
          <w:iCs/>
          <w:color w:val="000000"/>
          <w:spacing w:val="-1"/>
          <w:kern w:val="0"/>
          <w:sz w:val="16"/>
          <w:szCs w:val="16"/>
        </w:rPr>
        <w:t>Gastroenterol</w:t>
      </w:r>
      <w:proofErr w:type="spellEnd"/>
      <w:r w:rsidRPr="007653EB">
        <w:rPr>
          <w:color w:val="000000"/>
          <w:spacing w:val="-1"/>
          <w:kern w:val="0"/>
          <w:sz w:val="16"/>
          <w:szCs w:val="16"/>
        </w:rPr>
        <w:t xml:space="preserve"> 2007; </w:t>
      </w:r>
      <w:r w:rsidRPr="007653EB">
        <w:rPr>
          <w:b/>
          <w:bCs/>
          <w:color w:val="000000"/>
          <w:spacing w:val="-1"/>
          <w:kern w:val="0"/>
          <w:sz w:val="16"/>
          <w:szCs w:val="16"/>
        </w:rPr>
        <w:t>42</w:t>
      </w:r>
      <w:r w:rsidRPr="007653EB">
        <w:rPr>
          <w:color w:val="000000"/>
          <w:spacing w:val="-1"/>
          <w:kern w:val="0"/>
          <w:sz w:val="16"/>
          <w:szCs w:val="16"/>
        </w:rPr>
        <w:t>: 1294-1301 [PMID: 17852841 DOI: 10.1080/00365520701395945]</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2"/>
          <w:kern w:val="0"/>
          <w:sz w:val="16"/>
          <w:szCs w:val="16"/>
        </w:rPr>
      </w:pPr>
      <w:r w:rsidRPr="007653EB">
        <w:rPr>
          <w:color w:val="000000"/>
          <w:spacing w:val="-1"/>
          <w:kern w:val="0"/>
          <w:sz w:val="16"/>
          <w:szCs w:val="16"/>
        </w:rPr>
        <w:t>43</w:t>
      </w:r>
      <w:r w:rsidRPr="007653EB">
        <w:rPr>
          <w:color w:val="000000"/>
          <w:spacing w:val="-1"/>
          <w:kern w:val="0"/>
          <w:sz w:val="16"/>
          <w:szCs w:val="16"/>
        </w:rPr>
        <w:tab/>
      </w:r>
      <w:proofErr w:type="spellStart"/>
      <w:r w:rsidRPr="007653EB">
        <w:rPr>
          <w:b/>
          <w:bCs/>
          <w:color w:val="000000"/>
          <w:spacing w:val="-2"/>
          <w:kern w:val="0"/>
          <w:sz w:val="16"/>
          <w:szCs w:val="16"/>
        </w:rPr>
        <w:t>Mikocka-Walus</w:t>
      </w:r>
      <w:proofErr w:type="spellEnd"/>
      <w:r w:rsidRPr="007653EB">
        <w:rPr>
          <w:b/>
          <w:bCs/>
          <w:color w:val="000000"/>
          <w:spacing w:val="-2"/>
          <w:kern w:val="0"/>
          <w:sz w:val="16"/>
          <w:szCs w:val="16"/>
        </w:rPr>
        <w:t xml:space="preserve"> AA</w:t>
      </w:r>
      <w:r w:rsidRPr="007653EB">
        <w:rPr>
          <w:color w:val="000000"/>
          <w:spacing w:val="-2"/>
          <w:kern w:val="0"/>
          <w:sz w:val="16"/>
          <w:szCs w:val="16"/>
        </w:rPr>
        <w:t xml:space="preserve">, Turnbull DA, Andrews JM, </w:t>
      </w:r>
      <w:proofErr w:type="spellStart"/>
      <w:r w:rsidRPr="007653EB">
        <w:rPr>
          <w:color w:val="000000"/>
          <w:spacing w:val="-2"/>
          <w:kern w:val="0"/>
          <w:sz w:val="16"/>
          <w:szCs w:val="16"/>
        </w:rPr>
        <w:t>Moulding</w:t>
      </w:r>
      <w:proofErr w:type="spellEnd"/>
      <w:r w:rsidRPr="007653EB">
        <w:rPr>
          <w:color w:val="000000"/>
          <w:spacing w:val="-2"/>
          <w:kern w:val="0"/>
          <w:sz w:val="16"/>
          <w:szCs w:val="16"/>
        </w:rPr>
        <w:t xml:space="preserve"> NT, </w:t>
      </w:r>
      <w:proofErr w:type="spellStart"/>
      <w:r w:rsidRPr="007653EB">
        <w:rPr>
          <w:color w:val="000000"/>
          <w:spacing w:val="-2"/>
          <w:kern w:val="0"/>
          <w:sz w:val="16"/>
          <w:szCs w:val="16"/>
        </w:rPr>
        <w:t>Holtmann</w:t>
      </w:r>
      <w:proofErr w:type="spellEnd"/>
      <w:r w:rsidRPr="007653EB">
        <w:rPr>
          <w:color w:val="000000"/>
          <w:spacing w:val="-2"/>
          <w:kern w:val="0"/>
          <w:sz w:val="16"/>
          <w:szCs w:val="16"/>
        </w:rPr>
        <w:t xml:space="preserve"> GJ. </w:t>
      </w:r>
      <w:proofErr w:type="gramStart"/>
      <w:r w:rsidRPr="007653EB">
        <w:rPr>
          <w:color w:val="000000"/>
          <w:spacing w:val="-2"/>
          <w:kern w:val="0"/>
          <w:sz w:val="16"/>
          <w:szCs w:val="16"/>
        </w:rPr>
        <w:t>The effect of functional gastrointestinal disorders on psychological comorbidity and quality of life in patients with inflammatory bowel disease.</w:t>
      </w:r>
      <w:proofErr w:type="gramEnd"/>
      <w:r w:rsidRPr="007653EB">
        <w:rPr>
          <w:color w:val="000000"/>
          <w:spacing w:val="-2"/>
          <w:kern w:val="0"/>
          <w:sz w:val="16"/>
          <w:szCs w:val="16"/>
        </w:rPr>
        <w:t xml:space="preserve"> </w:t>
      </w:r>
      <w:r w:rsidRPr="007653EB">
        <w:rPr>
          <w:i/>
          <w:iCs/>
          <w:color w:val="000000"/>
          <w:spacing w:val="-2"/>
          <w:kern w:val="0"/>
          <w:sz w:val="16"/>
          <w:szCs w:val="16"/>
        </w:rPr>
        <w:t xml:space="preserve">Aliment </w:t>
      </w:r>
      <w:proofErr w:type="spellStart"/>
      <w:r w:rsidRPr="007653EB">
        <w:rPr>
          <w:i/>
          <w:iCs/>
          <w:color w:val="000000"/>
          <w:spacing w:val="-2"/>
          <w:kern w:val="0"/>
          <w:sz w:val="16"/>
          <w:szCs w:val="16"/>
        </w:rPr>
        <w:t>Pharmacol</w:t>
      </w:r>
      <w:proofErr w:type="spellEnd"/>
      <w:r w:rsidRPr="007653EB">
        <w:rPr>
          <w:i/>
          <w:iCs/>
          <w:color w:val="000000"/>
          <w:spacing w:val="-2"/>
          <w:kern w:val="0"/>
          <w:sz w:val="16"/>
          <w:szCs w:val="16"/>
        </w:rPr>
        <w:t xml:space="preserve"> </w:t>
      </w:r>
      <w:proofErr w:type="spellStart"/>
      <w:r w:rsidRPr="007653EB">
        <w:rPr>
          <w:i/>
          <w:iCs/>
          <w:color w:val="000000"/>
          <w:spacing w:val="-2"/>
          <w:kern w:val="0"/>
          <w:sz w:val="16"/>
          <w:szCs w:val="16"/>
        </w:rPr>
        <w:t>Ther</w:t>
      </w:r>
      <w:proofErr w:type="spellEnd"/>
      <w:r w:rsidRPr="007653EB">
        <w:rPr>
          <w:color w:val="000000"/>
          <w:spacing w:val="-2"/>
          <w:kern w:val="0"/>
          <w:sz w:val="16"/>
          <w:szCs w:val="16"/>
        </w:rPr>
        <w:t xml:space="preserve"> 2008; </w:t>
      </w:r>
      <w:r w:rsidRPr="007653EB">
        <w:rPr>
          <w:b/>
          <w:bCs/>
          <w:color w:val="000000"/>
          <w:spacing w:val="-2"/>
          <w:kern w:val="0"/>
          <w:sz w:val="16"/>
          <w:szCs w:val="16"/>
        </w:rPr>
        <w:t>28</w:t>
      </w:r>
      <w:r w:rsidRPr="007653EB">
        <w:rPr>
          <w:color w:val="000000"/>
          <w:spacing w:val="-2"/>
          <w:kern w:val="0"/>
          <w:sz w:val="16"/>
          <w:szCs w:val="16"/>
        </w:rPr>
        <w:t>: 475-483 [PMID: 18532989 DOI: 10.1111/j.1365-2036.2008.0375.x]</w:t>
      </w:r>
    </w:p>
    <w:p w:rsidR="009D0154" w:rsidRPr="007653EB" w:rsidRDefault="009D0154" w:rsidP="009D0154">
      <w:pPr>
        <w:suppressAutoHyphens/>
        <w:autoSpaceDE w:val="0"/>
        <w:autoSpaceDN w:val="0"/>
        <w:adjustRightInd w:val="0"/>
        <w:spacing w:line="200" w:lineRule="atLeast"/>
        <w:ind w:left="360" w:hanging="360"/>
        <w:textAlignment w:val="center"/>
        <w:rPr>
          <w:color w:val="000000"/>
          <w:spacing w:val="-1"/>
          <w:kern w:val="0"/>
          <w:sz w:val="16"/>
          <w:szCs w:val="16"/>
        </w:rPr>
      </w:pPr>
    </w:p>
    <w:p w:rsidR="009D0154" w:rsidRDefault="009D0154" w:rsidP="009D0154">
      <w:r>
        <w:t>Footnotes</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Institutional review board statement:</w:t>
      </w:r>
      <w:r w:rsidRPr="007653EB">
        <w:rPr>
          <w:color w:val="000000"/>
          <w:spacing w:val="-2"/>
          <w:kern w:val="0"/>
          <w:sz w:val="18"/>
          <w:szCs w:val="18"/>
        </w:rPr>
        <w:t xml:space="preserve"> The study was approved by the local committee for human ethics, </w:t>
      </w:r>
      <w:proofErr w:type="spellStart"/>
      <w:r w:rsidRPr="007653EB">
        <w:rPr>
          <w:color w:val="000000"/>
          <w:spacing w:val="-2"/>
          <w:kern w:val="0"/>
          <w:sz w:val="18"/>
          <w:szCs w:val="18"/>
        </w:rPr>
        <w:t>Umeå</w:t>
      </w:r>
      <w:proofErr w:type="spellEnd"/>
      <w:r w:rsidRPr="007653EB">
        <w:rPr>
          <w:color w:val="000000"/>
          <w:spacing w:val="-2"/>
          <w:kern w:val="0"/>
          <w:sz w:val="18"/>
          <w:szCs w:val="18"/>
        </w:rPr>
        <w:t xml:space="preserve"> University, </w:t>
      </w:r>
      <w:proofErr w:type="spellStart"/>
      <w:r w:rsidRPr="007653EB">
        <w:rPr>
          <w:color w:val="000000"/>
          <w:spacing w:val="-2"/>
          <w:kern w:val="0"/>
          <w:sz w:val="18"/>
          <w:szCs w:val="18"/>
        </w:rPr>
        <w:t>Dnr</w:t>
      </w:r>
      <w:proofErr w:type="spellEnd"/>
      <w:r w:rsidRPr="007653EB">
        <w:rPr>
          <w:color w:val="000000"/>
          <w:spacing w:val="-2"/>
          <w:kern w:val="0"/>
          <w:sz w:val="18"/>
          <w:szCs w:val="18"/>
        </w:rPr>
        <w:t xml:space="preserve"> 92-158, 01-095. </w:t>
      </w:r>
      <w:proofErr w:type="gramStart"/>
      <w:r w:rsidRPr="007653EB">
        <w:rPr>
          <w:color w:val="000000"/>
          <w:spacing w:val="-2"/>
          <w:kern w:val="0"/>
          <w:sz w:val="18"/>
          <w:szCs w:val="18"/>
        </w:rPr>
        <w:t>03-143, 03-484, 08-132M, 09-015M.</w:t>
      </w:r>
      <w:proofErr w:type="gramEnd"/>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Clinical trial registration statement:</w:t>
      </w:r>
      <w:r w:rsidRPr="007653EB">
        <w:rPr>
          <w:color w:val="000000"/>
          <w:spacing w:val="-2"/>
          <w:kern w:val="0"/>
          <w:sz w:val="18"/>
          <w:szCs w:val="18"/>
        </w:rPr>
        <w:t xml:space="preserve"> The study was not registered at URL.</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Informed consent statement:</w:t>
      </w:r>
      <w:r w:rsidRPr="007653EB">
        <w:rPr>
          <w:color w:val="000000"/>
          <w:spacing w:val="-2"/>
          <w:kern w:val="0"/>
          <w:sz w:val="18"/>
          <w:szCs w:val="18"/>
        </w:rPr>
        <w:t xml:space="preserve"> All patients gave informed consent prior to study enrolment.</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Conflict-of-interest statement:</w:t>
      </w:r>
      <w:r w:rsidRPr="007653EB">
        <w:rPr>
          <w:color w:val="000000"/>
          <w:spacing w:val="-2"/>
          <w:kern w:val="0"/>
          <w:sz w:val="18"/>
          <w:szCs w:val="18"/>
        </w:rPr>
        <w:t xml:space="preserve"> No benefits in any form have been received or will be received from commercial party related directly or </w:t>
      </w:r>
      <w:proofErr w:type="spellStart"/>
      <w:r w:rsidRPr="007653EB">
        <w:rPr>
          <w:color w:val="000000"/>
          <w:spacing w:val="-2"/>
          <w:kern w:val="0"/>
          <w:sz w:val="18"/>
          <w:szCs w:val="18"/>
        </w:rPr>
        <w:t>indirectely</w:t>
      </w:r>
      <w:proofErr w:type="spellEnd"/>
      <w:r w:rsidRPr="007653EB">
        <w:rPr>
          <w:color w:val="000000"/>
          <w:spacing w:val="-2"/>
          <w:kern w:val="0"/>
          <w:sz w:val="18"/>
          <w:szCs w:val="18"/>
        </w:rPr>
        <w:t xml:space="preserve"> to the subject of this article.</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Data sharing statement:</w:t>
      </w:r>
      <w:r w:rsidRPr="007653EB">
        <w:rPr>
          <w:color w:val="000000"/>
          <w:spacing w:val="-2"/>
          <w:kern w:val="0"/>
          <w:sz w:val="18"/>
          <w:szCs w:val="18"/>
        </w:rPr>
        <w:t xml:space="preserve"> Dataset available from the corres</w:t>
      </w:r>
      <w:r w:rsidRPr="007653EB">
        <w:rPr>
          <w:color w:val="000000"/>
          <w:spacing w:val="-2"/>
          <w:kern w:val="0"/>
          <w:sz w:val="18"/>
          <w:szCs w:val="18"/>
        </w:rPr>
        <w:softHyphen/>
        <w:t>ponding author at pontus.karling@umu.se.</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Open-Access:</w:t>
      </w:r>
      <w:r w:rsidRPr="007653EB">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Manuscript source:</w:t>
      </w:r>
      <w:r w:rsidRPr="007653EB">
        <w:rPr>
          <w:color w:val="000000"/>
          <w:spacing w:val="-2"/>
          <w:kern w:val="0"/>
          <w:sz w:val="18"/>
          <w:szCs w:val="18"/>
        </w:rPr>
        <w:t xml:space="preserve"> Invited manuscript</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Peer-review started:</w:t>
      </w:r>
      <w:r w:rsidRPr="007653EB">
        <w:rPr>
          <w:color w:val="000000"/>
          <w:spacing w:val="-2"/>
          <w:kern w:val="0"/>
          <w:sz w:val="18"/>
          <w:szCs w:val="18"/>
        </w:rPr>
        <w:t xml:space="preserve"> May 31, 2016</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First decision:</w:t>
      </w:r>
      <w:r w:rsidRPr="007653EB">
        <w:rPr>
          <w:color w:val="000000"/>
          <w:spacing w:val="-2"/>
          <w:kern w:val="0"/>
          <w:sz w:val="18"/>
          <w:szCs w:val="18"/>
        </w:rPr>
        <w:t xml:space="preserve"> July 12, 2016</w:t>
      </w:r>
    </w:p>
    <w:p w:rsidR="009D0154" w:rsidRPr="007653EB" w:rsidRDefault="009D0154" w:rsidP="009D0154">
      <w:pPr>
        <w:suppressAutoHyphens/>
        <w:autoSpaceDE w:val="0"/>
        <w:autoSpaceDN w:val="0"/>
        <w:adjustRightInd w:val="0"/>
        <w:spacing w:line="210" w:lineRule="atLeast"/>
        <w:textAlignment w:val="center"/>
        <w:rPr>
          <w:color w:val="000000"/>
          <w:spacing w:val="-2"/>
          <w:kern w:val="0"/>
          <w:sz w:val="18"/>
          <w:szCs w:val="18"/>
        </w:rPr>
      </w:pPr>
      <w:r w:rsidRPr="007653EB">
        <w:rPr>
          <w:rFonts w:ascii="Tahoma" w:hAnsi="Tahoma" w:cs="Tahoma"/>
          <w:color w:val="000000"/>
          <w:spacing w:val="-2"/>
          <w:kern w:val="0"/>
          <w:sz w:val="18"/>
          <w:szCs w:val="18"/>
        </w:rPr>
        <w:t>Article in press:</w:t>
      </w:r>
      <w:r w:rsidRPr="007653EB">
        <w:rPr>
          <w:color w:val="000000"/>
          <w:spacing w:val="-2"/>
          <w:kern w:val="0"/>
          <w:sz w:val="18"/>
          <w:szCs w:val="18"/>
        </w:rPr>
        <w:t xml:space="preserve"> September 12, 2016</w:t>
      </w:r>
    </w:p>
    <w:p w:rsidR="009D0154" w:rsidRPr="007653EB" w:rsidRDefault="009D0154" w:rsidP="009D0154">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7653EB">
        <w:rPr>
          <w:b/>
          <w:bCs/>
          <w:color w:val="000000"/>
          <w:spacing w:val="-1"/>
          <w:kern w:val="0"/>
          <w:sz w:val="16"/>
          <w:szCs w:val="16"/>
        </w:rPr>
        <w:t>P- Reviewer</w:t>
      </w:r>
      <w:r w:rsidRPr="007653EB">
        <w:rPr>
          <w:color w:val="000000"/>
          <w:kern w:val="0"/>
          <w:sz w:val="16"/>
          <w:szCs w:val="16"/>
        </w:rPr>
        <w:t>:</w:t>
      </w:r>
      <w:r w:rsidRPr="007653EB">
        <w:rPr>
          <w:color w:val="000000"/>
          <w:spacing w:val="-1"/>
          <w:kern w:val="0"/>
          <w:sz w:val="16"/>
          <w:szCs w:val="16"/>
        </w:rPr>
        <w:t xml:space="preserve"> </w:t>
      </w:r>
      <w:proofErr w:type="spellStart"/>
      <w:r w:rsidRPr="007653EB">
        <w:rPr>
          <w:color w:val="000000"/>
          <w:spacing w:val="-1"/>
          <w:kern w:val="0"/>
          <w:sz w:val="16"/>
          <w:szCs w:val="16"/>
        </w:rPr>
        <w:t>Shehata</w:t>
      </w:r>
      <w:proofErr w:type="spellEnd"/>
      <w:r w:rsidRPr="007653EB">
        <w:rPr>
          <w:color w:val="000000"/>
          <w:spacing w:val="-1"/>
          <w:kern w:val="0"/>
          <w:sz w:val="16"/>
          <w:szCs w:val="16"/>
        </w:rPr>
        <w:t xml:space="preserve"> MMM    </w:t>
      </w:r>
      <w:r w:rsidRPr="007653EB">
        <w:rPr>
          <w:b/>
          <w:bCs/>
          <w:color w:val="000000"/>
          <w:kern w:val="0"/>
          <w:sz w:val="16"/>
          <w:szCs w:val="16"/>
        </w:rPr>
        <w:t>S- Editor</w:t>
      </w:r>
      <w:r w:rsidRPr="007653EB">
        <w:rPr>
          <w:color w:val="000000"/>
          <w:kern w:val="0"/>
          <w:sz w:val="16"/>
          <w:szCs w:val="16"/>
        </w:rPr>
        <w:t>:</w:t>
      </w:r>
      <w:r w:rsidRPr="007653EB">
        <w:rPr>
          <w:b/>
          <w:bCs/>
          <w:color w:val="000000"/>
          <w:kern w:val="0"/>
          <w:sz w:val="16"/>
          <w:szCs w:val="16"/>
        </w:rPr>
        <w:t xml:space="preserve"> </w:t>
      </w:r>
      <w:r w:rsidRPr="007653EB">
        <w:rPr>
          <w:color w:val="000000"/>
          <w:spacing w:val="-1"/>
          <w:kern w:val="0"/>
          <w:sz w:val="16"/>
          <w:szCs w:val="16"/>
        </w:rPr>
        <w:t>Qi Y</w:t>
      </w:r>
      <w:r w:rsidRPr="007653EB">
        <w:rPr>
          <w:color w:val="000000"/>
          <w:kern w:val="0"/>
          <w:sz w:val="16"/>
          <w:szCs w:val="16"/>
        </w:rPr>
        <w:t xml:space="preserve">    </w:t>
      </w:r>
      <w:r w:rsidRPr="007653EB">
        <w:rPr>
          <w:b/>
          <w:bCs/>
          <w:color w:val="000000"/>
          <w:kern w:val="0"/>
          <w:sz w:val="16"/>
          <w:szCs w:val="16"/>
        </w:rPr>
        <w:t>L- Editor</w:t>
      </w:r>
      <w:r w:rsidRPr="007653EB">
        <w:rPr>
          <w:color w:val="000000"/>
          <w:kern w:val="0"/>
          <w:sz w:val="16"/>
          <w:szCs w:val="16"/>
        </w:rPr>
        <w:t xml:space="preserve">: A    </w:t>
      </w:r>
      <w:r w:rsidRPr="007653EB">
        <w:rPr>
          <w:b/>
          <w:bCs/>
          <w:color w:val="000000"/>
          <w:kern w:val="0"/>
          <w:sz w:val="16"/>
          <w:szCs w:val="16"/>
        </w:rPr>
        <w:t>E- Editor</w:t>
      </w:r>
      <w:r w:rsidRPr="007653EB">
        <w:rPr>
          <w:color w:val="000000"/>
          <w:kern w:val="0"/>
          <w:sz w:val="16"/>
          <w:szCs w:val="16"/>
        </w:rPr>
        <w:t>:</w:t>
      </w:r>
      <w:r w:rsidRPr="007653EB">
        <w:rPr>
          <w:b/>
          <w:bCs/>
          <w:color w:val="000000"/>
          <w:kern w:val="0"/>
          <w:sz w:val="16"/>
          <w:szCs w:val="16"/>
        </w:rPr>
        <w:t xml:space="preserve"> </w:t>
      </w:r>
      <w:r w:rsidRPr="007653EB">
        <w:rPr>
          <w:color w:val="000000"/>
          <w:kern w:val="0"/>
          <w:sz w:val="16"/>
          <w:szCs w:val="16"/>
        </w:rPr>
        <w:t>Zhang FF</w:t>
      </w:r>
    </w:p>
    <w:p w:rsidR="009D0154" w:rsidRPr="005B0718"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Pr="007653EB" w:rsidRDefault="009D0154" w:rsidP="009D0154">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6266180"/>
                <wp:effectExtent l="9525" t="7620" r="12065" b="1270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266180"/>
                        </a:xfrm>
                        <a:prstGeom prst="rect">
                          <a:avLst/>
                        </a:prstGeom>
                        <a:solidFill>
                          <a:srgbClr val="FFFFFF"/>
                        </a:solidFill>
                        <a:ln w="9525">
                          <a:solidFill>
                            <a:srgbClr val="000000"/>
                          </a:solidFill>
                          <a:miter lim="800000"/>
                          <a:headEnd/>
                          <a:tailEnd/>
                        </a:ln>
                      </wps:spPr>
                      <wps:txbx>
                        <w:txbxContent>
                          <w:p w:rsidR="009D0154" w:rsidRPr="007653EB" w:rsidRDefault="009D0154" w:rsidP="009D0154">
                            <w:pPr>
                              <w:rPr>
                                <w:b/>
                                <w:bCs/>
                              </w:rPr>
                            </w:pPr>
                            <w:r w:rsidRPr="007653EB">
                              <w:rPr>
                                <w:b/>
                                <w:bCs/>
                              </w:rPr>
                              <w:t xml:space="preserve">Table </w:t>
                            </w:r>
                            <w:proofErr w:type="gramStart"/>
                            <w:r w:rsidRPr="007653EB">
                              <w:rPr>
                                <w:b/>
                                <w:bCs/>
                              </w:rPr>
                              <w:t>1  Basal</w:t>
                            </w:r>
                            <w:proofErr w:type="gramEnd"/>
                            <w:r w:rsidRPr="007653EB">
                              <w:rPr>
                                <w:b/>
                                <w:bCs/>
                              </w:rPr>
                              <w:t xml:space="preserve"> characteristic in patients with bipolar disorder and control subjects representative of a general population</w:t>
                            </w:r>
                          </w:p>
                          <w:tbl>
                            <w:tblPr>
                              <w:tblW w:w="952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43"/>
                              <w:gridCol w:w="2351"/>
                              <w:gridCol w:w="2312"/>
                              <w:gridCol w:w="2019"/>
                            </w:tblGrid>
                            <w:tr w:rsidR="009D0154" w:rsidRPr="007653EB" w:rsidTr="007653EB">
                              <w:trPr>
                                <w:trHeight w:hRule="exact" w:val="525"/>
                              </w:trPr>
                              <w:tc>
                                <w:tcPr>
                                  <w:tcW w:w="2843" w:type="dxa"/>
                                  <w:vMerge w:val="restart"/>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Bipolar disorder</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Controls</w:t>
                                  </w:r>
                                </w:p>
                              </w:tc>
                              <w:tc>
                                <w:tcPr>
                                  <w:tcW w:w="2019" w:type="dxa"/>
                                  <w:vMerge w:val="restart"/>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r>
                            <w:tr w:rsidR="009D0154" w:rsidRPr="007653EB" w:rsidTr="007653EB">
                              <w:trPr>
                                <w:trHeight w:hRule="exact" w:val="546"/>
                              </w:trPr>
                              <w:tc>
                                <w:tcPr>
                                  <w:tcW w:w="2843" w:type="dxa"/>
                                  <w:vMerge/>
                                  <w:tcBorders>
                                    <w:bottom w:val="single" w:sz="6" w:space="0" w:color="000000"/>
                                  </w:tcBorders>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51" w:type="dxa"/>
                                  <w:tcBorders>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w:t>
                                  </w:r>
                                  <w:r w:rsidRPr="007653EB">
                                    <w:rPr>
                                      <w:rFonts w:ascii="Albertus Bold Italic" w:hAnsi="Albertus Bold Italic" w:cs="Albertus Bold Italic"/>
                                      <w:b/>
                                      <w:bCs/>
                                      <w:i/>
                                      <w:iCs/>
                                      <w:color w:val="000000"/>
                                      <w:kern w:val="0"/>
                                      <w:sz w:val="14"/>
                                      <w:szCs w:val="14"/>
                                      <w:lang w:val="zh-CN"/>
                                    </w:rPr>
                                    <w:t>n</w:t>
                                  </w:r>
                                  <w:r w:rsidRPr="007653EB">
                                    <w:rPr>
                                      <w:rFonts w:ascii="Albertus-Bold" w:hAnsi="Albertus-Bold" w:cs="Albertus-Bold"/>
                                      <w:b/>
                                      <w:bCs/>
                                      <w:color w:val="000000"/>
                                      <w:kern w:val="0"/>
                                      <w:sz w:val="14"/>
                                      <w:szCs w:val="14"/>
                                      <w:lang w:val="zh-CN"/>
                                    </w:rPr>
                                    <w:t xml:space="preserve"> = 136)</w:t>
                                  </w:r>
                                </w:p>
                              </w:tc>
                              <w:tc>
                                <w:tcPr>
                                  <w:tcW w:w="2312" w:type="dxa"/>
                                  <w:tcBorders>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w:t>
                                  </w:r>
                                  <w:r w:rsidRPr="007653EB">
                                    <w:rPr>
                                      <w:rFonts w:ascii="Albertus Bold Italic" w:hAnsi="Albertus Bold Italic" w:cs="Albertus Bold Italic"/>
                                      <w:b/>
                                      <w:bCs/>
                                      <w:i/>
                                      <w:iCs/>
                                      <w:color w:val="000000"/>
                                      <w:kern w:val="0"/>
                                      <w:sz w:val="14"/>
                                      <w:szCs w:val="14"/>
                                      <w:lang w:val="zh-CN"/>
                                    </w:rPr>
                                    <w:t>n</w:t>
                                  </w:r>
                                  <w:r w:rsidRPr="007653EB">
                                    <w:rPr>
                                      <w:rFonts w:ascii="Albertus-Bold" w:hAnsi="Albertus-Bold" w:cs="Albertus-Bold"/>
                                      <w:b/>
                                      <w:bCs/>
                                      <w:color w:val="000000"/>
                                      <w:kern w:val="0"/>
                                      <w:sz w:val="14"/>
                                      <w:szCs w:val="14"/>
                                      <w:lang w:val="zh-CN"/>
                                    </w:rPr>
                                    <w:t xml:space="preserve"> = 136)</w:t>
                                  </w:r>
                                </w:p>
                              </w:tc>
                              <w:tc>
                                <w:tcPr>
                                  <w:tcW w:w="2019" w:type="dxa"/>
                                  <w:vMerge/>
                                  <w:tcBorders>
                                    <w:bottom w:val="single" w:sz="6" w:space="0" w:color="000000"/>
                                  </w:tcBorders>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Mean age (SD) (yr)</w:t>
                                  </w:r>
                                </w:p>
                              </w:tc>
                              <w:tc>
                                <w:tcPr>
                                  <w:tcW w:w="2351"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49.9 (14.1)</w:t>
                                  </w:r>
                                </w:p>
                              </w:tc>
                              <w:tc>
                                <w:tcPr>
                                  <w:tcW w:w="2312"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51.0 (11.4)</w:t>
                                  </w:r>
                                </w:p>
                              </w:tc>
                              <w:tc>
                                <w:tcPr>
                                  <w:tcW w:w="2019"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0.505</w:t>
                                  </w:r>
                                </w:p>
                              </w:tc>
                            </w:tr>
                            <w:tr w:rsidR="009D0154" w:rsidRPr="007653EB" w:rsidTr="007653EB">
                              <w:trPr>
                                <w:trHeight w:val="60"/>
                              </w:trPr>
                              <w:tc>
                                <w:tcPr>
                                  <w:tcW w:w="2843"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Women</w:t>
                                  </w:r>
                                </w:p>
                              </w:tc>
                              <w:tc>
                                <w:tcPr>
                                  <w:tcW w:w="2351"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61%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83)</w:t>
                                  </w:r>
                                </w:p>
                              </w:tc>
                              <w:tc>
                                <w:tcPr>
                                  <w:tcW w:w="2312"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60%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81)</w:t>
                                  </w:r>
                                </w:p>
                              </w:tc>
                              <w:tc>
                                <w:tcPr>
                                  <w:tcW w:w="2019"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0.804</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653EB">
                                    <w:rPr>
                                      <w:rFonts w:ascii="Book Antiqua" w:hAnsi="Book Antiqua" w:cs="Book Antiqua"/>
                                      <w:bCs/>
                                      <w:color w:val="000000"/>
                                      <w:kern w:val="0"/>
                                      <w:sz w:val="14"/>
                                      <w:szCs w:val="14"/>
                                    </w:rPr>
                                    <w:t>Mean body mass index (SD) (kg/m</w:t>
                                  </w:r>
                                  <w:r w:rsidRPr="007653EB">
                                    <w:rPr>
                                      <w:rFonts w:ascii="Book Antiqua" w:hAnsi="Book Antiqua" w:cs="Book Antiqua"/>
                                      <w:bCs/>
                                      <w:color w:val="000000"/>
                                      <w:kern w:val="0"/>
                                      <w:sz w:val="14"/>
                                      <w:szCs w:val="14"/>
                                      <w:vertAlign w:val="superscript"/>
                                    </w:rPr>
                                    <w:t>2</w:t>
                                  </w:r>
                                  <w:r w:rsidRPr="007653EB">
                                    <w:rPr>
                                      <w:rFonts w:ascii="Book Antiqua" w:hAnsi="Book Antiqua" w:cs="Book Antiqua"/>
                                      <w:bCs/>
                                      <w:color w:val="000000"/>
                                      <w:kern w:val="0"/>
                                      <w:sz w:val="14"/>
                                      <w:szCs w:val="14"/>
                                    </w:rPr>
                                    <w:t>)</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27.0 (5.50)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25.41 (3.19)</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0.005</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HADS scores (IQR):</w:t>
                                  </w:r>
                                </w:p>
                              </w:tc>
                              <w:tc>
                                <w:tcPr>
                                  <w:tcW w:w="235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12"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HADS-anxiety </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5 (7)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4 (5)</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0.001</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HADS-depression </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3 (5)</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3 (3)</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0.022</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PSQ index (IQR)</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0.27 (0.27)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NA</w:t>
                                  </w: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GSRS scores (IQR):</w:t>
                                  </w:r>
                                </w:p>
                              </w:tc>
                              <w:tc>
                                <w:tcPr>
                                  <w:tcW w:w="235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12"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Abdominal pain</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1.00 (2.00)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0.50 (1.50)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0.076</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Bloating</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1.00 (1.67)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0.50 (1.34)</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0.419</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Diarrhoea</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 (1.50)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0.25 (0.75)</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0.002</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Constipation</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 (2.00)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(1.00)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0.310</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Satiety</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 (1.00)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0.019</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Dyspepsia</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 (1.00)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0.33 (0.67)</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0.850</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Reflux</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 (1.00)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0 (0.50)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0.376</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Total GSRS-IBS</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9.00 (17.00)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7.00 (13.00)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0.020</w:t>
                                  </w:r>
                                  <w:r w:rsidRPr="007653EB">
                                    <w:rPr>
                                      <w:rFonts w:ascii="Book Antiqua" w:hAnsi="Book Antiqua" w:cs="Book Antiqua"/>
                                      <w:bCs/>
                                      <w:color w:val="000000"/>
                                      <w:kern w:val="0"/>
                                      <w:sz w:val="14"/>
                                      <w:szCs w:val="14"/>
                                      <w:vertAlign w:val="superscript"/>
                                      <w:lang w:val="en-GB"/>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Consulters for:</w:t>
                                  </w:r>
                                </w:p>
                              </w:tc>
                              <w:tc>
                                <w:tcPr>
                                  <w:tcW w:w="235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12"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196"/>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Any functional GI disorder</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25%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34)</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17%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23)</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0.108</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IBS</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12%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17)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10%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14)</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0.582</w:t>
                                  </w:r>
                                </w:p>
                              </w:tc>
                            </w:tr>
                          </w:tbl>
                          <w:p w:rsidR="009D0154" w:rsidRPr="00D14BFE" w:rsidRDefault="009D0154" w:rsidP="009D0154">
                            <w:pPr>
                              <w:pStyle w:val="af"/>
                              <w:rPr>
                                <w:vertAlign w:val="superscript"/>
                              </w:rPr>
                            </w:pPr>
                            <w:proofErr w:type="gramStart"/>
                            <w:r w:rsidRPr="007653EB">
                              <w:rPr>
                                <w:b w:val="0"/>
                                <w:vertAlign w:val="superscript"/>
                              </w:rPr>
                              <w:t>1</w:t>
                            </w:r>
                            <w:r w:rsidRPr="007653EB">
                              <w:rPr>
                                <w:b w:val="0"/>
                              </w:rPr>
                              <w:t>Statistical significance.</w:t>
                            </w:r>
                            <w:proofErr w:type="gramEnd"/>
                            <w:r w:rsidRPr="007653EB">
                              <w:rPr>
                                <w:b w:val="0"/>
                              </w:rPr>
                              <w:t xml:space="preserve"> For each separate symptom cluster in the Gastrointestinal Symptom Rating Scale the total score was divided by the amount of items. HADS: Hospital Anxiety and Depression Scale; GSRS: Gastrointestinal Symptom Rating Scale; IBS: Irritable Bowel Syndrome; PSQ: Perceived Stress Questionnaire; IQR: Intra quartile range; NA: Not available.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416.05pt;height:49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">
                <v:textbox style="mso-fit-shape-to-text:t">
                  <w:txbxContent>
                    <w:p w:rsidR="009D0154" w:rsidRPr="007653EB" w:rsidRDefault="009D0154" w:rsidP="009D0154">
                      <w:pPr>
                        <w:rPr>
                          <w:b/>
                          <w:bCs/>
                        </w:rPr>
                      </w:pPr>
                      <w:r w:rsidRPr="007653EB">
                        <w:rPr>
                          <w:b/>
                          <w:bCs/>
                        </w:rPr>
                        <w:t xml:space="preserve">Table </w:t>
                      </w:r>
                      <w:proofErr w:type="gramStart"/>
                      <w:r w:rsidRPr="007653EB">
                        <w:rPr>
                          <w:b/>
                          <w:bCs/>
                        </w:rPr>
                        <w:t>1  Basal</w:t>
                      </w:r>
                      <w:proofErr w:type="gramEnd"/>
                      <w:r w:rsidRPr="007653EB">
                        <w:rPr>
                          <w:b/>
                          <w:bCs/>
                        </w:rPr>
                        <w:t xml:space="preserve"> characteristic in patients with bipolar disorder and control subjects representative of a general population</w:t>
                      </w:r>
                    </w:p>
                    <w:tbl>
                      <w:tblPr>
                        <w:tblW w:w="952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43"/>
                        <w:gridCol w:w="2351"/>
                        <w:gridCol w:w="2312"/>
                        <w:gridCol w:w="2019"/>
                      </w:tblGrid>
                      <w:tr w:rsidR="009D0154" w:rsidRPr="007653EB" w:rsidTr="007653EB">
                        <w:trPr>
                          <w:trHeight w:hRule="exact" w:val="525"/>
                        </w:trPr>
                        <w:tc>
                          <w:tcPr>
                            <w:tcW w:w="2843" w:type="dxa"/>
                            <w:vMerge w:val="restart"/>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Bipolar disorder</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Controls</w:t>
                            </w:r>
                          </w:p>
                        </w:tc>
                        <w:tc>
                          <w:tcPr>
                            <w:tcW w:w="2019" w:type="dxa"/>
                            <w:vMerge w:val="restart"/>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r>
                      <w:tr w:rsidR="009D0154" w:rsidRPr="007653EB" w:rsidTr="007653EB">
                        <w:trPr>
                          <w:trHeight w:hRule="exact" w:val="546"/>
                        </w:trPr>
                        <w:tc>
                          <w:tcPr>
                            <w:tcW w:w="2843" w:type="dxa"/>
                            <w:vMerge/>
                            <w:tcBorders>
                              <w:bottom w:val="single" w:sz="6" w:space="0" w:color="000000"/>
                            </w:tcBorders>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51" w:type="dxa"/>
                            <w:tcBorders>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w:t>
                            </w:r>
                            <w:r w:rsidRPr="007653EB">
                              <w:rPr>
                                <w:rFonts w:ascii="Albertus Bold Italic" w:hAnsi="Albertus Bold Italic" w:cs="Albertus Bold Italic"/>
                                <w:b/>
                                <w:bCs/>
                                <w:i/>
                                <w:iCs/>
                                <w:color w:val="000000"/>
                                <w:kern w:val="0"/>
                                <w:sz w:val="14"/>
                                <w:szCs w:val="14"/>
                                <w:lang w:val="zh-CN"/>
                              </w:rPr>
                              <w:t>n</w:t>
                            </w:r>
                            <w:r w:rsidRPr="007653EB">
                              <w:rPr>
                                <w:rFonts w:ascii="Albertus-Bold" w:hAnsi="Albertus-Bold" w:cs="Albertus-Bold"/>
                                <w:b/>
                                <w:bCs/>
                                <w:color w:val="000000"/>
                                <w:kern w:val="0"/>
                                <w:sz w:val="14"/>
                                <w:szCs w:val="14"/>
                                <w:lang w:val="zh-CN"/>
                              </w:rPr>
                              <w:t xml:space="preserve"> = 136)</w:t>
                            </w:r>
                          </w:p>
                        </w:tc>
                        <w:tc>
                          <w:tcPr>
                            <w:tcW w:w="2312" w:type="dxa"/>
                            <w:tcBorders>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w:t>
                            </w:r>
                            <w:r w:rsidRPr="007653EB">
                              <w:rPr>
                                <w:rFonts w:ascii="Albertus Bold Italic" w:hAnsi="Albertus Bold Italic" w:cs="Albertus Bold Italic"/>
                                <w:b/>
                                <w:bCs/>
                                <w:i/>
                                <w:iCs/>
                                <w:color w:val="000000"/>
                                <w:kern w:val="0"/>
                                <w:sz w:val="14"/>
                                <w:szCs w:val="14"/>
                                <w:lang w:val="zh-CN"/>
                              </w:rPr>
                              <w:t>n</w:t>
                            </w:r>
                            <w:r w:rsidRPr="007653EB">
                              <w:rPr>
                                <w:rFonts w:ascii="Albertus-Bold" w:hAnsi="Albertus-Bold" w:cs="Albertus-Bold"/>
                                <w:b/>
                                <w:bCs/>
                                <w:color w:val="000000"/>
                                <w:kern w:val="0"/>
                                <w:sz w:val="14"/>
                                <w:szCs w:val="14"/>
                                <w:lang w:val="zh-CN"/>
                              </w:rPr>
                              <w:t xml:space="preserve"> = 136)</w:t>
                            </w:r>
                          </w:p>
                        </w:tc>
                        <w:tc>
                          <w:tcPr>
                            <w:tcW w:w="2019" w:type="dxa"/>
                            <w:vMerge/>
                            <w:tcBorders>
                              <w:bottom w:val="single" w:sz="6" w:space="0" w:color="000000"/>
                            </w:tcBorders>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Mean age (SD) (yr)</w:t>
                            </w:r>
                          </w:p>
                        </w:tc>
                        <w:tc>
                          <w:tcPr>
                            <w:tcW w:w="2351"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49.9 (14.1)</w:t>
                            </w:r>
                          </w:p>
                        </w:tc>
                        <w:tc>
                          <w:tcPr>
                            <w:tcW w:w="2312"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51.0 (11.4)</w:t>
                            </w:r>
                          </w:p>
                        </w:tc>
                        <w:tc>
                          <w:tcPr>
                            <w:tcW w:w="2019"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0.505</w:t>
                            </w:r>
                          </w:p>
                        </w:tc>
                      </w:tr>
                      <w:tr w:rsidR="009D0154" w:rsidRPr="007653EB" w:rsidTr="007653EB">
                        <w:trPr>
                          <w:trHeight w:val="60"/>
                        </w:trPr>
                        <w:tc>
                          <w:tcPr>
                            <w:tcW w:w="2843"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Women</w:t>
                            </w:r>
                          </w:p>
                        </w:tc>
                        <w:tc>
                          <w:tcPr>
                            <w:tcW w:w="2351"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61%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83)</w:t>
                            </w:r>
                          </w:p>
                        </w:tc>
                        <w:tc>
                          <w:tcPr>
                            <w:tcW w:w="2312"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60%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81)</w:t>
                            </w:r>
                          </w:p>
                        </w:tc>
                        <w:tc>
                          <w:tcPr>
                            <w:tcW w:w="2019" w:type="dxa"/>
                            <w:tcBorders>
                              <w:top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0.804</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653EB">
                              <w:rPr>
                                <w:rFonts w:ascii="Book Antiqua" w:hAnsi="Book Antiqua" w:cs="Book Antiqua"/>
                                <w:bCs/>
                                <w:color w:val="000000"/>
                                <w:kern w:val="0"/>
                                <w:sz w:val="14"/>
                                <w:szCs w:val="14"/>
                              </w:rPr>
                              <w:t>Mean body mass index (SD) (kg/m</w:t>
                            </w:r>
                            <w:r w:rsidRPr="007653EB">
                              <w:rPr>
                                <w:rFonts w:ascii="Book Antiqua" w:hAnsi="Book Antiqua" w:cs="Book Antiqua"/>
                                <w:bCs/>
                                <w:color w:val="000000"/>
                                <w:kern w:val="0"/>
                                <w:sz w:val="14"/>
                                <w:szCs w:val="14"/>
                                <w:vertAlign w:val="superscript"/>
                              </w:rPr>
                              <w:t>2</w:t>
                            </w:r>
                            <w:r w:rsidRPr="007653EB">
                              <w:rPr>
                                <w:rFonts w:ascii="Book Antiqua" w:hAnsi="Book Antiqua" w:cs="Book Antiqua"/>
                                <w:bCs/>
                                <w:color w:val="000000"/>
                                <w:kern w:val="0"/>
                                <w:sz w:val="14"/>
                                <w:szCs w:val="14"/>
                              </w:rPr>
                              <w:t>)</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27.0 (5.50)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25.41 (3.19)</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0.005</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HADS scores (IQR):</w:t>
                            </w:r>
                          </w:p>
                        </w:tc>
                        <w:tc>
                          <w:tcPr>
                            <w:tcW w:w="235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12"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HADS-anxiety </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5 (7)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4 (5)</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0.001</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HADS-depression </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3 (5)</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3 (3)</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0.022</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PSQ index (IQR)</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0.27 (0.27)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NA</w:t>
                            </w: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GSRS scores (IQR):</w:t>
                            </w:r>
                          </w:p>
                        </w:tc>
                        <w:tc>
                          <w:tcPr>
                            <w:tcW w:w="235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12"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Abdominal pain</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1.00 (2.00)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0.50 (1.50)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0.076</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Bloating</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1.00 (1.67)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0.50 (1.34)</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0.419</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Diarrhoea</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 (1.50)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0.25 (0.75)</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0.002</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Constipation</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 (2.00)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(1.00)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0.310</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Satiety</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 (1.00)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0.019</w:t>
                            </w:r>
                            <w:r w:rsidRPr="007653EB">
                              <w:rPr>
                                <w:rFonts w:ascii="Book Antiqua" w:hAnsi="Book Antiqua" w:cs="Book Antiqua"/>
                                <w:bCs/>
                                <w:color w:val="000000"/>
                                <w:kern w:val="0"/>
                                <w:sz w:val="14"/>
                                <w:szCs w:val="14"/>
                                <w:vertAlign w:val="superscript"/>
                                <w:lang w:val="zh-CN"/>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Dyspepsia</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 (1.00)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0.33 (0.67)</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0.850</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Reflux</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 (1.00)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0 (0.50)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0.376</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Total GSRS-IBS</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9.00 (17.00)</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7.00 (13.00)</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0.020</w:t>
                            </w:r>
                            <w:r w:rsidRPr="007653EB">
                              <w:rPr>
                                <w:rFonts w:ascii="Book Antiqua" w:hAnsi="Book Antiqua" w:cs="Book Antiqua"/>
                                <w:bCs/>
                                <w:color w:val="000000"/>
                                <w:kern w:val="0"/>
                                <w:sz w:val="14"/>
                                <w:szCs w:val="14"/>
                                <w:vertAlign w:val="superscript"/>
                                <w:lang w:val="en-GB"/>
                              </w:rPr>
                              <w:t>1</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Consulters for:</w:t>
                            </w:r>
                          </w:p>
                        </w:tc>
                        <w:tc>
                          <w:tcPr>
                            <w:tcW w:w="235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12"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019"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196"/>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Any functional GI disorder</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25%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34)</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17%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23)</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0.108</w:t>
                            </w:r>
                          </w:p>
                        </w:tc>
                      </w:tr>
                      <w:tr w:rsidR="009D0154" w:rsidRPr="007653EB" w:rsidTr="007653EB">
                        <w:trPr>
                          <w:trHeight w:val="60"/>
                        </w:trPr>
                        <w:tc>
                          <w:tcPr>
                            <w:tcW w:w="2843"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 xml:space="preserve">   IBS</w:t>
                            </w:r>
                          </w:p>
                        </w:tc>
                        <w:tc>
                          <w:tcPr>
                            <w:tcW w:w="235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12%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17)</w:t>
                            </w:r>
                          </w:p>
                        </w:tc>
                        <w:tc>
                          <w:tcPr>
                            <w:tcW w:w="2312"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10% (</w:t>
                            </w:r>
                            <w:r w:rsidRPr="007653EB">
                              <w:rPr>
                                <w:rFonts w:ascii="Book Antiqua" w:hAnsi="Book Antiqua" w:cs="Book Antiqua"/>
                                <w:i/>
                                <w:iCs/>
                                <w:color w:val="000000"/>
                                <w:kern w:val="0"/>
                                <w:sz w:val="14"/>
                                <w:szCs w:val="14"/>
                                <w:lang w:val="en-GB"/>
                              </w:rPr>
                              <w:t>n</w:t>
                            </w:r>
                            <w:r w:rsidRPr="007653EB">
                              <w:rPr>
                                <w:rFonts w:ascii="Book Antiqua" w:hAnsi="Book Antiqua" w:cs="Book Antiqua"/>
                                <w:bCs/>
                                <w:color w:val="000000"/>
                                <w:kern w:val="0"/>
                                <w:sz w:val="14"/>
                                <w:szCs w:val="14"/>
                                <w:lang w:val="en-GB"/>
                              </w:rPr>
                              <w:t xml:space="preserve"> = 14)</w:t>
                            </w:r>
                          </w:p>
                        </w:tc>
                        <w:tc>
                          <w:tcPr>
                            <w:tcW w:w="2019"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en-GB"/>
                              </w:rPr>
                              <w:t>0.582</w:t>
                            </w:r>
                          </w:p>
                        </w:tc>
                      </w:tr>
                    </w:tbl>
                    <w:p w:rsidR="009D0154" w:rsidRPr="00D14BFE" w:rsidRDefault="009D0154" w:rsidP="009D0154">
                      <w:pPr>
                        <w:pStyle w:val="af"/>
                        <w:rPr>
                          <w:vertAlign w:val="superscript"/>
                        </w:rPr>
                      </w:pPr>
                      <w:proofErr w:type="gramStart"/>
                      <w:r w:rsidRPr="007653EB">
                        <w:rPr>
                          <w:b w:val="0"/>
                          <w:vertAlign w:val="superscript"/>
                        </w:rPr>
                        <w:t>1</w:t>
                      </w:r>
                      <w:r w:rsidRPr="007653EB">
                        <w:rPr>
                          <w:b w:val="0"/>
                        </w:rPr>
                        <w:t>Statistical significance.</w:t>
                      </w:r>
                      <w:proofErr w:type="gramEnd"/>
                      <w:r w:rsidRPr="007653EB">
                        <w:rPr>
                          <w:b w:val="0"/>
                        </w:rPr>
                        <w:t xml:space="preserve"> For each separate symptom cluster in the Gastrointestinal Symptom Rating Scale the total score was divided by the amount of items. HADS: Hospital Anxiety and Depression Scale; GSRS: Gastrointestinal Symptom Rating Scale; IBS: Irritable Bowel Syndrome; PSQ: Perceived Stress Questionnaire; IQR: Intra quartile range; NA: Not available.</w:t>
                      </w:r>
                    </w:p>
                  </w:txbxContent>
                </v:textbox>
                <w10:wrap type="square"/>
              </v:shape>
            </w:pict>
          </mc:Fallback>
        </mc:AlternateContent>
      </w:r>
    </w:p>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Pr="007653EB" w:rsidRDefault="009D0154" w:rsidP="009D0154">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6678295"/>
                <wp:effectExtent l="9525" t="7620" r="12065" b="1016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678295"/>
                        </a:xfrm>
                        <a:prstGeom prst="rect">
                          <a:avLst/>
                        </a:prstGeom>
                        <a:solidFill>
                          <a:srgbClr val="FFFFFF"/>
                        </a:solidFill>
                        <a:ln w="9525">
                          <a:solidFill>
                            <a:srgbClr val="000000"/>
                          </a:solidFill>
                          <a:miter lim="800000"/>
                          <a:headEnd/>
                          <a:tailEnd/>
                        </a:ln>
                      </wps:spPr>
                      <wps:txbx>
                        <w:txbxContent>
                          <w:p w:rsidR="009D0154" w:rsidRPr="007653EB" w:rsidRDefault="009D0154" w:rsidP="009D0154">
                            <w:pPr>
                              <w:rPr>
                                <w:b/>
                                <w:bCs/>
                              </w:rPr>
                            </w:pPr>
                            <w:r w:rsidRPr="007653EB">
                              <w:rPr>
                                <w:b/>
                                <w:bCs/>
                              </w:rPr>
                              <w:t xml:space="preserve">Table </w:t>
                            </w:r>
                            <w:proofErr w:type="gramStart"/>
                            <w:r w:rsidRPr="007653EB">
                              <w:rPr>
                                <w:b/>
                                <w:bCs/>
                              </w:rPr>
                              <w:t>2  Control</w:t>
                            </w:r>
                            <w:proofErr w:type="gramEnd"/>
                            <w:r w:rsidRPr="007653EB">
                              <w:rPr>
                                <w:b/>
                                <w:bCs/>
                              </w:rPr>
                              <w:t xml:space="preserve"> subjects and patients with bipolar disorder with low scores on depression and low scores on anxiety score </w:t>
                            </w:r>
                            <w:proofErr w:type="spellStart"/>
                            <w:r w:rsidRPr="007653EB">
                              <w:rPr>
                                <w:b/>
                                <w:bCs/>
                                <w:i/>
                                <w:iCs/>
                              </w:rPr>
                              <w:t>vs</w:t>
                            </w:r>
                            <w:proofErr w:type="spellEnd"/>
                            <w:r w:rsidRPr="007653EB">
                              <w:rPr>
                                <w:b/>
                                <w:bCs/>
                                <w:i/>
                                <w:iCs/>
                              </w:rPr>
                              <w:t xml:space="preserve"> </w:t>
                            </w:r>
                            <w:r w:rsidRPr="007653EB">
                              <w:rPr>
                                <w:b/>
                                <w:bCs/>
                              </w:rPr>
                              <w:t>patients with high scores on depression and/or high scores on anxiety</w:t>
                            </w:r>
                          </w:p>
                          <w:tbl>
                            <w:tblPr>
                              <w:tblW w:w="953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18"/>
                              <w:gridCol w:w="2514"/>
                              <w:gridCol w:w="2337"/>
                              <w:gridCol w:w="2261"/>
                            </w:tblGrid>
                            <w:tr w:rsidR="009D0154" w:rsidRPr="007653EB" w:rsidTr="007653EB">
                              <w:trPr>
                                <w:trHeight w:hRule="exact" w:val="1068"/>
                              </w:trPr>
                              <w:tc>
                                <w:tcPr>
                                  <w:tcW w:w="2418"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514"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7653EB">
                                    <w:rPr>
                                      <w:rFonts w:ascii="Albertus-Bold" w:hAnsi="Albertus-Bold" w:cs="Albertus-Bold"/>
                                      <w:b/>
                                      <w:bCs/>
                                      <w:color w:val="000000"/>
                                      <w:kern w:val="0"/>
                                      <w:sz w:val="14"/>
                                      <w:szCs w:val="14"/>
                                    </w:rPr>
                                    <w:t xml:space="preserve">Bipolar patients with HADS-D </w:t>
                                  </w:r>
                                  <w:r w:rsidRPr="007653EB">
                                    <w:rPr>
                                      <w:rFonts w:ascii="宋体" w:hAnsi="Albertus-Bold" w:cs="宋体" w:hint="eastAsia"/>
                                      <w:b/>
                                      <w:color w:val="000000"/>
                                      <w:kern w:val="0"/>
                                      <w:sz w:val="14"/>
                                      <w:szCs w:val="14"/>
                                    </w:rPr>
                                    <w:t>≥</w:t>
                                  </w:r>
                                  <w:r w:rsidRPr="007653EB">
                                    <w:rPr>
                                      <w:rFonts w:ascii="Albertus-Bold" w:hAnsi="Albertus-Bold" w:cs="Albertus-Bold"/>
                                      <w:b/>
                                      <w:bCs/>
                                      <w:color w:val="000000"/>
                                      <w:kern w:val="0"/>
                                      <w:sz w:val="14"/>
                                      <w:szCs w:val="14"/>
                                    </w:rPr>
                                    <w:t xml:space="preserve"> 8 and/or HADS-A </w:t>
                                  </w:r>
                                  <w:r w:rsidRPr="007653EB">
                                    <w:rPr>
                                      <w:rFonts w:ascii="宋体" w:hAnsi="Albertus-Bold" w:cs="宋体" w:hint="eastAsia"/>
                                      <w:b/>
                                      <w:color w:val="000000"/>
                                      <w:kern w:val="0"/>
                                      <w:sz w:val="14"/>
                                      <w:szCs w:val="14"/>
                                    </w:rPr>
                                    <w:t>≥</w:t>
                                  </w:r>
                                  <w:r w:rsidRPr="007653EB">
                                    <w:rPr>
                                      <w:rFonts w:ascii="Albertus-Bold" w:hAnsi="Albertus-Bold" w:cs="Albertus-Bold"/>
                                      <w:b/>
                                      <w:bCs/>
                                      <w:color w:val="000000"/>
                                      <w:kern w:val="0"/>
                                      <w:sz w:val="14"/>
                                      <w:szCs w:val="14"/>
                                    </w:rPr>
                                    <w:t xml:space="preserve"> 9 (</w:t>
                                  </w:r>
                                  <w:r w:rsidRPr="007653EB">
                                    <w:rPr>
                                      <w:rFonts w:ascii="Albertus Bold Italic" w:hAnsi="Albertus Bold Italic" w:cs="Albertus Bold Italic"/>
                                      <w:b/>
                                      <w:bCs/>
                                      <w:i/>
                                      <w:iCs/>
                                      <w:color w:val="000000"/>
                                      <w:kern w:val="0"/>
                                      <w:sz w:val="14"/>
                                      <w:szCs w:val="14"/>
                                    </w:rPr>
                                    <w:t>n</w:t>
                                  </w:r>
                                  <w:r w:rsidRPr="007653EB">
                                    <w:rPr>
                                      <w:rFonts w:ascii="Albertus-Bold" w:hAnsi="Albertus-Bold" w:cs="Albertus-Bold"/>
                                      <w:b/>
                                      <w:bCs/>
                                      <w:color w:val="000000"/>
                                      <w:kern w:val="0"/>
                                      <w:sz w:val="14"/>
                                      <w:szCs w:val="14"/>
                                    </w:rPr>
                                    <w:t xml:space="preserve"> = 48)</w:t>
                                  </w:r>
                                </w:p>
                              </w:tc>
                              <w:tc>
                                <w:tcPr>
                                  <w:tcW w:w="2337"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7653EB">
                                    <w:rPr>
                                      <w:rFonts w:ascii="Albertus-Bold" w:hAnsi="Albertus-Bold" w:cs="Albertus-Bold"/>
                                      <w:b/>
                                      <w:bCs/>
                                      <w:color w:val="000000"/>
                                      <w:kern w:val="0"/>
                                      <w:sz w:val="14"/>
                                      <w:szCs w:val="14"/>
                                    </w:rPr>
                                    <w:t>Bipolar patients with HADS-D &lt; 8 and HADS-A &lt; 9 (</w:t>
                                  </w:r>
                                  <w:r w:rsidRPr="007653EB">
                                    <w:rPr>
                                      <w:rFonts w:ascii="Albertus Bold Italic" w:hAnsi="Albertus Bold Italic" w:cs="Albertus Bold Italic"/>
                                      <w:b/>
                                      <w:bCs/>
                                      <w:i/>
                                      <w:iCs/>
                                      <w:color w:val="000000"/>
                                      <w:kern w:val="0"/>
                                      <w:sz w:val="14"/>
                                      <w:szCs w:val="14"/>
                                    </w:rPr>
                                    <w:t>n</w:t>
                                  </w:r>
                                  <w:r w:rsidRPr="007653EB">
                                    <w:rPr>
                                      <w:rFonts w:ascii="Albertus-Bold" w:hAnsi="Albertus-Bold" w:cs="Albertus-Bold"/>
                                      <w:b/>
                                      <w:bCs/>
                                      <w:color w:val="000000"/>
                                      <w:kern w:val="0"/>
                                      <w:sz w:val="14"/>
                                      <w:szCs w:val="14"/>
                                    </w:rPr>
                                    <w:t xml:space="preserve"> = 88)</w:t>
                                  </w:r>
                                </w:p>
                              </w:tc>
                              <w:tc>
                                <w:tcPr>
                                  <w:tcW w:w="2261"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7653EB">
                                    <w:rPr>
                                      <w:rFonts w:ascii="Albertus-Bold" w:hAnsi="Albertus-Bold" w:cs="Albertus-Bold"/>
                                      <w:b/>
                                      <w:bCs/>
                                      <w:color w:val="000000"/>
                                      <w:kern w:val="0"/>
                                      <w:sz w:val="14"/>
                                      <w:szCs w:val="14"/>
                                    </w:rPr>
                                    <w:t>Controls with HADS-D &lt; 8 and HADS-A &lt; 9 (</w:t>
                                  </w:r>
                                  <w:r w:rsidRPr="007653EB">
                                    <w:rPr>
                                      <w:rFonts w:ascii="Albertus Bold Italic" w:hAnsi="Albertus Bold Italic" w:cs="Albertus Bold Italic"/>
                                      <w:b/>
                                      <w:bCs/>
                                      <w:i/>
                                      <w:iCs/>
                                      <w:color w:val="000000"/>
                                      <w:kern w:val="0"/>
                                      <w:sz w:val="14"/>
                                      <w:szCs w:val="14"/>
                                    </w:rPr>
                                    <w:t>n</w:t>
                                  </w:r>
                                  <w:r w:rsidRPr="007653EB">
                                    <w:rPr>
                                      <w:rFonts w:ascii="Albertus-Bold" w:hAnsi="Albertus-Bold" w:cs="Albertus-Bold"/>
                                      <w:b/>
                                      <w:bCs/>
                                      <w:color w:val="000000"/>
                                      <w:kern w:val="0"/>
                                      <w:sz w:val="14"/>
                                      <w:szCs w:val="14"/>
                                    </w:rPr>
                                    <w:t xml:space="preserve"> = 118)</w:t>
                                  </w:r>
                                </w:p>
                              </w:tc>
                            </w:tr>
                            <w:tr w:rsidR="009D0154" w:rsidRPr="007653EB" w:rsidTr="007653EB">
                              <w:trPr>
                                <w:trHeight w:val="60"/>
                              </w:trPr>
                              <w:tc>
                                <w:tcPr>
                                  <w:tcW w:w="2418"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Mean age (SD) (yr)</w:t>
                                  </w:r>
                                </w:p>
                              </w:tc>
                              <w:tc>
                                <w:tcPr>
                                  <w:tcW w:w="2514"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46.7 (12.8)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0.048)</w:t>
                                  </w:r>
                                  <w:r w:rsidRPr="007653EB">
                                    <w:rPr>
                                      <w:rFonts w:ascii="Book Antiqua" w:hAnsi="Book Antiqua" w:cs="Book Antiqua"/>
                                      <w:bCs/>
                                      <w:color w:val="000000"/>
                                      <w:kern w:val="0"/>
                                      <w:sz w:val="14"/>
                                      <w:szCs w:val="14"/>
                                      <w:vertAlign w:val="superscript"/>
                                      <w:lang w:val="zh-CN"/>
                                    </w:rPr>
                                    <w:t>1</w:t>
                                  </w:r>
                                </w:p>
                              </w:tc>
                              <w:tc>
                                <w:tcPr>
                                  <w:tcW w:w="2337"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51.7 (14.4)</w:t>
                                  </w:r>
                                </w:p>
                              </w:tc>
                              <w:tc>
                                <w:tcPr>
                                  <w:tcW w:w="2261"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51.5 (11.8)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0.903)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Proportions of women </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58%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28)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0.634)</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62%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55)</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59%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70)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0.644)</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653EB">
                                    <w:rPr>
                                      <w:rFonts w:ascii="Book Antiqua" w:hAnsi="Book Antiqua" w:cs="Book Antiqua"/>
                                      <w:bCs/>
                                      <w:color w:val="000000"/>
                                      <w:kern w:val="0"/>
                                      <w:sz w:val="14"/>
                                      <w:szCs w:val="14"/>
                                    </w:rPr>
                                    <w:t>Mean Body mass index (kg/m</w:t>
                                  </w:r>
                                  <w:r w:rsidRPr="007653EB">
                                    <w:rPr>
                                      <w:rFonts w:ascii="Book Antiqua" w:hAnsi="Book Antiqua" w:cs="Book Antiqua"/>
                                      <w:bCs/>
                                      <w:color w:val="000000"/>
                                      <w:kern w:val="0"/>
                                      <w:sz w:val="14"/>
                                      <w:szCs w:val="14"/>
                                      <w:vertAlign w:val="superscript"/>
                                    </w:rPr>
                                    <w:t>2</w:t>
                                  </w:r>
                                  <w:r w:rsidRPr="007653EB">
                                    <w:rPr>
                                      <w:rFonts w:ascii="Book Antiqua" w:hAnsi="Book Antiqua" w:cs="Book Antiqua"/>
                                      <w:bCs/>
                                      <w:color w:val="000000"/>
                                      <w:kern w:val="0"/>
                                      <w:sz w:val="14"/>
                                      <w:szCs w:val="14"/>
                                    </w:rPr>
                                    <w:t>) (SD)</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27.2 (4.6)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0.632)</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26.8 (5.97)</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25.6 (3.26)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0.063)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HADS score (IQR)</w:t>
                                  </w:r>
                                </w:p>
                              </w:tc>
                              <w:tc>
                                <w:tcPr>
                                  <w:tcW w:w="2514"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37"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26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HADS-anxiety</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10.5 (5.0)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3.0 (4.0)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3.0 (4.0)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0.660)</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HADS-depression</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9.0 (9.0)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2.0 (3.0)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2.0 (3.0)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0.505)</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PSQ index (IQR)</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0.47 (0.28)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0.20 (0.17)</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NA</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GSRS score (IQR):</w:t>
                                  </w:r>
                                </w:p>
                              </w:tc>
                              <w:tc>
                                <w:tcPr>
                                  <w:tcW w:w="2514"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37"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26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Abdominal pain</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1.50 (2.50)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0.002)</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 (1.50)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0.558)</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Bloating</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1.67 (2.33)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0.67 (1.33)</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0.67 (1.67)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0.415)</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Diarrhoea</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1.25 (2.25)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 (1.00)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0.25 (0.75)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0.107)</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Constipation</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(2.00)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0.380)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(1.50)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(1.00)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0.453)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Satiety</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0.50 (2.00)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0.003)</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0.513)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Dyspepsia</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0.67 (1.33)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0.002)</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(0.67)</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0.33 (0.67)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0.291)</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Reflux</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(2.13)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0.098)</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(0.88)</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0.796)</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Total GSRS-IBS </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15.0 (23.0)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7.00 (12.0)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6.50 (13.0)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0.513)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Consulters:</w:t>
                                  </w:r>
                                </w:p>
                              </w:tc>
                              <w:tc>
                                <w:tcPr>
                                  <w:tcW w:w="2514"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37"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26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418" w:type="dxa"/>
                                  <w:tcMar>
                                    <w:top w:w="28" w:type="dxa"/>
                                    <w:left w:w="28" w:type="dxa"/>
                                    <w:bottom w:w="28" w:type="dxa"/>
                                    <w:right w:w="28" w:type="dxa"/>
                                  </w:tcMar>
                                </w:tcPr>
                                <w:p w:rsidR="009D0154" w:rsidRPr="009D0154"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9D0154">
                                    <w:rPr>
                                      <w:rFonts w:ascii="Book Antiqua" w:hAnsi="Book Antiqua" w:cs="Book Antiqua"/>
                                      <w:bCs/>
                                      <w:color w:val="000000"/>
                                      <w:kern w:val="0"/>
                                      <w:sz w:val="14"/>
                                      <w:szCs w:val="14"/>
                                    </w:rPr>
                                    <w:t xml:space="preserve">   For any functional GI disorder</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9D0154">
                                    <w:rPr>
                                      <w:rFonts w:ascii="Book Antiqua" w:hAnsi="Book Antiqua" w:cs="Book Antiqua"/>
                                      <w:bCs/>
                                      <w:color w:val="000000"/>
                                      <w:kern w:val="0"/>
                                      <w:sz w:val="14"/>
                                      <w:szCs w:val="14"/>
                                    </w:rPr>
                                    <w:t xml:space="preserve">     </w:t>
                                  </w:r>
                                  <w:r w:rsidRPr="007653EB">
                                    <w:rPr>
                                      <w:rFonts w:ascii="Book Antiqua" w:hAnsi="Book Antiqua" w:cs="Book Antiqua"/>
                                      <w:bCs/>
                                      <w:color w:val="000000"/>
                                      <w:kern w:val="0"/>
                                      <w:sz w:val="14"/>
                                      <w:szCs w:val="14"/>
                                      <w:lang w:val="zh-CN"/>
                                    </w:rPr>
                                    <w:t>29%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14)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0.407)</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23%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20)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14%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17)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0.131)</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IBS</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17%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0.290)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10% (</w:t>
                                  </w:r>
                                  <w:r w:rsidRPr="007653EB">
                                    <w:rPr>
                                      <w:rFonts w:ascii="Book Antiqua" w:hAnsi="Book Antiqua" w:cs="Book Antiqua"/>
                                      <w:i/>
                                      <w:iCs/>
                                      <w:color w:val="000000"/>
                                      <w:kern w:val="0"/>
                                      <w:sz w:val="14"/>
                                      <w:szCs w:val="14"/>
                                    </w:rPr>
                                    <w:t>n</w:t>
                                  </w:r>
                                  <w:r w:rsidRPr="007653EB">
                                    <w:rPr>
                                      <w:rFonts w:ascii="Book Antiqua" w:hAnsi="Book Antiqua" w:cs="Book Antiqua"/>
                                      <w:bCs/>
                                      <w:color w:val="000000"/>
                                      <w:kern w:val="0"/>
                                      <w:sz w:val="14"/>
                                      <w:szCs w:val="14"/>
                                    </w:rPr>
                                    <w:t xml:space="preserve"> = 9)</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10% (</w:t>
                                  </w:r>
                                  <w:r w:rsidRPr="007653EB">
                                    <w:rPr>
                                      <w:rFonts w:ascii="Book Antiqua" w:hAnsi="Book Antiqua" w:cs="Book Antiqua"/>
                                      <w:i/>
                                      <w:iCs/>
                                      <w:color w:val="000000"/>
                                      <w:kern w:val="0"/>
                                      <w:sz w:val="14"/>
                                      <w:szCs w:val="14"/>
                                    </w:rPr>
                                    <w:t>n</w:t>
                                  </w:r>
                                  <w:r w:rsidRPr="007653EB">
                                    <w:rPr>
                                      <w:rFonts w:ascii="Book Antiqua" w:hAnsi="Book Antiqua" w:cs="Book Antiqua"/>
                                      <w:bCs/>
                                      <w:color w:val="000000"/>
                                      <w:kern w:val="0"/>
                                      <w:sz w:val="14"/>
                                      <w:szCs w:val="14"/>
                                    </w:rPr>
                                    <w:t xml:space="preserve"> = 12) (</w:t>
                                  </w:r>
                                  <w:r w:rsidRPr="007653EB">
                                    <w:rPr>
                                      <w:rFonts w:ascii="Book Antiqua" w:hAnsi="Book Antiqua" w:cs="Book Antiqua"/>
                                      <w:i/>
                                      <w:iCs/>
                                      <w:color w:val="000000"/>
                                      <w:kern w:val="0"/>
                                      <w:sz w:val="14"/>
                                      <w:szCs w:val="14"/>
                                    </w:rPr>
                                    <w:t>P</w:t>
                                  </w:r>
                                  <w:r w:rsidRPr="007653EB">
                                    <w:rPr>
                                      <w:rFonts w:ascii="Book Antiqua" w:hAnsi="Book Antiqua" w:cs="Book Antiqua"/>
                                      <w:bCs/>
                                      <w:color w:val="000000"/>
                                      <w:kern w:val="0"/>
                                      <w:sz w:val="14"/>
                                      <w:szCs w:val="14"/>
                                    </w:rPr>
                                    <w:t xml:space="preserve"> = 0.995)</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653EB">
                                    <w:rPr>
                                      <w:rFonts w:ascii="Book Antiqua" w:hAnsi="Book Antiqua" w:cs="Book Antiqua"/>
                                      <w:bCs/>
                                      <w:color w:val="000000"/>
                                      <w:kern w:val="0"/>
                                      <w:sz w:val="14"/>
                                      <w:szCs w:val="14"/>
                                    </w:rPr>
                                    <w:t>Median number of drugs (IQR)</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3.0 (3.0) (</w:t>
                                  </w:r>
                                  <w:r w:rsidRPr="007653EB">
                                    <w:rPr>
                                      <w:rFonts w:ascii="Book Antiqua" w:hAnsi="Book Antiqua" w:cs="Book Antiqua"/>
                                      <w:i/>
                                      <w:iCs/>
                                      <w:color w:val="000000"/>
                                      <w:kern w:val="0"/>
                                      <w:sz w:val="14"/>
                                      <w:szCs w:val="14"/>
                                    </w:rPr>
                                    <w:t>P</w:t>
                                  </w:r>
                                  <w:r w:rsidRPr="007653EB">
                                    <w:rPr>
                                      <w:rFonts w:ascii="Book Antiqua" w:hAnsi="Book Antiqua" w:cs="Book Antiqua"/>
                                      <w:bCs/>
                                      <w:color w:val="000000"/>
                                      <w:kern w:val="0"/>
                                      <w:sz w:val="14"/>
                                      <w:szCs w:val="14"/>
                                    </w:rPr>
                                    <w:t xml:space="preserve"> = 0.557)</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3.0 (3.0)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1.0 (2.0) (</w:t>
                                  </w:r>
                                  <w:r w:rsidRPr="007653EB">
                                    <w:rPr>
                                      <w:rFonts w:ascii="Book Antiqua" w:hAnsi="Book Antiqua" w:cs="Book Antiqua"/>
                                      <w:i/>
                                      <w:iCs/>
                                      <w:color w:val="000000"/>
                                      <w:kern w:val="0"/>
                                      <w:sz w:val="14"/>
                                      <w:szCs w:val="14"/>
                                    </w:rPr>
                                    <w:t>P</w:t>
                                  </w:r>
                                  <w:r w:rsidRPr="007653EB">
                                    <w:rPr>
                                      <w:rFonts w:ascii="Book Antiqua" w:hAnsi="Book Antiqua" w:cs="Book Antiqua"/>
                                      <w:bCs/>
                                      <w:color w:val="000000"/>
                                      <w:kern w:val="0"/>
                                      <w:sz w:val="14"/>
                                      <w:szCs w:val="14"/>
                                    </w:rPr>
                                    <w:t xml:space="preserve"> &lt; 0.001)</w:t>
                                  </w:r>
                                  <w:r w:rsidRPr="007653EB">
                                    <w:rPr>
                                      <w:rFonts w:ascii="Book Antiqua" w:hAnsi="Book Antiqua" w:cs="Book Antiqua"/>
                                      <w:bCs/>
                                      <w:color w:val="000000"/>
                                      <w:kern w:val="0"/>
                                      <w:sz w:val="14"/>
                                      <w:szCs w:val="14"/>
                                      <w:vertAlign w:val="superscript"/>
                                    </w:rPr>
                                    <w:t>1</w:t>
                                  </w:r>
                                </w:p>
                              </w:tc>
                            </w:tr>
                          </w:tbl>
                          <w:p w:rsidR="009D0154" w:rsidRPr="00F31C13" w:rsidRDefault="009D0154" w:rsidP="009D0154">
                            <w:pPr>
                              <w:pStyle w:val="af"/>
                              <w:rPr>
                                <w:vertAlign w:val="superscript"/>
                              </w:rPr>
                            </w:pPr>
                            <w:proofErr w:type="gramStart"/>
                            <w:r w:rsidRPr="007653EB">
                              <w:rPr>
                                <w:b w:val="0"/>
                                <w:vertAlign w:val="superscript"/>
                              </w:rPr>
                              <w:t>1</w:t>
                            </w:r>
                            <w:r w:rsidRPr="007653EB">
                              <w:rPr>
                                <w:b w:val="0"/>
                              </w:rPr>
                              <w:t>Statistical significance.</w:t>
                            </w:r>
                            <w:proofErr w:type="gramEnd"/>
                            <w:r w:rsidRPr="007653EB">
                              <w:rPr>
                                <w:b w:val="0"/>
                              </w:rPr>
                              <w:t xml:space="preserve"> For each separate symptom cluster in the Gastrointestinal Symptom Rating Scale the total score was divided by the amount of items. HADS: Hospital Anxiety and Depression Scale; GSRS: Gastrointestinal Symptom Rating Scale; GI: Gastrointestinal; IBS: Irritable bowel syndrome; IQR: Intra quartile range; NA: Not available.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0;margin-top:0;width:416.05pt;height:525.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">
                <v:textbox style="mso-fit-shape-to-text:t">
                  <w:txbxContent>
                    <w:p w:rsidR="009D0154" w:rsidRPr="007653EB" w:rsidRDefault="009D0154" w:rsidP="009D0154">
                      <w:pPr>
                        <w:rPr>
                          <w:b/>
                          <w:bCs/>
                        </w:rPr>
                      </w:pPr>
                      <w:r w:rsidRPr="007653EB">
                        <w:rPr>
                          <w:b/>
                          <w:bCs/>
                        </w:rPr>
                        <w:t xml:space="preserve">Table </w:t>
                      </w:r>
                      <w:proofErr w:type="gramStart"/>
                      <w:r w:rsidRPr="007653EB">
                        <w:rPr>
                          <w:b/>
                          <w:bCs/>
                        </w:rPr>
                        <w:t>2  Control</w:t>
                      </w:r>
                      <w:proofErr w:type="gramEnd"/>
                      <w:r w:rsidRPr="007653EB">
                        <w:rPr>
                          <w:b/>
                          <w:bCs/>
                        </w:rPr>
                        <w:t xml:space="preserve"> subjects and patients with bipolar disorder with low scores on depression and low scores on anxiety score </w:t>
                      </w:r>
                      <w:proofErr w:type="spellStart"/>
                      <w:r w:rsidRPr="007653EB">
                        <w:rPr>
                          <w:b/>
                          <w:bCs/>
                          <w:i/>
                          <w:iCs/>
                        </w:rPr>
                        <w:t>vs</w:t>
                      </w:r>
                      <w:proofErr w:type="spellEnd"/>
                      <w:r w:rsidRPr="007653EB">
                        <w:rPr>
                          <w:b/>
                          <w:bCs/>
                          <w:i/>
                          <w:iCs/>
                        </w:rPr>
                        <w:t xml:space="preserve"> </w:t>
                      </w:r>
                      <w:r w:rsidRPr="007653EB">
                        <w:rPr>
                          <w:b/>
                          <w:bCs/>
                        </w:rPr>
                        <w:t>patients with high scores on depression and/or high scores on anxiety</w:t>
                      </w:r>
                    </w:p>
                    <w:tbl>
                      <w:tblPr>
                        <w:tblW w:w="953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18"/>
                        <w:gridCol w:w="2514"/>
                        <w:gridCol w:w="2337"/>
                        <w:gridCol w:w="2261"/>
                      </w:tblGrid>
                      <w:tr w:rsidR="009D0154" w:rsidRPr="007653EB" w:rsidTr="007653EB">
                        <w:trPr>
                          <w:trHeight w:hRule="exact" w:val="1068"/>
                        </w:trPr>
                        <w:tc>
                          <w:tcPr>
                            <w:tcW w:w="2418"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514"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7653EB">
                              <w:rPr>
                                <w:rFonts w:ascii="Albertus-Bold" w:hAnsi="Albertus-Bold" w:cs="Albertus-Bold"/>
                                <w:b/>
                                <w:bCs/>
                                <w:color w:val="000000"/>
                                <w:kern w:val="0"/>
                                <w:sz w:val="14"/>
                                <w:szCs w:val="14"/>
                              </w:rPr>
                              <w:t xml:space="preserve">Bipolar patients with HADS-D </w:t>
                            </w:r>
                            <w:r w:rsidRPr="007653EB">
                              <w:rPr>
                                <w:rFonts w:ascii="宋体" w:hAnsi="Albertus-Bold" w:cs="宋体" w:hint="eastAsia"/>
                                <w:b/>
                                <w:color w:val="000000"/>
                                <w:kern w:val="0"/>
                                <w:sz w:val="14"/>
                                <w:szCs w:val="14"/>
                              </w:rPr>
                              <w:t>≥</w:t>
                            </w:r>
                            <w:r w:rsidRPr="007653EB">
                              <w:rPr>
                                <w:rFonts w:ascii="Albertus-Bold" w:hAnsi="Albertus-Bold" w:cs="Albertus-Bold"/>
                                <w:b/>
                                <w:bCs/>
                                <w:color w:val="000000"/>
                                <w:kern w:val="0"/>
                                <w:sz w:val="14"/>
                                <w:szCs w:val="14"/>
                              </w:rPr>
                              <w:t xml:space="preserve"> 8 and/or HADS-A </w:t>
                            </w:r>
                            <w:r w:rsidRPr="007653EB">
                              <w:rPr>
                                <w:rFonts w:ascii="宋体" w:hAnsi="Albertus-Bold" w:cs="宋体" w:hint="eastAsia"/>
                                <w:b/>
                                <w:color w:val="000000"/>
                                <w:kern w:val="0"/>
                                <w:sz w:val="14"/>
                                <w:szCs w:val="14"/>
                              </w:rPr>
                              <w:t>≥</w:t>
                            </w:r>
                            <w:r w:rsidRPr="007653EB">
                              <w:rPr>
                                <w:rFonts w:ascii="Albertus-Bold" w:hAnsi="Albertus-Bold" w:cs="Albertus-Bold"/>
                                <w:b/>
                                <w:bCs/>
                                <w:color w:val="000000"/>
                                <w:kern w:val="0"/>
                                <w:sz w:val="14"/>
                                <w:szCs w:val="14"/>
                              </w:rPr>
                              <w:t xml:space="preserve"> 9 (</w:t>
                            </w:r>
                            <w:r w:rsidRPr="007653EB">
                              <w:rPr>
                                <w:rFonts w:ascii="Albertus Bold Italic" w:hAnsi="Albertus Bold Italic" w:cs="Albertus Bold Italic"/>
                                <w:b/>
                                <w:bCs/>
                                <w:i/>
                                <w:iCs/>
                                <w:color w:val="000000"/>
                                <w:kern w:val="0"/>
                                <w:sz w:val="14"/>
                                <w:szCs w:val="14"/>
                              </w:rPr>
                              <w:t>n</w:t>
                            </w:r>
                            <w:r w:rsidRPr="007653EB">
                              <w:rPr>
                                <w:rFonts w:ascii="Albertus-Bold" w:hAnsi="Albertus-Bold" w:cs="Albertus-Bold"/>
                                <w:b/>
                                <w:bCs/>
                                <w:color w:val="000000"/>
                                <w:kern w:val="0"/>
                                <w:sz w:val="14"/>
                                <w:szCs w:val="14"/>
                              </w:rPr>
                              <w:t xml:space="preserve"> = 48)</w:t>
                            </w:r>
                          </w:p>
                        </w:tc>
                        <w:tc>
                          <w:tcPr>
                            <w:tcW w:w="2337"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7653EB">
                              <w:rPr>
                                <w:rFonts w:ascii="Albertus-Bold" w:hAnsi="Albertus-Bold" w:cs="Albertus-Bold"/>
                                <w:b/>
                                <w:bCs/>
                                <w:color w:val="000000"/>
                                <w:kern w:val="0"/>
                                <w:sz w:val="14"/>
                                <w:szCs w:val="14"/>
                              </w:rPr>
                              <w:t>Bipolar patients with HADS-D &lt; 8 and HADS-A &lt; 9 (</w:t>
                            </w:r>
                            <w:r w:rsidRPr="007653EB">
                              <w:rPr>
                                <w:rFonts w:ascii="Albertus Bold Italic" w:hAnsi="Albertus Bold Italic" w:cs="Albertus Bold Italic"/>
                                <w:b/>
                                <w:bCs/>
                                <w:i/>
                                <w:iCs/>
                                <w:color w:val="000000"/>
                                <w:kern w:val="0"/>
                                <w:sz w:val="14"/>
                                <w:szCs w:val="14"/>
                              </w:rPr>
                              <w:t>n</w:t>
                            </w:r>
                            <w:r w:rsidRPr="007653EB">
                              <w:rPr>
                                <w:rFonts w:ascii="Albertus-Bold" w:hAnsi="Albertus-Bold" w:cs="Albertus-Bold"/>
                                <w:b/>
                                <w:bCs/>
                                <w:color w:val="000000"/>
                                <w:kern w:val="0"/>
                                <w:sz w:val="14"/>
                                <w:szCs w:val="14"/>
                              </w:rPr>
                              <w:t xml:space="preserve"> = 88)</w:t>
                            </w:r>
                          </w:p>
                        </w:tc>
                        <w:tc>
                          <w:tcPr>
                            <w:tcW w:w="2261" w:type="dxa"/>
                            <w:tcBorders>
                              <w:top w:val="single" w:sz="6" w:space="0" w:color="000000"/>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7653EB">
                              <w:rPr>
                                <w:rFonts w:ascii="Albertus-Bold" w:hAnsi="Albertus-Bold" w:cs="Albertus-Bold"/>
                                <w:b/>
                                <w:bCs/>
                                <w:color w:val="000000"/>
                                <w:kern w:val="0"/>
                                <w:sz w:val="14"/>
                                <w:szCs w:val="14"/>
                              </w:rPr>
                              <w:t>Controls with HADS-D &lt; 8 and HADS-A &lt; 9 (</w:t>
                            </w:r>
                            <w:r w:rsidRPr="007653EB">
                              <w:rPr>
                                <w:rFonts w:ascii="Albertus Bold Italic" w:hAnsi="Albertus Bold Italic" w:cs="Albertus Bold Italic"/>
                                <w:b/>
                                <w:bCs/>
                                <w:i/>
                                <w:iCs/>
                                <w:color w:val="000000"/>
                                <w:kern w:val="0"/>
                                <w:sz w:val="14"/>
                                <w:szCs w:val="14"/>
                              </w:rPr>
                              <w:t>n</w:t>
                            </w:r>
                            <w:r w:rsidRPr="007653EB">
                              <w:rPr>
                                <w:rFonts w:ascii="Albertus-Bold" w:hAnsi="Albertus-Bold" w:cs="Albertus-Bold"/>
                                <w:b/>
                                <w:bCs/>
                                <w:color w:val="000000"/>
                                <w:kern w:val="0"/>
                                <w:sz w:val="14"/>
                                <w:szCs w:val="14"/>
                              </w:rPr>
                              <w:t xml:space="preserve"> = 118)</w:t>
                            </w:r>
                          </w:p>
                        </w:tc>
                      </w:tr>
                      <w:tr w:rsidR="009D0154" w:rsidRPr="007653EB" w:rsidTr="007653EB">
                        <w:trPr>
                          <w:trHeight w:val="60"/>
                        </w:trPr>
                        <w:tc>
                          <w:tcPr>
                            <w:tcW w:w="2418"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Mean age (SD) (yr)</w:t>
                            </w:r>
                          </w:p>
                        </w:tc>
                        <w:tc>
                          <w:tcPr>
                            <w:tcW w:w="2514"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46.7 (12.8)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0.048)</w:t>
                            </w:r>
                            <w:r w:rsidRPr="007653EB">
                              <w:rPr>
                                <w:rFonts w:ascii="Book Antiqua" w:hAnsi="Book Antiqua" w:cs="Book Antiqua"/>
                                <w:bCs/>
                                <w:color w:val="000000"/>
                                <w:kern w:val="0"/>
                                <w:sz w:val="14"/>
                                <w:szCs w:val="14"/>
                                <w:vertAlign w:val="superscript"/>
                                <w:lang w:val="zh-CN"/>
                              </w:rPr>
                              <w:t>1</w:t>
                            </w:r>
                          </w:p>
                        </w:tc>
                        <w:tc>
                          <w:tcPr>
                            <w:tcW w:w="2337"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51.7 (14.4)</w:t>
                            </w:r>
                          </w:p>
                        </w:tc>
                        <w:tc>
                          <w:tcPr>
                            <w:tcW w:w="2261"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51.5 (11.8)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0.903)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Proportions of women </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58%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28)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0.634)</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62%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55)</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59%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70)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0.644)</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653EB">
                              <w:rPr>
                                <w:rFonts w:ascii="Book Antiqua" w:hAnsi="Book Antiqua" w:cs="Book Antiqua"/>
                                <w:bCs/>
                                <w:color w:val="000000"/>
                                <w:kern w:val="0"/>
                                <w:sz w:val="14"/>
                                <w:szCs w:val="14"/>
                              </w:rPr>
                              <w:t>Mean Body mass index (kg/m</w:t>
                            </w:r>
                            <w:r w:rsidRPr="007653EB">
                              <w:rPr>
                                <w:rFonts w:ascii="Book Antiqua" w:hAnsi="Book Antiqua" w:cs="Book Antiqua"/>
                                <w:bCs/>
                                <w:color w:val="000000"/>
                                <w:kern w:val="0"/>
                                <w:sz w:val="14"/>
                                <w:szCs w:val="14"/>
                                <w:vertAlign w:val="superscript"/>
                              </w:rPr>
                              <w:t>2</w:t>
                            </w:r>
                            <w:r w:rsidRPr="007653EB">
                              <w:rPr>
                                <w:rFonts w:ascii="Book Antiqua" w:hAnsi="Book Antiqua" w:cs="Book Antiqua"/>
                                <w:bCs/>
                                <w:color w:val="000000"/>
                                <w:kern w:val="0"/>
                                <w:sz w:val="14"/>
                                <w:szCs w:val="14"/>
                              </w:rPr>
                              <w:t>) (SD)</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27.2 (4.6)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0.632)</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26.8 (5.97)</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25.6 (3.26)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0.063)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HADS score (IQR)</w:t>
                            </w:r>
                          </w:p>
                        </w:tc>
                        <w:tc>
                          <w:tcPr>
                            <w:tcW w:w="2514"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37"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26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HADS-anxiety</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10.5 (5.0)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3.0 (4.0)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3.0 (4.0)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0.660)</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HADS-depression</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9.0 (9.0)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2.0 (3.0)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2.0 (3.0)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0.505)</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PSQ index (IQR)</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0.47 (0.28)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0.20 (0.17)</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NA</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Median GSRS score (IQR):</w:t>
                            </w:r>
                          </w:p>
                        </w:tc>
                        <w:tc>
                          <w:tcPr>
                            <w:tcW w:w="2514"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37"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26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Abdominal pain</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1.50 (2.50)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0.002)</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 (1.50)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0.558)</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Bloating</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1.67 (2.33)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0.67 (1.33)</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0.67 (1.67)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0.415)</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Diarrhoea</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1.25 (2.25)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0.50 (1.00)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0.25 (0.75)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0.107)</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Constipation</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(2.00)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0.380)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(1.50)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(1.00)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0.453)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Satiety</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0.50 (2.00)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0.003)</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0.513)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Dyspepsia</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0.67 (1.33)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0.002)</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(0.67)</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0.33 (0.67)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0.291)</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Reflux</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(2.13)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0.098)</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(0.88)</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 (0.50)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0.796)</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Total GSRS-IBS </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15.0 (23.0)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&lt; 0.001)</w:t>
                            </w:r>
                            <w:r w:rsidRPr="007653EB">
                              <w:rPr>
                                <w:rFonts w:ascii="Book Antiqua" w:hAnsi="Book Antiqua" w:cs="Book Antiqua"/>
                                <w:bCs/>
                                <w:color w:val="000000"/>
                                <w:kern w:val="0"/>
                                <w:sz w:val="14"/>
                                <w:szCs w:val="14"/>
                                <w:vertAlign w:val="superscript"/>
                                <w:lang w:val="zh-CN"/>
                              </w:rPr>
                              <w:t>1</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7.00 (12.0)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6.50 (13.0)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0.513)</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Consulters:</w:t>
                            </w:r>
                          </w:p>
                        </w:tc>
                        <w:tc>
                          <w:tcPr>
                            <w:tcW w:w="2514"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337"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c>
                          <w:tcPr>
                            <w:tcW w:w="2261" w:type="dxa"/>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kern w:val="0"/>
                                <w:sz w:val="24"/>
                                <w:szCs w:val="24"/>
                              </w:rPr>
                            </w:pPr>
                          </w:p>
                        </w:tc>
                      </w:tr>
                      <w:tr w:rsidR="009D0154" w:rsidRPr="007653EB" w:rsidTr="007653EB">
                        <w:trPr>
                          <w:trHeight w:val="60"/>
                        </w:trPr>
                        <w:tc>
                          <w:tcPr>
                            <w:tcW w:w="2418" w:type="dxa"/>
                            <w:tcMar>
                              <w:top w:w="28" w:type="dxa"/>
                              <w:left w:w="28" w:type="dxa"/>
                              <w:bottom w:w="28" w:type="dxa"/>
                              <w:right w:w="28" w:type="dxa"/>
                            </w:tcMar>
                          </w:tcPr>
                          <w:p w:rsidR="009D0154" w:rsidRPr="009D0154"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9D0154">
                              <w:rPr>
                                <w:rFonts w:ascii="Book Antiqua" w:hAnsi="Book Antiqua" w:cs="Book Antiqua"/>
                                <w:bCs/>
                                <w:color w:val="000000"/>
                                <w:kern w:val="0"/>
                                <w:sz w:val="14"/>
                                <w:szCs w:val="14"/>
                              </w:rPr>
                              <w:t xml:space="preserve">   For any functional GI disorder</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9D0154">
                              <w:rPr>
                                <w:rFonts w:ascii="Book Antiqua" w:hAnsi="Book Antiqua" w:cs="Book Antiqua"/>
                                <w:bCs/>
                                <w:color w:val="000000"/>
                                <w:kern w:val="0"/>
                                <w:sz w:val="14"/>
                                <w:szCs w:val="14"/>
                              </w:rPr>
                              <w:t xml:space="preserve">     </w:t>
                            </w:r>
                            <w:r w:rsidRPr="007653EB">
                              <w:rPr>
                                <w:rFonts w:ascii="Book Antiqua" w:hAnsi="Book Antiqua" w:cs="Book Antiqua"/>
                                <w:bCs/>
                                <w:color w:val="000000"/>
                                <w:kern w:val="0"/>
                                <w:sz w:val="14"/>
                                <w:szCs w:val="14"/>
                                <w:lang w:val="zh-CN"/>
                              </w:rPr>
                              <w:t>29%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14)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0.407)</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23%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20)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14%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17)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0.131)</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IBS</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17% (</w:t>
                            </w:r>
                            <w:r w:rsidRPr="007653EB">
                              <w:rPr>
                                <w:rFonts w:ascii="Book Antiqua" w:hAnsi="Book Antiqua" w:cs="Book Antiqua"/>
                                <w:i/>
                                <w:iCs/>
                                <w:color w:val="000000"/>
                                <w:kern w:val="0"/>
                                <w:sz w:val="14"/>
                                <w:szCs w:val="14"/>
                                <w:lang w:val="zh-CN"/>
                              </w:rPr>
                              <w:t>n</w:t>
                            </w:r>
                            <w:r w:rsidRPr="007653EB">
                              <w:rPr>
                                <w:rFonts w:ascii="Book Antiqua" w:hAnsi="Book Antiqua" w:cs="Book Antiqua"/>
                                <w:bCs/>
                                <w:color w:val="000000"/>
                                <w:kern w:val="0"/>
                                <w:sz w:val="14"/>
                                <w:szCs w:val="14"/>
                                <w:lang w:val="zh-CN"/>
                              </w:rPr>
                              <w:t xml:space="preserve"> = 8) (</w:t>
                            </w:r>
                            <w:r w:rsidRPr="007653EB">
                              <w:rPr>
                                <w:rFonts w:ascii="Book Antiqua" w:hAnsi="Book Antiqua" w:cs="Book Antiqua"/>
                                <w:i/>
                                <w:iCs/>
                                <w:color w:val="000000"/>
                                <w:kern w:val="0"/>
                                <w:sz w:val="14"/>
                                <w:szCs w:val="14"/>
                                <w:lang w:val="zh-CN"/>
                              </w:rPr>
                              <w:t>P</w:t>
                            </w:r>
                            <w:r w:rsidRPr="007653EB">
                              <w:rPr>
                                <w:rFonts w:ascii="Book Antiqua" w:hAnsi="Book Antiqua" w:cs="Book Antiqua"/>
                                <w:bCs/>
                                <w:color w:val="000000"/>
                                <w:kern w:val="0"/>
                                <w:sz w:val="14"/>
                                <w:szCs w:val="14"/>
                                <w:lang w:val="zh-CN"/>
                              </w:rPr>
                              <w:t xml:space="preserve"> = 0.290)</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10% (</w:t>
                            </w:r>
                            <w:r w:rsidRPr="007653EB">
                              <w:rPr>
                                <w:rFonts w:ascii="Book Antiqua" w:hAnsi="Book Antiqua" w:cs="Book Antiqua"/>
                                <w:i/>
                                <w:iCs/>
                                <w:color w:val="000000"/>
                                <w:kern w:val="0"/>
                                <w:sz w:val="14"/>
                                <w:szCs w:val="14"/>
                              </w:rPr>
                              <w:t>n</w:t>
                            </w:r>
                            <w:r w:rsidRPr="007653EB">
                              <w:rPr>
                                <w:rFonts w:ascii="Book Antiqua" w:hAnsi="Book Antiqua" w:cs="Book Antiqua"/>
                                <w:bCs/>
                                <w:color w:val="000000"/>
                                <w:kern w:val="0"/>
                                <w:sz w:val="14"/>
                                <w:szCs w:val="14"/>
                              </w:rPr>
                              <w:t xml:space="preserve"> = 9)</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10% (</w:t>
                            </w:r>
                            <w:r w:rsidRPr="007653EB">
                              <w:rPr>
                                <w:rFonts w:ascii="Book Antiqua" w:hAnsi="Book Antiqua" w:cs="Book Antiqua"/>
                                <w:i/>
                                <w:iCs/>
                                <w:color w:val="000000"/>
                                <w:kern w:val="0"/>
                                <w:sz w:val="14"/>
                                <w:szCs w:val="14"/>
                              </w:rPr>
                              <w:t>n</w:t>
                            </w:r>
                            <w:r w:rsidRPr="007653EB">
                              <w:rPr>
                                <w:rFonts w:ascii="Book Antiqua" w:hAnsi="Book Antiqua" w:cs="Book Antiqua"/>
                                <w:bCs/>
                                <w:color w:val="000000"/>
                                <w:kern w:val="0"/>
                                <w:sz w:val="14"/>
                                <w:szCs w:val="14"/>
                              </w:rPr>
                              <w:t xml:space="preserve"> = 12) (</w:t>
                            </w:r>
                            <w:r w:rsidRPr="007653EB">
                              <w:rPr>
                                <w:rFonts w:ascii="Book Antiqua" w:hAnsi="Book Antiqua" w:cs="Book Antiqua"/>
                                <w:i/>
                                <w:iCs/>
                                <w:color w:val="000000"/>
                                <w:kern w:val="0"/>
                                <w:sz w:val="14"/>
                                <w:szCs w:val="14"/>
                              </w:rPr>
                              <w:t>P</w:t>
                            </w:r>
                            <w:r w:rsidRPr="007653EB">
                              <w:rPr>
                                <w:rFonts w:ascii="Book Antiqua" w:hAnsi="Book Antiqua" w:cs="Book Antiqua"/>
                                <w:bCs/>
                                <w:color w:val="000000"/>
                                <w:kern w:val="0"/>
                                <w:sz w:val="14"/>
                                <w:szCs w:val="14"/>
                              </w:rPr>
                              <w:t xml:space="preserve"> = 0.995)</w:t>
                            </w:r>
                          </w:p>
                        </w:tc>
                      </w:tr>
                      <w:tr w:rsidR="009D0154" w:rsidRPr="007653EB" w:rsidTr="007653EB">
                        <w:trPr>
                          <w:trHeight w:val="60"/>
                        </w:trPr>
                        <w:tc>
                          <w:tcPr>
                            <w:tcW w:w="2418"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7653EB">
                              <w:rPr>
                                <w:rFonts w:ascii="Book Antiqua" w:hAnsi="Book Antiqua" w:cs="Book Antiqua"/>
                                <w:bCs/>
                                <w:color w:val="000000"/>
                                <w:kern w:val="0"/>
                                <w:sz w:val="14"/>
                                <w:szCs w:val="14"/>
                              </w:rPr>
                              <w:t>Median number of drugs (IQR)</w:t>
                            </w:r>
                          </w:p>
                        </w:tc>
                        <w:tc>
                          <w:tcPr>
                            <w:tcW w:w="2514"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3.0 (3.0) (</w:t>
                            </w:r>
                            <w:r w:rsidRPr="007653EB">
                              <w:rPr>
                                <w:rFonts w:ascii="Book Antiqua" w:hAnsi="Book Antiqua" w:cs="Book Antiqua"/>
                                <w:i/>
                                <w:iCs/>
                                <w:color w:val="000000"/>
                                <w:kern w:val="0"/>
                                <w:sz w:val="14"/>
                                <w:szCs w:val="14"/>
                              </w:rPr>
                              <w:t>P</w:t>
                            </w:r>
                            <w:r w:rsidRPr="007653EB">
                              <w:rPr>
                                <w:rFonts w:ascii="Book Antiqua" w:hAnsi="Book Antiqua" w:cs="Book Antiqua"/>
                                <w:bCs/>
                                <w:color w:val="000000"/>
                                <w:kern w:val="0"/>
                                <w:sz w:val="14"/>
                                <w:szCs w:val="14"/>
                              </w:rPr>
                              <w:t xml:space="preserve"> = 0.557)</w:t>
                            </w:r>
                          </w:p>
                        </w:tc>
                        <w:tc>
                          <w:tcPr>
                            <w:tcW w:w="233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3.0 (3.0)</w:t>
                            </w:r>
                          </w:p>
                        </w:tc>
                        <w:tc>
                          <w:tcPr>
                            <w:tcW w:w="22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1.0 (2.0) (</w:t>
                            </w:r>
                            <w:r w:rsidRPr="007653EB">
                              <w:rPr>
                                <w:rFonts w:ascii="Book Antiqua" w:hAnsi="Book Antiqua" w:cs="Book Antiqua"/>
                                <w:i/>
                                <w:iCs/>
                                <w:color w:val="000000"/>
                                <w:kern w:val="0"/>
                                <w:sz w:val="14"/>
                                <w:szCs w:val="14"/>
                              </w:rPr>
                              <w:t>P</w:t>
                            </w:r>
                            <w:r w:rsidRPr="007653EB">
                              <w:rPr>
                                <w:rFonts w:ascii="Book Antiqua" w:hAnsi="Book Antiqua" w:cs="Book Antiqua"/>
                                <w:bCs/>
                                <w:color w:val="000000"/>
                                <w:kern w:val="0"/>
                                <w:sz w:val="14"/>
                                <w:szCs w:val="14"/>
                              </w:rPr>
                              <w:t xml:space="preserve"> &lt; 0.001)</w:t>
                            </w:r>
                            <w:r w:rsidRPr="007653EB">
                              <w:rPr>
                                <w:rFonts w:ascii="Book Antiqua" w:hAnsi="Book Antiqua" w:cs="Book Antiqua"/>
                                <w:bCs/>
                                <w:color w:val="000000"/>
                                <w:kern w:val="0"/>
                                <w:sz w:val="14"/>
                                <w:szCs w:val="14"/>
                                <w:vertAlign w:val="superscript"/>
                              </w:rPr>
                              <w:t>1</w:t>
                            </w:r>
                          </w:p>
                        </w:tc>
                      </w:tr>
                    </w:tbl>
                    <w:p w:rsidR="009D0154" w:rsidRPr="00F31C13" w:rsidRDefault="009D0154" w:rsidP="009D0154">
                      <w:pPr>
                        <w:pStyle w:val="af"/>
                        <w:rPr>
                          <w:vertAlign w:val="superscript"/>
                        </w:rPr>
                      </w:pPr>
                      <w:proofErr w:type="gramStart"/>
                      <w:r w:rsidRPr="007653EB">
                        <w:rPr>
                          <w:b w:val="0"/>
                          <w:vertAlign w:val="superscript"/>
                        </w:rPr>
                        <w:t>1</w:t>
                      </w:r>
                      <w:r w:rsidRPr="007653EB">
                        <w:rPr>
                          <w:b w:val="0"/>
                        </w:rPr>
                        <w:t>Statistical significance.</w:t>
                      </w:r>
                      <w:proofErr w:type="gramEnd"/>
                      <w:r w:rsidRPr="007653EB">
                        <w:rPr>
                          <w:b w:val="0"/>
                        </w:rPr>
                        <w:t xml:space="preserve"> For each separate symptom cluster in the Gastrointestinal Symptom Rating Scale the total score was divided by the amount of items. HADS: Hospital Anxiety and Depression Scale; GSRS: Gastrointestinal Symptom Rating Scale; GI: Gastrointestinal; IBS: Irritable bowel syndrome; IQR: Intra quartile range; NA: Not available.</w:t>
                      </w:r>
                    </w:p>
                  </w:txbxContent>
                </v:textbox>
                <w10:wrap type="square"/>
              </v:shape>
            </w:pict>
          </mc:Fallback>
        </mc:AlternateContent>
      </w:r>
    </w:p>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Pr="007653EB" w:rsidRDefault="009D0154" w:rsidP="009D0154">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3580765"/>
                <wp:effectExtent l="9525" t="5715" r="12065" b="1397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580765"/>
                        </a:xfrm>
                        <a:prstGeom prst="rect">
                          <a:avLst/>
                        </a:prstGeom>
                        <a:solidFill>
                          <a:srgbClr val="FFFFFF"/>
                        </a:solidFill>
                        <a:ln w="9525">
                          <a:solidFill>
                            <a:srgbClr val="000000"/>
                          </a:solidFill>
                          <a:miter lim="800000"/>
                          <a:headEnd/>
                          <a:tailEnd/>
                        </a:ln>
                      </wps:spPr>
                      <wps:txbx>
                        <w:txbxContent>
                          <w:p w:rsidR="009D0154" w:rsidRPr="007653EB" w:rsidRDefault="009D0154" w:rsidP="009D0154">
                            <w:pPr>
                              <w:rPr>
                                <w:b/>
                                <w:bCs/>
                              </w:rPr>
                            </w:pPr>
                            <w:r w:rsidRPr="007653EB">
                              <w:rPr>
                                <w:b/>
                                <w:bCs/>
                              </w:rPr>
                              <w:t xml:space="preserve">Table </w:t>
                            </w:r>
                            <w:proofErr w:type="gramStart"/>
                            <w:r w:rsidRPr="007653EB">
                              <w:rPr>
                                <w:b/>
                                <w:bCs/>
                              </w:rPr>
                              <w:t>3  Hospital</w:t>
                            </w:r>
                            <w:proofErr w:type="gramEnd"/>
                            <w:r w:rsidRPr="007653EB">
                              <w:rPr>
                                <w:b/>
                                <w:bCs/>
                              </w:rPr>
                              <w:t xml:space="preserve"> Anxiety Depression Scale scores and Perceived Stress Questionnaire index in correlation to different gastrointestinal symptom scores in patients with bipolar disorder (</w:t>
                            </w:r>
                            <w:r w:rsidRPr="007653EB">
                              <w:rPr>
                                <w:b/>
                                <w:bCs/>
                                <w:i/>
                                <w:iCs/>
                              </w:rPr>
                              <w:t>n</w:t>
                            </w:r>
                            <w:r w:rsidRPr="007653EB">
                              <w:rPr>
                                <w:b/>
                                <w:bCs/>
                              </w:rPr>
                              <w:t xml:space="preserve"> = 136)</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56"/>
                              <w:gridCol w:w="2497"/>
                              <w:gridCol w:w="2561"/>
                              <w:gridCol w:w="2625"/>
                            </w:tblGrid>
                            <w:tr w:rsidR="009D0154" w:rsidRPr="007653EB" w:rsidTr="007653EB">
                              <w:trPr>
                                <w:trHeight w:hRule="exact" w:val="500"/>
                              </w:trPr>
                              <w:tc>
                                <w:tcPr>
                                  <w:tcW w:w="1856" w:type="dxa"/>
                                  <w:vMerge w:val="restart"/>
                                  <w:tcBorders>
                                    <w:top w:val="single" w:sz="6" w:space="0" w:color="000000"/>
                                    <w:bottom w:val="nil"/>
                                  </w:tcBorders>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497"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HADS-Anxiety score.</w:t>
                                  </w:r>
                                </w:p>
                              </w:tc>
                              <w:tc>
                                <w:tcPr>
                                  <w:tcW w:w="2561"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HADS-Depression score.</w:t>
                                  </w:r>
                                </w:p>
                              </w:tc>
                              <w:tc>
                                <w:tcPr>
                                  <w:tcW w:w="2625"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PSQ index.</w:t>
                                  </w:r>
                                </w:p>
                              </w:tc>
                            </w:tr>
                            <w:tr w:rsidR="009D0154" w:rsidRPr="007653EB" w:rsidTr="007653EB">
                              <w:trPr>
                                <w:trHeight w:hRule="exact" w:val="390"/>
                              </w:trPr>
                              <w:tc>
                                <w:tcPr>
                                  <w:tcW w:w="1856" w:type="dxa"/>
                                  <w:vMerge/>
                                  <w:tcBorders>
                                    <w:top w:val="nil"/>
                                    <w:bottom w:val="single" w:sz="6" w:space="0" w:color="000000"/>
                                  </w:tcBorders>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497" w:type="dxa"/>
                                  <w:tcBorders>
                                    <w:top w:val="nil"/>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rs (</w:t>
                                  </w: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c>
                                <w:tcPr>
                                  <w:tcW w:w="2561" w:type="dxa"/>
                                  <w:tcBorders>
                                    <w:top w:val="nil"/>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rs (</w:t>
                                  </w: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c>
                                <w:tcPr>
                                  <w:tcW w:w="2625" w:type="dxa"/>
                                  <w:tcBorders>
                                    <w:top w:val="nil"/>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rs (</w:t>
                                  </w: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r>
                            <w:tr w:rsidR="009D0154" w:rsidRPr="007653EB" w:rsidTr="007653EB">
                              <w:trPr>
                                <w:trHeight w:val="60"/>
                              </w:trPr>
                              <w:tc>
                                <w:tcPr>
                                  <w:tcW w:w="1856"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Abdominal pain</w:t>
                                  </w:r>
                                </w:p>
                              </w:tc>
                              <w:tc>
                                <w:tcPr>
                                  <w:tcW w:w="2497"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0.295 (0.001)</w:t>
                                  </w:r>
                                  <w:r w:rsidRPr="007653EB">
                                    <w:rPr>
                                      <w:rFonts w:ascii="Book Antiqua" w:hAnsi="Book Antiqua" w:cs="Book Antiqua"/>
                                      <w:bCs/>
                                      <w:color w:val="000000"/>
                                      <w:kern w:val="0"/>
                                      <w:sz w:val="14"/>
                                      <w:szCs w:val="14"/>
                                      <w:vertAlign w:val="superscript"/>
                                      <w:lang w:val="zh-CN"/>
                                    </w:rPr>
                                    <w:t>1</w:t>
                                  </w:r>
                                </w:p>
                              </w:tc>
                              <w:tc>
                                <w:tcPr>
                                  <w:tcW w:w="2561"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0.248 (0.004)</w:t>
                                  </w:r>
                                  <w:r w:rsidRPr="007653EB">
                                    <w:rPr>
                                      <w:rFonts w:ascii="Book Antiqua" w:hAnsi="Book Antiqua" w:cs="Book Antiqua"/>
                                      <w:bCs/>
                                      <w:color w:val="000000"/>
                                      <w:kern w:val="0"/>
                                      <w:sz w:val="14"/>
                                      <w:szCs w:val="14"/>
                                      <w:vertAlign w:val="superscript"/>
                                    </w:rPr>
                                    <w:t>1</w:t>
                                  </w:r>
                                </w:p>
                              </w:tc>
                              <w:tc>
                                <w:tcPr>
                                  <w:tcW w:w="2625"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0.261 (0.002)</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Bloating</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0.304 (&lt;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0.365 (&lt; 0.001)</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0.376 (&lt; 0.001)</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roofErr w:type="spellStart"/>
                                  <w:r w:rsidRPr="007653EB">
                                    <w:rPr>
                                      <w:rFonts w:ascii="Book Antiqua" w:hAnsi="Book Antiqua" w:cs="Book Antiqua"/>
                                      <w:bCs/>
                                      <w:color w:val="000000"/>
                                      <w:kern w:val="0"/>
                                      <w:sz w:val="14"/>
                                      <w:szCs w:val="14"/>
                                    </w:rPr>
                                    <w:t>Diarrhoea</w:t>
                                  </w:r>
                                  <w:proofErr w:type="spellEnd"/>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0.334 (&lt;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0.225 (0.009)</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0.268 (0.002)</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Constipation</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0.099 (0.254)</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0.028 (0.751)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0.063 (0.473)</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Satiety</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0.222 (0.010)</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0.253 (0.003)</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0.333 (&lt; 0.001)</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Dyspepsia</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0.293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0.205 (0.017)</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0.287 (0.001)</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Reflux</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0.245 (0.004)</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0.122 (0.160)</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0.235 (0.007)</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Total GSRS-IBS score</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0.336 (&lt;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0.328 (&lt; 0.001)</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0.348 (&lt; 0.001)</w:t>
                                  </w:r>
                                  <w:r w:rsidRPr="007653EB">
                                    <w:rPr>
                                      <w:rFonts w:ascii="Book Antiqua" w:hAnsi="Book Antiqua" w:cs="Book Antiqua"/>
                                      <w:bCs/>
                                      <w:color w:val="000000"/>
                                      <w:kern w:val="0"/>
                                      <w:sz w:val="14"/>
                                      <w:szCs w:val="14"/>
                                      <w:vertAlign w:val="superscript"/>
                                    </w:rPr>
                                    <w:t>1</w:t>
                                  </w:r>
                                </w:p>
                              </w:tc>
                            </w:tr>
                          </w:tbl>
                          <w:p w:rsidR="009D0154" w:rsidRPr="006365FF" w:rsidRDefault="009D0154" w:rsidP="009D0154">
                            <w:pPr>
                              <w:pStyle w:val="af"/>
                              <w:rPr>
                                <w:vertAlign w:val="superscript"/>
                              </w:rPr>
                            </w:pPr>
                            <w:proofErr w:type="gramStart"/>
                            <w:r w:rsidRPr="007653EB">
                              <w:rPr>
                                <w:b w:val="0"/>
                                <w:vertAlign w:val="superscript"/>
                              </w:rPr>
                              <w:t>1</w:t>
                            </w:r>
                            <w:r w:rsidRPr="007653EB">
                              <w:rPr>
                                <w:b w:val="0"/>
                              </w:rPr>
                              <w:t>Statistical significance.</w:t>
                            </w:r>
                            <w:proofErr w:type="gramEnd"/>
                            <w:r w:rsidRPr="007653EB">
                              <w:rPr>
                                <w:b w:val="0"/>
                              </w:rPr>
                              <w:t xml:space="preserve"> Statistics: Spearman’s test. HADS: Hospital </w:t>
                            </w:r>
                            <w:proofErr w:type="spellStart"/>
                            <w:r w:rsidRPr="007653EB">
                              <w:rPr>
                                <w:b w:val="0"/>
                              </w:rPr>
                              <w:t>Anixiety</w:t>
                            </w:r>
                            <w:proofErr w:type="spellEnd"/>
                            <w:r w:rsidRPr="007653EB">
                              <w:rPr>
                                <w:b w:val="0"/>
                              </w:rPr>
                              <w:t xml:space="preserve"> and Depression Scale; GSRS: Gastrointestinal Symptoms Rating Scale; IBS: Irritable bowel syndrome; PSQ: Perceived Stress Questionnaire.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0;margin-top:0;width:416.05pt;height:281.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">
                <v:textbox style="mso-fit-shape-to-text:t">
                  <w:txbxContent>
                    <w:p w:rsidR="009D0154" w:rsidRPr="007653EB" w:rsidRDefault="009D0154" w:rsidP="009D0154">
                      <w:pPr>
                        <w:rPr>
                          <w:b/>
                          <w:bCs/>
                        </w:rPr>
                      </w:pPr>
                      <w:r w:rsidRPr="007653EB">
                        <w:rPr>
                          <w:b/>
                          <w:bCs/>
                        </w:rPr>
                        <w:t xml:space="preserve">Table </w:t>
                      </w:r>
                      <w:proofErr w:type="gramStart"/>
                      <w:r w:rsidRPr="007653EB">
                        <w:rPr>
                          <w:b/>
                          <w:bCs/>
                        </w:rPr>
                        <w:t>3  Hospital</w:t>
                      </w:r>
                      <w:proofErr w:type="gramEnd"/>
                      <w:r w:rsidRPr="007653EB">
                        <w:rPr>
                          <w:b/>
                          <w:bCs/>
                        </w:rPr>
                        <w:t xml:space="preserve"> Anxiety Depression Scale scores and Perceived Stress Questionnaire index in correlation to different gastrointestinal symptom scores in patients with bipolar disorder (</w:t>
                      </w:r>
                      <w:r w:rsidRPr="007653EB">
                        <w:rPr>
                          <w:b/>
                          <w:bCs/>
                          <w:i/>
                          <w:iCs/>
                        </w:rPr>
                        <w:t>n</w:t>
                      </w:r>
                      <w:r w:rsidRPr="007653EB">
                        <w:rPr>
                          <w:b/>
                          <w:bCs/>
                        </w:rPr>
                        <w:t xml:space="preserve"> = 136)</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56"/>
                        <w:gridCol w:w="2497"/>
                        <w:gridCol w:w="2561"/>
                        <w:gridCol w:w="2625"/>
                      </w:tblGrid>
                      <w:tr w:rsidR="009D0154" w:rsidRPr="007653EB" w:rsidTr="007653EB">
                        <w:trPr>
                          <w:trHeight w:hRule="exact" w:val="500"/>
                        </w:trPr>
                        <w:tc>
                          <w:tcPr>
                            <w:tcW w:w="1856" w:type="dxa"/>
                            <w:vMerge w:val="restart"/>
                            <w:tcBorders>
                              <w:top w:val="single" w:sz="6" w:space="0" w:color="000000"/>
                              <w:bottom w:val="nil"/>
                            </w:tcBorders>
                            <w:tcMar>
                              <w:top w:w="28" w:type="dxa"/>
                              <w:left w:w="28" w:type="dxa"/>
                              <w:bottom w:w="28" w:type="dxa"/>
                              <w:right w:w="28" w:type="dxa"/>
                            </w:tcMar>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497"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HADS-Anxiety score.</w:t>
                            </w:r>
                          </w:p>
                        </w:tc>
                        <w:tc>
                          <w:tcPr>
                            <w:tcW w:w="2561"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HADS-Depression score.</w:t>
                            </w:r>
                          </w:p>
                        </w:tc>
                        <w:tc>
                          <w:tcPr>
                            <w:tcW w:w="2625" w:type="dxa"/>
                            <w:tcBorders>
                              <w:top w:val="single" w:sz="6" w:space="0" w:color="000000"/>
                              <w:bottom w:val="nil"/>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PSQ index.</w:t>
                            </w:r>
                          </w:p>
                        </w:tc>
                      </w:tr>
                      <w:tr w:rsidR="009D0154" w:rsidRPr="007653EB" w:rsidTr="007653EB">
                        <w:trPr>
                          <w:trHeight w:hRule="exact" w:val="390"/>
                        </w:trPr>
                        <w:tc>
                          <w:tcPr>
                            <w:tcW w:w="1856" w:type="dxa"/>
                            <w:vMerge/>
                            <w:tcBorders>
                              <w:top w:val="nil"/>
                              <w:bottom w:val="single" w:sz="6" w:space="0" w:color="000000"/>
                            </w:tcBorders>
                          </w:tcPr>
                          <w:p w:rsidR="009D0154" w:rsidRPr="007653EB" w:rsidRDefault="009D0154" w:rsidP="007653EB">
                            <w:pPr>
                              <w:autoSpaceDE w:val="0"/>
                              <w:autoSpaceDN w:val="0"/>
                              <w:adjustRightInd w:val="0"/>
                              <w:jc w:val="left"/>
                              <w:rPr>
                                <w:rFonts w:ascii="Albertus Bold Italic" w:hAnsi="Albertus Bold Italic"/>
                                <w:b/>
                                <w:kern w:val="0"/>
                                <w:sz w:val="24"/>
                                <w:szCs w:val="24"/>
                              </w:rPr>
                            </w:pPr>
                          </w:p>
                        </w:tc>
                        <w:tc>
                          <w:tcPr>
                            <w:tcW w:w="2497" w:type="dxa"/>
                            <w:tcBorders>
                              <w:top w:val="nil"/>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rs (</w:t>
                            </w: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c>
                          <w:tcPr>
                            <w:tcW w:w="2561" w:type="dxa"/>
                            <w:tcBorders>
                              <w:top w:val="nil"/>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rs (</w:t>
                            </w: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c>
                          <w:tcPr>
                            <w:tcW w:w="2625" w:type="dxa"/>
                            <w:tcBorders>
                              <w:top w:val="nil"/>
                              <w:bottom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7653EB">
                              <w:rPr>
                                <w:rFonts w:ascii="Albertus-Bold" w:hAnsi="Albertus-Bold" w:cs="Albertus-Bold"/>
                                <w:b/>
                                <w:bCs/>
                                <w:color w:val="000000"/>
                                <w:kern w:val="0"/>
                                <w:sz w:val="14"/>
                                <w:szCs w:val="14"/>
                                <w:lang w:val="zh-CN"/>
                              </w:rPr>
                              <w:t>rs (</w:t>
                            </w:r>
                            <w:r w:rsidRPr="007653EB">
                              <w:rPr>
                                <w:rFonts w:ascii="Albertus Bold Italic" w:hAnsi="Albertus Bold Italic" w:cs="Albertus Bold Italic"/>
                                <w:b/>
                                <w:bCs/>
                                <w:i/>
                                <w:iCs/>
                                <w:color w:val="000000"/>
                                <w:kern w:val="0"/>
                                <w:sz w:val="14"/>
                                <w:szCs w:val="14"/>
                                <w:lang w:val="zh-CN"/>
                              </w:rPr>
                              <w:t>P</w:t>
                            </w:r>
                            <w:r w:rsidRPr="007653EB">
                              <w:rPr>
                                <w:rFonts w:ascii="Albertus-Bold" w:hAnsi="Albertus-Bold" w:cs="Albertus-Bold"/>
                                <w:b/>
                                <w:bCs/>
                                <w:color w:val="000000"/>
                                <w:kern w:val="0"/>
                                <w:sz w:val="14"/>
                                <w:szCs w:val="14"/>
                                <w:lang w:val="zh-CN"/>
                              </w:rPr>
                              <w:t xml:space="preserve"> value)</w:t>
                            </w:r>
                          </w:p>
                        </w:tc>
                      </w:tr>
                      <w:tr w:rsidR="009D0154" w:rsidRPr="007653EB" w:rsidTr="007653EB">
                        <w:trPr>
                          <w:trHeight w:val="60"/>
                        </w:trPr>
                        <w:tc>
                          <w:tcPr>
                            <w:tcW w:w="1856"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Abdominal pain</w:t>
                            </w:r>
                          </w:p>
                        </w:tc>
                        <w:tc>
                          <w:tcPr>
                            <w:tcW w:w="2497"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0.295 (0.001)</w:t>
                            </w:r>
                            <w:r w:rsidRPr="007653EB">
                              <w:rPr>
                                <w:rFonts w:ascii="Book Antiqua" w:hAnsi="Book Antiqua" w:cs="Book Antiqua"/>
                                <w:bCs/>
                                <w:color w:val="000000"/>
                                <w:kern w:val="0"/>
                                <w:sz w:val="14"/>
                                <w:szCs w:val="14"/>
                                <w:vertAlign w:val="superscript"/>
                                <w:lang w:val="zh-CN"/>
                              </w:rPr>
                              <w:t>1</w:t>
                            </w:r>
                          </w:p>
                        </w:tc>
                        <w:tc>
                          <w:tcPr>
                            <w:tcW w:w="2561"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lang w:val="zh-CN"/>
                              </w:rPr>
                              <w:t xml:space="preserve"> 0.248 (0.004)</w:t>
                            </w:r>
                            <w:r w:rsidRPr="007653EB">
                              <w:rPr>
                                <w:rFonts w:ascii="Book Antiqua" w:hAnsi="Book Antiqua" w:cs="Book Antiqua"/>
                                <w:bCs/>
                                <w:color w:val="000000"/>
                                <w:kern w:val="0"/>
                                <w:sz w:val="14"/>
                                <w:szCs w:val="14"/>
                                <w:vertAlign w:val="superscript"/>
                              </w:rPr>
                              <w:t>1</w:t>
                            </w:r>
                          </w:p>
                        </w:tc>
                        <w:tc>
                          <w:tcPr>
                            <w:tcW w:w="2625" w:type="dxa"/>
                            <w:tcBorders>
                              <w:top w:val="single" w:sz="6" w:space="0" w:color="000000"/>
                            </w:tcBorders>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0.261 (0.002)</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Bloating</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0.304 (&lt;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0.365 (&lt; 0.001)</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0.376 (&lt; 0.001)</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roofErr w:type="spellStart"/>
                            <w:r w:rsidRPr="007653EB">
                              <w:rPr>
                                <w:rFonts w:ascii="Book Antiqua" w:hAnsi="Book Antiqua" w:cs="Book Antiqua"/>
                                <w:bCs/>
                                <w:color w:val="000000"/>
                                <w:kern w:val="0"/>
                                <w:sz w:val="14"/>
                                <w:szCs w:val="14"/>
                              </w:rPr>
                              <w:t>Diarrhoea</w:t>
                            </w:r>
                            <w:proofErr w:type="spellEnd"/>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0.334 (&lt;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0.225 (0.009)</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0.268 (0.002)</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Constipation</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0.099 (0.254)</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0.028 (0.751)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0.063 (0.473)</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Satiety</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0.222 (0.010)</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0.253 (0.003)</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0.333 (&lt; 0.001)</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Dyspepsia</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0.293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0.205 (0.017)</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0.287 (0.001)</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Reflux</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0.245 (0.004)</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0.122 (0.160)</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0.235 (0.007)</w:t>
                            </w:r>
                            <w:r w:rsidRPr="007653EB">
                              <w:rPr>
                                <w:rFonts w:ascii="Book Antiqua" w:hAnsi="Book Antiqua" w:cs="Book Antiqua"/>
                                <w:bCs/>
                                <w:color w:val="000000"/>
                                <w:kern w:val="0"/>
                                <w:sz w:val="14"/>
                                <w:szCs w:val="14"/>
                                <w:vertAlign w:val="superscript"/>
                              </w:rPr>
                              <w:t>1</w:t>
                            </w:r>
                          </w:p>
                        </w:tc>
                      </w:tr>
                      <w:tr w:rsidR="009D0154" w:rsidRPr="007653EB" w:rsidTr="007653EB">
                        <w:trPr>
                          <w:trHeight w:val="60"/>
                        </w:trPr>
                        <w:tc>
                          <w:tcPr>
                            <w:tcW w:w="1856"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Total GSRS-IBS score</w:t>
                            </w:r>
                          </w:p>
                        </w:tc>
                        <w:tc>
                          <w:tcPr>
                            <w:tcW w:w="2497"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0.336 (&lt; 0.001)</w:t>
                            </w:r>
                            <w:r w:rsidRPr="007653EB">
                              <w:rPr>
                                <w:rFonts w:ascii="Book Antiqua" w:hAnsi="Book Antiqua" w:cs="Book Antiqua"/>
                                <w:bCs/>
                                <w:color w:val="000000"/>
                                <w:kern w:val="0"/>
                                <w:sz w:val="14"/>
                                <w:szCs w:val="14"/>
                                <w:vertAlign w:val="superscript"/>
                              </w:rPr>
                              <w:t>1</w:t>
                            </w:r>
                          </w:p>
                        </w:tc>
                        <w:tc>
                          <w:tcPr>
                            <w:tcW w:w="2561"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0.328 (&lt; 0.001)</w:t>
                            </w:r>
                            <w:r w:rsidRPr="007653EB">
                              <w:rPr>
                                <w:rFonts w:ascii="Book Antiqua" w:hAnsi="Book Antiqua" w:cs="Book Antiqua"/>
                                <w:bCs/>
                                <w:color w:val="000000"/>
                                <w:kern w:val="0"/>
                                <w:sz w:val="14"/>
                                <w:szCs w:val="14"/>
                                <w:vertAlign w:val="superscript"/>
                              </w:rPr>
                              <w:t>1</w:t>
                            </w:r>
                          </w:p>
                        </w:tc>
                        <w:tc>
                          <w:tcPr>
                            <w:tcW w:w="2625" w:type="dxa"/>
                            <w:tcMar>
                              <w:top w:w="28" w:type="dxa"/>
                              <w:left w:w="28" w:type="dxa"/>
                              <w:bottom w:w="28" w:type="dxa"/>
                              <w:right w:w="28" w:type="dxa"/>
                            </w:tcMar>
                          </w:tcPr>
                          <w:p w:rsidR="009D0154" w:rsidRPr="007653EB" w:rsidRDefault="009D0154" w:rsidP="007653E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7653EB">
                              <w:rPr>
                                <w:rFonts w:ascii="Book Antiqua" w:hAnsi="Book Antiqua" w:cs="Book Antiqua"/>
                                <w:bCs/>
                                <w:color w:val="000000"/>
                                <w:kern w:val="0"/>
                                <w:sz w:val="14"/>
                                <w:szCs w:val="14"/>
                              </w:rPr>
                              <w:t xml:space="preserve">     0.348 (&lt; 0.001)</w:t>
                            </w:r>
                            <w:r w:rsidRPr="007653EB">
                              <w:rPr>
                                <w:rFonts w:ascii="Book Antiqua" w:hAnsi="Book Antiqua" w:cs="Book Antiqua"/>
                                <w:bCs/>
                                <w:color w:val="000000"/>
                                <w:kern w:val="0"/>
                                <w:sz w:val="14"/>
                                <w:szCs w:val="14"/>
                                <w:vertAlign w:val="superscript"/>
                              </w:rPr>
                              <w:t>1</w:t>
                            </w:r>
                          </w:p>
                        </w:tc>
                      </w:tr>
                    </w:tbl>
                    <w:p w:rsidR="009D0154" w:rsidRPr="006365FF" w:rsidRDefault="009D0154" w:rsidP="009D0154">
                      <w:pPr>
                        <w:pStyle w:val="af"/>
                        <w:rPr>
                          <w:vertAlign w:val="superscript"/>
                        </w:rPr>
                      </w:pPr>
                      <w:proofErr w:type="gramStart"/>
                      <w:r w:rsidRPr="007653EB">
                        <w:rPr>
                          <w:b w:val="0"/>
                          <w:vertAlign w:val="superscript"/>
                        </w:rPr>
                        <w:t>1</w:t>
                      </w:r>
                      <w:r w:rsidRPr="007653EB">
                        <w:rPr>
                          <w:b w:val="0"/>
                        </w:rPr>
                        <w:t>Statistical significance.</w:t>
                      </w:r>
                      <w:proofErr w:type="gramEnd"/>
                      <w:r w:rsidRPr="007653EB">
                        <w:rPr>
                          <w:b w:val="0"/>
                        </w:rPr>
                        <w:t xml:space="preserve"> Statistics: Spearman’s test. HADS: Hospital </w:t>
                      </w:r>
                      <w:proofErr w:type="spellStart"/>
                      <w:r w:rsidRPr="007653EB">
                        <w:rPr>
                          <w:b w:val="0"/>
                        </w:rPr>
                        <w:t>Anixiety</w:t>
                      </w:r>
                      <w:proofErr w:type="spellEnd"/>
                      <w:r w:rsidRPr="007653EB">
                        <w:rPr>
                          <w:b w:val="0"/>
                        </w:rPr>
                        <w:t xml:space="preserve"> and Depression Scale; GSRS: Gastrointestinal Symptoms Rating Scale; IBS: Irritable bowel syndrome; PSQ: Perceived Stress Questionnaire.</w:t>
                      </w:r>
                    </w:p>
                  </w:txbxContent>
                </v:textbox>
                <w10:wrap type="square"/>
              </v:shape>
            </w:pict>
          </mc:Fallback>
        </mc:AlternateContent>
      </w:r>
    </w:p>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Pr="005B0718" w:rsidRDefault="009D0154" w:rsidP="009D0154">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8020050"/>
                <wp:effectExtent l="9525" t="5715" r="12065"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020050"/>
                        </a:xfrm>
                        <a:prstGeom prst="rect">
                          <a:avLst/>
                        </a:prstGeom>
                        <a:solidFill>
                          <a:srgbClr val="FFFFFF"/>
                        </a:solidFill>
                        <a:ln w="9525">
                          <a:solidFill>
                            <a:srgbClr val="000000"/>
                          </a:solidFill>
                          <a:miter lim="800000"/>
                          <a:headEnd/>
                          <a:tailEnd/>
                        </a:ln>
                      </wps:spPr>
                      <wps:txbx>
                        <w:txbxContent>
                          <w:p w:rsidR="009D0154" w:rsidRPr="005B0718" w:rsidRDefault="009D0154" w:rsidP="009D0154">
                            <w:pPr>
                              <w:rPr>
                                <w:b/>
                                <w:bCs/>
                              </w:rPr>
                            </w:pPr>
                            <w:r w:rsidRPr="005B0718">
                              <w:rPr>
                                <w:b/>
                                <w:bCs/>
                              </w:rPr>
                              <w:t xml:space="preserve">Table </w:t>
                            </w:r>
                            <w:proofErr w:type="gramStart"/>
                            <w:r w:rsidRPr="005B0718">
                              <w:rPr>
                                <w:b/>
                                <w:bCs/>
                              </w:rPr>
                              <w:t>4  Comparison</w:t>
                            </w:r>
                            <w:proofErr w:type="gramEnd"/>
                            <w:r w:rsidRPr="005B0718">
                              <w:rPr>
                                <w:b/>
                                <w:bCs/>
                              </w:rPr>
                              <w:t xml:space="preserve"> between patients with bipolar disorder who report high respective low scores on the Gastrointestinal Symptom Rating Scale for Irritable Bowel Syndrome</w:t>
                            </w:r>
                          </w:p>
                          <w:tbl>
                            <w:tblPr>
                              <w:tblW w:w="954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00"/>
                              <w:gridCol w:w="2776"/>
                              <w:gridCol w:w="2744"/>
                              <w:gridCol w:w="1620"/>
                            </w:tblGrid>
                            <w:tr w:rsidR="009D0154" w:rsidRPr="005B0718" w:rsidTr="005B0718">
                              <w:trPr>
                                <w:trHeight w:hRule="exact" w:val="525"/>
                              </w:trPr>
                              <w:tc>
                                <w:tcPr>
                                  <w:tcW w:w="2400" w:type="dxa"/>
                                  <w:vMerge w:val="restart"/>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b/>
                                      <w:kern w:val="0"/>
                                      <w:sz w:val="24"/>
                                      <w:szCs w:val="24"/>
                                    </w:rPr>
                                  </w:pP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HIGH GSRS-IBS SCORE</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LOW GSRS-IBS SCORE</w:t>
                                  </w:r>
                                </w:p>
                              </w:tc>
                              <w:tc>
                                <w:tcPr>
                                  <w:tcW w:w="1620"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 Bold Italic" w:hAnsi="Albertus Bold Italic" w:cs="Albertus Bold Italic"/>
                                      <w:b/>
                                      <w:bCs/>
                                      <w:i/>
                                      <w:iCs/>
                                      <w:color w:val="000000"/>
                                      <w:kern w:val="0"/>
                                      <w:sz w:val="14"/>
                                      <w:szCs w:val="14"/>
                                      <w:lang w:val="zh-CN"/>
                                    </w:rPr>
                                    <w:t>P</w:t>
                                  </w:r>
                                  <w:r w:rsidRPr="005B0718">
                                    <w:rPr>
                                      <w:rFonts w:ascii="Albertus-Bold" w:hAnsi="Albertus-Bold" w:cs="Albertus-Bold"/>
                                      <w:b/>
                                      <w:bCs/>
                                      <w:color w:val="000000"/>
                                      <w:kern w:val="0"/>
                                      <w:sz w:val="14"/>
                                      <w:szCs w:val="14"/>
                                      <w:lang w:val="zh-CN"/>
                                    </w:rPr>
                                    <w:t xml:space="preserve"> value</w:t>
                                  </w:r>
                                </w:p>
                              </w:tc>
                            </w:tr>
                            <w:tr w:rsidR="009D0154" w:rsidRPr="005B0718" w:rsidTr="005B0718">
                              <w:trPr>
                                <w:trHeight w:hRule="exact" w:val="546"/>
                              </w:trPr>
                              <w:tc>
                                <w:tcPr>
                                  <w:tcW w:w="2400"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(&gt; 9)</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w:t>
                                  </w:r>
                                  <w:r w:rsidRPr="005B0718">
                                    <w:rPr>
                                      <w:rFonts w:ascii="宋体" w:hAnsi="Albertus-Bold" w:cs="宋体" w:hint="eastAsia"/>
                                      <w:b/>
                                      <w:color w:val="000000"/>
                                      <w:kern w:val="0"/>
                                      <w:sz w:val="14"/>
                                      <w:szCs w:val="14"/>
                                      <w:lang w:val="zh-CN"/>
                                    </w:rPr>
                                    <w:t>≤</w:t>
                                  </w:r>
                                  <w:r w:rsidRPr="005B0718">
                                    <w:rPr>
                                      <w:rFonts w:ascii="Albertus-Bold" w:hAnsi="Albertus-Bold" w:cs="Albertus-Bold"/>
                                      <w:b/>
                                      <w:bCs/>
                                      <w:color w:val="000000"/>
                                      <w:kern w:val="0"/>
                                      <w:sz w:val="14"/>
                                      <w:szCs w:val="14"/>
                                      <w:lang w:val="zh-CN"/>
                                    </w:rPr>
                                    <w:t xml:space="preserve"> 9)</w:t>
                                  </w:r>
                                </w:p>
                              </w:tc>
                              <w:tc>
                                <w:tcPr>
                                  <w:tcW w:w="1620"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hRule="exact" w:val="526"/>
                              </w:trPr>
                              <w:tc>
                                <w:tcPr>
                                  <w:tcW w:w="2400" w:type="dxa"/>
                                  <w:vMerge/>
                                  <w:tcBorders>
                                    <w:bottom w:val="single" w:sz="6" w:space="0" w:color="000000"/>
                                  </w:tcBorders>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76" w:type="dxa"/>
                                  <w:tcBorders>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w:t>
                                  </w:r>
                                  <w:r w:rsidRPr="005B0718">
                                    <w:rPr>
                                      <w:rFonts w:ascii="Albertus Bold Italic" w:hAnsi="Albertus Bold Italic" w:cs="Albertus Bold Italic"/>
                                      <w:b/>
                                      <w:bCs/>
                                      <w:i/>
                                      <w:iCs/>
                                      <w:color w:val="000000"/>
                                      <w:kern w:val="0"/>
                                      <w:sz w:val="14"/>
                                      <w:szCs w:val="14"/>
                                      <w:lang w:val="zh-CN"/>
                                    </w:rPr>
                                    <w:t>n</w:t>
                                  </w:r>
                                  <w:r w:rsidRPr="005B0718">
                                    <w:rPr>
                                      <w:rFonts w:ascii="Albertus-Bold" w:hAnsi="Albertus-Bold" w:cs="Albertus-Bold"/>
                                      <w:b/>
                                      <w:bCs/>
                                      <w:color w:val="000000"/>
                                      <w:kern w:val="0"/>
                                      <w:sz w:val="14"/>
                                      <w:szCs w:val="14"/>
                                      <w:lang w:val="zh-CN"/>
                                    </w:rPr>
                                    <w:t xml:space="preserve"> = 65)</w:t>
                                  </w:r>
                                </w:p>
                              </w:tc>
                              <w:tc>
                                <w:tcPr>
                                  <w:tcW w:w="2744" w:type="dxa"/>
                                  <w:tcBorders>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w:t>
                                  </w:r>
                                  <w:r w:rsidRPr="005B0718">
                                    <w:rPr>
                                      <w:rFonts w:ascii="Albertus Bold Italic" w:hAnsi="Albertus Bold Italic" w:cs="Albertus Bold Italic"/>
                                      <w:b/>
                                      <w:bCs/>
                                      <w:i/>
                                      <w:iCs/>
                                      <w:color w:val="000000"/>
                                      <w:kern w:val="0"/>
                                      <w:sz w:val="14"/>
                                      <w:szCs w:val="14"/>
                                      <w:lang w:val="zh-CN"/>
                                    </w:rPr>
                                    <w:t>n</w:t>
                                  </w:r>
                                  <w:r w:rsidRPr="005B0718">
                                    <w:rPr>
                                      <w:rFonts w:ascii="Albertus-Bold" w:hAnsi="Albertus-Bold" w:cs="Albertus-Bold"/>
                                      <w:b/>
                                      <w:bCs/>
                                      <w:color w:val="000000"/>
                                      <w:kern w:val="0"/>
                                      <w:sz w:val="14"/>
                                      <w:szCs w:val="14"/>
                                      <w:lang w:val="zh-CN"/>
                                    </w:rPr>
                                    <w:t xml:space="preserve"> = 71)</w:t>
                                  </w:r>
                                </w:p>
                              </w:tc>
                              <w:tc>
                                <w:tcPr>
                                  <w:tcW w:w="1620" w:type="dxa"/>
                                  <w:vMerge/>
                                  <w:tcBorders>
                                    <w:bottom w:val="single" w:sz="6" w:space="0" w:color="000000"/>
                                  </w:tcBorders>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Mean age (SD)(yr)</w:t>
                                  </w:r>
                                </w:p>
                              </w:tc>
                              <w:tc>
                                <w:tcPr>
                                  <w:tcW w:w="2776"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49.7 (13.7)</w:t>
                                  </w:r>
                                </w:p>
                              </w:tc>
                              <w:tc>
                                <w:tcPr>
                                  <w:tcW w:w="2744"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50.1 (14.5)</w:t>
                                  </w:r>
                                </w:p>
                              </w:tc>
                              <w:tc>
                                <w:tcPr>
                                  <w:tcW w:w="1620"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0.571</w:t>
                                  </w:r>
                                </w:p>
                              </w:tc>
                            </w:tr>
                            <w:tr w:rsidR="009D0154" w:rsidRPr="005B0718" w:rsidTr="005B0718">
                              <w:trPr>
                                <w:trHeight w:val="60"/>
                              </w:trPr>
                              <w:tc>
                                <w:tcPr>
                                  <w:tcW w:w="2400"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Women</w:t>
                                  </w:r>
                                </w:p>
                              </w:tc>
                              <w:tc>
                                <w:tcPr>
                                  <w:tcW w:w="2776"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71%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46)</w:t>
                                  </w:r>
                                </w:p>
                              </w:tc>
                              <w:tc>
                                <w:tcPr>
                                  <w:tcW w:w="2744"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37)</w:t>
                                  </w:r>
                                </w:p>
                              </w:tc>
                              <w:tc>
                                <w:tcPr>
                                  <w:tcW w:w="1620"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0.026</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BMI (SD)</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27.2 (4.46)</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26.7 (6.32)</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0.45</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Median HADS scores (IQR)</w:t>
                                  </w:r>
                                </w:p>
                              </w:tc>
                              <w:tc>
                                <w:tcPr>
                                  <w:tcW w:w="2776"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44"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20"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Anxiety score (median)</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6.0 (9.0)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4.0 (6.0)</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0.001</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Depression score (median)</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4.0 (8.0)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2.0 (4.0)</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0.002</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PSQ index (IQR)</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0.32 (0.26)</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0.21 (0.23)</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&lt; 0.001</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Consulters for:</w:t>
                                  </w:r>
                                </w:p>
                              </w:tc>
                              <w:tc>
                                <w:tcPr>
                                  <w:tcW w:w="2776"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44"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20"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Any functional GI disorder</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29%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19)</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15)</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0.276</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IBS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18%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12)</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5)</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0.067</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Bipolar type </w:t>
                                  </w:r>
                                  <w:r w:rsidRPr="005B0718">
                                    <w:rPr>
                                      <w:rFonts w:ascii="KozMinPro-Regular" w:eastAsia="KozMinPro-Regular" w:hAnsi="Book Antiqua" w:cs="KozMinPro-Regular" w:hint="eastAsia"/>
                                      <w:color w:val="000000"/>
                                      <w:kern w:val="0"/>
                                      <w:sz w:val="14"/>
                                      <w:szCs w:val="14"/>
                                    </w:rPr>
                                    <w:t>Ⅰ</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46%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54%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48)</w:t>
                                  </w:r>
                                </w:p>
                              </w:tc>
                              <w:tc>
                                <w:tcPr>
                                  <w:tcW w:w="1620"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0.460</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Bipolar type </w:t>
                                  </w:r>
                                  <w:r w:rsidRPr="005B0718">
                                    <w:rPr>
                                      <w:rFonts w:ascii="KozMinPro-Regular" w:eastAsia="KozMinPro-Regular" w:hAnsi="Book Antiqua" w:cs="KozMinPro-Regular" w:hint="eastAsia"/>
                                      <w:color w:val="000000"/>
                                      <w:kern w:val="0"/>
                                      <w:sz w:val="14"/>
                                      <w:szCs w:val="14"/>
                                    </w:rPr>
                                    <w:t>Ⅱ</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25)</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23)</w:t>
                                  </w:r>
                                </w:p>
                              </w:tc>
                              <w:tc>
                                <w:tcPr>
                                  <w:tcW w:w="1620"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Medications:</w:t>
                                  </w:r>
                                </w:p>
                              </w:tc>
                              <w:tc>
                                <w:tcPr>
                                  <w:tcW w:w="2776"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44"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20"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Lithium</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33)</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42%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31)</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0.320</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Neuroleptics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28%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18)</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20%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0.273</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Anti-epileptics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34%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0.706</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SSRI</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14%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9)</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8)</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0.796</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SNRI</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9%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6)</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0.519</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Benzodiazepines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11)</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0.053</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Drugs for insomnia</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17)</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7)</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0.014</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Drugs for IBS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7)</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0.028</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Antacids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15%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5)</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0.171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Statines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8)</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8%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6)</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0.575</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Levothyroxine</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17)</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13%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9)</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0.052</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w:t>
                                  </w:r>
                                  <w:r w:rsidRPr="005B0718">
                                    <w:rPr>
                                      <w:rFonts w:ascii="宋体" w:hAnsi="Book Antiqua" w:cs="宋体" w:hint="eastAsia"/>
                                      <w:color w:val="000000"/>
                                      <w:kern w:val="0"/>
                                      <w:sz w:val="14"/>
                                      <w:szCs w:val="14"/>
                                    </w:rPr>
                                    <w:t>≥</w:t>
                                  </w:r>
                                  <w:r w:rsidRPr="005B0718">
                                    <w:rPr>
                                      <w:rFonts w:ascii="Book Antiqua" w:hAnsi="Book Antiqua" w:cs="Book Antiqua"/>
                                      <w:bCs/>
                                      <w:color w:val="000000"/>
                                      <w:kern w:val="0"/>
                                      <w:sz w:val="14"/>
                                      <w:szCs w:val="14"/>
                                    </w:rPr>
                                    <w:t xml:space="preserve"> 3 drugs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64% (</w:t>
                                  </w:r>
                                  <w:r w:rsidRPr="005B0718">
                                    <w:rPr>
                                      <w:rFonts w:ascii="Book Antiqua" w:hAnsi="Book Antiqua" w:cs="Book Antiqua"/>
                                      <w:i/>
                                      <w:iCs/>
                                      <w:color w:val="000000"/>
                                      <w:kern w:val="0"/>
                                      <w:sz w:val="14"/>
                                      <w:szCs w:val="14"/>
                                    </w:rPr>
                                    <w:t>n</w:t>
                                  </w:r>
                                  <w:r w:rsidRPr="005B0718">
                                    <w:rPr>
                                      <w:rFonts w:ascii="Book Antiqua" w:hAnsi="Book Antiqua" w:cs="Book Antiqua"/>
                                      <w:bCs/>
                                      <w:color w:val="000000"/>
                                      <w:kern w:val="0"/>
                                      <w:sz w:val="14"/>
                                      <w:szCs w:val="14"/>
                                    </w:rPr>
                                    <w:t xml:space="preserve"> = 41)</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54% (</w:t>
                                  </w:r>
                                  <w:r w:rsidRPr="005B0718">
                                    <w:rPr>
                                      <w:rFonts w:ascii="Book Antiqua" w:hAnsi="Book Antiqua" w:cs="Book Antiqua"/>
                                      <w:i/>
                                      <w:iCs/>
                                      <w:color w:val="000000"/>
                                      <w:kern w:val="0"/>
                                      <w:sz w:val="14"/>
                                      <w:szCs w:val="14"/>
                                    </w:rPr>
                                    <w:t>n</w:t>
                                  </w:r>
                                  <w:r w:rsidRPr="005B0718">
                                    <w:rPr>
                                      <w:rFonts w:ascii="Book Antiqua" w:hAnsi="Book Antiqua" w:cs="Book Antiqua"/>
                                      <w:bCs/>
                                      <w:color w:val="000000"/>
                                      <w:kern w:val="0"/>
                                      <w:sz w:val="14"/>
                                      <w:szCs w:val="14"/>
                                    </w:rPr>
                                    <w:t xml:space="preserve"> = 38)</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0.214</w:t>
                                  </w:r>
                                </w:p>
                              </w:tc>
                            </w:tr>
                          </w:tbl>
                          <w:p w:rsidR="009D0154" w:rsidRPr="00ED4203" w:rsidRDefault="009D0154" w:rsidP="009D0154">
                            <w:pPr>
                              <w:pStyle w:val="af"/>
                              <w:rPr>
                                <w:vertAlign w:val="superscript"/>
                              </w:rPr>
                            </w:pPr>
                            <w:proofErr w:type="gramStart"/>
                            <w:r w:rsidRPr="005B0718">
                              <w:rPr>
                                <w:b w:val="0"/>
                                <w:vertAlign w:val="superscript"/>
                              </w:rPr>
                              <w:t>1</w:t>
                            </w:r>
                            <w:r w:rsidRPr="005B0718">
                              <w:rPr>
                                <w:b w:val="0"/>
                              </w:rPr>
                              <w:t>Statistical significance.</w:t>
                            </w:r>
                            <w:proofErr w:type="gramEnd"/>
                            <w:r w:rsidRPr="005B0718">
                              <w:rPr>
                                <w:b w:val="0"/>
                              </w:rPr>
                              <w:t xml:space="preserve"> HADS: Hospital anxiety and depression scale; GSRS-IBS: Gastrointestinal symptom rating scale- irritable bowel syndrome; PSQ: Perceived Stress Questionnaire; BMI: Body mass index; SSRI: Selective serotonin reuptake inhibitor; SNRI: Selective noradrenalin reuptake inhibitor; IQR: </w:t>
                            </w:r>
                            <w:proofErr w:type="spellStart"/>
                            <w:r w:rsidRPr="005B0718">
                              <w:rPr>
                                <w:b w:val="0"/>
                              </w:rPr>
                              <w:t>Intraquartile</w:t>
                            </w:r>
                            <w:proofErr w:type="spellEnd"/>
                            <w:r w:rsidRPr="005B0718">
                              <w:rPr>
                                <w:b w:val="0"/>
                              </w:rPr>
                              <w:t xml:space="preserve"> range.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0;margin-top:0;width:416.05pt;height:63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">
                <v:textbox style="mso-fit-shape-to-text:t">
                  <w:txbxContent>
                    <w:p w:rsidR="009D0154" w:rsidRPr="005B0718" w:rsidRDefault="009D0154" w:rsidP="009D0154">
                      <w:pPr>
                        <w:rPr>
                          <w:b/>
                          <w:bCs/>
                        </w:rPr>
                      </w:pPr>
                      <w:r w:rsidRPr="005B0718">
                        <w:rPr>
                          <w:b/>
                          <w:bCs/>
                        </w:rPr>
                        <w:t xml:space="preserve">Table </w:t>
                      </w:r>
                      <w:proofErr w:type="gramStart"/>
                      <w:r w:rsidRPr="005B0718">
                        <w:rPr>
                          <w:b/>
                          <w:bCs/>
                        </w:rPr>
                        <w:t>4  Comparison</w:t>
                      </w:r>
                      <w:proofErr w:type="gramEnd"/>
                      <w:r w:rsidRPr="005B0718">
                        <w:rPr>
                          <w:b/>
                          <w:bCs/>
                        </w:rPr>
                        <w:t xml:space="preserve"> between patients with bipolar disorder who report high respective low scores on the Gastrointestinal Symptom Rating Scale for Irritable Bowel Syndrome</w:t>
                      </w:r>
                    </w:p>
                    <w:tbl>
                      <w:tblPr>
                        <w:tblW w:w="954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00"/>
                        <w:gridCol w:w="2776"/>
                        <w:gridCol w:w="2744"/>
                        <w:gridCol w:w="1620"/>
                      </w:tblGrid>
                      <w:tr w:rsidR="009D0154" w:rsidRPr="005B0718" w:rsidTr="005B0718">
                        <w:trPr>
                          <w:trHeight w:hRule="exact" w:val="525"/>
                        </w:trPr>
                        <w:tc>
                          <w:tcPr>
                            <w:tcW w:w="2400" w:type="dxa"/>
                            <w:vMerge w:val="restart"/>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b/>
                                <w:kern w:val="0"/>
                                <w:sz w:val="24"/>
                                <w:szCs w:val="24"/>
                              </w:rPr>
                            </w:pP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HIGH GSRS-IBS SCORE</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LOW GSRS-IBS SCORE</w:t>
                            </w:r>
                          </w:p>
                        </w:tc>
                        <w:tc>
                          <w:tcPr>
                            <w:tcW w:w="1620"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 Bold Italic" w:hAnsi="Albertus Bold Italic" w:cs="Albertus Bold Italic"/>
                                <w:b/>
                                <w:bCs/>
                                <w:i/>
                                <w:iCs/>
                                <w:color w:val="000000"/>
                                <w:kern w:val="0"/>
                                <w:sz w:val="14"/>
                                <w:szCs w:val="14"/>
                                <w:lang w:val="zh-CN"/>
                              </w:rPr>
                              <w:t>P</w:t>
                            </w:r>
                            <w:r w:rsidRPr="005B0718">
                              <w:rPr>
                                <w:rFonts w:ascii="Albertus-Bold" w:hAnsi="Albertus-Bold" w:cs="Albertus-Bold"/>
                                <w:b/>
                                <w:bCs/>
                                <w:color w:val="000000"/>
                                <w:kern w:val="0"/>
                                <w:sz w:val="14"/>
                                <w:szCs w:val="14"/>
                                <w:lang w:val="zh-CN"/>
                              </w:rPr>
                              <w:t xml:space="preserve"> value</w:t>
                            </w:r>
                          </w:p>
                        </w:tc>
                      </w:tr>
                      <w:tr w:rsidR="009D0154" w:rsidRPr="005B0718" w:rsidTr="005B0718">
                        <w:trPr>
                          <w:trHeight w:hRule="exact" w:val="546"/>
                        </w:trPr>
                        <w:tc>
                          <w:tcPr>
                            <w:tcW w:w="2400"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(&gt; 9)</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w:t>
                            </w:r>
                            <w:r w:rsidRPr="005B0718">
                              <w:rPr>
                                <w:rFonts w:ascii="宋体" w:hAnsi="Albertus-Bold" w:cs="宋体" w:hint="eastAsia"/>
                                <w:b/>
                                <w:color w:val="000000"/>
                                <w:kern w:val="0"/>
                                <w:sz w:val="14"/>
                                <w:szCs w:val="14"/>
                                <w:lang w:val="zh-CN"/>
                              </w:rPr>
                              <w:t>≤</w:t>
                            </w:r>
                            <w:r w:rsidRPr="005B0718">
                              <w:rPr>
                                <w:rFonts w:ascii="Albertus-Bold" w:hAnsi="Albertus-Bold" w:cs="Albertus-Bold"/>
                                <w:b/>
                                <w:bCs/>
                                <w:color w:val="000000"/>
                                <w:kern w:val="0"/>
                                <w:sz w:val="14"/>
                                <w:szCs w:val="14"/>
                                <w:lang w:val="zh-CN"/>
                              </w:rPr>
                              <w:t xml:space="preserve"> 9)</w:t>
                            </w:r>
                          </w:p>
                        </w:tc>
                        <w:tc>
                          <w:tcPr>
                            <w:tcW w:w="1620"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hRule="exact" w:val="526"/>
                        </w:trPr>
                        <w:tc>
                          <w:tcPr>
                            <w:tcW w:w="2400" w:type="dxa"/>
                            <w:vMerge/>
                            <w:tcBorders>
                              <w:bottom w:val="single" w:sz="6" w:space="0" w:color="000000"/>
                            </w:tcBorders>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76" w:type="dxa"/>
                            <w:tcBorders>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w:t>
                            </w:r>
                            <w:r w:rsidRPr="005B0718">
                              <w:rPr>
                                <w:rFonts w:ascii="Albertus Bold Italic" w:hAnsi="Albertus Bold Italic" w:cs="Albertus Bold Italic"/>
                                <w:b/>
                                <w:bCs/>
                                <w:i/>
                                <w:iCs/>
                                <w:color w:val="000000"/>
                                <w:kern w:val="0"/>
                                <w:sz w:val="14"/>
                                <w:szCs w:val="14"/>
                                <w:lang w:val="zh-CN"/>
                              </w:rPr>
                              <w:t>n</w:t>
                            </w:r>
                            <w:r w:rsidRPr="005B0718">
                              <w:rPr>
                                <w:rFonts w:ascii="Albertus-Bold" w:hAnsi="Albertus-Bold" w:cs="Albertus-Bold"/>
                                <w:b/>
                                <w:bCs/>
                                <w:color w:val="000000"/>
                                <w:kern w:val="0"/>
                                <w:sz w:val="14"/>
                                <w:szCs w:val="14"/>
                                <w:lang w:val="zh-CN"/>
                              </w:rPr>
                              <w:t xml:space="preserve"> = 65)</w:t>
                            </w:r>
                          </w:p>
                        </w:tc>
                        <w:tc>
                          <w:tcPr>
                            <w:tcW w:w="2744" w:type="dxa"/>
                            <w:tcBorders>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w:t>
                            </w:r>
                            <w:r w:rsidRPr="005B0718">
                              <w:rPr>
                                <w:rFonts w:ascii="Albertus Bold Italic" w:hAnsi="Albertus Bold Italic" w:cs="Albertus Bold Italic"/>
                                <w:b/>
                                <w:bCs/>
                                <w:i/>
                                <w:iCs/>
                                <w:color w:val="000000"/>
                                <w:kern w:val="0"/>
                                <w:sz w:val="14"/>
                                <w:szCs w:val="14"/>
                                <w:lang w:val="zh-CN"/>
                              </w:rPr>
                              <w:t>n</w:t>
                            </w:r>
                            <w:r w:rsidRPr="005B0718">
                              <w:rPr>
                                <w:rFonts w:ascii="Albertus-Bold" w:hAnsi="Albertus-Bold" w:cs="Albertus-Bold"/>
                                <w:b/>
                                <w:bCs/>
                                <w:color w:val="000000"/>
                                <w:kern w:val="0"/>
                                <w:sz w:val="14"/>
                                <w:szCs w:val="14"/>
                                <w:lang w:val="zh-CN"/>
                              </w:rPr>
                              <w:t xml:space="preserve"> = 71)</w:t>
                            </w:r>
                          </w:p>
                        </w:tc>
                        <w:tc>
                          <w:tcPr>
                            <w:tcW w:w="1620" w:type="dxa"/>
                            <w:vMerge/>
                            <w:tcBorders>
                              <w:bottom w:val="single" w:sz="6" w:space="0" w:color="000000"/>
                            </w:tcBorders>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Mean age (SD)(yr)</w:t>
                            </w:r>
                          </w:p>
                        </w:tc>
                        <w:tc>
                          <w:tcPr>
                            <w:tcW w:w="2776"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49.7 (13.7)</w:t>
                            </w:r>
                          </w:p>
                        </w:tc>
                        <w:tc>
                          <w:tcPr>
                            <w:tcW w:w="2744"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50.1 (14.5)</w:t>
                            </w:r>
                          </w:p>
                        </w:tc>
                        <w:tc>
                          <w:tcPr>
                            <w:tcW w:w="1620" w:type="dxa"/>
                            <w:tcBorders>
                              <w:top w:val="single" w:sz="6" w:space="0" w:color="000000"/>
                              <w:bottom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0.571</w:t>
                            </w:r>
                          </w:p>
                        </w:tc>
                      </w:tr>
                      <w:tr w:rsidR="009D0154" w:rsidRPr="005B0718" w:rsidTr="005B0718">
                        <w:trPr>
                          <w:trHeight w:val="60"/>
                        </w:trPr>
                        <w:tc>
                          <w:tcPr>
                            <w:tcW w:w="2400"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Women</w:t>
                            </w:r>
                          </w:p>
                        </w:tc>
                        <w:tc>
                          <w:tcPr>
                            <w:tcW w:w="2776"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71%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46)</w:t>
                            </w:r>
                          </w:p>
                        </w:tc>
                        <w:tc>
                          <w:tcPr>
                            <w:tcW w:w="2744"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37)</w:t>
                            </w:r>
                          </w:p>
                        </w:tc>
                        <w:tc>
                          <w:tcPr>
                            <w:tcW w:w="1620" w:type="dxa"/>
                            <w:tcBorders>
                              <w:top w:val="nil"/>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0.026</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BMI (SD)</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27.2 (4.46)</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26.7 (6.32)</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0.45</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Median HADS scores (IQR)</w:t>
                            </w:r>
                          </w:p>
                        </w:tc>
                        <w:tc>
                          <w:tcPr>
                            <w:tcW w:w="2776"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44"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20"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Anxiety score (median)</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6.0 (9.0)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4.0 (6.0)</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0.001</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Depression score (median)</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4.0 (8.0)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2.0 (4.0)</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0.002</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PSQ index (IQR)</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0.32 (0.26)</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0.21 (0.23)</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&lt; 0.001</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Consulters for:</w:t>
                            </w:r>
                          </w:p>
                        </w:tc>
                        <w:tc>
                          <w:tcPr>
                            <w:tcW w:w="2776"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44"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20"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Any functional GI disorder</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29%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19)</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15)</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0.276</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IBS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18%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12)</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5)</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0.067</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Bipolar type </w:t>
                            </w:r>
                            <w:r w:rsidRPr="005B0718">
                              <w:rPr>
                                <w:rFonts w:ascii="KozMinPro-Regular" w:eastAsia="KozMinPro-Regular" w:hAnsi="Book Antiqua" w:cs="KozMinPro-Regular" w:hint="eastAsia"/>
                                <w:color w:val="000000"/>
                                <w:kern w:val="0"/>
                                <w:sz w:val="14"/>
                                <w:szCs w:val="14"/>
                              </w:rPr>
                              <w:t>Ⅰ</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46%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54%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48)</w:t>
                            </w:r>
                          </w:p>
                        </w:tc>
                        <w:tc>
                          <w:tcPr>
                            <w:tcW w:w="1620"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0.460</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Bipolar type </w:t>
                            </w:r>
                            <w:r w:rsidRPr="005B0718">
                              <w:rPr>
                                <w:rFonts w:ascii="KozMinPro-Regular" w:eastAsia="KozMinPro-Regular" w:hAnsi="Book Antiqua" w:cs="KozMinPro-Regular" w:hint="eastAsia"/>
                                <w:color w:val="000000"/>
                                <w:kern w:val="0"/>
                                <w:sz w:val="14"/>
                                <w:szCs w:val="14"/>
                              </w:rPr>
                              <w:t>Ⅱ</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25)</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23)</w:t>
                            </w:r>
                          </w:p>
                        </w:tc>
                        <w:tc>
                          <w:tcPr>
                            <w:tcW w:w="1620"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Medications:</w:t>
                            </w:r>
                          </w:p>
                        </w:tc>
                        <w:tc>
                          <w:tcPr>
                            <w:tcW w:w="2776"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2744"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20" w:type="dxa"/>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Lithium</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33)</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42%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31)</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0.320</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Neuroleptics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28%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18)</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20%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0.273</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Anti-epileptics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34%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24)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0.706</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SSRI</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14%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9)</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8)</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0.796</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SNRI</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9%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6)</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0.519</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Benzodiazepines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11)</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4)</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0.053</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Drugs for insomnia</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17)</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7)</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0.014</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Drugs for IBS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7)</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0.028</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Antacids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15%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10)</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7%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5)</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0.171</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Statines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12%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8)</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8%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6)</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0.575</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Levothyroxine</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26%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17)</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13% (</w:t>
                            </w:r>
                            <w:r w:rsidRPr="005B0718">
                              <w:rPr>
                                <w:rFonts w:ascii="Book Antiqua" w:hAnsi="Book Antiqua" w:cs="Book Antiqua"/>
                                <w:i/>
                                <w:iCs/>
                                <w:color w:val="000000"/>
                                <w:kern w:val="0"/>
                                <w:sz w:val="14"/>
                                <w:szCs w:val="14"/>
                                <w:lang w:val="zh-CN"/>
                              </w:rPr>
                              <w:t>n</w:t>
                            </w:r>
                            <w:r w:rsidRPr="005B0718">
                              <w:rPr>
                                <w:rFonts w:ascii="Book Antiqua" w:hAnsi="Book Antiqua" w:cs="Book Antiqua"/>
                                <w:bCs/>
                                <w:color w:val="000000"/>
                                <w:kern w:val="0"/>
                                <w:sz w:val="14"/>
                                <w:szCs w:val="14"/>
                                <w:lang w:val="zh-CN"/>
                              </w:rPr>
                              <w:t xml:space="preserve"> = 9)</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0.052</w:t>
                            </w:r>
                          </w:p>
                        </w:tc>
                      </w:tr>
                      <w:tr w:rsidR="009D0154" w:rsidRPr="005B0718" w:rsidTr="005B0718">
                        <w:trPr>
                          <w:trHeight w:val="60"/>
                        </w:trPr>
                        <w:tc>
                          <w:tcPr>
                            <w:tcW w:w="240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w:t>
                            </w:r>
                            <w:r w:rsidRPr="005B0718">
                              <w:rPr>
                                <w:rFonts w:ascii="宋体" w:hAnsi="Book Antiqua" w:cs="宋体" w:hint="eastAsia"/>
                                <w:color w:val="000000"/>
                                <w:kern w:val="0"/>
                                <w:sz w:val="14"/>
                                <w:szCs w:val="14"/>
                              </w:rPr>
                              <w:t>≥</w:t>
                            </w:r>
                            <w:r w:rsidRPr="005B0718">
                              <w:rPr>
                                <w:rFonts w:ascii="Book Antiqua" w:hAnsi="Book Antiqua" w:cs="Book Antiqua"/>
                                <w:bCs/>
                                <w:color w:val="000000"/>
                                <w:kern w:val="0"/>
                                <w:sz w:val="14"/>
                                <w:szCs w:val="14"/>
                              </w:rPr>
                              <w:t xml:space="preserve"> 3 drugs</w:t>
                            </w:r>
                          </w:p>
                        </w:tc>
                        <w:tc>
                          <w:tcPr>
                            <w:tcW w:w="277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64% (</w:t>
                            </w:r>
                            <w:r w:rsidRPr="005B0718">
                              <w:rPr>
                                <w:rFonts w:ascii="Book Antiqua" w:hAnsi="Book Antiqua" w:cs="Book Antiqua"/>
                                <w:i/>
                                <w:iCs/>
                                <w:color w:val="000000"/>
                                <w:kern w:val="0"/>
                                <w:sz w:val="14"/>
                                <w:szCs w:val="14"/>
                              </w:rPr>
                              <w:t>n</w:t>
                            </w:r>
                            <w:r w:rsidRPr="005B0718">
                              <w:rPr>
                                <w:rFonts w:ascii="Book Antiqua" w:hAnsi="Book Antiqua" w:cs="Book Antiqua"/>
                                <w:bCs/>
                                <w:color w:val="000000"/>
                                <w:kern w:val="0"/>
                                <w:sz w:val="14"/>
                                <w:szCs w:val="14"/>
                              </w:rPr>
                              <w:t xml:space="preserve"> = 41)</w:t>
                            </w:r>
                          </w:p>
                        </w:tc>
                        <w:tc>
                          <w:tcPr>
                            <w:tcW w:w="2744"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54% (</w:t>
                            </w:r>
                            <w:r w:rsidRPr="005B0718">
                              <w:rPr>
                                <w:rFonts w:ascii="Book Antiqua" w:hAnsi="Book Antiqua" w:cs="Book Antiqua"/>
                                <w:i/>
                                <w:iCs/>
                                <w:color w:val="000000"/>
                                <w:kern w:val="0"/>
                                <w:sz w:val="14"/>
                                <w:szCs w:val="14"/>
                              </w:rPr>
                              <w:t>n</w:t>
                            </w:r>
                            <w:r w:rsidRPr="005B0718">
                              <w:rPr>
                                <w:rFonts w:ascii="Book Antiqua" w:hAnsi="Book Antiqua" w:cs="Book Antiqua"/>
                                <w:bCs/>
                                <w:color w:val="000000"/>
                                <w:kern w:val="0"/>
                                <w:sz w:val="14"/>
                                <w:szCs w:val="14"/>
                              </w:rPr>
                              <w:t xml:space="preserve"> = 38)</w:t>
                            </w:r>
                          </w:p>
                        </w:tc>
                        <w:tc>
                          <w:tcPr>
                            <w:tcW w:w="1620"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rPr>
                              <w:t xml:space="preserve">  0.214</w:t>
                            </w:r>
                          </w:p>
                        </w:tc>
                      </w:tr>
                    </w:tbl>
                    <w:p w:rsidR="009D0154" w:rsidRPr="00ED4203" w:rsidRDefault="009D0154" w:rsidP="009D0154">
                      <w:pPr>
                        <w:pStyle w:val="af"/>
                        <w:rPr>
                          <w:vertAlign w:val="superscript"/>
                        </w:rPr>
                      </w:pPr>
                      <w:proofErr w:type="gramStart"/>
                      <w:r w:rsidRPr="005B0718">
                        <w:rPr>
                          <w:b w:val="0"/>
                          <w:vertAlign w:val="superscript"/>
                        </w:rPr>
                        <w:t>1</w:t>
                      </w:r>
                      <w:r w:rsidRPr="005B0718">
                        <w:rPr>
                          <w:b w:val="0"/>
                        </w:rPr>
                        <w:t>Statistical significance.</w:t>
                      </w:r>
                      <w:proofErr w:type="gramEnd"/>
                      <w:r w:rsidRPr="005B0718">
                        <w:rPr>
                          <w:b w:val="0"/>
                        </w:rPr>
                        <w:t xml:space="preserve"> HADS: Hospital anxiety and depression scale; GSRS-IBS: Gastrointestinal symptom rating scale- irritable bowel syndrome; PSQ: Perceived Stress Questionnaire; BMI: Body mass index; SSRI: Selective serotonin reuptake inhibitor; SNRI: Selective noradrenalin reuptake inhibitor; IQR: </w:t>
                      </w:r>
                      <w:proofErr w:type="spellStart"/>
                      <w:r w:rsidRPr="005B0718">
                        <w:rPr>
                          <w:b w:val="0"/>
                        </w:rPr>
                        <w:t>Intraquartile</w:t>
                      </w:r>
                      <w:proofErr w:type="spellEnd"/>
                      <w:r w:rsidRPr="005B0718">
                        <w:rPr>
                          <w:b w:val="0"/>
                        </w:rPr>
                        <w:t xml:space="preserve"> range.</w:t>
                      </w:r>
                    </w:p>
                  </w:txbxContent>
                </v:textbox>
                <w10:wrap type="square"/>
              </v:shape>
            </w:pict>
          </mc:Fallback>
        </mc:AlternateContent>
      </w:r>
    </w:p>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Pr="005B0718" w:rsidRDefault="009D0154" w:rsidP="009D0154">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5913755"/>
                <wp:effectExtent l="9525" t="9525" r="12065" b="1079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913755"/>
                        </a:xfrm>
                        <a:prstGeom prst="rect">
                          <a:avLst/>
                        </a:prstGeom>
                        <a:solidFill>
                          <a:srgbClr val="FFFFFF"/>
                        </a:solidFill>
                        <a:ln w="9525">
                          <a:solidFill>
                            <a:srgbClr val="000000"/>
                          </a:solidFill>
                          <a:miter lim="800000"/>
                          <a:headEnd/>
                          <a:tailEnd/>
                        </a:ln>
                      </wps:spPr>
                      <wps:txbx>
                        <w:txbxContent>
                          <w:p w:rsidR="009D0154" w:rsidRPr="005B0718" w:rsidRDefault="009D0154" w:rsidP="009D0154">
                            <w:pPr>
                              <w:rPr>
                                <w:b/>
                                <w:bCs/>
                              </w:rPr>
                            </w:pPr>
                            <w:r w:rsidRPr="005B0718">
                              <w:rPr>
                                <w:b/>
                                <w:bCs/>
                              </w:rPr>
                              <w:t xml:space="preserve">Table </w:t>
                            </w:r>
                            <w:proofErr w:type="gramStart"/>
                            <w:r w:rsidRPr="005B0718">
                              <w:rPr>
                                <w:b/>
                                <w:bCs/>
                              </w:rPr>
                              <w:t>5  Logistic</w:t>
                            </w:r>
                            <w:proofErr w:type="gramEnd"/>
                            <w:r w:rsidRPr="005B0718">
                              <w:rPr>
                                <w:b/>
                                <w:bCs/>
                              </w:rPr>
                              <w:t xml:space="preserve"> regression analysis studying factors which may influence gastrointestinal symptoms in patients with bipolar disorder</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21"/>
                              <w:gridCol w:w="1708"/>
                              <w:gridCol w:w="1686"/>
                            </w:tblGrid>
                            <w:tr w:rsidR="009D0154" w:rsidRPr="005B0718" w:rsidTr="005B0718">
                              <w:trPr>
                                <w:trHeight w:hRule="exact" w:val="926"/>
                              </w:trPr>
                              <w:tc>
                                <w:tcPr>
                                  <w:tcW w:w="1121" w:type="dxa"/>
                                  <w:vMerge w:val="restart"/>
                                  <w:tcBorders>
                                    <w:top w:val="single" w:sz="6" w:space="0" w:color="000000"/>
                                    <w:bottom w:val="nil"/>
                                  </w:tcBorders>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b/>
                                      <w:kern w:val="0"/>
                                      <w:sz w:val="24"/>
                                      <w:szCs w:val="24"/>
                                    </w:rPr>
                                  </w:pPr>
                                </w:p>
                              </w:tc>
                              <w:tc>
                                <w:tcPr>
                                  <w:tcW w:w="3394" w:type="dxa"/>
                                  <w:gridSpan w:val="2"/>
                                  <w:tcBorders>
                                    <w:top w:val="single" w:sz="6" w:space="0" w:color="000000"/>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5B0718">
                                    <w:rPr>
                                      <w:rFonts w:ascii="Albertus-Bold" w:hAnsi="Albertus-Bold" w:cs="Albertus-Bold"/>
                                      <w:b/>
                                      <w:bCs/>
                                      <w:color w:val="000000"/>
                                      <w:kern w:val="0"/>
                                      <w:sz w:val="14"/>
                                      <w:szCs w:val="14"/>
                                    </w:rPr>
                                    <w:t xml:space="preserve">Patients with bipolar disorder and GSRS-IBS &gt; 9 </w:t>
                                  </w:r>
                                  <w:proofErr w:type="spellStart"/>
                                  <w:r w:rsidRPr="005B0718">
                                    <w:rPr>
                                      <w:rFonts w:ascii="Albertus Bold Italic" w:hAnsi="Albertus Bold Italic" w:cs="Albertus Bold Italic"/>
                                      <w:b/>
                                      <w:bCs/>
                                      <w:i/>
                                      <w:iCs/>
                                      <w:color w:val="000000"/>
                                      <w:kern w:val="0"/>
                                      <w:sz w:val="14"/>
                                      <w:szCs w:val="14"/>
                                    </w:rPr>
                                    <w:t>vs</w:t>
                                  </w:r>
                                  <w:proofErr w:type="spellEnd"/>
                                  <w:r w:rsidRPr="005B0718">
                                    <w:rPr>
                                      <w:rFonts w:ascii="Albertus-Bold" w:hAnsi="Albertus-Bold" w:cs="Albertus-Bold"/>
                                      <w:b/>
                                      <w:bCs/>
                                      <w:color w:val="000000"/>
                                      <w:kern w:val="0"/>
                                      <w:sz w:val="14"/>
                                      <w:szCs w:val="14"/>
                                    </w:rPr>
                                    <w:t xml:space="preserve"> patients with bipolar disorder and GSRS-IBS </w:t>
                                  </w:r>
                                  <w:r w:rsidRPr="005B0718">
                                    <w:rPr>
                                      <w:rFonts w:ascii="宋体" w:hAnsi="Albertus-Bold" w:cs="宋体" w:hint="eastAsia"/>
                                      <w:b/>
                                      <w:color w:val="000000"/>
                                      <w:kern w:val="0"/>
                                      <w:sz w:val="14"/>
                                      <w:szCs w:val="14"/>
                                    </w:rPr>
                                    <w:t>≤</w:t>
                                  </w:r>
                                  <w:r w:rsidRPr="005B0718">
                                    <w:rPr>
                                      <w:rFonts w:ascii="Albertus-Bold" w:hAnsi="Albertus-Bold" w:cs="Albertus-Bold"/>
                                      <w:b/>
                                      <w:bCs/>
                                      <w:color w:val="000000"/>
                                      <w:kern w:val="0"/>
                                      <w:sz w:val="14"/>
                                      <w:szCs w:val="14"/>
                                    </w:rPr>
                                    <w:t xml:space="preserve"> 9</w:t>
                                  </w:r>
                                </w:p>
                              </w:tc>
                            </w:tr>
                            <w:tr w:rsidR="009D0154" w:rsidRPr="005B0718" w:rsidTr="005B0718">
                              <w:trPr>
                                <w:trHeight w:hRule="exact" w:val="350"/>
                              </w:trPr>
                              <w:tc>
                                <w:tcPr>
                                  <w:tcW w:w="1121" w:type="dxa"/>
                                  <w:vMerge/>
                                  <w:tcBorders>
                                    <w:top w:val="nil"/>
                                    <w:bottom w:val="single" w:sz="6" w:space="0" w:color="000000"/>
                                  </w:tcBorders>
                                </w:tcPr>
                                <w:p w:rsidR="009D0154" w:rsidRPr="005B0718" w:rsidRDefault="009D0154" w:rsidP="005B0718">
                                  <w:pPr>
                                    <w:autoSpaceDE w:val="0"/>
                                    <w:autoSpaceDN w:val="0"/>
                                    <w:adjustRightInd w:val="0"/>
                                    <w:jc w:val="left"/>
                                    <w:rPr>
                                      <w:rFonts w:ascii="Albertus Bold Italic" w:hAnsi="Albertus Bold Italic"/>
                                      <w:b/>
                                      <w:kern w:val="0"/>
                                      <w:sz w:val="24"/>
                                      <w:szCs w:val="24"/>
                                    </w:rPr>
                                  </w:pPr>
                                </w:p>
                              </w:tc>
                              <w:tc>
                                <w:tcPr>
                                  <w:tcW w:w="1708" w:type="dxa"/>
                                  <w:tcBorders>
                                    <w:top w:val="single" w:sz="6" w:space="0" w:color="000000"/>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Unadjusted OR</w:t>
                                  </w:r>
                                </w:p>
                              </w:tc>
                              <w:tc>
                                <w:tcPr>
                                  <w:tcW w:w="1686" w:type="dxa"/>
                                  <w:tcBorders>
                                    <w:top w:val="single" w:sz="6" w:space="0" w:color="000000"/>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Adjusted OR</w:t>
                                  </w:r>
                                </w:p>
                              </w:tc>
                            </w:tr>
                            <w:tr w:rsidR="009D0154" w:rsidRPr="005B0718" w:rsidTr="005B0718">
                              <w:trPr>
                                <w:trHeight w:val="60"/>
                              </w:trPr>
                              <w:tc>
                                <w:tcPr>
                                  <w:tcW w:w="1121" w:type="dxa"/>
                                  <w:tcBorders>
                                    <w:top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Age</w:t>
                                  </w:r>
                                </w:p>
                              </w:tc>
                              <w:tc>
                                <w:tcPr>
                                  <w:tcW w:w="1708" w:type="dxa"/>
                                  <w:tcBorders>
                                    <w:top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1.00 (0.97-1.03)</w:t>
                                  </w:r>
                                </w:p>
                              </w:tc>
                              <w:tc>
                                <w:tcPr>
                                  <w:tcW w:w="1686" w:type="dxa"/>
                                  <w:tcBorders>
                                    <w:top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1.01 (0.97-1.04)</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Sex</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2.23 (1.09-4.52)</w:t>
                                  </w:r>
                                  <w:r w:rsidRPr="005B0718">
                                    <w:rPr>
                                      <w:rFonts w:ascii="Book Antiqua" w:hAnsi="Book Antiqua" w:cs="Book Antiqua"/>
                                      <w:bCs/>
                                      <w:color w:val="000000"/>
                                      <w:kern w:val="0"/>
                                      <w:sz w:val="14"/>
                                      <w:szCs w:val="14"/>
                                      <w:vertAlign w:val="superscript"/>
                                      <w:lang w:val="zh-CN"/>
                                    </w:rPr>
                                    <w:t>1</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2.37 (1.07-5.24)</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(male reference)</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Body mass index</w:t>
                                  </w:r>
                                </w:p>
                              </w:tc>
                              <w:tc>
                                <w:tcPr>
                                  <w:tcW w:w="1708"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1.02 (0.95-1.09)</w:t>
                                  </w:r>
                                </w:p>
                              </w:tc>
                              <w:tc>
                                <w:tcPr>
                                  <w:tcW w:w="168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1.01 (0.93-1.08)</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HADS-Depression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8</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5.54 (2.07-14.8)</w:t>
                                  </w:r>
                                  <w:r w:rsidRPr="005B0718">
                                    <w:rPr>
                                      <w:rFonts w:ascii="Book Antiqua" w:hAnsi="Book Antiqua" w:cs="Book Antiqua"/>
                                      <w:bCs/>
                                      <w:color w:val="000000"/>
                                      <w:kern w:val="0"/>
                                      <w:sz w:val="14"/>
                                      <w:szCs w:val="14"/>
                                      <w:vertAlign w:val="superscript"/>
                                      <w:lang w:val="zh-CN"/>
                                    </w:rPr>
                                    <w:t>1</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3.64 (1.07-12.4)</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(&lt; 8 reference) </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HADS-Anxiety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9</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2.89 (1.34-6.22)</w:t>
                                  </w:r>
                                  <w:r w:rsidRPr="005B0718">
                                    <w:rPr>
                                      <w:rFonts w:ascii="Book Antiqua" w:hAnsi="Book Antiqua" w:cs="Book Antiqua"/>
                                      <w:bCs/>
                                      <w:color w:val="000000"/>
                                      <w:kern w:val="0"/>
                                      <w:sz w:val="14"/>
                                      <w:szCs w:val="14"/>
                                      <w:vertAlign w:val="superscript"/>
                                      <w:lang w:val="zh-CN"/>
                                    </w:rPr>
                                    <w:t>1</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1.82 (0.64-5.22)</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(&lt; 9 reference)</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PSQ index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0.34 reference)</w:t>
                                  </w:r>
                                </w:p>
                              </w:tc>
                              <w:tc>
                                <w:tcPr>
                                  <w:tcW w:w="1708"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2.53 (1.21-5.30)</w:t>
                                  </w:r>
                                  <w:r w:rsidRPr="005B0718">
                                    <w:rPr>
                                      <w:rFonts w:ascii="Book Antiqua" w:hAnsi="Book Antiqua" w:cs="Book Antiqua"/>
                                      <w:bCs/>
                                      <w:color w:val="000000"/>
                                      <w:kern w:val="0"/>
                                      <w:sz w:val="14"/>
                                      <w:szCs w:val="14"/>
                                      <w:vertAlign w:val="superscript"/>
                                      <w:lang w:val="zh-CN"/>
                                    </w:rPr>
                                    <w:t>1</w:t>
                                  </w:r>
                                </w:p>
                              </w:tc>
                              <w:tc>
                                <w:tcPr>
                                  <w:tcW w:w="168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1.30 (0.42-3.99)</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Number of Drugs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3</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1.55 (0.77-3.09)</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1.29 (0.59-2.80)</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(&lt; 3 reference)</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bl>
                          <w:p w:rsidR="009D0154" w:rsidRPr="00C34B9B" w:rsidRDefault="009D0154" w:rsidP="009D0154">
                            <w:pPr>
                              <w:pStyle w:val="af"/>
                              <w:rPr>
                                <w:vertAlign w:val="superscript"/>
                              </w:rPr>
                            </w:pPr>
                            <w:proofErr w:type="gramStart"/>
                            <w:r w:rsidRPr="005B0718">
                              <w:rPr>
                                <w:b w:val="0"/>
                                <w:vertAlign w:val="superscript"/>
                              </w:rPr>
                              <w:t>1</w:t>
                            </w:r>
                            <w:r w:rsidRPr="005B0718">
                              <w:rPr>
                                <w:b w:val="0"/>
                              </w:rPr>
                              <w:t>Statistical significance.</w:t>
                            </w:r>
                            <w:proofErr w:type="gramEnd"/>
                            <w:r w:rsidRPr="005B0718">
                              <w:rPr>
                                <w:b w:val="0"/>
                              </w:rPr>
                              <w:t xml:space="preserve"> The dependent variable is high versus low score on the Gastrointestinal Symptom Rating Scale. The studied covariates were: Age (continues variable), Sex (dichotomous variable), Body mass index (continues variable), Hospital Anxiety and Depression scale score (dichotomous variable), Perceived Stress Questionnaire score (dichotomous variable) and Number of drugs (dichotomous variable with “cut off” being the median value). </w:t>
                            </w:r>
                            <w:proofErr w:type="gramStart"/>
                            <w:r w:rsidRPr="005B0718">
                              <w:rPr>
                                <w:b w:val="0"/>
                              </w:rPr>
                              <w:t>OR is presented with 95%CI.</w:t>
                            </w:r>
                            <w:proofErr w:type="gramEnd"/>
                            <w:r w:rsidRPr="005B0718">
                              <w:rPr>
                                <w:b w:val="0"/>
                              </w:rPr>
                              <w:t xml:space="preserve"> GSRS-IBS: Gastrointestinal symptom rating scale-irritable bowel syndrome; HADS: Hospital anxiety depression scale; PSQ: Perceived Stress Questionnaire.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30" type="#_x0000_t202" style="position:absolute;left:0;text-align:left;margin-left:0;margin-top:0;width:416.05pt;height:46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">
                <v:textbox style="mso-fit-shape-to-text:t">
                  <w:txbxContent>
                    <w:p w:rsidR="009D0154" w:rsidRPr="005B0718" w:rsidRDefault="009D0154" w:rsidP="009D0154">
                      <w:pPr>
                        <w:rPr>
                          <w:b/>
                          <w:bCs/>
                        </w:rPr>
                      </w:pPr>
                      <w:r w:rsidRPr="005B0718">
                        <w:rPr>
                          <w:b/>
                          <w:bCs/>
                        </w:rPr>
                        <w:t xml:space="preserve">Table </w:t>
                      </w:r>
                      <w:proofErr w:type="gramStart"/>
                      <w:r w:rsidRPr="005B0718">
                        <w:rPr>
                          <w:b/>
                          <w:bCs/>
                        </w:rPr>
                        <w:t>5  Logistic</w:t>
                      </w:r>
                      <w:proofErr w:type="gramEnd"/>
                      <w:r w:rsidRPr="005B0718">
                        <w:rPr>
                          <w:b/>
                          <w:bCs/>
                        </w:rPr>
                        <w:t xml:space="preserve"> regression analysis studying factors which may influence gastrointestinal symptoms in patients with bipolar disorder</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21"/>
                        <w:gridCol w:w="1708"/>
                        <w:gridCol w:w="1686"/>
                      </w:tblGrid>
                      <w:tr w:rsidR="009D0154" w:rsidRPr="005B0718" w:rsidTr="005B0718">
                        <w:trPr>
                          <w:trHeight w:hRule="exact" w:val="926"/>
                        </w:trPr>
                        <w:tc>
                          <w:tcPr>
                            <w:tcW w:w="1121" w:type="dxa"/>
                            <w:vMerge w:val="restart"/>
                            <w:tcBorders>
                              <w:top w:val="single" w:sz="6" w:space="0" w:color="000000"/>
                              <w:bottom w:val="nil"/>
                            </w:tcBorders>
                            <w:tcMar>
                              <w:top w:w="28" w:type="dxa"/>
                              <w:left w:w="28" w:type="dxa"/>
                              <w:bottom w:w="28" w:type="dxa"/>
                              <w:right w:w="28" w:type="dxa"/>
                            </w:tcMar>
                          </w:tcPr>
                          <w:p w:rsidR="009D0154" w:rsidRPr="005B0718" w:rsidRDefault="009D0154" w:rsidP="005B0718">
                            <w:pPr>
                              <w:autoSpaceDE w:val="0"/>
                              <w:autoSpaceDN w:val="0"/>
                              <w:adjustRightInd w:val="0"/>
                              <w:jc w:val="left"/>
                              <w:rPr>
                                <w:rFonts w:ascii="Albertus Bold Italic" w:hAnsi="Albertus Bold Italic"/>
                                <w:b/>
                                <w:kern w:val="0"/>
                                <w:sz w:val="24"/>
                                <w:szCs w:val="24"/>
                              </w:rPr>
                            </w:pPr>
                          </w:p>
                        </w:tc>
                        <w:tc>
                          <w:tcPr>
                            <w:tcW w:w="3394" w:type="dxa"/>
                            <w:gridSpan w:val="2"/>
                            <w:tcBorders>
                              <w:top w:val="single" w:sz="6" w:space="0" w:color="000000"/>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5B0718">
                              <w:rPr>
                                <w:rFonts w:ascii="Albertus-Bold" w:hAnsi="Albertus-Bold" w:cs="Albertus-Bold"/>
                                <w:b/>
                                <w:bCs/>
                                <w:color w:val="000000"/>
                                <w:kern w:val="0"/>
                                <w:sz w:val="14"/>
                                <w:szCs w:val="14"/>
                              </w:rPr>
                              <w:t xml:space="preserve">Patients with bipolar disorder and GSRS-IBS &gt; 9 </w:t>
                            </w:r>
                            <w:proofErr w:type="spellStart"/>
                            <w:r w:rsidRPr="005B0718">
                              <w:rPr>
                                <w:rFonts w:ascii="Albertus Bold Italic" w:hAnsi="Albertus Bold Italic" w:cs="Albertus Bold Italic"/>
                                <w:b/>
                                <w:bCs/>
                                <w:i/>
                                <w:iCs/>
                                <w:color w:val="000000"/>
                                <w:kern w:val="0"/>
                                <w:sz w:val="14"/>
                                <w:szCs w:val="14"/>
                              </w:rPr>
                              <w:t>vs</w:t>
                            </w:r>
                            <w:proofErr w:type="spellEnd"/>
                            <w:r w:rsidRPr="005B0718">
                              <w:rPr>
                                <w:rFonts w:ascii="Albertus-Bold" w:hAnsi="Albertus-Bold" w:cs="Albertus-Bold"/>
                                <w:b/>
                                <w:bCs/>
                                <w:color w:val="000000"/>
                                <w:kern w:val="0"/>
                                <w:sz w:val="14"/>
                                <w:szCs w:val="14"/>
                              </w:rPr>
                              <w:t xml:space="preserve"> patients with bipolar disorder and GSRS-IBS </w:t>
                            </w:r>
                            <w:r w:rsidRPr="005B0718">
                              <w:rPr>
                                <w:rFonts w:ascii="宋体" w:hAnsi="Albertus-Bold" w:cs="宋体" w:hint="eastAsia"/>
                                <w:b/>
                                <w:color w:val="000000"/>
                                <w:kern w:val="0"/>
                                <w:sz w:val="14"/>
                                <w:szCs w:val="14"/>
                              </w:rPr>
                              <w:t>≤</w:t>
                            </w:r>
                            <w:r w:rsidRPr="005B0718">
                              <w:rPr>
                                <w:rFonts w:ascii="Albertus-Bold" w:hAnsi="Albertus-Bold" w:cs="Albertus-Bold"/>
                                <w:b/>
                                <w:bCs/>
                                <w:color w:val="000000"/>
                                <w:kern w:val="0"/>
                                <w:sz w:val="14"/>
                                <w:szCs w:val="14"/>
                              </w:rPr>
                              <w:t xml:space="preserve"> 9</w:t>
                            </w:r>
                          </w:p>
                        </w:tc>
                      </w:tr>
                      <w:tr w:rsidR="009D0154" w:rsidRPr="005B0718" w:rsidTr="005B0718">
                        <w:trPr>
                          <w:trHeight w:hRule="exact" w:val="350"/>
                        </w:trPr>
                        <w:tc>
                          <w:tcPr>
                            <w:tcW w:w="1121" w:type="dxa"/>
                            <w:vMerge/>
                            <w:tcBorders>
                              <w:top w:val="nil"/>
                              <w:bottom w:val="single" w:sz="6" w:space="0" w:color="000000"/>
                            </w:tcBorders>
                          </w:tcPr>
                          <w:p w:rsidR="009D0154" w:rsidRPr="005B0718" w:rsidRDefault="009D0154" w:rsidP="005B0718">
                            <w:pPr>
                              <w:autoSpaceDE w:val="0"/>
                              <w:autoSpaceDN w:val="0"/>
                              <w:adjustRightInd w:val="0"/>
                              <w:jc w:val="left"/>
                              <w:rPr>
                                <w:rFonts w:ascii="Albertus Bold Italic" w:hAnsi="Albertus Bold Italic"/>
                                <w:b/>
                                <w:kern w:val="0"/>
                                <w:sz w:val="24"/>
                                <w:szCs w:val="24"/>
                              </w:rPr>
                            </w:pPr>
                          </w:p>
                        </w:tc>
                        <w:tc>
                          <w:tcPr>
                            <w:tcW w:w="1708" w:type="dxa"/>
                            <w:tcBorders>
                              <w:top w:val="single" w:sz="6" w:space="0" w:color="000000"/>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Unadjusted OR</w:t>
                            </w:r>
                          </w:p>
                        </w:tc>
                        <w:tc>
                          <w:tcPr>
                            <w:tcW w:w="1686" w:type="dxa"/>
                            <w:tcBorders>
                              <w:top w:val="single" w:sz="6" w:space="0" w:color="000000"/>
                              <w:bottom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B0718">
                              <w:rPr>
                                <w:rFonts w:ascii="Albertus-Bold" w:hAnsi="Albertus-Bold" w:cs="Albertus-Bold"/>
                                <w:b/>
                                <w:bCs/>
                                <w:color w:val="000000"/>
                                <w:kern w:val="0"/>
                                <w:sz w:val="14"/>
                                <w:szCs w:val="14"/>
                                <w:lang w:val="zh-CN"/>
                              </w:rPr>
                              <w:t>Adjusted OR</w:t>
                            </w:r>
                          </w:p>
                        </w:tc>
                      </w:tr>
                      <w:tr w:rsidR="009D0154" w:rsidRPr="005B0718" w:rsidTr="005B0718">
                        <w:trPr>
                          <w:trHeight w:val="60"/>
                        </w:trPr>
                        <w:tc>
                          <w:tcPr>
                            <w:tcW w:w="1121" w:type="dxa"/>
                            <w:tcBorders>
                              <w:top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Age</w:t>
                            </w:r>
                          </w:p>
                        </w:tc>
                        <w:tc>
                          <w:tcPr>
                            <w:tcW w:w="1708" w:type="dxa"/>
                            <w:tcBorders>
                              <w:top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1.00 (0.97-1.03)</w:t>
                            </w:r>
                          </w:p>
                        </w:tc>
                        <w:tc>
                          <w:tcPr>
                            <w:tcW w:w="1686" w:type="dxa"/>
                            <w:tcBorders>
                              <w:top w:val="single" w:sz="6" w:space="0" w:color="000000"/>
                            </w:tcBorders>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1.01 (0.97-1.04)</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Sex</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2.23 (1.09-4.52)</w:t>
                            </w:r>
                            <w:r w:rsidRPr="005B0718">
                              <w:rPr>
                                <w:rFonts w:ascii="Book Antiqua" w:hAnsi="Book Antiqua" w:cs="Book Antiqua"/>
                                <w:bCs/>
                                <w:color w:val="000000"/>
                                <w:kern w:val="0"/>
                                <w:sz w:val="14"/>
                                <w:szCs w:val="14"/>
                                <w:vertAlign w:val="superscript"/>
                                <w:lang w:val="zh-CN"/>
                              </w:rPr>
                              <w:t>1</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2.37 (1.07-5.24)</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(male reference)</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Body mass index</w:t>
                            </w:r>
                          </w:p>
                        </w:tc>
                        <w:tc>
                          <w:tcPr>
                            <w:tcW w:w="1708"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1.02 (0.95-1.09)</w:t>
                            </w:r>
                          </w:p>
                        </w:tc>
                        <w:tc>
                          <w:tcPr>
                            <w:tcW w:w="168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1.01 (0.93-1.08)</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HADS-Depression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8</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5.54 (2.07-14.8)</w:t>
                            </w:r>
                            <w:r w:rsidRPr="005B0718">
                              <w:rPr>
                                <w:rFonts w:ascii="Book Antiqua" w:hAnsi="Book Antiqua" w:cs="Book Antiqua"/>
                                <w:bCs/>
                                <w:color w:val="000000"/>
                                <w:kern w:val="0"/>
                                <w:sz w:val="14"/>
                                <w:szCs w:val="14"/>
                                <w:vertAlign w:val="superscript"/>
                                <w:lang w:val="zh-CN"/>
                              </w:rPr>
                              <w:t>1</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3.64 (1.07-12.4)</w:t>
                            </w:r>
                            <w:r w:rsidRPr="005B0718">
                              <w:rPr>
                                <w:rFonts w:ascii="Book Antiqua" w:hAnsi="Book Antiqua" w:cs="Book Antiqua"/>
                                <w:bCs/>
                                <w:color w:val="000000"/>
                                <w:kern w:val="0"/>
                                <w:sz w:val="14"/>
                                <w:szCs w:val="14"/>
                                <w:vertAlign w:val="superscript"/>
                                <w:lang w:val="zh-CN"/>
                              </w:rPr>
                              <w:t>1</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(&lt; 8 reference) </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HADS-Anxiety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9</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2.89 (1.34-6.22)</w:t>
                            </w:r>
                            <w:r w:rsidRPr="005B0718">
                              <w:rPr>
                                <w:rFonts w:ascii="Book Antiqua" w:hAnsi="Book Antiqua" w:cs="Book Antiqua"/>
                                <w:bCs/>
                                <w:color w:val="000000"/>
                                <w:kern w:val="0"/>
                                <w:sz w:val="14"/>
                                <w:szCs w:val="14"/>
                                <w:vertAlign w:val="superscript"/>
                                <w:lang w:val="zh-CN"/>
                              </w:rPr>
                              <w:t>1</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1.82 (0.64-5.22)</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(&lt; 9 reference)</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PSQ index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0.34 reference)</w:t>
                            </w:r>
                          </w:p>
                        </w:tc>
                        <w:tc>
                          <w:tcPr>
                            <w:tcW w:w="1708"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 2.53 (1.21-5.30)</w:t>
                            </w:r>
                            <w:r w:rsidRPr="005B0718">
                              <w:rPr>
                                <w:rFonts w:ascii="Book Antiqua" w:hAnsi="Book Antiqua" w:cs="Book Antiqua"/>
                                <w:bCs/>
                                <w:color w:val="000000"/>
                                <w:kern w:val="0"/>
                                <w:sz w:val="14"/>
                                <w:szCs w:val="14"/>
                                <w:vertAlign w:val="superscript"/>
                                <w:lang w:val="zh-CN"/>
                              </w:rPr>
                              <w:t>1</w:t>
                            </w:r>
                          </w:p>
                        </w:tc>
                        <w:tc>
                          <w:tcPr>
                            <w:tcW w:w="1686"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1.30 (0.42-3.99)</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 xml:space="preserve">Number of Drugs </w:t>
                            </w:r>
                            <w:r w:rsidRPr="005B0718">
                              <w:rPr>
                                <w:rFonts w:ascii="宋体" w:hAnsi="Book Antiqua" w:cs="宋体" w:hint="eastAsia"/>
                                <w:color w:val="000000"/>
                                <w:kern w:val="0"/>
                                <w:sz w:val="14"/>
                                <w:szCs w:val="14"/>
                                <w:lang w:val="zh-CN"/>
                              </w:rPr>
                              <w:t>≥</w:t>
                            </w:r>
                            <w:r w:rsidRPr="005B0718">
                              <w:rPr>
                                <w:rFonts w:ascii="Book Antiqua" w:hAnsi="Book Antiqua" w:cs="Book Antiqua"/>
                                <w:bCs/>
                                <w:color w:val="000000"/>
                                <w:kern w:val="0"/>
                                <w:sz w:val="14"/>
                                <w:szCs w:val="14"/>
                                <w:lang w:val="zh-CN"/>
                              </w:rPr>
                              <w:t xml:space="preserve"> 3</w:t>
                            </w:r>
                          </w:p>
                        </w:tc>
                        <w:tc>
                          <w:tcPr>
                            <w:tcW w:w="1708"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1.55 (0.77-3.09)</w:t>
                            </w:r>
                          </w:p>
                        </w:tc>
                        <w:tc>
                          <w:tcPr>
                            <w:tcW w:w="1686" w:type="dxa"/>
                            <w:vMerge w:val="restart"/>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1.29 (0.59-2.80)</w:t>
                            </w:r>
                          </w:p>
                        </w:tc>
                      </w:tr>
                      <w:tr w:rsidR="009D0154" w:rsidRPr="005B0718" w:rsidTr="005B0718">
                        <w:trPr>
                          <w:trHeight w:val="60"/>
                        </w:trPr>
                        <w:tc>
                          <w:tcPr>
                            <w:tcW w:w="1121" w:type="dxa"/>
                            <w:tcMar>
                              <w:top w:w="28" w:type="dxa"/>
                              <w:left w:w="28" w:type="dxa"/>
                              <w:bottom w:w="28" w:type="dxa"/>
                              <w:right w:w="28" w:type="dxa"/>
                            </w:tcMar>
                          </w:tcPr>
                          <w:p w:rsidR="009D0154" w:rsidRPr="005B0718" w:rsidRDefault="009D0154" w:rsidP="005B0718">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5B0718">
                              <w:rPr>
                                <w:rFonts w:ascii="Book Antiqua" w:hAnsi="Book Antiqua" w:cs="Book Antiqua"/>
                                <w:bCs/>
                                <w:color w:val="000000"/>
                                <w:kern w:val="0"/>
                                <w:sz w:val="14"/>
                                <w:szCs w:val="14"/>
                                <w:lang w:val="zh-CN"/>
                              </w:rPr>
                              <w:t>(&lt; 3 reference)</w:t>
                            </w:r>
                          </w:p>
                        </w:tc>
                        <w:tc>
                          <w:tcPr>
                            <w:tcW w:w="1708"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c>
                          <w:tcPr>
                            <w:tcW w:w="1686" w:type="dxa"/>
                            <w:vMerge/>
                          </w:tcPr>
                          <w:p w:rsidR="009D0154" w:rsidRPr="005B0718" w:rsidRDefault="009D0154" w:rsidP="005B0718">
                            <w:pPr>
                              <w:autoSpaceDE w:val="0"/>
                              <w:autoSpaceDN w:val="0"/>
                              <w:adjustRightInd w:val="0"/>
                              <w:jc w:val="left"/>
                              <w:rPr>
                                <w:rFonts w:ascii="Albertus Bold Italic" w:hAnsi="Albertus Bold Italic"/>
                                <w:kern w:val="0"/>
                                <w:sz w:val="24"/>
                                <w:szCs w:val="24"/>
                              </w:rPr>
                            </w:pPr>
                          </w:p>
                        </w:tc>
                      </w:tr>
                    </w:tbl>
                    <w:p w:rsidR="009D0154" w:rsidRPr="00C34B9B" w:rsidRDefault="009D0154" w:rsidP="009D0154">
                      <w:pPr>
                        <w:pStyle w:val="af"/>
                        <w:rPr>
                          <w:vertAlign w:val="superscript"/>
                        </w:rPr>
                      </w:pPr>
                      <w:proofErr w:type="gramStart"/>
                      <w:r w:rsidRPr="005B0718">
                        <w:rPr>
                          <w:b w:val="0"/>
                          <w:vertAlign w:val="superscript"/>
                        </w:rPr>
                        <w:t>1</w:t>
                      </w:r>
                      <w:r w:rsidRPr="005B0718">
                        <w:rPr>
                          <w:b w:val="0"/>
                        </w:rPr>
                        <w:t>Statistical significance.</w:t>
                      </w:r>
                      <w:proofErr w:type="gramEnd"/>
                      <w:r w:rsidRPr="005B0718">
                        <w:rPr>
                          <w:b w:val="0"/>
                        </w:rPr>
                        <w:t xml:space="preserve"> The dependent variable is high versus low score on the Gastrointestinal Symptom Rating Scale. The studied covariates were: Age (continues variable), Sex (dichotomous variable), Body mass index (continues variable), Hospital Anxiety and Depression scale score (dichotomous variable), Perceived Stress Questionnaire score (dichotomous variable) and Number of drugs (dichotomous variable with “cut off” being the median value). </w:t>
                      </w:r>
                      <w:proofErr w:type="gramStart"/>
                      <w:r w:rsidRPr="005B0718">
                        <w:rPr>
                          <w:b w:val="0"/>
                        </w:rPr>
                        <w:t>OR is presented with 95%CI.</w:t>
                      </w:r>
                      <w:proofErr w:type="gramEnd"/>
                      <w:r w:rsidRPr="005B0718">
                        <w:rPr>
                          <w:b w:val="0"/>
                        </w:rPr>
                        <w:t xml:space="preserve"> GSRS-IBS: Gastrointestinal symptom rating scale-irritable bowel syndrome; HADS: Hospital anxiety depression scale; PSQ: Perceived Stress Questionnaire.</w:t>
                      </w:r>
                    </w:p>
                  </w:txbxContent>
                </v:textbox>
                <w10:wrap type="square"/>
              </v:shape>
            </w:pict>
          </mc:Fallback>
        </mc:AlternateContent>
      </w:r>
    </w:p>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Default="009D0154" w:rsidP="009D0154"/>
    <w:p w:rsidR="009D0154" w:rsidRPr="009D0154" w:rsidRDefault="009D0154" w:rsidP="00F50781"/>
    <w:p w:rsidR="009D0154" w:rsidRDefault="009D0154" w:rsidP="00F50781"/>
    <w:p w:rsidR="009D0154" w:rsidRDefault="009D0154" w:rsidP="00F50781"/>
    <w:p w:rsidR="009D0154" w:rsidRDefault="009D0154" w:rsidP="00F50781"/>
    <w:p w:rsidR="009D0154" w:rsidRPr="000B0D85" w:rsidRDefault="009D0154" w:rsidP="00F50781"/>
    <w:sectPr w:rsidR="009D0154" w:rsidRPr="000B0D85">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1D" w:rsidRDefault="00B1381D">
      <w:r>
        <w:separator/>
      </w:r>
    </w:p>
  </w:endnote>
  <w:endnote w:type="continuationSeparator" w:id="0">
    <w:p w:rsidR="00B1381D" w:rsidRDefault="00B1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Symbol Italic">
    <w:panose1 w:val="00000000000000000000"/>
    <w:charset w:val="02"/>
    <w:family w:val="auto"/>
    <w:notTrueType/>
    <w:pitch w:val="default"/>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1D" w:rsidRDefault="00B1381D">
      <w:r>
        <w:separator/>
      </w:r>
    </w:p>
  </w:footnote>
  <w:footnote w:type="continuationSeparator" w:id="0">
    <w:p w:rsidR="00B1381D" w:rsidRDefault="00B13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4F6E1A"/>
    <w:rsid w:val="005A6B8B"/>
    <w:rsid w:val="00631E9C"/>
    <w:rsid w:val="00695F5F"/>
    <w:rsid w:val="006E55C4"/>
    <w:rsid w:val="006F19CB"/>
    <w:rsid w:val="007218D1"/>
    <w:rsid w:val="00731FA6"/>
    <w:rsid w:val="00762110"/>
    <w:rsid w:val="00791A4E"/>
    <w:rsid w:val="007E3B2C"/>
    <w:rsid w:val="008226AD"/>
    <w:rsid w:val="008531AE"/>
    <w:rsid w:val="008548B1"/>
    <w:rsid w:val="00884F3A"/>
    <w:rsid w:val="009B3A45"/>
    <w:rsid w:val="009D0154"/>
    <w:rsid w:val="009E244B"/>
    <w:rsid w:val="009E5A72"/>
    <w:rsid w:val="009F426D"/>
    <w:rsid w:val="00A4134A"/>
    <w:rsid w:val="00A51B76"/>
    <w:rsid w:val="00A619D5"/>
    <w:rsid w:val="00A71FFD"/>
    <w:rsid w:val="00AE0EE0"/>
    <w:rsid w:val="00B002E2"/>
    <w:rsid w:val="00B1381D"/>
    <w:rsid w:val="00B74A49"/>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9D0154"/>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9D015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表注"/>
    <w:basedOn w:val="a"/>
    <w:uiPriority w:val="99"/>
    <w:rsid w:val="009D015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9D0154"/>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9D0154"/>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表注"/>
    <w:basedOn w:val="a"/>
    <w:uiPriority w:val="99"/>
    <w:rsid w:val="009D0154"/>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5</cp:revision>
  <dcterms:created xsi:type="dcterms:W3CDTF">2016-01-15T04:02:00Z</dcterms:created>
  <dcterms:modified xsi:type="dcterms:W3CDTF">2016-10-13T12:08:00Z</dcterms:modified>
</cp:coreProperties>
</file>