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6455" w14:textId="6E77C678" w:rsidR="00B1677F" w:rsidRPr="00C43CFB" w:rsidRDefault="00B1677F" w:rsidP="00B1677F">
      <w:pPr>
        <w:spacing w:line="360" w:lineRule="auto"/>
        <w:jc w:val="both"/>
        <w:rPr>
          <w:rFonts w:ascii="Book Antiqua" w:eastAsia="宋体" w:hAnsi="Book Antiqua"/>
          <w:b/>
          <w:lang w:val="it-IT" w:eastAsia="zh-CN"/>
        </w:rPr>
      </w:pPr>
      <w:r w:rsidRPr="00C43CFB">
        <w:rPr>
          <w:rFonts w:ascii="Book Antiqua" w:eastAsia="宋体" w:hAnsi="Book Antiqua"/>
          <w:b/>
          <w:lang w:val="it-IT" w:eastAsia="zh-CN"/>
        </w:rPr>
        <w:t xml:space="preserve">Name of Journal: </w:t>
      </w:r>
      <w:r w:rsidRPr="00C43CFB">
        <w:rPr>
          <w:rFonts w:ascii="Book Antiqua" w:eastAsia="宋体" w:hAnsi="Book Antiqua"/>
          <w:b/>
          <w:i/>
          <w:lang w:eastAsia="zh-CN"/>
        </w:rPr>
        <w:t>World Journal of Gastrointestinal Pharmacology and Therapeutics</w:t>
      </w:r>
    </w:p>
    <w:p w14:paraId="7A6AFB20" w14:textId="1662EC35" w:rsidR="00B1677F" w:rsidRPr="00C43CFB" w:rsidRDefault="00B1677F" w:rsidP="00B1677F">
      <w:pPr>
        <w:spacing w:line="360" w:lineRule="auto"/>
        <w:jc w:val="both"/>
        <w:rPr>
          <w:rFonts w:ascii="Book Antiqua" w:eastAsia="宋体" w:hAnsi="Book Antiqua"/>
          <w:b/>
          <w:lang w:val="it-IT" w:eastAsia="zh-CN"/>
        </w:rPr>
      </w:pPr>
      <w:r w:rsidRPr="00C43CFB">
        <w:rPr>
          <w:rFonts w:ascii="Book Antiqua" w:eastAsia="宋体" w:hAnsi="Book Antiqua"/>
          <w:b/>
          <w:lang w:val="it-IT" w:eastAsia="zh-CN"/>
        </w:rPr>
        <w:t>ESPS Manuscript NO:</w:t>
      </w:r>
      <w:r w:rsidRPr="00C43CFB">
        <w:rPr>
          <w:rFonts w:ascii="Book Antiqua" w:eastAsia="宋体" w:hAnsi="Book Antiqua" w:hint="eastAsia"/>
          <w:b/>
          <w:lang w:val="it-IT" w:eastAsia="zh-CN"/>
        </w:rPr>
        <w:t xml:space="preserve"> </w:t>
      </w:r>
      <w:r w:rsidRPr="00C43CFB">
        <w:rPr>
          <w:rFonts w:ascii="Book Antiqua" w:eastAsia="宋体" w:hAnsi="Book Antiqua" w:hint="eastAsia"/>
          <w:lang w:val="it-IT" w:eastAsia="zh-CN"/>
        </w:rPr>
        <w:t>27344</w:t>
      </w:r>
    </w:p>
    <w:p w14:paraId="44518287" w14:textId="0D6C4DFF" w:rsidR="00B1677F" w:rsidRPr="00C43CFB" w:rsidRDefault="00B1677F" w:rsidP="00B1677F">
      <w:pPr>
        <w:spacing w:line="360" w:lineRule="auto"/>
        <w:jc w:val="both"/>
        <w:rPr>
          <w:rFonts w:ascii="Book Antiqua" w:eastAsia="宋体" w:hAnsi="Book Antiqua"/>
          <w:b/>
          <w:lang w:val="it-IT" w:eastAsia="zh-CN"/>
        </w:rPr>
      </w:pPr>
      <w:r w:rsidRPr="00C43CFB">
        <w:rPr>
          <w:rFonts w:ascii="Book Antiqua" w:eastAsia="宋体" w:hAnsi="Book Antiqua"/>
          <w:b/>
          <w:lang w:val="it-IT" w:eastAsia="zh-CN"/>
        </w:rPr>
        <w:t>Manuscript Type:</w:t>
      </w:r>
      <w:r w:rsidRPr="00C43CFB">
        <w:rPr>
          <w:rFonts w:ascii="Book Antiqua" w:eastAsia="宋体" w:hAnsi="Book Antiqua" w:hint="eastAsia"/>
          <w:b/>
          <w:lang w:val="it-IT" w:eastAsia="zh-CN"/>
        </w:rPr>
        <w:t xml:space="preserve"> </w:t>
      </w:r>
      <w:r w:rsidRPr="00C43CFB">
        <w:rPr>
          <w:rFonts w:ascii="Book Antiqua" w:hAnsi="Book Antiqua"/>
          <w:b/>
        </w:rPr>
        <w:t>Original Article</w:t>
      </w:r>
    </w:p>
    <w:p w14:paraId="70954578" w14:textId="77777777" w:rsidR="00B1677F" w:rsidRPr="00C43CFB" w:rsidRDefault="00B1677F" w:rsidP="00B1677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0B14593" w14:textId="6F7FB66E" w:rsidR="00B1677F" w:rsidRPr="00C43CFB" w:rsidRDefault="00B1677F" w:rsidP="00B1677F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C43CFB">
        <w:rPr>
          <w:rFonts w:ascii="Book Antiqua" w:eastAsia="宋体" w:hAnsi="Book Antiqua"/>
          <w:b/>
          <w:i/>
          <w:lang w:eastAsia="zh-CN"/>
        </w:rPr>
        <w:t>Observational Study</w:t>
      </w:r>
    </w:p>
    <w:p w14:paraId="1A8CB8D1" w14:textId="7AFFD9C0" w:rsidR="003D24C4" w:rsidRPr="00C43CFB" w:rsidRDefault="001540C7" w:rsidP="00B1677F">
      <w:pPr>
        <w:spacing w:line="360" w:lineRule="auto"/>
        <w:jc w:val="both"/>
        <w:rPr>
          <w:rFonts w:ascii="Book Antiqua" w:hAnsi="Book Antiqua"/>
          <w:b/>
        </w:rPr>
      </w:pPr>
      <w:r w:rsidRPr="00C43CFB">
        <w:rPr>
          <w:rFonts w:ascii="Book Antiqua" w:hAnsi="Book Antiqua"/>
          <w:b/>
        </w:rPr>
        <w:t xml:space="preserve">Correlation of </w:t>
      </w:r>
      <w:r w:rsidR="00B1677F" w:rsidRPr="00C43CFB">
        <w:rPr>
          <w:rFonts w:ascii="Book Antiqua" w:hAnsi="Book Antiqua"/>
          <w:b/>
        </w:rPr>
        <w:t>r</w:t>
      </w:r>
      <w:r w:rsidRPr="00C43CFB">
        <w:rPr>
          <w:rFonts w:ascii="Book Antiqua" w:hAnsi="Book Antiqua"/>
          <w:b/>
        </w:rPr>
        <w:t xml:space="preserve">apid </w:t>
      </w:r>
      <w:r w:rsidR="00B1677F" w:rsidRPr="00C43CFB">
        <w:rPr>
          <w:rFonts w:ascii="Book Antiqua" w:hAnsi="Book Antiqua"/>
          <w:b/>
        </w:rPr>
        <w:t>p</w:t>
      </w:r>
      <w:r w:rsidRPr="00C43CFB">
        <w:rPr>
          <w:rFonts w:ascii="Book Antiqua" w:hAnsi="Book Antiqua"/>
          <w:b/>
        </w:rPr>
        <w:t>oint-of-</w:t>
      </w:r>
      <w:r w:rsidR="00B1677F" w:rsidRPr="00C43CFB">
        <w:rPr>
          <w:rFonts w:ascii="Book Antiqua" w:hAnsi="Book Antiqua"/>
          <w:b/>
        </w:rPr>
        <w:t>c</w:t>
      </w:r>
      <w:r w:rsidRPr="00C43CFB">
        <w:rPr>
          <w:rFonts w:ascii="Book Antiqua" w:hAnsi="Book Antiqua"/>
          <w:b/>
        </w:rPr>
        <w:t xml:space="preserve">are </w:t>
      </w:r>
      <w:r w:rsidRPr="00C43CFB">
        <w:rPr>
          <w:rFonts w:ascii="Book Antiqua" w:hAnsi="Book Antiqua"/>
          <w:b/>
          <w:i/>
        </w:rPr>
        <w:t>vs</w:t>
      </w:r>
      <w:r w:rsidRPr="00C43CFB">
        <w:rPr>
          <w:rFonts w:ascii="Book Antiqua" w:hAnsi="Book Antiqua"/>
          <w:b/>
        </w:rPr>
        <w:t xml:space="preserve"> </w:t>
      </w:r>
      <w:r w:rsidR="00B1677F" w:rsidRPr="00C43CFB">
        <w:rPr>
          <w:rFonts w:ascii="Book Antiqua" w:hAnsi="Book Antiqua"/>
          <w:b/>
        </w:rPr>
        <w:t>s</w:t>
      </w:r>
      <w:r w:rsidRPr="00C43CFB">
        <w:rPr>
          <w:rFonts w:ascii="Book Antiqua" w:hAnsi="Book Antiqua"/>
          <w:b/>
        </w:rPr>
        <w:t>end-</w:t>
      </w:r>
      <w:r w:rsidR="00B1677F" w:rsidRPr="00C43CFB">
        <w:rPr>
          <w:rFonts w:ascii="Book Antiqua" w:hAnsi="Book Antiqua"/>
          <w:b/>
        </w:rPr>
        <w:t>o</w:t>
      </w:r>
      <w:r w:rsidRPr="00C43CFB">
        <w:rPr>
          <w:rFonts w:ascii="Book Antiqua" w:hAnsi="Book Antiqua"/>
          <w:b/>
        </w:rPr>
        <w:t xml:space="preserve">ut </w:t>
      </w:r>
      <w:r w:rsidR="00B1677F" w:rsidRPr="00C43CFB">
        <w:rPr>
          <w:rFonts w:ascii="Book Antiqua" w:hAnsi="Book Antiqua"/>
          <w:b/>
        </w:rPr>
        <w:t>f</w:t>
      </w:r>
      <w:r w:rsidRPr="00C43CFB">
        <w:rPr>
          <w:rFonts w:ascii="Book Antiqua" w:hAnsi="Book Antiqua"/>
          <w:b/>
        </w:rPr>
        <w:t xml:space="preserve">ecal </w:t>
      </w:r>
      <w:r w:rsidR="00B1677F" w:rsidRPr="00C43CFB">
        <w:rPr>
          <w:rFonts w:ascii="Book Antiqua" w:hAnsi="Book Antiqua"/>
          <w:b/>
        </w:rPr>
        <w:t>c</w:t>
      </w:r>
      <w:r w:rsidRPr="00C43CFB">
        <w:rPr>
          <w:rFonts w:ascii="Book Antiqua" w:hAnsi="Book Antiqua"/>
          <w:b/>
        </w:rPr>
        <w:t xml:space="preserve">alprotectin </w:t>
      </w:r>
      <w:r w:rsidR="00B1677F" w:rsidRPr="00C43CFB">
        <w:rPr>
          <w:rFonts w:ascii="Book Antiqua" w:hAnsi="Book Antiqua"/>
          <w:b/>
        </w:rPr>
        <w:t>m</w:t>
      </w:r>
      <w:r w:rsidRPr="00C43CFB">
        <w:rPr>
          <w:rFonts w:ascii="Book Antiqua" w:hAnsi="Book Antiqua"/>
          <w:b/>
        </w:rPr>
        <w:t xml:space="preserve">onitoring in </w:t>
      </w:r>
      <w:r w:rsidR="00B1677F" w:rsidRPr="00C43CFB">
        <w:rPr>
          <w:rFonts w:ascii="Book Antiqua" w:hAnsi="Book Antiqua"/>
          <w:b/>
        </w:rPr>
        <w:t>p</w:t>
      </w:r>
      <w:r w:rsidRPr="00C43CFB">
        <w:rPr>
          <w:rFonts w:ascii="Book Antiqua" w:hAnsi="Book Antiqua"/>
          <w:b/>
        </w:rPr>
        <w:t xml:space="preserve">ediatric </w:t>
      </w:r>
      <w:r w:rsidR="00B1677F" w:rsidRPr="00C43CFB">
        <w:rPr>
          <w:rFonts w:ascii="Book Antiqua" w:hAnsi="Book Antiqua"/>
          <w:b/>
        </w:rPr>
        <w:t>i</w:t>
      </w:r>
      <w:r w:rsidRPr="00C43CFB">
        <w:rPr>
          <w:rFonts w:ascii="Book Antiqua" w:hAnsi="Book Antiqua"/>
          <w:b/>
        </w:rPr>
        <w:t xml:space="preserve">nflammatory </w:t>
      </w:r>
      <w:r w:rsidR="00B1677F" w:rsidRPr="00C43CFB">
        <w:rPr>
          <w:rFonts w:ascii="Book Antiqua" w:hAnsi="Book Antiqua"/>
          <w:b/>
        </w:rPr>
        <w:t>b</w:t>
      </w:r>
      <w:r w:rsidRPr="00C43CFB">
        <w:rPr>
          <w:rFonts w:ascii="Book Antiqua" w:hAnsi="Book Antiqua"/>
          <w:b/>
        </w:rPr>
        <w:t xml:space="preserve">owel </w:t>
      </w:r>
      <w:r w:rsidR="00B1677F" w:rsidRPr="00C43CFB">
        <w:rPr>
          <w:rFonts w:ascii="Book Antiqua" w:hAnsi="Book Antiqua"/>
          <w:b/>
        </w:rPr>
        <w:t>d</w:t>
      </w:r>
      <w:r w:rsidRPr="00C43CFB">
        <w:rPr>
          <w:rFonts w:ascii="Book Antiqua" w:hAnsi="Book Antiqua"/>
          <w:b/>
        </w:rPr>
        <w:t>isease</w:t>
      </w:r>
    </w:p>
    <w:p w14:paraId="239ADA1B" w14:textId="77777777" w:rsidR="001540C7" w:rsidRPr="00C43CFB" w:rsidRDefault="001540C7" w:rsidP="00B1677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85BB838" w14:textId="5566A277" w:rsidR="003A063F" w:rsidRPr="00C43CFB" w:rsidRDefault="006D2288" w:rsidP="003A063F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</w:pPr>
      <w:bookmarkStart w:id="0" w:name="OLE_LINK41"/>
      <w:bookmarkStart w:id="1" w:name="OLE_LINK42"/>
      <w:bookmarkStart w:id="2" w:name="OLE_LINK941"/>
      <w:bookmarkStart w:id="3" w:name="OLE_LINK122"/>
      <w:bookmarkStart w:id="4" w:name="OLE_LINK123"/>
      <w:bookmarkStart w:id="5" w:name="OLE_LINK221"/>
      <w:bookmarkStart w:id="6" w:name="OLE_LINK230"/>
      <w:bookmarkStart w:id="7" w:name="OLE_LINK342"/>
      <w:bookmarkStart w:id="8" w:name="OLE_LINK401"/>
      <w:bookmarkStart w:id="9" w:name="OLE_LINK576"/>
      <w:bookmarkStart w:id="10" w:name="OLE_LINK605"/>
      <w:bookmarkStart w:id="11" w:name="OLE_LINK638"/>
      <w:bookmarkStart w:id="12" w:name="OLE_LINK732"/>
      <w:bookmarkStart w:id="13" w:name="OLE_LINK850"/>
      <w:bookmarkStart w:id="14" w:name="OLE_LINK868"/>
      <w:bookmarkStart w:id="15" w:name="OLE_LINK901"/>
      <w:bookmarkStart w:id="16" w:name="OLE_LINK931"/>
      <w:bookmarkStart w:id="17" w:name="OLE_LINK972"/>
      <w:r w:rsidRPr="00C43CFB">
        <w:rPr>
          <w:rFonts w:ascii="Book Antiqua" w:hAnsi="Book Antiqua" w:cs="Times New Roman"/>
          <w:color w:val="auto"/>
        </w:rPr>
        <w:t>Rodriguez A</w:t>
      </w:r>
      <w:r>
        <w:rPr>
          <w:rFonts w:ascii="Book Antiqua" w:hAnsi="Book Antiqua" w:cs="Times New Roman" w:hint="eastAsia"/>
          <w:color w:val="auto"/>
          <w:lang w:eastAsia="zh-CN"/>
        </w:rPr>
        <w:t xml:space="preserve"> </w:t>
      </w:r>
      <w:r w:rsidRPr="006D2288">
        <w:rPr>
          <w:rFonts w:ascii="Book Antiqua" w:hAnsi="Book Antiqua" w:cs="Times New Roman" w:hint="eastAsia"/>
          <w:i/>
          <w:color w:val="auto"/>
          <w:lang w:eastAsia="zh-CN"/>
        </w:rPr>
        <w:t>et al</w:t>
      </w:r>
      <w:r>
        <w:rPr>
          <w:rFonts w:ascii="Book Antiqua" w:hAnsi="Book Antiqua" w:cs="Times New Roman" w:hint="eastAsia"/>
          <w:color w:val="auto"/>
          <w:lang w:eastAsia="zh-CN"/>
        </w:rPr>
        <w:t>.</w:t>
      </w:r>
      <w:bookmarkEnd w:id="0"/>
      <w:bookmarkEnd w:id="1"/>
      <w:bookmarkEnd w:id="2"/>
      <w:r>
        <w:rPr>
          <w:rFonts w:ascii="Book Antiqua" w:hAnsi="Book Antiqua" w:cs="Times New Roman" w:hint="eastAsia"/>
          <w:color w:val="auto"/>
          <w:lang w:eastAsia="zh-CN"/>
        </w:rPr>
        <w:t xml:space="preserve"> </w:t>
      </w:r>
      <w:r w:rsidR="00A71D4A"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Rapid </w:t>
      </w:r>
      <w:r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f</w:t>
      </w:r>
      <w:r w:rsidR="00A71D4A"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ecal </w:t>
      </w:r>
      <w:r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c</w:t>
      </w:r>
      <w:r w:rsidR="00A71D4A"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alprotectin in </w:t>
      </w:r>
      <w:r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p</w:t>
      </w:r>
      <w:r w:rsidR="00A71D4A"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ediatric </w:t>
      </w:r>
      <w:r w:rsidRPr="006D2288">
        <w:rPr>
          <w:rFonts w:ascii="Book Antiqua" w:hAnsi="Book Antiqua" w:cs="Times New Roman" w:hint="eastAsia"/>
          <w:color w:val="auto"/>
          <w:sz w:val="24"/>
          <w:highlight w:val="white"/>
          <w:lang w:val="en-US" w:eastAsia="zh-CN"/>
        </w:rPr>
        <w:t>I</w:t>
      </w:r>
      <w:r w:rsidR="00A71D4A" w:rsidRPr="006D2288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BD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0EF8F6BF" w14:textId="77777777" w:rsidR="00B1677F" w:rsidRPr="00C43CFB" w:rsidRDefault="00B1677F" w:rsidP="00B1677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6AE0FC9" w14:textId="28D5347A" w:rsidR="001540C7" w:rsidRPr="00C43CFB" w:rsidRDefault="00D94856" w:rsidP="00B1677F">
      <w:pPr>
        <w:spacing w:line="360" w:lineRule="auto"/>
        <w:jc w:val="both"/>
        <w:rPr>
          <w:rFonts w:ascii="Book Antiqua" w:hAnsi="Book Antiqua" w:cs="Times New Roman"/>
          <w:b/>
          <w:vertAlign w:val="superscript"/>
        </w:rPr>
      </w:pPr>
      <w:r w:rsidRPr="00C43CFB">
        <w:rPr>
          <w:rFonts w:ascii="Book Antiqua" w:hAnsi="Book Antiqua" w:cs="Times New Roman"/>
          <w:b/>
        </w:rPr>
        <w:t>Alexis Rodriguez</w:t>
      </w:r>
      <w:r w:rsidR="001540C7" w:rsidRPr="00C43CFB">
        <w:rPr>
          <w:rFonts w:ascii="Book Antiqua" w:hAnsi="Book Antiqua" w:cs="Times New Roman"/>
          <w:b/>
        </w:rPr>
        <w:t xml:space="preserve">, </w:t>
      </w:r>
      <w:r w:rsidR="009A3077" w:rsidRPr="00C43CFB">
        <w:rPr>
          <w:rFonts w:ascii="Book Antiqua" w:hAnsi="Book Antiqua" w:cs="Times New Roman"/>
          <w:b/>
        </w:rPr>
        <w:t xml:space="preserve">Lauren </w:t>
      </w:r>
      <w:proofErr w:type="spellStart"/>
      <w:r w:rsidR="009A3077" w:rsidRPr="00C43CFB">
        <w:rPr>
          <w:rFonts w:ascii="Book Antiqua" w:hAnsi="Book Antiqua" w:cs="Times New Roman"/>
          <w:b/>
        </w:rPr>
        <w:t>Yokomizo</w:t>
      </w:r>
      <w:proofErr w:type="spellEnd"/>
      <w:r w:rsidR="009A3077" w:rsidRPr="00C43CFB">
        <w:rPr>
          <w:rFonts w:ascii="Book Antiqua" w:hAnsi="Book Antiqua" w:cs="Times New Roman"/>
          <w:b/>
        </w:rPr>
        <w:t xml:space="preserve">, Megan </w:t>
      </w:r>
      <w:proofErr w:type="spellStart"/>
      <w:r w:rsidR="009A3077" w:rsidRPr="00C43CFB">
        <w:rPr>
          <w:rFonts w:ascii="Book Antiqua" w:hAnsi="Book Antiqua" w:cs="Times New Roman"/>
          <w:b/>
        </w:rPr>
        <w:t>Christofferson</w:t>
      </w:r>
      <w:proofErr w:type="spellEnd"/>
      <w:r w:rsidR="009A3077" w:rsidRPr="00C43CFB">
        <w:rPr>
          <w:rFonts w:ascii="Book Antiqua" w:hAnsi="Book Antiqua" w:cs="Times New Roman"/>
          <w:b/>
        </w:rPr>
        <w:t xml:space="preserve">, Danielle Barnes, </w:t>
      </w:r>
      <w:proofErr w:type="spellStart"/>
      <w:r w:rsidR="009A3077" w:rsidRPr="00C43CFB">
        <w:rPr>
          <w:rFonts w:ascii="Book Antiqua" w:hAnsi="Book Antiqua" w:cs="Times New Roman"/>
          <w:b/>
        </w:rPr>
        <w:t>Nasim</w:t>
      </w:r>
      <w:proofErr w:type="spellEnd"/>
      <w:r w:rsidR="009A3077" w:rsidRPr="00C43CFB">
        <w:rPr>
          <w:rFonts w:ascii="Book Antiqua" w:hAnsi="Book Antiqua" w:cs="Times New Roman"/>
          <w:b/>
        </w:rPr>
        <w:t xml:space="preserve"> Khavari</w:t>
      </w:r>
      <w:r w:rsidR="001540C7" w:rsidRPr="00C43CFB">
        <w:rPr>
          <w:rFonts w:ascii="Book Antiqua" w:hAnsi="Book Antiqua" w:cs="Times New Roman"/>
          <w:b/>
        </w:rPr>
        <w:t>, KT Park</w:t>
      </w:r>
    </w:p>
    <w:p w14:paraId="5EA03A8E" w14:textId="77777777" w:rsidR="001540C7" w:rsidRPr="00C43CFB" w:rsidRDefault="001540C7" w:rsidP="00B1677F">
      <w:pPr>
        <w:spacing w:line="360" w:lineRule="auto"/>
        <w:jc w:val="both"/>
        <w:rPr>
          <w:rFonts w:ascii="Book Antiqua" w:hAnsi="Book Antiqua" w:cs="Times New Roman"/>
          <w:vertAlign w:val="superscript"/>
        </w:rPr>
      </w:pPr>
    </w:p>
    <w:p w14:paraId="43F33DB1" w14:textId="63B9B553" w:rsidR="001540C7" w:rsidRPr="00C43CFB" w:rsidRDefault="00B1677F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C43CFB">
        <w:rPr>
          <w:rFonts w:ascii="Book Antiqua" w:hAnsi="Book Antiqua" w:cs="Times New Roman"/>
          <w:b/>
        </w:rPr>
        <w:t>Alexis Rodriguez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r w:rsidRPr="00C43CFB">
        <w:rPr>
          <w:rFonts w:ascii="Book Antiqua" w:hAnsi="Book Antiqua" w:cs="Times New Roman"/>
          <w:b/>
          <w:vertAlign w:val="superscript"/>
        </w:rPr>
        <w:t xml:space="preserve"> </w:t>
      </w:r>
      <w:r w:rsidRPr="00C43CFB">
        <w:rPr>
          <w:rFonts w:ascii="Book Antiqua" w:hAnsi="Book Antiqua" w:cs="Times New Roman"/>
          <w:b/>
        </w:rPr>
        <w:t xml:space="preserve">Megan </w:t>
      </w:r>
      <w:proofErr w:type="spellStart"/>
      <w:r w:rsidRPr="00C43CFB">
        <w:rPr>
          <w:rFonts w:ascii="Book Antiqua" w:hAnsi="Book Antiqua" w:cs="Times New Roman"/>
          <w:b/>
        </w:rPr>
        <w:t>Christofferson</w:t>
      </w:r>
      <w:proofErr w:type="spellEnd"/>
      <w:r w:rsidRPr="00C43CFB">
        <w:rPr>
          <w:rFonts w:ascii="Book Antiqua" w:eastAsia="宋体" w:hAnsi="Book Antiqua" w:cs="Times New Roman" w:hint="eastAsia"/>
          <w:b/>
          <w:lang w:eastAsia="zh-CN"/>
        </w:rPr>
        <w:t>,</w:t>
      </w:r>
      <w:r w:rsidRPr="00C43CFB">
        <w:rPr>
          <w:rFonts w:ascii="Book Antiqua" w:hAnsi="Book Antiqua" w:cs="Times New Roman"/>
          <w:b/>
        </w:rPr>
        <w:t xml:space="preserve"> Danielle Barnes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proofErr w:type="spellStart"/>
      <w:r w:rsidRPr="00C43CFB">
        <w:rPr>
          <w:rFonts w:ascii="Book Antiqua" w:hAnsi="Book Antiqua" w:cs="Times New Roman"/>
          <w:b/>
        </w:rPr>
        <w:t>Nasim</w:t>
      </w:r>
      <w:proofErr w:type="spellEnd"/>
      <w:r w:rsidRPr="00C43CFB">
        <w:rPr>
          <w:rFonts w:ascii="Book Antiqua" w:hAnsi="Book Antiqua" w:cs="Times New Roman"/>
          <w:b/>
        </w:rPr>
        <w:t xml:space="preserve"> Khavari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r w:rsidRPr="00C43CFB">
        <w:rPr>
          <w:rFonts w:ascii="Book Antiqua" w:hAnsi="Book Antiqua" w:cs="Times New Roman"/>
          <w:b/>
        </w:rPr>
        <w:t>KT Park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>,</w:t>
      </w:r>
      <w:r w:rsidRPr="00C43CFB">
        <w:rPr>
          <w:rFonts w:ascii="Book Antiqua" w:eastAsia="宋体" w:hAnsi="Book Antiqua" w:cs="Times New Roman" w:hint="eastAsia"/>
          <w:vertAlign w:val="superscript"/>
          <w:lang w:eastAsia="zh-CN"/>
        </w:rPr>
        <w:t xml:space="preserve"> </w:t>
      </w:r>
      <w:r w:rsidR="001540C7" w:rsidRPr="00C43CFB">
        <w:rPr>
          <w:rFonts w:ascii="Book Antiqua" w:hAnsi="Book Antiqua" w:cs="Times New Roman"/>
        </w:rPr>
        <w:t>Division of Gastroenterology, Department of Pediatrics, Stanford University, Palo Alto, C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A </w:t>
      </w:r>
      <w:r w:rsidRPr="00C43CFB">
        <w:rPr>
          <w:rFonts w:ascii="Book Antiqua" w:hAnsi="Book Antiqua" w:cs="Times New Roman"/>
        </w:rPr>
        <w:t>94304</w:t>
      </w:r>
      <w:r w:rsidR="001540C7" w:rsidRPr="00C43CFB">
        <w:rPr>
          <w:rFonts w:ascii="Book Antiqua" w:hAnsi="Book Antiqua" w:cs="Times New Roman"/>
        </w:rPr>
        <w:t>, U</w:t>
      </w:r>
      <w:r w:rsidRPr="00C43CFB">
        <w:rPr>
          <w:rFonts w:ascii="Book Antiqua" w:eastAsia="宋体" w:hAnsi="Book Antiqua" w:cs="Times New Roman" w:hint="eastAsia"/>
          <w:lang w:eastAsia="zh-CN"/>
        </w:rPr>
        <w:t>nited States</w:t>
      </w:r>
    </w:p>
    <w:p w14:paraId="35D7F797" w14:textId="77777777" w:rsidR="00D94856" w:rsidRPr="00C43CFB" w:rsidRDefault="00D94856" w:rsidP="00B1677F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65927C8D" w14:textId="34764E53" w:rsidR="001540C7" w:rsidRPr="00C43CFB" w:rsidRDefault="00B1677F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  <w:b/>
        </w:rPr>
        <w:t>Alexis Rodriguez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r w:rsidRPr="00C43CFB">
        <w:rPr>
          <w:rFonts w:ascii="Book Antiqua" w:hAnsi="Book Antiqua" w:cs="Times New Roman"/>
          <w:b/>
        </w:rPr>
        <w:t xml:space="preserve">Lauren </w:t>
      </w:r>
      <w:proofErr w:type="spellStart"/>
      <w:r w:rsidRPr="00C43CFB">
        <w:rPr>
          <w:rFonts w:ascii="Book Antiqua" w:hAnsi="Book Antiqua" w:cs="Times New Roman"/>
          <w:b/>
        </w:rPr>
        <w:t>Yokomizo</w:t>
      </w:r>
      <w:proofErr w:type="spellEnd"/>
      <w:r w:rsidRPr="00C43CFB">
        <w:rPr>
          <w:rFonts w:ascii="Book Antiqua" w:eastAsia="宋体" w:hAnsi="Book Antiqua" w:cs="Times New Roman" w:hint="eastAsia"/>
          <w:b/>
          <w:lang w:eastAsia="zh-CN"/>
        </w:rPr>
        <w:t>,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43CFB">
        <w:rPr>
          <w:rFonts w:ascii="Book Antiqua" w:hAnsi="Book Antiqua" w:cs="Times New Roman"/>
          <w:b/>
        </w:rPr>
        <w:t xml:space="preserve">Megan </w:t>
      </w:r>
      <w:proofErr w:type="spellStart"/>
      <w:r w:rsidRPr="00C43CFB">
        <w:rPr>
          <w:rFonts w:ascii="Book Antiqua" w:hAnsi="Book Antiqua" w:cs="Times New Roman"/>
          <w:b/>
        </w:rPr>
        <w:t>Christofferson</w:t>
      </w:r>
      <w:proofErr w:type="spellEnd"/>
      <w:r w:rsidRPr="00C43CFB">
        <w:rPr>
          <w:rFonts w:ascii="Book Antiqua" w:eastAsia="宋体" w:hAnsi="Book Antiqua" w:cs="Times New Roman" w:hint="eastAsia"/>
          <w:b/>
          <w:lang w:eastAsia="zh-CN"/>
        </w:rPr>
        <w:t>,</w:t>
      </w:r>
      <w:r w:rsidRPr="00C43CFB">
        <w:rPr>
          <w:rFonts w:ascii="Book Antiqua" w:hAnsi="Book Antiqua" w:cs="Times New Roman"/>
          <w:vertAlign w:val="superscript"/>
        </w:rPr>
        <w:t xml:space="preserve"> </w:t>
      </w:r>
      <w:r w:rsidRPr="00C43CFB">
        <w:rPr>
          <w:rFonts w:ascii="Book Antiqua" w:hAnsi="Book Antiqua" w:cs="Times New Roman"/>
          <w:b/>
        </w:rPr>
        <w:t>Danielle Barnes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proofErr w:type="spellStart"/>
      <w:r w:rsidRPr="00C43CFB">
        <w:rPr>
          <w:rFonts w:ascii="Book Antiqua" w:hAnsi="Book Antiqua" w:cs="Times New Roman"/>
          <w:b/>
        </w:rPr>
        <w:t>Nasim</w:t>
      </w:r>
      <w:proofErr w:type="spellEnd"/>
      <w:r w:rsidRPr="00C43CFB">
        <w:rPr>
          <w:rFonts w:ascii="Book Antiqua" w:hAnsi="Book Antiqua" w:cs="Times New Roman"/>
          <w:b/>
        </w:rPr>
        <w:t xml:space="preserve"> Khavari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r w:rsidRPr="00C43CFB">
        <w:rPr>
          <w:rFonts w:ascii="Book Antiqua" w:hAnsi="Book Antiqua" w:cs="Times New Roman"/>
          <w:b/>
        </w:rPr>
        <w:t>KT Park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>,</w:t>
      </w:r>
      <w:r w:rsidRPr="00C43CFB">
        <w:rPr>
          <w:rFonts w:ascii="Book Antiqua" w:eastAsia="宋体" w:hAnsi="Book Antiqua" w:cs="Times New Roman" w:hint="eastAsia"/>
          <w:vertAlign w:val="superscript"/>
          <w:lang w:eastAsia="zh-CN"/>
        </w:rPr>
        <w:t xml:space="preserve"> </w:t>
      </w:r>
      <w:r w:rsidR="001540C7" w:rsidRPr="00C43CFB">
        <w:rPr>
          <w:rFonts w:ascii="Book Antiqua" w:hAnsi="Book Antiqua" w:cs="Times New Roman"/>
        </w:rPr>
        <w:t xml:space="preserve">Stanford University School of Medicine, Stanford University, Palo Alto, </w:t>
      </w:r>
      <w:r w:rsidRPr="00C43CFB">
        <w:rPr>
          <w:rFonts w:ascii="Book Antiqua" w:hAnsi="Book Antiqua" w:cs="Times New Roman"/>
        </w:rPr>
        <w:t>C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A </w:t>
      </w:r>
      <w:r w:rsidRPr="00C43CFB">
        <w:rPr>
          <w:rFonts w:ascii="Book Antiqua" w:hAnsi="Book Antiqua" w:cs="Times New Roman"/>
        </w:rPr>
        <w:t>94304, U</w:t>
      </w:r>
      <w:r w:rsidRPr="00C43CFB">
        <w:rPr>
          <w:rFonts w:ascii="Book Antiqua" w:eastAsia="宋体" w:hAnsi="Book Antiqua" w:cs="Times New Roman" w:hint="eastAsia"/>
          <w:lang w:eastAsia="zh-CN"/>
        </w:rPr>
        <w:t>nited States</w:t>
      </w:r>
    </w:p>
    <w:p w14:paraId="7F769607" w14:textId="77777777" w:rsidR="001540C7" w:rsidRPr="00C43CFB" w:rsidRDefault="001540C7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590DFAC0" w14:textId="08AB2306" w:rsidR="00D94856" w:rsidRPr="00C43CFB" w:rsidRDefault="00D94856" w:rsidP="00D94856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C43CFB">
        <w:rPr>
          <w:rFonts w:ascii="Book Antiqua" w:hAnsi="Book Antiqua" w:cs="Times New Roman"/>
          <w:b/>
        </w:rPr>
        <w:t>Author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C43CFB">
        <w:rPr>
          <w:rFonts w:ascii="Book Antiqua" w:hAnsi="Book Antiqua" w:cs="Times New Roman"/>
          <w:b/>
        </w:rPr>
        <w:t>contributions: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9A3077" w:rsidRPr="00C43CFB">
        <w:rPr>
          <w:rFonts w:ascii="Book Antiqua" w:hAnsi="Book Antiqua" w:cs="Times New Roman"/>
        </w:rPr>
        <w:t xml:space="preserve">Rodriguez A and </w:t>
      </w:r>
      <w:proofErr w:type="spellStart"/>
      <w:r w:rsidR="009A3077" w:rsidRPr="00C43CFB">
        <w:rPr>
          <w:rFonts w:ascii="Book Antiqua" w:hAnsi="Book Antiqua" w:cs="Times New Roman"/>
        </w:rPr>
        <w:t>Yokomizo</w:t>
      </w:r>
      <w:proofErr w:type="spellEnd"/>
      <w:r w:rsidR="009A3077" w:rsidRPr="00C43CFB">
        <w:rPr>
          <w:rFonts w:ascii="Book Antiqua" w:hAnsi="Book Antiqua" w:cs="Times New Roman"/>
        </w:rPr>
        <w:t xml:space="preserve"> L </w:t>
      </w:r>
      <w:r w:rsidRPr="00C43CFB">
        <w:rPr>
          <w:rFonts w:ascii="Book Antiqua" w:hAnsi="Book Antiqua" w:cs="Times New Roman"/>
        </w:rPr>
        <w:t>contributed equally to this work</w:t>
      </w:r>
      <w:r w:rsidR="009A3077" w:rsidRPr="00C43CFB">
        <w:rPr>
          <w:rFonts w:ascii="Book Antiqua" w:hAnsi="Book Antiqua" w:cs="Times New Roman"/>
        </w:rPr>
        <w:t>;</w:t>
      </w:r>
      <w:r w:rsidRPr="00C43CFB">
        <w:rPr>
          <w:rFonts w:ascii="Book Antiqua" w:hAnsi="Book Antiqua" w:cs="Times New Roman"/>
        </w:rPr>
        <w:t xml:space="preserve"> Park K</w:t>
      </w:r>
      <w:r w:rsidRPr="00C43CFB">
        <w:rPr>
          <w:rFonts w:ascii="Book Antiqua" w:eastAsia="宋体" w:hAnsi="Book Antiqua" w:cs="Times New Roman" w:hint="eastAsia"/>
          <w:lang w:eastAsia="zh-CN"/>
        </w:rPr>
        <w:t>T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C43CFB">
        <w:rPr>
          <w:rFonts w:ascii="Book Antiqua" w:hAnsi="Book Antiqua" w:cs="Times New Roman"/>
        </w:rPr>
        <w:t xml:space="preserve">conceptualized the study; Rodriguez A, </w:t>
      </w:r>
      <w:proofErr w:type="spellStart"/>
      <w:r w:rsidRPr="00C43CFB">
        <w:rPr>
          <w:rFonts w:ascii="Book Antiqua" w:hAnsi="Book Antiqua" w:cs="Times New Roman"/>
        </w:rPr>
        <w:t>Yokomizo</w:t>
      </w:r>
      <w:proofErr w:type="spellEnd"/>
      <w:r w:rsidRPr="00C43CFB">
        <w:rPr>
          <w:rFonts w:ascii="Book Antiqua" w:hAnsi="Book Antiqua" w:cs="Times New Roman"/>
        </w:rPr>
        <w:t xml:space="preserve"> L, </w:t>
      </w:r>
      <w:proofErr w:type="spellStart"/>
      <w:r w:rsidRPr="00C43CFB">
        <w:rPr>
          <w:rFonts w:ascii="Book Antiqua" w:hAnsi="Book Antiqua" w:cs="Times New Roman"/>
        </w:rPr>
        <w:t>Christofferson</w:t>
      </w:r>
      <w:proofErr w:type="spellEnd"/>
      <w:r w:rsidRPr="00C43CFB">
        <w:rPr>
          <w:rFonts w:ascii="Book Antiqua" w:hAnsi="Book Antiqua" w:cs="Times New Roman"/>
        </w:rPr>
        <w:t xml:space="preserve"> M, Barnes D, Khavari N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 and </w:t>
      </w:r>
      <w:r w:rsidRPr="00C43CFB">
        <w:rPr>
          <w:rFonts w:ascii="Book Antiqua" w:hAnsi="Book Antiqua" w:cs="Times New Roman"/>
        </w:rPr>
        <w:t>Park K</w:t>
      </w:r>
      <w:r w:rsidRPr="00C43CFB">
        <w:rPr>
          <w:rFonts w:ascii="Book Antiqua" w:eastAsia="宋体" w:hAnsi="Book Antiqua" w:cs="Times New Roman" w:hint="eastAsia"/>
          <w:lang w:eastAsia="zh-CN"/>
        </w:rPr>
        <w:t>T</w:t>
      </w:r>
      <w:r w:rsidRPr="00C43CFB">
        <w:rPr>
          <w:rFonts w:ascii="Book Antiqua" w:hAnsi="Book Antiqua" w:cs="Times New Roman"/>
        </w:rPr>
        <w:t xml:space="preserve"> participated in sample analysis and assisted in the logistics of the study; Rodriguez A, </w:t>
      </w:r>
      <w:proofErr w:type="spellStart"/>
      <w:r w:rsidRPr="00C43CFB">
        <w:rPr>
          <w:rFonts w:ascii="Book Antiqua" w:hAnsi="Book Antiqua" w:cs="Times New Roman"/>
        </w:rPr>
        <w:t>Yokomizo</w:t>
      </w:r>
      <w:proofErr w:type="spellEnd"/>
      <w:r w:rsidRPr="00C43CFB">
        <w:rPr>
          <w:rFonts w:ascii="Book Antiqua" w:hAnsi="Book Antiqua" w:cs="Times New Roman"/>
        </w:rPr>
        <w:t xml:space="preserve"> L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 and </w:t>
      </w:r>
      <w:r w:rsidRPr="00C43CFB">
        <w:rPr>
          <w:rFonts w:ascii="Book Antiqua" w:hAnsi="Book Antiqua" w:cs="Times New Roman"/>
        </w:rPr>
        <w:t>Park K</w:t>
      </w:r>
      <w:r w:rsidRPr="00C43CFB">
        <w:rPr>
          <w:rFonts w:ascii="Book Antiqua" w:eastAsia="宋体" w:hAnsi="Book Antiqua" w:cs="Times New Roman" w:hint="eastAsia"/>
          <w:lang w:eastAsia="zh-CN"/>
        </w:rPr>
        <w:t>T</w:t>
      </w:r>
      <w:r w:rsidRPr="00C43CFB">
        <w:rPr>
          <w:rFonts w:ascii="Book Antiqua" w:hAnsi="Book Antiqua" w:cs="Times New Roman"/>
        </w:rPr>
        <w:t xml:space="preserve"> participated in the statistical analysis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, </w:t>
      </w:r>
      <w:r w:rsidRPr="00C43CFB">
        <w:rPr>
          <w:rFonts w:ascii="Book Antiqua" w:hAnsi="Book Antiqua" w:cs="Times New Roman"/>
        </w:rPr>
        <w:t xml:space="preserve">wrote the manuscript and approved the final manuscript draft; </w:t>
      </w:r>
      <w:proofErr w:type="spellStart"/>
      <w:r w:rsidRPr="00C43CFB">
        <w:rPr>
          <w:rFonts w:ascii="Book Antiqua" w:hAnsi="Book Antiqua" w:cs="Times New Roman"/>
        </w:rPr>
        <w:t>Christofferson</w:t>
      </w:r>
      <w:proofErr w:type="spellEnd"/>
      <w:r w:rsidRPr="00C43CFB">
        <w:rPr>
          <w:rFonts w:ascii="Book Antiqua" w:hAnsi="Book Antiqua" w:cs="Times New Roman"/>
        </w:rPr>
        <w:t xml:space="preserve"> M, Barnes D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 and </w:t>
      </w:r>
      <w:r w:rsidRPr="00C43CFB">
        <w:rPr>
          <w:rFonts w:ascii="Book Antiqua" w:hAnsi="Book Antiqua" w:cs="Times New Roman"/>
        </w:rPr>
        <w:t>Khavari N edited and approved the final manuscript draft.</w:t>
      </w:r>
    </w:p>
    <w:p w14:paraId="2076A9DC" w14:textId="77777777" w:rsidR="001540C7" w:rsidRPr="00C81155" w:rsidRDefault="001540C7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5F8F5F57" w14:textId="54EC2B1B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</w:pPr>
      <w:bookmarkStart w:id="18" w:name="OLE_LINK815"/>
      <w:bookmarkStart w:id="19" w:name="OLE_LINK863"/>
      <w:bookmarkStart w:id="20" w:name="OLE_LINK960"/>
      <w:bookmarkStart w:id="21" w:name="OLE_LINK657"/>
      <w:r w:rsidRPr="00C43CFB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lastRenderedPageBreak/>
        <w:t>Institutional review board statement</w:t>
      </w:r>
      <w:r w:rsidRPr="00C43CFB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>:</w:t>
      </w:r>
      <w:bookmarkEnd w:id="18"/>
      <w:bookmarkEnd w:id="19"/>
      <w:bookmarkEnd w:id="20"/>
      <w:r w:rsidRPr="00C43CFB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 xml:space="preserve"> </w:t>
      </w:r>
      <w:bookmarkEnd w:id="21"/>
      <w:r w:rsidR="00A71D4A" w:rsidRPr="00C43CFB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>This study had IRB approval from Stanford University.</w:t>
      </w:r>
    </w:p>
    <w:p w14:paraId="1A49652C" w14:textId="77777777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</w:pPr>
    </w:p>
    <w:p w14:paraId="0CBB174A" w14:textId="35172B7D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</w:pPr>
      <w:r w:rsidRPr="00C43CFB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Informed consent statement</w:t>
      </w:r>
      <w:r w:rsidRPr="00C43CFB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>:</w:t>
      </w:r>
      <w:r w:rsidR="00A71D4A" w:rsidRPr="00C43CFB"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  <w:t xml:space="preserve"> Informed consent and assent forms were obtained prior to patient enrollment.</w:t>
      </w:r>
    </w:p>
    <w:p w14:paraId="110B6F54" w14:textId="77777777" w:rsidR="00D94856" w:rsidRPr="00C43CFB" w:rsidRDefault="00D94856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2FBC0F44" w14:textId="140E5C77" w:rsidR="001540C7" w:rsidRPr="00C43CFB" w:rsidRDefault="00D94856" w:rsidP="00B1677F">
      <w:pPr>
        <w:spacing w:line="360" w:lineRule="auto"/>
        <w:jc w:val="both"/>
        <w:rPr>
          <w:rFonts w:ascii="Book Antiqua" w:eastAsia="宋体" w:hAnsi="Book Antiqua" w:cs="Times New Roman"/>
          <w:u w:val="single"/>
          <w:lang w:eastAsia="zh-CN"/>
        </w:rPr>
      </w:pPr>
      <w:r w:rsidRPr="00C43CFB">
        <w:rPr>
          <w:rFonts w:ascii="Book Antiqua" w:hAnsi="Book Antiqua" w:cs="Times New Roman"/>
          <w:b/>
        </w:rPr>
        <w:t>Conflict-of-interest statement: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A71D4A" w:rsidRPr="00C43CFB">
        <w:rPr>
          <w:rFonts w:ascii="Book Antiqua" w:hAnsi="Book Antiqua" w:cs="Times New Roman"/>
        </w:rPr>
        <w:t>KT Park</w:t>
      </w:r>
      <w:r w:rsidR="001540C7" w:rsidRPr="00C43CFB">
        <w:rPr>
          <w:rFonts w:ascii="Book Antiqua" w:hAnsi="Book Antiqua" w:cs="Times New Roman"/>
        </w:rPr>
        <w:t xml:space="preserve"> has </w:t>
      </w:r>
      <w:r w:rsidR="008B0F55" w:rsidRPr="00C43CFB">
        <w:rPr>
          <w:rFonts w:ascii="Book Antiqua" w:hAnsi="Book Antiqua" w:cs="Times New Roman"/>
        </w:rPr>
        <w:t>served as</w:t>
      </w:r>
      <w:r w:rsidR="001540C7" w:rsidRPr="00C43CFB">
        <w:rPr>
          <w:rFonts w:ascii="Book Antiqua" w:hAnsi="Book Antiqua" w:cs="Times New Roman"/>
        </w:rPr>
        <w:t xml:space="preserve"> consultant for </w:t>
      </w:r>
      <w:proofErr w:type="spellStart"/>
      <w:r w:rsidR="001540C7" w:rsidRPr="00C43CFB">
        <w:rPr>
          <w:rFonts w:ascii="Book Antiqua" w:hAnsi="Book Antiqua" w:cs="Times New Roman"/>
        </w:rPr>
        <w:t>Inova</w:t>
      </w:r>
      <w:proofErr w:type="spellEnd"/>
      <w:r w:rsidR="001540C7" w:rsidRPr="00C43CFB">
        <w:rPr>
          <w:rFonts w:ascii="Book Antiqua" w:hAnsi="Book Antiqua" w:cs="Times New Roman"/>
        </w:rPr>
        <w:t xml:space="preserve"> Diagnostics and</w:t>
      </w:r>
      <w:r w:rsidR="00E84739" w:rsidRPr="00C43CFB">
        <w:rPr>
          <w:rFonts w:ascii="Book Antiqua" w:hAnsi="Book Antiqua" w:cs="Times New Roman"/>
        </w:rPr>
        <w:t xml:space="preserve"> received</w:t>
      </w:r>
      <w:r w:rsidR="001540C7" w:rsidRPr="00C43CFB">
        <w:rPr>
          <w:rFonts w:ascii="Book Antiqua" w:hAnsi="Book Antiqua" w:cs="Times New Roman"/>
        </w:rPr>
        <w:t xml:space="preserve"> research support from </w:t>
      </w:r>
      <w:r w:rsidR="00B22E6E" w:rsidRPr="00C43CFB">
        <w:rPr>
          <w:rFonts w:ascii="Book Antiqua" w:hAnsi="Book Antiqua" w:cs="Times New Roman"/>
        </w:rPr>
        <w:t>BUHLMANN</w:t>
      </w:r>
      <w:r w:rsidR="001540C7" w:rsidRPr="00C43CFB">
        <w:rPr>
          <w:rFonts w:ascii="Book Antiqua" w:hAnsi="Book Antiqua" w:cs="Times New Roman"/>
        </w:rPr>
        <w:t xml:space="preserve"> </w:t>
      </w:r>
      <w:r w:rsidR="00B22E6E" w:rsidRPr="00C43CFB">
        <w:rPr>
          <w:rFonts w:ascii="Book Antiqua" w:hAnsi="Book Antiqua" w:cs="Times New Roman"/>
        </w:rPr>
        <w:t>Laboratories</w:t>
      </w:r>
    </w:p>
    <w:p w14:paraId="5EE5641E" w14:textId="77777777" w:rsidR="001540C7" w:rsidRPr="00C43CFB" w:rsidRDefault="001540C7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650A827F" w14:textId="422839A4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  <w:bookmarkStart w:id="22" w:name="OLE_LINK824"/>
      <w:bookmarkStart w:id="23" w:name="OLE_LINK825"/>
      <w:bookmarkStart w:id="24" w:name="OLE_LINK587"/>
      <w:bookmarkStart w:id="25" w:name="OLE_LINK765"/>
      <w:r w:rsidRPr="00C43CFB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Data sharing statement</w:t>
      </w:r>
      <w:r w:rsidRPr="00C43CFB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>:</w:t>
      </w:r>
      <w:bookmarkEnd w:id="22"/>
      <w:bookmarkEnd w:id="23"/>
      <w:r w:rsidRPr="00C43CFB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 xml:space="preserve"> </w:t>
      </w:r>
      <w:r w:rsidR="00712504" w:rsidRPr="00C43CFB">
        <w:rPr>
          <w:rFonts w:ascii="Book Antiqua" w:hAnsi="Book Antiqua" w:cs="Times New Roman"/>
          <w:bCs/>
          <w:iCs/>
          <w:color w:val="auto"/>
          <w:sz w:val="24"/>
          <w:lang w:val="en-US" w:eastAsia="zh-CN"/>
        </w:rPr>
        <w:t>No additional data are available.</w:t>
      </w:r>
    </w:p>
    <w:bookmarkEnd w:id="24"/>
    <w:bookmarkEnd w:id="25"/>
    <w:p w14:paraId="213EBBBA" w14:textId="77777777" w:rsidR="001540C7" w:rsidRPr="00C43CFB" w:rsidRDefault="001540C7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37DC6263" w14:textId="77777777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26" w:name="OLE_LINK734"/>
      <w:bookmarkStart w:id="27" w:name="OLE_LINK441"/>
      <w:bookmarkStart w:id="28" w:name="OLE_LINK442"/>
      <w:bookmarkStart w:id="29" w:name="OLE_LINK1032"/>
      <w:bookmarkStart w:id="30" w:name="OLE_LINK1232"/>
      <w:bookmarkStart w:id="31" w:name="OLE_LINK559"/>
      <w:bookmarkStart w:id="32" w:name="OLE_LINK878"/>
      <w:bookmarkStart w:id="33" w:name="OLE_LINK879"/>
      <w:r w:rsidRPr="00C43CFB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C43CFB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34" w:name="OLE_LINK479"/>
      <w:bookmarkStart w:id="35" w:name="OLE_LINK496"/>
      <w:bookmarkStart w:id="36" w:name="OLE_LINK506"/>
      <w:bookmarkStart w:id="37" w:name="OLE_LINK507"/>
      <w:r w:rsidRPr="00C43CFB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C43CFB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C43CFB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 w:rsidRPr="00C43CFB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C43CFB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43CFB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26"/>
      <w:bookmarkEnd w:id="34"/>
      <w:bookmarkEnd w:id="35"/>
      <w:bookmarkEnd w:id="36"/>
      <w:bookmarkEnd w:id="37"/>
    </w:p>
    <w:bookmarkEnd w:id="27"/>
    <w:bookmarkEnd w:id="28"/>
    <w:bookmarkEnd w:id="29"/>
    <w:bookmarkEnd w:id="30"/>
    <w:bookmarkEnd w:id="31"/>
    <w:p w14:paraId="1CB73D98" w14:textId="77777777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</w:p>
    <w:p w14:paraId="13172971" w14:textId="77777777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</w:pPr>
      <w:r w:rsidRPr="00C43CFB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Manuscript source:</w:t>
      </w:r>
      <w:r w:rsidRPr="00C43CFB">
        <w:rPr>
          <w:rFonts w:ascii="Book Antiqua" w:hAnsi="Book Antiqua" w:cs="Times New Roman" w:hint="eastAsia"/>
          <w:b/>
          <w:bCs/>
          <w:color w:val="auto"/>
          <w:sz w:val="24"/>
          <w:highlight w:val="white"/>
          <w:lang w:val="en-US" w:eastAsia="zh-CN"/>
        </w:rPr>
        <w:t xml:space="preserve"> </w:t>
      </w:r>
      <w:r w:rsidRPr="00C43CFB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Unsolicited manuscript</w:t>
      </w:r>
      <w:bookmarkEnd w:id="32"/>
      <w:bookmarkEnd w:id="33"/>
      <w:r w:rsidRPr="00C43CFB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</w:p>
    <w:p w14:paraId="5F3D1E99" w14:textId="77777777" w:rsidR="00D94856" w:rsidRPr="00C43CFB" w:rsidRDefault="00D94856" w:rsidP="00B1677F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40E7A0AA" w14:textId="77777777" w:rsidR="00D94856" w:rsidRPr="00C43CFB" w:rsidRDefault="00D94856" w:rsidP="00D94856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de-DE"/>
        </w:rPr>
      </w:pPr>
      <w:r w:rsidRPr="00C43CFB">
        <w:rPr>
          <w:rFonts w:ascii="Book Antiqua" w:hAnsi="Book Antiqua" w:cs="Times New Roman"/>
          <w:b/>
          <w:bCs/>
          <w:highlight w:val="white"/>
        </w:rPr>
        <w:t>Correspondence to: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C43CFB">
        <w:rPr>
          <w:rFonts w:ascii="Book Antiqua" w:hAnsi="Book Antiqua" w:cs="Times New Roman"/>
          <w:b/>
        </w:rPr>
        <w:t>KT Park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>,</w:t>
      </w:r>
      <w:r w:rsidRPr="00C43CFB">
        <w:rPr>
          <w:rFonts w:ascii="Book Antiqua" w:hAnsi="Book Antiqua" w:cs="Times New Roman"/>
          <w:b/>
        </w:rPr>
        <w:t xml:space="preserve"> MD, MS</w:t>
      </w:r>
      <w:r w:rsidRPr="00C43CFB">
        <w:rPr>
          <w:rFonts w:ascii="Book Antiqua" w:eastAsia="宋体" w:hAnsi="Book Antiqua" w:cs="Times New Roman" w:hint="eastAsia"/>
          <w:b/>
          <w:lang w:eastAsia="zh-CN"/>
        </w:rPr>
        <w:t xml:space="preserve">, </w:t>
      </w:r>
      <w:r w:rsidRPr="00C43CFB">
        <w:rPr>
          <w:rFonts w:ascii="Book Antiqua" w:hAnsi="Book Antiqua" w:cs="Times New Roman"/>
        </w:rPr>
        <w:t xml:space="preserve">Division of Gastroenterology, Department of Pediatrics, Stanford University, 750 Welch Road, </w:t>
      </w:r>
      <w:proofErr w:type="spellStart"/>
      <w:r w:rsidRPr="00C43CFB">
        <w:rPr>
          <w:rFonts w:ascii="Book Antiqua" w:hAnsi="Book Antiqua" w:cs="Times New Roman"/>
        </w:rPr>
        <w:t>Ste</w:t>
      </w:r>
      <w:proofErr w:type="spellEnd"/>
      <w:r w:rsidRPr="00C43CFB">
        <w:rPr>
          <w:rFonts w:ascii="Book Antiqua" w:hAnsi="Book Antiqua" w:cs="Times New Roman"/>
        </w:rPr>
        <w:t xml:space="preserve"> 116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, </w:t>
      </w:r>
      <w:r w:rsidRPr="00C43CFB">
        <w:rPr>
          <w:rFonts w:ascii="Book Antiqua" w:hAnsi="Book Antiqua" w:cs="Times New Roman"/>
        </w:rPr>
        <w:t>Stanford,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C43CFB">
        <w:rPr>
          <w:rFonts w:ascii="Book Antiqua" w:hAnsi="Book Antiqua" w:cs="Times New Roman"/>
        </w:rPr>
        <w:t>Palo Alto, C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A </w:t>
      </w:r>
      <w:r w:rsidRPr="00C43CFB">
        <w:rPr>
          <w:rFonts w:ascii="Book Antiqua" w:hAnsi="Book Antiqua" w:cs="Times New Roman"/>
        </w:rPr>
        <w:t>94304, U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nited States. </w:t>
      </w:r>
      <w:r w:rsidRPr="00C43CFB">
        <w:rPr>
          <w:rFonts w:ascii="Book Antiqua" w:hAnsi="Book Antiqua" w:cs="Times New Roman"/>
        </w:rPr>
        <w:t>ktpark@stanford.edu</w:t>
      </w:r>
    </w:p>
    <w:p w14:paraId="07804431" w14:textId="06C3C786" w:rsidR="00D94856" w:rsidRPr="00C43CFB" w:rsidRDefault="00D94856" w:rsidP="00D94856">
      <w:pPr>
        <w:snapToGrid w:val="0"/>
        <w:spacing w:line="360" w:lineRule="auto"/>
        <w:jc w:val="both"/>
        <w:rPr>
          <w:rFonts w:ascii="Book Antiqua" w:hAnsi="Book Antiqua"/>
          <w:lang w:val="pl-PL"/>
        </w:rPr>
      </w:pPr>
      <w:r w:rsidRPr="00C43CFB">
        <w:rPr>
          <w:rFonts w:ascii="Book Antiqua" w:hAnsi="Book Antiqua" w:hint="eastAsia"/>
          <w:lang w:val="pl-PL"/>
        </w:rPr>
        <w:t xml:space="preserve">Telephone: </w:t>
      </w:r>
      <w:r w:rsidR="00B30896">
        <w:rPr>
          <w:rFonts w:ascii="Book Antiqua" w:eastAsia="宋体" w:hAnsi="Book Antiqua" w:hint="eastAsia"/>
          <w:lang w:val="pl-PL" w:eastAsia="zh-CN"/>
        </w:rPr>
        <w:t>+1-</w:t>
      </w:r>
      <w:r w:rsidR="00B30896">
        <w:rPr>
          <w:rFonts w:ascii="Book Antiqua" w:hAnsi="Book Antiqua"/>
          <w:lang w:val="pl-PL"/>
        </w:rPr>
        <w:t>650-723</w:t>
      </w:r>
      <w:r w:rsidR="00A71D4A" w:rsidRPr="00C43CFB">
        <w:rPr>
          <w:rFonts w:ascii="Book Antiqua" w:hAnsi="Book Antiqua"/>
          <w:lang w:val="pl-PL"/>
        </w:rPr>
        <w:t>5070</w:t>
      </w:r>
    </w:p>
    <w:p w14:paraId="64FC5F79" w14:textId="3084C90D" w:rsidR="00D94856" w:rsidRPr="00C43CFB" w:rsidRDefault="00D94856" w:rsidP="00D94856">
      <w:pPr>
        <w:spacing w:line="360" w:lineRule="auto"/>
        <w:jc w:val="both"/>
        <w:rPr>
          <w:rFonts w:ascii="Book Antiqua" w:eastAsia="宋体" w:hAnsi="Book Antiqua" w:cs="Times New Roman"/>
          <w:lang w:val="de-DE" w:eastAsia="zh-CN"/>
        </w:rPr>
      </w:pPr>
      <w:r w:rsidRPr="00C43CFB">
        <w:rPr>
          <w:rFonts w:ascii="Book Antiqua" w:hAnsi="Book Antiqua" w:hint="eastAsia"/>
          <w:lang w:val="pl-PL"/>
        </w:rPr>
        <w:t>Fax:</w:t>
      </w:r>
      <w:r w:rsidR="00A71D4A" w:rsidRPr="00C43CFB">
        <w:rPr>
          <w:rFonts w:ascii="Book Antiqua" w:hAnsi="Book Antiqua"/>
          <w:lang w:val="pl-PL"/>
        </w:rPr>
        <w:t xml:space="preserve"> </w:t>
      </w:r>
      <w:r w:rsidR="00B30896">
        <w:rPr>
          <w:rFonts w:ascii="Book Antiqua" w:eastAsia="宋体" w:hAnsi="Book Antiqua" w:hint="eastAsia"/>
          <w:lang w:val="pl-PL" w:eastAsia="zh-CN"/>
        </w:rPr>
        <w:t>+1-</w:t>
      </w:r>
      <w:r w:rsidR="00B30896">
        <w:rPr>
          <w:rFonts w:ascii="Book Antiqua" w:hAnsi="Book Antiqua"/>
          <w:lang w:val="pl-PL"/>
        </w:rPr>
        <w:t>650-498</w:t>
      </w:r>
      <w:r w:rsidR="00A71D4A" w:rsidRPr="00C43CFB">
        <w:rPr>
          <w:rFonts w:ascii="Book Antiqua" w:hAnsi="Book Antiqua"/>
          <w:lang w:val="pl-PL"/>
        </w:rPr>
        <w:t>5608</w:t>
      </w:r>
    </w:p>
    <w:p w14:paraId="7A9D8B92" w14:textId="77777777" w:rsidR="00D94856" w:rsidRPr="00C43CFB" w:rsidRDefault="00D94856" w:rsidP="00B1677F">
      <w:pPr>
        <w:spacing w:line="360" w:lineRule="auto"/>
        <w:jc w:val="both"/>
        <w:rPr>
          <w:rFonts w:ascii="Book Antiqua" w:eastAsia="宋体" w:hAnsi="Book Antiqua" w:cs="Times New Roman"/>
          <w:lang w:val="de-DE" w:eastAsia="zh-CN"/>
        </w:rPr>
      </w:pPr>
    </w:p>
    <w:p w14:paraId="3B8E8803" w14:textId="74763FAB" w:rsidR="00D94856" w:rsidRPr="00C43CFB" w:rsidRDefault="00D94856" w:rsidP="00D94856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bookmarkStart w:id="38" w:name="OLE_LINK952"/>
      <w:r w:rsidRPr="00C43CFB">
        <w:rPr>
          <w:rFonts w:ascii="Book Antiqua" w:eastAsia="宋体" w:hAnsi="Book Antiqua" w:cs="宋体"/>
          <w:b/>
          <w:lang w:eastAsia="zh-CN"/>
        </w:rPr>
        <w:t>Received:</w:t>
      </w:r>
      <w:r w:rsidRPr="00C43CFB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C43CFB">
        <w:rPr>
          <w:rFonts w:ascii="Book Antiqua" w:eastAsia="宋体" w:hAnsi="Book Antiqua" w:cs="宋体" w:hint="eastAsia"/>
          <w:lang w:eastAsia="zh-CN"/>
        </w:rPr>
        <w:t>May 25, 2016</w:t>
      </w:r>
    </w:p>
    <w:p w14:paraId="6604AF28" w14:textId="4D816FD0" w:rsidR="00D94856" w:rsidRPr="00C43CFB" w:rsidRDefault="00D94856" w:rsidP="00D94856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 w:rsidRPr="00C43CFB">
        <w:rPr>
          <w:rFonts w:ascii="Book Antiqua" w:eastAsia="宋体" w:hAnsi="Book Antiqua" w:cs="宋体"/>
          <w:b/>
          <w:lang w:eastAsia="zh-CN"/>
        </w:rPr>
        <w:t>Peer-review started:</w:t>
      </w:r>
      <w:r w:rsidRPr="00C43CFB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C43CFB">
        <w:rPr>
          <w:rFonts w:ascii="Book Antiqua" w:eastAsia="宋体" w:hAnsi="Book Antiqua" w:cs="宋体" w:hint="eastAsia"/>
          <w:lang w:eastAsia="zh-CN"/>
        </w:rPr>
        <w:t>May 27, 2016</w:t>
      </w:r>
    </w:p>
    <w:p w14:paraId="5CC08A17" w14:textId="3E1A9134" w:rsidR="00D94856" w:rsidRPr="00C43CFB" w:rsidRDefault="00D94856" w:rsidP="00D94856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 w:rsidRPr="00C43CFB">
        <w:rPr>
          <w:rFonts w:ascii="Book Antiqua" w:eastAsia="宋体" w:hAnsi="Book Antiqua" w:cs="宋体"/>
          <w:b/>
          <w:lang w:eastAsia="zh-CN"/>
        </w:rPr>
        <w:t>First decision:</w:t>
      </w:r>
      <w:r w:rsidRPr="00C43CFB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Pr="00C43CFB">
        <w:rPr>
          <w:rFonts w:ascii="Book Antiqua" w:eastAsia="宋体" w:hAnsi="Book Antiqua" w:cs="宋体" w:hint="eastAsia"/>
          <w:lang w:eastAsia="zh-CN"/>
        </w:rPr>
        <w:t>July 22, 2016</w:t>
      </w:r>
    </w:p>
    <w:p w14:paraId="617E7829" w14:textId="46891B4B" w:rsidR="00D94856" w:rsidRPr="00C43CFB" w:rsidRDefault="00D94856" w:rsidP="00D94856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 w:rsidRPr="00C43CFB">
        <w:rPr>
          <w:rFonts w:ascii="Book Antiqua" w:eastAsia="宋体" w:hAnsi="Book Antiqua" w:cs="宋体"/>
          <w:b/>
          <w:lang w:eastAsia="zh-CN"/>
        </w:rPr>
        <w:lastRenderedPageBreak/>
        <w:t>Revised:</w:t>
      </w:r>
      <w:r w:rsidR="006412B9" w:rsidRPr="00C43CFB">
        <w:rPr>
          <w:rFonts w:ascii="Book Antiqua" w:eastAsia="宋体" w:hAnsi="Book Antiqua" w:cs="宋体" w:hint="eastAsia"/>
          <w:b/>
          <w:lang w:eastAsia="zh-CN"/>
        </w:rPr>
        <w:t xml:space="preserve"> </w:t>
      </w:r>
      <w:r w:rsidR="006412B9" w:rsidRPr="00C43CFB">
        <w:rPr>
          <w:rFonts w:ascii="Book Antiqua" w:eastAsia="宋体" w:hAnsi="Book Antiqua" w:cs="宋体" w:hint="eastAsia"/>
          <w:lang w:eastAsia="zh-CN"/>
        </w:rPr>
        <w:t>December 21, 2016</w:t>
      </w:r>
    </w:p>
    <w:p w14:paraId="4BD494A3" w14:textId="71C591F9" w:rsidR="00D94856" w:rsidRPr="00E659F7" w:rsidRDefault="00D94856" w:rsidP="00E659F7">
      <w:pPr>
        <w:rPr>
          <w:rFonts w:ascii="Book Antiqua" w:hAnsi="Book Antiqua"/>
          <w:iCs/>
        </w:rPr>
      </w:pPr>
      <w:r w:rsidRPr="00C43CFB">
        <w:rPr>
          <w:rFonts w:ascii="Book Antiqua" w:eastAsia="宋体" w:hAnsi="Book Antiqua" w:cs="宋体"/>
          <w:b/>
          <w:lang w:eastAsia="zh-CN"/>
        </w:rPr>
        <w:t>Accepted:</w:t>
      </w:r>
      <w:r w:rsidR="00E659F7">
        <w:rPr>
          <w:rFonts w:ascii="Book Antiqua" w:eastAsia="宋体" w:hAnsi="Book Antiqua" w:cs="宋体"/>
          <w:b/>
          <w:lang w:eastAsia="zh-CN"/>
        </w:rPr>
        <w:t xml:space="preserve"> </w:t>
      </w:r>
      <w:r w:rsidR="00E659F7">
        <w:rPr>
          <w:rStyle w:val="Emphasis"/>
        </w:rPr>
        <w:t>January</w:t>
      </w:r>
      <w:r w:rsidR="00E659F7">
        <w:rPr>
          <w:rStyle w:val="Emphasis"/>
          <w:rFonts w:ascii="宋体" w:hAnsi="宋体" w:cs="宋体" w:hint="eastAsia"/>
        </w:rPr>
        <w:t xml:space="preserve"> 16</w:t>
      </w:r>
      <w:r w:rsidR="00E659F7">
        <w:rPr>
          <w:rStyle w:val="Emphasis"/>
          <w:rFonts w:cs="宋体"/>
        </w:rPr>
        <w:t>,</w:t>
      </w:r>
      <w:r w:rsidR="00E659F7">
        <w:rPr>
          <w:rStyle w:val="Emphasis"/>
        </w:rPr>
        <w:t xml:space="preserve"> 2017</w:t>
      </w:r>
    </w:p>
    <w:p w14:paraId="3556FF97" w14:textId="77777777" w:rsidR="00D94856" w:rsidRPr="00C43CFB" w:rsidRDefault="00D94856" w:rsidP="00D94856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 w:rsidRPr="00C43CFB">
        <w:rPr>
          <w:rFonts w:ascii="Book Antiqua" w:eastAsia="宋体" w:hAnsi="Book Antiqua" w:cs="宋体"/>
          <w:b/>
          <w:lang w:eastAsia="zh-CN"/>
        </w:rPr>
        <w:t>Article in press:</w:t>
      </w:r>
    </w:p>
    <w:p w14:paraId="3B136DAD" w14:textId="17B24799" w:rsidR="00D94856" w:rsidRPr="00C43CFB" w:rsidRDefault="00D94856" w:rsidP="00D94856">
      <w:pPr>
        <w:snapToGrid w:val="0"/>
        <w:spacing w:line="360" w:lineRule="auto"/>
        <w:jc w:val="both"/>
        <w:rPr>
          <w:rFonts w:ascii="Book Antiqua" w:eastAsia="宋体" w:hAnsi="Book Antiqua" w:cs="Arial"/>
          <w:b/>
          <w:lang w:val="pl-PL" w:eastAsia="zh-CN"/>
        </w:rPr>
      </w:pPr>
      <w:r w:rsidRPr="00C43CFB">
        <w:rPr>
          <w:rFonts w:ascii="Book Antiqua" w:eastAsia="宋体" w:hAnsi="Book Antiqua" w:cs="Arial"/>
          <w:b/>
          <w:lang w:val="pl-PL" w:eastAsia="pl-PL"/>
        </w:rPr>
        <w:t>Published online</w:t>
      </w:r>
      <w:r w:rsidRPr="00C43CFB">
        <w:rPr>
          <w:rFonts w:ascii="Book Antiqua" w:eastAsia="宋体" w:hAnsi="Book Antiqua" w:cs="Arial" w:hint="eastAsia"/>
          <w:b/>
          <w:lang w:val="pl-PL" w:eastAsia="pl-PL"/>
        </w:rPr>
        <w:t>:</w:t>
      </w:r>
      <w:bookmarkEnd w:id="38"/>
    </w:p>
    <w:p w14:paraId="7440A177" w14:textId="77777777" w:rsidR="00B1677F" w:rsidRPr="00C43CFB" w:rsidRDefault="00B1677F">
      <w:pPr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br w:type="page"/>
      </w:r>
    </w:p>
    <w:p w14:paraId="282BDD89" w14:textId="50C2A730" w:rsidR="00C83BE5" w:rsidRPr="00C43CFB" w:rsidRDefault="00C83BE5" w:rsidP="00B1677F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C43CFB">
        <w:rPr>
          <w:rFonts w:ascii="Book Antiqua" w:hAnsi="Book Antiqua" w:cs="Times New Roman"/>
          <w:b/>
        </w:rPr>
        <w:lastRenderedPageBreak/>
        <w:t>A</w:t>
      </w:r>
      <w:r w:rsidR="00D94856" w:rsidRPr="00C43CFB">
        <w:rPr>
          <w:rFonts w:ascii="Book Antiqua" w:hAnsi="Book Antiqua" w:cs="Times New Roman"/>
          <w:b/>
        </w:rPr>
        <w:t>bstract</w:t>
      </w:r>
    </w:p>
    <w:p w14:paraId="2177FB19" w14:textId="12E8AE13" w:rsidR="00D94856" w:rsidRPr="00C43CFB" w:rsidRDefault="00D94856" w:rsidP="00B1677F">
      <w:pPr>
        <w:spacing w:line="360" w:lineRule="auto"/>
        <w:jc w:val="both"/>
        <w:rPr>
          <w:rFonts w:ascii="Book Antiqua" w:eastAsia="宋体" w:hAnsi="Book Antiqua" w:cs="Times New Roman"/>
          <w:b/>
          <w:i/>
          <w:lang w:eastAsia="zh-CN"/>
        </w:rPr>
      </w:pPr>
      <w:r w:rsidRPr="00C43CFB">
        <w:rPr>
          <w:rFonts w:ascii="Book Antiqua" w:eastAsia="宋体" w:hAnsi="Book Antiqua" w:cs="Times New Roman" w:hint="eastAsia"/>
          <w:b/>
          <w:i/>
          <w:lang w:eastAsia="zh-CN"/>
        </w:rPr>
        <w:t>AIM</w:t>
      </w:r>
    </w:p>
    <w:p w14:paraId="25E521AF" w14:textId="4994C861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  <w:caps/>
        </w:rPr>
        <w:t>t</w:t>
      </w:r>
      <w:r w:rsidRPr="00C43CFB">
        <w:rPr>
          <w:rFonts w:ascii="Book Antiqua" w:hAnsi="Book Antiqua" w:cs="Times New Roman"/>
        </w:rPr>
        <w:t xml:space="preserve">o assess the correlation between the send-out </w:t>
      </w:r>
      <w:r w:rsidR="00D94856" w:rsidRPr="00C43CFB">
        <w:rPr>
          <w:rFonts w:ascii="Book Antiqua" w:hAnsi="Book Antiqua" w:cs="Times New Roman"/>
        </w:rPr>
        <w:t xml:space="preserve">enzyme-linked </w:t>
      </w:r>
      <w:proofErr w:type="spellStart"/>
      <w:r w:rsidR="00D94856" w:rsidRPr="00C43CFB">
        <w:rPr>
          <w:rFonts w:ascii="Book Antiqua" w:hAnsi="Book Antiqua" w:cs="Times New Roman"/>
        </w:rPr>
        <w:t>immuno</w:t>
      </w:r>
      <w:proofErr w:type="spellEnd"/>
      <w:r w:rsidR="00D94856" w:rsidRPr="00C43CFB">
        <w:rPr>
          <w:rFonts w:ascii="Book Antiqua" w:hAnsi="Book Antiqua" w:cs="Times New Roman"/>
        </w:rPr>
        <w:t xml:space="preserve"> sorbent assay (</w:t>
      </w:r>
      <w:r w:rsidRPr="00C43CFB">
        <w:rPr>
          <w:rFonts w:ascii="Book Antiqua" w:hAnsi="Book Antiqua" w:cs="Times New Roman"/>
        </w:rPr>
        <w:t>ELISA</w:t>
      </w:r>
      <w:r w:rsidR="00D94856" w:rsidRPr="00C43CFB">
        <w:rPr>
          <w:rFonts w:ascii="Book Antiqua" w:hAnsi="Book Antiqua" w:cs="Times New Roman"/>
        </w:rPr>
        <w:t>)</w:t>
      </w:r>
      <w:r w:rsidRPr="00C43CFB">
        <w:rPr>
          <w:rFonts w:ascii="Book Antiqua" w:hAnsi="Book Antiqua" w:cs="Times New Roman"/>
        </w:rPr>
        <w:t xml:space="preserve"> and the </w:t>
      </w:r>
      <w:r w:rsidR="00D94856" w:rsidRPr="00C43CFB">
        <w:rPr>
          <w:rFonts w:ascii="Book Antiqua" w:hAnsi="Book Antiqua" w:cs="Times New Roman"/>
        </w:rPr>
        <w:t xml:space="preserve">point-of-care (POC) </w:t>
      </w:r>
      <w:r w:rsidRPr="00C43CFB">
        <w:rPr>
          <w:rFonts w:ascii="Book Antiqua" w:hAnsi="Book Antiqua" w:cs="Times New Roman"/>
        </w:rPr>
        <w:t xml:space="preserve">calprotectin test in pediatric </w:t>
      </w:r>
      <w:r w:rsidR="00D94856" w:rsidRPr="00C43CFB">
        <w:rPr>
          <w:rFonts w:ascii="Book Antiqua" w:hAnsi="Book Antiqua" w:cs="Times New Roman"/>
        </w:rPr>
        <w:t>inflammatory bowel disease (</w:t>
      </w:r>
      <w:r w:rsidRPr="00C43CFB">
        <w:rPr>
          <w:rFonts w:ascii="Book Antiqua" w:hAnsi="Book Antiqua" w:cs="Times New Roman"/>
        </w:rPr>
        <w:t>IBD</w:t>
      </w:r>
      <w:r w:rsidR="00D94856" w:rsidRPr="00C43CFB">
        <w:rPr>
          <w:rFonts w:ascii="Book Antiqua" w:hAnsi="Book Antiqua" w:cs="Times New Roman"/>
        </w:rPr>
        <w:t>)</w:t>
      </w:r>
      <w:r w:rsidRPr="00C43CFB">
        <w:rPr>
          <w:rFonts w:ascii="Book Antiqua" w:hAnsi="Book Antiqua" w:cs="Times New Roman"/>
        </w:rPr>
        <w:t xml:space="preserve"> patients.</w:t>
      </w:r>
    </w:p>
    <w:p w14:paraId="4A0C163A" w14:textId="77777777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4CBD9E6A" w14:textId="21731F34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  <w:b/>
          <w:i/>
          <w:caps/>
        </w:rPr>
      </w:pPr>
      <w:r w:rsidRPr="00C43CFB">
        <w:rPr>
          <w:rFonts w:ascii="Book Antiqua" w:hAnsi="Book Antiqua" w:cs="Times New Roman"/>
          <w:b/>
          <w:i/>
          <w:caps/>
        </w:rPr>
        <w:t>Methods</w:t>
      </w:r>
    </w:p>
    <w:p w14:paraId="611846D2" w14:textId="6A7B3480" w:rsidR="00D20419" w:rsidRPr="00C43CFB" w:rsidRDefault="00E3110E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We prospectively collected stool samples in pediatric IBD patients for concomitant send-out ELISA </w:t>
      </w:r>
      <w:r w:rsidR="00D20419" w:rsidRPr="00C43CFB">
        <w:rPr>
          <w:rFonts w:ascii="Book Antiqua" w:hAnsi="Book Antiqua" w:cs="Times New Roman"/>
        </w:rPr>
        <w:t xml:space="preserve">analysis </w:t>
      </w:r>
      <w:r w:rsidRPr="00C43CFB">
        <w:rPr>
          <w:rFonts w:ascii="Book Antiqua" w:hAnsi="Book Antiqua" w:cs="Times New Roman"/>
        </w:rPr>
        <w:t>and POC calprotectin testing using the Quantum Blue® (QB) Extended immunoassay.</w:t>
      </w:r>
      <w:r w:rsidR="00D94856" w:rsidRPr="00C43CFB">
        <w:rPr>
          <w:rFonts w:ascii="Book Antiqua" w:hAnsi="Book Antiqua" w:cs="Times New Roman"/>
        </w:rPr>
        <w:t xml:space="preserve"> </w:t>
      </w:r>
      <w:r w:rsidR="00877B97" w:rsidRPr="00C43CFB">
        <w:rPr>
          <w:rFonts w:ascii="Book Antiqua" w:hAnsi="Book Antiqua" w:cs="Times New Roman"/>
        </w:rPr>
        <w:t>Continuous</w:t>
      </w:r>
      <w:r w:rsidRPr="00C43CFB">
        <w:rPr>
          <w:rFonts w:ascii="Book Antiqua" w:hAnsi="Book Antiqua" w:cs="Times New Roman"/>
        </w:rPr>
        <w:t xml:space="preserve"> results between 17</w:t>
      </w:r>
      <w:r w:rsidR="00D94856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 xml:space="preserve">μg/g to 1000 μg/g were considered for comparison. </w:t>
      </w:r>
      <w:r w:rsidR="00D20419" w:rsidRPr="00C43CFB">
        <w:rPr>
          <w:rFonts w:ascii="Book Antiqua" w:hAnsi="Book Antiqua" w:cs="Times New Roman"/>
        </w:rPr>
        <w:t>Agreement between the two tests was measured by a Bland-Altman plot and statistical significance was determined using Pitman’s test.</w:t>
      </w:r>
    </w:p>
    <w:p w14:paraId="6D2D6DB8" w14:textId="77777777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7B61D2DB" w14:textId="72E32353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  <w:b/>
          <w:i/>
          <w:caps/>
        </w:rPr>
      </w:pPr>
      <w:r w:rsidRPr="00C43CFB">
        <w:rPr>
          <w:rFonts w:ascii="Book Antiqua" w:hAnsi="Book Antiqua" w:cs="Times New Roman"/>
          <w:b/>
          <w:i/>
          <w:caps/>
        </w:rPr>
        <w:t>Results</w:t>
      </w:r>
    </w:p>
    <w:p w14:paraId="3E996523" w14:textId="4192F7D1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Forty-nine stool samples were collected from 31 pediatric IBD patients. The overall means for the rapid and ELISA tests were 580.5 μg/g and 522.87 μg/g respectively. Among the 49 samples, 18 (37.5%) had POC calprotectin levels of ≤ 250 μg/g and 31</w:t>
      </w:r>
      <w:r w:rsidR="00910AB2" w:rsidRPr="00C43CFB">
        <w:rPr>
          <w:rFonts w:ascii="Book Antiqua" w:hAnsi="Book Antiqua" w:cs="Times New Roman"/>
        </w:rPr>
        <w:t xml:space="preserve"> (62.5%) had levels &gt; 250 μg/g.</w:t>
      </w:r>
      <w:r w:rsidRPr="00C43CFB">
        <w:rPr>
          <w:rFonts w:ascii="Book Antiqua" w:hAnsi="Book Antiqua" w:cs="Times New Roman"/>
        </w:rPr>
        <w:t xml:space="preserve"> C</w:t>
      </w:r>
      <w:r w:rsidR="00E3110E" w:rsidRPr="00C43CFB">
        <w:rPr>
          <w:rFonts w:ascii="Book Antiqua" w:hAnsi="Book Antiqua" w:cs="Times New Roman"/>
        </w:rPr>
        <w:t>alprotectin levels ≤ 250 μg/g</w:t>
      </w:r>
      <w:r w:rsidR="006A75A2" w:rsidRPr="00C43CFB">
        <w:rPr>
          <w:rFonts w:ascii="Book Antiqua" w:hAnsi="Book Antiqua" w:cs="Times New Roman"/>
        </w:rPr>
        <w:t xml:space="preserve"> show good correlation between the two assays</w:t>
      </w:r>
      <w:r w:rsidRPr="00C43CFB">
        <w:rPr>
          <w:rFonts w:ascii="Book Antiqua" w:hAnsi="Book Antiqua" w:cs="Times New Roman"/>
        </w:rPr>
        <w:t>. L</w:t>
      </w:r>
      <w:r w:rsidR="006A75A2" w:rsidRPr="00C43CFB">
        <w:rPr>
          <w:rFonts w:ascii="Book Antiqua" w:hAnsi="Book Antiqua" w:cs="Times New Roman"/>
        </w:rPr>
        <w:t>ess correlation</w:t>
      </w:r>
      <w:r w:rsidR="00E3110E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>was</w:t>
      </w:r>
      <w:r w:rsidR="006A75A2" w:rsidRPr="00C43CFB">
        <w:rPr>
          <w:rFonts w:ascii="Book Antiqua" w:hAnsi="Book Antiqua" w:cs="Times New Roman"/>
        </w:rPr>
        <w:t xml:space="preserve"> observed at quantitatively higher calprotectin levels. </w:t>
      </w:r>
    </w:p>
    <w:p w14:paraId="5E6EDEFA" w14:textId="77777777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438F3009" w14:textId="6732A282" w:rsidR="00D20419" w:rsidRPr="00C43CFB" w:rsidRDefault="00D20419" w:rsidP="00B1677F">
      <w:pPr>
        <w:spacing w:line="360" w:lineRule="auto"/>
        <w:jc w:val="both"/>
        <w:rPr>
          <w:rFonts w:ascii="Book Antiqua" w:hAnsi="Book Antiqua" w:cs="Times New Roman"/>
          <w:b/>
          <w:i/>
          <w:caps/>
        </w:rPr>
      </w:pPr>
      <w:r w:rsidRPr="00C43CFB">
        <w:rPr>
          <w:rFonts w:ascii="Book Antiqua" w:hAnsi="Book Antiqua" w:cs="Times New Roman"/>
          <w:b/>
          <w:i/>
          <w:caps/>
        </w:rPr>
        <w:t>Conclusion</w:t>
      </w:r>
    </w:p>
    <w:p w14:paraId="35DE91F5" w14:textId="64652002" w:rsidR="00C83BE5" w:rsidRPr="00C43CFB" w:rsidRDefault="00910AB2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In pediatric IBD patients, there is better correlation of between ELISA and POC calprotectin measurements at clinically meaningful, low-range levels. </w:t>
      </w:r>
      <w:r w:rsidR="006A75A2" w:rsidRPr="00C43CFB">
        <w:rPr>
          <w:rFonts w:ascii="Book Antiqua" w:hAnsi="Book Antiqua" w:cs="Times New Roman"/>
        </w:rPr>
        <w:t>Future adoption of POC calprotectin testing</w:t>
      </w:r>
      <w:r w:rsidR="00492799" w:rsidRPr="00C43CFB">
        <w:rPr>
          <w:rFonts w:ascii="Book Antiqua" w:hAnsi="Book Antiqua" w:cs="Times New Roman"/>
        </w:rPr>
        <w:t xml:space="preserve"> in the United States</w:t>
      </w:r>
      <w:r w:rsidR="006A75A2" w:rsidRPr="00C43CFB">
        <w:rPr>
          <w:rFonts w:ascii="Book Antiqua" w:hAnsi="Book Antiqua" w:cs="Times New Roman"/>
        </w:rPr>
        <w:t xml:space="preserve"> may have utility for guiding clinical decision making in real time. </w:t>
      </w:r>
    </w:p>
    <w:p w14:paraId="36923EE5" w14:textId="77777777" w:rsidR="00E3110E" w:rsidRPr="00C43CFB" w:rsidRDefault="00E3110E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23839755" w14:textId="036AC707" w:rsidR="006A75A2" w:rsidRPr="00C43CFB" w:rsidRDefault="006A75A2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  <w:b/>
        </w:rPr>
        <w:t>Key</w:t>
      </w:r>
      <w:r w:rsidR="00D94856" w:rsidRPr="00C43CFB">
        <w:rPr>
          <w:rFonts w:ascii="Book Antiqua" w:hAnsi="Book Antiqua" w:cs="Times New Roman"/>
          <w:b/>
        </w:rPr>
        <w:t xml:space="preserve"> </w:t>
      </w:r>
      <w:r w:rsidRPr="00C43CFB">
        <w:rPr>
          <w:rFonts w:ascii="Book Antiqua" w:hAnsi="Book Antiqua" w:cs="Times New Roman"/>
          <w:b/>
        </w:rPr>
        <w:t>words:</w:t>
      </w:r>
      <w:r w:rsidRPr="00C43CFB">
        <w:rPr>
          <w:rFonts w:ascii="Book Antiqua" w:hAnsi="Book Antiqua" w:cs="Times New Roman"/>
        </w:rPr>
        <w:t xml:space="preserve"> Calprotectin; </w:t>
      </w:r>
      <w:r w:rsidRPr="00C43CFB">
        <w:rPr>
          <w:rFonts w:ascii="Book Antiqua" w:hAnsi="Book Antiqua" w:cs="Times New Roman"/>
          <w:caps/>
        </w:rPr>
        <w:t>s</w:t>
      </w:r>
      <w:r w:rsidRPr="00C43CFB">
        <w:rPr>
          <w:rFonts w:ascii="Book Antiqua" w:hAnsi="Book Antiqua" w:cs="Times New Roman"/>
        </w:rPr>
        <w:t xml:space="preserve">tool biomarker; </w:t>
      </w:r>
      <w:r w:rsidRPr="00C43CFB">
        <w:rPr>
          <w:rFonts w:ascii="Book Antiqua" w:hAnsi="Book Antiqua" w:cs="Times New Roman"/>
          <w:caps/>
        </w:rPr>
        <w:t>i</w:t>
      </w:r>
      <w:r w:rsidRPr="00C43CFB">
        <w:rPr>
          <w:rFonts w:ascii="Book Antiqua" w:hAnsi="Book Antiqua" w:cs="Times New Roman"/>
        </w:rPr>
        <w:t xml:space="preserve">nflammatory bowel disease; Crohn's disease; </w:t>
      </w:r>
      <w:r w:rsidRPr="00C43CFB">
        <w:rPr>
          <w:rFonts w:ascii="Book Antiqua" w:hAnsi="Book Antiqua" w:cs="Times New Roman"/>
          <w:caps/>
        </w:rPr>
        <w:t>u</w:t>
      </w:r>
      <w:r w:rsidRPr="00C43CFB">
        <w:rPr>
          <w:rFonts w:ascii="Book Antiqua" w:hAnsi="Book Antiqua" w:cs="Times New Roman"/>
        </w:rPr>
        <w:t xml:space="preserve">lcerative colitis; </w:t>
      </w:r>
      <w:r w:rsidRPr="00C43CFB">
        <w:rPr>
          <w:rFonts w:ascii="Book Antiqua" w:hAnsi="Book Antiqua" w:cs="Times New Roman"/>
          <w:caps/>
        </w:rPr>
        <w:t>p</w:t>
      </w:r>
      <w:r w:rsidRPr="00C43CFB">
        <w:rPr>
          <w:rFonts w:ascii="Book Antiqua" w:hAnsi="Book Antiqua" w:cs="Times New Roman"/>
        </w:rPr>
        <w:t>oint-of-care test</w:t>
      </w:r>
    </w:p>
    <w:p w14:paraId="0A515DF1" w14:textId="77777777" w:rsidR="006A75A2" w:rsidRPr="00C43CFB" w:rsidRDefault="006A75A2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66CE4943" w14:textId="61AA822F" w:rsidR="00D94856" w:rsidRPr="00C43CFB" w:rsidRDefault="00D94856" w:rsidP="00D948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9" w:name="OLE_LINK363"/>
      <w:bookmarkStart w:id="40" w:name="OLE_LINK364"/>
      <w:bookmarkStart w:id="41" w:name="OLE_LINK359"/>
      <w:bookmarkStart w:id="42" w:name="OLE_LINK1037"/>
      <w:bookmarkStart w:id="43" w:name="OLE_LINK1195"/>
      <w:bookmarkStart w:id="44" w:name="OLE_LINK1140"/>
      <w:bookmarkStart w:id="45" w:name="OLE_LINK1062"/>
      <w:bookmarkStart w:id="46" w:name="OLE_LINK500"/>
      <w:bookmarkStart w:id="47" w:name="OLE_LINK916"/>
      <w:bookmarkStart w:id="48" w:name="OLE_LINK956"/>
      <w:proofErr w:type="gramStart"/>
      <w:r w:rsidRPr="00C43CFB">
        <w:rPr>
          <w:rFonts w:ascii="Book Antiqua" w:hAnsi="Book Antiqua" w:hint="eastAsia"/>
          <w:b/>
        </w:rPr>
        <w:t>©</w:t>
      </w:r>
      <w:r w:rsidRPr="00C43CFB">
        <w:rPr>
          <w:rFonts w:ascii="Book Antiqua" w:hAnsi="Book Antiqua"/>
          <w:b/>
        </w:rPr>
        <w:t xml:space="preserve"> The Author(s) 201</w:t>
      </w:r>
      <w:r w:rsidR="005B4F64">
        <w:rPr>
          <w:rFonts w:ascii="Book Antiqua" w:eastAsia="宋体" w:hAnsi="Book Antiqua" w:hint="eastAsia"/>
          <w:b/>
          <w:lang w:eastAsia="zh-CN"/>
        </w:rPr>
        <w:t>7</w:t>
      </w:r>
      <w:r w:rsidRPr="00C43CFB">
        <w:rPr>
          <w:rFonts w:ascii="Book Antiqua" w:hAnsi="Book Antiqua"/>
          <w:b/>
        </w:rPr>
        <w:t>.</w:t>
      </w:r>
      <w:proofErr w:type="gramEnd"/>
      <w:r w:rsidRPr="00C43CFB">
        <w:rPr>
          <w:rFonts w:ascii="Book Antiqua" w:hAnsi="Book Antiqua"/>
        </w:rPr>
        <w:t xml:space="preserve"> Published by </w:t>
      </w:r>
      <w:proofErr w:type="spellStart"/>
      <w:r w:rsidRPr="00C43CFB">
        <w:rPr>
          <w:rFonts w:ascii="Book Antiqua" w:hAnsi="Book Antiqua"/>
        </w:rPr>
        <w:t>Baishideng</w:t>
      </w:r>
      <w:proofErr w:type="spellEnd"/>
      <w:r w:rsidRPr="00C43CFB">
        <w:rPr>
          <w:rFonts w:ascii="Book Antiqua" w:hAnsi="Book Antiqua"/>
        </w:rPr>
        <w:t xml:space="preserve"> Publishing Group Inc. All rights reserved.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6E8D93A8" w14:textId="77777777" w:rsidR="006A75A2" w:rsidRPr="00C43CFB" w:rsidRDefault="006A75A2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7CE5D851" w14:textId="6A7A9514" w:rsidR="00D94856" w:rsidRPr="00C43CFB" w:rsidRDefault="00D94856" w:rsidP="00D9485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</w:pPr>
      <w:bookmarkStart w:id="49" w:name="OLE_LINK1196"/>
      <w:bookmarkStart w:id="50" w:name="OLE_LINK1154"/>
      <w:bookmarkStart w:id="51" w:name="OLE_LINK1155"/>
      <w:bookmarkStart w:id="52" w:name="OLE_LINK1322"/>
      <w:bookmarkStart w:id="53" w:name="OLE_LINK1044"/>
      <w:bookmarkStart w:id="54" w:name="OLE_LINK1224"/>
      <w:bookmarkStart w:id="55" w:name="OLE_LINK1225"/>
      <w:bookmarkStart w:id="56" w:name="OLE_LINK1634"/>
      <w:bookmarkStart w:id="57" w:name="OLE_LINK1635"/>
      <w:bookmarkStart w:id="58" w:name="OLE_LINK1762"/>
      <w:bookmarkStart w:id="59" w:name="OLE_LINK1763"/>
      <w:bookmarkStart w:id="60" w:name="OLE_LINK1764"/>
      <w:bookmarkStart w:id="61" w:name="OLE_LINK1939"/>
      <w:bookmarkStart w:id="62" w:name="OLE_LINK2194"/>
      <w:bookmarkStart w:id="63" w:name="OLE_LINK2878"/>
      <w:bookmarkStart w:id="64" w:name="OLE_LINK531"/>
      <w:bookmarkStart w:id="65" w:name="OLE_LINK533"/>
      <w:bookmarkStart w:id="66" w:name="OLE_LINK711"/>
      <w:bookmarkStart w:id="67" w:name="OLE_LINK742"/>
      <w:bookmarkStart w:id="68" w:name="OLE_LINK905"/>
      <w:r w:rsidRPr="00C43CFB"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  <w:t>Core tip: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C43CFB" w:rsidRPr="00C43CFB">
        <w:rPr>
          <w:rFonts w:ascii="Book Antiqua" w:hAnsi="Book Antiqua" w:cs="Times New Roman" w:hint="eastAsia"/>
          <w:b/>
          <w:color w:val="auto"/>
          <w:sz w:val="24"/>
          <w:highlight w:val="white"/>
          <w:lang w:val="en-US" w:eastAsia="zh-CN"/>
        </w:rPr>
        <w:t xml:space="preserve"> </w:t>
      </w:r>
      <w:r w:rsidR="00E659F7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Quantitative</w:t>
      </w:r>
      <w:r w:rsidR="00A71D4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 fecal calprotectin (FC) measurements, particularly in children affected by inflammatory bowel disease (IBD), is an important element of disease monitoring 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in a patient population vulnerable to repeated endoscopic confirmation of mucosal healing</w:t>
      </w:r>
      <w:r w:rsidR="00A71D4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. 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In the United States, rapid FC assays are not yet FDA approved, and</w:t>
      </w:r>
      <w:r w:rsidR="00617730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 send-out FC assays require processing delay, preventing point-of-care usefulness. 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The significance of our findings in this study reiterate the clinical utility of the point-of-care FC testing in children with IBD, who are at-risk for subclinical mucosal-level inflammation. </w:t>
      </w:r>
      <w:r w:rsidR="00617730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Our study confirms good correlation between the send-out and rapid point-of-care FC tests at the clinically-meaningful 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target range</w:t>
      </w:r>
      <w:r w:rsidR="00617730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 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(</w:t>
      </w:r>
      <w:r w:rsidR="00617730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≤ 250 μg/g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)</w:t>
      </w:r>
      <w:r w:rsidR="00617730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 associated with 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endoscopic remission</w:t>
      </w:r>
      <w:r w:rsidR="00617730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>.</w:t>
      </w:r>
      <w:r w:rsidR="00C7297A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 </w:t>
      </w:r>
    </w:p>
    <w:bookmarkEnd w:id="64"/>
    <w:bookmarkEnd w:id="65"/>
    <w:bookmarkEnd w:id="66"/>
    <w:bookmarkEnd w:id="67"/>
    <w:bookmarkEnd w:id="68"/>
    <w:p w14:paraId="77259C4C" w14:textId="77777777" w:rsidR="003A063F" w:rsidRPr="00C43CFB" w:rsidRDefault="003A063F" w:rsidP="003A063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18A88F58" w14:textId="5C148785" w:rsidR="00D94856" w:rsidRPr="005E5D53" w:rsidRDefault="003A063F" w:rsidP="00B1677F">
      <w:pPr>
        <w:spacing w:line="360" w:lineRule="auto"/>
        <w:jc w:val="both"/>
        <w:rPr>
          <w:rFonts w:ascii="Book Antiqua" w:eastAsia="宋体" w:hAnsi="Book Antiqua" w:cs="Times New Roman"/>
          <w:b/>
          <w:vertAlign w:val="superscript"/>
          <w:lang w:eastAsia="zh-CN"/>
        </w:rPr>
      </w:pPr>
      <w:r w:rsidRPr="00C43CFB">
        <w:rPr>
          <w:rFonts w:ascii="Book Antiqua" w:hAnsi="Book Antiqua" w:cs="Times New Roman"/>
        </w:rPr>
        <w:t xml:space="preserve">Rodriguez A, </w:t>
      </w:r>
      <w:proofErr w:type="spellStart"/>
      <w:r w:rsidRPr="00C43CFB">
        <w:rPr>
          <w:rFonts w:ascii="Book Antiqua" w:hAnsi="Book Antiqua" w:cs="Times New Roman"/>
        </w:rPr>
        <w:t>Yokomizo</w:t>
      </w:r>
      <w:proofErr w:type="spellEnd"/>
      <w:r w:rsidRPr="00C43CFB">
        <w:rPr>
          <w:rFonts w:ascii="Book Antiqua" w:hAnsi="Book Antiqua" w:cs="Times New Roman"/>
        </w:rPr>
        <w:t xml:space="preserve"> L, </w:t>
      </w:r>
      <w:proofErr w:type="spellStart"/>
      <w:r w:rsidRPr="00C43CFB">
        <w:rPr>
          <w:rFonts w:ascii="Book Antiqua" w:hAnsi="Book Antiqua" w:cs="Times New Roman"/>
        </w:rPr>
        <w:t>Christofferson</w:t>
      </w:r>
      <w:proofErr w:type="spellEnd"/>
      <w:r w:rsidRPr="00C43CFB">
        <w:rPr>
          <w:rFonts w:ascii="Book Antiqua" w:hAnsi="Book Antiqua" w:cs="Times New Roman"/>
        </w:rPr>
        <w:t xml:space="preserve"> M, Barnes D, Khavari N, Park KT. </w:t>
      </w:r>
      <w:r w:rsidRPr="00C43CFB">
        <w:rPr>
          <w:rFonts w:ascii="Book Antiqua" w:hAnsi="Book Antiqua"/>
        </w:rPr>
        <w:t xml:space="preserve">Correlation of rapid point-of-care </w:t>
      </w:r>
      <w:r w:rsidRPr="00C43CFB">
        <w:rPr>
          <w:rFonts w:ascii="Book Antiqua" w:hAnsi="Book Antiqua"/>
          <w:i/>
        </w:rPr>
        <w:t>vs</w:t>
      </w:r>
      <w:r w:rsidRPr="00C43CFB">
        <w:rPr>
          <w:rFonts w:ascii="Book Antiqua" w:hAnsi="Book Antiqua"/>
        </w:rPr>
        <w:t xml:space="preserve"> send-out fecal calprotectin monitoring in pediatric inflammatory bowel disease. </w:t>
      </w:r>
      <w:r w:rsidRPr="00C43CFB">
        <w:rPr>
          <w:rFonts w:ascii="Book Antiqua" w:hAnsi="Book Antiqua"/>
          <w:i/>
          <w:iCs/>
        </w:rPr>
        <w:t xml:space="preserve">World J </w:t>
      </w:r>
      <w:proofErr w:type="spellStart"/>
      <w:r w:rsidRPr="00C43CFB">
        <w:rPr>
          <w:rFonts w:ascii="Book Antiqua" w:hAnsi="Book Antiqua"/>
          <w:i/>
          <w:iCs/>
        </w:rPr>
        <w:t>Gastrointest</w:t>
      </w:r>
      <w:proofErr w:type="spellEnd"/>
      <w:r w:rsidRPr="00C43CFB">
        <w:rPr>
          <w:rFonts w:ascii="Book Antiqua" w:hAnsi="Book Antiqua"/>
          <w:i/>
          <w:iCs/>
        </w:rPr>
        <w:t xml:space="preserve"> </w:t>
      </w:r>
      <w:proofErr w:type="spellStart"/>
      <w:r w:rsidRPr="00C43CFB">
        <w:rPr>
          <w:rFonts w:ascii="Book Antiqua" w:hAnsi="Book Antiqua"/>
          <w:i/>
          <w:iCs/>
        </w:rPr>
        <w:t>Pharmacol</w:t>
      </w:r>
      <w:proofErr w:type="spellEnd"/>
      <w:r w:rsidRPr="00C43CFB">
        <w:rPr>
          <w:rFonts w:ascii="Book Antiqua" w:hAnsi="Book Antiqua"/>
          <w:i/>
          <w:iCs/>
        </w:rPr>
        <w:t xml:space="preserve"> </w:t>
      </w:r>
      <w:proofErr w:type="spellStart"/>
      <w:r w:rsidRPr="00C43CFB">
        <w:rPr>
          <w:rFonts w:ascii="Book Antiqua" w:hAnsi="Book Antiqua"/>
          <w:i/>
          <w:iCs/>
        </w:rPr>
        <w:t>Ther</w:t>
      </w:r>
      <w:proofErr w:type="spellEnd"/>
      <w:r w:rsidRPr="00C43CFB">
        <w:rPr>
          <w:rFonts w:ascii="Book Antiqua" w:hAnsi="Book Antiqua"/>
          <w:i/>
          <w:iCs/>
        </w:rPr>
        <w:t xml:space="preserve"> </w:t>
      </w:r>
      <w:r w:rsidRPr="00C43CFB">
        <w:rPr>
          <w:rFonts w:ascii="Book Antiqua" w:hAnsi="Book Antiqua"/>
          <w:iCs/>
        </w:rPr>
        <w:t>201</w:t>
      </w:r>
      <w:r w:rsidR="005B4F64">
        <w:rPr>
          <w:rFonts w:ascii="Book Antiqua" w:eastAsia="宋体" w:hAnsi="Book Antiqua" w:hint="eastAsia"/>
          <w:iCs/>
          <w:lang w:eastAsia="zh-CN"/>
        </w:rPr>
        <w:t>7</w:t>
      </w:r>
      <w:r w:rsidRPr="00C43CFB">
        <w:rPr>
          <w:rFonts w:ascii="Book Antiqua" w:hAnsi="Book Antiqua"/>
          <w:iCs/>
        </w:rPr>
        <w:t xml:space="preserve">; </w:t>
      </w:r>
      <w:proofErr w:type="gramStart"/>
      <w:r w:rsidRPr="00C43CFB">
        <w:rPr>
          <w:rFonts w:ascii="Book Antiqua" w:hAnsi="Book Antiqua"/>
          <w:iCs/>
        </w:rPr>
        <w:t>In</w:t>
      </w:r>
      <w:proofErr w:type="gramEnd"/>
      <w:r w:rsidRPr="00C43CFB">
        <w:rPr>
          <w:rFonts w:ascii="Book Antiqua" w:hAnsi="Book Antiqua"/>
          <w:iCs/>
        </w:rPr>
        <w:t xml:space="preserve"> press</w:t>
      </w:r>
    </w:p>
    <w:p w14:paraId="76956D41" w14:textId="77777777" w:rsidR="00D94856" w:rsidRPr="00C43CFB" w:rsidRDefault="00D94856">
      <w:pPr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br w:type="page"/>
      </w:r>
    </w:p>
    <w:p w14:paraId="264DC3BA" w14:textId="32620CE5" w:rsidR="006A75A2" w:rsidRPr="00C43CFB" w:rsidRDefault="00F73153" w:rsidP="00B1677F">
      <w:pPr>
        <w:spacing w:line="360" w:lineRule="auto"/>
        <w:jc w:val="both"/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lastRenderedPageBreak/>
        <w:t>INTRODUCTION</w:t>
      </w:r>
    </w:p>
    <w:p w14:paraId="798EA9EA" w14:textId="006AB806" w:rsidR="00AF70E7" w:rsidRPr="00C43CFB" w:rsidRDefault="00F73153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Reliable mucosal-level monitoring of inflammatory bow</w:t>
      </w:r>
      <w:r w:rsidR="00FC1FCF" w:rsidRPr="00C43CFB">
        <w:rPr>
          <w:rFonts w:ascii="Book Antiqua" w:hAnsi="Book Antiqua" w:cs="Times New Roman"/>
        </w:rPr>
        <w:t xml:space="preserve">el disease (IBD) </w:t>
      </w:r>
      <w:r w:rsidRPr="00C43CFB">
        <w:rPr>
          <w:rFonts w:ascii="Book Antiqua" w:hAnsi="Book Antiqua" w:cs="Times New Roman"/>
        </w:rPr>
        <w:t>is important for appropriate disease management</w:t>
      </w:r>
      <w:r w:rsidR="00FC1FCF" w:rsidRPr="00C43CFB">
        <w:rPr>
          <w:rFonts w:ascii="Book Antiqua" w:hAnsi="Book Antiqua" w:cs="Times New Roman"/>
        </w:rPr>
        <w:t xml:space="preserve"> response</w:t>
      </w:r>
      <w:r w:rsidRPr="00C43CFB">
        <w:rPr>
          <w:rFonts w:ascii="Book Antiqua" w:hAnsi="Book Antiqua" w:cs="Times New Roman"/>
        </w:rPr>
        <w:t>. Although</w:t>
      </w:r>
      <w:r w:rsidR="00124984" w:rsidRPr="00C43CFB">
        <w:rPr>
          <w:rFonts w:ascii="Book Antiqua" w:hAnsi="Book Antiqua" w:cs="Times New Roman"/>
        </w:rPr>
        <w:t xml:space="preserve"> endoscopy remains</w:t>
      </w:r>
      <w:r w:rsidRPr="00C43CFB">
        <w:rPr>
          <w:rFonts w:ascii="Book Antiqua" w:hAnsi="Book Antiqua" w:cs="Times New Roman"/>
        </w:rPr>
        <w:t xml:space="preserve"> the current gold standard for mucosal-level </w:t>
      </w:r>
      <w:r w:rsidR="00124984" w:rsidRPr="00C43CFB">
        <w:rPr>
          <w:rFonts w:ascii="Book Antiqua" w:hAnsi="Book Antiqua" w:cs="Times New Roman"/>
        </w:rPr>
        <w:t>evaluation</w:t>
      </w:r>
      <w:r w:rsidRPr="00C43CFB">
        <w:rPr>
          <w:rFonts w:ascii="Book Antiqua" w:hAnsi="Book Antiqua" w:cs="Times New Roman"/>
        </w:rPr>
        <w:t xml:space="preserve">, the invasive nature, anesthesia requirement, and potential for procedure-related complications including bowel perforations are </w:t>
      </w:r>
      <w:r w:rsidR="00AF70E7" w:rsidRPr="00C43CFB">
        <w:rPr>
          <w:rFonts w:ascii="Book Antiqua" w:hAnsi="Book Antiqua" w:cs="Times New Roman"/>
        </w:rPr>
        <w:t>valid considerations</w:t>
      </w:r>
      <w:r w:rsidRPr="00C43CFB">
        <w:rPr>
          <w:rFonts w:ascii="Book Antiqua" w:hAnsi="Book Antiqua" w:cs="Times New Roman"/>
        </w:rPr>
        <w:t xml:space="preserve"> for pediatric IBD patients to be disease-monitored using </w:t>
      </w:r>
      <w:r w:rsidR="00124984" w:rsidRPr="00C43CFB">
        <w:rPr>
          <w:rFonts w:ascii="Book Antiqua" w:hAnsi="Book Antiqua" w:cs="Times New Roman"/>
        </w:rPr>
        <w:t>non-invasive stool biomarkers</w:t>
      </w:r>
      <w:r w:rsidR="00F822E2" w:rsidRPr="00C43CFB">
        <w:rPr>
          <w:rFonts w:ascii="Book Antiqua" w:hAnsi="Book Antiqua" w:cs="Times New Roman"/>
          <w:vertAlign w:val="superscript"/>
        </w:rPr>
        <w:t>[1]</w:t>
      </w:r>
      <w:r w:rsidRPr="00C43CFB">
        <w:rPr>
          <w:rFonts w:ascii="Book Antiqua" w:hAnsi="Book Antiqua" w:cs="Times New Roman"/>
        </w:rPr>
        <w:t>.</w:t>
      </w:r>
    </w:p>
    <w:p w14:paraId="76A84081" w14:textId="72CBD215" w:rsidR="00A92790" w:rsidRPr="00C43CFB" w:rsidRDefault="00A92790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As the strength of evidence for longitudinally monitoring IBD using serial calprotectin measurements is </w:t>
      </w:r>
      <w:r w:rsidR="00124984" w:rsidRPr="00C43CFB">
        <w:rPr>
          <w:rFonts w:ascii="Book Antiqua" w:hAnsi="Book Antiqua" w:cs="Times New Roman"/>
        </w:rPr>
        <w:t>emerging</w:t>
      </w:r>
      <w:r w:rsidRPr="00C43CFB">
        <w:rPr>
          <w:rFonts w:ascii="Book Antiqua" w:hAnsi="Book Antiqua" w:cs="Times New Roman"/>
        </w:rPr>
        <w:t>, most clinical laboratories in the United States</w:t>
      </w:r>
      <w:r w:rsidR="00F822E2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 xml:space="preserve">do not analyze fecal calprotectin in-house and require quantification </w:t>
      </w:r>
      <w:r w:rsidRPr="00C43CFB">
        <w:rPr>
          <w:rFonts w:ascii="Book Antiqua" w:hAnsi="Book Antiqua" w:cs="Times New Roman"/>
          <w:i/>
        </w:rPr>
        <w:t>via</w:t>
      </w:r>
      <w:r w:rsidRPr="00C43CFB">
        <w:rPr>
          <w:rFonts w:ascii="Book Antiqua" w:hAnsi="Book Antiqua" w:cs="Times New Roman"/>
        </w:rPr>
        <w:t xml:space="preserve"> a send-out method. As a result, calprotectin measurement by the traditional enzyme-linked immunosorbent assay (ELISA) can be time intensive, potentially leading to delays in clinical decision-making – especially in children with IBD who may have discordance of biochemical markers (</w:t>
      </w:r>
      <w:r w:rsidRPr="00C43CFB">
        <w:rPr>
          <w:rFonts w:ascii="Book Antiqua" w:hAnsi="Book Antiqua" w:cs="Times New Roman"/>
          <w:i/>
        </w:rPr>
        <w:t>e.g.</w:t>
      </w:r>
      <w:r w:rsidRPr="00C43CFB">
        <w:rPr>
          <w:rFonts w:ascii="Book Antiqua" w:hAnsi="Book Antiqua" w:cs="Times New Roman"/>
        </w:rPr>
        <w:t xml:space="preserve">, CRP) with subjective </w:t>
      </w:r>
      <w:r w:rsidR="00124984" w:rsidRPr="00C43CFB">
        <w:rPr>
          <w:rFonts w:ascii="Book Antiqua" w:hAnsi="Book Antiqua" w:cs="Times New Roman"/>
        </w:rPr>
        <w:t>assessments of disease activity</w:t>
      </w:r>
      <w:r w:rsidRPr="00C43CFB">
        <w:rPr>
          <w:rFonts w:ascii="Book Antiqua" w:hAnsi="Book Antiqua" w:cs="Times New Roman"/>
        </w:rPr>
        <w:t xml:space="preserve"> (</w:t>
      </w:r>
      <w:r w:rsidRPr="00C43CFB">
        <w:rPr>
          <w:rFonts w:ascii="Book Antiqua" w:hAnsi="Book Antiqua" w:cs="Times New Roman"/>
          <w:i/>
        </w:rPr>
        <w:t>e.g.</w:t>
      </w:r>
      <w:r w:rsidRPr="00C43CFB">
        <w:rPr>
          <w:rFonts w:ascii="Book Antiqua" w:hAnsi="Book Antiqua" w:cs="Times New Roman"/>
        </w:rPr>
        <w:t xml:space="preserve">, abdominal pain). </w:t>
      </w:r>
    </w:p>
    <w:p w14:paraId="2FBF92AB" w14:textId="588E7B89" w:rsidR="00CF0475" w:rsidRPr="00C43CFB" w:rsidRDefault="00A92790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Rapid fecal calprotectin testing, using </w:t>
      </w:r>
      <w:proofErr w:type="spellStart"/>
      <w:r w:rsidRPr="00C43CFB">
        <w:rPr>
          <w:rFonts w:ascii="Book Antiqua" w:hAnsi="Book Antiqua" w:cs="Times New Roman"/>
        </w:rPr>
        <w:t>immunochromatogra</w:t>
      </w:r>
      <w:r w:rsidR="00CF0475" w:rsidRPr="00C43CFB">
        <w:rPr>
          <w:rFonts w:ascii="Book Antiqua" w:hAnsi="Book Antiqua" w:cs="Times New Roman"/>
        </w:rPr>
        <w:t>phic</w:t>
      </w:r>
      <w:proofErr w:type="spellEnd"/>
      <w:r w:rsidR="00CF0475" w:rsidRPr="00C43CFB">
        <w:rPr>
          <w:rFonts w:ascii="Book Antiqua" w:hAnsi="Book Antiqua" w:cs="Times New Roman"/>
        </w:rPr>
        <w:t xml:space="preserve"> assays, could overcome this time </w:t>
      </w:r>
      <w:r w:rsidR="00996DB8" w:rsidRPr="00C43CFB">
        <w:rPr>
          <w:rFonts w:ascii="Book Antiqua" w:hAnsi="Book Antiqua" w:cs="Times New Roman"/>
        </w:rPr>
        <w:t>delay</w:t>
      </w:r>
      <w:r w:rsidR="00CF0475" w:rsidRPr="00C43CFB">
        <w:rPr>
          <w:rFonts w:ascii="Book Antiqua" w:hAnsi="Book Antiqua" w:cs="Times New Roman"/>
        </w:rPr>
        <w:t xml:space="preserve"> and can result</w:t>
      </w:r>
      <w:r w:rsidR="00996DB8" w:rsidRPr="00C43CFB">
        <w:rPr>
          <w:rFonts w:ascii="Book Antiqua" w:hAnsi="Book Antiqua" w:cs="Times New Roman"/>
        </w:rPr>
        <w:t xml:space="preserve"> in</w:t>
      </w:r>
      <w:r w:rsidR="00CF0475" w:rsidRPr="00C43CFB">
        <w:rPr>
          <w:rFonts w:ascii="Book Antiqua" w:hAnsi="Book Antiqua" w:cs="Times New Roman"/>
        </w:rPr>
        <w:t xml:space="preserve"> point-of-care (POC) calprotectin </w:t>
      </w:r>
      <w:r w:rsidR="00996DB8" w:rsidRPr="00C43CFB">
        <w:rPr>
          <w:rFonts w:ascii="Book Antiqua" w:hAnsi="Book Antiqua" w:cs="Times New Roman"/>
        </w:rPr>
        <w:t>measurements within minutes</w:t>
      </w:r>
      <w:r w:rsidR="00CF0475" w:rsidRPr="00C43CFB">
        <w:rPr>
          <w:rFonts w:ascii="Book Antiqua" w:hAnsi="Book Antiqua" w:cs="Times New Roman"/>
        </w:rPr>
        <w:t xml:space="preserve">. </w:t>
      </w:r>
      <w:r w:rsidR="00B22E6E" w:rsidRPr="00C43CFB">
        <w:rPr>
          <w:rFonts w:ascii="Book Antiqua" w:hAnsi="Book Antiqua" w:cs="Times New Roman"/>
        </w:rPr>
        <w:t>One POC test – Quantum Blue® Extended immunoassay (</w:t>
      </w:r>
      <w:proofErr w:type="spellStart"/>
      <w:r w:rsidR="00B22E6E" w:rsidRPr="00C43CFB">
        <w:rPr>
          <w:rFonts w:ascii="Book Antiqua" w:hAnsi="Book Antiqua" w:cs="Times New Roman"/>
        </w:rPr>
        <w:t>Bühlmann</w:t>
      </w:r>
      <w:proofErr w:type="spellEnd"/>
      <w:r w:rsidR="00B22E6E" w:rsidRPr="00C43CFB">
        <w:rPr>
          <w:rFonts w:ascii="Book Antiqua" w:hAnsi="Book Antiqua" w:cs="Times New Roman"/>
        </w:rPr>
        <w:t xml:space="preserve"> Laboratories, Switzerland) – is</w:t>
      </w:r>
      <w:r w:rsidR="00CF0475" w:rsidRPr="00C43CFB">
        <w:rPr>
          <w:rFonts w:ascii="Book Antiqua" w:hAnsi="Book Antiqua" w:cs="Times New Roman"/>
        </w:rPr>
        <w:t xml:space="preserve"> appr</w:t>
      </w:r>
      <w:r w:rsidR="00CB07D8" w:rsidRPr="00C43CFB">
        <w:rPr>
          <w:rFonts w:ascii="Book Antiqua" w:hAnsi="Book Antiqua" w:cs="Times New Roman"/>
        </w:rPr>
        <w:t xml:space="preserve">oved for clinical use in Europe, </w:t>
      </w:r>
      <w:r w:rsidR="00CF0475" w:rsidRPr="00C43CFB">
        <w:rPr>
          <w:rFonts w:ascii="Book Antiqua" w:hAnsi="Book Antiqua" w:cs="Times New Roman"/>
        </w:rPr>
        <w:t xml:space="preserve">Canada, </w:t>
      </w:r>
      <w:r w:rsidR="00CB07D8" w:rsidRPr="00C43CFB">
        <w:rPr>
          <w:rFonts w:ascii="Book Antiqua" w:hAnsi="Book Antiqua" w:cs="Times New Roman"/>
        </w:rPr>
        <w:t>and count</w:t>
      </w:r>
      <w:r w:rsidR="008B0F55" w:rsidRPr="00C43CFB">
        <w:rPr>
          <w:rFonts w:ascii="Book Antiqua" w:hAnsi="Book Antiqua" w:cs="Times New Roman"/>
        </w:rPr>
        <w:t xml:space="preserve">ries in Asia and South America. While there are a few studies </w:t>
      </w:r>
      <w:r w:rsidR="00E1318A" w:rsidRPr="00C43CFB">
        <w:rPr>
          <w:rFonts w:ascii="Book Antiqua" w:hAnsi="Book Antiqua" w:cs="Times New Roman"/>
        </w:rPr>
        <w:t>showing good correlation of</w:t>
      </w:r>
      <w:r w:rsidR="008B0F55" w:rsidRPr="00C43CFB">
        <w:rPr>
          <w:rFonts w:ascii="Book Antiqua" w:hAnsi="Book Antiqua" w:cs="Times New Roman"/>
        </w:rPr>
        <w:t xml:space="preserve"> this </w:t>
      </w:r>
      <w:r w:rsidR="00A86AD1" w:rsidRPr="00C43CFB">
        <w:rPr>
          <w:rFonts w:ascii="Book Antiqua" w:hAnsi="Book Antiqua" w:cs="Times New Roman"/>
        </w:rPr>
        <w:t xml:space="preserve">particular </w:t>
      </w:r>
      <w:r w:rsidR="008B0F55" w:rsidRPr="00C43CFB">
        <w:rPr>
          <w:rFonts w:ascii="Book Antiqua" w:hAnsi="Book Antiqua" w:cs="Times New Roman"/>
        </w:rPr>
        <w:t>assay with an ELISA test</w:t>
      </w:r>
      <w:r w:rsidR="00E1318A" w:rsidRPr="00C43CFB">
        <w:rPr>
          <w:rFonts w:ascii="Book Antiqua" w:hAnsi="Book Antiqua" w:cs="Times New Roman"/>
        </w:rPr>
        <w:t xml:space="preserve"> in mainly an adult, </w:t>
      </w:r>
      <w:r w:rsidR="001D393A" w:rsidRPr="00C43CFB">
        <w:rPr>
          <w:rFonts w:ascii="Book Antiqua" w:hAnsi="Book Antiqua" w:cs="Times New Roman"/>
        </w:rPr>
        <w:t xml:space="preserve">IBD and </w:t>
      </w:r>
      <w:r w:rsidR="00E1318A" w:rsidRPr="00C43CFB">
        <w:rPr>
          <w:rFonts w:ascii="Book Antiqua" w:hAnsi="Book Antiqua" w:cs="Times New Roman"/>
        </w:rPr>
        <w:t xml:space="preserve">non-IBD </w:t>
      </w:r>
      <w:proofErr w:type="gramStart"/>
      <w:r w:rsidR="00E1318A" w:rsidRPr="00C43CFB">
        <w:rPr>
          <w:rFonts w:ascii="Book Antiqua" w:hAnsi="Book Antiqua" w:cs="Times New Roman"/>
        </w:rPr>
        <w:t>cohort</w:t>
      </w:r>
      <w:r w:rsidR="00F822E2" w:rsidRPr="00C43CFB">
        <w:rPr>
          <w:rFonts w:ascii="Book Antiqua" w:hAnsi="Book Antiqua" w:cs="Times New Roman"/>
          <w:vertAlign w:val="superscript"/>
        </w:rPr>
        <w:t>[</w:t>
      </w:r>
      <w:proofErr w:type="gramEnd"/>
      <w:r w:rsidR="00F822E2" w:rsidRPr="00C43CFB">
        <w:rPr>
          <w:rFonts w:ascii="Book Antiqua" w:hAnsi="Book Antiqua" w:cs="Times New Roman"/>
          <w:vertAlign w:val="superscript"/>
        </w:rPr>
        <w:t>2</w:t>
      </w:r>
      <w:r w:rsidR="003B7029" w:rsidRPr="00C43CFB">
        <w:rPr>
          <w:rFonts w:ascii="Book Antiqua" w:hAnsi="Book Antiqua" w:cs="Times New Roman"/>
          <w:vertAlign w:val="superscript"/>
        </w:rPr>
        <w:t>,</w:t>
      </w:r>
      <w:r w:rsidR="00F822E2" w:rsidRPr="00C43CFB">
        <w:rPr>
          <w:rFonts w:ascii="Book Antiqua" w:hAnsi="Book Antiqua" w:cs="Times New Roman"/>
          <w:vertAlign w:val="superscript"/>
        </w:rPr>
        <w:t>3]</w:t>
      </w:r>
      <w:r w:rsidR="00E1318A" w:rsidRPr="00C43CFB">
        <w:rPr>
          <w:rFonts w:ascii="Book Antiqua" w:hAnsi="Book Antiqua" w:cs="Times New Roman"/>
        </w:rPr>
        <w:t>,</w:t>
      </w:r>
      <w:r w:rsidR="009F0B32" w:rsidRPr="00C43CFB">
        <w:rPr>
          <w:rFonts w:ascii="Book Antiqua" w:hAnsi="Book Antiqua" w:cs="Times New Roman"/>
        </w:rPr>
        <w:t xml:space="preserve"> </w:t>
      </w:r>
      <w:r w:rsidR="00CF0475" w:rsidRPr="00C43CFB">
        <w:rPr>
          <w:rFonts w:ascii="Book Antiqua" w:hAnsi="Book Antiqua" w:cs="Times New Roman"/>
        </w:rPr>
        <w:t xml:space="preserve">there </w:t>
      </w:r>
      <w:r w:rsidR="00E1318A" w:rsidRPr="00C43CFB">
        <w:rPr>
          <w:rFonts w:ascii="Book Antiqua" w:hAnsi="Book Antiqua" w:cs="Times New Roman"/>
        </w:rPr>
        <w:t>is only one</w:t>
      </w:r>
      <w:r w:rsidR="001D393A" w:rsidRPr="00C43CFB">
        <w:rPr>
          <w:rFonts w:ascii="Book Antiqua" w:hAnsi="Book Antiqua" w:cs="Times New Roman"/>
        </w:rPr>
        <w:t xml:space="preserve"> European</w:t>
      </w:r>
      <w:r w:rsidR="00E1318A" w:rsidRPr="00C43CFB">
        <w:rPr>
          <w:rFonts w:ascii="Book Antiqua" w:hAnsi="Book Antiqua" w:cs="Times New Roman"/>
        </w:rPr>
        <w:t xml:space="preserve"> study to our knowledge</w:t>
      </w:r>
      <w:r w:rsidR="00B22E6E" w:rsidRPr="00C43CFB">
        <w:rPr>
          <w:rFonts w:ascii="Book Antiqua" w:hAnsi="Book Antiqua" w:cs="Times New Roman"/>
        </w:rPr>
        <w:t xml:space="preserve"> </w:t>
      </w:r>
      <w:r w:rsidR="008B0F55" w:rsidRPr="00C43CFB">
        <w:rPr>
          <w:rFonts w:ascii="Book Antiqua" w:hAnsi="Book Antiqua" w:cs="Times New Roman"/>
        </w:rPr>
        <w:t xml:space="preserve">assessing the strength of </w:t>
      </w:r>
      <w:r w:rsidR="00A86AD1" w:rsidRPr="00C43CFB">
        <w:rPr>
          <w:rFonts w:ascii="Book Antiqua" w:hAnsi="Book Antiqua" w:cs="Times New Roman"/>
        </w:rPr>
        <w:t xml:space="preserve">correlation for </w:t>
      </w:r>
      <w:r w:rsidR="009D14E2" w:rsidRPr="00C43CFB">
        <w:rPr>
          <w:rFonts w:ascii="Book Antiqua" w:hAnsi="Book Antiqua" w:cs="Times New Roman"/>
        </w:rPr>
        <w:t>POC</w:t>
      </w:r>
      <w:r w:rsidR="00A86AD1" w:rsidRPr="00C43CFB">
        <w:rPr>
          <w:rFonts w:ascii="Book Antiqua" w:hAnsi="Book Antiqua" w:cs="Times New Roman"/>
        </w:rPr>
        <w:t xml:space="preserve"> testing</w:t>
      </w:r>
      <w:r w:rsidR="009D14E2" w:rsidRPr="00C43CFB">
        <w:rPr>
          <w:rFonts w:ascii="Book Antiqua" w:hAnsi="Book Antiqua" w:cs="Times New Roman"/>
        </w:rPr>
        <w:t xml:space="preserve"> </w:t>
      </w:r>
      <w:r w:rsidR="00A86AD1" w:rsidRPr="00C43CFB">
        <w:rPr>
          <w:rFonts w:ascii="Book Antiqua" w:hAnsi="Book Antiqua" w:cs="Times New Roman"/>
        </w:rPr>
        <w:t>with the standard</w:t>
      </w:r>
      <w:r w:rsidR="008B0F55" w:rsidRPr="00C43CFB">
        <w:rPr>
          <w:rFonts w:ascii="Book Antiqua" w:hAnsi="Book Antiqua" w:cs="Times New Roman"/>
        </w:rPr>
        <w:t xml:space="preserve"> ELISA</w:t>
      </w:r>
      <w:r w:rsidR="001D393A" w:rsidRPr="00C43CFB">
        <w:rPr>
          <w:rFonts w:ascii="Book Antiqua" w:hAnsi="Book Antiqua" w:cs="Times New Roman"/>
        </w:rPr>
        <w:t xml:space="preserve"> in children with IBD</w:t>
      </w:r>
      <w:r w:rsidR="00E1318A" w:rsidRPr="00C43CFB">
        <w:rPr>
          <w:rFonts w:ascii="Book Antiqua" w:hAnsi="Book Antiqua" w:cs="Times New Roman"/>
        </w:rPr>
        <w:t>.</w:t>
      </w:r>
      <w:r w:rsidR="00F822E2" w:rsidRPr="00C43CFB">
        <w:rPr>
          <w:rFonts w:ascii="Book Antiqua" w:hAnsi="Book Antiqua" w:cs="Times New Roman"/>
          <w:vertAlign w:val="superscript"/>
        </w:rPr>
        <w:t xml:space="preserve"> </w:t>
      </w:r>
      <w:r w:rsidR="00E1318A" w:rsidRPr="00C43CFB">
        <w:rPr>
          <w:rFonts w:ascii="Book Antiqua" w:hAnsi="Book Antiqua" w:cs="Times New Roman"/>
        </w:rPr>
        <w:t>I</w:t>
      </w:r>
      <w:r w:rsidR="00CF0475" w:rsidRPr="00C43CFB">
        <w:rPr>
          <w:rFonts w:ascii="Book Antiqua" w:hAnsi="Book Antiqua" w:cs="Times New Roman"/>
        </w:rPr>
        <w:t xml:space="preserve">n the </w:t>
      </w:r>
      <w:r w:rsidR="00F822E2" w:rsidRPr="00C43CFB">
        <w:rPr>
          <w:rFonts w:ascii="Book Antiqua" w:hAnsi="Book Antiqua" w:cs="Times New Roman"/>
        </w:rPr>
        <w:t>United States</w:t>
      </w:r>
      <w:r w:rsidR="00E1318A" w:rsidRPr="00C43CFB">
        <w:rPr>
          <w:rFonts w:ascii="Book Antiqua" w:hAnsi="Book Antiqua" w:cs="Times New Roman"/>
        </w:rPr>
        <w:t xml:space="preserve">, POC calprotectin testing </w:t>
      </w:r>
      <w:r w:rsidR="00A86AD1" w:rsidRPr="00C43CFB">
        <w:rPr>
          <w:rFonts w:ascii="Book Antiqua" w:hAnsi="Book Antiqua" w:cs="Times New Roman"/>
        </w:rPr>
        <w:t xml:space="preserve">is not </w:t>
      </w:r>
      <w:r w:rsidR="00E1318A" w:rsidRPr="00C43CFB">
        <w:rPr>
          <w:rFonts w:ascii="Book Antiqua" w:hAnsi="Book Antiqua" w:cs="Times New Roman"/>
        </w:rPr>
        <w:t xml:space="preserve">yet </w:t>
      </w:r>
      <w:r w:rsidR="00A86AD1" w:rsidRPr="00C43CFB">
        <w:rPr>
          <w:rFonts w:ascii="Book Antiqua" w:hAnsi="Book Antiqua" w:cs="Times New Roman"/>
        </w:rPr>
        <w:t xml:space="preserve">FDA approved at this time for clinical </w:t>
      </w:r>
      <w:proofErr w:type="gramStart"/>
      <w:r w:rsidR="00A86AD1" w:rsidRPr="00C43CFB">
        <w:rPr>
          <w:rFonts w:ascii="Book Antiqua" w:hAnsi="Book Antiqua" w:cs="Times New Roman"/>
        </w:rPr>
        <w:t>use</w:t>
      </w:r>
      <w:r w:rsidR="00F822E2" w:rsidRPr="00C43CFB">
        <w:rPr>
          <w:rFonts w:ascii="Book Antiqua" w:hAnsi="Book Antiqua" w:cs="Times New Roman"/>
          <w:vertAlign w:val="superscript"/>
        </w:rPr>
        <w:t>[</w:t>
      </w:r>
      <w:proofErr w:type="gramEnd"/>
      <w:r w:rsidR="00F822E2" w:rsidRPr="00C43CFB">
        <w:rPr>
          <w:rFonts w:ascii="Book Antiqua" w:hAnsi="Book Antiqua" w:cs="Times New Roman"/>
          <w:vertAlign w:val="superscript"/>
        </w:rPr>
        <w:t>4]</w:t>
      </w:r>
      <w:r w:rsidR="00CF0475" w:rsidRPr="00C43CFB">
        <w:rPr>
          <w:rFonts w:ascii="Book Antiqua" w:hAnsi="Book Antiqua" w:cs="Times New Roman"/>
        </w:rPr>
        <w:t>.</w:t>
      </w:r>
      <w:r w:rsidR="009F0B32" w:rsidRPr="00C43CFB">
        <w:rPr>
          <w:rFonts w:ascii="Book Antiqua" w:hAnsi="Book Antiqua" w:cs="Times New Roman"/>
        </w:rPr>
        <w:t xml:space="preserve"> </w:t>
      </w:r>
      <w:r w:rsidR="009D14E2" w:rsidRPr="00C43CFB">
        <w:rPr>
          <w:rFonts w:ascii="Book Antiqua" w:hAnsi="Book Antiqua" w:cs="Times New Roman"/>
        </w:rPr>
        <w:t>W</w:t>
      </w:r>
      <w:r w:rsidR="00CF0475" w:rsidRPr="00C43CFB">
        <w:rPr>
          <w:rFonts w:ascii="Book Antiqua" w:hAnsi="Book Antiqua" w:cs="Times New Roman"/>
        </w:rPr>
        <w:t>e aim</w:t>
      </w:r>
      <w:r w:rsidR="009D14E2" w:rsidRPr="00C43CFB">
        <w:rPr>
          <w:rFonts w:ascii="Book Antiqua" w:hAnsi="Book Antiqua" w:cs="Times New Roman"/>
        </w:rPr>
        <w:t>ed</w:t>
      </w:r>
      <w:r w:rsidR="00CF0475" w:rsidRPr="00C43CFB">
        <w:rPr>
          <w:rFonts w:ascii="Book Antiqua" w:hAnsi="Book Antiqua" w:cs="Times New Roman"/>
        </w:rPr>
        <w:t xml:space="preserve"> to assess the </w:t>
      </w:r>
      <w:r w:rsidR="009D14E2" w:rsidRPr="00C43CFB">
        <w:rPr>
          <w:rFonts w:ascii="Book Antiqua" w:hAnsi="Book Antiqua" w:cs="Times New Roman"/>
        </w:rPr>
        <w:t xml:space="preserve">correlation between the send-out ELISA and the </w:t>
      </w:r>
      <w:r w:rsidR="00CF0475" w:rsidRPr="00C43CFB">
        <w:rPr>
          <w:rFonts w:ascii="Book Antiqua" w:hAnsi="Book Antiqua" w:cs="Times New Roman"/>
        </w:rPr>
        <w:t xml:space="preserve">POC </w:t>
      </w:r>
      <w:r w:rsidR="009D14E2" w:rsidRPr="00C43CFB">
        <w:rPr>
          <w:rFonts w:ascii="Book Antiqua" w:hAnsi="Book Antiqua" w:cs="Times New Roman"/>
        </w:rPr>
        <w:t xml:space="preserve">calprotectin test in </w:t>
      </w:r>
      <w:r w:rsidR="00CF0475" w:rsidRPr="00C43CFB">
        <w:rPr>
          <w:rFonts w:ascii="Book Antiqua" w:hAnsi="Book Antiqua" w:cs="Times New Roman"/>
        </w:rPr>
        <w:t>pediatric IBD patients.</w:t>
      </w:r>
    </w:p>
    <w:p w14:paraId="636A830F" w14:textId="77777777" w:rsidR="00CF0475" w:rsidRPr="00C43CFB" w:rsidRDefault="00CF0475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408300FA" w14:textId="77777777" w:rsidR="004E79B4" w:rsidRPr="00C43CFB" w:rsidRDefault="004E79B4" w:rsidP="00E659F7">
      <w:pPr>
        <w:snapToGrid w:val="0"/>
        <w:spacing w:line="360" w:lineRule="auto"/>
        <w:ind w:left="130" w:hangingChars="50" w:hanging="130"/>
        <w:jc w:val="both"/>
        <w:rPr>
          <w:rFonts w:ascii="Book Antiqua" w:hAnsi="Book Antiqua" w:cs="Times New Roman"/>
          <w:b/>
          <w:caps/>
        </w:rPr>
      </w:pPr>
      <w:bookmarkStart w:id="69" w:name="OLE_LINK478"/>
      <w:bookmarkStart w:id="70" w:name="OLE_LINK481"/>
      <w:bookmarkStart w:id="71" w:name="OLE_LINK483"/>
      <w:bookmarkStart w:id="72" w:name="OLE_LINK674"/>
      <w:r w:rsidRPr="00C43CFB">
        <w:rPr>
          <w:rFonts w:ascii="Book Antiqua" w:hAnsi="Book Antiqua" w:cs="Times New Roman"/>
          <w:b/>
          <w:caps/>
        </w:rPr>
        <w:t>Materials and methods</w:t>
      </w:r>
    </w:p>
    <w:bookmarkEnd w:id="69"/>
    <w:bookmarkEnd w:id="70"/>
    <w:bookmarkEnd w:id="71"/>
    <w:bookmarkEnd w:id="72"/>
    <w:p w14:paraId="22883CF9" w14:textId="6D26274F" w:rsidR="00002E56" w:rsidRPr="00C43CFB" w:rsidRDefault="00F60967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lastRenderedPageBreak/>
        <w:t xml:space="preserve">This was a Stanford University IRB approved prospective study conducted from October 2014 to May 2015. In </w:t>
      </w:r>
      <w:r w:rsidR="009D14E2" w:rsidRPr="00C43CFB">
        <w:rPr>
          <w:rFonts w:ascii="Book Antiqua" w:hAnsi="Book Antiqua" w:cs="Times New Roman"/>
        </w:rPr>
        <w:t xml:space="preserve">previously diagnosed pediatric IBD patients who were being assessed for </w:t>
      </w:r>
      <w:r w:rsidR="00002E56" w:rsidRPr="00C43CFB">
        <w:rPr>
          <w:rFonts w:ascii="Book Antiqua" w:hAnsi="Book Antiqua" w:cs="Times New Roman"/>
        </w:rPr>
        <w:t xml:space="preserve">routine </w:t>
      </w:r>
      <w:r w:rsidR="009D14E2" w:rsidRPr="00C43CFB">
        <w:rPr>
          <w:rFonts w:ascii="Book Antiqua" w:hAnsi="Book Antiqua" w:cs="Times New Roman"/>
        </w:rPr>
        <w:t>fecal calprotectin</w:t>
      </w:r>
      <w:r w:rsidR="00FC1FCF" w:rsidRPr="00C43CFB">
        <w:rPr>
          <w:rFonts w:ascii="Book Antiqua" w:hAnsi="Book Antiqua" w:cs="Times New Roman"/>
        </w:rPr>
        <w:t xml:space="preserve"> levels</w:t>
      </w:r>
      <w:r w:rsidR="009D14E2" w:rsidRPr="00C43CFB">
        <w:rPr>
          <w:rFonts w:ascii="Book Antiqua" w:hAnsi="Book Antiqua" w:cs="Times New Roman"/>
        </w:rPr>
        <w:t xml:space="preserve">, </w:t>
      </w:r>
      <w:r w:rsidRPr="00C43CFB">
        <w:rPr>
          <w:rFonts w:ascii="Book Antiqua" w:hAnsi="Book Antiqua" w:cs="Times New Roman"/>
        </w:rPr>
        <w:t>the</w:t>
      </w:r>
      <w:r w:rsidR="00002E56" w:rsidRPr="00C43CFB">
        <w:rPr>
          <w:rFonts w:ascii="Book Antiqua" w:hAnsi="Book Antiqua" w:cs="Times New Roman"/>
        </w:rPr>
        <w:t>ir</w:t>
      </w:r>
      <w:r w:rsidRPr="00C43CFB">
        <w:rPr>
          <w:rFonts w:ascii="Book Antiqua" w:hAnsi="Book Antiqua" w:cs="Times New Roman"/>
        </w:rPr>
        <w:t xml:space="preserve"> </w:t>
      </w:r>
      <w:r w:rsidR="00FC1FCF" w:rsidRPr="00C43CFB">
        <w:rPr>
          <w:rFonts w:ascii="Book Antiqua" w:hAnsi="Book Antiqua" w:cs="Times New Roman"/>
        </w:rPr>
        <w:t>tested</w:t>
      </w:r>
      <w:r w:rsidR="009D14E2" w:rsidRPr="00C43CFB">
        <w:rPr>
          <w:rFonts w:ascii="Book Antiqua" w:hAnsi="Book Antiqua" w:cs="Times New Roman"/>
        </w:rPr>
        <w:t xml:space="preserve"> stool sample </w:t>
      </w:r>
      <w:r w:rsidRPr="00C43CFB">
        <w:rPr>
          <w:rFonts w:ascii="Book Antiqua" w:hAnsi="Book Antiqua" w:cs="Times New Roman"/>
        </w:rPr>
        <w:t>was</w:t>
      </w:r>
      <w:r w:rsidR="009D14E2" w:rsidRPr="00C43CFB">
        <w:rPr>
          <w:rFonts w:ascii="Book Antiqua" w:hAnsi="Book Antiqua" w:cs="Times New Roman"/>
        </w:rPr>
        <w:t xml:space="preserve"> </w:t>
      </w:r>
      <w:r w:rsidR="00124984" w:rsidRPr="00C43CFB">
        <w:rPr>
          <w:rFonts w:ascii="Book Antiqua" w:hAnsi="Book Antiqua" w:cs="Times New Roman"/>
        </w:rPr>
        <w:t>also analyzed</w:t>
      </w:r>
      <w:r w:rsidRPr="00C43CFB">
        <w:rPr>
          <w:rFonts w:ascii="Book Antiqua" w:hAnsi="Book Antiqua" w:cs="Times New Roman"/>
        </w:rPr>
        <w:t xml:space="preserve"> for calprotectin </w:t>
      </w:r>
      <w:r w:rsidR="009D14E2" w:rsidRPr="00C43CFB">
        <w:rPr>
          <w:rFonts w:ascii="Book Antiqua" w:hAnsi="Book Antiqua" w:cs="Times New Roman"/>
        </w:rPr>
        <w:t xml:space="preserve">using the Quantum Blue® POC test. </w:t>
      </w:r>
      <w:r w:rsidRPr="00C43CFB">
        <w:rPr>
          <w:rFonts w:ascii="Book Antiqua" w:hAnsi="Book Antiqua" w:cs="Times New Roman"/>
        </w:rPr>
        <w:t xml:space="preserve">Informed consent by the parent or legal guardian was required for participation. </w:t>
      </w:r>
      <w:r w:rsidR="009D5679" w:rsidRPr="00C43CFB">
        <w:rPr>
          <w:rFonts w:ascii="Book Antiqua" w:hAnsi="Book Antiqua" w:cs="Times New Roman"/>
        </w:rPr>
        <w:t>During standard of care inpatient and outpatient encounters, f</w:t>
      </w:r>
      <w:r w:rsidRPr="00C43CFB">
        <w:rPr>
          <w:rFonts w:ascii="Book Antiqua" w:hAnsi="Book Antiqua" w:cs="Times New Roman"/>
        </w:rPr>
        <w:t>ecal samples</w:t>
      </w:r>
      <w:r w:rsidR="009D5679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 xml:space="preserve">were collected </w:t>
      </w:r>
      <w:r w:rsidR="009D5679" w:rsidRPr="00C43CFB">
        <w:rPr>
          <w:rFonts w:ascii="Book Antiqua" w:hAnsi="Book Antiqua" w:cs="Times New Roman"/>
        </w:rPr>
        <w:t xml:space="preserve">from patients </w:t>
      </w:r>
      <w:r w:rsidRPr="00C43CFB">
        <w:rPr>
          <w:rFonts w:ascii="Book Antiqua" w:hAnsi="Book Antiqua" w:cs="Times New Roman"/>
        </w:rPr>
        <w:t xml:space="preserve">by our hospital laboratory for processing and sent to one centralized laboratory for ELISA analysis (Genova Diagnostics, NC, </w:t>
      </w:r>
      <w:r w:rsidR="00F822E2" w:rsidRPr="00C43CFB">
        <w:rPr>
          <w:rFonts w:ascii="Book Antiqua" w:hAnsi="Book Antiqua" w:cs="Times New Roman"/>
        </w:rPr>
        <w:t>United States</w:t>
      </w:r>
      <w:r w:rsidRPr="00C43CFB">
        <w:rPr>
          <w:rFonts w:ascii="Book Antiqua" w:hAnsi="Book Antiqua" w:cs="Times New Roman"/>
        </w:rPr>
        <w:t xml:space="preserve">). </w:t>
      </w:r>
      <w:r w:rsidR="009D5679" w:rsidRPr="00C43CFB">
        <w:rPr>
          <w:rFonts w:ascii="Book Antiqua" w:hAnsi="Book Antiqua" w:cs="Times New Roman"/>
        </w:rPr>
        <w:t xml:space="preserve">No samples were collected from patients undergoing colonic cleanout. </w:t>
      </w:r>
      <w:r w:rsidR="00FC1FCF" w:rsidRPr="00C43CFB">
        <w:rPr>
          <w:rFonts w:ascii="Book Antiqua" w:hAnsi="Book Antiqua" w:cs="Times New Roman"/>
        </w:rPr>
        <w:t>ELISA results</w:t>
      </w:r>
      <w:r w:rsidR="00002E56" w:rsidRPr="00C43CFB">
        <w:rPr>
          <w:rFonts w:ascii="Book Antiqua" w:hAnsi="Book Antiqua" w:cs="Times New Roman"/>
        </w:rPr>
        <w:t xml:space="preserve"> were reported back within 10-14 d as </w:t>
      </w:r>
      <w:r w:rsidR="00124984" w:rsidRPr="00C43CFB">
        <w:rPr>
          <w:rFonts w:ascii="Book Antiqua" w:hAnsi="Book Antiqua" w:cs="Times New Roman"/>
        </w:rPr>
        <w:t>μ</w:t>
      </w:r>
      <w:r w:rsidR="00002E56" w:rsidRPr="00C43CFB">
        <w:rPr>
          <w:rFonts w:ascii="Book Antiqua" w:hAnsi="Book Antiqua" w:cs="Times New Roman"/>
        </w:rPr>
        <w:t>g/g within a</w:t>
      </w:r>
      <w:r w:rsidR="00877B97" w:rsidRPr="00C43CFB">
        <w:rPr>
          <w:rFonts w:ascii="Book Antiqua" w:hAnsi="Book Antiqua" w:cs="Times New Roman"/>
        </w:rPr>
        <w:t xml:space="preserve"> continuous</w:t>
      </w:r>
      <w:r w:rsidR="00002E56" w:rsidRPr="00C43CFB">
        <w:rPr>
          <w:rFonts w:ascii="Book Antiqua" w:hAnsi="Book Antiqua" w:cs="Times New Roman"/>
        </w:rPr>
        <w:t xml:space="preserve"> range of &lt; 17 to 2500</w:t>
      </w:r>
      <w:r w:rsidR="00100259" w:rsidRPr="00C43CFB">
        <w:rPr>
          <w:rFonts w:ascii="Book Antiqua" w:hAnsi="Book Antiqua" w:cs="Times New Roman"/>
        </w:rPr>
        <w:t xml:space="preserve"> μg/g</w:t>
      </w:r>
      <w:r w:rsidR="00FC1FCF" w:rsidRPr="00C43CFB">
        <w:rPr>
          <w:rFonts w:ascii="Book Antiqua" w:hAnsi="Book Antiqua" w:cs="Times New Roman"/>
        </w:rPr>
        <w:t>. R</w:t>
      </w:r>
      <w:r w:rsidR="00937AA1" w:rsidRPr="00C43CFB">
        <w:rPr>
          <w:rFonts w:ascii="Book Antiqua" w:hAnsi="Book Antiqua" w:cs="Times New Roman"/>
        </w:rPr>
        <w:t xml:space="preserve">esults &gt;1000 were recorded as 1000 to match the range of the POC calprotectin test. </w:t>
      </w:r>
    </w:p>
    <w:p w14:paraId="6249A4DE" w14:textId="67A70E57" w:rsidR="00F73153" w:rsidRPr="00C43CFB" w:rsidRDefault="00002E56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For POC calprotectin testing, stool samples (1 g) were extracted using the CALEX® cap device by unscrewing the cap and inserting it into the stool</w:t>
      </w:r>
      <w:r w:rsidR="00124984" w:rsidRPr="00C43CFB">
        <w:rPr>
          <w:rFonts w:ascii="Book Antiqua" w:hAnsi="Book Antiqua" w:cs="Times New Roman"/>
        </w:rPr>
        <w:t xml:space="preserve"> sample</w:t>
      </w:r>
      <w:r w:rsidRPr="00C43CFB">
        <w:rPr>
          <w:rFonts w:ascii="Book Antiqua" w:hAnsi="Book Antiqua" w:cs="Times New Roman"/>
        </w:rPr>
        <w:t xml:space="preserve">.  The collection stick was removed with 1 g of adhering stool and inserted into the collection container that contained the antibody reagent.  The device was then vigorously homogenized using a vortex mixer, and 60 </w:t>
      </w:r>
      <w:proofErr w:type="spellStart"/>
      <w:r w:rsidRPr="00C43CFB">
        <w:rPr>
          <w:rFonts w:ascii="Book Antiqua" w:hAnsi="Book Antiqua" w:cs="Times New Roman"/>
        </w:rPr>
        <w:t>μL</w:t>
      </w:r>
      <w:proofErr w:type="spellEnd"/>
      <w:r w:rsidRPr="00C43CFB">
        <w:rPr>
          <w:rFonts w:ascii="Book Antiqua" w:hAnsi="Book Antiqua" w:cs="Times New Roman"/>
        </w:rPr>
        <w:t xml:space="preserve"> of the mixed sample was placed in the QB test cartridge and loaded into the reader. After 12 min</w:t>
      </w:r>
      <w:r w:rsidR="00100259" w:rsidRPr="00C43CFB">
        <w:rPr>
          <w:rFonts w:ascii="Book Antiqua" w:hAnsi="Book Antiqua" w:cs="Times New Roman"/>
        </w:rPr>
        <w:t>,</w:t>
      </w:r>
      <w:r w:rsidRPr="00C43CFB">
        <w:rPr>
          <w:rFonts w:ascii="Book Antiqua" w:hAnsi="Book Antiqua" w:cs="Times New Roman"/>
        </w:rPr>
        <w:t xml:space="preserve"> the test cartridge was read and displayed the amount of FC present in the sample. The results were reported as </w:t>
      </w:r>
      <w:r w:rsidR="00100259" w:rsidRPr="00C43CFB">
        <w:rPr>
          <w:rFonts w:ascii="Book Antiqua" w:hAnsi="Book Antiqua" w:cs="Times New Roman"/>
        </w:rPr>
        <w:t>μg/g</w:t>
      </w:r>
      <w:r w:rsidR="00937AA1" w:rsidRPr="00C43CFB">
        <w:rPr>
          <w:rFonts w:ascii="Book Antiqua" w:hAnsi="Book Antiqua" w:cs="Times New Roman"/>
        </w:rPr>
        <w:t xml:space="preserve"> with a</w:t>
      </w:r>
      <w:r w:rsidR="00877B97" w:rsidRPr="00C43CFB">
        <w:rPr>
          <w:rFonts w:ascii="Book Antiqua" w:hAnsi="Book Antiqua" w:cs="Times New Roman"/>
        </w:rPr>
        <w:t xml:space="preserve"> continuous</w:t>
      </w:r>
      <w:r w:rsidR="00937AA1" w:rsidRPr="00C43CFB">
        <w:rPr>
          <w:rFonts w:ascii="Book Antiqua" w:hAnsi="Book Antiqua" w:cs="Times New Roman"/>
        </w:rPr>
        <w:t xml:space="preserve"> range of &lt;</w:t>
      </w:r>
      <w:r w:rsidR="00F822E2" w:rsidRPr="00C43CFB">
        <w:rPr>
          <w:rFonts w:ascii="Book Antiqua" w:hAnsi="Book Antiqua" w:cs="Times New Roman"/>
        </w:rPr>
        <w:t xml:space="preserve"> </w:t>
      </w:r>
      <w:r w:rsidR="00937AA1" w:rsidRPr="00C43CFB">
        <w:rPr>
          <w:rFonts w:ascii="Book Antiqua" w:hAnsi="Book Antiqua" w:cs="Times New Roman"/>
        </w:rPr>
        <w:t xml:space="preserve">30 to </w:t>
      </w:r>
      <w:r w:rsidRPr="00C43CFB">
        <w:rPr>
          <w:rFonts w:ascii="Book Antiqua" w:hAnsi="Book Antiqua" w:cs="Times New Roman"/>
        </w:rPr>
        <w:t>1000</w:t>
      </w:r>
      <w:r w:rsidR="00937AA1" w:rsidRPr="00C43CFB">
        <w:rPr>
          <w:rFonts w:ascii="Book Antiqua" w:hAnsi="Book Antiqua" w:cs="Times New Roman"/>
        </w:rPr>
        <w:t xml:space="preserve"> μg/g</w:t>
      </w:r>
      <w:r w:rsidRPr="00C43CFB">
        <w:rPr>
          <w:rFonts w:ascii="Book Antiqua" w:hAnsi="Book Antiqua" w:cs="Times New Roman"/>
        </w:rPr>
        <w:t>. From stool extraction to results, the test required approximately 15 min</w:t>
      </w:r>
      <w:r w:rsidR="00F822E2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>to complete.</w:t>
      </w:r>
    </w:p>
    <w:p w14:paraId="3E46C96A" w14:textId="0AC473EA" w:rsidR="00002E56" w:rsidRPr="00C43CFB" w:rsidRDefault="00002E56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Previous studies and clinical experience have indicated that </w:t>
      </w:r>
      <w:r w:rsidR="00173175" w:rsidRPr="00C43CFB">
        <w:rPr>
          <w:rFonts w:ascii="Book Antiqua" w:hAnsi="Book Antiqua" w:cs="Times New Roman"/>
        </w:rPr>
        <w:t>calprotectin</w:t>
      </w:r>
      <w:r w:rsidRPr="00C43CFB">
        <w:rPr>
          <w:rFonts w:ascii="Book Antiqua" w:hAnsi="Book Antiqua" w:cs="Times New Roman"/>
        </w:rPr>
        <w:t xml:space="preserve"> ≤ 250 </w:t>
      </w:r>
      <w:r w:rsidR="00937AA1" w:rsidRPr="00C43CFB">
        <w:rPr>
          <w:rFonts w:ascii="Book Antiqua" w:hAnsi="Book Antiqua" w:cs="Times New Roman"/>
        </w:rPr>
        <w:t>μg/g</w:t>
      </w:r>
      <w:r w:rsidRPr="00C43CFB">
        <w:rPr>
          <w:rFonts w:ascii="Book Antiqua" w:hAnsi="Book Antiqua" w:cs="Times New Roman"/>
        </w:rPr>
        <w:t xml:space="preserve"> correlates with </w:t>
      </w:r>
      <w:r w:rsidR="00364C07" w:rsidRPr="00C43CFB">
        <w:rPr>
          <w:rFonts w:ascii="Book Antiqua" w:hAnsi="Book Antiqua" w:cs="Times New Roman"/>
        </w:rPr>
        <w:t xml:space="preserve">lower </w:t>
      </w:r>
      <w:r w:rsidRPr="00C43CFB">
        <w:rPr>
          <w:rFonts w:ascii="Book Antiqua" w:hAnsi="Book Antiqua" w:cs="Times New Roman"/>
        </w:rPr>
        <w:t xml:space="preserve">disease </w:t>
      </w:r>
      <w:r w:rsidR="00364C07" w:rsidRPr="00C43CFB">
        <w:rPr>
          <w:rFonts w:ascii="Book Antiqua" w:hAnsi="Book Antiqua" w:cs="Times New Roman"/>
        </w:rPr>
        <w:t>activity</w:t>
      </w:r>
      <w:r w:rsidRPr="00C43CFB">
        <w:rPr>
          <w:rFonts w:ascii="Book Antiqua" w:hAnsi="Book Antiqua" w:cs="Times New Roman"/>
        </w:rPr>
        <w:t xml:space="preserve"> at the mucosal-level on endoscopic </w:t>
      </w:r>
      <w:proofErr w:type="gramStart"/>
      <w:r w:rsidRPr="00C43CFB">
        <w:rPr>
          <w:rFonts w:ascii="Book Antiqua" w:hAnsi="Book Antiqua" w:cs="Times New Roman"/>
        </w:rPr>
        <w:t>evaluation</w:t>
      </w:r>
      <w:r w:rsidR="00F822E2" w:rsidRPr="00C43CFB">
        <w:rPr>
          <w:rFonts w:ascii="Book Antiqua" w:hAnsi="Book Antiqua" w:cs="Times New Roman"/>
          <w:vertAlign w:val="superscript"/>
        </w:rPr>
        <w:t>[</w:t>
      </w:r>
      <w:proofErr w:type="gramEnd"/>
      <w:r w:rsidR="00F822E2" w:rsidRPr="00C43CFB">
        <w:rPr>
          <w:rFonts w:ascii="Book Antiqua" w:hAnsi="Book Antiqua" w:cs="Times New Roman"/>
          <w:vertAlign w:val="superscript"/>
        </w:rPr>
        <w:t>5-7]</w:t>
      </w:r>
      <w:r w:rsidRPr="00C43CFB">
        <w:rPr>
          <w:rFonts w:ascii="Book Antiqua" w:hAnsi="Book Antiqua" w:cs="Times New Roman"/>
        </w:rPr>
        <w:t xml:space="preserve">. </w:t>
      </w:r>
      <w:r w:rsidR="00100259" w:rsidRPr="00C43CFB">
        <w:rPr>
          <w:rFonts w:ascii="Book Antiqua" w:hAnsi="Book Antiqua" w:cs="Times New Roman"/>
        </w:rPr>
        <w:t>Therefore, w</w:t>
      </w:r>
      <w:r w:rsidRPr="00C43CFB">
        <w:rPr>
          <w:rFonts w:ascii="Book Antiqua" w:hAnsi="Book Antiqua" w:cs="Times New Roman"/>
        </w:rPr>
        <w:t xml:space="preserve">e were particularly interested in the strength of correlation between the ELISA and POC calprotectin test within this lower range of values. </w:t>
      </w:r>
      <w:r w:rsidR="00A57F46" w:rsidRPr="00C43CFB">
        <w:rPr>
          <w:rFonts w:ascii="Book Antiqua" w:hAnsi="Book Antiqua" w:cs="Times New Roman"/>
        </w:rPr>
        <w:t>Agreement between the two tests was measured by a Bland-Altman plot and statistical significance was determined using Pitman’s test in STATA 12.1 (</w:t>
      </w:r>
      <w:proofErr w:type="spellStart"/>
      <w:r w:rsidR="00A57F46" w:rsidRPr="00C43CFB">
        <w:rPr>
          <w:rFonts w:ascii="Book Antiqua" w:hAnsi="Book Antiqua" w:cs="Times New Roman"/>
        </w:rPr>
        <w:t>StataCorp</w:t>
      </w:r>
      <w:proofErr w:type="spellEnd"/>
      <w:r w:rsidR="00A57F46" w:rsidRPr="00C43CFB">
        <w:rPr>
          <w:rFonts w:ascii="Book Antiqua" w:hAnsi="Book Antiqua" w:cs="Times New Roman"/>
        </w:rPr>
        <w:t>, College Station, TX</w:t>
      </w:r>
      <w:r w:rsidR="00F822E2" w:rsidRPr="00C43CFB">
        <w:rPr>
          <w:rFonts w:ascii="Book Antiqua" w:hAnsi="Book Antiqua" w:cs="Times New Roman"/>
        </w:rPr>
        <w:t>, United States</w:t>
      </w:r>
      <w:r w:rsidR="00A57F46" w:rsidRPr="00C43CFB">
        <w:rPr>
          <w:rFonts w:ascii="Book Antiqua" w:hAnsi="Book Antiqua" w:cs="Times New Roman"/>
        </w:rPr>
        <w:t>).</w:t>
      </w:r>
    </w:p>
    <w:p w14:paraId="3CA9CF82" w14:textId="77777777" w:rsidR="00A57F46" w:rsidRPr="00C43CFB" w:rsidRDefault="00A57F46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598A8C8F" w14:textId="77777777" w:rsidR="00A57F46" w:rsidRPr="00C43CFB" w:rsidRDefault="00100259" w:rsidP="00B1677F">
      <w:pPr>
        <w:spacing w:line="360" w:lineRule="auto"/>
        <w:jc w:val="both"/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lastRenderedPageBreak/>
        <w:t>RESULTS</w:t>
      </w:r>
    </w:p>
    <w:p w14:paraId="1C3DC0AA" w14:textId="3535F585" w:rsidR="00100259" w:rsidRPr="00C43CFB" w:rsidRDefault="00100259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From routine inpatient or outpatient care, 49 stool samples were collected from 31 pediatric IBD patients</w:t>
      </w:r>
      <w:r w:rsidR="00143BA2" w:rsidRPr="00C43CFB">
        <w:rPr>
          <w:rFonts w:ascii="Book Antiqua" w:hAnsi="Book Antiqua" w:cs="Times New Roman"/>
        </w:rPr>
        <w:t xml:space="preserve"> (Table 1)</w:t>
      </w:r>
      <w:r w:rsidRPr="00C43CFB">
        <w:rPr>
          <w:rFonts w:ascii="Book Antiqua" w:hAnsi="Book Antiqua" w:cs="Times New Roman"/>
        </w:rPr>
        <w:t>.</w:t>
      </w:r>
      <w:r w:rsidR="00143BA2" w:rsidRPr="00C43CFB">
        <w:rPr>
          <w:rFonts w:ascii="Book Antiqua" w:hAnsi="Book Antiqua" w:cs="Times New Roman"/>
        </w:rPr>
        <w:t xml:space="preserve"> The overall means for the rapid and ELISA tests were 580.5 μg/g</w:t>
      </w:r>
      <w:r w:rsidR="008B46F1" w:rsidRPr="00C43CFB">
        <w:rPr>
          <w:rFonts w:ascii="Book Antiqua" w:hAnsi="Book Antiqua" w:cs="Times New Roman"/>
        </w:rPr>
        <w:t xml:space="preserve"> and 522.87 μg/g respectively. </w:t>
      </w:r>
      <w:r w:rsidR="00143BA2" w:rsidRPr="00C43CFB">
        <w:rPr>
          <w:rFonts w:ascii="Book Antiqua" w:hAnsi="Book Antiqua" w:cs="Times New Roman"/>
        </w:rPr>
        <w:t xml:space="preserve">Among the 49 samples, 18 (37.5%) had POC calprotectin levels of ≤ 250 μg/g and 31 </w:t>
      </w:r>
      <w:r w:rsidR="00F822E2" w:rsidRPr="00C43CFB">
        <w:rPr>
          <w:rFonts w:ascii="Book Antiqua" w:hAnsi="Book Antiqua" w:cs="Times New Roman"/>
        </w:rPr>
        <w:t>(62.5%) had levels &gt; 250 μg/g.</w:t>
      </w:r>
    </w:p>
    <w:p w14:paraId="0799DA80" w14:textId="7218B047" w:rsidR="00F43B81" w:rsidRPr="00C43CFB" w:rsidRDefault="008B46F1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Among samples resulting in ≤ 250 μg/g, mean calprotectin levels were 74.1 μg/g from the ELISA and 86.2 μg/g from the POC calprotectin, a mean difference of 12.0 μg/g. Among samples resulting in &gt; 250 μg/g, mean calprotectin levels were 783.5 μg/g from the ELISA and 867.6 μg/g from the POC calprotectin test, a mean difference between of 84.1 μg/g.</w:t>
      </w:r>
      <w:r w:rsidR="00F43B81" w:rsidRPr="00C43CFB">
        <w:rPr>
          <w:rFonts w:ascii="Book Antiqua" w:hAnsi="Book Antiqua" w:cs="Times New Roman"/>
        </w:rPr>
        <w:t xml:space="preserve"> </w:t>
      </w:r>
    </w:p>
    <w:p w14:paraId="2C79F919" w14:textId="7C7525A0" w:rsidR="008B46F1" w:rsidRPr="00C43CFB" w:rsidRDefault="008B46F1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In order to test whether these differences were significant, we used a Bland-Altman plot, graphing the difference between the two test values against their </w:t>
      </w:r>
      <w:r w:rsidR="00F43B81" w:rsidRPr="00C43CFB">
        <w:rPr>
          <w:rFonts w:ascii="Book Antiqua" w:hAnsi="Book Antiqua" w:cs="Times New Roman"/>
        </w:rPr>
        <w:t>mean value</w:t>
      </w:r>
      <w:r w:rsidRPr="00C43CFB">
        <w:rPr>
          <w:rFonts w:ascii="Book Antiqua" w:hAnsi="Book Antiqua" w:cs="Times New Roman"/>
        </w:rPr>
        <w:t xml:space="preserve"> (</w:t>
      </w:r>
      <w:r w:rsidR="00F43B81" w:rsidRPr="00C43CFB">
        <w:rPr>
          <w:rFonts w:ascii="Book Antiqua" w:hAnsi="Book Antiqua" w:cs="Times New Roman"/>
        </w:rPr>
        <w:t>Figure</w:t>
      </w:r>
      <w:r w:rsidRPr="00C43CFB">
        <w:rPr>
          <w:rFonts w:ascii="Book Antiqua" w:hAnsi="Book Antiqua" w:cs="Times New Roman"/>
        </w:rPr>
        <w:t xml:space="preserve"> 1).  Pitman’s test was used to determine if there was a correlation between the two</w:t>
      </w:r>
      <w:r w:rsidR="00F43B81" w:rsidRPr="00C43CFB">
        <w:rPr>
          <w:rFonts w:ascii="Book Antiqua" w:hAnsi="Book Antiqua" w:cs="Times New Roman"/>
        </w:rPr>
        <w:t xml:space="preserve"> values</w:t>
      </w:r>
      <w:r w:rsidR="00F822E2" w:rsidRPr="00C43CFB">
        <w:rPr>
          <w:rFonts w:ascii="Book Antiqua" w:hAnsi="Book Antiqua" w:cs="Times New Roman"/>
        </w:rPr>
        <w:t>.</w:t>
      </w:r>
    </w:p>
    <w:p w14:paraId="21844068" w14:textId="43CFA89C" w:rsidR="008B46F1" w:rsidRPr="00C43CFB" w:rsidRDefault="008B46F1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For </w:t>
      </w:r>
      <w:r w:rsidR="00F43B81" w:rsidRPr="00C43CFB">
        <w:rPr>
          <w:rFonts w:ascii="Book Antiqua" w:hAnsi="Book Antiqua" w:cs="Times New Roman"/>
        </w:rPr>
        <w:t>values ≤ 250 μg/g</w:t>
      </w:r>
      <w:r w:rsidRPr="00C43CFB">
        <w:rPr>
          <w:rFonts w:ascii="Book Antiqua" w:hAnsi="Book Antiqua" w:cs="Times New Roman"/>
        </w:rPr>
        <w:t xml:space="preserve">, Pitman’s test showed </w:t>
      </w:r>
      <w:r w:rsidRPr="00C43CFB">
        <w:rPr>
          <w:rFonts w:ascii="Book Antiqua" w:hAnsi="Book Antiqua" w:cs="Times New Roman"/>
          <w:i/>
        </w:rPr>
        <w:t>r</w:t>
      </w:r>
      <w:r w:rsidRPr="00C43CFB">
        <w:rPr>
          <w:rFonts w:ascii="Book Antiqua" w:hAnsi="Book Antiqua" w:cs="Times New Roman"/>
        </w:rPr>
        <w:t xml:space="preserve"> = 0.072, with the value close to zero indicating</w:t>
      </w:r>
      <w:r w:rsidR="00F43B81" w:rsidRPr="00C43CFB">
        <w:rPr>
          <w:rFonts w:ascii="Book Antiqua" w:hAnsi="Book Antiqua" w:cs="Times New Roman"/>
        </w:rPr>
        <w:t xml:space="preserve"> good</w:t>
      </w:r>
      <w:r w:rsidRPr="00C43CFB">
        <w:rPr>
          <w:rFonts w:ascii="Book Antiqua" w:hAnsi="Book Antiqua" w:cs="Times New Roman"/>
        </w:rPr>
        <w:t xml:space="preserve"> concordance between the two tests; further, </w:t>
      </w:r>
      <w:r w:rsidRPr="00C43CFB">
        <w:rPr>
          <w:rFonts w:ascii="Book Antiqua" w:hAnsi="Book Antiqua" w:cs="Times New Roman"/>
          <w:i/>
          <w:caps/>
        </w:rPr>
        <w:t>p</w:t>
      </w:r>
      <w:r w:rsidRPr="00C43CFB">
        <w:rPr>
          <w:rFonts w:ascii="Book Antiqua" w:hAnsi="Book Antiqua" w:cs="Times New Roman"/>
        </w:rPr>
        <w:t xml:space="preserve"> = 0.779, confirming that we cannot reject the null hypothesis of equal variances</w:t>
      </w:r>
      <w:r w:rsidR="00F43B81" w:rsidRPr="00C43CFB">
        <w:rPr>
          <w:rFonts w:ascii="Book Antiqua" w:hAnsi="Book Antiqua" w:cs="Times New Roman"/>
        </w:rPr>
        <w:t xml:space="preserve">. </w:t>
      </w:r>
      <w:r w:rsidRPr="00C43CFB">
        <w:rPr>
          <w:rFonts w:ascii="Book Antiqua" w:hAnsi="Book Antiqua" w:cs="Times New Roman"/>
        </w:rPr>
        <w:t xml:space="preserve">For </w:t>
      </w:r>
      <w:r w:rsidR="00F43B81" w:rsidRPr="00C43CFB">
        <w:rPr>
          <w:rFonts w:ascii="Book Antiqua" w:hAnsi="Book Antiqua" w:cs="Times New Roman"/>
        </w:rPr>
        <w:t>values &gt; 250 μg/g</w:t>
      </w:r>
      <w:r w:rsidR="009D0D2A" w:rsidRPr="00C43CFB">
        <w:rPr>
          <w:rFonts w:ascii="Book Antiqua" w:hAnsi="Book Antiqua" w:cs="Times New Roman"/>
        </w:rPr>
        <w:t xml:space="preserve"> (not graphed)</w:t>
      </w:r>
      <w:r w:rsidRPr="00C43CFB">
        <w:rPr>
          <w:rFonts w:ascii="Book Antiqua" w:hAnsi="Book Antiqua" w:cs="Times New Roman"/>
        </w:rPr>
        <w:t xml:space="preserve">, the </w:t>
      </w:r>
      <w:r w:rsidRPr="00C43CFB">
        <w:rPr>
          <w:rFonts w:ascii="Book Antiqua" w:hAnsi="Book Antiqua" w:cs="Times New Roman"/>
          <w:i/>
        </w:rPr>
        <w:t xml:space="preserve">r </w:t>
      </w:r>
      <w:r w:rsidRPr="00C43CFB">
        <w:rPr>
          <w:rFonts w:ascii="Book Antiqua" w:hAnsi="Book Antiqua" w:cs="Times New Roman"/>
        </w:rPr>
        <w:t>= 0.109</w:t>
      </w:r>
      <w:r w:rsidR="00F43B81" w:rsidRPr="00C43CFB">
        <w:rPr>
          <w:rFonts w:ascii="Book Antiqua" w:hAnsi="Book Antiqua" w:cs="Times New Roman"/>
        </w:rPr>
        <w:t>,</w:t>
      </w:r>
      <w:r w:rsidRPr="00C43CFB">
        <w:rPr>
          <w:rFonts w:ascii="Book Antiqua" w:hAnsi="Book Antiqua" w:cs="Times New Roman"/>
        </w:rPr>
        <w:t xml:space="preserve"> suggest</w:t>
      </w:r>
      <w:r w:rsidR="00F43B81" w:rsidRPr="00C43CFB">
        <w:rPr>
          <w:rFonts w:ascii="Book Antiqua" w:hAnsi="Book Antiqua" w:cs="Times New Roman"/>
        </w:rPr>
        <w:t>ing that higher absolute values have less correlation between ELISA and POC tests, although the test of significance supported the null hypothesis</w:t>
      </w:r>
      <w:r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  <w:i/>
          <w:caps/>
        </w:rPr>
        <w:t>p</w:t>
      </w:r>
      <w:r w:rsidR="00F822E2" w:rsidRPr="00C43CFB">
        <w:rPr>
          <w:rFonts w:ascii="Book Antiqua" w:hAnsi="Book Antiqua" w:cs="Times New Roman"/>
          <w:i/>
          <w:caps/>
        </w:rPr>
        <w:t xml:space="preserve"> </w:t>
      </w:r>
      <w:r w:rsidRPr="00C43CFB">
        <w:rPr>
          <w:rFonts w:ascii="Book Antiqua" w:hAnsi="Book Antiqua" w:cs="Times New Roman"/>
        </w:rPr>
        <w:t>=</w:t>
      </w:r>
      <w:r w:rsidR="00F822E2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>0.564.</w:t>
      </w:r>
    </w:p>
    <w:p w14:paraId="799E1FFE" w14:textId="77777777" w:rsidR="00F43B81" w:rsidRPr="00C43CFB" w:rsidRDefault="00F43B81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34942C82" w14:textId="15309C62" w:rsidR="00F43B81" w:rsidRPr="00C43CFB" w:rsidRDefault="007B3F67" w:rsidP="00B1677F">
      <w:pPr>
        <w:spacing w:line="360" w:lineRule="auto"/>
        <w:jc w:val="both"/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t>DISCUSSION</w:t>
      </w:r>
    </w:p>
    <w:p w14:paraId="77C7D56D" w14:textId="3E07DB69" w:rsidR="00910AB2" w:rsidRPr="00C43CFB" w:rsidRDefault="009D0D2A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Our prospective cohort study showcases the </w:t>
      </w:r>
      <w:r w:rsidR="002E0735" w:rsidRPr="00C43CFB">
        <w:rPr>
          <w:rFonts w:ascii="Book Antiqua" w:hAnsi="Book Antiqua" w:cs="Times New Roman"/>
        </w:rPr>
        <w:t>reliability</w:t>
      </w:r>
      <w:r w:rsidRPr="00C43CFB">
        <w:rPr>
          <w:rFonts w:ascii="Book Antiqua" w:hAnsi="Book Antiqua" w:cs="Times New Roman"/>
        </w:rPr>
        <w:t xml:space="preserve"> of a POC calprotectin test that is currently being used </w:t>
      </w:r>
      <w:r w:rsidR="002E0735" w:rsidRPr="00C43CFB">
        <w:rPr>
          <w:rFonts w:ascii="Book Antiqua" w:hAnsi="Book Antiqua" w:cs="Times New Roman"/>
        </w:rPr>
        <w:t xml:space="preserve">in routine clinical care </w:t>
      </w:r>
      <w:r w:rsidRPr="00C43CFB">
        <w:rPr>
          <w:rFonts w:ascii="Book Antiqua" w:hAnsi="Book Antiqua" w:cs="Times New Roman"/>
        </w:rPr>
        <w:t>in Europe</w:t>
      </w:r>
      <w:r w:rsidR="002E0735" w:rsidRPr="00C43CFB">
        <w:rPr>
          <w:rFonts w:ascii="Book Antiqua" w:hAnsi="Book Antiqua" w:cs="Times New Roman"/>
        </w:rPr>
        <w:t xml:space="preserve"> and Canada but not yet approved in the </w:t>
      </w:r>
      <w:r w:rsidR="00F822E2" w:rsidRPr="00C43CFB">
        <w:rPr>
          <w:rFonts w:ascii="Book Antiqua" w:hAnsi="Book Antiqua" w:cs="Times New Roman"/>
        </w:rPr>
        <w:t>United States.</w:t>
      </w:r>
      <w:r w:rsidRPr="00C43CFB">
        <w:rPr>
          <w:rFonts w:ascii="Book Antiqua" w:hAnsi="Book Antiqua" w:cs="Times New Roman"/>
        </w:rPr>
        <w:t xml:space="preserve"> </w:t>
      </w:r>
      <w:r w:rsidR="00CF187B" w:rsidRPr="00C43CFB">
        <w:rPr>
          <w:rFonts w:ascii="Book Antiqua" w:hAnsi="Book Antiqua" w:cs="Times New Roman"/>
        </w:rPr>
        <w:t>While we acknowledge the limited sample size, t</w:t>
      </w:r>
      <w:r w:rsidRPr="00C43CFB">
        <w:rPr>
          <w:rFonts w:ascii="Book Antiqua" w:hAnsi="Book Antiqua" w:cs="Times New Roman"/>
        </w:rPr>
        <w:t>he data from our study</w:t>
      </w:r>
      <w:r w:rsidR="009A6A1B" w:rsidRPr="00C43CFB">
        <w:rPr>
          <w:rFonts w:ascii="Book Antiqua" w:hAnsi="Book Antiqua" w:cs="Times New Roman"/>
        </w:rPr>
        <w:t xml:space="preserve"> show good correlation between send-out ELISA and POC calprotectin tests. </w:t>
      </w:r>
      <w:r w:rsidR="00587F7A" w:rsidRPr="00C43CFB">
        <w:rPr>
          <w:rFonts w:ascii="Book Antiqua" w:hAnsi="Book Antiqua" w:cs="Times New Roman"/>
        </w:rPr>
        <w:t>We show that a</w:t>
      </w:r>
      <w:r w:rsidR="00C059A1" w:rsidRPr="00C43CFB">
        <w:rPr>
          <w:rFonts w:ascii="Book Antiqua" w:hAnsi="Book Antiqua" w:cs="Times New Roman"/>
        </w:rPr>
        <w:t>greement between the two tests</w:t>
      </w:r>
      <w:r w:rsidR="009A6A1B" w:rsidRPr="00C43CFB">
        <w:rPr>
          <w:rFonts w:ascii="Book Antiqua" w:hAnsi="Book Antiqua" w:cs="Times New Roman"/>
        </w:rPr>
        <w:t xml:space="preserve"> appear</w:t>
      </w:r>
      <w:r w:rsidR="00C059A1" w:rsidRPr="00C43CFB">
        <w:rPr>
          <w:rFonts w:ascii="Book Antiqua" w:hAnsi="Book Antiqua" w:cs="Times New Roman"/>
        </w:rPr>
        <w:t>s</w:t>
      </w:r>
      <w:r w:rsidR="009A6A1B" w:rsidRPr="00C43CFB">
        <w:rPr>
          <w:rFonts w:ascii="Book Antiqua" w:hAnsi="Book Antiqua" w:cs="Times New Roman"/>
        </w:rPr>
        <w:t xml:space="preserve"> to be stronger for lower </w:t>
      </w:r>
      <w:r w:rsidR="00C059A1" w:rsidRPr="00C43CFB">
        <w:rPr>
          <w:rFonts w:ascii="Book Antiqua" w:hAnsi="Book Antiqua" w:cs="Times New Roman"/>
        </w:rPr>
        <w:t>values</w:t>
      </w:r>
      <w:r w:rsidR="00587F7A" w:rsidRPr="00C43CFB">
        <w:rPr>
          <w:rFonts w:ascii="Book Antiqua" w:hAnsi="Book Antiqua" w:cs="Times New Roman"/>
        </w:rPr>
        <w:t xml:space="preserve"> – a finding that is corroborated by </w:t>
      </w:r>
      <w:proofErr w:type="spellStart"/>
      <w:r w:rsidR="00B9226A" w:rsidRPr="00C43CFB">
        <w:rPr>
          <w:rFonts w:ascii="Book Antiqua" w:eastAsia="宋体" w:hAnsi="Book Antiqua" w:cs="宋体"/>
          <w:bCs/>
          <w:lang w:eastAsia="zh-CN"/>
        </w:rPr>
        <w:t>Kolho</w:t>
      </w:r>
      <w:proofErr w:type="spellEnd"/>
      <w:r w:rsidR="00587F7A" w:rsidRPr="00C43CFB">
        <w:rPr>
          <w:rFonts w:ascii="Book Antiqua" w:hAnsi="Book Antiqua" w:cs="Times New Roman"/>
          <w:highlight w:val="yellow"/>
        </w:rPr>
        <w:t xml:space="preserve"> </w:t>
      </w:r>
      <w:r w:rsidR="00587F7A" w:rsidRPr="00C43CFB">
        <w:rPr>
          <w:rFonts w:ascii="Book Antiqua" w:hAnsi="Book Antiqua" w:cs="Times New Roman"/>
          <w:i/>
        </w:rPr>
        <w:t xml:space="preserve">et </w:t>
      </w:r>
      <w:proofErr w:type="gramStart"/>
      <w:r w:rsidR="00587F7A" w:rsidRPr="00C43CFB">
        <w:rPr>
          <w:rFonts w:ascii="Book Antiqua" w:hAnsi="Book Antiqua" w:cs="Times New Roman"/>
          <w:i/>
        </w:rPr>
        <w:t>al</w:t>
      </w:r>
      <w:r w:rsidR="00DE73D8" w:rsidRPr="00C43CFB">
        <w:rPr>
          <w:rFonts w:ascii="Book Antiqua" w:hAnsi="Book Antiqua" w:cs="Times New Roman"/>
          <w:vertAlign w:val="superscript"/>
        </w:rPr>
        <w:t>[</w:t>
      </w:r>
      <w:proofErr w:type="gramEnd"/>
      <w:r w:rsidR="00DE73D8" w:rsidRPr="00C43CFB">
        <w:rPr>
          <w:rFonts w:ascii="Book Antiqua" w:hAnsi="Book Antiqua" w:cs="Times New Roman"/>
          <w:vertAlign w:val="superscript"/>
        </w:rPr>
        <w:t>8]</w:t>
      </w:r>
      <w:r w:rsidR="00587F7A" w:rsidRPr="00C43CFB">
        <w:rPr>
          <w:rFonts w:ascii="Book Antiqua" w:hAnsi="Book Antiqua" w:cs="Times New Roman"/>
        </w:rPr>
        <w:t xml:space="preserve"> in a pediatric IBD cohort</w:t>
      </w:r>
      <w:r w:rsidR="00C059A1" w:rsidRPr="00C43CFB">
        <w:rPr>
          <w:rFonts w:ascii="Book Antiqua" w:hAnsi="Book Antiqua" w:cs="Times New Roman"/>
        </w:rPr>
        <w:t>.</w:t>
      </w:r>
      <w:r w:rsidR="00173175" w:rsidRPr="00C43CFB">
        <w:rPr>
          <w:rFonts w:ascii="Book Antiqua" w:hAnsi="Book Antiqua" w:cs="Times New Roman"/>
        </w:rPr>
        <w:t xml:space="preserve"> </w:t>
      </w:r>
      <w:r w:rsidR="00C71D5B" w:rsidRPr="00C43CFB">
        <w:rPr>
          <w:rFonts w:ascii="Book Antiqua" w:hAnsi="Book Antiqua" w:cs="Times New Roman"/>
        </w:rPr>
        <w:t xml:space="preserve">Of note, our investigation used a classical </w:t>
      </w:r>
      <w:r w:rsidR="00C71D5B" w:rsidRPr="00C43CFB">
        <w:rPr>
          <w:rFonts w:ascii="Book Antiqua" w:hAnsi="Book Antiqua" w:cs="Times New Roman"/>
        </w:rPr>
        <w:lastRenderedPageBreak/>
        <w:t xml:space="preserve">statistical method in the Bland-Altman plot which descriptively and quantitatively showcases the strength of correlation between the two tests. </w:t>
      </w:r>
    </w:p>
    <w:p w14:paraId="386C7BD1" w14:textId="2E5E66D4" w:rsidR="00CF187B" w:rsidRPr="00C43CFB" w:rsidRDefault="00587F7A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Our results also agree with previous studies that showed increased inter-test variability at higher calprotectin levels – with greater divergence from expected values above 250 μg/</w:t>
      </w:r>
      <w:proofErr w:type="gramStart"/>
      <w:r w:rsidRPr="00C43CFB">
        <w:rPr>
          <w:rFonts w:ascii="Book Antiqua" w:hAnsi="Book Antiqua" w:cs="Times New Roman"/>
        </w:rPr>
        <w:t>g</w:t>
      </w:r>
      <w:r w:rsidR="00F822E2" w:rsidRPr="00C43CFB">
        <w:rPr>
          <w:rFonts w:ascii="Book Antiqua" w:hAnsi="Book Antiqua" w:cs="Times New Roman"/>
          <w:vertAlign w:val="superscript"/>
        </w:rPr>
        <w:t>[</w:t>
      </w:r>
      <w:proofErr w:type="gramEnd"/>
      <w:r w:rsidR="00F822E2" w:rsidRPr="00C43CFB">
        <w:rPr>
          <w:rFonts w:ascii="Book Antiqua" w:hAnsi="Book Antiqua" w:cs="Times New Roman"/>
          <w:vertAlign w:val="superscript"/>
        </w:rPr>
        <w:t>9</w:t>
      </w:r>
      <w:r w:rsidR="00DE73D8" w:rsidRPr="00C43CFB">
        <w:rPr>
          <w:rFonts w:ascii="Book Antiqua" w:hAnsi="Book Antiqua" w:cs="Times New Roman"/>
          <w:vertAlign w:val="superscript"/>
        </w:rPr>
        <w:t>,10</w:t>
      </w:r>
      <w:r w:rsidR="00F822E2" w:rsidRPr="00C43CFB">
        <w:rPr>
          <w:rFonts w:ascii="Book Antiqua" w:hAnsi="Book Antiqua" w:cs="Times New Roman"/>
          <w:vertAlign w:val="superscript"/>
        </w:rPr>
        <w:t>]</w:t>
      </w:r>
      <w:r w:rsidRPr="00C43CFB">
        <w:rPr>
          <w:rFonts w:ascii="Book Antiqua" w:hAnsi="Book Antiqua" w:cs="Times New Roman"/>
        </w:rPr>
        <w:t>. In order to optimize the utility of our study despite our limited sample size, we focused our analysis around</w:t>
      </w:r>
      <w:r w:rsidR="00C059A1" w:rsidRPr="00C43CFB">
        <w:rPr>
          <w:rFonts w:ascii="Book Antiqua" w:hAnsi="Book Antiqua" w:cs="Times New Roman"/>
        </w:rPr>
        <w:t xml:space="preserve"> values </w:t>
      </w:r>
      <w:r w:rsidR="009A6A1B" w:rsidRPr="00C43CFB">
        <w:rPr>
          <w:rFonts w:ascii="Book Antiqua" w:hAnsi="Book Antiqua" w:cs="Times New Roman"/>
        </w:rPr>
        <w:t>≤ 250 μg/g</w:t>
      </w:r>
      <w:r w:rsidR="00173175" w:rsidRPr="00C43CFB">
        <w:rPr>
          <w:rFonts w:ascii="Book Antiqua" w:hAnsi="Book Antiqua" w:cs="Times New Roman"/>
        </w:rPr>
        <w:t xml:space="preserve"> </w:t>
      </w:r>
      <w:r w:rsidRPr="00C43CFB">
        <w:rPr>
          <w:rFonts w:ascii="Book Antiqua" w:hAnsi="Book Antiqua" w:cs="Times New Roman"/>
        </w:rPr>
        <w:t xml:space="preserve">since literature in IBD </w:t>
      </w:r>
      <w:proofErr w:type="gramStart"/>
      <w:r w:rsidRPr="00C43CFB">
        <w:rPr>
          <w:rFonts w:ascii="Book Antiqua" w:hAnsi="Book Antiqua" w:cs="Times New Roman"/>
        </w:rPr>
        <w:t>cohorts</w:t>
      </w:r>
      <w:proofErr w:type="gramEnd"/>
      <w:r w:rsidRPr="00C43CFB">
        <w:rPr>
          <w:rFonts w:ascii="Book Antiqua" w:hAnsi="Book Antiqua" w:cs="Times New Roman"/>
        </w:rPr>
        <w:t xml:space="preserve"> supports endoscopic disease quiescence at or below 300 μg/g cut-off level. </w:t>
      </w:r>
      <w:r w:rsidR="00910AB2" w:rsidRPr="00C43CFB">
        <w:rPr>
          <w:rFonts w:ascii="Book Antiqua" w:hAnsi="Book Antiqua" w:cs="Times New Roman"/>
        </w:rPr>
        <w:t>Targeting low-range levels appear to be the clinical g</w:t>
      </w:r>
      <w:r w:rsidR="00F822E2" w:rsidRPr="00C43CFB">
        <w:rPr>
          <w:rFonts w:ascii="Book Antiqua" w:hAnsi="Book Antiqua" w:cs="Times New Roman"/>
        </w:rPr>
        <w:t>oal in calprotectin monitoring.</w:t>
      </w:r>
    </w:p>
    <w:p w14:paraId="6BA941D7" w14:textId="4CEFC2FB" w:rsidR="00CB07D8" w:rsidRPr="00C43CFB" w:rsidRDefault="00173175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 xml:space="preserve">We also found that </w:t>
      </w:r>
      <w:r w:rsidR="008B46F1" w:rsidRPr="00C43CFB">
        <w:rPr>
          <w:rFonts w:ascii="Book Antiqua" w:hAnsi="Book Antiqua" w:cs="Times New Roman"/>
        </w:rPr>
        <w:t xml:space="preserve">values of the POC </w:t>
      </w:r>
      <w:r w:rsidRPr="00C43CFB">
        <w:rPr>
          <w:rFonts w:ascii="Book Antiqua" w:hAnsi="Book Antiqua" w:cs="Times New Roman"/>
        </w:rPr>
        <w:t>test</w:t>
      </w:r>
      <w:r w:rsidR="008B46F1" w:rsidRPr="00C43CFB">
        <w:rPr>
          <w:rFonts w:ascii="Book Antiqua" w:hAnsi="Book Antiqua" w:cs="Times New Roman"/>
        </w:rPr>
        <w:t xml:space="preserve"> were overall higher than the values obtained from ELISA,</w:t>
      </w:r>
      <w:r w:rsidRPr="00C43CFB">
        <w:rPr>
          <w:rFonts w:ascii="Book Antiqua" w:hAnsi="Book Antiqua" w:cs="Times New Roman"/>
        </w:rPr>
        <w:t xml:space="preserve"> </w:t>
      </w:r>
      <w:r w:rsidR="009D0D2A" w:rsidRPr="00C43CFB">
        <w:rPr>
          <w:rFonts w:ascii="Book Antiqua" w:hAnsi="Book Antiqua" w:cs="Times New Roman"/>
        </w:rPr>
        <w:t>although</w:t>
      </w:r>
      <w:r w:rsidR="008B46F1" w:rsidRPr="00C43CFB">
        <w:rPr>
          <w:rFonts w:ascii="Book Antiqua" w:hAnsi="Book Antiqua" w:cs="Times New Roman"/>
        </w:rPr>
        <w:t xml:space="preserve"> the Pitman’s tests indicate that this difference </w:t>
      </w:r>
      <w:r w:rsidRPr="00C43CFB">
        <w:rPr>
          <w:rFonts w:ascii="Book Antiqua" w:hAnsi="Book Antiqua" w:cs="Times New Roman"/>
        </w:rPr>
        <w:t>was</w:t>
      </w:r>
      <w:r w:rsidR="008B46F1" w:rsidRPr="00C43CFB">
        <w:rPr>
          <w:rFonts w:ascii="Book Antiqua" w:hAnsi="Book Antiqua" w:cs="Times New Roman"/>
        </w:rPr>
        <w:t xml:space="preserve"> not statistically significant. </w:t>
      </w:r>
      <w:r w:rsidR="00CB07D8" w:rsidRPr="00C43CFB">
        <w:rPr>
          <w:rFonts w:ascii="Book Antiqua" w:hAnsi="Book Antiqua" w:cs="Times New Roman"/>
        </w:rPr>
        <w:t>Several</w:t>
      </w:r>
      <w:r w:rsidR="00176DD7" w:rsidRPr="00C43CFB">
        <w:rPr>
          <w:rFonts w:ascii="Book Antiqua" w:hAnsi="Book Antiqua" w:cs="Times New Roman"/>
        </w:rPr>
        <w:t xml:space="preserve"> previous studies from Europe and Asia demonstrate excellent correlation of a rapid assay similar to the one used in this study to </w:t>
      </w:r>
      <w:proofErr w:type="gramStart"/>
      <w:r w:rsidR="00176DD7" w:rsidRPr="00C43CFB">
        <w:rPr>
          <w:rFonts w:ascii="Book Antiqua" w:hAnsi="Book Antiqua" w:cs="Times New Roman"/>
        </w:rPr>
        <w:t>ELISA</w:t>
      </w:r>
      <w:r w:rsidR="00F822E2" w:rsidRPr="00C43CFB">
        <w:rPr>
          <w:rFonts w:ascii="Book Antiqua" w:hAnsi="Book Antiqua" w:cs="Times New Roman"/>
          <w:vertAlign w:val="superscript"/>
        </w:rPr>
        <w:t>[</w:t>
      </w:r>
      <w:proofErr w:type="gramEnd"/>
      <w:r w:rsidR="00DE73D8" w:rsidRPr="00C43CFB">
        <w:rPr>
          <w:rFonts w:ascii="Book Antiqua" w:hAnsi="Book Antiqua" w:cs="Times New Roman"/>
          <w:vertAlign w:val="superscript"/>
        </w:rPr>
        <w:t>8</w:t>
      </w:r>
      <w:r w:rsidR="00F822E2" w:rsidRPr="00C43CFB">
        <w:rPr>
          <w:rFonts w:ascii="Book Antiqua" w:hAnsi="Book Antiqua" w:cs="Times New Roman"/>
          <w:vertAlign w:val="superscript"/>
        </w:rPr>
        <w:t>,11]</w:t>
      </w:r>
      <w:r w:rsidR="00176DD7" w:rsidRPr="00C43CFB">
        <w:rPr>
          <w:rFonts w:ascii="Book Antiqua" w:hAnsi="Book Antiqua" w:cs="Times New Roman"/>
        </w:rPr>
        <w:t xml:space="preserve">, but </w:t>
      </w:r>
      <w:r w:rsidR="00CB07D8" w:rsidRPr="00C43CFB">
        <w:rPr>
          <w:rFonts w:ascii="Book Antiqua" w:hAnsi="Book Antiqua" w:cs="Times New Roman"/>
        </w:rPr>
        <w:t>they do not</w:t>
      </w:r>
      <w:r w:rsidR="00176DD7" w:rsidRPr="00C43CFB">
        <w:rPr>
          <w:rFonts w:ascii="Book Antiqua" w:hAnsi="Book Antiqua" w:cs="Times New Roman"/>
        </w:rPr>
        <w:t xml:space="preserve"> showcase the differential strength of correlation at low v</w:t>
      </w:r>
      <w:r w:rsidR="00F822E2" w:rsidRPr="00C43CFB">
        <w:rPr>
          <w:rFonts w:ascii="Book Antiqua" w:hAnsi="Book Antiqua" w:cs="Times New Roman"/>
        </w:rPr>
        <w:t>ersus high calprotectin levels.</w:t>
      </w:r>
    </w:p>
    <w:p w14:paraId="0524BFE0" w14:textId="2486EC86" w:rsidR="00CF187B" w:rsidRPr="00C43CFB" w:rsidRDefault="00CF187B" w:rsidP="00F822E2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In summary, we present the first correlation study of rapid POC calprotectin testing in a pediatric IBD cohort in the U</w:t>
      </w:r>
      <w:r w:rsidR="00DE73D8" w:rsidRPr="00C43CFB">
        <w:rPr>
          <w:rFonts w:ascii="Book Antiqua" w:hAnsi="Book Antiqua" w:cs="Times New Roman"/>
        </w:rPr>
        <w:t>nited States</w:t>
      </w:r>
      <w:r w:rsidRPr="00C43CFB">
        <w:rPr>
          <w:rFonts w:ascii="Book Antiqua" w:hAnsi="Book Antiqua" w:cs="Times New Roman"/>
        </w:rPr>
        <w:t xml:space="preserve">. Unlike </w:t>
      </w:r>
      <w:r w:rsidR="002E0735" w:rsidRPr="00C43CFB">
        <w:rPr>
          <w:rFonts w:ascii="Book Antiqua" w:hAnsi="Book Antiqua" w:cs="Times New Roman"/>
        </w:rPr>
        <w:t xml:space="preserve">the </w:t>
      </w:r>
      <w:r w:rsidRPr="00C43CFB">
        <w:rPr>
          <w:rFonts w:ascii="Book Antiqua" w:hAnsi="Book Antiqua" w:cs="Times New Roman"/>
        </w:rPr>
        <w:t xml:space="preserve">conventional send-out ELISA which typically </w:t>
      </w:r>
      <w:r w:rsidR="002E0735" w:rsidRPr="00C43CFB">
        <w:rPr>
          <w:rFonts w:ascii="Book Antiqua" w:hAnsi="Book Antiqua" w:cs="Times New Roman"/>
        </w:rPr>
        <w:t>takes 10-14 d</w:t>
      </w:r>
      <w:r w:rsidR="00DE73D8" w:rsidRPr="00C43CFB">
        <w:rPr>
          <w:rFonts w:ascii="Book Antiqua" w:hAnsi="Book Antiqua" w:cs="Times New Roman"/>
        </w:rPr>
        <w:t xml:space="preserve"> </w:t>
      </w:r>
      <w:r w:rsidR="002E0735" w:rsidRPr="00C43CFB">
        <w:rPr>
          <w:rFonts w:ascii="Book Antiqua" w:hAnsi="Book Antiqua" w:cs="Times New Roman"/>
        </w:rPr>
        <w:t>to result, the future clinical use of POC calprotectin</w:t>
      </w:r>
      <w:r w:rsidRPr="00C43CFB">
        <w:rPr>
          <w:rFonts w:ascii="Book Antiqua" w:hAnsi="Book Antiqua" w:cs="Times New Roman"/>
        </w:rPr>
        <w:t xml:space="preserve"> could improve the utility in</w:t>
      </w:r>
      <w:r w:rsidR="002E0735" w:rsidRPr="00C43CFB">
        <w:rPr>
          <w:rFonts w:ascii="Book Antiqua" w:hAnsi="Book Antiqua" w:cs="Times New Roman"/>
        </w:rPr>
        <w:t xml:space="preserve"> the decision-making process if levels</w:t>
      </w:r>
      <w:r w:rsidRPr="00C43CFB">
        <w:rPr>
          <w:rFonts w:ascii="Book Antiqua" w:hAnsi="Book Antiqua" w:cs="Times New Roman"/>
        </w:rPr>
        <w:t xml:space="preserve"> were available at or near the time of actual care. </w:t>
      </w:r>
    </w:p>
    <w:p w14:paraId="04199192" w14:textId="77777777" w:rsidR="00CF187B" w:rsidRPr="00C43CFB" w:rsidRDefault="00CF187B" w:rsidP="00B1677F">
      <w:pPr>
        <w:spacing w:line="360" w:lineRule="auto"/>
        <w:jc w:val="both"/>
        <w:rPr>
          <w:rFonts w:ascii="Book Antiqua" w:hAnsi="Book Antiqua" w:cs="Times New Roman"/>
        </w:rPr>
      </w:pPr>
    </w:p>
    <w:p w14:paraId="716CB270" w14:textId="77777777" w:rsidR="003B7029" w:rsidRPr="00C43CFB" w:rsidRDefault="003B7029" w:rsidP="003B7029">
      <w:pPr>
        <w:snapToGrid w:val="0"/>
        <w:spacing w:line="360" w:lineRule="auto"/>
        <w:jc w:val="both"/>
        <w:rPr>
          <w:rFonts w:ascii="Book Antiqua" w:hAnsi="Book Antiqua"/>
          <w:i/>
        </w:rPr>
      </w:pPr>
      <w:bookmarkStart w:id="73" w:name="OLE_LINK677"/>
      <w:bookmarkStart w:id="74" w:name="OLE_LINK678"/>
      <w:bookmarkStart w:id="75" w:name="OLE_LINK733"/>
      <w:bookmarkStart w:id="76" w:name="OLE_LINK861"/>
      <w:bookmarkStart w:id="77" w:name="OLE_LINK937"/>
      <w:bookmarkStart w:id="78" w:name="OLE_LINK961"/>
      <w:r w:rsidRPr="00C43CFB">
        <w:rPr>
          <w:rFonts w:ascii="Book Antiqua" w:hAnsi="Book Antiqua" w:hint="eastAsia"/>
          <w:i/>
        </w:rPr>
        <w:t>COMMENTS</w:t>
      </w:r>
    </w:p>
    <w:p w14:paraId="720669F8" w14:textId="77777777" w:rsidR="003B7029" w:rsidRPr="00C43CFB" w:rsidRDefault="003B7029" w:rsidP="003B702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sz w:val="23"/>
          <w:szCs w:val="23"/>
        </w:rPr>
      </w:pPr>
      <w:bookmarkStart w:id="79" w:name="OLE_LINK729"/>
      <w:bookmarkStart w:id="80" w:name="OLE_LINK730"/>
      <w:r w:rsidRPr="00C43CFB">
        <w:rPr>
          <w:rFonts w:ascii="Book Antiqua" w:hAnsi="Book Antiqua" w:cs="Book Antiqua"/>
          <w:b/>
          <w:i/>
          <w:iCs/>
          <w:sz w:val="23"/>
          <w:szCs w:val="23"/>
        </w:rPr>
        <w:t>Background</w:t>
      </w:r>
    </w:p>
    <w:p w14:paraId="7B1C55E3" w14:textId="75A54B45" w:rsidR="003B7029" w:rsidRPr="00C43CFB" w:rsidRDefault="005B6802" w:rsidP="003B702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iCs/>
          <w:sz w:val="23"/>
          <w:szCs w:val="23"/>
        </w:rPr>
      </w:pPr>
      <w:r w:rsidRPr="00C43CFB">
        <w:rPr>
          <w:rFonts w:ascii="Book Antiqua" w:hAnsi="Book Antiqua" w:cs="Book Antiqua"/>
          <w:iCs/>
          <w:sz w:val="23"/>
          <w:szCs w:val="23"/>
        </w:rPr>
        <w:t>Rapid fecal calprotectin</w:t>
      </w:r>
      <w:r w:rsidR="00C43CFB" w:rsidRPr="00C43CFB">
        <w:rPr>
          <w:rFonts w:ascii="Book Antiqua" w:eastAsia="宋体" w:hAnsi="Book Antiqua" w:cs="Book Antiqua" w:hint="eastAsia"/>
          <w:iCs/>
          <w:sz w:val="23"/>
          <w:szCs w:val="23"/>
          <w:lang w:eastAsia="zh-CN"/>
        </w:rPr>
        <w:t xml:space="preserve"> </w:t>
      </w:r>
      <w:r w:rsidRPr="00C43CFB">
        <w:rPr>
          <w:rFonts w:ascii="Book Antiqua" w:hAnsi="Book Antiqua" w:cs="Book Antiqua"/>
          <w:iCs/>
          <w:sz w:val="23"/>
          <w:szCs w:val="23"/>
        </w:rPr>
        <w:t>(FC) assays are useful for point-of-care decision making in inflammatory bowel disease (IBD), particularly in children. Within-patient correlation data between send-out and rapid point-of-care FC tests are incomplete</w:t>
      </w:r>
      <w:r w:rsidR="003600F8" w:rsidRPr="00C43CFB">
        <w:rPr>
          <w:rFonts w:ascii="Book Antiqua" w:hAnsi="Book Antiqua" w:cs="Book Antiqua"/>
          <w:iCs/>
          <w:sz w:val="23"/>
          <w:szCs w:val="23"/>
        </w:rPr>
        <w:t xml:space="preserve"> in pediatric IBD</w:t>
      </w:r>
      <w:r w:rsidRPr="00C43CFB">
        <w:rPr>
          <w:rFonts w:ascii="Book Antiqua" w:hAnsi="Book Antiqua" w:cs="Book Antiqua"/>
          <w:iCs/>
          <w:sz w:val="23"/>
          <w:szCs w:val="23"/>
        </w:rPr>
        <w:t xml:space="preserve">. </w:t>
      </w:r>
    </w:p>
    <w:p w14:paraId="64DDB6CF" w14:textId="77777777" w:rsidR="006F531B" w:rsidRPr="00C43CFB" w:rsidRDefault="006F531B" w:rsidP="003B702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i/>
          <w:iCs/>
          <w:sz w:val="23"/>
          <w:szCs w:val="23"/>
        </w:rPr>
      </w:pPr>
    </w:p>
    <w:p w14:paraId="0917DCFB" w14:textId="77777777" w:rsidR="003B7029" w:rsidRPr="00C43CFB" w:rsidRDefault="003B7029" w:rsidP="003B702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sz w:val="23"/>
          <w:szCs w:val="23"/>
        </w:rPr>
      </w:pPr>
      <w:r w:rsidRPr="00C43CFB">
        <w:rPr>
          <w:rFonts w:ascii="Book Antiqua" w:hAnsi="Book Antiqua" w:cs="Book Antiqua"/>
          <w:b/>
          <w:i/>
          <w:iCs/>
          <w:sz w:val="23"/>
          <w:szCs w:val="23"/>
        </w:rPr>
        <w:t>Research frontiers</w:t>
      </w:r>
    </w:p>
    <w:p w14:paraId="1C5EDE4B" w14:textId="5F162189" w:rsidR="003600F8" w:rsidRPr="00C43CFB" w:rsidRDefault="005B6802" w:rsidP="003600F8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</w:pPr>
      <w:r w:rsidRPr="00C43CFB">
        <w:rPr>
          <w:rFonts w:ascii="Book Antiqua" w:hAnsi="Book Antiqua" w:cs="Book Antiqua"/>
          <w:color w:val="auto"/>
          <w:sz w:val="23"/>
          <w:szCs w:val="23"/>
        </w:rPr>
        <w:lastRenderedPageBreak/>
        <w:t xml:space="preserve">Repeated measurements of low FC </w:t>
      </w:r>
      <w:r w:rsidR="003600F8" w:rsidRPr="00C43CFB">
        <w:rPr>
          <w:rFonts w:ascii="Book Antiqua" w:hAnsi="Book Antiqua" w:cs="Book Antiqua"/>
          <w:color w:val="auto"/>
          <w:sz w:val="23"/>
          <w:szCs w:val="23"/>
        </w:rPr>
        <w:t xml:space="preserve">in patients with IBD are associated with endoscopic remission, although more data are necessary to confirm optimal cut-off levels for different patients with various IBD subtypes. </w:t>
      </w:r>
      <w:r w:rsidR="003600F8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A target range of ≤ 250 μg/g is often used in clinical practice. </w:t>
      </w:r>
    </w:p>
    <w:p w14:paraId="738531DE" w14:textId="5C895A6D" w:rsidR="003B7029" w:rsidRPr="00C43CFB" w:rsidRDefault="003B7029" w:rsidP="003B702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i/>
          <w:sz w:val="23"/>
          <w:szCs w:val="23"/>
        </w:rPr>
      </w:pPr>
    </w:p>
    <w:p w14:paraId="57D703B0" w14:textId="77777777" w:rsidR="003B7029" w:rsidRPr="00C43CFB" w:rsidRDefault="003B7029" w:rsidP="003B7029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sz w:val="23"/>
          <w:szCs w:val="23"/>
        </w:rPr>
      </w:pPr>
      <w:r w:rsidRPr="00C43CFB">
        <w:rPr>
          <w:rFonts w:ascii="Book Antiqua" w:hAnsi="Book Antiqua" w:cs="Book Antiqua"/>
          <w:b/>
          <w:i/>
          <w:iCs/>
          <w:sz w:val="23"/>
          <w:szCs w:val="23"/>
        </w:rPr>
        <w:t>Innovations and breakthrough</w:t>
      </w:r>
    </w:p>
    <w:p w14:paraId="09FF85FC" w14:textId="6AD68631" w:rsidR="003600F8" w:rsidRPr="00C43CFB" w:rsidRDefault="00C43CFB" w:rsidP="003600F8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</w:pPr>
      <w:r w:rsidRPr="00C43CFB">
        <w:rPr>
          <w:rFonts w:ascii="Book Antiqua" w:hAnsi="Book Antiqua" w:cs="Times New Roman" w:hint="eastAsia"/>
          <w:color w:val="auto"/>
          <w:sz w:val="24"/>
          <w:highlight w:val="white"/>
          <w:lang w:val="en-US" w:eastAsia="zh-CN"/>
        </w:rPr>
        <w:t xml:space="preserve">This </w:t>
      </w:r>
      <w:r w:rsidR="003600F8" w:rsidRPr="00C43CFB">
        <w:rPr>
          <w:rFonts w:ascii="Book Antiqua" w:hAnsi="Book Antiqua" w:cs="Times New Roman"/>
          <w:color w:val="auto"/>
          <w:sz w:val="24"/>
          <w:highlight w:val="white"/>
          <w:lang w:val="en-US" w:eastAsia="zh-CN"/>
        </w:rPr>
        <w:t xml:space="preserve">study confirms good correlation between the send-out and rapid point-of-care FC tests at the clinically-meaningful target range (≤ 250 μg/g) associated with endoscopic remission. </w:t>
      </w:r>
    </w:p>
    <w:p w14:paraId="6EB56275" w14:textId="77777777" w:rsidR="003B7029" w:rsidRPr="00C43CFB" w:rsidRDefault="003B7029" w:rsidP="003B7029">
      <w:pPr>
        <w:snapToGrid w:val="0"/>
        <w:spacing w:line="360" w:lineRule="auto"/>
        <w:jc w:val="both"/>
        <w:rPr>
          <w:rFonts w:ascii="Book Antiqua" w:hAnsi="Book Antiqua" w:cs="Book Antiqua"/>
          <w:i/>
          <w:sz w:val="23"/>
          <w:szCs w:val="23"/>
        </w:rPr>
      </w:pPr>
    </w:p>
    <w:p w14:paraId="3F8F1572" w14:textId="77777777" w:rsidR="003B7029" w:rsidRPr="00C43CFB" w:rsidRDefault="003B7029" w:rsidP="003B7029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sz w:val="23"/>
          <w:szCs w:val="23"/>
        </w:rPr>
      </w:pPr>
      <w:r w:rsidRPr="00C43CFB">
        <w:rPr>
          <w:rFonts w:ascii="Book Antiqua" w:hAnsi="Book Antiqua" w:cs="Book Antiqua"/>
          <w:b/>
          <w:i/>
          <w:iCs/>
          <w:sz w:val="23"/>
          <w:szCs w:val="23"/>
        </w:rPr>
        <w:t>Applications</w:t>
      </w:r>
    </w:p>
    <w:p w14:paraId="6F368277" w14:textId="01CB0725" w:rsidR="003B7029" w:rsidRPr="00C43CFB" w:rsidRDefault="006F531B" w:rsidP="003B7029">
      <w:pPr>
        <w:snapToGrid w:val="0"/>
        <w:spacing w:line="360" w:lineRule="auto"/>
        <w:jc w:val="both"/>
        <w:rPr>
          <w:rFonts w:ascii="Book Antiqua" w:hAnsi="Book Antiqua" w:cs="Book Antiqua"/>
          <w:iCs/>
          <w:sz w:val="23"/>
          <w:szCs w:val="23"/>
        </w:rPr>
      </w:pPr>
      <w:r w:rsidRPr="00C43CFB">
        <w:rPr>
          <w:rFonts w:ascii="Book Antiqua" w:hAnsi="Book Antiqua" w:cs="Book Antiqua"/>
          <w:iCs/>
          <w:sz w:val="23"/>
          <w:szCs w:val="23"/>
        </w:rPr>
        <w:t xml:space="preserve">Ensuring low levels of FC using the </w:t>
      </w:r>
      <w:r w:rsidR="003600F8" w:rsidRPr="00C43CFB">
        <w:rPr>
          <w:rFonts w:ascii="Book Antiqua" w:hAnsi="Book Antiqua" w:cs="Book Antiqua"/>
          <w:iCs/>
          <w:sz w:val="23"/>
          <w:szCs w:val="23"/>
        </w:rPr>
        <w:t>rapid point-of-care</w:t>
      </w:r>
      <w:r w:rsidRPr="00C43CFB">
        <w:rPr>
          <w:rFonts w:ascii="Book Antiqua" w:hAnsi="Book Antiqua" w:cs="Book Antiqua"/>
          <w:iCs/>
          <w:sz w:val="23"/>
          <w:szCs w:val="23"/>
        </w:rPr>
        <w:t xml:space="preserve"> FC</w:t>
      </w:r>
      <w:r w:rsidR="003600F8" w:rsidRPr="00C43CFB">
        <w:rPr>
          <w:rFonts w:ascii="Book Antiqua" w:hAnsi="Book Antiqua" w:cs="Book Antiqua"/>
          <w:iCs/>
          <w:sz w:val="23"/>
          <w:szCs w:val="23"/>
        </w:rPr>
        <w:t xml:space="preserve"> </w:t>
      </w:r>
      <w:r w:rsidRPr="00C43CFB">
        <w:rPr>
          <w:rFonts w:ascii="Book Antiqua" w:hAnsi="Book Antiqua" w:cs="Book Antiqua"/>
          <w:iCs/>
          <w:sz w:val="23"/>
          <w:szCs w:val="23"/>
        </w:rPr>
        <w:t>assay</w:t>
      </w:r>
      <w:r w:rsidR="003600F8" w:rsidRPr="00C43CFB">
        <w:rPr>
          <w:rFonts w:ascii="Book Antiqua" w:hAnsi="Book Antiqua" w:cs="Book Antiqua"/>
          <w:iCs/>
          <w:sz w:val="23"/>
          <w:szCs w:val="23"/>
        </w:rPr>
        <w:t xml:space="preserve"> in children affected by IBD appear to be reliable and </w:t>
      </w:r>
      <w:r w:rsidRPr="00C43CFB">
        <w:rPr>
          <w:rFonts w:ascii="Book Antiqua" w:hAnsi="Book Antiqua" w:cs="Book Antiqua"/>
          <w:iCs/>
          <w:sz w:val="23"/>
          <w:szCs w:val="23"/>
        </w:rPr>
        <w:t xml:space="preserve">useful in clinical practice. </w:t>
      </w:r>
    </w:p>
    <w:p w14:paraId="130EB12E" w14:textId="77777777" w:rsidR="003B7029" w:rsidRPr="00C43CFB" w:rsidRDefault="003B7029" w:rsidP="003B7029">
      <w:pPr>
        <w:snapToGrid w:val="0"/>
        <w:spacing w:line="360" w:lineRule="auto"/>
        <w:jc w:val="both"/>
        <w:rPr>
          <w:rFonts w:ascii="Book Antiqua" w:hAnsi="Book Antiqua" w:cs="Book Antiqua"/>
          <w:b/>
          <w:i/>
          <w:iCs/>
          <w:sz w:val="23"/>
          <w:szCs w:val="23"/>
        </w:rPr>
      </w:pPr>
    </w:p>
    <w:p w14:paraId="6BBEFB28" w14:textId="35AFEF4E" w:rsidR="003B7029" w:rsidRPr="00C43CFB" w:rsidRDefault="003B7029" w:rsidP="003B7029">
      <w:pPr>
        <w:spacing w:line="360" w:lineRule="auto"/>
        <w:jc w:val="both"/>
        <w:rPr>
          <w:rFonts w:ascii="Book Antiqua" w:hAnsi="Book Antiqua" w:cs="Book Antiqua"/>
          <w:b/>
          <w:i/>
          <w:iCs/>
          <w:sz w:val="23"/>
          <w:szCs w:val="23"/>
        </w:rPr>
      </w:pPr>
      <w:r w:rsidRPr="00C43CFB">
        <w:rPr>
          <w:rFonts w:ascii="Book Antiqua" w:hAnsi="Book Antiqua" w:cs="Book Antiqua" w:hint="eastAsia"/>
          <w:b/>
          <w:i/>
          <w:iCs/>
          <w:sz w:val="23"/>
          <w:szCs w:val="23"/>
        </w:rPr>
        <w:t>Peer-review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69AE0AE7" w14:textId="7A133458" w:rsidR="003B7029" w:rsidRPr="00C43CFB" w:rsidRDefault="003B7029" w:rsidP="003B7029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t>This is a well done prospective study about the comparison of two types of fecal calprotectin diagnostic methods as possible markers for assessment the pediatric IBD disease severity.</w:t>
      </w:r>
    </w:p>
    <w:p w14:paraId="54E8471C" w14:textId="6DFCCF11" w:rsidR="001F03C5" w:rsidRPr="00C43CFB" w:rsidRDefault="001F03C5">
      <w:pPr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br w:type="page"/>
      </w:r>
    </w:p>
    <w:p w14:paraId="2D2BBCD2" w14:textId="77777777" w:rsidR="001F03C5" w:rsidRPr="00C43CFB" w:rsidRDefault="001F03C5" w:rsidP="001F03C5">
      <w:pPr>
        <w:spacing w:line="360" w:lineRule="auto"/>
        <w:jc w:val="both"/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lastRenderedPageBreak/>
        <w:t>REFERENCES</w:t>
      </w:r>
    </w:p>
    <w:p w14:paraId="01F7912B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1 </w:t>
      </w:r>
      <w:proofErr w:type="spellStart"/>
      <w:r w:rsidRPr="00C43CFB">
        <w:rPr>
          <w:rFonts w:ascii="Book Antiqua" w:eastAsia="宋体" w:hAnsi="Book Antiqua" w:cs="宋体"/>
          <w:b/>
          <w:bCs/>
          <w:lang w:eastAsia="zh-CN"/>
        </w:rPr>
        <w:t>Canani</w:t>
      </w:r>
      <w:proofErr w:type="spellEnd"/>
      <w:r w:rsidRPr="00C43CFB">
        <w:rPr>
          <w:rFonts w:ascii="Book Antiqua" w:eastAsia="宋体" w:hAnsi="Book Antiqua" w:cs="宋体"/>
          <w:b/>
          <w:bCs/>
          <w:lang w:eastAsia="zh-CN"/>
        </w:rPr>
        <w:t xml:space="preserve"> RB</w:t>
      </w:r>
      <w:r w:rsidRPr="00C43CFB">
        <w:rPr>
          <w:rFonts w:ascii="Book Antiqua" w:eastAsia="宋体" w:hAnsi="Book Antiqua" w:cs="宋体"/>
          <w:lang w:eastAsia="zh-CN"/>
        </w:rPr>
        <w:t xml:space="preserve">, de Horatio LT,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Terrin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G, Romano MT, Miele E,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Staiano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Rapacciuolo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Polito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Bisesti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Manguso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Vallone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G, Sodano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Troncone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R. Combined use of noninvasive tests is useful in the initial diagnostic approach to a child with suspected inflammatory bowel disease. </w:t>
      </w:r>
      <w:r w:rsidRPr="00C43CFB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 w:rsidRPr="00C43CFB">
        <w:rPr>
          <w:rFonts w:ascii="Book Antiqua" w:eastAsia="宋体" w:hAnsi="Book Antiqua" w:cs="宋体"/>
          <w:lang w:eastAsia="zh-CN"/>
        </w:rPr>
        <w:t> 2006; </w:t>
      </w:r>
      <w:r w:rsidRPr="00C43CFB">
        <w:rPr>
          <w:rFonts w:ascii="Book Antiqua" w:eastAsia="宋体" w:hAnsi="Book Antiqua" w:cs="宋体"/>
          <w:b/>
          <w:bCs/>
          <w:lang w:eastAsia="zh-CN"/>
        </w:rPr>
        <w:t>42</w:t>
      </w:r>
      <w:r w:rsidRPr="00C43CFB">
        <w:rPr>
          <w:rFonts w:ascii="Book Antiqua" w:eastAsia="宋体" w:hAnsi="Book Antiqua" w:cs="宋体"/>
          <w:lang w:eastAsia="zh-CN"/>
        </w:rPr>
        <w:t>: 9-15 [PMID: 16385247 DOI: 10.1097/01.mpg.0000187818.76954.9a]</w:t>
      </w:r>
    </w:p>
    <w:p w14:paraId="1188E009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2 </w:t>
      </w:r>
      <w:proofErr w:type="spellStart"/>
      <w:r w:rsidRPr="00C43CFB">
        <w:rPr>
          <w:rFonts w:ascii="Book Antiqua" w:eastAsia="宋体" w:hAnsi="Book Antiqua" w:cs="宋体"/>
          <w:b/>
          <w:bCs/>
          <w:lang w:eastAsia="zh-CN"/>
        </w:rPr>
        <w:t>Coorevits</w:t>
      </w:r>
      <w:proofErr w:type="spellEnd"/>
      <w:r w:rsidRPr="00C43CFB">
        <w:rPr>
          <w:rFonts w:ascii="Book Antiqua" w:eastAsia="宋体" w:hAnsi="Book Antiqua" w:cs="宋体"/>
          <w:b/>
          <w:bCs/>
          <w:lang w:eastAsia="zh-CN"/>
        </w:rPr>
        <w:t xml:space="preserve"> L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Baert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FJ,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Vanpoucke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HJ.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Faecal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calprotectin: comparative study of the Quantum Blue rapid test and an established ELISA method. 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Chem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Lab Med</w:t>
      </w:r>
      <w:r w:rsidRPr="00C43CFB">
        <w:rPr>
          <w:rFonts w:ascii="Book Antiqua" w:eastAsia="宋体" w:hAnsi="Book Antiqua" w:cs="宋体"/>
          <w:lang w:eastAsia="zh-CN"/>
        </w:rPr>
        <w:t> 2013; </w:t>
      </w:r>
      <w:r w:rsidRPr="00C43CFB">
        <w:rPr>
          <w:rFonts w:ascii="Book Antiqua" w:eastAsia="宋体" w:hAnsi="Book Antiqua" w:cs="宋体"/>
          <w:b/>
          <w:bCs/>
          <w:lang w:eastAsia="zh-CN"/>
        </w:rPr>
        <w:t>51</w:t>
      </w:r>
      <w:r w:rsidRPr="00C43CFB">
        <w:rPr>
          <w:rFonts w:ascii="Book Antiqua" w:eastAsia="宋体" w:hAnsi="Book Antiqua" w:cs="宋体"/>
          <w:lang w:eastAsia="zh-CN"/>
        </w:rPr>
        <w:t>: 825-831 [PMID: 23001318 DOI: 10.1515/cclm-2012-0386]</w:t>
      </w:r>
    </w:p>
    <w:p w14:paraId="4B0782B4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3 </w:t>
      </w:r>
      <w:proofErr w:type="spellStart"/>
      <w:r w:rsidRPr="00C43CFB">
        <w:rPr>
          <w:rFonts w:ascii="Book Antiqua" w:eastAsia="宋体" w:hAnsi="Book Antiqua" w:cs="宋体"/>
          <w:b/>
          <w:bCs/>
          <w:lang w:eastAsia="zh-CN"/>
        </w:rPr>
        <w:t>Sydora</w:t>
      </w:r>
      <w:proofErr w:type="spellEnd"/>
      <w:r w:rsidRPr="00C43CFB">
        <w:rPr>
          <w:rFonts w:ascii="Book Antiqua" w:eastAsia="宋体" w:hAnsi="Book Antiqua" w:cs="宋体"/>
          <w:b/>
          <w:bCs/>
          <w:lang w:eastAsia="zh-CN"/>
        </w:rPr>
        <w:t xml:space="preserve"> MJ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Sydora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BC,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Fedorak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RN. Validation of a point-of-care </w:t>
      </w:r>
      <w:proofErr w:type="gramStart"/>
      <w:r w:rsidRPr="00C43CFB">
        <w:rPr>
          <w:rFonts w:ascii="Book Antiqua" w:eastAsia="宋体" w:hAnsi="Book Antiqua" w:cs="宋体"/>
          <w:lang w:eastAsia="zh-CN"/>
        </w:rPr>
        <w:t>desk top</w:t>
      </w:r>
      <w:proofErr w:type="gramEnd"/>
      <w:r w:rsidRPr="00C43CFB">
        <w:rPr>
          <w:rFonts w:ascii="Book Antiqua" w:eastAsia="宋体" w:hAnsi="Book Antiqua" w:cs="宋体"/>
          <w:lang w:eastAsia="zh-CN"/>
        </w:rPr>
        <w:t xml:space="preserve"> device to quantitate fecal calprotectin and distinguish inflammatory bowel disease from irritable bowel syndrome. </w:t>
      </w:r>
      <w:r w:rsidRPr="00C43CFB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Crohns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Colitis</w:t>
      </w:r>
      <w:r w:rsidRPr="00C43CFB">
        <w:rPr>
          <w:rFonts w:ascii="Book Antiqua" w:eastAsia="宋体" w:hAnsi="Book Antiqua" w:cs="宋体"/>
          <w:lang w:eastAsia="zh-CN"/>
        </w:rPr>
        <w:t> 2012; </w:t>
      </w:r>
      <w:r w:rsidRPr="00C43CFB">
        <w:rPr>
          <w:rFonts w:ascii="Book Antiqua" w:eastAsia="宋体" w:hAnsi="Book Antiqua" w:cs="宋体"/>
          <w:b/>
          <w:bCs/>
          <w:lang w:eastAsia="zh-CN"/>
        </w:rPr>
        <w:t>6</w:t>
      </w:r>
      <w:r w:rsidRPr="00C43CFB">
        <w:rPr>
          <w:rFonts w:ascii="Book Antiqua" w:eastAsia="宋体" w:hAnsi="Book Antiqua" w:cs="宋体"/>
          <w:lang w:eastAsia="zh-CN"/>
        </w:rPr>
        <w:t>: 207-214 [PMID: 22325175 DOI: 10.1016/j.crohns.2011.08.008]</w:t>
      </w:r>
    </w:p>
    <w:p w14:paraId="7A2DFE2A" w14:textId="62128AAE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4 </w:t>
      </w:r>
      <w:proofErr w:type="spellStart"/>
      <w:r w:rsidRPr="00C43CFB">
        <w:rPr>
          <w:rFonts w:ascii="Book Antiqua" w:eastAsia="宋体" w:hAnsi="Book Antiqua" w:cs="宋体"/>
          <w:b/>
          <w:bCs/>
          <w:lang w:eastAsia="zh-CN"/>
        </w:rPr>
        <w:t>Frøslie</w:t>
      </w:r>
      <w:proofErr w:type="spellEnd"/>
      <w:r w:rsidRPr="00C43CFB">
        <w:rPr>
          <w:rFonts w:ascii="Book Antiqua" w:eastAsia="宋体" w:hAnsi="Book Antiqua" w:cs="宋体"/>
          <w:b/>
          <w:bCs/>
          <w:lang w:eastAsia="zh-CN"/>
        </w:rPr>
        <w:t xml:space="preserve"> KF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Jahnsen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Moum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BA,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Vatn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MH. Mucosal healing in inflammatory bowel disease: results from a Norwegian population-based cohort.</w:t>
      </w:r>
      <w:r w:rsidR="003B7029" w:rsidRPr="00C43CFB">
        <w:rPr>
          <w:rFonts w:ascii="Book Antiqua" w:eastAsia="宋体" w:hAnsi="Book Antiqua" w:cs="宋体"/>
          <w:lang w:eastAsia="zh-CN"/>
        </w:rPr>
        <w:t xml:space="preserve"> </w:t>
      </w:r>
      <w:r w:rsidRPr="00C43CFB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="003B7029" w:rsidRPr="00C43CFB">
        <w:rPr>
          <w:rFonts w:ascii="Book Antiqua" w:eastAsia="宋体" w:hAnsi="Book Antiqua" w:cs="宋体"/>
          <w:lang w:eastAsia="zh-CN"/>
        </w:rPr>
        <w:t xml:space="preserve"> </w:t>
      </w:r>
      <w:r w:rsidRPr="00C43CFB">
        <w:rPr>
          <w:rFonts w:ascii="Book Antiqua" w:eastAsia="宋体" w:hAnsi="Book Antiqua" w:cs="宋体"/>
          <w:lang w:eastAsia="zh-CN"/>
        </w:rPr>
        <w:t>2007; </w:t>
      </w:r>
      <w:r w:rsidRPr="00C43CFB">
        <w:rPr>
          <w:rFonts w:ascii="Book Antiqua" w:eastAsia="宋体" w:hAnsi="Book Antiqua" w:cs="宋体"/>
          <w:b/>
          <w:bCs/>
          <w:lang w:eastAsia="zh-CN"/>
        </w:rPr>
        <w:t>133</w:t>
      </w:r>
      <w:r w:rsidRPr="00C43CFB">
        <w:rPr>
          <w:rFonts w:ascii="Book Antiqua" w:eastAsia="宋体" w:hAnsi="Book Antiqua" w:cs="宋体"/>
          <w:lang w:eastAsia="zh-CN"/>
        </w:rPr>
        <w:t>: 412-422 [PMID: 17681162 DOI: 10.1053/j.gastro.2007.05.051]</w:t>
      </w:r>
    </w:p>
    <w:p w14:paraId="517C9C19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5 </w:t>
      </w:r>
      <w:r w:rsidRPr="00C43CFB">
        <w:rPr>
          <w:rFonts w:ascii="Book Antiqua" w:eastAsia="宋体" w:hAnsi="Book Antiqua" w:cs="宋体"/>
          <w:b/>
          <w:bCs/>
          <w:lang w:eastAsia="zh-CN"/>
        </w:rPr>
        <w:t>Fagerberg UL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Lööf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Lindholm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J, Hansson LO,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Finkel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Y. Fecal calprotectin: a quantitative marker of colonic inflammation in children with inflammatory bowel disease. </w:t>
      </w:r>
      <w:r w:rsidRPr="00C43CFB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 w:rsidRPr="00C43CFB">
        <w:rPr>
          <w:rFonts w:ascii="Book Antiqua" w:eastAsia="宋体" w:hAnsi="Book Antiqua" w:cs="宋体"/>
          <w:lang w:eastAsia="zh-CN"/>
        </w:rPr>
        <w:t> 2007; </w:t>
      </w:r>
      <w:r w:rsidRPr="00C43CFB">
        <w:rPr>
          <w:rFonts w:ascii="Book Antiqua" w:eastAsia="宋体" w:hAnsi="Book Antiqua" w:cs="宋体"/>
          <w:b/>
          <w:bCs/>
          <w:lang w:eastAsia="zh-CN"/>
        </w:rPr>
        <w:t>45</w:t>
      </w:r>
      <w:r w:rsidRPr="00C43CFB">
        <w:rPr>
          <w:rFonts w:ascii="Book Antiqua" w:eastAsia="宋体" w:hAnsi="Book Antiqua" w:cs="宋体"/>
          <w:lang w:eastAsia="zh-CN"/>
        </w:rPr>
        <w:t>: 414-420 [PMID: 18030206 DOI: 10.1097/MPG.0b013e31810e75a9]</w:t>
      </w:r>
    </w:p>
    <w:p w14:paraId="347D5B40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6 </w:t>
      </w:r>
      <w:proofErr w:type="spellStart"/>
      <w:r w:rsidRPr="00C43CFB">
        <w:rPr>
          <w:rFonts w:ascii="Book Antiqua" w:eastAsia="宋体" w:hAnsi="Book Antiqua" w:cs="宋体"/>
          <w:b/>
          <w:bCs/>
          <w:lang w:eastAsia="zh-CN"/>
        </w:rPr>
        <w:t>Sipponen</w:t>
      </w:r>
      <w:proofErr w:type="spellEnd"/>
      <w:r w:rsidRPr="00C43CFB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Savilahti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Kärkkäinen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Kolho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KL,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Nuutinen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Turunen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U,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Färkkilä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M. Fecal calprotectin,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lactoferrin</w:t>
      </w:r>
      <w:proofErr w:type="spellEnd"/>
      <w:r w:rsidRPr="00C43CFB">
        <w:rPr>
          <w:rFonts w:ascii="Book Antiqua" w:eastAsia="宋体" w:hAnsi="Book Antiqua" w:cs="宋体"/>
          <w:lang w:eastAsia="zh-CN"/>
        </w:rPr>
        <w:t>, and endoscopic disease activity in monitoring anti-TNF-alpha therapy for Crohn's disease. 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Inflamm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Bowel Dis</w:t>
      </w:r>
      <w:r w:rsidRPr="00C43CFB">
        <w:rPr>
          <w:rFonts w:ascii="Book Antiqua" w:eastAsia="宋体" w:hAnsi="Book Antiqua" w:cs="宋体"/>
          <w:lang w:eastAsia="zh-CN"/>
        </w:rPr>
        <w:t> 2008; </w:t>
      </w:r>
      <w:r w:rsidRPr="00C43CFB">
        <w:rPr>
          <w:rFonts w:ascii="Book Antiqua" w:eastAsia="宋体" w:hAnsi="Book Antiqua" w:cs="宋体"/>
          <w:b/>
          <w:bCs/>
          <w:lang w:eastAsia="zh-CN"/>
        </w:rPr>
        <w:t>14</w:t>
      </w:r>
      <w:r w:rsidRPr="00C43CFB">
        <w:rPr>
          <w:rFonts w:ascii="Book Antiqua" w:eastAsia="宋体" w:hAnsi="Book Antiqua" w:cs="宋体"/>
          <w:lang w:eastAsia="zh-CN"/>
        </w:rPr>
        <w:t>: 1392-1398 [PMID: 18484671 DOI: 10.1002/ibd.20490]</w:t>
      </w:r>
    </w:p>
    <w:p w14:paraId="48227CDE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7 </w:t>
      </w:r>
      <w:r w:rsidRPr="00C43CFB">
        <w:rPr>
          <w:rFonts w:ascii="Book Antiqua" w:eastAsia="宋体" w:hAnsi="Book Antiqua" w:cs="宋体"/>
          <w:b/>
          <w:bCs/>
          <w:lang w:eastAsia="zh-CN"/>
        </w:rPr>
        <w:t>Guardiola J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Lobatón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T, Rodríguez-Alonso L, Ruiz-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Cerulla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Arajol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Loayza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Sanjuan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X, Sánchez E, Rodríguez-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Moranta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F. Fecal level of calprotectin identifies histologic inflammation in patients with ulcerative colitis in clinical and endoscopic remission. 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C43CFB">
        <w:rPr>
          <w:rFonts w:ascii="Book Antiqua" w:eastAsia="宋体" w:hAnsi="Book Antiqua" w:cs="宋体"/>
          <w:lang w:eastAsia="zh-CN"/>
        </w:rPr>
        <w:t> 2014; </w:t>
      </w:r>
      <w:r w:rsidRPr="00C43CFB">
        <w:rPr>
          <w:rFonts w:ascii="Book Antiqua" w:eastAsia="宋体" w:hAnsi="Book Antiqua" w:cs="宋体"/>
          <w:b/>
          <w:bCs/>
          <w:lang w:eastAsia="zh-CN"/>
        </w:rPr>
        <w:t>12</w:t>
      </w:r>
      <w:r w:rsidRPr="00C43CFB">
        <w:rPr>
          <w:rFonts w:ascii="Book Antiqua" w:eastAsia="宋体" w:hAnsi="Book Antiqua" w:cs="宋体"/>
          <w:lang w:eastAsia="zh-CN"/>
        </w:rPr>
        <w:t>: 1865-1870 [PMID: 24993368 DOI: 10.1016/j.cgh.2014.06.020]</w:t>
      </w:r>
    </w:p>
    <w:p w14:paraId="357CFA2C" w14:textId="18691D9E" w:rsidR="00DE73D8" w:rsidRPr="00C43CFB" w:rsidRDefault="00DE73D8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lastRenderedPageBreak/>
        <w:t xml:space="preserve">8 </w:t>
      </w:r>
      <w:bookmarkStart w:id="81" w:name="OLE_LINK969"/>
      <w:bookmarkStart w:id="82" w:name="OLE_LINK970"/>
      <w:proofErr w:type="spellStart"/>
      <w:r w:rsidRPr="00C43CFB">
        <w:rPr>
          <w:rFonts w:ascii="Book Antiqua" w:eastAsia="宋体" w:hAnsi="Book Antiqua" w:cs="宋体"/>
          <w:b/>
          <w:bCs/>
          <w:lang w:eastAsia="zh-CN"/>
        </w:rPr>
        <w:t>Kolho</w:t>
      </w:r>
      <w:bookmarkEnd w:id="81"/>
      <w:bookmarkEnd w:id="82"/>
      <w:proofErr w:type="spellEnd"/>
      <w:r w:rsidRPr="00C43CFB">
        <w:rPr>
          <w:rFonts w:ascii="Book Antiqua" w:eastAsia="宋体" w:hAnsi="Book Antiqua" w:cs="宋体"/>
          <w:b/>
          <w:bCs/>
          <w:lang w:eastAsia="zh-CN"/>
        </w:rPr>
        <w:t xml:space="preserve"> KL</w:t>
      </w:r>
      <w:r w:rsidRPr="00C43CFB">
        <w:rPr>
          <w:rFonts w:ascii="Book Antiqua" w:eastAsia="宋体" w:hAnsi="Book Antiqua" w:cs="宋体"/>
          <w:lang w:eastAsia="zh-CN"/>
        </w:rPr>
        <w:t xml:space="preserve">, Turner D,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Veereman-Wauters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Sladek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M, de Ridder L,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Shaoul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Paerregaard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Amil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Dias J,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Koletzko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Nuti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Bujanover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Staiano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Bochenek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Finnby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L, Levine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Veres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G. Rapid test for fecal calprotectin levels in children with Crohn disease. </w:t>
      </w:r>
      <w:r w:rsidRPr="00C43CFB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 w:rsidRPr="00C43CFB">
        <w:rPr>
          <w:rFonts w:ascii="Book Antiqua" w:eastAsia="宋体" w:hAnsi="Book Antiqua" w:cs="宋体"/>
          <w:lang w:eastAsia="zh-CN"/>
        </w:rPr>
        <w:t> 2012; </w:t>
      </w:r>
      <w:r w:rsidRPr="00C43CFB">
        <w:rPr>
          <w:rFonts w:ascii="Book Antiqua" w:eastAsia="宋体" w:hAnsi="Book Antiqua" w:cs="宋体"/>
          <w:b/>
          <w:bCs/>
          <w:lang w:eastAsia="zh-CN"/>
        </w:rPr>
        <w:t>55</w:t>
      </w:r>
      <w:r w:rsidRPr="00C43CFB">
        <w:rPr>
          <w:rFonts w:ascii="Book Antiqua" w:eastAsia="宋体" w:hAnsi="Book Antiqua" w:cs="宋体"/>
          <w:lang w:eastAsia="zh-CN"/>
        </w:rPr>
        <w:t>: 436-439 [PMID: 22411269 DOI: 10.1097/MPG.0b013e318253cff1]</w:t>
      </w:r>
    </w:p>
    <w:p w14:paraId="6E1D2996" w14:textId="49E016A5" w:rsidR="001F03C5" w:rsidRPr="00C43CFB" w:rsidRDefault="00DE73D8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9</w:t>
      </w:r>
      <w:r w:rsidR="001F03C5" w:rsidRPr="00C43CFB">
        <w:rPr>
          <w:rFonts w:ascii="Book Antiqua" w:eastAsia="宋体" w:hAnsi="Book Antiqua" w:cs="宋体"/>
          <w:lang w:eastAsia="zh-CN"/>
        </w:rPr>
        <w:t> </w:t>
      </w:r>
      <w:proofErr w:type="spellStart"/>
      <w:r w:rsidR="001F03C5" w:rsidRPr="00C43CFB">
        <w:rPr>
          <w:rFonts w:ascii="Book Antiqua" w:eastAsia="宋体" w:hAnsi="Book Antiqua" w:cs="宋体"/>
          <w:b/>
          <w:bCs/>
          <w:lang w:eastAsia="zh-CN"/>
        </w:rPr>
        <w:t>Burri</w:t>
      </w:r>
      <w:proofErr w:type="spellEnd"/>
      <w:r w:rsidR="001F03C5" w:rsidRPr="00C43CFB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="001F03C5"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Manz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Rothen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C, Rossi L,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Beglinger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C, Lehmann FS. Monoclonal antibody testing for fecal calprotectin is superior to polyclonal testing of fecal calprotectin and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lactoferrin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to identify organic intestinal disease in patients with abdominal discomfort. </w:t>
      </w:r>
      <w:proofErr w:type="spellStart"/>
      <w:r w:rsidR="001F03C5" w:rsidRPr="00C43CFB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="001F03C5"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1F03C5" w:rsidRPr="00C43CFB">
        <w:rPr>
          <w:rFonts w:ascii="Book Antiqua" w:eastAsia="宋体" w:hAnsi="Book Antiqua" w:cs="宋体"/>
          <w:i/>
          <w:iCs/>
          <w:lang w:eastAsia="zh-CN"/>
        </w:rPr>
        <w:t>Chim</w:t>
      </w:r>
      <w:proofErr w:type="spellEnd"/>
      <w:r w:rsidR="001F03C5"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1F03C5" w:rsidRPr="00C43CFB">
        <w:rPr>
          <w:rFonts w:ascii="Book Antiqua" w:eastAsia="宋体" w:hAnsi="Book Antiqua" w:cs="宋体"/>
          <w:i/>
          <w:iCs/>
          <w:lang w:eastAsia="zh-CN"/>
        </w:rPr>
        <w:t>Acta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> 2013; </w:t>
      </w:r>
      <w:r w:rsidR="001F03C5" w:rsidRPr="00C43CFB">
        <w:rPr>
          <w:rFonts w:ascii="Book Antiqua" w:eastAsia="宋体" w:hAnsi="Book Antiqua" w:cs="宋体"/>
          <w:b/>
          <w:bCs/>
          <w:lang w:eastAsia="zh-CN"/>
        </w:rPr>
        <w:t>416</w:t>
      </w:r>
      <w:r w:rsidR="001F03C5" w:rsidRPr="00C43CFB">
        <w:rPr>
          <w:rFonts w:ascii="Book Antiqua" w:eastAsia="宋体" w:hAnsi="Book Antiqua" w:cs="宋体"/>
          <w:lang w:eastAsia="zh-CN"/>
        </w:rPr>
        <w:t>: 41-47 [PMID: 23178549 DOI: 10.1016/j.cca.2012.11.008]</w:t>
      </w:r>
    </w:p>
    <w:p w14:paraId="6FD150A2" w14:textId="4CBC78B8" w:rsidR="001F03C5" w:rsidRPr="00C43CFB" w:rsidRDefault="00DE73D8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10</w:t>
      </w:r>
      <w:r w:rsidR="00B9226A" w:rsidRPr="00C43CFB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F03C5" w:rsidRPr="00C43CFB">
        <w:rPr>
          <w:rFonts w:ascii="Book Antiqua" w:eastAsia="宋体" w:hAnsi="Book Antiqua" w:cs="宋体"/>
          <w:b/>
          <w:bCs/>
          <w:lang w:eastAsia="zh-CN"/>
        </w:rPr>
        <w:t>Malícková</w:t>
      </w:r>
      <w:proofErr w:type="spellEnd"/>
      <w:r w:rsidR="001F03C5" w:rsidRPr="00C43CFB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="001F03C5"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Janatková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Bortlík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Komárek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="001F03C5" w:rsidRPr="00C43CFB">
        <w:rPr>
          <w:rFonts w:ascii="Book Antiqua" w:eastAsia="宋体" w:hAnsi="Book Antiqua" w:cs="宋体"/>
          <w:lang w:eastAsia="zh-CN"/>
        </w:rPr>
        <w:t>Lukás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 xml:space="preserve"> M. [Calprotectin levels in patients with idiopathic inflammatory bowel disease comparison of two commercial tests]. </w:t>
      </w:r>
      <w:proofErr w:type="spellStart"/>
      <w:r w:rsidR="001F03C5" w:rsidRPr="00C43CFB">
        <w:rPr>
          <w:rFonts w:ascii="Book Antiqua" w:eastAsia="宋体" w:hAnsi="Book Antiqua" w:cs="宋体"/>
          <w:i/>
          <w:iCs/>
          <w:lang w:eastAsia="zh-CN"/>
        </w:rPr>
        <w:t>Epidemiol</w:t>
      </w:r>
      <w:proofErr w:type="spellEnd"/>
      <w:r w:rsidR="001F03C5"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1F03C5" w:rsidRPr="00C43CFB">
        <w:rPr>
          <w:rFonts w:ascii="Book Antiqua" w:eastAsia="宋体" w:hAnsi="Book Antiqua" w:cs="宋体"/>
          <w:i/>
          <w:iCs/>
          <w:lang w:eastAsia="zh-CN"/>
        </w:rPr>
        <w:t>Mikrobiol</w:t>
      </w:r>
      <w:proofErr w:type="spellEnd"/>
      <w:r w:rsidR="001F03C5"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1F03C5" w:rsidRPr="00C43CFB">
        <w:rPr>
          <w:rFonts w:ascii="Book Antiqua" w:eastAsia="宋体" w:hAnsi="Book Antiqua" w:cs="宋体"/>
          <w:i/>
          <w:iCs/>
          <w:lang w:eastAsia="zh-CN"/>
        </w:rPr>
        <w:t>Imunol</w:t>
      </w:r>
      <w:proofErr w:type="spellEnd"/>
      <w:r w:rsidR="001F03C5" w:rsidRPr="00C43CFB">
        <w:rPr>
          <w:rFonts w:ascii="Book Antiqua" w:eastAsia="宋体" w:hAnsi="Book Antiqua" w:cs="宋体"/>
          <w:lang w:eastAsia="zh-CN"/>
        </w:rPr>
        <w:t> 2008; </w:t>
      </w:r>
      <w:r w:rsidR="001F03C5" w:rsidRPr="00C43CFB">
        <w:rPr>
          <w:rFonts w:ascii="Book Antiqua" w:eastAsia="宋体" w:hAnsi="Book Antiqua" w:cs="宋体"/>
          <w:b/>
          <w:bCs/>
          <w:lang w:eastAsia="zh-CN"/>
        </w:rPr>
        <w:t>57</w:t>
      </w:r>
      <w:r w:rsidR="001F03C5" w:rsidRPr="00C43CFB">
        <w:rPr>
          <w:rFonts w:ascii="Book Antiqua" w:eastAsia="宋体" w:hAnsi="Book Antiqua" w:cs="宋体"/>
          <w:lang w:eastAsia="zh-CN"/>
        </w:rPr>
        <w:t>: 147-153 [PMID: 19069028]</w:t>
      </w:r>
    </w:p>
    <w:p w14:paraId="7F69B56C" w14:textId="77777777" w:rsidR="001F03C5" w:rsidRPr="00C43CFB" w:rsidRDefault="001F03C5" w:rsidP="001F03C5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C43CFB">
        <w:rPr>
          <w:rFonts w:ascii="Book Antiqua" w:eastAsia="宋体" w:hAnsi="Book Antiqua" w:cs="宋体"/>
          <w:lang w:eastAsia="zh-CN"/>
        </w:rPr>
        <w:t>11 </w:t>
      </w:r>
      <w:r w:rsidRPr="00C43CFB">
        <w:rPr>
          <w:rFonts w:ascii="Book Antiqua" w:eastAsia="宋体" w:hAnsi="Book Antiqua" w:cs="宋体"/>
          <w:b/>
          <w:bCs/>
          <w:lang w:eastAsia="zh-CN"/>
        </w:rPr>
        <w:t>Inoue K</w:t>
      </w:r>
      <w:r w:rsidRPr="00C43CFB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Aomatsu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Yoden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Okuhira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Kaji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C43CFB">
        <w:rPr>
          <w:rFonts w:ascii="Book Antiqua" w:eastAsia="宋体" w:hAnsi="Book Antiqua" w:cs="宋体"/>
          <w:lang w:eastAsia="zh-CN"/>
        </w:rPr>
        <w:t>Tamai</w:t>
      </w:r>
      <w:proofErr w:type="spellEnd"/>
      <w:r w:rsidRPr="00C43CFB">
        <w:rPr>
          <w:rFonts w:ascii="Book Antiqua" w:eastAsia="宋体" w:hAnsi="Book Antiqua" w:cs="宋体"/>
          <w:lang w:eastAsia="zh-CN"/>
        </w:rPr>
        <w:t xml:space="preserve"> H. Usefulness of a novel and rapid assay system for fecal calprotectin in pediatric patients with inflammatory bowel diseases. </w:t>
      </w:r>
      <w:r w:rsidRPr="00C43CFB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C43CFB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C43CFB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C43CFB">
        <w:rPr>
          <w:rFonts w:ascii="Book Antiqua" w:eastAsia="宋体" w:hAnsi="Book Antiqua" w:cs="宋体"/>
          <w:lang w:eastAsia="zh-CN"/>
        </w:rPr>
        <w:t> 2014; </w:t>
      </w:r>
      <w:r w:rsidRPr="00C43CFB">
        <w:rPr>
          <w:rFonts w:ascii="Book Antiqua" w:eastAsia="宋体" w:hAnsi="Book Antiqua" w:cs="宋体"/>
          <w:b/>
          <w:bCs/>
          <w:lang w:eastAsia="zh-CN"/>
        </w:rPr>
        <w:t>29</w:t>
      </w:r>
      <w:r w:rsidRPr="00C43CFB">
        <w:rPr>
          <w:rFonts w:ascii="Book Antiqua" w:eastAsia="宋体" w:hAnsi="Book Antiqua" w:cs="宋体"/>
          <w:lang w:eastAsia="zh-CN"/>
        </w:rPr>
        <w:t>: 1406-1412 [PMID: 24635100 DOI: 10.1111/jgh.12578]</w:t>
      </w:r>
    </w:p>
    <w:p w14:paraId="1561E4FA" w14:textId="77777777" w:rsidR="001F03C5" w:rsidRPr="00C43CFB" w:rsidRDefault="001F03C5" w:rsidP="001F03C5">
      <w:pPr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lang w:eastAsia="zh-CN"/>
        </w:rPr>
      </w:pPr>
      <w:bookmarkStart w:id="83" w:name="OLE_LINK51"/>
      <w:bookmarkStart w:id="84" w:name="OLE_LINK52"/>
      <w:bookmarkStart w:id="85" w:name="OLE_LINK120"/>
      <w:bookmarkStart w:id="86" w:name="OLE_LINK148"/>
      <w:bookmarkStart w:id="87" w:name="OLE_LINK72"/>
      <w:bookmarkStart w:id="88" w:name="OLE_LINK112"/>
      <w:bookmarkStart w:id="89" w:name="OLE_LINK320"/>
      <w:bookmarkStart w:id="90" w:name="OLE_LINK387"/>
      <w:bookmarkStart w:id="91" w:name="OLE_LINK183"/>
      <w:bookmarkStart w:id="92" w:name="OLE_LINK254"/>
      <w:bookmarkStart w:id="93" w:name="OLE_LINK149"/>
      <w:bookmarkStart w:id="94" w:name="OLE_LINK225"/>
      <w:bookmarkStart w:id="95" w:name="OLE_LINK207"/>
      <w:bookmarkStart w:id="96" w:name="OLE_LINK226"/>
      <w:bookmarkStart w:id="97" w:name="OLE_LINK212"/>
      <w:bookmarkStart w:id="98" w:name="OLE_LINK250"/>
      <w:bookmarkStart w:id="99" w:name="OLE_LINK281"/>
      <w:bookmarkStart w:id="100" w:name="OLE_LINK282"/>
      <w:bookmarkStart w:id="101" w:name="OLE_LINK313"/>
      <w:bookmarkStart w:id="102" w:name="OLE_LINK304"/>
      <w:bookmarkStart w:id="103" w:name="OLE_LINK321"/>
      <w:bookmarkStart w:id="104" w:name="OLE_LINK385"/>
      <w:bookmarkStart w:id="105" w:name="OLE_LINK400"/>
      <w:bookmarkStart w:id="106" w:name="OLE_LINK346"/>
      <w:bookmarkStart w:id="107" w:name="OLE_LINK371"/>
      <w:bookmarkStart w:id="108" w:name="OLE_LINK334"/>
      <w:bookmarkStart w:id="109" w:name="OLE_LINK1830"/>
      <w:bookmarkStart w:id="110" w:name="OLE_LINK457"/>
      <w:bookmarkStart w:id="111" w:name="OLE_LINK288"/>
      <w:bookmarkStart w:id="112" w:name="OLE_LINK384"/>
      <w:bookmarkStart w:id="113" w:name="OLE_LINK379"/>
      <w:bookmarkStart w:id="114" w:name="OLE_LINK303"/>
      <w:bookmarkStart w:id="115" w:name="OLE_LINK450"/>
      <w:bookmarkStart w:id="116" w:name="OLE_LINK489"/>
      <w:bookmarkStart w:id="117" w:name="OLE_LINK535"/>
      <w:bookmarkStart w:id="118" w:name="OLE_LINK648"/>
      <w:bookmarkStart w:id="119" w:name="OLE_LINK686"/>
      <w:bookmarkStart w:id="120" w:name="OLE_LINK471"/>
      <w:bookmarkStart w:id="121" w:name="OLE_LINK462"/>
      <w:bookmarkStart w:id="122" w:name="OLE_LINK519"/>
      <w:bookmarkStart w:id="123" w:name="OLE_LINK575"/>
      <w:bookmarkStart w:id="124" w:name="OLE_LINK491"/>
      <w:bookmarkStart w:id="125" w:name="OLE_LINK532"/>
      <w:bookmarkStart w:id="126" w:name="OLE_LINK572"/>
      <w:bookmarkStart w:id="127" w:name="OLE_LINK574"/>
      <w:bookmarkStart w:id="128" w:name="OLE_LINK480"/>
      <w:bookmarkStart w:id="129" w:name="OLE_LINK567"/>
      <w:bookmarkStart w:id="130" w:name="OLE_LINK2700"/>
      <w:bookmarkStart w:id="131" w:name="OLE_LINK581"/>
      <w:bookmarkStart w:id="132" w:name="OLE_LINK639"/>
      <w:bookmarkStart w:id="133" w:name="OLE_LINK688"/>
      <w:bookmarkStart w:id="134" w:name="OLE_LINK722"/>
      <w:bookmarkStart w:id="135" w:name="OLE_LINK542"/>
      <w:bookmarkStart w:id="136" w:name="OLE_LINK589"/>
      <w:bookmarkStart w:id="137" w:name="OLE_LINK582"/>
      <w:bookmarkStart w:id="138" w:name="OLE_LINK640"/>
      <w:bookmarkStart w:id="139" w:name="OLE_LINK714"/>
      <w:bookmarkStart w:id="140" w:name="OLE_LINK593"/>
      <w:bookmarkStart w:id="141" w:name="OLE_LINK716"/>
      <w:bookmarkStart w:id="142" w:name="OLE_LINK770"/>
      <w:bookmarkStart w:id="143" w:name="OLE_LINK801"/>
      <w:bookmarkStart w:id="144" w:name="OLE_LINK660"/>
      <w:bookmarkStart w:id="145" w:name="OLE_LINK781"/>
      <w:bookmarkStart w:id="146" w:name="OLE_LINK833"/>
      <w:bookmarkStart w:id="147" w:name="OLE_LINK642"/>
      <w:bookmarkStart w:id="148" w:name="OLE_LINK700"/>
      <w:bookmarkStart w:id="149" w:name="OLE_LINK792"/>
      <w:bookmarkStart w:id="150" w:name="OLE_LINK2882"/>
      <w:bookmarkStart w:id="151" w:name="OLE_LINK836"/>
      <w:bookmarkStart w:id="152" w:name="OLE_LINK889"/>
      <w:bookmarkStart w:id="153" w:name="OLE_LINK782"/>
      <w:bookmarkStart w:id="154" w:name="OLE_LINK826"/>
      <w:bookmarkStart w:id="155" w:name="OLE_LINK865"/>
      <w:bookmarkStart w:id="156" w:name="OLE_LINK856"/>
      <w:bookmarkStart w:id="157" w:name="OLE_LINK908"/>
      <w:bookmarkStart w:id="158" w:name="OLE_LINK980"/>
      <w:bookmarkStart w:id="159" w:name="OLE_LINK1018"/>
      <w:bookmarkStart w:id="160" w:name="OLE_LINK1049"/>
      <w:bookmarkStart w:id="161" w:name="OLE_LINK1076"/>
      <w:bookmarkStart w:id="162" w:name="OLE_LINK1106"/>
      <w:bookmarkStart w:id="163" w:name="OLE_LINK891"/>
      <w:bookmarkStart w:id="164" w:name="OLE_LINK943"/>
      <w:bookmarkStart w:id="165" w:name="OLE_LINK981"/>
      <w:bookmarkStart w:id="166" w:name="OLE_LINK1030"/>
      <w:bookmarkStart w:id="167" w:name="OLE_LINK847"/>
      <w:bookmarkStart w:id="168" w:name="OLE_LINK909"/>
      <w:bookmarkStart w:id="169" w:name="OLE_LINK906"/>
      <w:bookmarkStart w:id="170" w:name="OLE_LINK992"/>
      <w:bookmarkStart w:id="171" w:name="OLE_LINK993"/>
      <w:bookmarkStart w:id="172" w:name="OLE_LINK1052"/>
      <w:bookmarkStart w:id="173" w:name="OLE_LINK946"/>
      <w:bookmarkStart w:id="174" w:name="OLE_LINK911"/>
      <w:bookmarkStart w:id="175" w:name="OLE_LINK930"/>
      <w:bookmarkStart w:id="176" w:name="OLE_LINK1059"/>
      <w:bookmarkStart w:id="177" w:name="OLE_LINK1174"/>
      <w:bookmarkStart w:id="178" w:name="OLE_LINK1137"/>
      <w:bookmarkStart w:id="179" w:name="OLE_LINK1167"/>
      <w:bookmarkStart w:id="180" w:name="OLE_LINK1200"/>
      <w:bookmarkStart w:id="181" w:name="OLE_LINK1241"/>
      <w:bookmarkStart w:id="182" w:name="OLE_LINK1288"/>
      <w:bookmarkStart w:id="183" w:name="OLE_LINK1056"/>
      <w:bookmarkStart w:id="184" w:name="OLE_LINK1158"/>
      <w:bookmarkStart w:id="185" w:name="OLE_LINK1175"/>
      <w:bookmarkStart w:id="186" w:name="OLE_LINK1074"/>
      <w:bookmarkStart w:id="187" w:name="OLE_LINK1169"/>
      <w:r w:rsidRPr="00C43CFB">
        <w:rPr>
          <w:rFonts w:ascii="Book Antiqua" w:eastAsia="宋体" w:hAnsi="Book Antiqua" w:cs="Times New Roman"/>
          <w:b/>
          <w:bCs/>
          <w:lang w:eastAsia="zh-CN"/>
        </w:rPr>
        <w:t>P-Reviewer:</w:t>
      </w:r>
      <w:r w:rsidRPr="00C43CFB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Pr="00C43CFB">
        <w:rPr>
          <w:rFonts w:ascii="Book Antiqua" w:eastAsia="宋体" w:hAnsi="Book Antiqua" w:cs="Times New Roman"/>
          <w:bCs/>
          <w:lang w:eastAsia="zh-CN"/>
        </w:rPr>
        <w:t xml:space="preserve">Homan M, </w:t>
      </w:r>
      <w:proofErr w:type="spellStart"/>
      <w:r w:rsidRPr="00C43CFB">
        <w:rPr>
          <w:rFonts w:ascii="Book Antiqua" w:eastAsia="宋体" w:hAnsi="Book Antiqua" w:cs="Times New Roman"/>
          <w:bCs/>
          <w:lang w:eastAsia="zh-CN"/>
        </w:rPr>
        <w:t>Posovszky</w:t>
      </w:r>
      <w:proofErr w:type="spellEnd"/>
      <w:r w:rsidRPr="00C43CFB">
        <w:rPr>
          <w:rFonts w:ascii="Book Antiqua" w:eastAsia="宋体" w:hAnsi="Book Antiqua" w:cs="Times New Roman"/>
          <w:bCs/>
          <w:lang w:eastAsia="zh-CN"/>
        </w:rPr>
        <w:t xml:space="preserve"> C, </w:t>
      </w:r>
      <w:proofErr w:type="spellStart"/>
      <w:r w:rsidRPr="00C43CFB">
        <w:rPr>
          <w:rFonts w:ascii="Book Antiqua" w:eastAsia="宋体" w:hAnsi="Book Antiqua" w:cs="Times New Roman"/>
          <w:bCs/>
          <w:lang w:eastAsia="zh-CN"/>
        </w:rPr>
        <w:t>Wedrychowicz</w:t>
      </w:r>
      <w:proofErr w:type="spellEnd"/>
      <w:r w:rsidRPr="00C43CFB">
        <w:rPr>
          <w:rFonts w:ascii="Book Antiqua" w:eastAsia="宋体" w:hAnsi="Book Antiqua" w:cs="Times New Roman"/>
          <w:bCs/>
          <w:lang w:eastAsia="zh-CN"/>
        </w:rPr>
        <w:t xml:space="preserve"> A</w:t>
      </w:r>
    </w:p>
    <w:p w14:paraId="16A0AD79" w14:textId="19BD7B49" w:rsidR="001F03C5" w:rsidRPr="00C43CFB" w:rsidRDefault="001F03C5" w:rsidP="001F03C5">
      <w:pPr>
        <w:snapToGrid w:val="0"/>
        <w:spacing w:line="360" w:lineRule="auto"/>
        <w:jc w:val="right"/>
        <w:rPr>
          <w:rFonts w:ascii="Book Antiqua" w:eastAsia="宋体" w:hAnsi="Book Antiqua" w:cs="Times New Roman"/>
          <w:lang w:eastAsia="zh-CN"/>
        </w:rPr>
      </w:pPr>
      <w:r w:rsidRPr="00C43CFB">
        <w:rPr>
          <w:rFonts w:ascii="Book Antiqua" w:eastAsia="宋体" w:hAnsi="Book Antiqua" w:cs="Times New Roman"/>
          <w:b/>
          <w:bCs/>
          <w:lang w:eastAsia="zh-CN"/>
        </w:rPr>
        <w:t>S-Editor:</w:t>
      </w:r>
      <w:r w:rsidRPr="00C43CFB">
        <w:rPr>
          <w:rFonts w:ascii="Book Antiqua" w:eastAsia="宋体" w:hAnsi="Book Antiqua" w:cs="Times New Roman" w:hint="eastAsia"/>
          <w:lang w:eastAsia="zh-CN"/>
        </w:rPr>
        <w:t xml:space="preserve"> Gong ZM</w:t>
      </w:r>
      <w:r w:rsidRPr="00C43CFB">
        <w:rPr>
          <w:rFonts w:ascii="Book Antiqua" w:eastAsia="宋体" w:hAnsi="Book Antiqua" w:cs="Times New Roman"/>
          <w:lang w:eastAsia="zh-CN"/>
        </w:rPr>
        <w:t xml:space="preserve"> </w:t>
      </w:r>
      <w:r w:rsidRPr="00C43CFB">
        <w:rPr>
          <w:rFonts w:ascii="Book Antiqua" w:eastAsia="宋体" w:hAnsi="Book Antiqua" w:cs="Times New Roman"/>
          <w:b/>
          <w:bCs/>
          <w:lang w:eastAsia="zh-CN"/>
        </w:rPr>
        <w:t>L-Editor:</w:t>
      </w:r>
      <w:r w:rsidRPr="00C43CFB">
        <w:rPr>
          <w:rFonts w:ascii="Book Antiqua" w:eastAsia="宋体" w:hAnsi="Book Antiqua" w:cs="Times New Roman"/>
          <w:lang w:eastAsia="zh-CN"/>
        </w:rPr>
        <w:t xml:space="preserve"> </w:t>
      </w:r>
      <w:r w:rsidRPr="00C43CFB">
        <w:rPr>
          <w:rFonts w:ascii="Book Antiqua" w:eastAsia="宋体" w:hAnsi="Book Antiqua" w:cs="Times New Roman"/>
          <w:b/>
          <w:bCs/>
          <w:lang w:eastAsia="zh-CN"/>
        </w:rPr>
        <w:t>E-Editor: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7E0D681E" w14:textId="5A1E0355" w:rsidR="00F822E2" w:rsidRPr="00C43CFB" w:rsidRDefault="00F822E2">
      <w:pPr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br w:type="page"/>
      </w:r>
    </w:p>
    <w:p w14:paraId="04ED9171" w14:textId="66B64028" w:rsidR="00DD2BFB" w:rsidRPr="00C43CFB" w:rsidRDefault="00DD2BFB" w:rsidP="00B1677F">
      <w:pPr>
        <w:spacing w:line="360" w:lineRule="auto"/>
        <w:jc w:val="both"/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lastRenderedPageBreak/>
        <w:t>Table 1</w:t>
      </w:r>
      <w:r w:rsidR="00F822E2" w:rsidRPr="00C43CFB">
        <w:rPr>
          <w:rFonts w:ascii="Book Antiqua" w:hAnsi="Book Antiqua" w:cs="Times New Roman"/>
          <w:b/>
        </w:rPr>
        <w:t xml:space="preserve"> </w:t>
      </w:r>
      <w:r w:rsidRPr="00C43CFB">
        <w:rPr>
          <w:rFonts w:ascii="Book Antiqua" w:hAnsi="Book Antiqua" w:cs="Times New Roman"/>
          <w:b/>
        </w:rPr>
        <w:t xml:space="preserve">Patient </w:t>
      </w:r>
      <w:r w:rsidR="00F822E2" w:rsidRPr="00C43CFB">
        <w:rPr>
          <w:rFonts w:ascii="Book Antiqua" w:hAnsi="Book Antiqua" w:cs="Times New Roman"/>
          <w:b/>
        </w:rPr>
        <w:t>c</w:t>
      </w:r>
      <w:r w:rsidRPr="00C43CFB">
        <w:rPr>
          <w:rFonts w:ascii="Book Antiqua" w:hAnsi="Book Antiqua" w:cs="Times New Roman"/>
          <w:b/>
        </w:rPr>
        <w:t xml:space="preserve">haracteristics </w:t>
      </w:r>
      <w:r w:rsidR="00F822E2" w:rsidRPr="00C43CFB">
        <w:rPr>
          <w:rFonts w:ascii="Book Antiqua" w:hAnsi="Book Antiqua" w:cs="Times New Roman"/>
          <w:b/>
          <w:i/>
        </w:rPr>
        <w:t>n</w:t>
      </w:r>
      <w:r w:rsidR="00F822E2" w:rsidRPr="00C43CFB">
        <w:rPr>
          <w:rFonts w:ascii="Book Antiqua" w:hAnsi="Book Antiqua" w:cs="Times New Roman"/>
          <w:b/>
        </w:rPr>
        <w:t xml:space="preserve"> (%)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00"/>
        <w:gridCol w:w="1975"/>
        <w:gridCol w:w="2149"/>
        <w:gridCol w:w="2149"/>
      </w:tblGrid>
      <w:tr w:rsidR="00C43CFB" w:rsidRPr="00C43CFB" w14:paraId="10780B0B" w14:textId="77777777" w:rsidTr="00F8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8F1529A" w14:textId="77777777" w:rsidR="00DD2BFB" w:rsidRPr="00C43CFB" w:rsidRDefault="00DD2BFB" w:rsidP="00B1677F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</w:p>
        </w:tc>
        <w:tc>
          <w:tcPr>
            <w:tcW w:w="1975" w:type="dxa"/>
          </w:tcPr>
          <w:p w14:paraId="4CFA9A69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Total (%)</w:t>
            </w:r>
          </w:p>
        </w:tc>
        <w:tc>
          <w:tcPr>
            <w:tcW w:w="2149" w:type="dxa"/>
          </w:tcPr>
          <w:p w14:paraId="45029E63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FC ≤ 250 μg/g</w:t>
            </w:r>
          </w:p>
        </w:tc>
        <w:tc>
          <w:tcPr>
            <w:tcW w:w="2149" w:type="dxa"/>
          </w:tcPr>
          <w:p w14:paraId="1083198E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FC &gt; 250 μg/g</w:t>
            </w:r>
          </w:p>
        </w:tc>
      </w:tr>
      <w:tr w:rsidR="00C43CFB" w:rsidRPr="00C43CFB" w14:paraId="506B1116" w14:textId="77777777" w:rsidTr="00F8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684C7026" w14:textId="24879E95" w:rsidR="00DD2BFB" w:rsidRPr="00C43CFB" w:rsidRDefault="00F822E2" w:rsidP="00F822E2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Samples</w:t>
            </w:r>
          </w:p>
        </w:tc>
        <w:tc>
          <w:tcPr>
            <w:tcW w:w="1975" w:type="dxa"/>
          </w:tcPr>
          <w:p w14:paraId="577742C3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49</w:t>
            </w:r>
          </w:p>
        </w:tc>
        <w:tc>
          <w:tcPr>
            <w:tcW w:w="2149" w:type="dxa"/>
          </w:tcPr>
          <w:p w14:paraId="15490E55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21 (43)</w:t>
            </w:r>
          </w:p>
        </w:tc>
        <w:tc>
          <w:tcPr>
            <w:tcW w:w="2149" w:type="dxa"/>
          </w:tcPr>
          <w:p w14:paraId="2EB77E0A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28 (57)</w:t>
            </w:r>
          </w:p>
        </w:tc>
      </w:tr>
      <w:tr w:rsidR="00C43CFB" w:rsidRPr="00C43CFB" w14:paraId="4C30C5FD" w14:textId="77777777" w:rsidTr="00F822E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367B4F76" w14:textId="5CE5A400" w:rsidR="00DD2BFB" w:rsidRPr="00C43CFB" w:rsidRDefault="00DD2BFB" w:rsidP="00F822E2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Age (</w:t>
            </w:r>
            <w:proofErr w:type="spellStart"/>
            <w:r w:rsidRPr="00C43CFB">
              <w:rPr>
                <w:rFonts w:ascii="Book Antiqua" w:hAnsi="Book Antiqua" w:cs="Times New Roman"/>
                <w:b w:val="0"/>
                <w:color w:val="auto"/>
              </w:rPr>
              <w:t>y</w:t>
            </w:r>
            <w:r w:rsidR="00F822E2" w:rsidRPr="00C43CFB">
              <w:rPr>
                <w:rFonts w:ascii="Book Antiqua" w:hAnsi="Book Antiqua" w:cs="Times New Roman"/>
                <w:b w:val="0"/>
                <w:color w:val="auto"/>
              </w:rPr>
              <w:t>r</w:t>
            </w:r>
            <w:proofErr w:type="spellEnd"/>
            <w:r w:rsidRPr="00C43CFB">
              <w:rPr>
                <w:rFonts w:ascii="Book Antiqua" w:hAnsi="Book Antiqua" w:cs="Times New Roman"/>
                <w:b w:val="0"/>
                <w:color w:val="auto"/>
              </w:rPr>
              <w:t>)</w:t>
            </w:r>
          </w:p>
        </w:tc>
        <w:tc>
          <w:tcPr>
            <w:tcW w:w="1975" w:type="dxa"/>
          </w:tcPr>
          <w:p w14:paraId="33A42CDF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12.8</w:t>
            </w:r>
          </w:p>
        </w:tc>
        <w:tc>
          <w:tcPr>
            <w:tcW w:w="2149" w:type="dxa"/>
          </w:tcPr>
          <w:p w14:paraId="3C5A3A08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13.3</w:t>
            </w:r>
          </w:p>
        </w:tc>
        <w:tc>
          <w:tcPr>
            <w:tcW w:w="2149" w:type="dxa"/>
          </w:tcPr>
          <w:p w14:paraId="6C7128A2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12.4</w:t>
            </w:r>
          </w:p>
        </w:tc>
      </w:tr>
      <w:tr w:rsidR="00C43CFB" w:rsidRPr="00C43CFB" w14:paraId="5D09FC06" w14:textId="77777777" w:rsidTr="00F8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6284D8F" w14:textId="56B591F9" w:rsidR="00DD2BFB" w:rsidRPr="00C43CFB" w:rsidRDefault="00F822E2" w:rsidP="00F822E2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Diagnosis</w:t>
            </w:r>
          </w:p>
        </w:tc>
        <w:tc>
          <w:tcPr>
            <w:tcW w:w="1975" w:type="dxa"/>
          </w:tcPr>
          <w:p w14:paraId="533427D6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</w:p>
        </w:tc>
        <w:tc>
          <w:tcPr>
            <w:tcW w:w="2149" w:type="dxa"/>
          </w:tcPr>
          <w:p w14:paraId="12E92220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</w:p>
        </w:tc>
        <w:tc>
          <w:tcPr>
            <w:tcW w:w="2149" w:type="dxa"/>
          </w:tcPr>
          <w:p w14:paraId="14CECFE3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</w:p>
        </w:tc>
      </w:tr>
      <w:tr w:rsidR="00C43CFB" w:rsidRPr="00C43CFB" w14:paraId="23F508CA" w14:textId="77777777" w:rsidTr="00F822E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631653BC" w14:textId="77777777" w:rsidR="00DD2BFB" w:rsidRPr="00C43CFB" w:rsidRDefault="00DD2BFB" w:rsidP="00F822E2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CD</w:t>
            </w:r>
          </w:p>
        </w:tc>
        <w:tc>
          <w:tcPr>
            <w:tcW w:w="1975" w:type="dxa"/>
          </w:tcPr>
          <w:p w14:paraId="6A97402A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21 (43)</w:t>
            </w:r>
          </w:p>
        </w:tc>
        <w:tc>
          <w:tcPr>
            <w:tcW w:w="2149" w:type="dxa"/>
          </w:tcPr>
          <w:p w14:paraId="4785888A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9 (43)</w:t>
            </w:r>
          </w:p>
        </w:tc>
        <w:tc>
          <w:tcPr>
            <w:tcW w:w="2149" w:type="dxa"/>
          </w:tcPr>
          <w:p w14:paraId="68D3E495" w14:textId="0D9CD340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12 (43)</w:t>
            </w:r>
          </w:p>
        </w:tc>
      </w:tr>
      <w:tr w:rsidR="00C43CFB" w:rsidRPr="00C43CFB" w14:paraId="1F8D8FF5" w14:textId="77777777" w:rsidTr="00F8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A5EED00" w14:textId="77777777" w:rsidR="00DD2BFB" w:rsidRPr="00C43CFB" w:rsidRDefault="00DD2BFB" w:rsidP="00F822E2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UC</w:t>
            </w:r>
          </w:p>
        </w:tc>
        <w:tc>
          <w:tcPr>
            <w:tcW w:w="1975" w:type="dxa"/>
          </w:tcPr>
          <w:p w14:paraId="76B6D4A4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22 (45)</w:t>
            </w:r>
          </w:p>
        </w:tc>
        <w:tc>
          <w:tcPr>
            <w:tcW w:w="2149" w:type="dxa"/>
          </w:tcPr>
          <w:p w14:paraId="5F0887E5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10 (48)</w:t>
            </w:r>
          </w:p>
        </w:tc>
        <w:tc>
          <w:tcPr>
            <w:tcW w:w="2149" w:type="dxa"/>
          </w:tcPr>
          <w:p w14:paraId="655240D1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12 (43)</w:t>
            </w:r>
          </w:p>
        </w:tc>
      </w:tr>
      <w:tr w:rsidR="00C43CFB" w:rsidRPr="00C43CFB" w14:paraId="0A94E546" w14:textId="77777777" w:rsidTr="00F822E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14D8716A" w14:textId="42F2F6FE" w:rsidR="00DD2BFB" w:rsidRPr="00C43CFB" w:rsidRDefault="00DD2BFB" w:rsidP="00B1677F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IBD-U</w:t>
            </w:r>
          </w:p>
        </w:tc>
        <w:tc>
          <w:tcPr>
            <w:tcW w:w="1975" w:type="dxa"/>
          </w:tcPr>
          <w:p w14:paraId="4E83A6F4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6 (12)</w:t>
            </w:r>
          </w:p>
        </w:tc>
        <w:tc>
          <w:tcPr>
            <w:tcW w:w="2149" w:type="dxa"/>
          </w:tcPr>
          <w:p w14:paraId="2BA8C85E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 (9)</w:t>
            </w:r>
          </w:p>
        </w:tc>
        <w:tc>
          <w:tcPr>
            <w:tcW w:w="2149" w:type="dxa"/>
          </w:tcPr>
          <w:p w14:paraId="051B7CF1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4 (14)</w:t>
            </w:r>
          </w:p>
        </w:tc>
      </w:tr>
      <w:tr w:rsidR="00C43CFB" w:rsidRPr="00C43CFB" w14:paraId="193637F0" w14:textId="77777777" w:rsidTr="00F8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D2C58FE" w14:textId="329394DB" w:rsidR="00DD2BFB" w:rsidRPr="00C43CFB" w:rsidRDefault="00F822E2" w:rsidP="00B1677F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Gender</w:t>
            </w:r>
          </w:p>
        </w:tc>
        <w:tc>
          <w:tcPr>
            <w:tcW w:w="1975" w:type="dxa"/>
          </w:tcPr>
          <w:p w14:paraId="795EC257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</w:p>
        </w:tc>
        <w:tc>
          <w:tcPr>
            <w:tcW w:w="2149" w:type="dxa"/>
          </w:tcPr>
          <w:p w14:paraId="43527B0B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</w:p>
        </w:tc>
        <w:tc>
          <w:tcPr>
            <w:tcW w:w="2149" w:type="dxa"/>
          </w:tcPr>
          <w:p w14:paraId="4E471D27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</w:p>
        </w:tc>
      </w:tr>
      <w:tr w:rsidR="00C43CFB" w:rsidRPr="00C43CFB" w14:paraId="0CE156B2" w14:textId="77777777" w:rsidTr="00F822E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00CB2B3" w14:textId="77777777" w:rsidR="00DD2BFB" w:rsidRPr="00C43CFB" w:rsidRDefault="00DD2BFB" w:rsidP="00F822E2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Male</w:t>
            </w:r>
          </w:p>
        </w:tc>
        <w:tc>
          <w:tcPr>
            <w:tcW w:w="1975" w:type="dxa"/>
          </w:tcPr>
          <w:p w14:paraId="123065EE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24 (49)</w:t>
            </w:r>
          </w:p>
        </w:tc>
        <w:tc>
          <w:tcPr>
            <w:tcW w:w="2149" w:type="dxa"/>
          </w:tcPr>
          <w:p w14:paraId="65C31A53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8 (38)</w:t>
            </w:r>
          </w:p>
        </w:tc>
        <w:tc>
          <w:tcPr>
            <w:tcW w:w="2149" w:type="dxa"/>
          </w:tcPr>
          <w:p w14:paraId="08D5CB35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16 (57)</w:t>
            </w:r>
          </w:p>
        </w:tc>
      </w:tr>
      <w:tr w:rsidR="00C43CFB" w:rsidRPr="00C43CFB" w14:paraId="5DE0E325" w14:textId="77777777" w:rsidTr="00F8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3BC7A51C" w14:textId="77777777" w:rsidR="00DD2BFB" w:rsidRPr="00C43CFB" w:rsidRDefault="00DD2BFB" w:rsidP="00F822E2">
            <w:pPr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Female</w:t>
            </w:r>
          </w:p>
        </w:tc>
        <w:tc>
          <w:tcPr>
            <w:tcW w:w="1975" w:type="dxa"/>
          </w:tcPr>
          <w:p w14:paraId="7515F0B8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25 (51)</w:t>
            </w:r>
          </w:p>
        </w:tc>
        <w:tc>
          <w:tcPr>
            <w:tcW w:w="2149" w:type="dxa"/>
          </w:tcPr>
          <w:p w14:paraId="65C0C2F8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13 (62)</w:t>
            </w:r>
          </w:p>
        </w:tc>
        <w:tc>
          <w:tcPr>
            <w:tcW w:w="2149" w:type="dxa"/>
          </w:tcPr>
          <w:p w14:paraId="2F049550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12 (43)</w:t>
            </w:r>
          </w:p>
        </w:tc>
      </w:tr>
      <w:tr w:rsidR="00C43CFB" w:rsidRPr="00C43CFB" w14:paraId="4C0AB4C7" w14:textId="77777777" w:rsidTr="00F822E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1776EE6A" w14:textId="77777777" w:rsidR="00DD2BFB" w:rsidRPr="00C43CFB" w:rsidRDefault="00DD2BFB" w:rsidP="00B1677F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CRP (mg/</w:t>
            </w:r>
            <w:proofErr w:type="spellStart"/>
            <w:r w:rsidRPr="00C43CFB">
              <w:rPr>
                <w:rFonts w:ascii="Book Antiqua" w:hAnsi="Book Antiqua" w:cs="Times New Roman"/>
                <w:b w:val="0"/>
                <w:color w:val="auto"/>
              </w:rPr>
              <w:t>dL</w:t>
            </w:r>
            <w:proofErr w:type="spellEnd"/>
            <w:r w:rsidRPr="00C43CFB">
              <w:rPr>
                <w:rFonts w:ascii="Book Antiqua" w:hAnsi="Book Antiqua" w:cs="Times New Roman"/>
                <w:b w:val="0"/>
                <w:color w:val="auto"/>
              </w:rPr>
              <w:t>)</w:t>
            </w:r>
          </w:p>
        </w:tc>
        <w:tc>
          <w:tcPr>
            <w:tcW w:w="1975" w:type="dxa"/>
          </w:tcPr>
          <w:p w14:paraId="48A52888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2.29</w:t>
            </w:r>
          </w:p>
        </w:tc>
        <w:tc>
          <w:tcPr>
            <w:tcW w:w="2149" w:type="dxa"/>
          </w:tcPr>
          <w:p w14:paraId="0310C2F3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1.12</w:t>
            </w:r>
          </w:p>
        </w:tc>
        <w:tc>
          <w:tcPr>
            <w:tcW w:w="2149" w:type="dxa"/>
          </w:tcPr>
          <w:p w14:paraId="35139A14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3.31</w:t>
            </w:r>
          </w:p>
        </w:tc>
      </w:tr>
      <w:tr w:rsidR="00C43CFB" w:rsidRPr="00C43CFB" w14:paraId="43B4352A" w14:textId="77777777" w:rsidTr="00F8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1C61A06" w14:textId="33835656" w:rsidR="00DD2BFB" w:rsidRPr="00C43CFB" w:rsidRDefault="00F822E2" w:rsidP="00B1677F">
            <w:pPr>
              <w:spacing w:line="360" w:lineRule="auto"/>
              <w:contextualSpacing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43CFB">
              <w:rPr>
                <w:rFonts w:ascii="Book Antiqua" w:hAnsi="Book Antiqua" w:cs="Times New Roman"/>
                <w:b w:val="0"/>
                <w:color w:val="auto"/>
              </w:rPr>
              <w:t>ESR (mm/h</w:t>
            </w:r>
            <w:r w:rsidR="00DD2BFB" w:rsidRPr="00C43CFB">
              <w:rPr>
                <w:rFonts w:ascii="Book Antiqua" w:hAnsi="Book Antiqua" w:cs="Times New Roman"/>
                <w:b w:val="0"/>
                <w:color w:val="auto"/>
              </w:rPr>
              <w:t>)</w:t>
            </w:r>
          </w:p>
        </w:tc>
        <w:tc>
          <w:tcPr>
            <w:tcW w:w="1975" w:type="dxa"/>
          </w:tcPr>
          <w:p w14:paraId="37E128F4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25.54</w:t>
            </w:r>
          </w:p>
        </w:tc>
        <w:tc>
          <w:tcPr>
            <w:tcW w:w="2149" w:type="dxa"/>
          </w:tcPr>
          <w:p w14:paraId="53ECEB23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13.09</w:t>
            </w:r>
          </w:p>
        </w:tc>
        <w:tc>
          <w:tcPr>
            <w:tcW w:w="2149" w:type="dxa"/>
          </w:tcPr>
          <w:p w14:paraId="43057708" w14:textId="77777777" w:rsidR="00DD2BFB" w:rsidRPr="00C43CFB" w:rsidRDefault="00DD2BFB" w:rsidP="00F822E2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43CFB">
              <w:rPr>
                <w:rFonts w:ascii="Book Antiqua" w:hAnsi="Book Antiqua" w:cs="Times New Roman"/>
                <w:color w:val="auto"/>
              </w:rPr>
              <w:t>34.23</w:t>
            </w:r>
          </w:p>
        </w:tc>
      </w:tr>
    </w:tbl>
    <w:p w14:paraId="7C8473E3" w14:textId="52A25B95" w:rsidR="00F51B2D" w:rsidRPr="00C43CFB" w:rsidRDefault="00DD2BFB" w:rsidP="00F822E2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3CFB">
        <w:rPr>
          <w:rFonts w:ascii="Book Antiqua" w:hAnsi="Book Antiqua" w:cs="Times New Roman"/>
          <w:sz w:val="24"/>
          <w:szCs w:val="24"/>
        </w:rPr>
        <w:t>CD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: </w:t>
      </w:r>
      <w:r w:rsidRPr="00C43CFB">
        <w:rPr>
          <w:rFonts w:ascii="Book Antiqua" w:hAnsi="Book Antiqua" w:cs="Times New Roman"/>
          <w:sz w:val="24"/>
          <w:szCs w:val="24"/>
        </w:rPr>
        <w:t xml:space="preserve">Crohn’s </w:t>
      </w:r>
      <w:r w:rsidR="00F822E2" w:rsidRPr="00C43CFB">
        <w:rPr>
          <w:rFonts w:ascii="Book Antiqua" w:hAnsi="Book Antiqua" w:cs="Times New Roman"/>
          <w:sz w:val="24"/>
          <w:szCs w:val="24"/>
        </w:rPr>
        <w:t>d</w:t>
      </w:r>
      <w:r w:rsidRPr="00C43CFB">
        <w:rPr>
          <w:rFonts w:ascii="Book Antiqua" w:hAnsi="Book Antiqua" w:cs="Times New Roman"/>
          <w:sz w:val="24"/>
          <w:szCs w:val="24"/>
        </w:rPr>
        <w:t>isease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; </w:t>
      </w:r>
      <w:r w:rsidRPr="00C43CFB">
        <w:rPr>
          <w:rFonts w:ascii="Book Antiqua" w:hAnsi="Book Antiqua" w:cs="Times New Roman"/>
          <w:sz w:val="24"/>
          <w:szCs w:val="24"/>
        </w:rPr>
        <w:t>UC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: </w:t>
      </w:r>
      <w:r w:rsidRPr="00C43CFB">
        <w:rPr>
          <w:rFonts w:ascii="Book Antiqua" w:hAnsi="Book Antiqua" w:cs="Times New Roman"/>
          <w:sz w:val="24"/>
          <w:szCs w:val="24"/>
        </w:rPr>
        <w:t xml:space="preserve">Ulcerative </w:t>
      </w:r>
      <w:r w:rsidR="00F822E2" w:rsidRPr="00C43CFB">
        <w:rPr>
          <w:rFonts w:ascii="Book Antiqua" w:hAnsi="Book Antiqua" w:cs="Times New Roman"/>
          <w:sz w:val="24"/>
          <w:szCs w:val="24"/>
        </w:rPr>
        <w:t>c</w:t>
      </w:r>
      <w:r w:rsidRPr="00C43CFB">
        <w:rPr>
          <w:rFonts w:ascii="Book Antiqua" w:hAnsi="Book Antiqua" w:cs="Times New Roman"/>
          <w:sz w:val="24"/>
          <w:szCs w:val="24"/>
        </w:rPr>
        <w:t>olitis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; IBD: Inflammatory bowel disease; </w:t>
      </w:r>
      <w:r w:rsidRPr="00C43CFB">
        <w:rPr>
          <w:rFonts w:ascii="Book Antiqua" w:hAnsi="Book Antiqua" w:cs="Times New Roman"/>
          <w:sz w:val="24"/>
          <w:szCs w:val="24"/>
        </w:rPr>
        <w:t>IBD-U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: </w:t>
      </w:r>
      <w:r w:rsidRPr="00C43CFB">
        <w:rPr>
          <w:rFonts w:ascii="Book Antiqua" w:hAnsi="Book Antiqua" w:cs="Times New Roman"/>
          <w:sz w:val="24"/>
          <w:szCs w:val="24"/>
        </w:rPr>
        <w:t>IBD-</w:t>
      </w:r>
      <w:r w:rsidR="00F822E2" w:rsidRPr="00C43CFB">
        <w:rPr>
          <w:rFonts w:ascii="Book Antiqua" w:hAnsi="Book Antiqua" w:cs="Times New Roman"/>
          <w:sz w:val="24"/>
          <w:szCs w:val="24"/>
        </w:rPr>
        <w:t>u</w:t>
      </w:r>
      <w:r w:rsidRPr="00C43CFB">
        <w:rPr>
          <w:rFonts w:ascii="Book Antiqua" w:hAnsi="Book Antiqua" w:cs="Times New Roman"/>
          <w:sz w:val="24"/>
          <w:szCs w:val="24"/>
        </w:rPr>
        <w:t>nclassified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; </w:t>
      </w:r>
      <w:r w:rsidRPr="00C43CFB">
        <w:rPr>
          <w:rFonts w:ascii="Book Antiqua" w:hAnsi="Book Antiqua" w:cs="Times New Roman"/>
          <w:sz w:val="24"/>
          <w:szCs w:val="24"/>
        </w:rPr>
        <w:t>FC</w:t>
      </w:r>
      <w:r w:rsidR="00F822E2" w:rsidRPr="00C43CFB">
        <w:rPr>
          <w:rFonts w:ascii="Book Antiqua" w:hAnsi="Book Antiqua" w:cs="Times New Roman"/>
          <w:sz w:val="24"/>
          <w:szCs w:val="24"/>
        </w:rPr>
        <w:t xml:space="preserve">: </w:t>
      </w:r>
      <w:r w:rsidRPr="00C43CFB">
        <w:rPr>
          <w:rFonts w:ascii="Book Antiqua" w:hAnsi="Book Antiqua" w:cs="Times New Roman"/>
          <w:caps/>
          <w:sz w:val="24"/>
          <w:szCs w:val="24"/>
        </w:rPr>
        <w:t>f</w:t>
      </w:r>
      <w:r w:rsidRPr="00C43CFB">
        <w:rPr>
          <w:rFonts w:ascii="Book Antiqua" w:hAnsi="Book Antiqua" w:cs="Times New Roman"/>
          <w:sz w:val="24"/>
          <w:szCs w:val="24"/>
        </w:rPr>
        <w:t>ecal calprotectin.</w:t>
      </w:r>
    </w:p>
    <w:p w14:paraId="4EC25F64" w14:textId="582839AB" w:rsidR="007B6B32" w:rsidRPr="00C43CFB" w:rsidRDefault="007B6B32">
      <w:pPr>
        <w:rPr>
          <w:rFonts w:ascii="Book Antiqua" w:hAnsi="Book Antiqua" w:cs="Times New Roman"/>
        </w:rPr>
      </w:pPr>
      <w:r w:rsidRPr="00C43CFB">
        <w:rPr>
          <w:rFonts w:ascii="Book Antiqua" w:hAnsi="Book Antiqua" w:cs="Times New Roman"/>
        </w:rPr>
        <w:br w:type="page"/>
      </w:r>
    </w:p>
    <w:p w14:paraId="285420B3" w14:textId="3E774034" w:rsidR="007B6B32" w:rsidRPr="00C43CFB" w:rsidRDefault="007B6B32" w:rsidP="00B1677F">
      <w:pPr>
        <w:spacing w:line="360" w:lineRule="auto"/>
        <w:jc w:val="both"/>
        <w:rPr>
          <w:rFonts w:ascii="Book Antiqua" w:hAnsi="Book Antiqua" w:cs="Times New Roman"/>
        </w:rPr>
      </w:pPr>
      <w:r w:rsidRPr="00C43CFB">
        <w:rPr>
          <w:rFonts w:ascii="Book Antiqua" w:hAnsi="Book Antiqua"/>
          <w:noProof/>
        </w:rPr>
        <w:lastRenderedPageBreak/>
        <w:drawing>
          <wp:inline distT="0" distB="0" distL="0" distR="0" wp14:anchorId="7FE6E82C" wp14:editId="5865E5A8">
            <wp:extent cx="5480050" cy="4235450"/>
            <wp:effectExtent l="0" t="0" r="6350" b="6350"/>
            <wp:docPr id="1" name="Picture 1" descr="Macintosh HD:Users:ktpark:Dropbox:Documents:111.Calprotectin studies:RAPID Calprotectin correlation:Figure 1_Bland-Altman Plot_Calpro Correlation WJG 201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tpark:Dropbox:Documents:111.Calprotectin studies:RAPID Calprotectin correlation:Figure 1_Bland-Altman Plot_Calpro Correlation WJG 2016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742F9" w14:textId="2A9A3024" w:rsidR="00DD2BFB" w:rsidRPr="00C43CFB" w:rsidRDefault="00276597" w:rsidP="00B1677F">
      <w:pPr>
        <w:spacing w:line="360" w:lineRule="auto"/>
        <w:jc w:val="both"/>
        <w:rPr>
          <w:rFonts w:ascii="Book Antiqua" w:hAnsi="Book Antiqua" w:cs="Times New Roman"/>
          <w:b/>
        </w:rPr>
      </w:pPr>
      <w:r w:rsidRPr="00C43CFB">
        <w:rPr>
          <w:rFonts w:ascii="Book Antiqua" w:hAnsi="Book Antiqua" w:cs="Times New Roman"/>
          <w:b/>
        </w:rPr>
        <w:t>Figure 1</w:t>
      </w:r>
      <w:r w:rsidR="007B6B32" w:rsidRPr="00C43CFB">
        <w:rPr>
          <w:rFonts w:ascii="Book Antiqua" w:hAnsi="Book Antiqua" w:cs="Times New Roman"/>
          <w:b/>
        </w:rPr>
        <w:t xml:space="preserve"> </w:t>
      </w:r>
      <w:r w:rsidRPr="00C43CFB">
        <w:rPr>
          <w:rFonts w:ascii="Book Antiqua" w:hAnsi="Book Antiqua" w:cs="Times New Roman"/>
          <w:b/>
        </w:rPr>
        <w:t xml:space="preserve">Bland-Altman </w:t>
      </w:r>
      <w:r w:rsidR="007B6B32" w:rsidRPr="00C43CFB">
        <w:rPr>
          <w:rFonts w:ascii="Book Antiqua" w:hAnsi="Book Antiqua" w:cs="Times New Roman"/>
          <w:b/>
        </w:rPr>
        <w:t>p</w:t>
      </w:r>
      <w:r w:rsidRPr="00C43CFB">
        <w:rPr>
          <w:rFonts w:ascii="Book Antiqua" w:hAnsi="Book Antiqua" w:cs="Times New Roman"/>
          <w:b/>
        </w:rPr>
        <w:t>lot</w:t>
      </w:r>
      <w:r w:rsidR="005461C8" w:rsidRPr="00C43CFB">
        <w:rPr>
          <w:rFonts w:ascii="Book Antiqua" w:hAnsi="Book Antiqua" w:cs="Times New Roman"/>
          <w:b/>
        </w:rPr>
        <w:t xml:space="preserve"> for calprotectin values </w:t>
      </w:r>
      <w:r w:rsidR="00DD2BFB" w:rsidRPr="00C43CFB">
        <w:rPr>
          <w:rFonts w:ascii="Book Antiqua" w:hAnsi="Book Antiqua" w:cs="Times New Roman"/>
          <w:b/>
        </w:rPr>
        <w:t>≤ 250 μg/g</w:t>
      </w:r>
      <w:r w:rsidR="007B6B32" w:rsidRPr="00C43CFB">
        <w:rPr>
          <w:rFonts w:ascii="Book Antiqua" w:hAnsi="Book Antiqua"/>
          <w:b/>
          <w:noProof/>
        </w:rPr>
        <w:t>.</w:t>
      </w:r>
      <w:r w:rsidR="007B6B32" w:rsidRPr="00C43CFB">
        <w:rPr>
          <w:rFonts w:ascii="Book Antiqua" w:hAnsi="Book Antiqua" w:cs="Times New Roman"/>
          <w:b/>
        </w:rPr>
        <w:t xml:space="preserve"> </w:t>
      </w:r>
      <w:r w:rsidR="00BB5CB7" w:rsidRPr="00C43CFB">
        <w:rPr>
          <w:rFonts w:ascii="Book Antiqua" w:hAnsi="Book Antiqua" w:cs="Times New Roman"/>
        </w:rPr>
        <w:t xml:space="preserve">Pitman’s test showed </w:t>
      </w:r>
      <w:r w:rsidR="00BB5CB7" w:rsidRPr="00C43CFB">
        <w:rPr>
          <w:rFonts w:ascii="Book Antiqua" w:hAnsi="Book Antiqua" w:cs="Times New Roman"/>
          <w:i/>
        </w:rPr>
        <w:t>r</w:t>
      </w:r>
      <w:r w:rsidR="00BB5CB7" w:rsidRPr="00C43CFB">
        <w:rPr>
          <w:rFonts w:ascii="Book Antiqua" w:hAnsi="Book Antiqua" w:cs="Times New Roman"/>
        </w:rPr>
        <w:t xml:space="preserve"> = 0.072, with the value close to zero indicating good concordance b</w:t>
      </w:r>
      <w:bookmarkStart w:id="188" w:name="_GoBack"/>
      <w:bookmarkEnd w:id="188"/>
      <w:r w:rsidR="00BB5CB7" w:rsidRPr="00C43CFB">
        <w:rPr>
          <w:rFonts w:ascii="Book Antiqua" w:hAnsi="Book Antiqua" w:cs="Times New Roman"/>
        </w:rPr>
        <w:t>etween the two tests (</w:t>
      </w:r>
      <w:r w:rsidR="00BB5CB7" w:rsidRPr="00C43CFB">
        <w:rPr>
          <w:rFonts w:ascii="Book Antiqua" w:hAnsi="Book Antiqua" w:cs="Times New Roman"/>
          <w:i/>
        </w:rPr>
        <w:t xml:space="preserve">P </w:t>
      </w:r>
      <w:r w:rsidR="00BB5CB7" w:rsidRPr="00C43CFB">
        <w:rPr>
          <w:rFonts w:ascii="Book Antiqua" w:hAnsi="Book Antiqua" w:cs="Times New Roman"/>
        </w:rPr>
        <w:t>= 0.779)</w:t>
      </w:r>
      <w:r w:rsidR="007B6B32" w:rsidRPr="00C43CFB">
        <w:rPr>
          <w:rFonts w:ascii="Book Antiqua" w:hAnsi="Book Antiqua" w:cs="Times New Roman"/>
        </w:rPr>
        <w:t>.</w:t>
      </w:r>
    </w:p>
    <w:p w14:paraId="4A910FD2" w14:textId="70925B87" w:rsidR="007B6B32" w:rsidRPr="00C43CFB" w:rsidRDefault="007B6B32">
      <w:pPr>
        <w:rPr>
          <w:rFonts w:ascii="Book Antiqua" w:hAnsi="Book Antiqua" w:cs="Times New Roman"/>
          <w:b/>
        </w:rPr>
      </w:pPr>
    </w:p>
    <w:sectPr w:rsidR="007B6B32" w:rsidRPr="00C43CFB" w:rsidSect="007E7AF8">
      <w:footerReference w:type="even" r:id="rId11"/>
      <w:foot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8F15" w14:textId="77777777" w:rsidR="00B37596" w:rsidRDefault="00B37596" w:rsidP="00AF70E7">
      <w:r>
        <w:separator/>
      </w:r>
    </w:p>
  </w:endnote>
  <w:endnote w:type="continuationSeparator" w:id="0">
    <w:p w14:paraId="267359D0" w14:textId="77777777" w:rsidR="00B37596" w:rsidRDefault="00B37596" w:rsidP="00A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A63FE" w14:textId="77777777" w:rsidR="00C71D5B" w:rsidRDefault="00C71D5B" w:rsidP="008B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D7BFC" w14:textId="77777777" w:rsidR="00C71D5B" w:rsidRDefault="00C71D5B" w:rsidP="000E24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C168" w14:textId="77777777" w:rsidR="00C71D5B" w:rsidRDefault="00C71D5B" w:rsidP="008B0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9F7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8F0E92A" w14:textId="77777777" w:rsidR="00C71D5B" w:rsidRDefault="00C71D5B" w:rsidP="000E2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17C2" w14:textId="77777777" w:rsidR="00B37596" w:rsidRDefault="00B37596" w:rsidP="00AF70E7">
      <w:r>
        <w:separator/>
      </w:r>
    </w:p>
  </w:footnote>
  <w:footnote w:type="continuationSeparator" w:id="0">
    <w:p w14:paraId="3D817BB3" w14:textId="77777777" w:rsidR="00B37596" w:rsidRDefault="00B37596" w:rsidP="00AF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CA5"/>
    <w:multiLevelType w:val="hybridMultilevel"/>
    <w:tmpl w:val="6F2091EC"/>
    <w:lvl w:ilvl="0" w:tplc="76BA54A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7"/>
    <w:rsid w:val="00002E56"/>
    <w:rsid w:val="000C148C"/>
    <w:rsid w:val="000E24B1"/>
    <w:rsid w:val="00100259"/>
    <w:rsid w:val="001157D9"/>
    <w:rsid w:val="00124984"/>
    <w:rsid w:val="00134A55"/>
    <w:rsid w:val="00143BA2"/>
    <w:rsid w:val="001540C7"/>
    <w:rsid w:val="00173175"/>
    <w:rsid w:val="00176DD7"/>
    <w:rsid w:val="00194E26"/>
    <w:rsid w:val="001D393A"/>
    <w:rsid w:val="001F03C5"/>
    <w:rsid w:val="00276597"/>
    <w:rsid w:val="002E0735"/>
    <w:rsid w:val="003600F8"/>
    <w:rsid w:val="00364C07"/>
    <w:rsid w:val="003A063F"/>
    <w:rsid w:val="003B7029"/>
    <w:rsid w:val="003D24C4"/>
    <w:rsid w:val="00455BF7"/>
    <w:rsid w:val="00480B48"/>
    <w:rsid w:val="00487F01"/>
    <w:rsid w:val="00492799"/>
    <w:rsid w:val="004E79B4"/>
    <w:rsid w:val="004F27C3"/>
    <w:rsid w:val="00534B45"/>
    <w:rsid w:val="00537117"/>
    <w:rsid w:val="005461C8"/>
    <w:rsid w:val="005733C2"/>
    <w:rsid w:val="00587F7A"/>
    <w:rsid w:val="00593DD8"/>
    <w:rsid w:val="005A0496"/>
    <w:rsid w:val="005B4F64"/>
    <w:rsid w:val="005B6802"/>
    <w:rsid w:val="005E5D53"/>
    <w:rsid w:val="00617730"/>
    <w:rsid w:val="006412B9"/>
    <w:rsid w:val="00694187"/>
    <w:rsid w:val="006A75A2"/>
    <w:rsid w:val="006D2288"/>
    <w:rsid w:val="006F531B"/>
    <w:rsid w:val="00712504"/>
    <w:rsid w:val="00736E91"/>
    <w:rsid w:val="007B3F67"/>
    <w:rsid w:val="007B6B32"/>
    <w:rsid w:val="007E7AF8"/>
    <w:rsid w:val="00877B97"/>
    <w:rsid w:val="00885D5B"/>
    <w:rsid w:val="00886FCF"/>
    <w:rsid w:val="008B0F55"/>
    <w:rsid w:val="008B46F1"/>
    <w:rsid w:val="00910AB2"/>
    <w:rsid w:val="00937AA1"/>
    <w:rsid w:val="0096435E"/>
    <w:rsid w:val="00976778"/>
    <w:rsid w:val="00996DB8"/>
    <w:rsid w:val="009A3077"/>
    <w:rsid w:val="009A6A1B"/>
    <w:rsid w:val="009C0425"/>
    <w:rsid w:val="009D0D2A"/>
    <w:rsid w:val="009D14E2"/>
    <w:rsid w:val="009D5679"/>
    <w:rsid w:val="009E5CE7"/>
    <w:rsid w:val="009F0B32"/>
    <w:rsid w:val="00A279C9"/>
    <w:rsid w:val="00A57F46"/>
    <w:rsid w:val="00A71D4A"/>
    <w:rsid w:val="00A86AD1"/>
    <w:rsid w:val="00A92790"/>
    <w:rsid w:val="00AF70E7"/>
    <w:rsid w:val="00B1677F"/>
    <w:rsid w:val="00B22E6E"/>
    <w:rsid w:val="00B30896"/>
    <w:rsid w:val="00B37596"/>
    <w:rsid w:val="00B9226A"/>
    <w:rsid w:val="00BB5CB7"/>
    <w:rsid w:val="00BD4126"/>
    <w:rsid w:val="00C059A1"/>
    <w:rsid w:val="00C168A9"/>
    <w:rsid w:val="00C43CFB"/>
    <w:rsid w:val="00C52ACF"/>
    <w:rsid w:val="00C71D5B"/>
    <w:rsid w:val="00C7297A"/>
    <w:rsid w:val="00C81155"/>
    <w:rsid w:val="00C83BE5"/>
    <w:rsid w:val="00CB07D8"/>
    <w:rsid w:val="00CF0475"/>
    <w:rsid w:val="00CF187B"/>
    <w:rsid w:val="00D20419"/>
    <w:rsid w:val="00D20D8F"/>
    <w:rsid w:val="00D55D5F"/>
    <w:rsid w:val="00D808C1"/>
    <w:rsid w:val="00D9110D"/>
    <w:rsid w:val="00D94856"/>
    <w:rsid w:val="00DB3D4B"/>
    <w:rsid w:val="00DD2BFB"/>
    <w:rsid w:val="00DE73D8"/>
    <w:rsid w:val="00E11E09"/>
    <w:rsid w:val="00E1318A"/>
    <w:rsid w:val="00E3110E"/>
    <w:rsid w:val="00E659F7"/>
    <w:rsid w:val="00E84739"/>
    <w:rsid w:val="00ED03D5"/>
    <w:rsid w:val="00F26F3A"/>
    <w:rsid w:val="00F43B81"/>
    <w:rsid w:val="00F51B2D"/>
    <w:rsid w:val="00F60967"/>
    <w:rsid w:val="00F61111"/>
    <w:rsid w:val="00F61942"/>
    <w:rsid w:val="00F73153"/>
    <w:rsid w:val="00F822E2"/>
    <w:rsid w:val="00FC1FCF"/>
    <w:rsid w:val="00FC25C4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701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540C7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0C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0C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110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F70E7"/>
  </w:style>
  <w:style w:type="character" w:customStyle="1" w:styleId="EndnoteTextChar">
    <w:name w:val="Endnote Text Char"/>
    <w:basedOn w:val="DefaultParagraphFont"/>
    <w:link w:val="EndnoteText"/>
    <w:uiPriority w:val="99"/>
    <w:rsid w:val="00AF70E7"/>
  </w:style>
  <w:style w:type="character" w:styleId="EndnoteReference">
    <w:name w:val="endnote reference"/>
    <w:basedOn w:val="DefaultParagraphFont"/>
    <w:uiPriority w:val="99"/>
    <w:unhideWhenUsed/>
    <w:rsid w:val="00AF70E7"/>
    <w:rPr>
      <w:vertAlign w:val="superscript"/>
    </w:rPr>
  </w:style>
  <w:style w:type="table" w:styleId="TableGrid">
    <w:name w:val="Table Grid"/>
    <w:basedOn w:val="TableNormal"/>
    <w:uiPriority w:val="39"/>
    <w:rsid w:val="007B3F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3F67"/>
    <w:rPr>
      <w:rFonts w:eastAsiaTheme="minorHAnsi"/>
      <w:sz w:val="22"/>
      <w:szCs w:val="22"/>
    </w:rPr>
  </w:style>
  <w:style w:type="table" w:styleId="LightShading">
    <w:name w:val="Light Shading"/>
    <w:basedOn w:val="TableNormal"/>
    <w:uiPriority w:val="60"/>
    <w:rsid w:val="00C168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E2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B1"/>
  </w:style>
  <w:style w:type="character" w:styleId="PageNumber">
    <w:name w:val="page number"/>
    <w:basedOn w:val="DefaultParagraphFont"/>
    <w:uiPriority w:val="99"/>
    <w:semiHidden/>
    <w:unhideWhenUsed/>
    <w:rsid w:val="000E24B1"/>
  </w:style>
  <w:style w:type="paragraph" w:customStyle="1" w:styleId="1">
    <w:name w:val="正文1"/>
    <w:uiPriority w:val="99"/>
    <w:rsid w:val="00D94856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A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063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3F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3F"/>
    <w:rPr>
      <w:rFonts w:eastAsiaTheme="minorHAnsi"/>
      <w:b/>
      <w:bCs/>
    </w:rPr>
  </w:style>
  <w:style w:type="character" w:styleId="Emphasis">
    <w:name w:val="Emphasis"/>
    <w:qFormat/>
    <w:rsid w:val="00E659F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540C7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0C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0C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110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F70E7"/>
  </w:style>
  <w:style w:type="character" w:customStyle="1" w:styleId="EndnoteTextChar">
    <w:name w:val="Endnote Text Char"/>
    <w:basedOn w:val="DefaultParagraphFont"/>
    <w:link w:val="EndnoteText"/>
    <w:uiPriority w:val="99"/>
    <w:rsid w:val="00AF70E7"/>
  </w:style>
  <w:style w:type="character" w:styleId="EndnoteReference">
    <w:name w:val="endnote reference"/>
    <w:basedOn w:val="DefaultParagraphFont"/>
    <w:uiPriority w:val="99"/>
    <w:unhideWhenUsed/>
    <w:rsid w:val="00AF70E7"/>
    <w:rPr>
      <w:vertAlign w:val="superscript"/>
    </w:rPr>
  </w:style>
  <w:style w:type="table" w:styleId="TableGrid">
    <w:name w:val="Table Grid"/>
    <w:basedOn w:val="TableNormal"/>
    <w:uiPriority w:val="39"/>
    <w:rsid w:val="007B3F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3F67"/>
    <w:rPr>
      <w:rFonts w:eastAsiaTheme="minorHAnsi"/>
      <w:sz w:val="22"/>
      <w:szCs w:val="22"/>
    </w:rPr>
  </w:style>
  <w:style w:type="table" w:styleId="LightShading">
    <w:name w:val="Light Shading"/>
    <w:basedOn w:val="TableNormal"/>
    <w:uiPriority w:val="60"/>
    <w:rsid w:val="00C168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E2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B1"/>
  </w:style>
  <w:style w:type="character" w:styleId="PageNumber">
    <w:name w:val="page number"/>
    <w:basedOn w:val="DefaultParagraphFont"/>
    <w:uiPriority w:val="99"/>
    <w:semiHidden/>
    <w:unhideWhenUsed/>
    <w:rsid w:val="000E24B1"/>
  </w:style>
  <w:style w:type="paragraph" w:customStyle="1" w:styleId="1">
    <w:name w:val="正文1"/>
    <w:uiPriority w:val="99"/>
    <w:rsid w:val="00D94856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A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063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3F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3F"/>
    <w:rPr>
      <w:rFonts w:eastAsiaTheme="minorHAnsi"/>
      <w:b/>
      <w:bCs/>
    </w:rPr>
  </w:style>
  <w:style w:type="character" w:styleId="Emphasis">
    <w:name w:val="Emphasis"/>
    <w:qFormat/>
    <w:rsid w:val="00E659F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A5FC-89B2-544C-8A77-EE5F8D72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2701</Words>
  <Characters>15398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/ Gastroenterology (Pediatrics)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 Park</dc:creator>
  <cp:keywords/>
  <dc:description/>
  <cp:lastModifiedBy>Na Ma</cp:lastModifiedBy>
  <cp:revision>2</cp:revision>
  <dcterms:created xsi:type="dcterms:W3CDTF">2017-01-17T02:08:00Z</dcterms:created>
  <dcterms:modified xsi:type="dcterms:W3CDTF">2017-01-17T02:08:00Z</dcterms:modified>
</cp:coreProperties>
</file>