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1B7DE"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b/>
          <w:bCs/>
          <w:lang w:val="en-GB"/>
        </w:rPr>
        <w:t xml:space="preserve">Name of Journal: </w:t>
      </w:r>
      <w:r w:rsidRPr="003B7DDC">
        <w:rPr>
          <w:rFonts w:ascii="Book Antiqua" w:hAnsi="Book Antiqua" w:cs="Arial"/>
          <w:b/>
          <w:i/>
          <w:lang w:val="en-GB"/>
        </w:rPr>
        <w:t>World Journal of Nephrology</w:t>
      </w:r>
    </w:p>
    <w:p w14:paraId="5F07AA92" w14:textId="77777777" w:rsidR="00EC3916" w:rsidRPr="003B7DDC" w:rsidRDefault="00EC3916" w:rsidP="00CB581F">
      <w:pPr>
        <w:autoSpaceDE w:val="0"/>
        <w:autoSpaceDN w:val="0"/>
        <w:adjustRightInd w:val="0"/>
        <w:snapToGrid w:val="0"/>
        <w:spacing w:line="360" w:lineRule="auto"/>
        <w:jc w:val="both"/>
        <w:rPr>
          <w:rFonts w:ascii="Book Antiqua" w:hAnsi="Book Antiqua" w:cs="Arial"/>
          <w:b/>
          <w:bCs/>
          <w:lang w:val="en-GB"/>
        </w:rPr>
      </w:pPr>
      <w:r w:rsidRPr="003B7DDC">
        <w:rPr>
          <w:rFonts w:ascii="Book Antiqua" w:hAnsi="Book Antiqua" w:cs="Arial"/>
          <w:b/>
          <w:bCs/>
          <w:lang w:val="en-GB"/>
        </w:rPr>
        <w:t>Manuscript number: 27566</w:t>
      </w:r>
    </w:p>
    <w:p w14:paraId="44278499" w14:textId="77777777" w:rsidR="004009AA" w:rsidRPr="003B7DDC" w:rsidRDefault="00C2498C" w:rsidP="00CB581F">
      <w:pPr>
        <w:autoSpaceDE w:val="0"/>
        <w:autoSpaceDN w:val="0"/>
        <w:adjustRightInd w:val="0"/>
        <w:snapToGrid w:val="0"/>
        <w:spacing w:line="360" w:lineRule="auto"/>
        <w:jc w:val="both"/>
        <w:rPr>
          <w:rFonts w:ascii="Book Antiqua" w:hAnsi="Book Antiqua" w:cs="Arial"/>
          <w:b/>
          <w:lang w:val="en-GB" w:eastAsia="zh-CN"/>
        </w:rPr>
      </w:pPr>
      <w:r w:rsidRPr="003B7DDC">
        <w:rPr>
          <w:rFonts w:ascii="Book Antiqua" w:hAnsi="Book Antiqua" w:cs="Arial"/>
          <w:b/>
          <w:bCs/>
          <w:lang w:val="en-GB"/>
        </w:rPr>
        <w:t>Manuscript Type:</w:t>
      </w:r>
      <w:r w:rsidRPr="003B7DDC">
        <w:rPr>
          <w:rFonts w:ascii="Book Antiqua" w:hAnsi="Book Antiqua" w:cs="Arial"/>
          <w:b/>
          <w:lang w:val="en-GB"/>
        </w:rPr>
        <w:t xml:space="preserve"> </w:t>
      </w:r>
      <w:r w:rsidR="004009AA" w:rsidRPr="00651864">
        <w:rPr>
          <w:rFonts w:ascii="Book Antiqua" w:hAnsi="Book Antiqua"/>
          <w:b/>
          <w:lang w:val="en-US"/>
        </w:rPr>
        <w:t>Original Article</w:t>
      </w:r>
    </w:p>
    <w:p w14:paraId="3B16A817" w14:textId="77777777" w:rsidR="004009AA" w:rsidRPr="003B7DDC" w:rsidRDefault="004009AA" w:rsidP="00CB581F">
      <w:pPr>
        <w:autoSpaceDE w:val="0"/>
        <w:autoSpaceDN w:val="0"/>
        <w:adjustRightInd w:val="0"/>
        <w:snapToGrid w:val="0"/>
        <w:spacing w:line="360" w:lineRule="auto"/>
        <w:jc w:val="both"/>
        <w:rPr>
          <w:rFonts w:ascii="Book Antiqua" w:hAnsi="Book Antiqua" w:cs="Arial"/>
          <w:b/>
          <w:lang w:val="en-GB" w:eastAsia="zh-CN"/>
        </w:rPr>
      </w:pPr>
    </w:p>
    <w:p w14:paraId="6F3B5145"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i/>
          <w:lang w:val="en-GB"/>
        </w:rPr>
      </w:pPr>
      <w:r w:rsidRPr="003B7DDC">
        <w:rPr>
          <w:rFonts w:ascii="Book Antiqua" w:hAnsi="Book Antiqua" w:cs="Arial"/>
          <w:b/>
          <w:i/>
          <w:lang w:val="en-GB"/>
        </w:rPr>
        <w:t>Retrospective Study</w:t>
      </w:r>
    </w:p>
    <w:p w14:paraId="51A9B8E1"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bCs/>
          <w:lang w:val="en-GB"/>
        </w:rPr>
      </w:pPr>
    </w:p>
    <w:p w14:paraId="77267078"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bCs/>
          <w:lang w:val="en-GB"/>
        </w:rPr>
      </w:pPr>
      <w:bookmarkStart w:id="0" w:name="OLE_LINK1"/>
      <w:r w:rsidRPr="003B7DDC">
        <w:rPr>
          <w:rFonts w:ascii="Book Antiqua" w:hAnsi="Book Antiqua" w:cs="Arial"/>
          <w:b/>
          <w:bCs/>
          <w:lang w:val="en-GB"/>
        </w:rPr>
        <w:t xml:space="preserve">Acute </w:t>
      </w:r>
      <w:r w:rsidR="00970EDD" w:rsidRPr="003B7DDC">
        <w:rPr>
          <w:rFonts w:ascii="Book Antiqua" w:hAnsi="Book Antiqua" w:cs="Arial"/>
          <w:b/>
          <w:bCs/>
          <w:lang w:val="en-GB"/>
        </w:rPr>
        <w:t>kidney injury following spinal instrumentation surgery in children</w:t>
      </w:r>
    </w:p>
    <w:bookmarkEnd w:id="0"/>
    <w:p w14:paraId="18B5988B" w14:textId="77777777" w:rsidR="00970EDD" w:rsidRPr="003B7DDC" w:rsidRDefault="00970EDD" w:rsidP="00CB581F">
      <w:pPr>
        <w:autoSpaceDE w:val="0"/>
        <w:autoSpaceDN w:val="0"/>
        <w:adjustRightInd w:val="0"/>
        <w:snapToGrid w:val="0"/>
        <w:spacing w:line="360" w:lineRule="auto"/>
        <w:jc w:val="both"/>
        <w:rPr>
          <w:rFonts w:ascii="Book Antiqua" w:hAnsi="Book Antiqua" w:cs="Arial"/>
          <w:b/>
          <w:bCs/>
          <w:lang w:val="en-GB" w:eastAsia="zh-CN"/>
        </w:rPr>
      </w:pPr>
    </w:p>
    <w:p w14:paraId="09A9C42C"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lang w:val="en-GB"/>
        </w:rPr>
        <w:t xml:space="preserve">Jöbsis JJ </w:t>
      </w:r>
      <w:r w:rsidRPr="003B7DDC">
        <w:rPr>
          <w:rFonts w:ascii="Book Antiqua" w:hAnsi="Book Antiqua" w:cs="Arial"/>
          <w:i/>
          <w:iCs/>
          <w:lang w:val="en-GB"/>
        </w:rPr>
        <w:t xml:space="preserve">et al. </w:t>
      </w:r>
      <w:r w:rsidRPr="003B7DDC">
        <w:rPr>
          <w:rFonts w:ascii="Book Antiqua" w:hAnsi="Book Antiqua" w:cs="Arial"/>
          <w:lang w:val="en-GB"/>
        </w:rPr>
        <w:t>AKI following pediatric spinal surgery</w:t>
      </w:r>
    </w:p>
    <w:p w14:paraId="50D77DE3"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76054640"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lang w:val="en-GB" w:eastAsia="zh-CN"/>
        </w:rPr>
      </w:pPr>
      <w:r w:rsidRPr="003B7DDC">
        <w:rPr>
          <w:rFonts w:ascii="Book Antiqua" w:hAnsi="Book Antiqua" w:cs="Arial"/>
          <w:b/>
          <w:lang w:val="en-GB"/>
        </w:rPr>
        <w:t xml:space="preserve">Jasper J Jöbsis, Abdullah Alabbas, Ruth Milner, Christopher Reilly, Kishore Mulpuri, </w:t>
      </w:r>
      <w:r w:rsidR="00C4632B" w:rsidRPr="003B7DDC">
        <w:rPr>
          <w:rFonts w:ascii="Book Antiqua" w:hAnsi="Book Antiqua" w:cs="Arial"/>
          <w:b/>
          <w:lang w:val="en-GB"/>
        </w:rPr>
        <w:t>Cherry Mammen</w:t>
      </w:r>
    </w:p>
    <w:p w14:paraId="43650ED2"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16F654A6" w14:textId="77777777" w:rsidR="00C2498C" w:rsidRPr="00651864" w:rsidRDefault="00C4632B" w:rsidP="00CB581F">
      <w:pPr>
        <w:autoSpaceDE w:val="0"/>
        <w:autoSpaceDN w:val="0"/>
        <w:adjustRightInd w:val="0"/>
        <w:snapToGrid w:val="0"/>
        <w:spacing w:line="360" w:lineRule="auto"/>
        <w:jc w:val="both"/>
        <w:rPr>
          <w:rFonts w:ascii="Book Antiqua" w:hAnsi="Book Antiqua" w:cs="Arial"/>
          <w:lang w:val="en-US"/>
        </w:rPr>
      </w:pPr>
      <w:r w:rsidRPr="003B7DDC">
        <w:rPr>
          <w:rFonts w:ascii="Book Antiqua" w:hAnsi="Book Antiqua" w:cs="Arial"/>
          <w:b/>
          <w:lang w:val="en-GB"/>
        </w:rPr>
        <w:t>Jasper J Jöbsis,</w:t>
      </w:r>
      <w:r w:rsidRPr="003B7DDC">
        <w:rPr>
          <w:rFonts w:ascii="Book Antiqua" w:hAnsi="Book Antiqua" w:cs="Arial"/>
          <w:lang w:val="en-GB"/>
        </w:rPr>
        <w:t xml:space="preserve"> Department of Paediatrics, Tergooi Hospital,</w:t>
      </w:r>
      <w:r w:rsidRPr="003B7DDC">
        <w:rPr>
          <w:rFonts w:ascii="Book Antiqua" w:hAnsi="Book Antiqua" w:cs="Arial"/>
          <w:lang w:val="en-GB" w:eastAsia="zh-CN"/>
        </w:rPr>
        <w:t xml:space="preserve"> </w:t>
      </w:r>
      <w:r w:rsidRPr="003B7DDC">
        <w:rPr>
          <w:rFonts w:ascii="Book Antiqua" w:hAnsi="Book Antiqua" w:cs="Arial"/>
          <w:lang w:val="en-GB"/>
        </w:rPr>
        <w:t>1261 AN Blaricum, The Netherlands</w:t>
      </w:r>
      <w:r w:rsidRPr="00651864">
        <w:rPr>
          <w:rFonts w:ascii="Book Antiqua" w:hAnsi="Book Antiqua" w:cs="Arial"/>
          <w:lang w:val="en-US"/>
        </w:rPr>
        <w:t xml:space="preserve"> </w:t>
      </w:r>
    </w:p>
    <w:p w14:paraId="031A2D4A" w14:textId="77777777" w:rsidR="00C4632B" w:rsidRPr="003B7DDC" w:rsidRDefault="00C4632B" w:rsidP="00CB581F">
      <w:pPr>
        <w:autoSpaceDE w:val="0"/>
        <w:autoSpaceDN w:val="0"/>
        <w:adjustRightInd w:val="0"/>
        <w:snapToGrid w:val="0"/>
        <w:spacing w:line="360" w:lineRule="auto"/>
        <w:jc w:val="both"/>
        <w:rPr>
          <w:rFonts w:ascii="Book Antiqua" w:hAnsi="Book Antiqua" w:cs="Arial"/>
          <w:lang w:val="en-GB" w:eastAsia="zh-CN"/>
        </w:rPr>
      </w:pPr>
    </w:p>
    <w:p w14:paraId="1E482037" w14:textId="77777777" w:rsidR="00C2498C" w:rsidRPr="003B7DDC" w:rsidRDefault="00C4632B"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b/>
          <w:lang w:val="en-GB"/>
        </w:rPr>
        <w:t xml:space="preserve">Abdullah Alabbas, </w:t>
      </w:r>
      <w:r w:rsidR="00C2498C" w:rsidRPr="003B7DDC">
        <w:rPr>
          <w:rFonts w:ascii="Book Antiqua" w:hAnsi="Book Antiqua" w:cs="Arial"/>
          <w:lang w:val="en-GB"/>
        </w:rPr>
        <w:t>Stollery Children’s Hospital</w:t>
      </w:r>
      <w:r w:rsidRPr="003B7DDC">
        <w:rPr>
          <w:rFonts w:ascii="Book Antiqua" w:hAnsi="Book Antiqua" w:cs="Arial"/>
          <w:lang w:val="en-GB" w:eastAsia="zh-CN"/>
        </w:rPr>
        <w:t xml:space="preserve">, </w:t>
      </w:r>
      <w:r w:rsidR="00C2498C" w:rsidRPr="003B7DDC">
        <w:rPr>
          <w:rFonts w:ascii="Book Antiqua" w:hAnsi="Book Antiqua" w:cs="Arial"/>
          <w:lang w:val="en-GB"/>
        </w:rPr>
        <w:t>Edmonton, AB T6G 2L9, Canada</w:t>
      </w:r>
    </w:p>
    <w:p w14:paraId="50089787" w14:textId="77777777" w:rsidR="00C4632B" w:rsidRPr="003B7DDC" w:rsidRDefault="00C4632B" w:rsidP="00CB581F">
      <w:pPr>
        <w:autoSpaceDE w:val="0"/>
        <w:autoSpaceDN w:val="0"/>
        <w:adjustRightInd w:val="0"/>
        <w:snapToGrid w:val="0"/>
        <w:spacing w:line="360" w:lineRule="auto"/>
        <w:jc w:val="both"/>
        <w:rPr>
          <w:rFonts w:ascii="Book Antiqua" w:hAnsi="Book Antiqua" w:cs="Arial"/>
          <w:b/>
          <w:lang w:val="en-GB" w:eastAsia="zh-CN"/>
        </w:rPr>
      </w:pPr>
    </w:p>
    <w:p w14:paraId="74A9F3B3" w14:textId="77777777" w:rsidR="00C2498C" w:rsidRPr="003B7DDC" w:rsidRDefault="00C4632B"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b/>
          <w:lang w:val="en-GB"/>
        </w:rPr>
        <w:t xml:space="preserve">Ruth Milner, Christopher Reilly, Kishore Mulpuri, Cherry Mammen, </w:t>
      </w:r>
      <w:r w:rsidR="00C2498C" w:rsidRPr="003B7DDC">
        <w:rPr>
          <w:rFonts w:ascii="Book Antiqua" w:hAnsi="Book Antiqua" w:cs="Arial"/>
          <w:lang w:val="en-GB"/>
        </w:rPr>
        <w:t>BC Childrens’ Hospital</w:t>
      </w:r>
      <w:r w:rsidRPr="003B7DDC">
        <w:rPr>
          <w:rFonts w:ascii="Book Antiqua" w:hAnsi="Book Antiqua" w:cs="Arial"/>
          <w:lang w:val="en-GB" w:eastAsia="zh-CN"/>
        </w:rPr>
        <w:t xml:space="preserve">, </w:t>
      </w:r>
      <w:r w:rsidRPr="003B7DDC">
        <w:rPr>
          <w:rFonts w:ascii="Book Antiqua" w:hAnsi="Book Antiqua" w:cs="Arial"/>
          <w:lang w:val="en-GB"/>
        </w:rPr>
        <w:t>Vancouver, BC</w:t>
      </w:r>
      <w:r w:rsidR="00C2498C" w:rsidRPr="003B7DDC">
        <w:rPr>
          <w:rFonts w:ascii="Book Antiqua" w:hAnsi="Book Antiqua" w:cs="Arial"/>
          <w:lang w:val="en-GB"/>
        </w:rPr>
        <w:t xml:space="preserve"> V6H 3V4</w:t>
      </w:r>
      <w:r w:rsidRPr="003B7DDC">
        <w:rPr>
          <w:rFonts w:ascii="Book Antiqua" w:hAnsi="Book Antiqua" w:cs="Arial"/>
          <w:lang w:val="en-GB" w:eastAsia="zh-CN"/>
        </w:rPr>
        <w:t xml:space="preserve">, </w:t>
      </w:r>
      <w:r w:rsidR="003D5E49" w:rsidRPr="003B7DDC">
        <w:rPr>
          <w:rFonts w:ascii="Book Antiqua" w:hAnsi="Book Antiqua" w:cs="Arial"/>
          <w:lang w:val="en-GB"/>
        </w:rPr>
        <w:t>Canada</w:t>
      </w:r>
    </w:p>
    <w:p w14:paraId="36F71C2E" w14:textId="77777777" w:rsidR="00373A66" w:rsidRPr="003B7DDC" w:rsidRDefault="00373A66" w:rsidP="00CB581F">
      <w:pPr>
        <w:autoSpaceDE w:val="0"/>
        <w:autoSpaceDN w:val="0"/>
        <w:adjustRightInd w:val="0"/>
        <w:snapToGrid w:val="0"/>
        <w:spacing w:line="360" w:lineRule="auto"/>
        <w:jc w:val="both"/>
        <w:rPr>
          <w:rFonts w:ascii="Book Antiqua" w:hAnsi="Book Antiqua" w:cs="Arial"/>
          <w:lang w:val="en-GB" w:eastAsia="zh-CN"/>
        </w:rPr>
      </w:pPr>
    </w:p>
    <w:p w14:paraId="4100D7D1" w14:textId="77777777" w:rsidR="00C2498C" w:rsidRPr="003B7DDC" w:rsidRDefault="00970EDD"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b/>
          <w:lang w:val="en-GB"/>
        </w:rPr>
        <w:t>Author contributions:</w:t>
      </w:r>
      <w:r w:rsidRPr="003B7DDC">
        <w:rPr>
          <w:rFonts w:ascii="Book Antiqua" w:hAnsi="Book Antiqua"/>
          <w:b/>
          <w:lang w:val="en-GB" w:eastAsia="zh-CN"/>
        </w:rPr>
        <w:t xml:space="preserve"> </w:t>
      </w:r>
      <w:r w:rsidR="00C2498C" w:rsidRPr="003B7DDC">
        <w:rPr>
          <w:rFonts w:ascii="Book Antiqua" w:hAnsi="Book Antiqua" w:cs="Arial"/>
          <w:lang w:val="en-GB"/>
        </w:rPr>
        <w:t xml:space="preserve">Jöbsis JJ and Allabas A contributed equally in data collection and drafting the manuscript; Mammen C designed and supervised the study; Reilly C and Mulpuri K revised the manuscript for important intellectual </w:t>
      </w:r>
      <w:r w:rsidRPr="003B7DDC">
        <w:rPr>
          <w:rFonts w:ascii="Book Antiqua" w:hAnsi="Book Antiqua" w:cs="Arial"/>
          <w:lang w:val="en-GB"/>
        </w:rPr>
        <w:t>content; Milner R</w:t>
      </w:r>
      <w:r w:rsidR="00C2498C" w:rsidRPr="003B7DDC">
        <w:rPr>
          <w:rFonts w:ascii="Book Antiqua" w:hAnsi="Book Antiqua" w:cs="Arial"/>
          <w:lang w:val="en-GB"/>
        </w:rPr>
        <w:t xml:space="preserve"> offered statistical support; all authors have read and approved the final version to be published.</w:t>
      </w:r>
    </w:p>
    <w:p w14:paraId="5864553A"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1C2665EB" w14:textId="77777777" w:rsidR="00C2498C" w:rsidRPr="003B7DDC" w:rsidRDefault="00970EDD" w:rsidP="00CB581F">
      <w:pPr>
        <w:autoSpaceDE w:val="0"/>
        <w:autoSpaceDN w:val="0"/>
        <w:adjustRightInd w:val="0"/>
        <w:snapToGrid w:val="0"/>
        <w:spacing w:line="360" w:lineRule="auto"/>
        <w:jc w:val="both"/>
        <w:rPr>
          <w:rFonts w:ascii="Book Antiqua" w:hAnsi="Book Antiqua" w:cs="Arial"/>
          <w:lang w:val="en-US"/>
        </w:rPr>
      </w:pPr>
      <w:r w:rsidRPr="00651864">
        <w:rPr>
          <w:rFonts w:ascii="Book Antiqua" w:hAnsi="Book Antiqua"/>
          <w:b/>
          <w:color w:val="000000"/>
          <w:lang w:val="en-US"/>
        </w:rPr>
        <w:lastRenderedPageBreak/>
        <w:t>Institutional review board statement:</w:t>
      </w:r>
      <w:r w:rsidRPr="003B7DDC">
        <w:rPr>
          <w:rFonts w:ascii="Book Antiqua" w:hAnsi="Book Antiqua" w:cs="Arial"/>
          <w:b/>
          <w:bCs/>
          <w:lang w:val="en-GB" w:eastAsia="zh-CN"/>
        </w:rPr>
        <w:t xml:space="preserve"> </w:t>
      </w:r>
      <w:r w:rsidR="00C526B5" w:rsidRPr="003B7DDC">
        <w:rPr>
          <w:rFonts w:ascii="Book Antiqua" w:eastAsia="Times New Roman" w:hAnsi="Book Antiqua" w:cs="Tahoma"/>
          <w:shd w:val="clear" w:color="auto" w:fill="FFFFFF"/>
          <w:lang w:val="en-US"/>
        </w:rPr>
        <w:t xml:space="preserve">This study is retrospective, involving anonymous clinical data without affecting the patient’s rights and welfare. </w:t>
      </w:r>
      <w:r w:rsidR="00C2498C" w:rsidRPr="003B7DDC">
        <w:rPr>
          <w:rFonts w:ascii="Book Antiqua" w:hAnsi="Book Antiqua" w:cs="Arial"/>
          <w:lang w:val="en-GB"/>
        </w:rPr>
        <w:t>The study was reviewed and approved by the BC Children’s Hospital</w:t>
      </w:r>
      <w:r w:rsidR="001D66BB" w:rsidRPr="003B7DDC">
        <w:rPr>
          <w:rFonts w:ascii="Book Antiqua" w:hAnsi="Book Antiqua" w:cs="Arial"/>
          <w:lang w:val="en-GB"/>
        </w:rPr>
        <w:t>/University of British Columbia</w:t>
      </w:r>
      <w:r w:rsidR="00C2498C" w:rsidRPr="003B7DDC">
        <w:rPr>
          <w:rFonts w:ascii="Book Antiqua" w:hAnsi="Book Antiqua" w:cs="Arial"/>
          <w:lang w:val="en-GB"/>
        </w:rPr>
        <w:t xml:space="preserve"> Institutional Review Board.</w:t>
      </w:r>
    </w:p>
    <w:p w14:paraId="0820A5AB"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6780348F" w14:textId="77777777" w:rsidR="00C2498C" w:rsidRPr="003B7DDC" w:rsidRDefault="00970EDD" w:rsidP="00CB581F">
      <w:pPr>
        <w:autoSpaceDE w:val="0"/>
        <w:autoSpaceDN w:val="0"/>
        <w:adjustRightInd w:val="0"/>
        <w:snapToGrid w:val="0"/>
        <w:spacing w:line="360" w:lineRule="auto"/>
        <w:jc w:val="both"/>
        <w:rPr>
          <w:rFonts w:ascii="Book Antiqua" w:hAnsi="Book Antiqua" w:cs="Arial"/>
          <w:lang w:val="en-GB"/>
        </w:rPr>
      </w:pPr>
      <w:r w:rsidRPr="00651864">
        <w:rPr>
          <w:rFonts w:ascii="Book Antiqua" w:hAnsi="Book Antiqua"/>
          <w:b/>
          <w:lang w:val="en-US"/>
        </w:rPr>
        <w:t xml:space="preserve">Informed consent </w:t>
      </w:r>
      <w:r w:rsidRPr="00651864">
        <w:rPr>
          <w:rFonts w:ascii="Book Antiqua" w:hAnsi="Book Antiqua"/>
          <w:b/>
          <w:color w:val="000000"/>
          <w:lang w:val="en-US"/>
        </w:rPr>
        <w:t>statement</w:t>
      </w:r>
      <w:r w:rsidRPr="00651864">
        <w:rPr>
          <w:rFonts w:ascii="Book Antiqua" w:hAnsi="Book Antiqua"/>
          <w:b/>
          <w:lang w:val="en-US"/>
        </w:rPr>
        <w:t>:</w:t>
      </w:r>
      <w:r w:rsidRPr="00651864">
        <w:rPr>
          <w:rFonts w:ascii="Book Antiqua" w:hAnsi="Book Antiqua"/>
          <w:b/>
          <w:lang w:val="en-US" w:eastAsia="zh-CN"/>
        </w:rPr>
        <w:t xml:space="preserve"> </w:t>
      </w:r>
      <w:r w:rsidR="0086789D" w:rsidRPr="003B7DDC">
        <w:rPr>
          <w:rFonts w:ascii="Book Antiqua" w:hAnsi="Book Antiqua" w:cs="Arial"/>
          <w:lang w:val="en-GB"/>
        </w:rPr>
        <w:t>As per the BC Children’s Hospital Institutional Review Board, i</w:t>
      </w:r>
      <w:r w:rsidR="00C2498C" w:rsidRPr="003B7DDC">
        <w:rPr>
          <w:rFonts w:ascii="Book Antiqua" w:hAnsi="Book Antiqua" w:cs="Arial"/>
          <w:lang w:val="en-GB"/>
        </w:rPr>
        <w:t xml:space="preserve">nformed consent was not </w:t>
      </w:r>
      <w:r w:rsidR="0086789D" w:rsidRPr="003B7DDC">
        <w:rPr>
          <w:rFonts w:ascii="Book Antiqua" w:hAnsi="Book Antiqua" w:cs="Arial"/>
          <w:lang w:val="en-GB"/>
        </w:rPr>
        <w:t>required</w:t>
      </w:r>
      <w:r w:rsidR="00C2498C" w:rsidRPr="003B7DDC">
        <w:rPr>
          <w:rFonts w:ascii="Book Antiqua" w:hAnsi="Book Antiqua" w:cs="Arial"/>
          <w:lang w:val="en-GB"/>
        </w:rPr>
        <w:t xml:space="preserve"> for this retrospective study. Subjects are not identifiable from </w:t>
      </w:r>
      <w:r w:rsidR="0086789D" w:rsidRPr="003B7DDC">
        <w:rPr>
          <w:rFonts w:ascii="Book Antiqua" w:hAnsi="Book Antiqua" w:cs="Arial"/>
          <w:lang w:val="en-GB"/>
        </w:rPr>
        <w:t>any</w:t>
      </w:r>
      <w:r w:rsidR="00C2498C" w:rsidRPr="003B7DDC">
        <w:rPr>
          <w:rFonts w:ascii="Book Antiqua" w:hAnsi="Book Antiqua" w:cs="Arial"/>
          <w:lang w:val="en-GB"/>
        </w:rPr>
        <w:t xml:space="preserve"> data presented in this manuscript.</w:t>
      </w:r>
    </w:p>
    <w:p w14:paraId="3C6D4EEE"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bCs/>
          <w:lang w:val="en-GB"/>
        </w:rPr>
      </w:pPr>
    </w:p>
    <w:p w14:paraId="4879D967" w14:textId="77777777" w:rsidR="00C2498C" w:rsidRPr="003B7DDC" w:rsidRDefault="00970EDD" w:rsidP="00CB581F">
      <w:pPr>
        <w:autoSpaceDE w:val="0"/>
        <w:autoSpaceDN w:val="0"/>
        <w:adjustRightInd w:val="0"/>
        <w:snapToGrid w:val="0"/>
        <w:spacing w:line="360" w:lineRule="auto"/>
        <w:jc w:val="both"/>
        <w:rPr>
          <w:rFonts w:ascii="Book Antiqua" w:hAnsi="Book Antiqua" w:cs="Arial"/>
          <w:lang w:val="en-GB"/>
        </w:rPr>
      </w:pPr>
      <w:bookmarkStart w:id="1" w:name="OLE_LINK222"/>
      <w:bookmarkStart w:id="2" w:name="OLE_LINK223"/>
      <w:r w:rsidRPr="00651864">
        <w:rPr>
          <w:rFonts w:ascii="Book Antiqua" w:hAnsi="Book Antiqua"/>
          <w:b/>
          <w:color w:val="000000"/>
          <w:lang w:val="en-US"/>
        </w:rPr>
        <w:t>Conflict-of-interest statement:</w:t>
      </w:r>
      <w:bookmarkEnd w:id="1"/>
      <w:bookmarkEnd w:id="2"/>
      <w:r w:rsidRPr="00651864">
        <w:rPr>
          <w:rFonts w:ascii="Book Antiqua" w:hAnsi="Book Antiqua"/>
          <w:b/>
          <w:color w:val="000000"/>
          <w:lang w:val="en-US" w:eastAsia="zh-CN"/>
        </w:rPr>
        <w:t xml:space="preserve"> </w:t>
      </w:r>
      <w:r w:rsidR="00C2498C" w:rsidRPr="003B7DDC">
        <w:rPr>
          <w:rFonts w:ascii="Book Antiqua" w:hAnsi="Book Antiqua" w:cs="Arial"/>
          <w:lang w:val="en-GB"/>
        </w:rPr>
        <w:t>None of the authors ha</w:t>
      </w:r>
      <w:r w:rsidR="0086789D" w:rsidRPr="003B7DDC">
        <w:rPr>
          <w:rFonts w:ascii="Book Antiqua" w:hAnsi="Book Antiqua" w:cs="Arial"/>
          <w:lang w:val="en-GB"/>
        </w:rPr>
        <w:t>ve</w:t>
      </w:r>
      <w:r w:rsidR="00C2498C" w:rsidRPr="003B7DDC">
        <w:rPr>
          <w:rFonts w:ascii="Book Antiqua" w:hAnsi="Book Antiqua" w:cs="Arial"/>
          <w:lang w:val="en-GB"/>
        </w:rPr>
        <w:t xml:space="preserve"> a</w:t>
      </w:r>
      <w:r w:rsidR="0086789D" w:rsidRPr="003B7DDC">
        <w:rPr>
          <w:rFonts w:ascii="Book Antiqua" w:hAnsi="Book Antiqua" w:cs="Arial"/>
          <w:lang w:val="en-GB"/>
        </w:rPr>
        <w:t>ny</w:t>
      </w:r>
      <w:r w:rsidR="00C2498C" w:rsidRPr="003B7DDC">
        <w:rPr>
          <w:rFonts w:ascii="Book Antiqua" w:hAnsi="Book Antiqua" w:cs="Arial"/>
          <w:lang w:val="en-GB"/>
        </w:rPr>
        <w:t xml:space="preserve"> conflict</w:t>
      </w:r>
      <w:r w:rsidR="0086789D" w:rsidRPr="003B7DDC">
        <w:rPr>
          <w:rFonts w:ascii="Book Antiqua" w:hAnsi="Book Antiqua" w:cs="Arial"/>
          <w:lang w:val="en-GB"/>
        </w:rPr>
        <w:t>s</w:t>
      </w:r>
      <w:r w:rsidR="00C2498C" w:rsidRPr="003B7DDC">
        <w:rPr>
          <w:rFonts w:ascii="Book Antiqua" w:hAnsi="Book Antiqua" w:cs="Arial"/>
          <w:lang w:val="en-GB"/>
        </w:rPr>
        <w:t xml:space="preserve"> of interest related to this research topic.</w:t>
      </w:r>
    </w:p>
    <w:p w14:paraId="05960F33" w14:textId="77777777" w:rsidR="00970EDD" w:rsidRPr="003B7DDC" w:rsidRDefault="00970EDD" w:rsidP="00CB581F">
      <w:pPr>
        <w:autoSpaceDE w:val="0"/>
        <w:autoSpaceDN w:val="0"/>
        <w:adjustRightInd w:val="0"/>
        <w:snapToGrid w:val="0"/>
        <w:spacing w:line="360" w:lineRule="auto"/>
        <w:jc w:val="both"/>
        <w:rPr>
          <w:rFonts w:ascii="Book Antiqua" w:hAnsi="Book Antiqua" w:cs="Arial"/>
          <w:lang w:val="en-GB" w:eastAsia="zh-CN"/>
        </w:rPr>
      </w:pPr>
    </w:p>
    <w:p w14:paraId="68D1D5A4" w14:textId="77777777" w:rsidR="00C2498C" w:rsidRPr="003B7DDC" w:rsidRDefault="00970EDD" w:rsidP="00CB581F">
      <w:pPr>
        <w:autoSpaceDE w:val="0"/>
        <w:autoSpaceDN w:val="0"/>
        <w:adjustRightInd w:val="0"/>
        <w:snapToGrid w:val="0"/>
        <w:spacing w:line="360" w:lineRule="auto"/>
        <w:jc w:val="both"/>
        <w:rPr>
          <w:rFonts w:ascii="Book Antiqua" w:hAnsi="Book Antiqua" w:cs="Arial"/>
          <w:lang w:val="en-GB"/>
        </w:rPr>
      </w:pPr>
      <w:r w:rsidRPr="00651864">
        <w:rPr>
          <w:rFonts w:ascii="Book Antiqua" w:hAnsi="Book Antiqua"/>
          <w:b/>
          <w:color w:val="000000"/>
          <w:lang w:val="en-US"/>
        </w:rPr>
        <w:t>Data sharing statement:</w:t>
      </w:r>
      <w:r w:rsidRPr="00651864">
        <w:rPr>
          <w:rFonts w:ascii="Book Antiqua" w:hAnsi="Book Antiqua"/>
          <w:b/>
          <w:color w:val="000000"/>
          <w:lang w:val="en-US" w:eastAsia="zh-CN"/>
        </w:rPr>
        <w:t xml:space="preserve"> </w:t>
      </w:r>
      <w:r w:rsidR="00C2498C" w:rsidRPr="003B7DDC">
        <w:rPr>
          <w:rFonts w:ascii="Book Antiqua" w:hAnsi="Book Antiqua" w:cs="Arial"/>
          <w:lang w:val="en-GB"/>
        </w:rPr>
        <w:t xml:space="preserve">Technical appendix, statistical code and dataset available from the corresponding author at </w:t>
      </w:r>
      <w:r w:rsidR="00CC1116" w:rsidRPr="003B7DDC">
        <w:rPr>
          <w:rFonts w:ascii="Book Antiqua" w:hAnsi="Book Antiqua" w:cs="Arial"/>
          <w:lang w:val="en-GB"/>
        </w:rPr>
        <w:t>jjobsis@tergooi.nl</w:t>
      </w:r>
      <w:r w:rsidR="00C2498C" w:rsidRPr="003B7DDC">
        <w:rPr>
          <w:rFonts w:ascii="Book Antiqua" w:hAnsi="Book Antiqua" w:cs="Arial"/>
          <w:lang w:val="en-GB"/>
        </w:rPr>
        <w:t xml:space="preserve">. </w:t>
      </w:r>
      <w:r w:rsidR="0086789D" w:rsidRPr="003B7DDC">
        <w:rPr>
          <w:rFonts w:ascii="Book Antiqua" w:hAnsi="Book Antiqua" w:cs="Arial"/>
          <w:lang w:val="en-GB"/>
        </w:rPr>
        <w:t>Informed c</w:t>
      </w:r>
      <w:r w:rsidR="00C2498C" w:rsidRPr="003B7DDC">
        <w:rPr>
          <w:rFonts w:ascii="Book Antiqua" w:hAnsi="Book Antiqua" w:cs="Arial"/>
          <w:lang w:val="en-GB"/>
        </w:rPr>
        <w:t>onsent was not obtained</w:t>
      </w:r>
      <w:r w:rsidR="0086789D" w:rsidRPr="003B7DDC">
        <w:rPr>
          <w:rFonts w:ascii="Book Antiqua" w:hAnsi="Book Antiqua" w:cs="Arial"/>
          <w:lang w:val="en-GB"/>
        </w:rPr>
        <w:t>,</w:t>
      </w:r>
      <w:r w:rsidR="00C2498C" w:rsidRPr="003B7DDC">
        <w:rPr>
          <w:rFonts w:ascii="Book Antiqua" w:hAnsi="Book Antiqua" w:cs="Arial"/>
          <w:lang w:val="en-GB"/>
        </w:rPr>
        <w:t xml:space="preserve"> but the presented data are anonymized and risk of identification is low. </w:t>
      </w:r>
    </w:p>
    <w:p w14:paraId="54FDE4AB"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eastAsia="zh-CN"/>
        </w:rPr>
      </w:pPr>
    </w:p>
    <w:p w14:paraId="2B3A6A22" w14:textId="77777777" w:rsidR="00970EDD" w:rsidRPr="00651864" w:rsidRDefault="00970EDD" w:rsidP="00CB581F">
      <w:pPr>
        <w:widowControl w:val="0"/>
        <w:adjustRightInd w:val="0"/>
        <w:snapToGrid w:val="0"/>
        <w:spacing w:line="360" w:lineRule="auto"/>
        <w:jc w:val="both"/>
        <w:rPr>
          <w:rFonts w:ascii="Book Antiqua" w:hAnsi="Book Antiqua"/>
          <w:lang w:val="en-US"/>
        </w:rPr>
      </w:pPr>
      <w:bookmarkStart w:id="3" w:name="OLE_LINK111"/>
      <w:bookmarkStart w:id="4" w:name="OLE_LINK112"/>
      <w:bookmarkStart w:id="5" w:name="OLE_LINK54"/>
      <w:bookmarkStart w:id="6" w:name="OLE_LINK70"/>
      <w:bookmarkStart w:id="7" w:name="OLE_LINK123"/>
      <w:bookmarkStart w:id="8" w:name="OLE_LINK183"/>
      <w:r w:rsidRPr="00651864">
        <w:rPr>
          <w:rFonts w:ascii="Book Antiqua" w:hAnsi="Book Antiqua"/>
          <w:b/>
          <w:color w:val="000000"/>
          <w:lang w:val="en-US"/>
        </w:rPr>
        <w:t xml:space="preserve">Open-Access: </w:t>
      </w:r>
      <w:r w:rsidRPr="00651864">
        <w:rPr>
          <w:rFonts w:ascii="Book Antiqua" w:hAnsi="Book Antiqua"/>
          <w:color w:val="000000"/>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651864">
        <w:rPr>
          <w:rFonts w:ascii="Book Antiqua" w:hAnsi="Book Antiqua"/>
          <w:lang w:val="en-US"/>
        </w:rPr>
        <w:t>http://creativecommons.org/licenses/by-nc/4.0/</w:t>
      </w:r>
      <w:bookmarkEnd w:id="3"/>
      <w:bookmarkEnd w:id="4"/>
    </w:p>
    <w:bookmarkEnd w:id="5"/>
    <w:bookmarkEnd w:id="6"/>
    <w:bookmarkEnd w:id="7"/>
    <w:bookmarkEnd w:id="8"/>
    <w:p w14:paraId="7B067769" w14:textId="77777777" w:rsidR="00970EDD" w:rsidRPr="003B7DDC" w:rsidRDefault="00970EDD" w:rsidP="00CB581F">
      <w:pPr>
        <w:autoSpaceDE w:val="0"/>
        <w:autoSpaceDN w:val="0"/>
        <w:adjustRightInd w:val="0"/>
        <w:snapToGrid w:val="0"/>
        <w:spacing w:line="360" w:lineRule="auto"/>
        <w:jc w:val="both"/>
        <w:rPr>
          <w:rFonts w:ascii="Book Antiqua" w:hAnsi="Book Antiqua" w:cs="Arial"/>
          <w:lang w:val="en-GB" w:eastAsia="zh-CN"/>
        </w:rPr>
      </w:pPr>
    </w:p>
    <w:p w14:paraId="421FE7E9" w14:textId="77777777" w:rsidR="00970EDD" w:rsidRPr="00651864" w:rsidRDefault="00970EDD" w:rsidP="00CB581F">
      <w:pPr>
        <w:adjustRightInd w:val="0"/>
        <w:snapToGrid w:val="0"/>
        <w:spacing w:line="360" w:lineRule="auto"/>
        <w:ind w:right="120"/>
        <w:jc w:val="both"/>
        <w:rPr>
          <w:rFonts w:ascii="Book Antiqua" w:hAnsi="Book Antiqua"/>
          <w:color w:val="000000"/>
          <w:lang w:val="en-US"/>
        </w:rPr>
      </w:pPr>
      <w:bookmarkStart w:id="9" w:name="OLE_LINK219"/>
      <w:r w:rsidRPr="00651864">
        <w:rPr>
          <w:rFonts w:ascii="Book Antiqua" w:hAnsi="Book Antiqua"/>
          <w:b/>
          <w:color w:val="000000"/>
          <w:lang w:val="en-US"/>
        </w:rPr>
        <w:t>Manuscript source:</w:t>
      </w:r>
      <w:r w:rsidRPr="00651864">
        <w:rPr>
          <w:rFonts w:ascii="Book Antiqua" w:hAnsi="Book Antiqua"/>
          <w:color w:val="000000"/>
          <w:lang w:val="en-US"/>
        </w:rPr>
        <w:t xml:space="preserve"> Invited manuscript</w:t>
      </w:r>
    </w:p>
    <w:bookmarkEnd w:id="9"/>
    <w:p w14:paraId="5D10BDB8" w14:textId="77777777" w:rsidR="00970EDD" w:rsidRPr="003B7DDC" w:rsidRDefault="00970EDD" w:rsidP="00CB581F">
      <w:pPr>
        <w:autoSpaceDE w:val="0"/>
        <w:autoSpaceDN w:val="0"/>
        <w:adjustRightInd w:val="0"/>
        <w:snapToGrid w:val="0"/>
        <w:spacing w:line="360" w:lineRule="auto"/>
        <w:jc w:val="both"/>
        <w:rPr>
          <w:rFonts w:ascii="Book Antiqua" w:hAnsi="Book Antiqua" w:cs="Arial"/>
          <w:lang w:val="en-GB" w:eastAsia="zh-CN"/>
        </w:rPr>
      </w:pPr>
    </w:p>
    <w:p w14:paraId="664B2125" w14:textId="77777777" w:rsidR="00C2498C" w:rsidRPr="003B7DDC" w:rsidRDefault="00970EDD" w:rsidP="00CB581F">
      <w:pPr>
        <w:autoSpaceDE w:val="0"/>
        <w:autoSpaceDN w:val="0"/>
        <w:adjustRightInd w:val="0"/>
        <w:snapToGrid w:val="0"/>
        <w:spacing w:line="360" w:lineRule="auto"/>
        <w:jc w:val="both"/>
        <w:rPr>
          <w:rFonts w:ascii="Book Antiqua" w:hAnsi="Book Antiqua" w:cs="Arial"/>
          <w:lang w:val="en-GB"/>
        </w:rPr>
      </w:pPr>
      <w:r w:rsidRPr="00651864">
        <w:rPr>
          <w:rFonts w:ascii="Book Antiqua" w:hAnsi="Book Antiqua"/>
          <w:b/>
          <w:color w:val="000000"/>
          <w:lang w:val="en-US"/>
        </w:rPr>
        <w:lastRenderedPageBreak/>
        <w:t>Correspondence to:</w:t>
      </w:r>
      <w:r w:rsidRPr="003B7DDC">
        <w:rPr>
          <w:rFonts w:ascii="Book Antiqua" w:hAnsi="Book Antiqua" w:cs="Arial"/>
          <w:b/>
          <w:bCs/>
          <w:lang w:val="en-GB" w:eastAsia="zh-CN"/>
        </w:rPr>
        <w:t xml:space="preserve"> </w:t>
      </w:r>
      <w:r w:rsidR="00C2498C" w:rsidRPr="003B7DDC">
        <w:rPr>
          <w:rFonts w:ascii="Book Antiqua" w:hAnsi="Book Antiqua" w:cs="Arial"/>
          <w:b/>
          <w:lang w:val="en-GB"/>
        </w:rPr>
        <w:t>Jasper J Jöbsis, MD,</w:t>
      </w:r>
      <w:r w:rsidR="00C2498C" w:rsidRPr="003B7DDC">
        <w:rPr>
          <w:rFonts w:ascii="Book Antiqua" w:hAnsi="Book Antiqua" w:cs="Arial"/>
          <w:lang w:val="en-GB"/>
        </w:rPr>
        <w:t xml:space="preserve"> </w:t>
      </w:r>
      <w:r w:rsidRPr="003B7DDC">
        <w:rPr>
          <w:rFonts w:ascii="Book Antiqua" w:hAnsi="Book Antiqua" w:cs="Arial"/>
          <w:lang w:val="en-GB"/>
        </w:rPr>
        <w:t>D</w:t>
      </w:r>
      <w:r w:rsidR="00C2498C" w:rsidRPr="003B7DDC">
        <w:rPr>
          <w:rFonts w:ascii="Book Antiqua" w:hAnsi="Book Antiqua" w:cs="Arial"/>
          <w:lang w:val="en-GB"/>
        </w:rPr>
        <w:t xml:space="preserve">epartment of </w:t>
      </w:r>
      <w:r w:rsidRPr="003B7DDC">
        <w:rPr>
          <w:rFonts w:ascii="Book Antiqua" w:hAnsi="Book Antiqua" w:cs="Arial"/>
          <w:lang w:val="en-GB"/>
        </w:rPr>
        <w:t>P</w:t>
      </w:r>
      <w:r w:rsidR="00C2498C" w:rsidRPr="003B7DDC">
        <w:rPr>
          <w:rFonts w:ascii="Book Antiqua" w:hAnsi="Book Antiqua" w:cs="Arial"/>
          <w:lang w:val="en-GB"/>
        </w:rPr>
        <w:t>aediatrics, Tergooi Hospital,</w:t>
      </w:r>
      <w:r w:rsidRPr="003B7DDC">
        <w:rPr>
          <w:rFonts w:ascii="Book Antiqua" w:hAnsi="Book Antiqua" w:cs="Arial"/>
          <w:lang w:val="en-GB" w:eastAsia="zh-CN"/>
        </w:rPr>
        <w:t xml:space="preserve"> </w:t>
      </w:r>
      <w:r w:rsidR="00C2498C" w:rsidRPr="003B7DDC">
        <w:rPr>
          <w:rFonts w:ascii="Book Antiqua" w:hAnsi="Book Antiqua" w:cs="Arial"/>
          <w:lang w:val="en-GB"/>
        </w:rPr>
        <w:t>Rijksstraatweg 1, 1261 AN Blaricum, The Netherlands</w:t>
      </w:r>
      <w:r w:rsidRPr="003B7DDC">
        <w:rPr>
          <w:rFonts w:ascii="Book Antiqua" w:hAnsi="Book Antiqua" w:cs="Arial"/>
          <w:lang w:val="en-GB" w:eastAsia="zh-CN"/>
        </w:rPr>
        <w:t xml:space="preserve">. </w:t>
      </w:r>
      <w:r w:rsidR="00C2498C" w:rsidRPr="003B7DDC">
        <w:rPr>
          <w:rFonts w:ascii="Book Antiqua" w:hAnsi="Book Antiqua" w:cs="Arial"/>
          <w:lang w:val="en-GB"/>
        </w:rPr>
        <w:t>jjobsis@tergooi.nl</w:t>
      </w:r>
    </w:p>
    <w:p w14:paraId="6B437875" w14:textId="77777777" w:rsidR="00C2498C" w:rsidRPr="003B7DDC" w:rsidRDefault="00970EDD" w:rsidP="00CB581F">
      <w:pPr>
        <w:autoSpaceDE w:val="0"/>
        <w:autoSpaceDN w:val="0"/>
        <w:adjustRightInd w:val="0"/>
        <w:snapToGrid w:val="0"/>
        <w:spacing w:line="360" w:lineRule="auto"/>
        <w:jc w:val="both"/>
        <w:rPr>
          <w:rFonts w:ascii="Book Antiqua" w:hAnsi="Book Antiqua" w:cs="Arial"/>
          <w:lang w:val="en-GB"/>
        </w:rPr>
      </w:pPr>
      <w:r w:rsidRPr="00651864">
        <w:rPr>
          <w:rFonts w:ascii="Book Antiqua" w:hAnsi="Book Antiqua"/>
          <w:b/>
          <w:color w:val="000000"/>
          <w:lang w:val="en-US"/>
        </w:rPr>
        <w:t>Telephone:</w:t>
      </w:r>
      <w:r w:rsidR="00C2498C" w:rsidRPr="003B7DDC">
        <w:rPr>
          <w:rFonts w:ascii="Book Antiqua" w:hAnsi="Book Antiqua" w:cs="Arial"/>
          <w:lang w:val="en-GB"/>
        </w:rPr>
        <w:t xml:space="preserve"> +31-88-7531753</w:t>
      </w:r>
    </w:p>
    <w:p w14:paraId="16710F8D" w14:textId="77777777" w:rsidR="00C2498C" w:rsidRPr="003B7DDC" w:rsidRDefault="00970EDD" w:rsidP="00CB581F">
      <w:pPr>
        <w:autoSpaceDE w:val="0"/>
        <w:autoSpaceDN w:val="0"/>
        <w:adjustRightInd w:val="0"/>
        <w:snapToGrid w:val="0"/>
        <w:spacing w:line="360" w:lineRule="auto"/>
        <w:jc w:val="both"/>
        <w:rPr>
          <w:rFonts w:ascii="Book Antiqua" w:hAnsi="Book Antiqua" w:cs="Arial"/>
          <w:lang w:val="en-GB"/>
        </w:rPr>
      </w:pPr>
      <w:r w:rsidRPr="00651864">
        <w:rPr>
          <w:rFonts w:ascii="Book Antiqua" w:hAnsi="Book Antiqua"/>
          <w:b/>
          <w:color w:val="000000"/>
          <w:lang w:val="en-US"/>
        </w:rPr>
        <w:t>Fax:</w:t>
      </w:r>
      <w:r w:rsidR="00C2498C" w:rsidRPr="003B7DDC">
        <w:rPr>
          <w:rFonts w:ascii="Book Antiqua" w:hAnsi="Book Antiqua" w:cs="Arial"/>
          <w:lang w:val="en-GB"/>
        </w:rPr>
        <w:t xml:space="preserve"> +31-88-7531168</w:t>
      </w:r>
    </w:p>
    <w:p w14:paraId="0A6E4F32"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44E0E2C4" w14:textId="77777777" w:rsidR="0038673C" w:rsidRPr="00651864" w:rsidRDefault="0038673C" w:rsidP="00CB581F">
      <w:pPr>
        <w:widowControl w:val="0"/>
        <w:adjustRightInd w:val="0"/>
        <w:snapToGrid w:val="0"/>
        <w:spacing w:line="360" w:lineRule="auto"/>
        <w:jc w:val="both"/>
        <w:rPr>
          <w:rFonts w:ascii="Book Antiqua" w:hAnsi="Book Antiqua"/>
          <w:lang w:val="en-US"/>
        </w:rPr>
      </w:pPr>
      <w:bookmarkStart w:id="10" w:name="OLE_LINK140"/>
      <w:bookmarkStart w:id="11" w:name="OLE_LINK7"/>
      <w:bookmarkStart w:id="12" w:name="OLE_LINK8"/>
      <w:bookmarkStart w:id="13" w:name="OLE_LINK16"/>
      <w:bookmarkStart w:id="14" w:name="OLE_LINK36"/>
      <w:bookmarkStart w:id="15" w:name="OLE_LINK38"/>
      <w:bookmarkStart w:id="16" w:name="OLE_LINK47"/>
      <w:bookmarkStart w:id="17" w:name="OLE_LINK55"/>
      <w:bookmarkStart w:id="18" w:name="OLE_LINK77"/>
      <w:bookmarkStart w:id="19" w:name="OLE_LINK80"/>
      <w:bookmarkStart w:id="20" w:name="OLE_LINK83"/>
      <w:bookmarkStart w:id="21" w:name="OLE_LINK85"/>
      <w:bookmarkStart w:id="22" w:name="OLE_LINK153"/>
      <w:bookmarkStart w:id="23" w:name="OLE_LINK156"/>
      <w:bookmarkStart w:id="24" w:name="OLE_LINK224"/>
      <w:bookmarkStart w:id="25" w:name="OLE_LINK271"/>
      <w:bookmarkStart w:id="26" w:name="OLE_LINK321"/>
      <w:bookmarkStart w:id="27" w:name="OLE_LINK322"/>
      <w:r w:rsidRPr="00651864">
        <w:rPr>
          <w:rFonts w:ascii="Book Antiqua" w:hAnsi="Book Antiqua"/>
          <w:b/>
          <w:lang w:val="en-US"/>
        </w:rPr>
        <w:t xml:space="preserve">Received: </w:t>
      </w:r>
      <w:r w:rsidRPr="00651864">
        <w:rPr>
          <w:rFonts w:ascii="Book Antiqua" w:hAnsi="Book Antiqua"/>
          <w:lang w:val="en-US" w:eastAsia="zh-CN"/>
        </w:rPr>
        <w:t>June 5</w:t>
      </w:r>
      <w:r w:rsidRPr="00651864">
        <w:rPr>
          <w:rFonts w:ascii="Book Antiqua" w:hAnsi="Book Antiqua"/>
          <w:lang w:val="en-US"/>
        </w:rPr>
        <w:t>, 2016</w:t>
      </w:r>
    </w:p>
    <w:p w14:paraId="02685C7D" w14:textId="77777777" w:rsidR="0038673C" w:rsidRPr="00651864" w:rsidRDefault="0038673C" w:rsidP="00CB581F">
      <w:pPr>
        <w:widowControl w:val="0"/>
        <w:adjustRightInd w:val="0"/>
        <w:snapToGrid w:val="0"/>
        <w:spacing w:line="360" w:lineRule="auto"/>
        <w:jc w:val="both"/>
        <w:rPr>
          <w:rFonts w:ascii="Book Antiqua" w:hAnsi="Book Antiqua"/>
          <w:lang w:val="en-US"/>
        </w:rPr>
      </w:pPr>
      <w:r w:rsidRPr="00651864">
        <w:rPr>
          <w:rFonts w:ascii="Book Antiqua" w:hAnsi="Book Antiqua"/>
          <w:b/>
          <w:lang w:val="en-US"/>
        </w:rPr>
        <w:t xml:space="preserve">Peer-review started: </w:t>
      </w:r>
      <w:r w:rsidRPr="00651864">
        <w:rPr>
          <w:rFonts w:ascii="Book Antiqua" w:hAnsi="Book Antiqua"/>
          <w:lang w:val="en-US" w:eastAsia="zh-CN"/>
        </w:rPr>
        <w:t>June 9</w:t>
      </w:r>
      <w:r w:rsidRPr="00651864">
        <w:rPr>
          <w:rFonts w:ascii="Book Antiqua" w:hAnsi="Book Antiqua"/>
          <w:lang w:val="en-US"/>
        </w:rPr>
        <w:t>, 2016</w:t>
      </w:r>
    </w:p>
    <w:p w14:paraId="78B0CE5F" w14:textId="77777777" w:rsidR="0038673C" w:rsidRPr="00651864" w:rsidRDefault="0038673C" w:rsidP="00CB581F">
      <w:pPr>
        <w:widowControl w:val="0"/>
        <w:adjustRightInd w:val="0"/>
        <w:snapToGrid w:val="0"/>
        <w:spacing w:line="360" w:lineRule="auto"/>
        <w:jc w:val="both"/>
        <w:rPr>
          <w:rFonts w:ascii="Book Antiqua" w:hAnsi="Book Antiqua"/>
          <w:lang w:val="en-US" w:eastAsia="zh-CN"/>
        </w:rPr>
      </w:pPr>
      <w:r w:rsidRPr="00651864">
        <w:rPr>
          <w:rFonts w:ascii="Book Antiqua" w:hAnsi="Book Antiqua"/>
          <w:b/>
          <w:lang w:val="en-US"/>
        </w:rPr>
        <w:t>First decision:</w:t>
      </w:r>
      <w:r w:rsidRPr="00651864">
        <w:rPr>
          <w:rFonts w:ascii="Book Antiqua" w:hAnsi="Book Antiqua"/>
          <w:lang w:val="en-US"/>
        </w:rPr>
        <w:t xml:space="preserve"> </w:t>
      </w:r>
      <w:r w:rsidRPr="00651864">
        <w:rPr>
          <w:rFonts w:ascii="Book Antiqua" w:hAnsi="Book Antiqua"/>
          <w:lang w:val="en-US" w:eastAsia="zh-CN"/>
        </w:rPr>
        <w:t>July 5, 2016</w:t>
      </w:r>
    </w:p>
    <w:p w14:paraId="31E9FDBD" w14:textId="6B0D370C" w:rsidR="0038673C" w:rsidRPr="00651864" w:rsidRDefault="0038673C" w:rsidP="00CB581F">
      <w:pPr>
        <w:widowControl w:val="0"/>
        <w:adjustRightInd w:val="0"/>
        <w:snapToGrid w:val="0"/>
        <w:spacing w:line="360" w:lineRule="auto"/>
        <w:jc w:val="both"/>
        <w:rPr>
          <w:rFonts w:ascii="Book Antiqua" w:hAnsi="Book Antiqua"/>
          <w:lang w:val="en-US"/>
        </w:rPr>
      </w:pPr>
      <w:r w:rsidRPr="00651864">
        <w:rPr>
          <w:rFonts w:ascii="Book Antiqua" w:hAnsi="Book Antiqua"/>
          <w:b/>
          <w:lang w:val="en-US"/>
        </w:rPr>
        <w:t>Revised:</w:t>
      </w:r>
      <w:r w:rsidRPr="00651864">
        <w:rPr>
          <w:rFonts w:ascii="Book Antiqua" w:hAnsi="Book Antiqua"/>
          <w:lang w:val="en-US"/>
        </w:rPr>
        <w:t xml:space="preserve"> </w:t>
      </w:r>
      <w:r w:rsidR="00F9174F">
        <w:rPr>
          <w:rFonts w:ascii="Book Antiqua" w:hAnsi="Book Antiqua" w:hint="eastAsia"/>
          <w:lang w:val="en-US" w:eastAsia="zh-CN"/>
        </w:rPr>
        <w:t>December</w:t>
      </w:r>
      <w:r w:rsidRPr="00651864">
        <w:rPr>
          <w:rFonts w:ascii="Book Antiqua" w:hAnsi="Book Antiqua"/>
          <w:lang w:val="en-US" w:eastAsia="zh-CN"/>
        </w:rPr>
        <w:t xml:space="preserve"> </w:t>
      </w:r>
      <w:r w:rsidR="00F9174F">
        <w:rPr>
          <w:rFonts w:ascii="Book Antiqua" w:hAnsi="Book Antiqua" w:hint="eastAsia"/>
          <w:lang w:val="en-US" w:eastAsia="zh-CN"/>
        </w:rPr>
        <w:t>23</w:t>
      </w:r>
      <w:r w:rsidRPr="00651864">
        <w:rPr>
          <w:rFonts w:ascii="Book Antiqua" w:hAnsi="Book Antiqua"/>
          <w:lang w:val="en-US" w:eastAsia="zh-CN"/>
        </w:rPr>
        <w:t>, 2016</w:t>
      </w:r>
    </w:p>
    <w:p w14:paraId="78B8035D" w14:textId="5CCAF803" w:rsidR="0038673C" w:rsidRPr="006873AB" w:rsidRDefault="0038673C" w:rsidP="006873AB">
      <w:pPr>
        <w:rPr>
          <w:rFonts w:ascii="Book Antiqua" w:hAnsi="Book Antiqua"/>
          <w:iCs/>
        </w:rPr>
      </w:pPr>
      <w:r w:rsidRPr="00651864">
        <w:rPr>
          <w:rFonts w:ascii="Book Antiqua" w:hAnsi="Book Antiqua"/>
          <w:b/>
          <w:lang w:val="en-US"/>
        </w:rPr>
        <w:t>Accepted:</w:t>
      </w:r>
      <w:r w:rsidR="006873AB">
        <w:rPr>
          <w:rFonts w:ascii="Book Antiqua" w:hAnsi="Book Antiqua"/>
          <w:b/>
          <w:lang w:val="en-US"/>
        </w:rPr>
        <w:t xml:space="preserve"> </w:t>
      </w:r>
      <w:r w:rsidR="006873AB">
        <w:rPr>
          <w:rStyle w:val="ab"/>
        </w:rPr>
        <w:t>January</w:t>
      </w:r>
      <w:r w:rsidR="006873AB">
        <w:rPr>
          <w:rStyle w:val="ab"/>
          <w:rFonts w:ascii="宋体" w:hAnsi="宋体" w:cs="宋体" w:hint="eastAsia"/>
        </w:rPr>
        <w:t xml:space="preserve"> 11</w:t>
      </w:r>
      <w:r w:rsidR="006873AB">
        <w:rPr>
          <w:rStyle w:val="ab"/>
          <w:rFonts w:cs="宋体"/>
        </w:rPr>
        <w:t>,</w:t>
      </w:r>
      <w:r w:rsidR="006873AB">
        <w:rPr>
          <w:rStyle w:val="ab"/>
        </w:rPr>
        <w:t xml:space="preserve"> 2017</w:t>
      </w:r>
    </w:p>
    <w:p w14:paraId="46660078" w14:textId="77777777" w:rsidR="0038673C" w:rsidRPr="00651864" w:rsidRDefault="0038673C" w:rsidP="00CB581F">
      <w:pPr>
        <w:widowControl w:val="0"/>
        <w:adjustRightInd w:val="0"/>
        <w:snapToGrid w:val="0"/>
        <w:spacing w:line="360" w:lineRule="auto"/>
        <w:jc w:val="both"/>
        <w:rPr>
          <w:rFonts w:ascii="Book Antiqua" w:hAnsi="Book Antiqua"/>
          <w:lang w:val="en-US"/>
        </w:rPr>
      </w:pPr>
      <w:r w:rsidRPr="00651864">
        <w:rPr>
          <w:rFonts w:ascii="Book Antiqua" w:hAnsi="Book Antiqua"/>
          <w:b/>
          <w:lang w:val="en-US"/>
        </w:rPr>
        <w:t>Article in press:</w:t>
      </w:r>
    </w:p>
    <w:p w14:paraId="522CD4D5" w14:textId="77777777" w:rsidR="0038673C" w:rsidRPr="00651864" w:rsidRDefault="0038673C" w:rsidP="00CB581F">
      <w:pPr>
        <w:adjustRightInd w:val="0"/>
        <w:snapToGrid w:val="0"/>
        <w:spacing w:line="360" w:lineRule="auto"/>
        <w:jc w:val="both"/>
        <w:rPr>
          <w:rFonts w:ascii="Book Antiqua" w:hAnsi="Book Antiqua"/>
          <w:lang w:val="en-US"/>
        </w:rPr>
      </w:pPr>
      <w:r w:rsidRPr="00651864">
        <w:rPr>
          <w:rFonts w:ascii="Book Antiqua" w:hAnsi="Book Antiqua"/>
          <w:b/>
          <w:lang w:val="en-US"/>
        </w:rPr>
        <w:t>Published online:</w:t>
      </w:r>
      <w:bookmarkEnd w:id="10"/>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1CEDD608" w14:textId="77777777" w:rsidR="00C2498C" w:rsidRPr="003B7DDC" w:rsidRDefault="003D5E49"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lang w:val="en-GB"/>
        </w:rPr>
        <w:br w:type="page"/>
      </w:r>
      <w:r w:rsidR="00C2498C" w:rsidRPr="003B7DDC">
        <w:rPr>
          <w:rFonts w:ascii="Book Antiqua" w:hAnsi="Book Antiqua" w:cs="Arial"/>
          <w:b/>
          <w:bCs/>
          <w:lang w:val="en-GB"/>
        </w:rPr>
        <w:lastRenderedPageBreak/>
        <w:t>Abstract</w:t>
      </w:r>
    </w:p>
    <w:p w14:paraId="6B38C4E6" w14:textId="77777777" w:rsidR="001B4127" w:rsidRPr="003B7DDC" w:rsidRDefault="001B4127" w:rsidP="00CB581F">
      <w:pPr>
        <w:autoSpaceDE w:val="0"/>
        <w:autoSpaceDN w:val="0"/>
        <w:adjustRightInd w:val="0"/>
        <w:snapToGrid w:val="0"/>
        <w:spacing w:line="360" w:lineRule="auto"/>
        <w:jc w:val="both"/>
        <w:rPr>
          <w:rFonts w:ascii="Book Antiqua" w:hAnsi="Book Antiqua" w:cs="Arial"/>
          <w:i/>
          <w:lang w:val="en-GB" w:eastAsia="zh-CN"/>
        </w:rPr>
      </w:pPr>
      <w:r w:rsidRPr="003B7DDC">
        <w:rPr>
          <w:rFonts w:ascii="Book Antiqua" w:hAnsi="Book Antiqua" w:cs="Arial"/>
          <w:b/>
          <w:bCs/>
          <w:i/>
          <w:lang w:val="en-GB"/>
        </w:rPr>
        <w:t>AIM</w:t>
      </w:r>
    </w:p>
    <w:p w14:paraId="7BE69D25"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lang w:val="en-GB"/>
        </w:rPr>
        <w:t xml:space="preserve">To determine </w:t>
      </w:r>
      <w:r w:rsidR="00883B30" w:rsidRPr="003B7DDC">
        <w:rPr>
          <w:rFonts w:ascii="Book Antiqua" w:hAnsi="Book Antiqua" w:cs="Arial"/>
          <w:lang w:val="en-GB"/>
        </w:rPr>
        <w:t>acute kidney in jury (</w:t>
      </w:r>
      <w:r w:rsidRPr="003B7DDC">
        <w:rPr>
          <w:rFonts w:ascii="Book Antiqua" w:hAnsi="Book Antiqua" w:cs="Arial"/>
          <w:lang w:val="en-GB"/>
        </w:rPr>
        <w:t>AKI</w:t>
      </w:r>
      <w:r w:rsidR="00883B30" w:rsidRPr="003B7DDC">
        <w:rPr>
          <w:rFonts w:ascii="Book Antiqua" w:hAnsi="Book Antiqua" w:cs="Arial"/>
          <w:lang w:val="en-GB"/>
        </w:rPr>
        <w:t>)</w:t>
      </w:r>
      <w:r w:rsidRPr="003B7DDC">
        <w:rPr>
          <w:rFonts w:ascii="Book Antiqua" w:hAnsi="Book Antiqua" w:cs="Arial"/>
          <w:lang w:val="en-GB"/>
        </w:rPr>
        <w:t xml:space="preserve"> incidence and potential risk factors of AKI in children undergoing spinal instrumentation surgery.</w:t>
      </w:r>
    </w:p>
    <w:p w14:paraId="59277C5E"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bCs/>
          <w:lang w:val="en-GB"/>
        </w:rPr>
      </w:pPr>
    </w:p>
    <w:p w14:paraId="5ADAF997" w14:textId="77777777" w:rsidR="001B4127" w:rsidRPr="003B7DDC" w:rsidRDefault="001B4127" w:rsidP="00CB581F">
      <w:pPr>
        <w:autoSpaceDE w:val="0"/>
        <w:autoSpaceDN w:val="0"/>
        <w:adjustRightInd w:val="0"/>
        <w:snapToGrid w:val="0"/>
        <w:spacing w:line="360" w:lineRule="auto"/>
        <w:jc w:val="both"/>
        <w:rPr>
          <w:rFonts w:ascii="Book Antiqua" w:hAnsi="Book Antiqua" w:cs="Arial"/>
          <w:b/>
          <w:bCs/>
          <w:i/>
          <w:lang w:val="en-GB" w:eastAsia="zh-CN"/>
        </w:rPr>
      </w:pPr>
      <w:r w:rsidRPr="003B7DDC">
        <w:rPr>
          <w:rFonts w:ascii="Book Antiqua" w:hAnsi="Book Antiqua" w:cs="Arial"/>
          <w:b/>
          <w:bCs/>
          <w:i/>
          <w:lang w:val="en-GB"/>
        </w:rPr>
        <w:t xml:space="preserve">METHODS </w:t>
      </w:r>
    </w:p>
    <w:p w14:paraId="1DA5EEB9"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lang w:val="en-GB"/>
        </w:rPr>
        <w:t>AKI</w:t>
      </w:r>
      <w:r w:rsidRPr="003B7DDC">
        <w:rPr>
          <w:rFonts w:ascii="Book Antiqua" w:hAnsi="Book Antiqua" w:cs="Arial"/>
          <w:b/>
          <w:bCs/>
          <w:lang w:val="en-GB"/>
        </w:rPr>
        <w:t xml:space="preserve"> </w:t>
      </w:r>
      <w:r w:rsidR="0086789D" w:rsidRPr="003B7DDC">
        <w:rPr>
          <w:rFonts w:ascii="Book Antiqua" w:hAnsi="Book Antiqua" w:cs="Arial"/>
          <w:lang w:val="en-GB"/>
        </w:rPr>
        <w:t>i</w:t>
      </w:r>
      <w:r w:rsidRPr="003B7DDC">
        <w:rPr>
          <w:rFonts w:ascii="Book Antiqua" w:hAnsi="Book Antiqua" w:cs="Arial"/>
          <w:lang w:val="en-GB"/>
        </w:rPr>
        <w:t xml:space="preserve">ncidence in children undergoing spinal instrumentation surgery at British Columbia Children’s Hospital between January 2006 and December 2008 was determined by the Acute Kidney Injury Network (AKIN) classification using serum creatinine and urine output criteria. During this specific time period, all patients following spinal surgery were monitored in the </w:t>
      </w:r>
      <w:r w:rsidR="00883B30" w:rsidRPr="003B7DDC">
        <w:rPr>
          <w:rFonts w:ascii="Book Antiqua" w:hAnsi="Book Antiqua" w:cs="Arial"/>
          <w:lang w:val="en-GB"/>
        </w:rPr>
        <w:t xml:space="preserve">pediatric intensive care unit </w:t>
      </w:r>
      <w:r w:rsidRPr="003B7DDC">
        <w:rPr>
          <w:rFonts w:ascii="Book Antiqua" w:hAnsi="Book Antiqua" w:cs="Arial"/>
          <w:lang w:val="en-GB"/>
        </w:rPr>
        <w:t xml:space="preserve">and had an indwelling Foley catheter permitting hourly urine output recording. Cases of AKI were identified from our database. From the remaining cohort, we selected group-matched controls that did not satisfy criteria for AKI. The controls were matched for sex, age and underlying diagnosis (idiopathic </w:t>
      </w:r>
      <w:r w:rsidR="001F041C" w:rsidRPr="003B7DDC">
        <w:rPr>
          <w:rFonts w:ascii="Book Antiqua" w:hAnsi="Book Antiqua" w:cs="Arial"/>
          <w:i/>
          <w:lang w:val="en-GB"/>
        </w:rPr>
        <w:t>vs</w:t>
      </w:r>
      <w:r w:rsidRPr="003B7DDC">
        <w:rPr>
          <w:rFonts w:ascii="Book Antiqua" w:hAnsi="Book Antiqua" w:cs="Arial"/>
          <w:lang w:val="en-GB"/>
        </w:rPr>
        <w:t xml:space="preserve"> non-idiopathic scoliosis).</w:t>
      </w:r>
    </w:p>
    <w:p w14:paraId="01C3F305"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bCs/>
          <w:lang w:val="en-GB"/>
        </w:rPr>
      </w:pPr>
    </w:p>
    <w:p w14:paraId="554EC90D" w14:textId="77777777" w:rsidR="0067475F" w:rsidRPr="003B7DDC" w:rsidRDefault="0067475F" w:rsidP="00CB581F">
      <w:pPr>
        <w:autoSpaceDE w:val="0"/>
        <w:autoSpaceDN w:val="0"/>
        <w:adjustRightInd w:val="0"/>
        <w:snapToGrid w:val="0"/>
        <w:spacing w:line="360" w:lineRule="auto"/>
        <w:jc w:val="both"/>
        <w:rPr>
          <w:rFonts w:ascii="Book Antiqua" w:hAnsi="Book Antiqua" w:cs="Arial"/>
          <w:b/>
          <w:bCs/>
          <w:lang w:val="en-GB" w:eastAsia="zh-CN"/>
        </w:rPr>
      </w:pPr>
      <w:r w:rsidRPr="003B7DDC">
        <w:rPr>
          <w:rFonts w:ascii="Book Antiqua" w:hAnsi="Book Antiqua" w:cs="Arial"/>
          <w:b/>
          <w:bCs/>
          <w:i/>
          <w:lang w:val="en-GB"/>
        </w:rPr>
        <w:t>RESULTS</w:t>
      </w:r>
    </w:p>
    <w:p w14:paraId="4A83E771"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lang w:val="en-GB"/>
        </w:rPr>
        <w:t>Thirty five of 208 patients met criteria for AKI with an incidence of 17% (</w:t>
      </w:r>
      <w:r w:rsidR="001B4127" w:rsidRPr="003B7DDC">
        <w:rPr>
          <w:rFonts w:ascii="Book Antiqua" w:hAnsi="Book Antiqua" w:cs="Arial"/>
          <w:lang w:val="en-GB"/>
        </w:rPr>
        <w:t>95%CI:</w:t>
      </w:r>
      <w:r w:rsidR="000F74DE" w:rsidRPr="003B7DDC">
        <w:rPr>
          <w:rFonts w:ascii="Book Antiqua" w:hAnsi="Book Antiqua" w:cs="Arial"/>
          <w:lang w:val="en-GB" w:eastAsia="zh-CN"/>
        </w:rPr>
        <w:t xml:space="preserve"> </w:t>
      </w:r>
      <w:r w:rsidRPr="003B7DDC">
        <w:rPr>
          <w:rFonts w:ascii="Book Antiqua" w:hAnsi="Book Antiqua" w:cs="Arial"/>
          <w:lang w:val="en-GB"/>
        </w:rPr>
        <w:t>12</w:t>
      </w:r>
      <w:r w:rsidR="000F74DE" w:rsidRPr="003B7DDC">
        <w:rPr>
          <w:rFonts w:ascii="Book Antiqua" w:hAnsi="Book Antiqua" w:cs="Arial"/>
          <w:lang w:val="en-GB" w:eastAsia="zh-CN"/>
        </w:rPr>
        <w:t>%</w:t>
      </w:r>
      <w:r w:rsidRPr="003B7DDC">
        <w:rPr>
          <w:rFonts w:ascii="Book Antiqua" w:hAnsi="Book Antiqua" w:cs="Arial"/>
          <w:lang w:val="en-GB"/>
        </w:rPr>
        <w:t>-23%). Of all children who developed AKI, 1</w:t>
      </w:r>
      <w:r w:rsidR="00FC06FB" w:rsidRPr="003B7DDC">
        <w:rPr>
          <w:rFonts w:ascii="Book Antiqua" w:hAnsi="Book Antiqua" w:cs="Arial"/>
          <w:lang w:val="en-GB"/>
        </w:rPr>
        <w:t>7 (49%) developed mild AKI (AKI</w:t>
      </w:r>
      <w:r w:rsidRPr="003B7DDC">
        <w:rPr>
          <w:rFonts w:ascii="Book Antiqua" w:hAnsi="Book Antiqua" w:cs="Arial"/>
          <w:lang w:val="en-GB"/>
        </w:rPr>
        <w:t xml:space="preserve"> Stage 1), 17 (49%) developed moderate AKI ( Stage 2) and 1 patient (3%) met criteria for severe AKI (Stage 3). An inverse relationship was observed with AKI incidence and the amount of fluids received intra-operatively. An inverse relationship was observed with AKI incidence and the amount of fluids received intra-operatively classified by fluid tertiles: 70% incidence in those that received the least amount of fluids </w:t>
      </w:r>
      <w:r w:rsidR="001F041C" w:rsidRPr="003B7DDC">
        <w:rPr>
          <w:rFonts w:ascii="Book Antiqua" w:hAnsi="Book Antiqua" w:cs="Arial"/>
          <w:i/>
          <w:lang w:val="en-GB"/>
        </w:rPr>
        <w:t>vs</w:t>
      </w:r>
      <w:r w:rsidRPr="003B7DDC">
        <w:rPr>
          <w:rFonts w:ascii="Book Antiqua" w:hAnsi="Book Antiqua" w:cs="Arial"/>
          <w:lang w:val="en-GB"/>
        </w:rPr>
        <w:t xml:space="preserve"> 29% that received the most fluids (&gt;</w:t>
      </w:r>
      <w:r w:rsidR="0003451D" w:rsidRPr="003B7DDC">
        <w:rPr>
          <w:rFonts w:ascii="Book Antiqua" w:hAnsi="Book Antiqua" w:cs="Arial"/>
          <w:lang w:val="en-GB" w:eastAsia="zh-CN"/>
        </w:rPr>
        <w:t xml:space="preserve"> </w:t>
      </w:r>
      <w:r w:rsidR="00DE79F1" w:rsidRPr="003B7DDC">
        <w:rPr>
          <w:rFonts w:ascii="Book Antiqua" w:hAnsi="Book Antiqua" w:cs="Arial"/>
          <w:lang w:val="en-GB"/>
        </w:rPr>
        <w:t>7.9</w:t>
      </w:r>
      <w:r w:rsidR="00DE79F1" w:rsidRPr="003B7DDC">
        <w:rPr>
          <w:rFonts w:ascii="Book Antiqua" w:hAnsi="Book Antiqua" w:cs="Arial"/>
          <w:lang w:val="en-GB" w:eastAsia="zh-CN"/>
        </w:rPr>
        <w:t xml:space="preserve">, </w:t>
      </w:r>
      <w:r w:rsidR="0003451D" w:rsidRPr="003B7DDC">
        <w:rPr>
          <w:rFonts w:ascii="Book Antiqua" w:hAnsi="Book Antiqua" w:cs="Arial"/>
          <w:i/>
          <w:lang w:val="en-GB"/>
        </w:rPr>
        <w:t>P</w:t>
      </w:r>
      <w:r w:rsidR="0003451D" w:rsidRPr="003B7DDC">
        <w:rPr>
          <w:rFonts w:ascii="Book Antiqua" w:hAnsi="Book Antiqua" w:cs="Arial"/>
          <w:lang w:val="en-GB" w:eastAsia="zh-CN"/>
        </w:rPr>
        <w:t xml:space="preserve"> </w:t>
      </w:r>
      <w:r w:rsidRPr="003B7DDC">
        <w:rPr>
          <w:rFonts w:ascii="Book Antiqua" w:hAnsi="Book Antiqua" w:cs="Arial"/>
          <w:lang w:val="en-GB"/>
        </w:rPr>
        <w:t>=</w:t>
      </w:r>
      <w:r w:rsidR="0003451D" w:rsidRPr="003B7DDC">
        <w:rPr>
          <w:rFonts w:ascii="Book Antiqua" w:hAnsi="Book Antiqua" w:cs="Arial"/>
          <w:lang w:val="en-GB" w:eastAsia="zh-CN"/>
        </w:rPr>
        <w:t xml:space="preserve"> </w:t>
      </w:r>
      <w:r w:rsidRPr="003B7DDC">
        <w:rPr>
          <w:rFonts w:ascii="Book Antiqua" w:hAnsi="Book Antiqua" w:cs="Arial"/>
          <w:lang w:val="en-GB"/>
        </w:rPr>
        <w:t>0.02). Patients who developed AKI were more frequentl</w:t>
      </w:r>
      <w:r w:rsidR="00883B30" w:rsidRPr="003B7DDC">
        <w:rPr>
          <w:rFonts w:ascii="Book Antiqua" w:hAnsi="Book Antiqua" w:cs="Arial"/>
          <w:lang w:val="en-GB"/>
        </w:rPr>
        <w:t xml:space="preserve">y exposed to nephrotoxins </w:t>
      </w:r>
      <w:r w:rsidR="00FC06FB" w:rsidRPr="003B7DDC">
        <w:rPr>
          <w:rFonts w:ascii="Book Antiqua" w:hAnsi="Book Antiqua" w:cs="Arial"/>
          <w:lang w:val="en-GB" w:eastAsia="zh-CN"/>
        </w:rPr>
        <w:t>(</w:t>
      </w:r>
      <w:r w:rsidR="00883B30" w:rsidRPr="003B7DDC">
        <w:rPr>
          <w:rFonts w:ascii="Book Antiqua" w:hAnsi="Book Antiqua" w:cs="Arial"/>
          <w:lang w:val="en-GB"/>
        </w:rPr>
        <w:t>non steroidal anti inflammatory drug</w:t>
      </w:r>
      <w:r w:rsidRPr="003B7DDC">
        <w:rPr>
          <w:rFonts w:ascii="Book Antiqua" w:hAnsi="Book Antiqua" w:cs="Arial"/>
          <w:lang w:val="en-GB"/>
        </w:rPr>
        <w:t>s</w:t>
      </w:r>
      <w:r w:rsidR="00883B30" w:rsidRPr="003B7DDC">
        <w:rPr>
          <w:rFonts w:ascii="Book Antiqua" w:hAnsi="Book Antiqua" w:cs="Arial"/>
          <w:lang w:val="en-GB"/>
        </w:rPr>
        <w:t xml:space="preserve"> </w:t>
      </w:r>
      <w:r w:rsidRPr="003B7DDC">
        <w:rPr>
          <w:rFonts w:ascii="Book Antiqua" w:hAnsi="Book Antiqua" w:cs="Arial"/>
          <w:lang w:val="en-GB"/>
        </w:rPr>
        <w:t>or aminoglycosides</w:t>
      </w:r>
      <w:r w:rsidR="00FC06FB" w:rsidRPr="003B7DDC">
        <w:rPr>
          <w:rFonts w:ascii="Book Antiqua" w:hAnsi="Book Antiqua" w:cs="Arial"/>
          <w:lang w:val="en-GB" w:eastAsia="zh-CN"/>
        </w:rPr>
        <w:t>)</w:t>
      </w:r>
      <w:r w:rsidRPr="003B7DDC">
        <w:rPr>
          <w:rFonts w:ascii="Book Antiqua" w:hAnsi="Book Antiqua" w:cs="Arial"/>
          <w:lang w:val="en-GB"/>
        </w:rPr>
        <w:t xml:space="preserve"> than control patients during their peri-operative course (60% </w:t>
      </w:r>
      <w:r w:rsidR="001F041C" w:rsidRPr="003B7DDC">
        <w:rPr>
          <w:rFonts w:ascii="Book Antiqua" w:hAnsi="Book Antiqua" w:cs="Arial"/>
          <w:i/>
          <w:lang w:val="en-GB"/>
        </w:rPr>
        <w:t>vs</w:t>
      </w:r>
      <w:r w:rsidRPr="003B7DDC">
        <w:rPr>
          <w:rFonts w:ascii="Book Antiqua" w:hAnsi="Book Antiqua" w:cs="Arial"/>
          <w:lang w:val="en-GB"/>
        </w:rPr>
        <w:t xml:space="preserve"> 22%, </w:t>
      </w:r>
      <w:r w:rsidR="00D443C0" w:rsidRPr="003B7DDC">
        <w:rPr>
          <w:rFonts w:ascii="Book Antiqua" w:hAnsi="Book Antiqua" w:cs="Arial"/>
          <w:i/>
          <w:lang w:val="en-GB"/>
        </w:rPr>
        <w:t>P</w:t>
      </w:r>
      <w:r w:rsidR="00D443C0" w:rsidRPr="003B7DDC">
        <w:rPr>
          <w:rFonts w:ascii="Book Antiqua" w:hAnsi="Book Antiqua" w:cs="Arial"/>
          <w:lang w:val="en-GB" w:eastAsia="zh-CN"/>
        </w:rPr>
        <w:t xml:space="preserve"> </w:t>
      </w:r>
      <w:r w:rsidRPr="003B7DDC">
        <w:rPr>
          <w:rFonts w:ascii="Book Antiqua" w:hAnsi="Book Antiqua" w:cs="Arial"/>
          <w:lang w:val="en-GB"/>
        </w:rPr>
        <w:t>&lt;</w:t>
      </w:r>
      <w:r w:rsidR="00D443C0" w:rsidRPr="003B7DDC">
        <w:rPr>
          <w:rFonts w:ascii="Book Antiqua" w:hAnsi="Book Antiqua" w:cs="Arial"/>
          <w:lang w:val="en-GB" w:eastAsia="zh-CN"/>
        </w:rPr>
        <w:t xml:space="preserve"> </w:t>
      </w:r>
      <w:r w:rsidRPr="003B7DDC">
        <w:rPr>
          <w:rFonts w:ascii="Book Antiqua" w:hAnsi="Book Antiqua" w:cs="Arial"/>
          <w:lang w:val="en-GB"/>
        </w:rPr>
        <w:t>0.001).</w:t>
      </w:r>
    </w:p>
    <w:p w14:paraId="4152C439"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bCs/>
          <w:lang w:val="en-GB"/>
        </w:rPr>
      </w:pPr>
    </w:p>
    <w:p w14:paraId="1F3EA74F" w14:textId="77777777" w:rsidR="00FC06FB" w:rsidRPr="003B7DDC" w:rsidRDefault="00FC06FB" w:rsidP="00CB581F">
      <w:pPr>
        <w:autoSpaceDE w:val="0"/>
        <w:autoSpaceDN w:val="0"/>
        <w:adjustRightInd w:val="0"/>
        <w:snapToGrid w:val="0"/>
        <w:spacing w:line="360" w:lineRule="auto"/>
        <w:jc w:val="both"/>
        <w:rPr>
          <w:rFonts w:ascii="Book Antiqua" w:hAnsi="Book Antiqua" w:cs="Arial"/>
          <w:b/>
          <w:bCs/>
          <w:lang w:val="en-GB" w:eastAsia="zh-CN"/>
        </w:rPr>
      </w:pPr>
      <w:r w:rsidRPr="003B7DDC">
        <w:rPr>
          <w:rFonts w:ascii="Book Antiqua" w:hAnsi="Book Antiqua" w:cs="Arial"/>
          <w:b/>
          <w:bCs/>
          <w:i/>
          <w:lang w:val="en-GB"/>
        </w:rPr>
        <w:t>CONCLUSION</w:t>
      </w:r>
    </w:p>
    <w:p w14:paraId="41A54B0E"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lang w:val="en-GB"/>
        </w:rPr>
        <w:t xml:space="preserve">We observed a high incidence of AKI following spinal instrumentation surgery in children that is </w:t>
      </w:r>
      <w:r w:rsidR="0086789D" w:rsidRPr="003B7DDC">
        <w:rPr>
          <w:rFonts w:ascii="Book Antiqua" w:hAnsi="Book Antiqua" w:cs="Arial"/>
          <w:lang w:val="en-GB"/>
        </w:rPr>
        <w:t>potentially</w:t>
      </w:r>
      <w:r w:rsidRPr="003B7DDC">
        <w:rPr>
          <w:rFonts w:ascii="Book Antiqua" w:hAnsi="Book Antiqua" w:cs="Arial"/>
          <w:lang w:val="en-GB"/>
        </w:rPr>
        <w:t xml:space="preserve"> related to the frequent use of nephrotoxins and the amount of fluid administered peri-operatively.</w:t>
      </w:r>
    </w:p>
    <w:p w14:paraId="7D3D2B41"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2EB14E48"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eastAsia="zh-CN"/>
        </w:rPr>
      </w:pPr>
      <w:r w:rsidRPr="003B7DDC">
        <w:rPr>
          <w:rFonts w:ascii="Book Antiqua" w:hAnsi="Book Antiqua" w:cs="Arial"/>
          <w:b/>
          <w:bCs/>
          <w:lang w:val="en-GB"/>
        </w:rPr>
        <w:t>Key words</w:t>
      </w:r>
      <w:r w:rsidRPr="003B7DDC">
        <w:rPr>
          <w:rFonts w:ascii="Book Antiqua" w:hAnsi="Book Antiqua" w:cs="Arial"/>
          <w:lang w:val="en-GB"/>
        </w:rPr>
        <w:t xml:space="preserve">: </w:t>
      </w:r>
      <w:r w:rsidR="00FC06FB" w:rsidRPr="003B7DDC">
        <w:rPr>
          <w:rFonts w:ascii="Book Antiqua" w:hAnsi="Book Antiqua" w:cs="Arial"/>
          <w:lang w:val="en-GB"/>
        </w:rPr>
        <w:t>A</w:t>
      </w:r>
      <w:r w:rsidRPr="003B7DDC">
        <w:rPr>
          <w:rFonts w:ascii="Book Antiqua" w:hAnsi="Book Antiqua" w:cs="Arial"/>
          <w:lang w:val="en-GB"/>
        </w:rPr>
        <w:t>cute kidney injury</w:t>
      </w:r>
      <w:r w:rsidR="00FC06FB" w:rsidRPr="003B7DDC">
        <w:rPr>
          <w:rFonts w:ascii="Book Antiqua" w:hAnsi="Book Antiqua" w:cs="Arial"/>
          <w:lang w:val="en-GB" w:eastAsia="zh-CN"/>
        </w:rPr>
        <w:t xml:space="preserve">; </w:t>
      </w:r>
      <w:r w:rsidR="00FC06FB" w:rsidRPr="003B7DDC">
        <w:rPr>
          <w:rFonts w:ascii="Book Antiqua" w:hAnsi="Book Antiqua" w:cs="Arial"/>
          <w:lang w:val="en-GB"/>
        </w:rPr>
        <w:t>E</w:t>
      </w:r>
      <w:r w:rsidRPr="003B7DDC">
        <w:rPr>
          <w:rFonts w:ascii="Book Antiqua" w:hAnsi="Book Antiqua" w:cs="Arial"/>
          <w:lang w:val="en-GB"/>
        </w:rPr>
        <w:t>pidemiology</w:t>
      </w:r>
      <w:r w:rsidR="00FC06FB" w:rsidRPr="003B7DDC">
        <w:rPr>
          <w:rFonts w:ascii="Book Antiqua" w:hAnsi="Book Antiqua" w:cs="Arial"/>
          <w:lang w:val="en-GB" w:eastAsia="zh-CN"/>
        </w:rPr>
        <w:t xml:space="preserve">; </w:t>
      </w:r>
      <w:r w:rsidR="00FC06FB" w:rsidRPr="003B7DDC">
        <w:rPr>
          <w:rFonts w:ascii="Book Antiqua" w:hAnsi="Book Antiqua" w:cs="Arial"/>
          <w:lang w:val="en-GB"/>
        </w:rPr>
        <w:t>Acute Kidney Injury Network</w:t>
      </w:r>
      <w:r w:rsidR="00FC06FB" w:rsidRPr="003B7DDC">
        <w:rPr>
          <w:rFonts w:ascii="Book Antiqua" w:hAnsi="Book Antiqua" w:cs="Arial"/>
          <w:lang w:val="en-GB" w:eastAsia="zh-CN"/>
        </w:rPr>
        <w:t xml:space="preserve">; </w:t>
      </w:r>
      <w:r w:rsidR="00FC06FB" w:rsidRPr="003B7DDC">
        <w:rPr>
          <w:rFonts w:ascii="Book Antiqua" w:hAnsi="Book Antiqua" w:cs="Arial"/>
          <w:lang w:val="en-GB"/>
        </w:rPr>
        <w:t>S</w:t>
      </w:r>
      <w:r w:rsidRPr="003B7DDC">
        <w:rPr>
          <w:rFonts w:ascii="Book Antiqua" w:hAnsi="Book Antiqua" w:cs="Arial"/>
          <w:lang w:val="en-GB"/>
        </w:rPr>
        <w:t>pinal surgery</w:t>
      </w:r>
      <w:r w:rsidR="00FC06FB" w:rsidRPr="003B7DDC">
        <w:rPr>
          <w:rFonts w:ascii="Book Antiqua" w:hAnsi="Book Antiqua" w:cs="Arial"/>
          <w:lang w:val="en-GB" w:eastAsia="zh-CN"/>
        </w:rPr>
        <w:t>;</w:t>
      </w:r>
      <w:r w:rsidRPr="003B7DDC">
        <w:rPr>
          <w:rFonts w:ascii="Book Antiqua" w:hAnsi="Book Antiqua" w:cs="Arial"/>
          <w:lang w:val="en-GB"/>
        </w:rPr>
        <w:t xml:space="preserve"> </w:t>
      </w:r>
      <w:r w:rsidR="00FC06FB" w:rsidRPr="003B7DDC">
        <w:rPr>
          <w:rFonts w:ascii="Book Antiqua" w:hAnsi="Book Antiqua" w:cs="Arial"/>
          <w:lang w:val="en-GB"/>
        </w:rPr>
        <w:t>Children</w:t>
      </w:r>
    </w:p>
    <w:p w14:paraId="6314E8C3" w14:textId="77777777" w:rsidR="00DC618E" w:rsidRPr="003B7DDC" w:rsidRDefault="00DC618E" w:rsidP="00CB581F">
      <w:pPr>
        <w:autoSpaceDE w:val="0"/>
        <w:autoSpaceDN w:val="0"/>
        <w:adjustRightInd w:val="0"/>
        <w:snapToGrid w:val="0"/>
        <w:spacing w:line="360" w:lineRule="auto"/>
        <w:jc w:val="both"/>
        <w:rPr>
          <w:rFonts w:ascii="Book Antiqua" w:hAnsi="Book Antiqua" w:cs="Arial"/>
          <w:lang w:val="en-GB" w:eastAsia="zh-CN"/>
        </w:rPr>
      </w:pPr>
    </w:p>
    <w:p w14:paraId="34325B0E" w14:textId="206DE7CE" w:rsidR="00DC618E" w:rsidRPr="00651864" w:rsidRDefault="00DC618E" w:rsidP="00CB581F">
      <w:pPr>
        <w:widowControl w:val="0"/>
        <w:adjustRightInd w:val="0"/>
        <w:snapToGrid w:val="0"/>
        <w:spacing w:line="360" w:lineRule="auto"/>
        <w:jc w:val="both"/>
        <w:rPr>
          <w:rFonts w:ascii="Book Antiqua" w:hAnsi="Book Antiqua" w:cs="Tahoma"/>
          <w:color w:val="000000"/>
          <w:kern w:val="2"/>
          <w:lang w:val="en-US"/>
        </w:rPr>
      </w:pPr>
      <w:bookmarkStart w:id="28" w:name="OLE_LINK148"/>
      <w:bookmarkStart w:id="29" w:name="OLE_LINK149"/>
      <w:bookmarkStart w:id="30" w:name="OLE_LINK200"/>
      <w:bookmarkStart w:id="31" w:name="OLE_LINK288"/>
      <w:bookmarkStart w:id="32" w:name="OLE_LINK1864"/>
      <w:bookmarkStart w:id="33" w:name="OLE_LINK382"/>
      <w:bookmarkStart w:id="34" w:name="OLE_LINK306"/>
      <w:bookmarkStart w:id="35" w:name="OLE_LINK569"/>
      <w:bookmarkStart w:id="36" w:name="OLE_LINK682"/>
      <w:bookmarkStart w:id="37" w:name="OLE_LINK78"/>
      <w:bookmarkStart w:id="38" w:name="OLE_LINK79"/>
      <w:bookmarkStart w:id="39" w:name="OLE_LINK86"/>
      <w:bookmarkStart w:id="40" w:name="OLE_LINK99"/>
      <w:bookmarkStart w:id="41" w:name="OLE_LINK217"/>
      <w:bookmarkStart w:id="42" w:name="OLE_LINK245"/>
      <w:bookmarkStart w:id="43" w:name="OLE_LINK246"/>
      <w:bookmarkStart w:id="44" w:name="OLE_LINK274"/>
      <w:bookmarkStart w:id="45" w:name="OLE_LINK320"/>
      <w:r w:rsidRPr="00651864">
        <w:rPr>
          <w:rFonts w:ascii="Book Antiqua" w:hAnsi="Book Antiqua" w:cs="Tahoma"/>
          <w:b/>
          <w:color w:val="000000"/>
          <w:kern w:val="2"/>
          <w:lang w:val="en-US" w:eastAsia="ja-JP"/>
        </w:rPr>
        <w:t>© The Author(s) 201</w:t>
      </w:r>
      <w:r w:rsidR="00773BC5">
        <w:rPr>
          <w:rFonts w:ascii="Book Antiqua" w:hAnsi="Book Antiqua" w:cs="Tahoma" w:hint="eastAsia"/>
          <w:b/>
          <w:color w:val="000000"/>
          <w:kern w:val="2"/>
          <w:lang w:val="en-US" w:eastAsia="zh-CN"/>
        </w:rPr>
        <w:t>7</w:t>
      </w:r>
      <w:r w:rsidRPr="00651864">
        <w:rPr>
          <w:rFonts w:ascii="Book Antiqua" w:hAnsi="Book Antiqua" w:cs="Tahoma"/>
          <w:b/>
          <w:color w:val="000000"/>
          <w:kern w:val="2"/>
          <w:lang w:val="en-US" w:eastAsia="ja-JP"/>
        </w:rPr>
        <w:t>.</w:t>
      </w:r>
      <w:r w:rsidRPr="00651864">
        <w:rPr>
          <w:rFonts w:ascii="Book Antiqua" w:hAnsi="Book Antiqua" w:cs="Tahoma"/>
          <w:color w:val="000000"/>
          <w:kern w:val="2"/>
          <w:lang w:val="en-US" w:eastAsia="ja-JP"/>
        </w:rPr>
        <w:t xml:space="preserve"> Published by Baishideng Publishing Group Inc. All rights reserved.</w:t>
      </w:r>
      <w:bookmarkEnd w:id="28"/>
      <w:bookmarkEnd w:id="29"/>
      <w:bookmarkEnd w:id="30"/>
      <w:bookmarkEnd w:id="31"/>
      <w:bookmarkEnd w:id="32"/>
      <w:bookmarkEnd w:id="33"/>
      <w:bookmarkEnd w:id="34"/>
      <w:bookmarkEnd w:id="35"/>
      <w:bookmarkEnd w:id="36"/>
    </w:p>
    <w:bookmarkEnd w:id="37"/>
    <w:bookmarkEnd w:id="38"/>
    <w:bookmarkEnd w:id="39"/>
    <w:bookmarkEnd w:id="40"/>
    <w:bookmarkEnd w:id="41"/>
    <w:bookmarkEnd w:id="42"/>
    <w:bookmarkEnd w:id="43"/>
    <w:bookmarkEnd w:id="44"/>
    <w:bookmarkEnd w:id="45"/>
    <w:p w14:paraId="0ADBF63D"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338246F2"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b/>
          <w:bCs/>
          <w:lang w:val="en-GB"/>
        </w:rPr>
        <w:t xml:space="preserve">Core </w:t>
      </w:r>
      <w:r w:rsidR="00DC618E" w:rsidRPr="003B7DDC">
        <w:rPr>
          <w:rFonts w:ascii="Book Antiqua" w:hAnsi="Book Antiqua" w:cs="Arial"/>
          <w:b/>
          <w:bCs/>
          <w:lang w:val="en-GB"/>
        </w:rPr>
        <w:t>t</w:t>
      </w:r>
      <w:r w:rsidRPr="003B7DDC">
        <w:rPr>
          <w:rFonts w:ascii="Book Antiqua" w:hAnsi="Book Antiqua" w:cs="Arial"/>
          <w:b/>
          <w:bCs/>
          <w:lang w:val="en-GB"/>
        </w:rPr>
        <w:t>ip:</w:t>
      </w:r>
      <w:r w:rsidR="00DC618E" w:rsidRPr="003B7DDC">
        <w:rPr>
          <w:rFonts w:ascii="Book Antiqua" w:hAnsi="Book Antiqua" w:cs="Arial"/>
          <w:b/>
          <w:bCs/>
          <w:lang w:val="en-GB" w:eastAsia="zh-CN"/>
        </w:rPr>
        <w:t xml:space="preserve"> </w:t>
      </w:r>
      <w:r w:rsidRPr="003B7DDC">
        <w:rPr>
          <w:rFonts w:ascii="Book Antiqua" w:hAnsi="Book Antiqua" w:cs="Arial"/>
          <w:lang w:val="en-GB"/>
        </w:rPr>
        <w:t xml:space="preserve">We </w:t>
      </w:r>
      <w:r w:rsidR="001D66BB" w:rsidRPr="003B7DDC">
        <w:rPr>
          <w:rFonts w:ascii="Book Antiqua" w:hAnsi="Book Antiqua" w:cs="Arial"/>
          <w:lang w:val="en-GB"/>
        </w:rPr>
        <w:t xml:space="preserve">are the first to </w:t>
      </w:r>
      <w:r w:rsidRPr="003B7DDC">
        <w:rPr>
          <w:rFonts w:ascii="Book Antiqua" w:hAnsi="Book Antiqua" w:cs="Arial"/>
          <w:lang w:val="en-GB"/>
        </w:rPr>
        <w:t>report a high  incidence</w:t>
      </w:r>
      <w:r w:rsidR="001D66BB" w:rsidRPr="003B7DDC">
        <w:rPr>
          <w:rFonts w:ascii="Book Antiqua" w:hAnsi="Book Antiqua" w:cs="Arial"/>
          <w:lang w:val="en-GB"/>
        </w:rPr>
        <w:t xml:space="preserve"> of acute kidney injury (AKI)</w:t>
      </w:r>
      <w:r w:rsidRPr="003B7DDC">
        <w:rPr>
          <w:rFonts w:ascii="Book Antiqua" w:hAnsi="Book Antiqua" w:cs="Arial"/>
          <w:lang w:val="en-GB"/>
        </w:rPr>
        <w:t xml:space="preserve"> of 17% in children undergoing orthopaedic spinal instrumentation surgery utilizing </w:t>
      </w:r>
      <w:r w:rsidR="001D66BB" w:rsidRPr="003B7DDC">
        <w:rPr>
          <w:rFonts w:ascii="Book Antiqua" w:hAnsi="Book Antiqua" w:cs="Arial"/>
          <w:lang w:val="en-GB"/>
        </w:rPr>
        <w:t xml:space="preserve">the Acute Kidney Injury </w:t>
      </w:r>
      <w:r w:rsidR="0086789D" w:rsidRPr="003B7DDC">
        <w:rPr>
          <w:rFonts w:ascii="Book Antiqua" w:hAnsi="Book Antiqua" w:cs="Arial"/>
          <w:lang w:val="en-GB"/>
        </w:rPr>
        <w:t>Network</w:t>
      </w:r>
      <w:r w:rsidR="001D66BB" w:rsidRPr="003B7DDC">
        <w:rPr>
          <w:rFonts w:ascii="Book Antiqua" w:hAnsi="Book Antiqua" w:cs="Arial"/>
          <w:lang w:val="en-GB"/>
        </w:rPr>
        <w:t xml:space="preserve"> definition</w:t>
      </w:r>
      <w:r w:rsidR="001A4A03" w:rsidRPr="003B7DDC">
        <w:rPr>
          <w:rFonts w:ascii="Book Antiqua" w:hAnsi="Book Antiqua" w:cs="Arial"/>
          <w:lang w:val="en-GB"/>
        </w:rPr>
        <w:t>.</w:t>
      </w:r>
      <w:r w:rsidRPr="003B7DDC">
        <w:rPr>
          <w:rFonts w:ascii="Book Antiqua" w:hAnsi="Book Antiqua" w:cs="Arial"/>
          <w:lang w:val="en-GB"/>
        </w:rPr>
        <w:t xml:space="preserve"> A relationship was observed between </w:t>
      </w:r>
      <w:r w:rsidR="001D66BB" w:rsidRPr="003B7DDC">
        <w:rPr>
          <w:rFonts w:ascii="Book Antiqua" w:hAnsi="Book Antiqua" w:cs="Arial"/>
          <w:lang w:val="en-GB"/>
        </w:rPr>
        <w:t>the development of</w:t>
      </w:r>
      <w:r w:rsidRPr="003B7DDC">
        <w:rPr>
          <w:rFonts w:ascii="Book Antiqua" w:hAnsi="Book Antiqua" w:cs="Arial"/>
          <w:lang w:val="en-GB"/>
        </w:rPr>
        <w:t xml:space="preserve"> AKI and the  use of nephrotoxins</w:t>
      </w:r>
      <w:r w:rsidR="001D66BB" w:rsidRPr="003B7DDC">
        <w:rPr>
          <w:rFonts w:ascii="Book Antiqua" w:hAnsi="Book Antiqua" w:cs="Arial"/>
          <w:lang w:val="en-GB"/>
        </w:rPr>
        <w:t xml:space="preserve"> including non-steroidal anti-inflammatory drugs</w:t>
      </w:r>
      <w:r w:rsidRPr="003B7DDC">
        <w:rPr>
          <w:rFonts w:ascii="Book Antiqua" w:hAnsi="Book Antiqua" w:cs="Arial"/>
          <w:lang w:val="en-GB"/>
        </w:rPr>
        <w:t xml:space="preserve"> and </w:t>
      </w:r>
      <w:r w:rsidR="00BF68F2" w:rsidRPr="003B7DDC">
        <w:rPr>
          <w:rFonts w:ascii="Book Antiqua" w:hAnsi="Book Antiqua" w:cs="Arial"/>
          <w:lang w:val="en-GB"/>
        </w:rPr>
        <w:t>lower</w:t>
      </w:r>
      <w:r w:rsidRPr="003B7DDC">
        <w:rPr>
          <w:rFonts w:ascii="Book Antiqua" w:hAnsi="Book Antiqua" w:cs="Arial"/>
          <w:lang w:val="en-GB"/>
        </w:rPr>
        <w:t xml:space="preserve"> amount</w:t>
      </w:r>
      <w:r w:rsidR="00BF68F2" w:rsidRPr="003B7DDC">
        <w:rPr>
          <w:rFonts w:ascii="Book Antiqua" w:hAnsi="Book Antiqua" w:cs="Arial"/>
          <w:lang w:val="en-GB"/>
        </w:rPr>
        <w:t>s</w:t>
      </w:r>
      <w:r w:rsidRPr="003B7DDC">
        <w:rPr>
          <w:rFonts w:ascii="Book Antiqua" w:hAnsi="Book Antiqua" w:cs="Arial"/>
          <w:lang w:val="en-GB"/>
        </w:rPr>
        <w:t xml:space="preserve"> of</w:t>
      </w:r>
      <w:r w:rsidR="001D66BB" w:rsidRPr="003B7DDC">
        <w:rPr>
          <w:rFonts w:ascii="Book Antiqua" w:hAnsi="Book Antiqua" w:cs="Arial"/>
          <w:lang w:val="en-GB"/>
        </w:rPr>
        <w:t xml:space="preserve"> intravenous</w:t>
      </w:r>
      <w:r w:rsidRPr="003B7DDC">
        <w:rPr>
          <w:rFonts w:ascii="Book Antiqua" w:hAnsi="Book Antiqua" w:cs="Arial"/>
          <w:lang w:val="en-GB"/>
        </w:rPr>
        <w:t xml:space="preserve"> fluid administered peri-operatively. </w:t>
      </w:r>
      <w:r w:rsidR="00BF68F2" w:rsidRPr="003B7DDC">
        <w:rPr>
          <w:rFonts w:ascii="Book Antiqua" w:hAnsi="Book Antiqua" w:cs="Arial"/>
          <w:lang w:val="en-GB"/>
        </w:rPr>
        <w:t>These</w:t>
      </w:r>
      <w:r w:rsidRPr="003B7DDC">
        <w:rPr>
          <w:rFonts w:ascii="Book Antiqua" w:hAnsi="Book Antiqua" w:cs="Arial"/>
          <w:lang w:val="en-GB"/>
        </w:rPr>
        <w:t xml:space="preserve"> results </w:t>
      </w:r>
      <w:r w:rsidR="00BF68F2" w:rsidRPr="003B7DDC">
        <w:rPr>
          <w:rFonts w:ascii="Book Antiqua" w:hAnsi="Book Antiqua" w:cs="Arial"/>
          <w:lang w:val="en-GB"/>
        </w:rPr>
        <w:t>suggest that there are</w:t>
      </w:r>
      <w:r w:rsidR="001D66BB" w:rsidRPr="003B7DDC">
        <w:rPr>
          <w:rFonts w:ascii="Book Antiqua" w:hAnsi="Book Antiqua" w:cs="Arial"/>
          <w:lang w:val="en-GB"/>
        </w:rPr>
        <w:t xml:space="preserve"> modifiable</w:t>
      </w:r>
      <w:r w:rsidR="00BF68F2" w:rsidRPr="003B7DDC">
        <w:rPr>
          <w:rFonts w:ascii="Book Antiqua" w:hAnsi="Book Antiqua" w:cs="Arial"/>
          <w:lang w:val="en-GB"/>
        </w:rPr>
        <w:t xml:space="preserve"> AKI</w:t>
      </w:r>
      <w:r w:rsidR="001D66BB" w:rsidRPr="003B7DDC">
        <w:rPr>
          <w:rFonts w:ascii="Book Antiqua" w:hAnsi="Book Antiqua" w:cs="Arial"/>
          <w:lang w:val="en-GB"/>
        </w:rPr>
        <w:t xml:space="preserve"> risk factors</w:t>
      </w:r>
      <w:r w:rsidR="00BF68F2" w:rsidRPr="003B7DDC">
        <w:rPr>
          <w:rFonts w:ascii="Book Antiqua" w:hAnsi="Book Antiqua" w:cs="Arial"/>
          <w:lang w:val="en-GB"/>
        </w:rPr>
        <w:t xml:space="preserve"> with the potential of reducing AKI incidence in this understudied population. Further prospective studies with the use of novel AKI biomarkers are </w:t>
      </w:r>
      <w:r w:rsidR="0086789D" w:rsidRPr="003B7DDC">
        <w:rPr>
          <w:rFonts w:ascii="Book Antiqua" w:hAnsi="Book Antiqua" w:cs="Arial"/>
          <w:lang w:val="en-GB"/>
        </w:rPr>
        <w:t>needed to validate our novel results</w:t>
      </w:r>
      <w:r w:rsidR="00BF68F2" w:rsidRPr="003B7DDC">
        <w:rPr>
          <w:rFonts w:ascii="Book Antiqua" w:hAnsi="Book Antiqua" w:cs="Arial"/>
          <w:lang w:val="en-GB"/>
        </w:rPr>
        <w:t>.</w:t>
      </w:r>
    </w:p>
    <w:p w14:paraId="27E88204"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1DD08D9A" w14:textId="65AA6982" w:rsidR="00775AA8" w:rsidRPr="003B7DDC" w:rsidRDefault="00C2498C" w:rsidP="00CB581F">
      <w:pPr>
        <w:pStyle w:val="a7"/>
        <w:adjustRightInd w:val="0"/>
        <w:snapToGrid w:val="0"/>
        <w:spacing w:after="0" w:line="360" w:lineRule="auto"/>
        <w:ind w:left="0"/>
        <w:contextualSpacing w:val="0"/>
        <w:jc w:val="both"/>
        <w:rPr>
          <w:rFonts w:eastAsia="Times New Roman" w:cs="宋体"/>
          <w:i/>
          <w:sz w:val="24"/>
          <w:szCs w:val="24"/>
        </w:rPr>
      </w:pPr>
      <w:bookmarkStart w:id="46" w:name="OLE_LINK415"/>
      <w:bookmarkStart w:id="47" w:name="OLE_LINK416"/>
      <w:r w:rsidRPr="003B7DDC">
        <w:rPr>
          <w:rFonts w:cs="Arial"/>
          <w:sz w:val="24"/>
          <w:szCs w:val="24"/>
          <w:lang w:val="en-GB"/>
        </w:rPr>
        <w:t xml:space="preserve">Jöbsis JJ, Alabbas A, Milner R, Reilly C, Mulpuri K, Mammen C. </w:t>
      </w:r>
      <w:r w:rsidR="00AF2726" w:rsidRPr="003B7DDC">
        <w:rPr>
          <w:rFonts w:cs="Arial"/>
          <w:sz w:val="24"/>
          <w:szCs w:val="24"/>
          <w:lang w:val="en-GB"/>
        </w:rPr>
        <w:t xml:space="preserve">Acute kidney injury following spinal instrumentation surgery in children. </w:t>
      </w:r>
      <w:bookmarkStart w:id="48" w:name="OLE_LINK193"/>
      <w:bookmarkStart w:id="49" w:name="OLE_LINK194"/>
      <w:r w:rsidR="00775AA8" w:rsidRPr="003B7DDC">
        <w:rPr>
          <w:rFonts w:cs="Arial"/>
          <w:i/>
          <w:iCs/>
          <w:color w:val="000000"/>
          <w:sz w:val="24"/>
          <w:szCs w:val="24"/>
          <w:shd w:val="clear" w:color="auto" w:fill="FFFFFF"/>
        </w:rPr>
        <w:t xml:space="preserve">World J Nephrol </w:t>
      </w:r>
      <w:r w:rsidR="00775AA8" w:rsidRPr="003B7DDC">
        <w:rPr>
          <w:rFonts w:cs="Arial"/>
          <w:iCs/>
          <w:color w:val="000000"/>
          <w:sz w:val="24"/>
          <w:szCs w:val="24"/>
          <w:shd w:val="clear" w:color="auto" w:fill="FFFFFF"/>
        </w:rPr>
        <w:t>201</w:t>
      </w:r>
      <w:r w:rsidR="00773BC5">
        <w:rPr>
          <w:rFonts w:cs="Arial" w:hint="eastAsia"/>
          <w:iCs/>
          <w:color w:val="000000"/>
          <w:sz w:val="24"/>
          <w:szCs w:val="24"/>
          <w:shd w:val="clear" w:color="auto" w:fill="FFFFFF"/>
        </w:rPr>
        <w:t>7</w:t>
      </w:r>
      <w:r w:rsidR="00775AA8" w:rsidRPr="003B7DDC">
        <w:rPr>
          <w:rFonts w:cs="Arial"/>
          <w:iCs/>
          <w:color w:val="000000"/>
          <w:sz w:val="24"/>
          <w:szCs w:val="24"/>
          <w:shd w:val="clear" w:color="auto" w:fill="FFFFFF"/>
        </w:rPr>
        <w:t>; In press</w:t>
      </w:r>
    </w:p>
    <w:p w14:paraId="64D4FE9F"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eastAsia="zh-CN"/>
        </w:rPr>
      </w:pPr>
      <w:bookmarkStart w:id="50" w:name="_GoBack"/>
      <w:bookmarkEnd w:id="46"/>
      <w:bookmarkEnd w:id="47"/>
      <w:bookmarkEnd w:id="48"/>
      <w:bookmarkEnd w:id="49"/>
      <w:bookmarkEnd w:id="50"/>
    </w:p>
    <w:p w14:paraId="5A390402"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bCs/>
          <w:lang w:val="en-GB"/>
        </w:rPr>
      </w:pPr>
      <w:r w:rsidRPr="003B7DDC">
        <w:rPr>
          <w:rFonts w:ascii="Book Antiqua" w:hAnsi="Book Antiqua" w:cs="Arial"/>
          <w:b/>
          <w:bCs/>
          <w:lang w:val="en-GB"/>
        </w:rPr>
        <w:br w:type="page"/>
      </w:r>
      <w:r w:rsidRPr="003B7DDC">
        <w:rPr>
          <w:rFonts w:ascii="Book Antiqua" w:hAnsi="Book Antiqua" w:cs="Arial"/>
          <w:b/>
          <w:bCs/>
          <w:lang w:val="en-GB"/>
        </w:rPr>
        <w:lastRenderedPageBreak/>
        <w:t>INTRODUCTION</w:t>
      </w:r>
    </w:p>
    <w:p w14:paraId="585BB04B" w14:textId="6A244961" w:rsidR="00463A57" w:rsidRPr="003B7DDC" w:rsidRDefault="00C2498C" w:rsidP="00CB581F">
      <w:pPr>
        <w:autoSpaceDE w:val="0"/>
        <w:autoSpaceDN w:val="0"/>
        <w:adjustRightInd w:val="0"/>
        <w:snapToGrid w:val="0"/>
        <w:spacing w:line="360" w:lineRule="auto"/>
        <w:jc w:val="both"/>
        <w:rPr>
          <w:rFonts w:ascii="Book Antiqua" w:hAnsi="Book Antiqua" w:cs="Arial"/>
          <w:lang w:val="en-GB" w:eastAsia="zh-CN"/>
        </w:rPr>
      </w:pPr>
      <w:r w:rsidRPr="003B7DDC">
        <w:rPr>
          <w:rFonts w:ascii="Book Antiqua" w:hAnsi="Book Antiqua" w:cs="Arial"/>
          <w:lang w:val="en-GB"/>
        </w:rPr>
        <w:t xml:space="preserve">Over the past decade, there has been a major epidemiological shift in paediatric </w:t>
      </w:r>
      <w:r w:rsidR="009F46C9" w:rsidRPr="003B7DDC">
        <w:rPr>
          <w:rFonts w:ascii="Book Antiqua" w:hAnsi="Book Antiqua" w:cs="Arial"/>
          <w:lang w:val="en-GB"/>
        </w:rPr>
        <w:t>acute kidney injury (AKI)</w:t>
      </w:r>
      <w:r w:rsidRPr="003B7DDC">
        <w:rPr>
          <w:rFonts w:ascii="Book Antiqua" w:hAnsi="Book Antiqua" w:cs="Arial"/>
          <w:lang w:val="en-GB"/>
        </w:rPr>
        <w:t xml:space="preserve"> etiology. Previously, AKI was most often caused by primary renal diseases</w:t>
      </w:r>
      <w:r w:rsidR="00084BD7">
        <w:rPr>
          <w:rFonts w:ascii="Book Antiqua" w:hAnsi="Book Antiqua" w:cs="Arial"/>
          <w:lang w:val="en-GB"/>
        </w:rPr>
        <w:t>.</w:t>
      </w:r>
      <w:r w:rsidRPr="003B7DDC">
        <w:rPr>
          <w:rFonts w:ascii="Book Antiqua" w:hAnsi="Book Antiqua" w:cs="Arial"/>
          <w:lang w:val="en-GB"/>
        </w:rPr>
        <w:t xml:space="preserve"> </w:t>
      </w:r>
      <w:r w:rsidR="00084BD7">
        <w:rPr>
          <w:rFonts w:ascii="Book Antiqua" w:hAnsi="Book Antiqua" w:cs="Arial"/>
          <w:lang w:val="en-GB"/>
        </w:rPr>
        <w:t xml:space="preserve">Currently, the majority of AKI cases are related to secondary insults including sepsis and nephrotoxins. </w:t>
      </w:r>
      <w:r w:rsidRPr="003B7DDC">
        <w:rPr>
          <w:rFonts w:ascii="Book Antiqua" w:hAnsi="Book Antiqua" w:cs="Arial"/>
          <w:lang w:val="en-GB"/>
        </w:rPr>
        <w:t>A high incidence of AKI has been reported in various paediatric populations including 5% of all paediatrics hospitalizations, 10</w:t>
      </w:r>
      <w:r w:rsidR="009F46C9" w:rsidRPr="003B7DDC">
        <w:rPr>
          <w:rFonts w:ascii="Book Antiqua" w:hAnsi="Book Antiqua" w:cs="Arial"/>
          <w:lang w:val="en-GB" w:eastAsia="zh-CN"/>
        </w:rPr>
        <w:t>%</w:t>
      </w:r>
      <w:r w:rsidRPr="003B7DDC">
        <w:rPr>
          <w:rFonts w:ascii="Book Antiqua" w:hAnsi="Book Antiqua" w:cs="Arial"/>
          <w:lang w:val="en-GB"/>
        </w:rPr>
        <w:t>-17.9% of paediatric intensive care unit (PICU) admissions, 82% of the most severely-ill children admitted to the PICU and up to 62% of infants</w:t>
      </w:r>
      <w:r w:rsidR="00BD7A50" w:rsidRPr="003B7DDC">
        <w:rPr>
          <w:rFonts w:ascii="Book Antiqua" w:hAnsi="Book Antiqua" w:cs="Arial"/>
          <w:lang w:val="en-GB"/>
        </w:rPr>
        <w:t xml:space="preserve"> following cardiac surgery</w:t>
      </w:r>
      <w:r w:rsidR="00F67C38" w:rsidRPr="003B7DDC">
        <w:rPr>
          <w:rFonts w:ascii="Book Antiqua" w:hAnsi="Book Antiqua" w:cs="Arial"/>
          <w:lang w:val="en-GB"/>
        </w:rPr>
        <w:fldChar w:fldCharType="begin"/>
      </w:r>
      <w:r w:rsidR="00795637" w:rsidRPr="003B7DDC">
        <w:rPr>
          <w:rFonts w:ascii="Book Antiqua" w:hAnsi="Book Antiqua" w:cs="Arial"/>
          <w:lang w:val="en-GB"/>
        </w:rPr>
        <w:instrText xml:space="preserve"> ADDIN PAPERS2_CITATIONS &lt;citation&gt;&lt;uuid&gt;41FD1090-A965-431D-B02E-08F7C8C972B1&lt;/uuid&gt;&lt;priority&gt;0&lt;/priority&gt;&lt;publications&gt;&lt;publication&gt;&lt;uuid&gt;96550FBD-BDCC-41BB-A3DE-216A73C60E1C&lt;/uuid&gt;&lt;volume&gt;15&lt;/volume&gt;&lt;accepted_date&gt;99201106101200000000222000&lt;/accepted_date&gt;&lt;doi&gt;10.1186/cc10269&lt;/doi&gt;&lt;startpage&gt;R146&lt;/startpage&gt;&lt;revision_date&gt;99201105021200000000222000&lt;/revision_date&gt;&lt;publication_date&gt;99201012311200000000222000&lt;/publication_date&gt;&lt;url&gt;http://eutils.ncbi.nlm.nih.gov/entrez/eutils/elink.fcgi?dbfrom=pubmed&amp;amp;id=21663616&amp;amp;retmode=ref&amp;amp;cmd=prlinks&lt;/url&gt;&lt;type&gt;400&lt;/type&gt;&lt;title&gt;Acute kidney injury is an independent risk factor for pediatric intensive care unit mortality, longer length of stay and prolonged mechanical ventilation in critically ill children: a two-center retrospective cohort study.&lt;/title&gt;&lt;submission_date&gt;99201102191200000000222000&lt;/submission_date&gt;&lt;number&gt;3&lt;/number&gt;&lt;institution&gt;Division of Nephrology, Department of Pediatrics, McGill University Health Centre, Montreal Children's Hospital, 2300 Tupper, Room E-213, Montreal, QC, H3H 1P3, Canada.&lt;/institution&gt;&lt;subtype&gt;400&lt;/subtype&gt;&lt;endpage&gt;R146&lt;/endpage&gt;&lt;bundle&gt;&lt;publication&gt;&lt;title&gt;Critical care (London, England)&lt;/title&gt;&lt;type&gt;-100&lt;/type&gt;&lt;subtype&gt;-100&lt;/subtype&gt;&lt;uuid&gt;A7001A63-0CEB-40ED-934E-06C578AD3EA5&lt;/uuid&gt;&lt;/publication&gt;&lt;/bundle&gt;&lt;authors&gt;&lt;author&gt;&lt;firstName&gt;Omar&lt;/firstName&gt;&lt;lastName&gt;Alkandari&lt;/lastName&gt;&lt;/author&gt;&lt;author&gt;&lt;firstName&gt;K&lt;/firstName&gt;&lt;middleNames&gt;Allen&lt;/middleNames&gt;&lt;lastName&gt;Eddington&lt;/lastName&gt;&lt;/author&gt;&lt;author&gt;&lt;firstName&gt;Ayaz&lt;/firstName&gt;&lt;lastName&gt;Hyder&lt;/lastName&gt;&lt;/author&gt;&lt;author&gt;&lt;firstName&gt;France&lt;/firstName&gt;&lt;lastName&gt;Gauvin&lt;/lastName&gt;&lt;/author&gt;&lt;author&gt;&lt;firstName&gt;Thierry&lt;/firstName&gt;&lt;lastName&gt;Ducruet&lt;/lastName&gt;&lt;/author&gt;&lt;author&gt;&lt;firstName&gt;Ronald&lt;/firstName&gt;&lt;lastName&gt;Gottesman&lt;/lastName&gt;&lt;/author&gt;&lt;author&gt;&lt;firstName&gt;Véronique&lt;/firstName&gt;&lt;lastName&gt;Phan&lt;/lastName&gt;&lt;/author&gt;&lt;author&gt;&lt;firstName&gt;Michael&lt;/firstName&gt;&lt;lastName&gt;Zappitelli&lt;/lastName&gt;&lt;/author&gt;&lt;/authors&gt;&lt;/publication&gt;&lt;publication&gt;&lt;uuid&gt;A6E07068-FCF2-4321-A8F1-66453649146F&lt;/uuid&gt;&lt;volume&gt;71&lt;/volume&gt;&lt;doi&gt;10.1038/sj.ki.5002231&lt;/doi&gt;&lt;startpage&gt;1028&lt;/startpage&gt;&lt;publication_date&gt;99200704301200000000222000&lt;/publication_date&gt;&lt;url&gt;http://eutils.ncbi.nlm.nih.gov/entrez/eutils/elink.fcgi?dbfrom=pubmed&amp;amp;id=17396113&amp;amp;retmode=ref&amp;amp;cmd=prlinks&lt;/url&gt;&lt;type&gt;400&lt;/type&gt;&lt;title&gt;Modified RIFLE criteria in critically ill children with acute kidney injury.&lt;/title&gt;&lt;institution&gt;Renal Section, Department of Pediatrics, Baylor College of Medicine, Texas Children's Hospital, Houston, Texas 77030, USA.&lt;/institution&gt;&lt;number&gt;10&lt;/number&gt;&lt;subtype&gt;400&lt;/subtype&gt;&lt;endpage&gt;1035&lt;/endpage&gt;&lt;bundle&gt;&lt;publication&gt;&lt;title&gt;Kidney international&lt;/title&gt;&lt;type&gt;-100&lt;/type&gt;&lt;subtype&gt;-100&lt;/subtype&gt;&lt;uuid&gt;2EEFC742-C0B0-4505-95CC-94B05813FE0A&lt;/uuid&gt;&lt;/publication&gt;&lt;/bundle&gt;&lt;authors&gt;&lt;author&gt;&lt;firstName&gt;A&lt;/firstName&gt;&lt;lastName&gt;Akcan-Arikan&lt;/lastName&gt;&lt;/author&gt;&lt;author&gt;&lt;firstName&gt;M&lt;/firstName&gt;&lt;lastName&gt;Zappitelli&lt;/lastName&gt;&lt;/author&gt;&lt;author&gt;&lt;firstName&gt;L&lt;/firstName&gt;&lt;middleNames&gt;L&lt;/middleNames&gt;&lt;lastName&gt;Loftis&lt;/lastName&gt;&lt;/author&gt;&lt;author&gt;&lt;firstName&gt;K&lt;/firstName&gt;&lt;middleNames&gt;K&lt;/middleNames&gt;&lt;lastName&gt;Washburn&lt;/lastName&gt;&lt;/author&gt;&lt;author&gt;&lt;firstName&gt;L&lt;/firstName&gt;&lt;middleNames&gt;S&lt;/middleNames&gt;&lt;lastName&gt;Jefferson&lt;/lastName&gt;&lt;/author&gt;&lt;author&gt;&lt;firstName&gt;S&lt;/firstName&gt;&lt;middleNames&gt;L&lt;/middleNames&gt;&lt;lastName&gt;Goldstein&lt;/lastName&gt;&lt;/author&gt;&lt;/authors&gt;&lt;/publication&gt;&lt;publication&gt;&lt;uuid&gt;0660F2DD-5B00-4841-BDAF-AEA2169A6B30&lt;/uuid&gt;&lt;volume&gt;59&lt;/volume&gt;&lt;accepted_date&gt;99201110181200000000222000&lt;/accepted_date&gt;&lt;doi&gt;10.1053/j.ajkd.2011.10.048&lt;/doi&gt;&lt;startpage&gt;523&lt;/startpage&gt;&lt;publication_date&gt;99201203311200000000222000&lt;/publication_date&gt;&lt;url&gt;http://eutils.ncbi.nlm.nih.gov/entrez/eutils/elink.fcgi?dbfrom=pubmed&amp;amp;id=22206744&amp;amp;retmode=ref&amp;amp;cmd=prlinks&lt;/url&gt;&lt;type&gt;400&lt;/type&gt;&lt;title&gt;Long-term risk of CKD in children surviving episodes of acute kidney injury in the intensive care unit: a prospective cohort study.&lt;/title&gt;&lt;submission_date&gt;99201105111200000000222000&lt;/submission_date&gt;&lt;number&gt;4&lt;/number&gt;&lt;institution&gt;Department of Pediatrics, Division of Nephrology, Child &amp;amp; Family Research Institute, University of British Columbia, Vancouver, Canada. cmammen@cw.bc.ca&lt;/institution&gt;&lt;subtype&gt;400&lt;/subtype&gt;&lt;endpage&gt;530&lt;/endpage&gt;&lt;bundle&gt;&lt;publication&gt;&lt;url&gt;http://GW2JH3XR2C.search.serialssolutions.com&lt;/url&gt;&lt;title&gt;American Journal of Kidney Diseases&lt;/title&gt;&lt;type&gt;-100&lt;/type&gt;&lt;subtype&gt;-100&lt;/subtype&gt;&lt;uuid&gt;51DB0D42-F8B9-406C-821A-05C0EC0E81B0&lt;/uuid&gt;&lt;/publication&gt;&lt;/bundle&gt;&lt;authors&gt;&lt;author&gt;&lt;firstName&gt;Cherry&lt;/firstName&gt;&lt;lastName&gt;Mammen&lt;/lastName&gt;&lt;/author&gt;&lt;author&gt;&lt;firstName&gt;Abdullah&lt;/firstName&gt;&lt;droppingParticle&gt;Al&lt;/droppingParticle&gt;&lt;lastName&gt;Abbas&lt;/lastName&gt;&lt;/author&gt;&lt;author&gt;&lt;firstName&gt;Peter&lt;/firstName&gt;&lt;lastName&gt;Skippen&lt;/lastName&gt;&lt;/author&gt;&lt;author&gt;&lt;firstName&gt;Helen&lt;/firstName&gt;&lt;lastName&gt;Nadel&lt;/lastName&gt;&lt;/author&gt;&lt;author&gt;&lt;firstName&gt;Daniel&lt;/firstName&gt;&lt;lastName&gt;Levine&lt;/lastName&gt;&lt;/author&gt;&lt;author&gt;&lt;firstName&gt;J&lt;/firstName&gt;&lt;middleNames&gt;P&lt;/middleNames&gt;&lt;lastName&gt;Collet&lt;/lastName&gt;&lt;/author&gt;&lt;author&gt;&lt;firstName&gt;Douglas&lt;/firstName&gt;&lt;middleNames&gt;G&lt;/middleNames&gt;&lt;lastName&gt;Matsell&lt;/lastName&gt;&lt;/author&gt;&lt;/authors&gt;&lt;/publication&gt;&lt;publication&gt;&lt;uuid&gt;435F7A2B-2A0C-4CB5-A8EC-931512550548&lt;/uuid&gt;&lt;volume&gt;165&lt;/volume&gt;&lt;accepted_date&gt;99201404301200000000222000&lt;/accepted_date&gt;&lt;doi&gt;10.1016/j.jpeds.2014.04.058&lt;/doi&gt;&lt;startpage&gt;522&lt;/startpage&gt;&lt;revision_date&gt;99201404101200000000222000&lt;/revision_date&gt;&lt;publication_date&gt;99201408311200000000222000&lt;/publication_date&gt;&lt;url&gt;http://eutils.ncbi.nlm.nih.gov/entrez/eutils/elink.fcgi?dbfrom=pubmed&amp;amp;id=24928698&amp;amp;retmode=ref&amp;amp;cmd=prlinks&lt;/url&gt;&lt;type&gt;400&lt;/type&gt;&lt;title&gt;Acute kidney injury associated with high nephrotoxic medication exposure leads to chronic kidney disease after 6 months.&lt;/title&gt;&lt;submission_date&gt;99201309121200000000222000&lt;/submission_date&gt;&lt;number&gt;3&lt;/number&gt;&lt;institution&gt;Center for Acute Care Nephrology, Cincinnati Children's Hospital Medical Center, Cincinnati, OH. Electronic address: smenon@med.wayne.edu.&lt;/institution&gt;&lt;subtype&gt;400&lt;/subtype&gt;&lt;endpage&gt;5e2&lt;/endpage&gt;&lt;bundle&gt;&lt;publication&gt;&lt;url&gt;http://www.sciencedirect.com.ezproxy.library.ubc.ca&lt;/url&gt;&lt;title&gt;The Journal of pediatrics&lt;/title&gt;&lt;type&gt;-100&lt;/type&gt;&lt;subtype&gt;-100&lt;/subtype&gt;&lt;uuid&gt;B163251E-6214-4722-982B-1AD6A48DD490&lt;/uuid&gt;&lt;/publication&gt;&lt;/bundle&gt;&lt;authors&gt;&lt;author&gt;&lt;firstName&gt;Shina&lt;/firstName&gt;&lt;lastName&gt;Menon&lt;/lastName&gt;&lt;/author&gt;&lt;author&gt;&lt;firstName&gt;Eric&lt;/firstName&gt;&lt;middleNames&gt;S&lt;/middleNames&gt;&lt;lastName&gt;Kirkendall&lt;/lastName&gt;&lt;/author&gt;&lt;author&gt;&lt;firstName&gt;Hovi&lt;/firstName&gt;&lt;lastName&gt;Nguyen&lt;/lastName&gt;&lt;/author&gt;&lt;author&gt;&lt;firstName&gt;Stuart&lt;/firstName&gt;&lt;middleNames&gt;L&lt;/middleNames&gt;&lt;lastName&gt;Goldstein&lt;/lastName&gt;&lt;/author&gt;&lt;/authors&gt;&lt;/publication&gt;&lt;publication&gt;&lt;uuid&gt;3E1B8433-5590-4464-839E-A0EC8ED68E59&lt;/uuid&gt;&lt;volume&gt;69&lt;/volume&gt;&lt;doi&gt;10.1038/sj.ki.5000032&lt;/doi&gt;&lt;startpage&gt;184&lt;/startpage&gt;&lt;publication_date&gt;99200512311200000000222000&lt;/publication_date&gt;&lt;url&gt;http://eutils.ncbi.nlm.nih.gov/entrez/eutils/elink.fcgi?dbfrom=pubmed&amp;amp;id=16374442&amp;amp;retmode=ref&amp;amp;cmd=prlinks&lt;/url&gt;&lt;type&gt;400&lt;/type&gt;&lt;title&gt;3-5 year longitudinal follow-up of pediatric patients after acute renal failure.&lt;/title&gt;&lt;institution&gt;Department of Pediatric Nephrology, Baylor College of Medicine, Houston, Texas, USA. daskenazi@peds.uab.edu&lt;/institution&gt;&lt;number&gt;1&lt;/number&gt;&lt;subtype&gt;400&lt;/subtype&gt;&lt;endpage&gt;189&lt;/endpage&gt;&lt;bundle&gt;&lt;publication&gt;&lt;title&gt;Kidney international&lt;/title&gt;&lt;type&gt;-100&lt;/type&gt;&lt;subtype&gt;-100&lt;/subtype&gt;&lt;uuid&gt;2EEFC742-C0B0-4505-95CC-94B05813FE0A&lt;/uuid&gt;&lt;/publication&gt;&lt;/bundle&gt;&lt;authors&gt;&lt;author&gt;&lt;firstName&gt;D&lt;/firstName&gt;&lt;middleNames&gt;J&lt;/middleNames&gt;&lt;lastName&gt;Askenazi&lt;/lastName&gt;&lt;/author&gt;&lt;author&gt;&lt;firstName&gt;D&lt;/firstName&gt;&lt;middleNames&gt;I&lt;/middleNames&gt;&lt;lastName&gt;Feig&lt;/lastName&gt;&lt;/author&gt;&lt;author&gt;&lt;firstName&gt;N&lt;/firstName&gt;&lt;middleNames&gt;M&lt;/middleNames&gt;&lt;lastName&gt;Graham&lt;/lastName&gt;&lt;/author&gt;&lt;author&gt;&lt;firstName&gt;S&lt;/firstName&gt;&lt;lastName&gt;Hui-Stickle&lt;/lastName&gt;&lt;/author&gt;&lt;author&gt;&lt;firstName&gt;S&lt;/firstName&gt;&lt;middleNames&gt;L&lt;/middleNames&gt;&lt;lastName&gt;Goldstein&lt;/lastName&gt;&lt;/author&gt;&lt;/authors&gt;&lt;/publication&gt;&lt;publication&gt;&lt;uuid&gt;C5C7C801-E61C-41E0-BF29-D27AFE4A26BB&lt;/uuid&gt;&lt;volume&gt;27&lt;/volume&gt;&lt;accepted_date&gt;99201109071200000000222000&lt;/accepted_date&gt;&lt;doi&gt;10.1007/s00467-011-2016-5&lt;/doi&gt;&lt;startpage&gt;151&lt;/startpage&gt;&lt;publication_date&gt;99201112311200000000222000&lt;/publication_date&gt;&lt;url&gt;http://eutils.ncbi.nlm.nih.gov/entrez/eutils/elink.fcgi?dbfrom=pubmed&amp;amp;id=21947273&amp;amp;retmode=ref&amp;amp;cmd=prlinks&lt;/url&gt;&lt;type&gt;400&lt;/type&gt;&lt;title&gt;Renal outcome in long-term survivors from severe acute kidney injury in childhood.&lt;/title&gt;&lt;submission_date&gt;99201107271200000000222000&lt;/submission_date&gt;&lt;number&gt;1&lt;/number&gt;&lt;subtype&gt;400&lt;/subtype&gt;&lt;endpage&gt;153&lt;/endpage&gt;&lt;bundle&gt;&lt;publication&gt;&lt;url&gt;http://www.springerlink.com&lt;/url&gt;&lt;title&gt;Pediatric nephrology (Berlin, Germany)&lt;/title&gt;&lt;type&gt;-100&lt;/type&gt;&lt;subtype&gt;-100&lt;/subtype&gt;&lt;uuid&gt;619BB69D-2268-4EBA-92DE-FDD467649B75&lt;/uuid&gt;&lt;/publication&gt;&lt;/bundle&gt;&lt;authors&gt;&lt;author&gt;&lt;firstName&gt;Marianne&lt;/firstName&gt;&lt;lastName&gt;Viaud&lt;/lastName&gt;&lt;/author&gt;&lt;author&gt;&lt;firstName&gt;Brigitte&lt;/firstName&gt;&lt;lastName&gt;Llanas&lt;/lastName&gt;&lt;/author&gt;&lt;author&gt;&lt;firstName&gt;Jérôme&lt;/firstName&gt;&lt;lastName&gt;Harambat&lt;/lastName&gt;&lt;/author&gt;&lt;/authors&gt;&lt;/publication&gt;&lt;publication&gt;&lt;uuid&gt;200D3389-C400-4A16-92CC-1EFE9382E47D&lt;/uuid&gt;&lt;volume&gt;6&lt;/volume&gt;&lt;doi&gt;10.1097/01.PCC.0000163285.74452.23&lt;/doi&gt;&lt;startpage&gt;477&lt;/startpage&gt;&lt;publication_date&gt;99200507001200000000220000&lt;/publication_date&gt;&lt;url&gt;http://eutils.ncbi.nlm.nih.gov/entrez/eutils/elink.fcgi?dbfrom=pubmed&amp;amp;id=15982443&amp;amp;retmode=ref&amp;amp;cmd=prlinks&lt;/url&gt;&lt;type&gt;400&lt;/type&gt;&lt;title&gt;Long-term outcome of meningococcal sepsis-associated acute renal failure.&lt;/title&gt;&lt;institution&gt;Department of Intensive Care, Royal Manchester Children's Hospital, Pendlebury, Manchester, UK.&lt;/institution&gt;&lt;number&gt;4&lt;/number&gt;&lt;subtype&gt;400&lt;/subtype&gt;&lt;endpage&gt;479&lt;/endpage&gt;&lt;bundle&gt;&lt;publication&gt;&lt;title&gt;Pediatric critical care medicine : a journal of the Society of Critical Care Medicine and the World Federation of Pediatric Intensive and Critical Care Societies&lt;/title&gt;&lt;type&gt;-100&lt;/type&gt;&lt;subtype&gt;-100&lt;/subtype&gt;&lt;uuid&gt;F4E0995D-4D7E-4D45-9596-B57BBA0E4748&lt;/uuid&gt;&lt;/publication&gt;&lt;/bundle&gt;&lt;authors&gt;&lt;author&gt;&lt;firstName&gt;Rachael&lt;/firstName&gt;&lt;lastName&gt;Slack&lt;/lastName&gt;&lt;/author&gt;&lt;author&gt;&lt;firstName&gt;Kay&lt;/firstName&gt;&lt;middleNames&gt;C&lt;/middleNames&gt;&lt;lastName&gt;Hawkins&lt;/lastName&gt;&lt;/author&gt;&lt;author&gt;&lt;firstName&gt;Louise&lt;/firstName&gt;&lt;lastName&gt;Gilhooley&lt;/lastName&gt;&lt;/author&gt;&lt;author&gt;&lt;firstName&gt;G&lt;/firstName&gt;&lt;middleNames&gt;Michael&lt;/middleNames&gt;&lt;lastName&gt;Addison&lt;/lastName&gt;&lt;/author&gt;&lt;author&gt;&lt;firstName&gt;Malcolm&lt;/firstName&gt;&lt;middleNames&gt;A&lt;/middleNames&gt;&lt;lastName&gt;Lewis&lt;/lastName&gt;&lt;/author&gt;&lt;author&gt;&lt;firstName&gt;Nicholas&lt;/firstName&gt;&lt;middleNames&gt;J A&lt;/middleNames&gt;&lt;lastName&gt;Webb&lt;/lastName&gt;&lt;/author&gt;&lt;/authors&gt;&lt;/publication&gt;&lt;/publications&gt;&lt;cites&gt;&lt;/cites&gt;&lt;/citation&gt;</w:instrText>
      </w:r>
      <w:r w:rsidR="00F67C38" w:rsidRPr="003B7DDC">
        <w:rPr>
          <w:rFonts w:ascii="Book Antiqua" w:hAnsi="Book Antiqua" w:cs="Arial"/>
          <w:lang w:val="en-GB"/>
        </w:rPr>
        <w:fldChar w:fldCharType="separate"/>
      </w:r>
      <w:r w:rsidR="00795637" w:rsidRPr="003B7DDC">
        <w:rPr>
          <w:rFonts w:ascii="Book Antiqua" w:hAnsi="Book Antiqua" w:cs="Book Antiqua"/>
          <w:noProof w:val="0"/>
          <w:vertAlign w:val="superscript"/>
          <w:lang w:val="en-US"/>
        </w:rPr>
        <w:t>[1-7]</w:t>
      </w:r>
      <w:r w:rsidR="00F67C38" w:rsidRPr="003B7DDC">
        <w:rPr>
          <w:rFonts w:ascii="Book Antiqua" w:hAnsi="Book Antiqua" w:cs="Arial"/>
          <w:lang w:val="en-GB"/>
        </w:rPr>
        <w:fldChar w:fldCharType="end"/>
      </w:r>
      <w:r w:rsidR="009F46C9" w:rsidRPr="003B7DDC">
        <w:rPr>
          <w:rFonts w:ascii="Book Antiqua" w:hAnsi="Book Antiqua" w:cs="Arial"/>
          <w:lang w:val="en-GB"/>
        </w:rPr>
        <w:t>.</w:t>
      </w:r>
      <w:r w:rsidRPr="003B7DDC">
        <w:rPr>
          <w:rFonts w:ascii="Book Antiqua" w:hAnsi="Book Antiqua" w:cs="Arial"/>
          <w:lang w:val="en-GB"/>
        </w:rPr>
        <w:t xml:space="preserve"> Several studies have also revealed an increased morbidity and mortality associated with pediatric AKI in critically-ill children and an increased risk of chronic kidney di</w:t>
      </w:r>
      <w:r w:rsidR="00BD7A50" w:rsidRPr="003B7DDC">
        <w:rPr>
          <w:rFonts w:ascii="Book Antiqua" w:hAnsi="Book Antiqua" w:cs="Arial"/>
          <w:lang w:val="en-GB"/>
        </w:rPr>
        <w:t>sease in survivors of AKI</w:t>
      </w:r>
      <w:r w:rsidR="00F67C38" w:rsidRPr="003B7DDC">
        <w:rPr>
          <w:rFonts w:ascii="Book Antiqua" w:hAnsi="Book Antiqua" w:cs="Arial"/>
          <w:lang w:val="en-GB"/>
        </w:rPr>
        <w:fldChar w:fldCharType="begin"/>
      </w:r>
      <w:r w:rsidR="00795637" w:rsidRPr="003B7DDC">
        <w:rPr>
          <w:rFonts w:ascii="Book Antiqua" w:hAnsi="Book Antiqua" w:cs="Arial"/>
          <w:lang w:val="en-GB"/>
        </w:rPr>
        <w:instrText xml:space="preserve"> ADDIN PAPERS2_CITATIONS &lt;citation&gt;&lt;uuid&gt;039B1584-A049-4A74-B7A6-0B1D89F7AA63&lt;/uuid&gt;&lt;priority&gt;1&lt;/priority&gt;&lt;publications&gt;&lt;publication&gt;&lt;uuid&gt;96550FBD-BDCC-41BB-A3DE-216A73C60E1C&lt;/uuid&gt;&lt;volume&gt;15&lt;/volume&gt;&lt;accepted_date&gt;99201106101200000000222000&lt;/accepted_date&gt;&lt;doi&gt;10.1186/cc10269&lt;/doi&gt;&lt;startpage&gt;R146&lt;/startpage&gt;&lt;revision_date&gt;99201105021200000000222000&lt;/revision_date&gt;&lt;publication_date&gt;99201012311200000000222000&lt;/publication_date&gt;&lt;url&gt;http://eutils.ncbi.nlm.nih.gov/entrez/eutils/elink.fcgi?dbfrom=pubmed&amp;amp;id=21663616&amp;amp;retmode=ref&amp;amp;cmd=prlinks&lt;/url&gt;&lt;type&gt;400&lt;/type&gt;&lt;title&gt;Acute kidney injury is an independent risk factor for pediatric intensive care unit mortality, longer length of stay and prolonged mechanical ventilation in critically ill children: a two-center retrospective cohort study.&lt;/title&gt;&lt;submission_date&gt;99201102191200000000222000&lt;/submission_date&gt;&lt;number&gt;3&lt;/number&gt;&lt;institution&gt;Division of Nephrology, Department of Pediatrics, McGill University Health Centre, Montreal Children's Hospital, 2300 Tupper, Room E-213, Montreal, QC, H3H 1P3, Canada.&lt;/institution&gt;&lt;subtype&gt;400&lt;/subtype&gt;&lt;endpage&gt;R146&lt;/endpage&gt;&lt;bundle&gt;&lt;publication&gt;&lt;title&gt;Critical care (London, England)&lt;/title&gt;&lt;type&gt;-100&lt;/type&gt;&lt;subtype&gt;-100&lt;/subtype&gt;&lt;uuid&gt;A7001A63-0CEB-40ED-934E-06C578AD3EA5&lt;/uuid&gt;&lt;/publication&gt;&lt;/bundle&gt;&lt;authors&gt;&lt;author&gt;&lt;firstName&gt;Omar&lt;/firstName&gt;&lt;lastName&gt;Alkandari&lt;/lastName&gt;&lt;/author&gt;&lt;author&gt;&lt;firstName&gt;K&lt;/firstName&gt;&lt;middleNames&gt;Allen&lt;/middleNames&gt;&lt;lastName&gt;Eddington&lt;/lastName&gt;&lt;/author&gt;&lt;author&gt;&lt;firstName&gt;Ayaz&lt;/firstName&gt;&lt;lastName&gt;Hyder&lt;/lastName&gt;&lt;/author&gt;&lt;author&gt;&lt;firstName&gt;France&lt;/firstName&gt;&lt;lastName&gt;Gauvin&lt;/lastName&gt;&lt;/author&gt;&lt;author&gt;&lt;firstName&gt;Thierry&lt;/firstName&gt;&lt;lastName&gt;Ducruet&lt;/lastName&gt;&lt;/author&gt;&lt;author&gt;&lt;firstName&gt;Ronald&lt;/firstName&gt;&lt;lastName&gt;Gottesman&lt;/lastName&gt;&lt;/author&gt;&lt;author&gt;&lt;firstName&gt;Véronique&lt;/firstName&gt;&lt;lastName&gt;Phan&lt;/lastName&gt;&lt;/author&gt;&lt;author&gt;&lt;firstName&gt;Michael&lt;/firstName&gt;&lt;lastName&gt;Zappitelli&lt;/lastName&gt;&lt;/author&gt;&lt;/authors&gt;&lt;/publication&gt;&lt;publication&gt;&lt;uuid&gt;A6E07068-FCF2-4321-A8F1-66453649146F&lt;/uuid&gt;&lt;volume&gt;71&lt;/volume&gt;&lt;doi&gt;10.1038/sj.ki.5002231&lt;/doi&gt;&lt;startpage&gt;1028&lt;/startpage&gt;&lt;publication_date&gt;99200704301200000000222000&lt;/publication_date&gt;&lt;url&gt;http://eutils.ncbi.nlm.nih.gov/entrez/eutils/elink.fcgi?dbfrom=pubmed&amp;amp;id=17396113&amp;amp;retmode=ref&amp;amp;cmd=prlinks&lt;/url&gt;&lt;type&gt;400&lt;/type&gt;&lt;title&gt;Modified RIFLE criteria in critically ill children with acute kidney injury.&lt;/title&gt;&lt;institution&gt;Renal Section, Department of Pediatrics, Baylor College of Medicine, Texas Children's Hospital, Houston, Texas 77030, USA.&lt;/institution&gt;&lt;number&gt;10&lt;/number&gt;&lt;subtype&gt;400&lt;/subtype&gt;&lt;endpage&gt;1035&lt;/endpage&gt;&lt;bundle&gt;&lt;publication&gt;&lt;title&gt;Kidney international&lt;/title&gt;&lt;type&gt;-100&lt;/type&gt;&lt;subtype&gt;-100&lt;/subtype&gt;&lt;uuid&gt;2EEFC742-C0B0-4505-95CC-94B05813FE0A&lt;/uuid&gt;&lt;/publication&gt;&lt;/bundle&gt;&lt;authors&gt;&lt;author&gt;&lt;firstName&gt;A&lt;/firstName&gt;&lt;lastName&gt;Akcan-Arikan&lt;/lastName&gt;&lt;/author&gt;&lt;author&gt;&lt;firstName&gt;M&lt;/firstName&gt;&lt;lastName&gt;Zappitelli&lt;/lastName&gt;&lt;/author&gt;&lt;author&gt;&lt;firstName&gt;L&lt;/firstName&gt;&lt;middleNames&gt;L&lt;/middleNames&gt;&lt;lastName&gt;Loftis&lt;/lastName&gt;&lt;/author&gt;&lt;author&gt;&lt;firstName&gt;K&lt;/firstName&gt;&lt;middleNames&gt;K&lt;/middleNames&gt;&lt;lastName&gt;Washburn&lt;/lastName&gt;&lt;/author&gt;&lt;author&gt;&lt;firstName&gt;L&lt;/firstName&gt;&lt;middleNames&gt;S&lt;/middleNames&gt;&lt;lastName&gt;Jefferson&lt;/lastName&gt;&lt;/author&gt;&lt;author&gt;&lt;firstName&gt;S&lt;/firstName&gt;&lt;middleNames&gt;L&lt;/middleNames&gt;&lt;lastName&gt;Goldstein&lt;/lastName&gt;&lt;/author&gt;&lt;/authors&gt;&lt;/publication&gt;&lt;publication&gt;&lt;uuid&gt;0660F2DD-5B00-4841-BDAF-AEA2169A6B30&lt;/uuid&gt;&lt;volume&gt;59&lt;/volume&gt;&lt;accepted_date&gt;99201110181200000000222000&lt;/accepted_date&gt;&lt;doi&gt;10.1053/j.ajkd.2011.10.048&lt;/doi&gt;&lt;startpage&gt;523&lt;/startpage&gt;&lt;publication_date&gt;99201203311200000000222000&lt;/publication_date&gt;&lt;url&gt;http://eutils.ncbi.nlm.nih.gov/entrez/eutils/elink.fcgi?dbfrom=pubmed&amp;amp;id=22206744&amp;amp;retmode=ref&amp;amp;cmd=prlinks&lt;/url&gt;&lt;type&gt;400&lt;/type&gt;&lt;title&gt;Long-term risk of CKD in children surviving episodes of acute kidney injury in the intensive care unit: a prospective cohort study.&lt;/title&gt;&lt;submission_date&gt;99201105111200000000222000&lt;/submission_date&gt;&lt;number&gt;4&lt;/number&gt;&lt;institution&gt;Department of Pediatrics, Division of Nephrology, Child &amp;amp; Family Research Institute, University of British Columbia, Vancouver, Canada. cmammen@cw.bc.ca&lt;/institution&gt;&lt;subtype&gt;400&lt;/subtype&gt;&lt;endpage&gt;530&lt;/endpage&gt;&lt;bundle&gt;&lt;publication&gt;&lt;url&gt;http://GW2JH3XR2C.search.serialssolutions.com&lt;/url&gt;&lt;title&gt;American Journal of Kidney Diseases&lt;/title&gt;&lt;type&gt;-100&lt;/type&gt;&lt;subtype&gt;-100&lt;/subtype&gt;&lt;uuid&gt;51DB0D42-F8B9-406C-821A-05C0EC0E81B0&lt;/uuid&gt;&lt;/publication&gt;&lt;/bundle&gt;&lt;authors&gt;&lt;author&gt;&lt;firstName&gt;Cherry&lt;/firstName&gt;&lt;lastName&gt;Mammen&lt;/lastName&gt;&lt;/author&gt;&lt;author&gt;&lt;firstName&gt;Abdullah&lt;/firstName&gt;&lt;droppingParticle&gt;Al&lt;/droppingParticle&gt;&lt;lastName&gt;Abbas&lt;/lastName&gt;&lt;/author&gt;&lt;author&gt;&lt;firstName&gt;Peter&lt;/firstName&gt;&lt;lastName&gt;Skippen&lt;/lastName&gt;&lt;/author&gt;&lt;author&gt;&lt;firstName&gt;Helen&lt;/firstName&gt;&lt;lastName&gt;Nadel&lt;/lastName&gt;&lt;/author&gt;&lt;author&gt;&lt;firstName&gt;Daniel&lt;/firstName&gt;&lt;lastName&gt;Levine&lt;/lastName&gt;&lt;/author&gt;&lt;author&gt;&lt;firstName&gt;J&lt;/firstName&gt;&lt;middleNames&gt;P&lt;/middleNames&gt;&lt;lastName&gt;Collet&lt;/lastName&gt;&lt;/author&gt;&lt;author&gt;&lt;firstName&gt;Douglas&lt;/firstName&gt;&lt;middleNames&gt;G&lt;/middleNames&gt;&lt;lastName&gt;Matsell&lt;/lastName&gt;&lt;/author&gt;&lt;/authors&gt;&lt;/publication&gt;&lt;publication&gt;&lt;uuid&gt;435F7A2B-2A0C-4CB5-A8EC-931512550548&lt;/uuid&gt;&lt;volume&gt;165&lt;/volume&gt;&lt;accepted_date&gt;99201404301200000000222000&lt;/accepted_date&gt;&lt;doi&gt;10.1016/j.jpeds.2014.04.058&lt;/doi&gt;&lt;startpage&gt;522&lt;/startpage&gt;&lt;revision_date&gt;99201404101200000000222000&lt;/revision_date&gt;&lt;publication_date&gt;99201408311200000000222000&lt;/publication_date&gt;&lt;url&gt;http://eutils.ncbi.nlm.nih.gov/entrez/eutils/elink.fcgi?dbfrom=pubmed&amp;amp;id=24928698&amp;amp;retmode=ref&amp;amp;cmd=prlinks&lt;/url&gt;&lt;type&gt;400&lt;/type&gt;&lt;title&gt;Acute kidney injury associated with high nephrotoxic medication exposure leads to chronic kidney disease after 6 months.&lt;/title&gt;&lt;submission_date&gt;99201309121200000000222000&lt;/submission_date&gt;&lt;number&gt;3&lt;/number&gt;&lt;institution&gt;Center for Acute Care Nephrology, Cincinnati Children's Hospital Medical Center, Cincinnati, OH. Electronic address: smenon@med.wayne.edu.&lt;/institution&gt;&lt;subtype&gt;400&lt;/subtype&gt;&lt;endpage&gt;5e2&lt;/endpage&gt;&lt;bundle&gt;&lt;publication&gt;&lt;url&gt;http://www.sciencedirect.com.ezproxy.library.ubc.ca&lt;/url&gt;&lt;title&gt;The Journal of pediatrics&lt;/title&gt;&lt;type&gt;-100&lt;/type&gt;&lt;subtype&gt;-100&lt;/subtype&gt;&lt;uuid&gt;B163251E-6214-4722-982B-1AD6A48DD490&lt;/uuid&gt;&lt;/publication&gt;&lt;/bundle&gt;&lt;authors&gt;&lt;author&gt;&lt;firstName&gt;Shina&lt;/firstName&gt;&lt;lastName&gt;Menon&lt;/lastName&gt;&lt;/author&gt;&lt;author&gt;&lt;firstName&gt;Eric&lt;/firstName&gt;&lt;middleNames&gt;S&lt;/middleNames&gt;&lt;lastName&gt;Kirkendall&lt;/lastName&gt;&lt;/author&gt;&lt;author&gt;&lt;firstName&gt;Hovi&lt;/firstName&gt;&lt;lastName&gt;Nguyen&lt;/lastName&gt;&lt;/author&gt;&lt;author&gt;&lt;firstName&gt;Stuart&lt;/firstName&gt;&lt;middleNames&gt;L&lt;/middleNames&gt;&lt;lastName&gt;Goldstein&lt;/lastName&gt;&lt;/author&gt;&lt;/authors&gt;&lt;/publication&gt;&lt;publication&gt;&lt;uuid&gt;3E1B8433-5590-4464-839E-A0EC8ED68E59&lt;/uuid&gt;&lt;volume&gt;69&lt;/volume&gt;&lt;doi&gt;10.1038/sj.ki.5000032&lt;/doi&gt;&lt;startpage&gt;184&lt;/startpage&gt;&lt;publication_date&gt;99200512311200000000222000&lt;/publication_date&gt;&lt;url&gt;http://eutils.ncbi.nlm.nih.gov/entrez/eutils/elink.fcgi?dbfrom=pubmed&amp;amp;id=16374442&amp;amp;retmode=ref&amp;amp;cmd=prlinks&lt;/url&gt;&lt;type&gt;400&lt;/type&gt;&lt;title&gt;3-5 year longitudinal follow-up of pediatric patients after acute renal failure.&lt;/title&gt;&lt;institution&gt;Department of Pediatric Nephrology, Baylor College of Medicine, Houston, Texas, USA. daskenazi@peds.uab.edu&lt;/institution&gt;&lt;number&gt;1&lt;/number&gt;&lt;subtype&gt;400&lt;/subtype&gt;&lt;endpage&gt;189&lt;/endpage&gt;&lt;bundle&gt;&lt;publication&gt;&lt;title&gt;Kidney international&lt;/title&gt;&lt;type&gt;-100&lt;/type&gt;&lt;subtype&gt;-100&lt;/subtype&gt;&lt;uuid&gt;2EEFC742-C0B0-4505-95CC-94B05813FE0A&lt;/uuid&gt;&lt;/publication&gt;&lt;/bundle&gt;&lt;authors&gt;&lt;author&gt;&lt;firstName&gt;D&lt;/firstName&gt;&lt;middleNames&gt;J&lt;/middleNames&gt;&lt;lastName&gt;Askenazi&lt;/lastName&gt;&lt;/author&gt;&lt;author&gt;&lt;firstName&gt;D&lt;/firstName&gt;&lt;middleNames&gt;I&lt;/middleNames&gt;&lt;lastName&gt;Feig&lt;/lastName&gt;&lt;/author&gt;&lt;author&gt;&lt;firstName&gt;N&lt;/firstName&gt;&lt;middleNames&gt;M&lt;/middleNames&gt;&lt;lastName&gt;Graham&lt;/lastName&gt;&lt;/author&gt;&lt;author&gt;&lt;firstName&gt;S&lt;/firstName&gt;&lt;lastName&gt;Hui-Stickle&lt;/lastName&gt;&lt;/author&gt;&lt;author&gt;&lt;firstName&gt;S&lt;/firstName&gt;&lt;middleNames&gt;L&lt;/middleNames&gt;&lt;lastName&gt;Goldstein&lt;/lastName&gt;&lt;/author&gt;&lt;/authors&gt;&lt;/publication&gt;&lt;publication&gt;&lt;uuid&gt;C5C7C801-E61C-41E0-BF29-D27AFE4A26BB&lt;/uuid&gt;&lt;volume&gt;27&lt;/volume&gt;&lt;accepted_date&gt;99201109071200000000222000&lt;/accepted_date&gt;&lt;doi&gt;10.1007/s00467-011-2016-5&lt;/doi&gt;&lt;startpage&gt;151&lt;/startpage&gt;&lt;publication_date&gt;99201112311200000000222000&lt;/publication_date&gt;&lt;url&gt;http://eutils.ncbi.nlm.nih.gov/entrez/eutils/elink.fcgi?dbfrom=pubmed&amp;amp;id=21947273&amp;amp;retmode=ref&amp;amp;cmd=prlinks&lt;/url&gt;&lt;type&gt;400&lt;/type&gt;&lt;title&gt;Renal outcome in long-term survivors from severe acute kidney injury in childhood.&lt;/title&gt;&lt;submission_date&gt;99201107271200000000222000&lt;/submission_date&gt;&lt;number&gt;1&lt;/number&gt;&lt;subtype&gt;400&lt;/subtype&gt;&lt;endpage&gt;153&lt;/endpage&gt;&lt;bundle&gt;&lt;publication&gt;&lt;url&gt;http://www.springerlink.com&lt;/url&gt;&lt;title&gt;Pediatric nephrology (Berlin, Germany)&lt;/title&gt;&lt;type&gt;-100&lt;/type&gt;&lt;subtype&gt;-100&lt;/subtype&gt;&lt;uuid&gt;619BB69D-2268-4EBA-92DE-FDD467649B75&lt;/uuid&gt;&lt;/publication&gt;&lt;/bundle&gt;&lt;authors&gt;&lt;author&gt;&lt;firstName&gt;Marianne&lt;/firstName&gt;&lt;lastName&gt;Viaud&lt;/lastName&gt;&lt;/author&gt;&lt;author&gt;&lt;firstName&gt;Brigitte&lt;/firstName&gt;&lt;lastName&gt;Llanas&lt;/lastName&gt;&lt;/author&gt;&lt;author&gt;&lt;firstName&gt;Jérôme&lt;/firstName&gt;&lt;lastName&gt;Harambat&lt;/lastName&gt;&lt;/author&gt;&lt;/authors&gt;&lt;/publication&gt;&lt;publication&gt;&lt;uuid&gt;200D3389-C400-4A16-92CC-1EFE9382E47D&lt;/uuid&gt;&lt;volume&gt;6&lt;/volume&gt;&lt;doi&gt;10.1097/01.PCC.0000163285.74452.23&lt;/doi&gt;&lt;startpage&gt;477&lt;/startpage&gt;&lt;publication_date&gt;99200507001200000000220000&lt;/publication_date&gt;&lt;url&gt;http://eutils.ncbi.nlm.nih.gov/entrez/eutils/elink.fcgi?dbfrom=pubmed&amp;amp;id=15982443&amp;amp;retmode=ref&amp;amp;cmd=prlinks&lt;/url&gt;&lt;type&gt;400&lt;/type&gt;&lt;title&gt;Long-term outcome of meningococcal sepsis-associated acute renal failure.&lt;/title&gt;&lt;institution&gt;Department of Intensive Care, Royal Manchester Children's Hospital, Pendlebury, Manchester, UK.&lt;/institution&gt;&lt;number&gt;4&lt;/number&gt;&lt;subtype&gt;400&lt;/subtype&gt;&lt;endpage&gt;479&lt;/endpage&gt;&lt;bundle&gt;&lt;publication&gt;&lt;title&gt;Pediatric critical care medicine : a journal of the Society of Critical Care Medicine and the World Federation of Pediatric Intensive and Critical Care Societies&lt;/title&gt;&lt;type&gt;-100&lt;/type&gt;&lt;subtype&gt;-100&lt;/subtype&gt;&lt;uuid&gt;F4E0995D-4D7E-4D45-9596-B57BBA0E4748&lt;/uuid&gt;&lt;/publication&gt;&lt;/bundle&gt;&lt;authors&gt;&lt;author&gt;&lt;firstName&gt;Rachael&lt;/firstName&gt;&lt;lastName&gt;Slack&lt;/lastName&gt;&lt;/author&gt;&lt;author&gt;&lt;firstName&gt;Kay&lt;/firstName&gt;&lt;middleNames&gt;C&lt;/middleNames&gt;&lt;lastName&gt;Hawkins&lt;/lastName&gt;&lt;/author&gt;&lt;author&gt;&lt;firstName&gt;Louise&lt;/firstName&gt;&lt;lastName&gt;Gilhooley&lt;/lastName&gt;&lt;/author&gt;&lt;author&gt;&lt;firstName&gt;G&lt;/firstName&gt;&lt;middleNames&gt;Michael&lt;/middleNames&gt;&lt;lastName&gt;Addison&lt;/lastName&gt;&lt;/author&gt;&lt;author&gt;&lt;firstName&gt;Malcolm&lt;/firstName&gt;&lt;middleNames&gt;A&lt;/middleNames&gt;&lt;lastName&gt;Lewis&lt;/lastName&gt;&lt;/author&gt;&lt;author&gt;&lt;firstName&gt;Nicholas&lt;/firstName&gt;&lt;middleNames&gt;J A&lt;/middleNames&gt;&lt;lastName&gt;Webb&lt;/lastName&gt;&lt;/author&gt;&lt;/authors&gt;&lt;/publication&gt;&lt;publication&gt;&lt;uuid&gt;167CF661-F659-44C6-9C5A-82B09E8B24FA&lt;/uuid&gt;&lt;volume&gt;81&lt;/volume&gt;&lt;doi&gt;10.1038/ki.2011.379&lt;/doi&gt;&lt;startpage&gt;442&lt;/startpage&gt;&lt;publication_date&gt;99201203001200000000220000&lt;/publication_date&gt;&lt;url&gt;http://eutils.ncbi.nlm.nih.gov/entrez/eutils/elink.fcgi?dbfrom=pubmed&amp;amp;id=22113526&amp;amp;retmode=ref&amp;amp;cmd=prlinks&lt;/url&gt;&lt;type&gt;400&lt;/type&gt;&lt;title&gt;Chronic kidney disease after acute kidney injury: a systematic review and meta-analysis.&lt;/title&gt;&lt;institution&gt;Department of Internal Medicine, Yale University School of Medicine, New Haven, Connecticut, USA.&lt;/institution&gt;&lt;number&gt;5&lt;/number&gt;&lt;subtype&gt;400&lt;/subtype&gt;&lt;endpage&gt;448&lt;/endpage&gt;&lt;bundle&gt;&lt;publication&gt;&lt;title&gt;Kidney international&lt;/title&gt;&lt;type&gt;-100&lt;/type&gt;&lt;subtype&gt;-100&lt;/subtype&gt;&lt;uuid&gt;2EEFC742-C0B0-4505-95CC-94B05813FE0A&lt;/uuid&gt;&lt;/publication&gt;&lt;/bundle&gt;&lt;authors&gt;&lt;author&gt;&lt;firstName&gt;Steven&lt;/firstName&gt;&lt;middleNames&gt;G&lt;/middleNames&gt;&lt;lastName&gt;Coca&lt;/lastName&gt;&lt;/author&gt;&lt;author&gt;&lt;firstName&gt;Swathi&lt;/firstName&gt;&lt;lastName&gt;Singanamala&lt;/lastName&gt;&lt;/author&gt;&lt;author&gt;&lt;firstName&gt;Chirag&lt;/firstName&gt;&lt;middleNames&gt;R&lt;/middleNames&gt;&lt;lastName&gt;Parikh&lt;/lastName&gt;&lt;/author&gt;&lt;/authors&gt;&lt;/publication&gt;&lt;/publications&gt;&lt;cites&gt;&lt;/cites&gt;&lt;/citation&gt;</w:instrText>
      </w:r>
      <w:r w:rsidR="00F67C38" w:rsidRPr="003B7DDC">
        <w:rPr>
          <w:rFonts w:ascii="Book Antiqua" w:hAnsi="Book Antiqua" w:cs="Arial"/>
          <w:lang w:val="en-GB"/>
        </w:rPr>
        <w:fldChar w:fldCharType="separate"/>
      </w:r>
      <w:r w:rsidR="00795637" w:rsidRPr="003B7DDC">
        <w:rPr>
          <w:rFonts w:ascii="Book Antiqua" w:hAnsi="Book Antiqua" w:cs="Book Antiqua"/>
          <w:noProof w:val="0"/>
          <w:vertAlign w:val="superscript"/>
          <w:lang w:val="en-US"/>
        </w:rPr>
        <w:t>[1-8]</w:t>
      </w:r>
      <w:r w:rsidR="00F67C38" w:rsidRPr="003B7DDC">
        <w:rPr>
          <w:rFonts w:ascii="Book Antiqua" w:hAnsi="Book Antiqua" w:cs="Arial"/>
          <w:lang w:val="en-GB"/>
        </w:rPr>
        <w:fldChar w:fldCharType="end"/>
      </w:r>
      <w:r w:rsidR="009F46C9" w:rsidRPr="003B7DDC">
        <w:rPr>
          <w:rFonts w:ascii="Book Antiqua" w:hAnsi="Book Antiqua" w:cs="Arial"/>
          <w:lang w:val="en-GB"/>
        </w:rPr>
        <w:t>.</w:t>
      </w:r>
      <w:r w:rsidRPr="003B7DDC">
        <w:rPr>
          <w:rFonts w:ascii="Book Antiqua" w:hAnsi="Book Antiqua" w:cs="Arial"/>
          <w:lang w:val="en-GB"/>
        </w:rPr>
        <w:t xml:space="preserve"> </w:t>
      </w:r>
    </w:p>
    <w:p w14:paraId="508718D8" w14:textId="77777777" w:rsidR="00A41A80" w:rsidRPr="003B7DDC" w:rsidRDefault="00C2498C" w:rsidP="00CB581F">
      <w:pPr>
        <w:autoSpaceDE w:val="0"/>
        <w:autoSpaceDN w:val="0"/>
        <w:adjustRightInd w:val="0"/>
        <w:snapToGrid w:val="0"/>
        <w:spacing w:line="360" w:lineRule="auto"/>
        <w:ind w:firstLine="709"/>
        <w:jc w:val="both"/>
        <w:rPr>
          <w:rFonts w:ascii="Book Antiqua" w:hAnsi="Book Antiqua" w:cs="Arial"/>
          <w:lang w:val="en-GB"/>
        </w:rPr>
      </w:pPr>
      <w:r w:rsidRPr="003B7DDC">
        <w:rPr>
          <w:rFonts w:ascii="Book Antiqua" w:hAnsi="Book Antiqua" w:cs="Arial"/>
          <w:lang w:val="en-GB"/>
        </w:rPr>
        <w:t>Outside of cardiac surgery patients, the epidemiology of AKI has not been well studied in other paediatric surgical populations including those undergoing major orthopaedic surgeries. The aim of this retrospective study was to define the incidence of AKI in children following spinal instrumentation surgery and to identify potential modifiable risk factors that may direct potential change in future practice.</w:t>
      </w:r>
    </w:p>
    <w:p w14:paraId="69D0EA03" w14:textId="77777777" w:rsidR="00CB581F" w:rsidRPr="003B7DDC" w:rsidRDefault="00CB581F" w:rsidP="00CB581F">
      <w:pPr>
        <w:autoSpaceDE w:val="0"/>
        <w:autoSpaceDN w:val="0"/>
        <w:adjustRightInd w:val="0"/>
        <w:snapToGrid w:val="0"/>
        <w:spacing w:line="360" w:lineRule="auto"/>
        <w:jc w:val="both"/>
        <w:rPr>
          <w:rFonts w:ascii="Book Antiqua" w:hAnsi="Book Antiqua" w:cs="Arial"/>
          <w:lang w:val="en-GB" w:eastAsia="zh-CN"/>
        </w:rPr>
      </w:pPr>
    </w:p>
    <w:p w14:paraId="0EAE633D" w14:textId="77777777" w:rsidR="00CB581F" w:rsidRPr="00651864" w:rsidRDefault="00CB581F" w:rsidP="00CB581F">
      <w:pPr>
        <w:adjustRightInd w:val="0"/>
        <w:snapToGrid w:val="0"/>
        <w:spacing w:line="360" w:lineRule="auto"/>
        <w:jc w:val="both"/>
        <w:rPr>
          <w:rFonts w:ascii="Book Antiqua" w:hAnsi="Book Antiqua"/>
          <w:b/>
          <w:color w:val="000000"/>
          <w:lang w:val="en-US"/>
        </w:rPr>
      </w:pPr>
      <w:r w:rsidRPr="00651864">
        <w:rPr>
          <w:rFonts w:ascii="Book Antiqua" w:hAnsi="Book Antiqua"/>
          <w:b/>
          <w:color w:val="000000"/>
          <w:lang w:val="en-US"/>
        </w:rPr>
        <w:t>MATERIALS AND METHODS</w:t>
      </w:r>
    </w:p>
    <w:p w14:paraId="5321CF16" w14:textId="0D200DD8" w:rsidR="00012EE2" w:rsidRPr="003B7DDC" w:rsidRDefault="00C2498C" w:rsidP="00CB581F">
      <w:pPr>
        <w:autoSpaceDE w:val="0"/>
        <w:autoSpaceDN w:val="0"/>
        <w:adjustRightInd w:val="0"/>
        <w:snapToGrid w:val="0"/>
        <w:spacing w:line="360" w:lineRule="auto"/>
        <w:jc w:val="both"/>
        <w:rPr>
          <w:rFonts w:ascii="Book Antiqua" w:hAnsi="Book Antiqua" w:cs="Arial"/>
          <w:lang w:val="en-GB" w:eastAsia="zh-CN"/>
        </w:rPr>
      </w:pPr>
      <w:r w:rsidRPr="003B7DDC">
        <w:rPr>
          <w:rFonts w:ascii="Book Antiqua" w:hAnsi="Book Antiqua" w:cs="Arial"/>
          <w:lang w:val="en-GB"/>
        </w:rPr>
        <w:t xml:space="preserve">We performed a nested case-control study of children undergoing orthopaedic spinal instrumentation surgery for scoliosis at BC Children’s Hospital (Vancouver, Canada).  From a local database, we identified a cohort of 208 patients who had undergone spinal instrumentation surgery at our centre between January 2006 and December 2008. During this specific time period, all patients following spinal surgery were monitored in the PICU for at least 24 </w:t>
      </w:r>
      <w:r w:rsidR="00012EE2" w:rsidRPr="003B7DDC">
        <w:rPr>
          <w:rFonts w:ascii="Book Antiqua" w:hAnsi="Book Antiqua" w:cs="Arial"/>
          <w:lang w:val="en-GB"/>
        </w:rPr>
        <w:t>h</w:t>
      </w:r>
      <w:r w:rsidRPr="003B7DDC">
        <w:rPr>
          <w:rFonts w:ascii="Book Antiqua" w:hAnsi="Book Antiqua" w:cs="Arial"/>
          <w:lang w:val="en-GB"/>
        </w:rPr>
        <w:t xml:space="preserve"> post-operatively. All patients had an indwelling Foley catheter during their stay in the PICU with hourly urine output recording. Cases of AKI were identified from our database using the following criteria as per the Acute Kidney Injury </w:t>
      </w:r>
      <w:r w:rsidRPr="003B7DDC">
        <w:rPr>
          <w:rFonts w:ascii="Book Antiqua" w:hAnsi="Book Antiqua" w:cs="Arial"/>
          <w:lang w:val="en-GB"/>
        </w:rPr>
        <w:lastRenderedPageBreak/>
        <w:t xml:space="preserve">Network (AKIN) definition: </w:t>
      </w:r>
      <w:r w:rsidR="00012EE2" w:rsidRPr="003B7DDC">
        <w:rPr>
          <w:rFonts w:ascii="Book Antiqua" w:hAnsi="Book Antiqua" w:cs="Arial"/>
          <w:lang w:val="en-GB"/>
        </w:rPr>
        <w:t>A</w:t>
      </w:r>
      <w:r w:rsidRPr="003B7DDC">
        <w:rPr>
          <w:rFonts w:ascii="Book Antiqua" w:hAnsi="Book Antiqua" w:cs="Arial"/>
          <w:lang w:val="en-GB"/>
        </w:rPr>
        <w:t xml:space="preserve"> 50% rise in serum creatinine (SCr) and/or urine output (U/O) &lt;</w:t>
      </w:r>
      <w:r w:rsidR="00012EE2" w:rsidRPr="003B7DDC">
        <w:rPr>
          <w:rFonts w:ascii="Book Antiqua" w:hAnsi="Book Antiqua" w:cs="Arial"/>
          <w:lang w:val="en-GB" w:eastAsia="zh-CN"/>
        </w:rPr>
        <w:t xml:space="preserve"> </w:t>
      </w:r>
      <w:r w:rsidRPr="003B7DDC">
        <w:rPr>
          <w:rFonts w:ascii="Book Antiqua" w:hAnsi="Book Antiqua" w:cs="Arial"/>
          <w:lang w:val="en-GB"/>
        </w:rPr>
        <w:t>0.5 m</w:t>
      </w:r>
      <w:r w:rsidR="00012EE2" w:rsidRPr="003B7DDC">
        <w:rPr>
          <w:rFonts w:ascii="Book Antiqua" w:hAnsi="Book Antiqua" w:cs="Arial"/>
          <w:lang w:val="en-GB"/>
        </w:rPr>
        <w:t>L</w:t>
      </w:r>
      <w:r w:rsidRPr="003B7DDC">
        <w:rPr>
          <w:rFonts w:ascii="Book Antiqua" w:hAnsi="Book Antiqua" w:cs="Arial"/>
          <w:lang w:val="en-GB"/>
        </w:rPr>
        <w:t xml:space="preserve">/kg/h for at least 6 </w:t>
      </w:r>
      <w:r w:rsidR="00012EE2" w:rsidRPr="003B7DDC">
        <w:rPr>
          <w:rFonts w:ascii="Book Antiqua" w:hAnsi="Book Antiqua" w:cs="Arial"/>
          <w:lang w:val="en-GB"/>
        </w:rPr>
        <w:t>h</w:t>
      </w:r>
      <w:r w:rsidRPr="003B7DDC">
        <w:rPr>
          <w:rFonts w:ascii="Book Antiqua" w:hAnsi="Book Antiqua" w:cs="Arial"/>
          <w:lang w:val="en-GB"/>
        </w:rPr>
        <w:t xml:space="preserve">. AKIN staging criteria (stages 1-3), , are shown in Table 1. From the remaining cohort, we selected group-matched controls that did not satisfy criteria for AKI. The controls were matched for sex, age and underlying diagnosis (idiopathic </w:t>
      </w:r>
      <w:r w:rsidR="001F041C" w:rsidRPr="003B7DDC">
        <w:rPr>
          <w:rFonts w:ascii="Book Antiqua" w:hAnsi="Book Antiqua" w:cs="Arial"/>
          <w:i/>
          <w:lang w:val="en-GB"/>
        </w:rPr>
        <w:t>vs</w:t>
      </w:r>
      <w:r w:rsidRPr="003B7DDC">
        <w:rPr>
          <w:rFonts w:ascii="Book Antiqua" w:hAnsi="Book Antiqua" w:cs="Arial"/>
          <w:lang w:val="en-GB"/>
        </w:rPr>
        <w:t xml:space="preserve"> non-idiopathic scoliosis) (</w:t>
      </w:r>
      <w:r w:rsidR="00012EE2" w:rsidRPr="003B7DDC">
        <w:rPr>
          <w:rFonts w:ascii="Book Antiqua" w:hAnsi="Book Antiqua" w:cs="Arial"/>
          <w:lang w:val="en-GB"/>
        </w:rPr>
        <w:t>F</w:t>
      </w:r>
      <w:r w:rsidRPr="003B7DDC">
        <w:rPr>
          <w:rFonts w:ascii="Book Antiqua" w:hAnsi="Book Antiqua" w:cs="Arial"/>
          <w:lang w:val="en-GB"/>
        </w:rPr>
        <w:t>ig</w:t>
      </w:r>
      <w:r w:rsidR="00012EE2" w:rsidRPr="003B7DDC">
        <w:rPr>
          <w:rFonts w:ascii="Book Antiqua" w:hAnsi="Book Antiqua" w:cs="Arial"/>
          <w:lang w:val="en-GB" w:eastAsia="zh-CN"/>
        </w:rPr>
        <w:t>ure</w:t>
      </w:r>
      <w:r w:rsidRPr="003B7DDC">
        <w:rPr>
          <w:rFonts w:ascii="Book Antiqua" w:hAnsi="Book Antiqua" w:cs="Arial"/>
          <w:lang w:val="en-GB"/>
        </w:rPr>
        <w:t xml:space="preserve"> 1). Abstracted data from our database included demographics (age at surgery, gender), pre-operative data (weight &amp; height, hemoglobin, SCr, serum sodium, baseline blood pressure), intra-operative data (duration of surgery, intravenous fluid intake, urine output, blood pressure monitoring, use of nephrotoxins including non-steroidal anti-inflammatory drugs (NSAIDs) and aminoglycosides as well as post-operative data from the PICU and hospital admissions (serial SCr measurements, serum sodium, hourly urine output until Foley catheter removed, flui</w:t>
      </w:r>
      <w:r w:rsidR="00012EE2" w:rsidRPr="003B7DDC">
        <w:rPr>
          <w:rFonts w:ascii="Book Antiqua" w:hAnsi="Book Antiqua" w:cs="Arial"/>
          <w:lang w:val="en-GB"/>
        </w:rPr>
        <w:t>d intake, nephrotoxin use, ICU/</w:t>
      </w:r>
      <w:r w:rsidRPr="003B7DDC">
        <w:rPr>
          <w:rFonts w:ascii="Book Antiqua" w:hAnsi="Book Antiqua" w:cs="Arial"/>
          <w:lang w:val="en-GB"/>
        </w:rPr>
        <w:t>hospital length of stay, and mortality).  Data were supplemented, if required, with further chart review. Study data were collected and managed using REDCap electronic data capture tools hosted at BC Children’s Hospital.</w:t>
      </w:r>
    </w:p>
    <w:p w14:paraId="5312541C" w14:textId="77777777" w:rsidR="00C2498C" w:rsidRPr="003B7DDC" w:rsidRDefault="00C2498C" w:rsidP="00012EE2">
      <w:pPr>
        <w:autoSpaceDE w:val="0"/>
        <w:autoSpaceDN w:val="0"/>
        <w:adjustRightInd w:val="0"/>
        <w:snapToGrid w:val="0"/>
        <w:spacing w:line="360" w:lineRule="auto"/>
        <w:ind w:firstLine="709"/>
        <w:jc w:val="both"/>
        <w:rPr>
          <w:rFonts w:ascii="Book Antiqua" w:hAnsi="Book Antiqua" w:cs="Arial"/>
          <w:lang w:val="en-GB"/>
        </w:rPr>
      </w:pPr>
      <w:r w:rsidRPr="003B7DDC">
        <w:rPr>
          <w:rFonts w:ascii="Book Antiqua" w:hAnsi="Book Antiqua" w:cs="Arial"/>
          <w:lang w:val="en-GB"/>
        </w:rPr>
        <w:t xml:space="preserve">All statistical analyses were performed with SPSS software (v 18.0; IBM SPSS Software for Predictive Analytics). Continuous variables following a normal distribution were expressed as mean </w:t>
      </w:r>
      <w:r w:rsidR="0086789D" w:rsidRPr="003B7DDC">
        <w:rPr>
          <w:rFonts w:ascii="Book Antiqua" w:hAnsi="Book Antiqua" w:cs="Arial"/>
          <w:lang w:val="en-GB"/>
        </w:rPr>
        <w:t>and</w:t>
      </w:r>
      <w:r w:rsidRPr="003B7DDC">
        <w:rPr>
          <w:rFonts w:ascii="Book Antiqua" w:hAnsi="Book Antiqua" w:cs="Arial"/>
          <w:lang w:val="en-GB"/>
        </w:rPr>
        <w:t xml:space="preserve"> standard deviation (SD). Variables following a non-normal distribution were expressed as median and interquartile range (IQR). Categorical variables were expressed as proportions. Two-sided t-tests were used to compare means. Chi-square (</w:t>
      </w:r>
      <w:r w:rsidR="00634C91" w:rsidRPr="003B7DDC">
        <w:rPr>
          <w:rFonts w:ascii="Book Antiqua" w:hAnsi="Book Antiqua" w:cs="Arial"/>
          <w:i/>
          <w:iCs/>
          <w:lang w:val="en-GB"/>
        </w:rPr>
        <w:t>χ</w:t>
      </w:r>
      <w:r w:rsidRPr="003B7DDC">
        <w:rPr>
          <w:rFonts w:ascii="Book Antiqua" w:hAnsi="Book Antiqua" w:cs="Arial"/>
          <w:iCs/>
          <w:vertAlign w:val="superscript"/>
          <w:lang w:val="en-GB"/>
        </w:rPr>
        <w:t>2</w:t>
      </w:r>
      <w:r w:rsidRPr="003B7DDC">
        <w:rPr>
          <w:rFonts w:ascii="Book Antiqua" w:hAnsi="Book Antiqua" w:cs="Arial"/>
          <w:lang w:val="en-GB"/>
        </w:rPr>
        <w:t>) test was used to compare proportions. Mann-Whitney U test and Kruskall-Wallis tests were used to compare medians as appropriate. In all analyses, a p-value &lt;</w:t>
      </w:r>
      <w:r w:rsidR="009E097D" w:rsidRPr="003B7DDC">
        <w:rPr>
          <w:rFonts w:ascii="Book Antiqua" w:hAnsi="Book Antiqua" w:cs="Arial"/>
          <w:lang w:val="en-GB" w:eastAsia="zh-CN"/>
        </w:rPr>
        <w:t xml:space="preserve"> </w:t>
      </w:r>
      <w:r w:rsidRPr="003B7DDC">
        <w:rPr>
          <w:rFonts w:ascii="Book Antiqua" w:hAnsi="Book Antiqua" w:cs="Arial"/>
          <w:lang w:val="en-GB"/>
        </w:rPr>
        <w:t>0.05 was considered statistically significant.  We divided patients into tertiles based on their intra-operative fluid administration in m</w:t>
      </w:r>
      <w:r w:rsidR="009E097D" w:rsidRPr="003B7DDC">
        <w:rPr>
          <w:rFonts w:ascii="Book Antiqua" w:hAnsi="Book Antiqua" w:cs="Arial"/>
          <w:lang w:val="en-GB"/>
        </w:rPr>
        <w:t>L</w:t>
      </w:r>
      <w:r w:rsidRPr="003B7DDC">
        <w:rPr>
          <w:rFonts w:ascii="Book Antiqua" w:hAnsi="Book Antiqua" w:cs="Arial"/>
          <w:lang w:val="en-GB"/>
        </w:rPr>
        <w:t xml:space="preserve">/kg/h (corrected for patient size and duration of surgery) to explore the relationship between intra-operative fluid practices and AKI (comparison of AKI incidence between fluid tertiles). We also identified peri-operative (surgical or ICU) nephrotoxin exposure in each of </w:t>
      </w:r>
      <w:r w:rsidRPr="003B7DDC">
        <w:rPr>
          <w:rFonts w:ascii="Book Antiqua" w:hAnsi="Book Antiqua" w:cs="Arial"/>
          <w:lang w:val="en-GB"/>
        </w:rPr>
        <w:lastRenderedPageBreak/>
        <w:t>the fluid tertiles to determine the relationship of fluid administration &amp; nephrotoxin exposure to the development of AKI.</w:t>
      </w:r>
    </w:p>
    <w:p w14:paraId="67687E00"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2EB6A2FD"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bCs/>
          <w:strike/>
          <w:lang w:val="en-GB"/>
        </w:rPr>
      </w:pPr>
      <w:r w:rsidRPr="003B7DDC">
        <w:rPr>
          <w:rFonts w:ascii="Book Antiqua" w:hAnsi="Book Antiqua" w:cs="Arial"/>
          <w:b/>
          <w:bCs/>
          <w:lang w:val="en-GB"/>
        </w:rPr>
        <w:t>RESULTS</w:t>
      </w:r>
    </w:p>
    <w:p w14:paraId="2F9792D0"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i/>
          <w:lang w:val="en-GB"/>
        </w:rPr>
      </w:pPr>
      <w:r w:rsidRPr="003B7DDC">
        <w:rPr>
          <w:rFonts w:ascii="Book Antiqua" w:hAnsi="Book Antiqua" w:cs="Arial"/>
          <w:b/>
          <w:i/>
          <w:lang w:val="en-GB"/>
        </w:rPr>
        <w:t>Incidence, timing, and severity of AKI</w:t>
      </w:r>
    </w:p>
    <w:p w14:paraId="64E7F34D"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lang w:val="en-GB"/>
        </w:rPr>
        <w:t>Thirty five of the 208 patients met criteria for AKI with an incidence of 17% (</w:t>
      </w:r>
      <w:r w:rsidR="001B4127" w:rsidRPr="003B7DDC">
        <w:rPr>
          <w:rFonts w:ascii="Book Antiqua" w:hAnsi="Book Antiqua" w:cs="Arial"/>
          <w:lang w:val="en-GB"/>
        </w:rPr>
        <w:t>95%CI:</w:t>
      </w:r>
      <w:r w:rsidR="009E097D" w:rsidRPr="003B7DDC">
        <w:rPr>
          <w:rFonts w:ascii="Book Antiqua" w:hAnsi="Book Antiqua" w:cs="Arial"/>
          <w:lang w:val="en-GB" w:eastAsia="zh-CN"/>
        </w:rPr>
        <w:t xml:space="preserve"> </w:t>
      </w:r>
      <w:r w:rsidRPr="003B7DDC">
        <w:rPr>
          <w:rFonts w:ascii="Book Antiqua" w:hAnsi="Book Antiqua" w:cs="Arial"/>
          <w:lang w:val="en-GB"/>
        </w:rPr>
        <w:t>12</w:t>
      </w:r>
      <w:r w:rsidR="009E097D" w:rsidRPr="003B7DDC">
        <w:rPr>
          <w:rFonts w:ascii="Book Antiqua" w:hAnsi="Book Antiqua" w:cs="Arial"/>
          <w:lang w:val="en-GB" w:eastAsia="zh-CN"/>
        </w:rPr>
        <w:t>%</w:t>
      </w:r>
      <w:r w:rsidRPr="003B7DDC">
        <w:rPr>
          <w:rFonts w:ascii="Book Antiqua" w:hAnsi="Book Antiqua" w:cs="Arial"/>
          <w:lang w:val="en-GB"/>
        </w:rPr>
        <w:t xml:space="preserve">-23%). A total of 36 patients were selected as controls.  Table 2 lists the patient baseline pre-operative characteristics. No clinically significant differences were noted between AKI and non-AKI patients including demographics, pre-operative renal function, and haemoglobin levels.  Forty-eight (68%) of patients had surgery for “idiopathic” scoliosis. Twenty three (32%) had surgery for “non-idiopathic” scoliosis with primary diagnoses including Cerebral Palsy (11), Spondylolisthesis (4), Spina Bifida (2), Arnold-Chiari malformation (3) and miscellaneous (3). No patient had an elevated serum creatinine for age before surgery to suggest pre-operative AKI. However, patients with non-idiopathic scoliosis had a significantly lower baseline serum creatinine value of 38 </w:t>
      </w:r>
      <w:r w:rsidR="00B55B28" w:rsidRPr="003B7DDC">
        <w:rPr>
          <w:rFonts w:ascii="Book Antiqua" w:hAnsi="Book Antiqua" w:cs="Arial"/>
          <w:lang w:val="en-GB"/>
        </w:rPr>
        <w:t xml:space="preserve">µmol/L </w:t>
      </w:r>
      <w:r w:rsidRPr="003B7DDC">
        <w:rPr>
          <w:rFonts w:ascii="Book Antiqua" w:hAnsi="Book Antiqua" w:cs="Arial"/>
          <w:lang w:val="en-GB"/>
        </w:rPr>
        <w:t xml:space="preserve">(SD 14.8) compared to 54 </w:t>
      </w:r>
      <w:r w:rsidR="006D11FA" w:rsidRPr="003B7DDC">
        <w:rPr>
          <w:rFonts w:ascii="Book Antiqua" w:hAnsi="Book Antiqua" w:cs="Arial"/>
          <w:lang w:val="en-GB"/>
        </w:rPr>
        <w:t>µ</w:t>
      </w:r>
      <w:r w:rsidRPr="003B7DDC">
        <w:rPr>
          <w:rFonts w:ascii="Book Antiqua" w:hAnsi="Book Antiqua" w:cs="Arial"/>
          <w:lang w:val="en-GB"/>
        </w:rPr>
        <w:t>mol/L (SD 10.9) in patients with idiopathic scoliosis (</w:t>
      </w:r>
      <w:r w:rsidR="00CE0E7E" w:rsidRPr="003B7DDC">
        <w:rPr>
          <w:rFonts w:ascii="Book Antiqua" w:hAnsi="Book Antiqua" w:cs="Arial"/>
          <w:i/>
          <w:lang w:val="en-GB"/>
        </w:rPr>
        <w:t>P</w:t>
      </w:r>
      <w:r w:rsidR="00CE0E7E" w:rsidRPr="003B7DDC">
        <w:rPr>
          <w:rFonts w:ascii="Book Antiqua" w:hAnsi="Book Antiqua" w:cs="Arial"/>
          <w:lang w:val="en-GB" w:eastAsia="zh-CN"/>
        </w:rPr>
        <w:t xml:space="preserve"> </w:t>
      </w:r>
      <w:r w:rsidRPr="003B7DDC">
        <w:rPr>
          <w:rFonts w:ascii="Book Antiqua" w:hAnsi="Book Antiqua" w:cs="Arial"/>
          <w:lang w:val="en-GB"/>
        </w:rPr>
        <w:t>=</w:t>
      </w:r>
      <w:r w:rsidR="00CE0E7E" w:rsidRPr="003B7DDC">
        <w:rPr>
          <w:rFonts w:ascii="Book Antiqua" w:hAnsi="Book Antiqua" w:cs="Arial"/>
          <w:lang w:val="en-GB" w:eastAsia="zh-CN"/>
        </w:rPr>
        <w:t xml:space="preserve"> </w:t>
      </w:r>
      <w:r w:rsidRPr="003B7DDC">
        <w:rPr>
          <w:rFonts w:ascii="Book Antiqua" w:hAnsi="Book Antiqua" w:cs="Arial"/>
          <w:lang w:val="en-GB"/>
        </w:rPr>
        <w:t xml:space="preserve">0.05). </w:t>
      </w:r>
    </w:p>
    <w:p w14:paraId="316DC497"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5B1B92BF" w14:textId="57C50178" w:rsidR="00C2498C" w:rsidRPr="003B7DDC" w:rsidRDefault="00C2498C" w:rsidP="00B55B28">
      <w:pPr>
        <w:autoSpaceDE w:val="0"/>
        <w:autoSpaceDN w:val="0"/>
        <w:adjustRightInd w:val="0"/>
        <w:snapToGrid w:val="0"/>
        <w:spacing w:line="360" w:lineRule="auto"/>
        <w:ind w:firstLine="709"/>
        <w:jc w:val="both"/>
        <w:rPr>
          <w:rFonts w:ascii="Book Antiqua" w:hAnsi="Book Antiqua" w:cs="Arial"/>
          <w:lang w:val="en-GB"/>
        </w:rPr>
      </w:pPr>
      <w:r w:rsidRPr="003B7DDC">
        <w:rPr>
          <w:rFonts w:ascii="Book Antiqua" w:hAnsi="Book Antiqua" w:cs="Arial"/>
          <w:lang w:val="en-GB"/>
        </w:rPr>
        <w:t xml:space="preserve">Of all children who developed AKI, 17 (49%) developed mild AKI (AKIN Stage 1), 17 (49%) developed moderate AKI (AKIN stage 2) and 1 patient (3%) met criteria for severe AKI (AKIN stage 3). All patients met criteria for AKI based on urine output while only 2 patients met criteria for both serum creatinine and urine output change. Patients who met criteria for AKIN stages 1 and 2 did so after a mean of 9.1 (SD 4.2) and 13.8 (SD 3.4) </w:t>
      </w:r>
      <w:r w:rsidR="00012EE2" w:rsidRPr="003B7DDC">
        <w:rPr>
          <w:rFonts w:ascii="Book Antiqua" w:hAnsi="Book Antiqua" w:cs="Arial"/>
          <w:lang w:val="en-GB"/>
        </w:rPr>
        <w:t>h</w:t>
      </w:r>
      <w:r w:rsidRPr="003B7DDC">
        <w:rPr>
          <w:rFonts w:ascii="Book Antiqua" w:hAnsi="Book Antiqua" w:cs="Arial"/>
          <w:lang w:val="en-GB"/>
        </w:rPr>
        <w:t xml:space="preserve"> following admission to PICU respectively. The single patient with severe AKI based on urine output developed  oliguria 24 </w:t>
      </w:r>
      <w:r w:rsidR="00012EE2" w:rsidRPr="003B7DDC">
        <w:rPr>
          <w:rFonts w:ascii="Book Antiqua" w:hAnsi="Book Antiqua" w:cs="Arial"/>
          <w:lang w:val="en-GB"/>
        </w:rPr>
        <w:t>h</w:t>
      </w:r>
      <w:r w:rsidRPr="003B7DDC">
        <w:rPr>
          <w:rFonts w:ascii="Book Antiqua" w:hAnsi="Book Antiqua" w:cs="Arial"/>
          <w:lang w:val="en-GB"/>
        </w:rPr>
        <w:t xml:space="preserve"> after PICU admission. The mean maximum serum creatinine rise (% from baseline) was  higher in patients with AKI (0%, SD +22%) </w:t>
      </w:r>
      <w:r w:rsidRPr="003B7DDC">
        <w:rPr>
          <w:rFonts w:ascii="Book Antiqua" w:hAnsi="Book Antiqua" w:cs="Arial"/>
          <w:lang w:val="en-GB"/>
        </w:rPr>
        <w:lastRenderedPageBreak/>
        <w:t>compared t</w:t>
      </w:r>
      <w:r w:rsidR="00B55B28" w:rsidRPr="003B7DDC">
        <w:rPr>
          <w:rFonts w:ascii="Book Antiqua" w:hAnsi="Book Antiqua" w:cs="Arial"/>
          <w:lang w:val="en-GB"/>
        </w:rPr>
        <w:t>o patients without AKI (-7%, SD</w:t>
      </w:r>
      <w:r w:rsidRPr="003B7DDC">
        <w:rPr>
          <w:rFonts w:ascii="Book Antiqua" w:hAnsi="Book Antiqua" w:cs="Arial"/>
          <w:lang w:val="en-GB"/>
        </w:rPr>
        <w:t>+12%), but did not reach statistical significance (</w:t>
      </w:r>
      <w:r w:rsidR="00B55B28" w:rsidRPr="003B7DDC">
        <w:rPr>
          <w:rFonts w:ascii="Book Antiqua" w:hAnsi="Book Antiqua" w:cs="Arial"/>
          <w:i/>
          <w:lang w:val="en-GB"/>
        </w:rPr>
        <w:t>P</w:t>
      </w:r>
      <w:r w:rsidR="00B55B28" w:rsidRPr="003B7DDC">
        <w:rPr>
          <w:rFonts w:ascii="Book Antiqua" w:hAnsi="Book Antiqua" w:cs="Arial"/>
          <w:lang w:val="en-GB" w:eastAsia="zh-CN"/>
        </w:rPr>
        <w:t xml:space="preserve"> </w:t>
      </w:r>
      <w:r w:rsidRPr="003B7DDC">
        <w:rPr>
          <w:rFonts w:ascii="Book Antiqua" w:hAnsi="Book Antiqua" w:cs="Arial"/>
          <w:lang w:val="en-GB"/>
        </w:rPr>
        <w:t>=</w:t>
      </w:r>
      <w:r w:rsidR="00B55B28" w:rsidRPr="003B7DDC">
        <w:rPr>
          <w:rFonts w:ascii="Book Antiqua" w:hAnsi="Book Antiqua" w:cs="Arial"/>
          <w:lang w:val="en-GB" w:eastAsia="zh-CN"/>
        </w:rPr>
        <w:t xml:space="preserve"> </w:t>
      </w:r>
      <w:r w:rsidRPr="003B7DDC">
        <w:rPr>
          <w:rFonts w:ascii="Book Antiqua" w:hAnsi="Book Antiqua" w:cs="Arial"/>
          <w:lang w:val="en-GB"/>
        </w:rPr>
        <w:t>0.09).</w:t>
      </w:r>
    </w:p>
    <w:p w14:paraId="4BD98493"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bCs/>
          <w:lang w:val="en-GB"/>
        </w:rPr>
      </w:pPr>
    </w:p>
    <w:p w14:paraId="72BFD769"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i/>
          <w:lang w:val="en-GB"/>
        </w:rPr>
      </w:pPr>
      <w:r w:rsidRPr="003B7DDC">
        <w:rPr>
          <w:rFonts w:ascii="Book Antiqua" w:hAnsi="Book Antiqua" w:cs="Arial"/>
          <w:b/>
          <w:i/>
          <w:lang w:val="en-GB"/>
        </w:rPr>
        <w:t>Intra-operative course</w:t>
      </w:r>
    </w:p>
    <w:p w14:paraId="44B7D972" w14:textId="69FAE570"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lang w:val="en-GB"/>
        </w:rPr>
        <w:t xml:space="preserve">Table 3 compares several intra-operative and post-operative (PICU admission) variables between AKI and non-AKI patients. Overall, mean duration of surgery was 8.4 </w:t>
      </w:r>
      <w:r w:rsidR="00012EE2" w:rsidRPr="003B7DDC">
        <w:rPr>
          <w:rFonts w:ascii="Book Antiqua" w:hAnsi="Book Antiqua" w:cs="Arial"/>
          <w:lang w:val="en-GB"/>
        </w:rPr>
        <w:t>h</w:t>
      </w:r>
      <w:r w:rsidRPr="003B7DDC">
        <w:rPr>
          <w:rFonts w:ascii="Book Antiqua" w:hAnsi="Book Antiqua" w:cs="Arial"/>
          <w:lang w:val="en-GB"/>
        </w:rPr>
        <w:t xml:space="preserve"> (SD 2.3 </w:t>
      </w:r>
      <w:r w:rsidR="00012EE2" w:rsidRPr="003B7DDC">
        <w:rPr>
          <w:rFonts w:ascii="Book Antiqua" w:hAnsi="Book Antiqua" w:cs="Arial"/>
          <w:lang w:val="en-GB"/>
        </w:rPr>
        <w:t>h</w:t>
      </w:r>
      <w:r w:rsidRPr="003B7DDC">
        <w:rPr>
          <w:rFonts w:ascii="Book Antiqua" w:hAnsi="Book Antiqua" w:cs="Arial"/>
          <w:lang w:val="en-GB"/>
        </w:rPr>
        <w:t>). Duration of surgery, decreases in  blood pressure during surgery, percentage  requiring blood transfusions, and  decrease</w:t>
      </w:r>
      <w:r w:rsidR="000B32EA">
        <w:rPr>
          <w:rFonts w:ascii="Book Antiqua" w:hAnsi="Book Antiqua" w:cs="Arial"/>
          <w:lang w:val="en-GB"/>
        </w:rPr>
        <w:t>s</w:t>
      </w:r>
      <w:r w:rsidRPr="003B7DDC">
        <w:rPr>
          <w:rFonts w:ascii="Book Antiqua" w:hAnsi="Book Antiqua" w:cs="Arial"/>
          <w:lang w:val="en-GB"/>
        </w:rPr>
        <w:t xml:space="preserve"> in haemoglobin levels were  similar in AKI and non-AKI patients (all </w:t>
      </w:r>
      <w:r w:rsidR="00791029" w:rsidRPr="003B7DDC">
        <w:rPr>
          <w:rFonts w:ascii="Book Antiqua" w:hAnsi="Book Antiqua" w:cs="Arial"/>
          <w:i/>
          <w:lang w:val="en-GB"/>
        </w:rPr>
        <w:t>P</w:t>
      </w:r>
      <w:r w:rsidR="00791029" w:rsidRPr="003B7DDC">
        <w:rPr>
          <w:rFonts w:ascii="Book Antiqua" w:hAnsi="Book Antiqua" w:cs="Arial"/>
          <w:lang w:val="en-GB" w:eastAsia="zh-CN"/>
        </w:rPr>
        <w:t xml:space="preserve"> </w:t>
      </w:r>
      <w:r w:rsidRPr="003B7DDC">
        <w:rPr>
          <w:rFonts w:ascii="Book Antiqua" w:hAnsi="Book Antiqua" w:cs="Arial"/>
          <w:lang w:val="en-GB"/>
        </w:rPr>
        <w:t>&gt;</w:t>
      </w:r>
      <w:r w:rsidR="00791029" w:rsidRPr="003B7DDC">
        <w:rPr>
          <w:rFonts w:ascii="Book Antiqua" w:hAnsi="Book Antiqua" w:cs="Arial"/>
          <w:lang w:val="en-GB" w:eastAsia="zh-CN"/>
        </w:rPr>
        <w:t xml:space="preserve"> </w:t>
      </w:r>
      <w:r w:rsidRPr="003B7DDC">
        <w:rPr>
          <w:rFonts w:ascii="Book Antiqua" w:hAnsi="Book Antiqua" w:cs="Arial"/>
          <w:lang w:val="en-GB"/>
        </w:rPr>
        <w:t xml:space="preserve">0.05). There was  wide practice variation in intra-operative fluid volume administration between patients. All intravenous fluid administered was isotonic. The mean recorded urine output during surgery was 2.1 (SD 1.4) </w:t>
      </w:r>
      <w:r w:rsidR="001F041C" w:rsidRPr="003B7DDC">
        <w:rPr>
          <w:rFonts w:ascii="Book Antiqua" w:hAnsi="Book Antiqua" w:cs="Arial"/>
          <w:lang w:val="en-GB"/>
        </w:rPr>
        <w:t xml:space="preserve">mL/kg/h </w:t>
      </w:r>
      <w:r w:rsidRPr="003B7DDC">
        <w:rPr>
          <w:rFonts w:ascii="Book Antiqua" w:hAnsi="Book Antiqua" w:cs="Arial"/>
          <w:lang w:val="en-GB"/>
        </w:rPr>
        <w:t xml:space="preserve">and was not statistically different between AKI and non-AKI patients </w:t>
      </w:r>
      <w:r w:rsidR="001F041C" w:rsidRPr="003B7DDC">
        <w:rPr>
          <w:rFonts w:ascii="Book Antiqua" w:hAnsi="Book Antiqua" w:cs="Arial"/>
          <w:lang w:val="en-GB" w:eastAsia="zh-CN"/>
        </w:rPr>
        <w:t>[</w:t>
      </w:r>
      <w:r w:rsidRPr="003B7DDC">
        <w:rPr>
          <w:rFonts w:ascii="Book Antiqua" w:hAnsi="Book Antiqua" w:cs="Arial"/>
          <w:lang w:val="en-GB"/>
        </w:rPr>
        <w:t xml:space="preserve">1.9 </w:t>
      </w:r>
      <w:r w:rsidR="001F041C" w:rsidRPr="003B7DDC">
        <w:rPr>
          <w:rFonts w:ascii="Book Antiqua" w:hAnsi="Book Antiqua" w:cs="Arial"/>
          <w:lang w:val="en-GB"/>
        </w:rPr>
        <w:t xml:space="preserve">mL/kg/h </w:t>
      </w:r>
      <w:r w:rsidRPr="003B7DDC">
        <w:rPr>
          <w:rFonts w:ascii="Book Antiqua" w:hAnsi="Book Antiqua" w:cs="Arial"/>
          <w:lang w:val="en-GB"/>
        </w:rPr>
        <w:t xml:space="preserve">(SD 1.1) </w:t>
      </w:r>
      <w:r w:rsidR="001F041C" w:rsidRPr="003B7DDC">
        <w:rPr>
          <w:rFonts w:ascii="Book Antiqua" w:hAnsi="Book Antiqua" w:cs="Arial"/>
          <w:i/>
          <w:lang w:val="en-GB"/>
        </w:rPr>
        <w:t>vs</w:t>
      </w:r>
      <w:r w:rsidRPr="003B7DDC">
        <w:rPr>
          <w:rFonts w:ascii="Book Antiqua" w:hAnsi="Book Antiqua" w:cs="Arial"/>
          <w:lang w:val="en-GB"/>
        </w:rPr>
        <w:t xml:space="preserve"> 2.4 </w:t>
      </w:r>
      <w:r w:rsidR="001F041C" w:rsidRPr="003B7DDC">
        <w:rPr>
          <w:rFonts w:ascii="Book Antiqua" w:hAnsi="Book Antiqua" w:cs="Arial"/>
          <w:lang w:val="en-GB"/>
        </w:rPr>
        <w:t xml:space="preserve">mL/kg/h </w:t>
      </w:r>
      <w:r w:rsidRPr="003B7DDC">
        <w:rPr>
          <w:rFonts w:ascii="Book Antiqua" w:hAnsi="Book Antiqua" w:cs="Arial"/>
          <w:lang w:val="en-GB"/>
        </w:rPr>
        <w:t>(SD 1.5) respectively</w:t>
      </w:r>
      <w:r w:rsidR="001F041C" w:rsidRPr="003B7DDC">
        <w:rPr>
          <w:rFonts w:ascii="Book Antiqua" w:hAnsi="Book Antiqua" w:cs="Arial"/>
          <w:lang w:val="en-GB" w:eastAsia="zh-CN"/>
        </w:rPr>
        <w:t xml:space="preserve"> </w:t>
      </w:r>
      <w:r w:rsidR="001F041C" w:rsidRPr="003B7DDC">
        <w:rPr>
          <w:rFonts w:ascii="Book Antiqua" w:hAnsi="Book Antiqua" w:cs="Arial"/>
          <w:lang w:val="en-GB"/>
        </w:rPr>
        <w:t>(</w:t>
      </w:r>
      <w:r w:rsidR="001F041C" w:rsidRPr="003B7DDC">
        <w:rPr>
          <w:rFonts w:ascii="Book Antiqua" w:hAnsi="Book Antiqua" w:cs="Arial"/>
          <w:i/>
          <w:lang w:val="en-GB"/>
        </w:rPr>
        <w:t>P</w:t>
      </w:r>
      <w:r w:rsidR="001F041C" w:rsidRPr="003B7DDC">
        <w:rPr>
          <w:rFonts w:ascii="Book Antiqua" w:hAnsi="Book Antiqua" w:cs="Arial"/>
          <w:lang w:val="en-GB" w:eastAsia="zh-CN"/>
        </w:rPr>
        <w:t xml:space="preserve"> </w:t>
      </w:r>
      <w:r w:rsidR="001F041C" w:rsidRPr="003B7DDC">
        <w:rPr>
          <w:rFonts w:ascii="Book Antiqua" w:hAnsi="Book Antiqua" w:cs="Arial"/>
          <w:lang w:val="en-GB"/>
        </w:rPr>
        <w:t>=</w:t>
      </w:r>
      <w:r w:rsidR="001F041C" w:rsidRPr="003B7DDC">
        <w:rPr>
          <w:rFonts w:ascii="Book Antiqua" w:hAnsi="Book Antiqua" w:cs="Arial"/>
          <w:lang w:val="en-GB" w:eastAsia="zh-CN"/>
        </w:rPr>
        <w:t xml:space="preserve"> </w:t>
      </w:r>
      <w:r w:rsidR="001F041C" w:rsidRPr="003B7DDC">
        <w:rPr>
          <w:rFonts w:ascii="Book Antiqua" w:hAnsi="Book Antiqua" w:cs="Arial"/>
          <w:lang w:val="en-GB"/>
        </w:rPr>
        <w:t>0.17)</w:t>
      </w:r>
      <w:r w:rsidR="001F041C" w:rsidRPr="003B7DDC">
        <w:rPr>
          <w:rFonts w:ascii="Book Antiqua" w:hAnsi="Book Antiqua" w:cs="Arial"/>
          <w:lang w:val="en-GB" w:eastAsia="zh-CN"/>
        </w:rPr>
        <w:t>]</w:t>
      </w:r>
      <w:r w:rsidRPr="003B7DDC">
        <w:rPr>
          <w:rFonts w:ascii="Book Antiqua" w:hAnsi="Book Antiqua" w:cs="Arial"/>
          <w:lang w:val="en-GB"/>
        </w:rPr>
        <w:t xml:space="preserve">. We classified all children into tertiles according to intra-operative fluids received, corrected for patient weight and surgery duration: &lt;5.4 </w:t>
      </w:r>
      <w:r w:rsidR="001F041C" w:rsidRPr="003B7DDC">
        <w:rPr>
          <w:rFonts w:ascii="Book Antiqua" w:hAnsi="Book Antiqua" w:cs="Arial"/>
          <w:lang w:val="en-GB"/>
        </w:rPr>
        <w:t>mL/kg/h, 5.4</w:t>
      </w:r>
      <w:r w:rsidR="001F041C" w:rsidRPr="003B7DDC">
        <w:rPr>
          <w:rFonts w:ascii="Book Antiqua" w:hAnsi="Book Antiqua" w:cs="Arial"/>
          <w:lang w:val="en-GB" w:eastAsia="zh-CN"/>
        </w:rPr>
        <w:t>-</w:t>
      </w:r>
      <w:r w:rsidRPr="003B7DDC">
        <w:rPr>
          <w:rFonts w:ascii="Book Antiqua" w:hAnsi="Book Antiqua" w:cs="Arial"/>
          <w:lang w:val="en-GB"/>
        </w:rPr>
        <w:t xml:space="preserve">7.9 </w:t>
      </w:r>
      <w:r w:rsidR="001F041C" w:rsidRPr="003B7DDC">
        <w:rPr>
          <w:rFonts w:ascii="Book Antiqua" w:hAnsi="Book Antiqua" w:cs="Arial"/>
          <w:lang w:val="en-GB"/>
        </w:rPr>
        <w:t xml:space="preserve">mL/kg/h </w:t>
      </w:r>
      <w:r w:rsidRPr="003B7DDC">
        <w:rPr>
          <w:rFonts w:ascii="Book Antiqua" w:hAnsi="Book Antiqua" w:cs="Arial"/>
          <w:lang w:val="en-GB"/>
        </w:rPr>
        <w:t xml:space="preserve">, and &gt; 7.9 </w:t>
      </w:r>
      <w:r w:rsidR="001F041C" w:rsidRPr="003B7DDC">
        <w:rPr>
          <w:rFonts w:ascii="Book Antiqua" w:hAnsi="Book Antiqua" w:cs="Arial"/>
          <w:lang w:val="en-GB"/>
        </w:rPr>
        <w:t xml:space="preserve">mL/kg/h </w:t>
      </w:r>
      <w:r w:rsidRPr="003B7DDC">
        <w:rPr>
          <w:rFonts w:ascii="Book Antiqua" w:hAnsi="Book Antiqua" w:cs="Arial"/>
          <w:lang w:val="en-GB"/>
        </w:rPr>
        <w:t>. An inverse relationship was observed with the incidence of AKI and the amount of fluids received intra-operatively: 70%, 50%, 29% AKI incidence in the 1</w:t>
      </w:r>
      <w:r w:rsidRPr="003B7DDC">
        <w:rPr>
          <w:rFonts w:ascii="Book Antiqua" w:hAnsi="Book Antiqua" w:cs="Arial"/>
          <w:vertAlign w:val="superscript"/>
          <w:lang w:val="en-GB"/>
        </w:rPr>
        <w:t>st</w:t>
      </w:r>
      <w:r w:rsidRPr="003B7DDC">
        <w:rPr>
          <w:rFonts w:ascii="Book Antiqua" w:hAnsi="Book Antiqua" w:cs="Arial"/>
          <w:lang w:val="en-GB"/>
        </w:rPr>
        <w:t xml:space="preserve"> 2</w:t>
      </w:r>
      <w:r w:rsidRPr="003B7DDC">
        <w:rPr>
          <w:rFonts w:ascii="Book Antiqua" w:hAnsi="Book Antiqua" w:cs="Arial"/>
          <w:vertAlign w:val="superscript"/>
          <w:lang w:val="en-GB"/>
        </w:rPr>
        <w:t>nd</w:t>
      </w:r>
      <w:r w:rsidRPr="003B7DDC">
        <w:rPr>
          <w:rFonts w:ascii="Book Antiqua" w:hAnsi="Book Antiqua" w:cs="Arial"/>
          <w:lang w:val="en-GB"/>
        </w:rPr>
        <w:t xml:space="preserve"> and 3</w:t>
      </w:r>
      <w:r w:rsidRPr="003B7DDC">
        <w:rPr>
          <w:rFonts w:ascii="Book Antiqua" w:hAnsi="Book Antiqua" w:cs="Arial"/>
          <w:vertAlign w:val="superscript"/>
          <w:lang w:val="en-GB"/>
        </w:rPr>
        <w:t>rd</w:t>
      </w:r>
      <w:r w:rsidRPr="003B7DDC">
        <w:rPr>
          <w:rFonts w:ascii="Book Antiqua" w:hAnsi="Book Antiqua" w:cs="Arial"/>
          <w:lang w:val="en-GB"/>
        </w:rPr>
        <w:t xml:space="preserve"> fluid tertiles respectively (</w:t>
      </w:r>
      <w:r w:rsidR="001F041C" w:rsidRPr="003B7DDC">
        <w:rPr>
          <w:rFonts w:ascii="Book Antiqua" w:hAnsi="Book Antiqua" w:cs="Arial"/>
          <w:i/>
          <w:lang w:val="en-GB"/>
        </w:rPr>
        <w:t>P</w:t>
      </w:r>
      <w:r w:rsidR="001F041C" w:rsidRPr="003B7DDC">
        <w:rPr>
          <w:rFonts w:ascii="Book Antiqua" w:hAnsi="Book Antiqua" w:cs="Arial"/>
          <w:lang w:val="en-GB" w:eastAsia="zh-CN"/>
        </w:rPr>
        <w:t xml:space="preserve"> </w:t>
      </w:r>
      <w:r w:rsidR="001F041C" w:rsidRPr="003B7DDC">
        <w:rPr>
          <w:rFonts w:ascii="Book Antiqua" w:hAnsi="Book Antiqua" w:cs="Arial"/>
          <w:lang w:val="en-GB"/>
        </w:rPr>
        <w:t>=</w:t>
      </w:r>
      <w:r w:rsidR="001F041C" w:rsidRPr="003B7DDC">
        <w:rPr>
          <w:rFonts w:ascii="Book Antiqua" w:hAnsi="Book Antiqua" w:cs="Arial"/>
          <w:lang w:val="en-GB" w:eastAsia="zh-CN"/>
        </w:rPr>
        <w:t xml:space="preserve"> </w:t>
      </w:r>
      <w:r w:rsidRPr="003B7DDC">
        <w:rPr>
          <w:rFonts w:ascii="Book Antiqua" w:hAnsi="Book Antiqua" w:cs="Arial"/>
          <w:lang w:val="en-GB"/>
        </w:rPr>
        <w:t>0.02) (Figure 2</w:t>
      </w:r>
      <w:r w:rsidR="001F041C" w:rsidRPr="003B7DDC">
        <w:rPr>
          <w:rFonts w:ascii="Book Antiqua" w:hAnsi="Book Antiqua" w:cs="Arial"/>
          <w:lang w:val="en-GB"/>
        </w:rPr>
        <w:t>A</w:t>
      </w:r>
      <w:r w:rsidRPr="003B7DDC">
        <w:rPr>
          <w:rFonts w:ascii="Book Antiqua" w:hAnsi="Book Antiqua" w:cs="Arial"/>
          <w:lang w:val="en-GB"/>
        </w:rPr>
        <w:t>). The lowest recorded mean intra-operative serum sodium was 138 mmol/L (SD 2.4) while 4 patients (2%) developed hyponatremia during surgery (serum sodium &lt;</w:t>
      </w:r>
      <w:r w:rsidR="008917F8" w:rsidRPr="003B7DDC">
        <w:rPr>
          <w:rFonts w:ascii="Book Antiqua" w:hAnsi="Book Antiqua" w:cs="Arial"/>
          <w:lang w:val="en-GB" w:eastAsia="zh-CN"/>
        </w:rPr>
        <w:t xml:space="preserve"> </w:t>
      </w:r>
      <w:r w:rsidRPr="003B7DDC">
        <w:rPr>
          <w:rFonts w:ascii="Book Antiqua" w:hAnsi="Book Antiqua" w:cs="Arial"/>
          <w:lang w:val="en-GB"/>
        </w:rPr>
        <w:t xml:space="preserve">135 mmol/L). During surgery, 14 out of 71 patients (19.7%) were exposed to a nephrotoxic medication (either aminoglycosides or NSAIDs). The majority of these patients (78.6%) received a dose of intravenous Ketorolac (NSAID) while 21.4% were exposed to intravenous Gentamycin (aminoglycoside). Overall, there was no difference in intra-operative nephrotoxin exposure between AKI and control groups (23% </w:t>
      </w:r>
      <w:r w:rsidR="001F041C" w:rsidRPr="003B7DDC">
        <w:rPr>
          <w:rFonts w:ascii="Book Antiqua" w:hAnsi="Book Antiqua" w:cs="Arial"/>
          <w:i/>
          <w:lang w:val="en-GB"/>
        </w:rPr>
        <w:t>vs</w:t>
      </w:r>
      <w:r w:rsidRPr="003B7DDC">
        <w:rPr>
          <w:rFonts w:ascii="Book Antiqua" w:hAnsi="Book Antiqua" w:cs="Arial"/>
          <w:lang w:val="en-GB"/>
        </w:rPr>
        <w:t xml:space="preserve"> 17%) (</w:t>
      </w:r>
      <w:r w:rsidR="008917F8" w:rsidRPr="003B7DDC">
        <w:rPr>
          <w:rFonts w:ascii="Book Antiqua" w:hAnsi="Book Antiqua" w:cs="Arial"/>
          <w:i/>
          <w:lang w:val="en-GB"/>
        </w:rPr>
        <w:t>P</w:t>
      </w:r>
      <w:r w:rsidR="008917F8" w:rsidRPr="003B7DDC">
        <w:rPr>
          <w:rFonts w:ascii="Book Antiqua" w:hAnsi="Book Antiqua" w:cs="Arial"/>
          <w:lang w:val="en-GB" w:eastAsia="zh-CN"/>
        </w:rPr>
        <w:t xml:space="preserve"> </w:t>
      </w:r>
      <w:r w:rsidR="008917F8" w:rsidRPr="003B7DDC">
        <w:rPr>
          <w:rFonts w:ascii="Book Antiqua" w:hAnsi="Book Antiqua" w:cs="Arial"/>
          <w:lang w:val="en-GB"/>
        </w:rPr>
        <w:t>=</w:t>
      </w:r>
      <w:r w:rsidR="008917F8" w:rsidRPr="003B7DDC">
        <w:rPr>
          <w:rFonts w:ascii="Book Antiqua" w:hAnsi="Book Antiqua" w:cs="Arial"/>
          <w:lang w:val="en-GB" w:eastAsia="zh-CN"/>
        </w:rPr>
        <w:t xml:space="preserve"> </w:t>
      </w:r>
      <w:r w:rsidRPr="003B7DDC">
        <w:rPr>
          <w:rFonts w:ascii="Book Antiqua" w:hAnsi="Book Antiqua" w:cs="Arial"/>
          <w:lang w:val="en-GB"/>
        </w:rPr>
        <w:t xml:space="preserve">0.5). </w:t>
      </w:r>
    </w:p>
    <w:p w14:paraId="5C1DBF75"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7C46CB8F"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i/>
          <w:lang w:val="en-GB"/>
        </w:rPr>
      </w:pPr>
      <w:r w:rsidRPr="003B7DDC">
        <w:rPr>
          <w:rFonts w:ascii="Book Antiqua" w:hAnsi="Book Antiqua" w:cs="Arial"/>
          <w:b/>
          <w:i/>
          <w:lang w:val="en-GB"/>
        </w:rPr>
        <w:t>Post-operative course</w:t>
      </w:r>
    </w:p>
    <w:p w14:paraId="42FC27E8" w14:textId="27AC2BF5"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lang w:val="en-GB"/>
        </w:rPr>
        <w:lastRenderedPageBreak/>
        <w:t>A detailed summary of post-operative variables in AKI and non-AKI patients is shown in Table 2. Mean urine output was reduced at 0.9 (SD 0.4) m</w:t>
      </w:r>
      <w:r w:rsidR="008917F8" w:rsidRPr="003B7DDC">
        <w:rPr>
          <w:rFonts w:ascii="Book Antiqua" w:hAnsi="Book Antiqua" w:cs="Arial"/>
          <w:lang w:val="en-GB"/>
        </w:rPr>
        <w:t>L</w:t>
      </w:r>
      <w:r w:rsidRPr="003B7DDC">
        <w:rPr>
          <w:rFonts w:ascii="Book Antiqua" w:hAnsi="Book Antiqua" w:cs="Arial"/>
          <w:lang w:val="en-GB"/>
        </w:rPr>
        <w:t>/kg/h during the PICU admission. Patients who developed AKI post-operatively had significantly l</w:t>
      </w:r>
      <w:r w:rsidR="00883B30" w:rsidRPr="003B7DDC">
        <w:rPr>
          <w:rFonts w:ascii="Book Antiqua" w:hAnsi="Book Antiqua" w:cs="Arial"/>
          <w:lang w:val="en-GB"/>
        </w:rPr>
        <w:t xml:space="preserve">ower urine output (0.7 </w:t>
      </w:r>
      <w:r w:rsidR="008917F8" w:rsidRPr="003B7DDC">
        <w:rPr>
          <w:rFonts w:ascii="Book Antiqua" w:hAnsi="Book Antiqua" w:cs="Arial"/>
          <w:lang w:val="en-GB"/>
        </w:rPr>
        <w:t xml:space="preserve">mL/kg/h </w:t>
      </w:r>
      <w:r w:rsidR="001F041C" w:rsidRPr="003B7DDC">
        <w:rPr>
          <w:rFonts w:ascii="Book Antiqua" w:hAnsi="Book Antiqua" w:cs="Arial"/>
          <w:i/>
          <w:lang w:val="en-GB"/>
        </w:rPr>
        <w:t>vs</w:t>
      </w:r>
      <w:r w:rsidR="00883B30" w:rsidRPr="003B7DDC">
        <w:rPr>
          <w:rFonts w:ascii="Book Antiqua" w:hAnsi="Book Antiqua" w:cs="Arial"/>
          <w:lang w:val="en-GB"/>
        </w:rPr>
        <w:t xml:space="preserve"> 1.1 </w:t>
      </w:r>
      <w:r w:rsidR="001F041C" w:rsidRPr="003B7DDC">
        <w:rPr>
          <w:rFonts w:ascii="Book Antiqua" w:hAnsi="Book Antiqua" w:cs="Arial"/>
          <w:lang w:val="en-GB"/>
        </w:rPr>
        <w:t xml:space="preserve">mL/kg/h </w:t>
      </w:r>
      <w:r w:rsidRPr="003B7DDC">
        <w:rPr>
          <w:rFonts w:ascii="Book Antiqua" w:hAnsi="Book Antiqua" w:cs="Arial"/>
          <w:lang w:val="en-GB"/>
        </w:rPr>
        <w:t xml:space="preserve">) and a higher cumulative fluid balance (positive 1.3 litres </w:t>
      </w:r>
      <w:r w:rsidR="001F041C" w:rsidRPr="003B7DDC">
        <w:rPr>
          <w:rFonts w:ascii="Book Antiqua" w:hAnsi="Book Antiqua" w:cs="Arial"/>
          <w:i/>
          <w:lang w:val="en-GB"/>
        </w:rPr>
        <w:t>vs</w:t>
      </w:r>
      <w:r w:rsidRPr="003B7DDC">
        <w:rPr>
          <w:rFonts w:ascii="Book Antiqua" w:hAnsi="Book Antiqua" w:cs="Arial"/>
          <w:lang w:val="en-GB"/>
        </w:rPr>
        <w:t xml:space="preserve"> positive 0.8 litres) compared to control patients during their PICU admission (both </w:t>
      </w:r>
      <w:r w:rsidR="008917F8" w:rsidRPr="003B7DDC">
        <w:rPr>
          <w:rFonts w:ascii="Book Antiqua" w:hAnsi="Book Antiqua" w:cs="Arial"/>
          <w:i/>
          <w:lang w:val="en-GB"/>
        </w:rPr>
        <w:t>P</w:t>
      </w:r>
      <w:r w:rsidR="008917F8" w:rsidRPr="003B7DDC">
        <w:rPr>
          <w:rFonts w:ascii="Book Antiqua" w:hAnsi="Book Antiqua" w:cs="Arial"/>
          <w:lang w:val="en-GB"/>
        </w:rPr>
        <w:t xml:space="preserve"> </w:t>
      </w:r>
      <w:r w:rsidRPr="003B7DDC">
        <w:rPr>
          <w:rFonts w:ascii="Book Antiqua" w:hAnsi="Book Antiqua" w:cs="Arial"/>
          <w:lang w:val="en-GB"/>
        </w:rPr>
        <w:t>&lt;</w:t>
      </w:r>
      <w:r w:rsidR="008917F8" w:rsidRPr="003B7DDC">
        <w:rPr>
          <w:rFonts w:ascii="Book Antiqua" w:hAnsi="Book Antiqua" w:cs="Arial"/>
          <w:lang w:val="en-GB" w:eastAsia="zh-CN"/>
        </w:rPr>
        <w:t xml:space="preserve"> 0</w:t>
      </w:r>
      <w:r w:rsidRPr="003B7DDC">
        <w:rPr>
          <w:rFonts w:ascii="Book Antiqua" w:hAnsi="Book Antiqua" w:cs="Arial"/>
          <w:lang w:val="en-GB"/>
        </w:rPr>
        <w:t>.05). The lowest recorded mean post-operative serum sodium was 137 mmol/</w:t>
      </w:r>
      <w:r w:rsidR="008917F8" w:rsidRPr="003B7DDC">
        <w:rPr>
          <w:rFonts w:ascii="Book Antiqua" w:hAnsi="Book Antiqua" w:cs="Arial"/>
          <w:lang w:val="en-GB"/>
        </w:rPr>
        <w:t>L</w:t>
      </w:r>
      <w:r w:rsidRPr="003B7DDC">
        <w:rPr>
          <w:rFonts w:ascii="Book Antiqua" w:hAnsi="Book Antiqua" w:cs="Arial"/>
          <w:lang w:val="en-GB"/>
        </w:rPr>
        <w:t xml:space="preserve"> (SD 2.8). Overall, 10 patients (14%) developed hyponatremia either during surgery or post-operatively. In patients who developed hyponatremia, the mean value of lowest sodium recorded was 133 mmol/L (SD 1.5). Patients who developed AKI were exposed to nephrotoxins (either aminoglycosides or NSAIDs) more frequently than control patients during their PICU admission (51% </w:t>
      </w:r>
      <w:r w:rsidR="001F041C" w:rsidRPr="003B7DDC">
        <w:rPr>
          <w:rFonts w:ascii="Book Antiqua" w:hAnsi="Book Antiqua" w:cs="Arial"/>
          <w:i/>
          <w:lang w:val="en-GB"/>
        </w:rPr>
        <w:t>vs</w:t>
      </w:r>
      <w:r w:rsidRPr="003B7DDC">
        <w:rPr>
          <w:rFonts w:ascii="Book Antiqua" w:hAnsi="Book Antiqua" w:cs="Arial"/>
          <w:lang w:val="en-GB"/>
        </w:rPr>
        <w:t xml:space="preserve"> 11%, </w:t>
      </w:r>
      <w:r w:rsidR="008917F8" w:rsidRPr="003B7DDC">
        <w:rPr>
          <w:rFonts w:ascii="Book Antiqua" w:hAnsi="Book Antiqua" w:cs="Arial"/>
          <w:i/>
          <w:lang w:val="en-GB"/>
        </w:rPr>
        <w:t>P</w:t>
      </w:r>
      <w:r w:rsidR="008917F8" w:rsidRPr="003B7DDC">
        <w:rPr>
          <w:rFonts w:ascii="Book Antiqua" w:hAnsi="Book Antiqua" w:cs="Arial"/>
          <w:lang w:val="en-GB"/>
        </w:rPr>
        <w:t xml:space="preserve"> &lt;</w:t>
      </w:r>
      <w:r w:rsidR="008917F8" w:rsidRPr="003B7DDC">
        <w:rPr>
          <w:rFonts w:ascii="Book Antiqua" w:hAnsi="Book Antiqua" w:cs="Arial"/>
          <w:lang w:val="en-GB" w:eastAsia="zh-CN"/>
        </w:rPr>
        <w:t xml:space="preserve"> </w:t>
      </w:r>
      <w:r w:rsidRPr="003B7DDC">
        <w:rPr>
          <w:rFonts w:ascii="Book Antiqua" w:hAnsi="Book Antiqua" w:cs="Arial"/>
          <w:lang w:val="en-GB"/>
        </w:rPr>
        <w:t>0.001). 91% of the patients exposed to NSAIDs received intravenous Ketorolac</w:t>
      </w:r>
      <w:r w:rsidRPr="003B7DDC">
        <w:rPr>
          <w:rFonts w:ascii="Book Antiqua" w:hAnsi="Book Antiqua" w:cs="Arial"/>
          <w:b/>
          <w:bCs/>
          <w:lang w:val="en-GB"/>
        </w:rPr>
        <w:t xml:space="preserve"> </w:t>
      </w:r>
      <w:r w:rsidRPr="003B7DDC">
        <w:rPr>
          <w:rFonts w:ascii="Book Antiqua" w:hAnsi="Book Antiqua" w:cs="Arial"/>
          <w:lang w:val="en-GB"/>
        </w:rPr>
        <w:t>while the remainder received oral Ibuprofen. All patients with aminoglycoside exposure received intravenous Gentamycin. Overall,</w:t>
      </w:r>
      <w:r w:rsidRPr="003B7DDC">
        <w:rPr>
          <w:rFonts w:ascii="Book Antiqua" w:hAnsi="Book Antiqua" w:cs="Arial"/>
          <w:b/>
          <w:bCs/>
          <w:lang w:val="en-GB"/>
        </w:rPr>
        <w:t xml:space="preserve"> </w:t>
      </w:r>
      <w:r w:rsidRPr="003B7DDC">
        <w:rPr>
          <w:rFonts w:ascii="Book Antiqua" w:hAnsi="Book Antiqua" w:cs="Arial"/>
          <w:lang w:val="en-GB"/>
        </w:rPr>
        <w:t>21/35 (60%) patients who developed AKI were exposed to a nephrotoxic medication either during surgery or  ICU admission compared to 8/36 (22%) of controls (</w:t>
      </w:r>
      <w:r w:rsidR="008917F8" w:rsidRPr="003B7DDC">
        <w:rPr>
          <w:rFonts w:ascii="Book Antiqua" w:hAnsi="Book Antiqua" w:cs="Arial"/>
          <w:i/>
          <w:lang w:val="en-GB"/>
        </w:rPr>
        <w:t>P</w:t>
      </w:r>
      <w:r w:rsidR="008917F8" w:rsidRPr="003B7DDC">
        <w:rPr>
          <w:rFonts w:ascii="Book Antiqua" w:hAnsi="Book Antiqua" w:cs="Arial"/>
          <w:lang w:val="en-GB"/>
        </w:rPr>
        <w:t xml:space="preserve"> </w:t>
      </w:r>
      <w:r w:rsidR="008917F8" w:rsidRPr="003B7DDC">
        <w:rPr>
          <w:rFonts w:ascii="Book Antiqua" w:hAnsi="Book Antiqua" w:cs="Arial"/>
          <w:lang w:val="en-GB" w:eastAsia="zh-CN"/>
        </w:rPr>
        <w:t xml:space="preserve">= </w:t>
      </w:r>
      <w:r w:rsidRPr="003B7DDC">
        <w:rPr>
          <w:rFonts w:ascii="Book Antiqua" w:hAnsi="Book Antiqua" w:cs="Arial"/>
          <w:lang w:val="en-GB"/>
        </w:rPr>
        <w:t>0.001). Figure 2</w:t>
      </w:r>
      <w:r w:rsidR="00B01444" w:rsidRPr="003B7DDC">
        <w:rPr>
          <w:rFonts w:ascii="Book Antiqua" w:hAnsi="Book Antiqua" w:cs="Arial"/>
          <w:lang w:val="en-GB"/>
        </w:rPr>
        <w:t>B</w:t>
      </w:r>
      <w:r w:rsidRPr="003B7DDC">
        <w:rPr>
          <w:rFonts w:ascii="Book Antiqua" w:hAnsi="Book Antiqua" w:cs="Arial"/>
          <w:lang w:val="en-GB"/>
        </w:rPr>
        <w:t xml:space="preserve"> shows the relationship of intra-operative fluid administration and peri-operative nephrotoxin exposure on the development of AKI. The highest incidence of AKI was seen in patients exposed to less amounts of fluids intra-operatively (1</w:t>
      </w:r>
      <w:r w:rsidRPr="003B7DDC">
        <w:rPr>
          <w:rFonts w:ascii="Book Antiqua" w:hAnsi="Book Antiqua" w:cs="Arial"/>
          <w:vertAlign w:val="superscript"/>
          <w:lang w:val="en-GB"/>
        </w:rPr>
        <w:t>st</w:t>
      </w:r>
      <w:r w:rsidRPr="003B7DDC">
        <w:rPr>
          <w:rFonts w:ascii="Book Antiqua" w:hAnsi="Book Antiqua" w:cs="Arial"/>
          <w:lang w:val="en-GB"/>
        </w:rPr>
        <w:t xml:space="preserve"> and 2</w:t>
      </w:r>
      <w:r w:rsidRPr="003B7DDC">
        <w:rPr>
          <w:rFonts w:ascii="Book Antiqua" w:hAnsi="Book Antiqua" w:cs="Arial"/>
          <w:vertAlign w:val="superscript"/>
          <w:lang w:val="en-GB"/>
        </w:rPr>
        <w:t>nd</w:t>
      </w:r>
      <w:r w:rsidRPr="003B7DDC">
        <w:rPr>
          <w:rFonts w:ascii="Book Antiqua" w:hAnsi="Book Antiqua" w:cs="Arial"/>
          <w:lang w:val="en-GB"/>
        </w:rPr>
        <w:t xml:space="preserve"> fluid tertiles) while also being exposed to a nephrotoxin (75</w:t>
      </w:r>
      <w:r w:rsidR="00CF7E88" w:rsidRPr="003B7DDC">
        <w:rPr>
          <w:rFonts w:ascii="Book Antiqua" w:hAnsi="Book Antiqua" w:cs="Arial"/>
          <w:lang w:val="en-GB" w:eastAsia="zh-CN"/>
        </w:rPr>
        <w:t>%</w:t>
      </w:r>
      <w:r w:rsidRPr="003B7DDC">
        <w:rPr>
          <w:rFonts w:ascii="Book Antiqua" w:hAnsi="Book Antiqua" w:cs="Arial"/>
          <w:lang w:val="en-GB"/>
        </w:rPr>
        <w:t xml:space="preserve"> and 80% AKI incidence respectively) while the lowest AKI incidence was observed in patients exposed to the highest amounts of fluids (3</w:t>
      </w:r>
      <w:r w:rsidRPr="003B7DDC">
        <w:rPr>
          <w:rFonts w:ascii="Book Antiqua" w:hAnsi="Book Antiqua" w:cs="Arial"/>
          <w:vertAlign w:val="superscript"/>
          <w:lang w:val="en-GB"/>
        </w:rPr>
        <w:t>rd</w:t>
      </w:r>
      <w:r w:rsidRPr="003B7DDC">
        <w:rPr>
          <w:rFonts w:ascii="Book Antiqua" w:hAnsi="Book Antiqua" w:cs="Arial"/>
          <w:lang w:val="en-GB"/>
        </w:rPr>
        <w:t xml:space="preserve"> fluid tertile) with no exposure to a nephrotoxin (10% AKI incidence) (</w:t>
      </w:r>
      <w:r w:rsidR="00B01444" w:rsidRPr="003B7DDC">
        <w:rPr>
          <w:rFonts w:ascii="Book Antiqua" w:hAnsi="Book Antiqua" w:cs="Arial"/>
          <w:i/>
          <w:lang w:val="en-GB"/>
        </w:rPr>
        <w:t>P</w:t>
      </w:r>
      <w:r w:rsidR="00B01444" w:rsidRPr="003B7DDC">
        <w:rPr>
          <w:rFonts w:ascii="Book Antiqua" w:hAnsi="Book Antiqua" w:cs="Arial"/>
          <w:lang w:val="en-GB"/>
        </w:rPr>
        <w:t xml:space="preserve"> </w:t>
      </w:r>
      <w:r w:rsidR="00B01444" w:rsidRPr="003B7DDC">
        <w:rPr>
          <w:rFonts w:ascii="Book Antiqua" w:hAnsi="Book Antiqua" w:cs="Arial"/>
          <w:lang w:val="en-GB" w:eastAsia="zh-CN"/>
        </w:rPr>
        <w:t xml:space="preserve">= </w:t>
      </w:r>
      <w:r w:rsidRPr="003B7DDC">
        <w:rPr>
          <w:rFonts w:ascii="Book Antiqua" w:hAnsi="Book Antiqua" w:cs="Arial"/>
          <w:lang w:val="en-GB"/>
        </w:rPr>
        <w:t xml:space="preserve">0.04). </w:t>
      </w:r>
      <w:r w:rsidR="000B32EA">
        <w:rPr>
          <w:rFonts w:ascii="Book Antiqua" w:hAnsi="Book Antiqua" w:cs="Arial"/>
          <w:lang w:val="en-GB"/>
        </w:rPr>
        <w:t>T</w:t>
      </w:r>
      <w:r w:rsidRPr="003B7DDC">
        <w:rPr>
          <w:rFonts w:ascii="Book Antiqua" w:hAnsi="Book Antiqua" w:cs="Arial"/>
          <w:lang w:val="en-GB"/>
        </w:rPr>
        <w:t>hirteen</w:t>
      </w:r>
      <w:r w:rsidR="000B32EA">
        <w:rPr>
          <w:rFonts w:ascii="Book Antiqua" w:hAnsi="Book Antiqua" w:cs="Arial"/>
          <w:lang w:val="en-GB"/>
        </w:rPr>
        <w:t xml:space="preserve"> patients</w:t>
      </w:r>
      <w:r w:rsidR="005C2533" w:rsidRPr="003B7DDC">
        <w:rPr>
          <w:rFonts w:ascii="Book Antiqua" w:hAnsi="Book Antiqua" w:cs="Arial"/>
          <w:lang w:val="en-GB"/>
        </w:rPr>
        <w:t xml:space="preserve"> (18</w:t>
      </w:r>
      <w:r w:rsidR="00CC1116" w:rsidRPr="003B7DDC">
        <w:rPr>
          <w:rFonts w:ascii="Book Antiqua" w:hAnsi="Book Antiqua" w:cs="Arial"/>
          <w:lang w:val="en-GB"/>
        </w:rPr>
        <w:t>%)</w:t>
      </w:r>
      <w:r w:rsidRPr="003B7DDC">
        <w:rPr>
          <w:rFonts w:ascii="Book Antiqua" w:hAnsi="Book Antiqua" w:cs="Arial"/>
          <w:lang w:val="en-GB"/>
        </w:rPr>
        <w:t xml:space="preserve"> required mechanical ventilation in PICU with a mean duration of 1.8 (SD 1.2) </w:t>
      </w:r>
      <w:r w:rsidR="00B01444" w:rsidRPr="003B7DDC">
        <w:rPr>
          <w:rFonts w:ascii="Book Antiqua" w:hAnsi="Book Antiqua" w:cs="Arial"/>
          <w:lang w:val="en-GB"/>
        </w:rPr>
        <w:t>d</w:t>
      </w:r>
      <w:r w:rsidRPr="003B7DDC">
        <w:rPr>
          <w:rFonts w:ascii="Book Antiqua" w:hAnsi="Book Antiqua" w:cs="Arial"/>
          <w:lang w:val="en-GB"/>
        </w:rPr>
        <w:t>. Of those 13 children</w:t>
      </w:r>
      <w:r w:rsidR="00B87354" w:rsidRPr="003B7DDC">
        <w:rPr>
          <w:rFonts w:ascii="Book Antiqua" w:hAnsi="Book Antiqua" w:cs="Arial"/>
          <w:lang w:val="en-GB"/>
        </w:rPr>
        <w:t>,</w:t>
      </w:r>
      <w:r w:rsidRPr="003B7DDC">
        <w:rPr>
          <w:rFonts w:ascii="Book Antiqua" w:hAnsi="Book Antiqua" w:cs="Arial"/>
          <w:lang w:val="en-GB"/>
        </w:rPr>
        <w:t xml:space="preserve"> 7 </w:t>
      </w:r>
      <w:r w:rsidR="00DE3B25" w:rsidRPr="003B7DDC">
        <w:rPr>
          <w:rFonts w:ascii="Book Antiqua" w:hAnsi="Book Antiqua" w:cs="Arial"/>
          <w:lang w:val="en-GB"/>
        </w:rPr>
        <w:t xml:space="preserve">(20%) </w:t>
      </w:r>
      <w:r w:rsidRPr="003B7DDC">
        <w:rPr>
          <w:rFonts w:ascii="Book Antiqua" w:hAnsi="Book Antiqua" w:cs="Arial"/>
          <w:lang w:val="en-GB"/>
        </w:rPr>
        <w:t xml:space="preserve">were in the AKI group versus 6 </w:t>
      </w:r>
      <w:r w:rsidR="00DE3B25" w:rsidRPr="003B7DDC">
        <w:rPr>
          <w:rFonts w:ascii="Book Antiqua" w:hAnsi="Book Antiqua" w:cs="Arial"/>
          <w:lang w:val="en-GB"/>
        </w:rPr>
        <w:t xml:space="preserve">(17%) </w:t>
      </w:r>
      <w:r w:rsidRPr="003B7DDC">
        <w:rPr>
          <w:rFonts w:ascii="Book Antiqua" w:hAnsi="Book Antiqua" w:cs="Arial"/>
          <w:lang w:val="en-GB"/>
        </w:rPr>
        <w:t xml:space="preserve">in the non-AKI group. Children with AKI were ventilated longer (mean 2.2 </w:t>
      </w:r>
      <w:r w:rsidR="00B01444" w:rsidRPr="003B7DDC">
        <w:rPr>
          <w:rFonts w:ascii="Book Antiqua" w:hAnsi="Book Antiqua" w:cs="Arial"/>
          <w:lang w:val="en-GB"/>
        </w:rPr>
        <w:t>d</w:t>
      </w:r>
      <w:r w:rsidRPr="003B7DDC">
        <w:rPr>
          <w:rFonts w:ascii="Book Antiqua" w:hAnsi="Book Antiqua" w:cs="Arial"/>
          <w:lang w:val="en-GB"/>
        </w:rPr>
        <w:t xml:space="preserve"> </w:t>
      </w:r>
      <w:r w:rsidR="001F041C" w:rsidRPr="003B7DDC">
        <w:rPr>
          <w:rFonts w:ascii="Book Antiqua" w:hAnsi="Book Antiqua" w:cs="Arial"/>
          <w:i/>
          <w:lang w:val="en-GB"/>
        </w:rPr>
        <w:t>vs</w:t>
      </w:r>
      <w:r w:rsidRPr="003B7DDC">
        <w:rPr>
          <w:rFonts w:ascii="Book Antiqua" w:hAnsi="Book Antiqua" w:cs="Arial"/>
          <w:lang w:val="en-GB"/>
        </w:rPr>
        <w:t xml:space="preserve"> 1.4 </w:t>
      </w:r>
      <w:r w:rsidR="00B01444" w:rsidRPr="003B7DDC">
        <w:rPr>
          <w:rFonts w:ascii="Book Antiqua" w:hAnsi="Book Antiqua" w:cs="Arial"/>
          <w:lang w:val="en-GB"/>
        </w:rPr>
        <w:t>d</w:t>
      </w:r>
      <w:r w:rsidRPr="003B7DDC">
        <w:rPr>
          <w:rFonts w:ascii="Book Antiqua" w:hAnsi="Book Antiqua" w:cs="Arial"/>
          <w:lang w:val="en-GB"/>
        </w:rPr>
        <w:t xml:space="preserve"> in the control group; however this difference was not </w:t>
      </w:r>
      <w:r w:rsidR="00B87354" w:rsidRPr="003B7DDC">
        <w:rPr>
          <w:rFonts w:ascii="Book Antiqua" w:hAnsi="Book Antiqua" w:cs="Arial"/>
          <w:lang w:val="en-GB"/>
        </w:rPr>
        <w:t xml:space="preserve">statistically </w:t>
      </w:r>
      <w:r w:rsidRPr="003B7DDC">
        <w:rPr>
          <w:rFonts w:ascii="Book Antiqua" w:hAnsi="Book Antiqua" w:cs="Arial"/>
          <w:lang w:val="en-GB"/>
        </w:rPr>
        <w:t>significant (</w:t>
      </w:r>
      <w:r w:rsidR="003A26D4" w:rsidRPr="003B7DDC">
        <w:rPr>
          <w:rFonts w:ascii="Book Antiqua" w:hAnsi="Book Antiqua" w:cs="Arial"/>
          <w:i/>
          <w:lang w:val="en-GB"/>
        </w:rPr>
        <w:t>P</w:t>
      </w:r>
      <w:r w:rsidR="003A26D4" w:rsidRPr="003B7DDC">
        <w:rPr>
          <w:rFonts w:ascii="Book Antiqua" w:hAnsi="Book Antiqua" w:cs="Arial"/>
          <w:i/>
          <w:lang w:val="en-GB" w:eastAsia="zh-CN"/>
        </w:rPr>
        <w:t xml:space="preserve"> </w:t>
      </w:r>
      <w:r w:rsidRPr="003B7DDC">
        <w:rPr>
          <w:rFonts w:ascii="Book Antiqua" w:hAnsi="Book Antiqua" w:cs="Arial"/>
          <w:lang w:val="en-GB"/>
        </w:rPr>
        <w:t>=</w:t>
      </w:r>
      <w:r w:rsidR="003A26D4" w:rsidRPr="003B7DDC">
        <w:rPr>
          <w:rFonts w:ascii="Book Antiqua" w:hAnsi="Book Antiqua" w:cs="Arial"/>
          <w:lang w:val="en-GB" w:eastAsia="zh-CN"/>
        </w:rPr>
        <w:t xml:space="preserve"> </w:t>
      </w:r>
      <w:r w:rsidRPr="003B7DDC">
        <w:rPr>
          <w:rFonts w:ascii="Book Antiqua" w:hAnsi="Book Antiqua" w:cs="Arial"/>
          <w:lang w:val="en-GB"/>
        </w:rPr>
        <w:t>0.7).</w:t>
      </w:r>
    </w:p>
    <w:p w14:paraId="5E93CBF7"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eastAsia="zh-CN"/>
        </w:rPr>
      </w:pPr>
    </w:p>
    <w:p w14:paraId="6704B704"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i/>
          <w:lang w:val="en-GB"/>
        </w:rPr>
      </w:pPr>
      <w:r w:rsidRPr="003B7DDC">
        <w:rPr>
          <w:rFonts w:ascii="Book Antiqua" w:hAnsi="Book Antiqua" w:cs="Arial"/>
          <w:b/>
          <w:i/>
          <w:lang w:val="en-GB"/>
        </w:rPr>
        <w:lastRenderedPageBreak/>
        <w:t xml:space="preserve">Mortality </w:t>
      </w:r>
      <w:r w:rsidR="00B01444" w:rsidRPr="003B7DDC">
        <w:rPr>
          <w:rFonts w:ascii="Book Antiqua" w:hAnsi="Book Antiqua" w:cs="Arial"/>
          <w:b/>
          <w:i/>
          <w:lang w:val="en-GB" w:eastAsia="zh-CN"/>
        </w:rPr>
        <w:t>and</w:t>
      </w:r>
      <w:r w:rsidRPr="003B7DDC">
        <w:rPr>
          <w:rFonts w:ascii="Book Antiqua" w:hAnsi="Book Antiqua" w:cs="Arial"/>
          <w:b/>
          <w:i/>
          <w:lang w:val="en-GB"/>
        </w:rPr>
        <w:t xml:space="preserve"> </w:t>
      </w:r>
      <w:r w:rsidR="00B01444" w:rsidRPr="003B7DDC">
        <w:rPr>
          <w:rFonts w:ascii="Book Antiqua" w:hAnsi="Book Antiqua" w:cs="Arial"/>
          <w:b/>
          <w:i/>
          <w:lang w:val="en-GB"/>
        </w:rPr>
        <w:t>h</w:t>
      </w:r>
      <w:r w:rsidRPr="003B7DDC">
        <w:rPr>
          <w:rFonts w:ascii="Book Antiqua" w:hAnsi="Book Antiqua" w:cs="Arial"/>
          <w:b/>
          <w:i/>
          <w:lang w:val="en-GB"/>
        </w:rPr>
        <w:t xml:space="preserve">ospital/PICU </w:t>
      </w:r>
      <w:r w:rsidR="00B01444" w:rsidRPr="003B7DDC">
        <w:rPr>
          <w:rFonts w:ascii="Book Antiqua" w:hAnsi="Book Antiqua" w:cs="Arial"/>
          <w:b/>
          <w:i/>
          <w:lang w:val="en-GB"/>
        </w:rPr>
        <w:t>length of stay</w:t>
      </w:r>
    </w:p>
    <w:p w14:paraId="3AEE110F"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lang w:val="en-GB"/>
        </w:rPr>
        <w:t xml:space="preserve">There were no cases of mortality seen in any of the patients following surgery. Median hospital length of stay in all patients was 6 </w:t>
      </w:r>
      <w:r w:rsidR="00B01444" w:rsidRPr="003B7DDC">
        <w:rPr>
          <w:rFonts w:ascii="Book Antiqua" w:hAnsi="Book Antiqua" w:cs="Arial"/>
          <w:lang w:val="en-GB"/>
        </w:rPr>
        <w:t>d</w:t>
      </w:r>
      <w:r w:rsidRPr="003B7DDC">
        <w:rPr>
          <w:rFonts w:ascii="Book Antiqua" w:hAnsi="Book Antiqua" w:cs="Arial"/>
          <w:lang w:val="en-GB"/>
        </w:rPr>
        <w:t xml:space="preserve"> (IQR 3, range 4-49 </w:t>
      </w:r>
      <w:r w:rsidR="00B01444" w:rsidRPr="003B7DDC">
        <w:rPr>
          <w:rFonts w:ascii="Book Antiqua" w:hAnsi="Book Antiqua" w:cs="Arial"/>
          <w:lang w:val="en-GB"/>
        </w:rPr>
        <w:t>d</w:t>
      </w:r>
      <w:r w:rsidRPr="003B7DDC">
        <w:rPr>
          <w:rFonts w:ascii="Book Antiqua" w:hAnsi="Book Antiqua" w:cs="Arial"/>
          <w:lang w:val="en-GB"/>
        </w:rPr>
        <w:t xml:space="preserve">). Median ICU length of stay in all patients was 1 day (IQR 0, range 0-18 </w:t>
      </w:r>
      <w:r w:rsidR="00B01444" w:rsidRPr="003B7DDC">
        <w:rPr>
          <w:rFonts w:ascii="Book Antiqua" w:hAnsi="Book Antiqua" w:cs="Arial"/>
          <w:lang w:val="en-GB"/>
        </w:rPr>
        <w:t>d</w:t>
      </w:r>
      <w:r w:rsidRPr="003B7DDC">
        <w:rPr>
          <w:rFonts w:ascii="Book Antiqua" w:hAnsi="Book Antiqua" w:cs="Arial"/>
          <w:lang w:val="en-GB"/>
        </w:rPr>
        <w:t xml:space="preserve">). ICU length of stay was similar in AKI (median 1 day, IQR 0 </w:t>
      </w:r>
      <w:r w:rsidR="00B01444" w:rsidRPr="003B7DDC">
        <w:rPr>
          <w:rFonts w:ascii="Book Antiqua" w:hAnsi="Book Antiqua" w:cs="Arial"/>
          <w:lang w:val="en-GB"/>
        </w:rPr>
        <w:t>d</w:t>
      </w:r>
      <w:r w:rsidRPr="003B7DDC">
        <w:rPr>
          <w:rFonts w:ascii="Book Antiqua" w:hAnsi="Book Antiqua" w:cs="Arial"/>
          <w:lang w:val="en-GB"/>
        </w:rPr>
        <w:t xml:space="preserve">, range 17 </w:t>
      </w:r>
      <w:r w:rsidR="00B01444" w:rsidRPr="003B7DDC">
        <w:rPr>
          <w:rFonts w:ascii="Book Antiqua" w:hAnsi="Book Antiqua" w:cs="Arial"/>
          <w:lang w:val="en-GB"/>
        </w:rPr>
        <w:t>d</w:t>
      </w:r>
      <w:r w:rsidRPr="003B7DDC">
        <w:rPr>
          <w:rFonts w:ascii="Book Antiqua" w:hAnsi="Book Antiqua" w:cs="Arial"/>
          <w:lang w:val="en-GB"/>
        </w:rPr>
        <w:t xml:space="preserve">) and non-AKI patients (median 1 day, IQR 0 </w:t>
      </w:r>
      <w:r w:rsidR="00B01444" w:rsidRPr="003B7DDC">
        <w:rPr>
          <w:rFonts w:ascii="Book Antiqua" w:hAnsi="Book Antiqua" w:cs="Arial"/>
          <w:lang w:val="en-GB"/>
        </w:rPr>
        <w:t>d</w:t>
      </w:r>
      <w:r w:rsidRPr="003B7DDC">
        <w:rPr>
          <w:rFonts w:ascii="Book Antiqua" w:hAnsi="Book Antiqua" w:cs="Arial"/>
          <w:lang w:val="en-GB"/>
        </w:rPr>
        <w:t xml:space="preserve">, range 6 </w:t>
      </w:r>
      <w:r w:rsidR="00B01444" w:rsidRPr="003B7DDC">
        <w:rPr>
          <w:rFonts w:ascii="Book Antiqua" w:hAnsi="Book Antiqua" w:cs="Arial"/>
          <w:lang w:val="en-GB"/>
        </w:rPr>
        <w:t>d</w:t>
      </w:r>
      <w:r w:rsidRPr="003B7DDC">
        <w:rPr>
          <w:rFonts w:ascii="Book Antiqua" w:hAnsi="Book Antiqua" w:cs="Arial"/>
          <w:lang w:val="en-GB"/>
        </w:rPr>
        <w:t>) (</w:t>
      </w:r>
      <w:r w:rsidR="00B01444" w:rsidRPr="003B7DDC">
        <w:rPr>
          <w:rFonts w:ascii="Book Antiqua" w:hAnsi="Book Antiqua" w:cs="Arial"/>
          <w:i/>
          <w:lang w:val="en-GB"/>
        </w:rPr>
        <w:t>P</w:t>
      </w:r>
      <w:r w:rsidR="00B01444" w:rsidRPr="003B7DDC">
        <w:rPr>
          <w:rFonts w:ascii="Book Antiqua" w:hAnsi="Book Antiqua" w:cs="Arial"/>
          <w:lang w:val="en-GB"/>
        </w:rPr>
        <w:t xml:space="preserve"> </w:t>
      </w:r>
      <w:r w:rsidR="00B01444" w:rsidRPr="003B7DDC">
        <w:rPr>
          <w:rFonts w:ascii="Book Antiqua" w:hAnsi="Book Antiqua" w:cs="Arial"/>
          <w:lang w:val="en-GB" w:eastAsia="zh-CN"/>
        </w:rPr>
        <w:t xml:space="preserve">= </w:t>
      </w:r>
      <w:r w:rsidRPr="003B7DDC">
        <w:rPr>
          <w:rFonts w:ascii="Book Antiqua" w:hAnsi="Book Antiqua" w:cs="Arial"/>
          <w:lang w:val="en-GB"/>
        </w:rPr>
        <w:t xml:space="preserve">0.95)). Similarly, hospital length of stay was similar in patients with AKI (median 6 </w:t>
      </w:r>
      <w:r w:rsidR="00B01444" w:rsidRPr="003B7DDC">
        <w:rPr>
          <w:rFonts w:ascii="Book Antiqua" w:hAnsi="Book Antiqua" w:cs="Arial"/>
          <w:lang w:val="en-GB"/>
        </w:rPr>
        <w:t>d</w:t>
      </w:r>
      <w:r w:rsidRPr="003B7DDC">
        <w:rPr>
          <w:rFonts w:ascii="Book Antiqua" w:hAnsi="Book Antiqua" w:cs="Arial"/>
          <w:lang w:val="en-GB"/>
        </w:rPr>
        <w:t xml:space="preserve">, IQR  3 </w:t>
      </w:r>
      <w:r w:rsidR="00B01444" w:rsidRPr="003B7DDC">
        <w:rPr>
          <w:rFonts w:ascii="Book Antiqua" w:hAnsi="Book Antiqua" w:cs="Arial"/>
          <w:lang w:val="en-GB"/>
        </w:rPr>
        <w:t>d</w:t>
      </w:r>
      <w:r w:rsidRPr="003B7DDC">
        <w:rPr>
          <w:rFonts w:ascii="Book Antiqua" w:hAnsi="Book Antiqua" w:cs="Arial"/>
          <w:lang w:val="en-GB"/>
        </w:rPr>
        <w:t xml:space="preserve">, range 25,) and without AKI (median 6 </w:t>
      </w:r>
      <w:r w:rsidR="00B01444" w:rsidRPr="003B7DDC">
        <w:rPr>
          <w:rFonts w:ascii="Book Antiqua" w:hAnsi="Book Antiqua" w:cs="Arial"/>
          <w:lang w:val="en-GB"/>
        </w:rPr>
        <w:t>d</w:t>
      </w:r>
      <w:r w:rsidRPr="003B7DDC">
        <w:rPr>
          <w:rFonts w:ascii="Book Antiqua" w:hAnsi="Book Antiqua" w:cs="Arial"/>
          <w:lang w:val="en-GB"/>
        </w:rPr>
        <w:t xml:space="preserve">, IQR 2 </w:t>
      </w:r>
      <w:r w:rsidR="00B01444" w:rsidRPr="003B7DDC">
        <w:rPr>
          <w:rFonts w:ascii="Book Antiqua" w:hAnsi="Book Antiqua" w:cs="Arial"/>
          <w:lang w:val="en-GB"/>
        </w:rPr>
        <w:t>d</w:t>
      </w:r>
      <w:r w:rsidRPr="003B7DDC">
        <w:rPr>
          <w:rFonts w:ascii="Book Antiqua" w:hAnsi="Book Antiqua" w:cs="Arial"/>
          <w:lang w:val="en-GB"/>
        </w:rPr>
        <w:t xml:space="preserve">, range 45 </w:t>
      </w:r>
      <w:r w:rsidR="00B01444" w:rsidRPr="003B7DDC">
        <w:rPr>
          <w:rFonts w:ascii="Book Antiqua" w:hAnsi="Book Antiqua" w:cs="Arial"/>
          <w:lang w:val="en-GB"/>
        </w:rPr>
        <w:t>d</w:t>
      </w:r>
      <w:r w:rsidR="00B01444" w:rsidRPr="003B7DDC">
        <w:rPr>
          <w:rFonts w:ascii="Book Antiqua" w:hAnsi="Book Antiqua" w:cs="Arial"/>
          <w:lang w:val="en-GB" w:eastAsia="zh-CN"/>
        </w:rPr>
        <w:t xml:space="preserve">, </w:t>
      </w:r>
      <w:r w:rsidR="00B01444" w:rsidRPr="003B7DDC">
        <w:rPr>
          <w:rFonts w:ascii="Book Antiqua" w:hAnsi="Book Antiqua" w:cs="Arial"/>
          <w:i/>
          <w:lang w:val="en-GB"/>
        </w:rPr>
        <w:t>P</w:t>
      </w:r>
      <w:r w:rsidR="00B01444" w:rsidRPr="003B7DDC">
        <w:rPr>
          <w:rFonts w:ascii="Book Antiqua" w:hAnsi="Book Antiqua" w:cs="Arial"/>
          <w:lang w:val="en-GB"/>
        </w:rPr>
        <w:t xml:space="preserve"> </w:t>
      </w:r>
      <w:r w:rsidR="00B01444" w:rsidRPr="003B7DDC">
        <w:rPr>
          <w:rFonts w:ascii="Book Antiqua" w:hAnsi="Book Antiqua" w:cs="Arial"/>
          <w:lang w:val="en-GB" w:eastAsia="zh-CN"/>
        </w:rPr>
        <w:t xml:space="preserve">= </w:t>
      </w:r>
      <w:r w:rsidRPr="003B7DDC">
        <w:rPr>
          <w:rFonts w:ascii="Book Antiqua" w:hAnsi="Book Antiqua" w:cs="Arial"/>
          <w:lang w:val="en-GB"/>
        </w:rPr>
        <w:t xml:space="preserve">0.77). However, the single patient with severe AKI (AKIN stage 3) had a more prolonged PICU and hospital length of stay at 4 and 12 </w:t>
      </w:r>
      <w:r w:rsidR="00B01444" w:rsidRPr="003B7DDC">
        <w:rPr>
          <w:rFonts w:ascii="Book Antiqua" w:hAnsi="Book Antiqua" w:cs="Arial"/>
          <w:lang w:val="en-GB"/>
        </w:rPr>
        <w:t>d</w:t>
      </w:r>
      <w:r w:rsidRPr="003B7DDC">
        <w:rPr>
          <w:rFonts w:ascii="Book Antiqua" w:hAnsi="Book Antiqua" w:cs="Arial"/>
          <w:lang w:val="en-GB"/>
        </w:rPr>
        <w:t xml:space="preserve"> respectively.</w:t>
      </w:r>
    </w:p>
    <w:p w14:paraId="5A1148E9"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6426F207" w14:textId="77777777" w:rsidR="00C2498C" w:rsidRPr="003B7DDC" w:rsidRDefault="00C2498C" w:rsidP="00CB581F">
      <w:pPr>
        <w:pStyle w:val="1"/>
        <w:snapToGrid w:val="0"/>
        <w:spacing w:line="360" w:lineRule="auto"/>
        <w:jc w:val="both"/>
        <w:rPr>
          <w:rFonts w:ascii="Book Antiqua" w:hAnsi="Book Antiqua"/>
        </w:rPr>
      </w:pPr>
      <w:r w:rsidRPr="003B7DDC">
        <w:rPr>
          <w:rFonts w:ascii="Book Antiqua" w:hAnsi="Book Antiqua"/>
        </w:rPr>
        <w:t>DISCUSSION</w:t>
      </w:r>
    </w:p>
    <w:p w14:paraId="40CDBF49" w14:textId="610569D8" w:rsidR="000A5DC7" w:rsidRDefault="00C2498C"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lang w:val="en-GB"/>
        </w:rPr>
        <w:t xml:space="preserve">We report a high estimated AKI incidence of 17% in children undergoing orthopaedic spinal instrumentation surgery utilizing a standardized AKI definition . A number of recent adult studies have reported AKI incidences  from 3.9%-16% following major orthopaedic surgeries </w:t>
      </w:r>
      <w:r w:rsidR="00B01444" w:rsidRPr="003B7DDC">
        <w:rPr>
          <w:rFonts w:ascii="Book Antiqua" w:hAnsi="Book Antiqua" w:cs="Arial"/>
          <w:lang w:val="en-GB"/>
        </w:rPr>
        <w:fldChar w:fldCharType="begin"/>
      </w:r>
      <w:r w:rsidR="00B01444" w:rsidRPr="003B7DDC">
        <w:rPr>
          <w:rFonts w:ascii="Book Antiqua" w:hAnsi="Book Antiqua" w:cs="Arial"/>
          <w:lang w:val="en-GB"/>
        </w:rPr>
        <w:instrText xml:space="preserve"> ADDIN PAPERS2_CITATIONS &lt;citation&gt;&lt;uuid&gt;E9AC01EF-ABE6-4369-BD1D-A710F5AA62C6&lt;/uuid&gt;&lt;priority&gt;3&lt;/priority&gt;&lt;publications&gt;&lt;publication&gt;&lt;uuid&gt;8377F61B-1FB0-4E16-B212-CAC9143A336E&lt;/uuid&gt;&lt;volume&gt;64&lt;/volume&gt;&lt;doi&gt;10.1111/j.1365-2044.2009.06012.x&lt;/doi&gt;&lt;startpage&gt;1061&lt;/startpage&gt;&lt;publication_date&gt;99200910001200000000220000&lt;/publication_date&gt;&lt;url&gt;http://eutils.ncbi.nlm.nih.gov/entrez/eutils/elink.fcgi?dbfrom=pubmed&amp;amp;id=19735395&amp;amp;retmode=ref&amp;amp;cmd=prlinks&lt;/url&gt;&lt;type&gt;400&lt;/type&gt;&lt;title&gt;An analysis of renal dysfunction in 1511 patients with fractured neck of femur: the implications for peri-operative analgesia.&lt;/title&gt;&lt;institution&gt;Royal Sussex County Hospital, Brighton, East Sussex, UK. igasbest@hotmail.com&lt;/institution&gt;&lt;number&gt;10&lt;/number&gt;&lt;subtype&gt;400&lt;/subtype&gt;&lt;endpage&gt;1065&lt;/endpage&gt;&lt;bundle&gt;&lt;publication&gt;&lt;title&gt;Anaesthesia&lt;/title&gt;&lt;type&gt;-100&lt;/type&gt;&lt;subtype&gt;-100&lt;/subtype&gt;&lt;uuid&gt;27379E65-15B6-4956-B194-5421BB1E024B&lt;/uuid&gt;&lt;/publication&gt;&lt;/bundle&gt;&lt;authors&gt;&lt;author&gt;&lt;firstName&gt;S&lt;/firstName&gt;&lt;middleNames&gt;M&lt;/middleNames&gt;&lt;lastName&gt;White&lt;/lastName&gt;&lt;/author&gt;&lt;author&gt;&lt;firstName&gt;N&lt;/firstName&gt;&lt;lastName&gt;Rashid&lt;/lastName&gt;&lt;/author&gt;&lt;author&gt;&lt;firstName&gt;A&lt;/firstName&gt;&lt;lastName&gt;Chakladar&lt;/lastName&gt;&lt;/author&gt;&lt;/authors&gt;&lt;/publication&gt;&lt;publication&gt;&lt;uuid&gt;0998588E-D71E-495D-9C22-F87E53D09AFE&lt;/uuid&gt;&lt;volume&gt;41&lt;/volume&gt;&lt;accepted_date&gt;99200907131200000000222000&lt;/accepted_date&gt;&lt;doi&gt;10.1016/j.injury.2009.07.009&lt;/doi&gt;&lt;startpage&gt;335&lt;/startpage&gt;&lt;revision_date&gt;99200907121200000000222000&lt;/revision_date&gt;&lt;publication_date&gt;99201004001200000000220000&lt;/publication_date&gt;&lt;url&gt;http://eutils.ncbi.nlm.nih.gov/entrez/eutils/elink.fcgi?dbfrom=pubmed&amp;amp;id=19729159&amp;amp;retmode=ref&amp;amp;cmd=prlinks&lt;/url&gt;&lt;type&gt;400&lt;/type&gt;&lt;title&gt;Acute renal dysfunction following hip fracture.&lt;/title&gt;&lt;submission_date&gt;99200904271200000000222000&lt;/submission_date&gt;&lt;number&gt;4&lt;/number&gt;&lt;institution&gt;Department of Trauma and Orthopaedic Surgery, Cheltenham General Hospital, Sandford Rd, Cheltenham GL53 7AN, United Kingdom. simonbennet@hotmail.com&lt;/institution&gt;&lt;subtype&gt;400&lt;/subtype&gt;&lt;endpage&gt;338&lt;/endpage&gt;&lt;bundle&gt;&lt;publication&gt;&lt;title&gt;Injury&lt;/title&gt;&lt;type&gt;-100&lt;/type&gt;&lt;subtype&gt;-100&lt;/subtype&gt;&lt;uuid&gt;17BCA836-9CA3-436F-885B-1024B051FB51&lt;/uuid&gt;&lt;/publication&gt;&lt;/bundle&gt;&lt;authors&gt;&lt;author&gt;&lt;firstName&gt;Simon&lt;/firstName&gt;&lt;middleNames&gt;J&lt;/middleNames&gt;&lt;lastName&gt;Bennet&lt;/lastName&gt;&lt;/author&gt;&lt;author&gt;&lt;firstName&gt;Olivia&lt;/firstName&gt;&lt;middleNames&gt;M B&lt;/middleNames&gt;&lt;lastName&gt;Berry&lt;/lastName&gt;&lt;/author&gt;&lt;author&gt;&lt;firstName&gt;Jane&lt;/firstName&gt;&lt;lastName&gt;Goddard&lt;/lastName&gt;&lt;/author&gt;&lt;author&gt;&lt;firstName&gt;John&lt;/firstName&gt;&lt;middleNames&gt;F&lt;/middleNames&gt;&lt;lastName&gt;Keating&lt;/lastName&gt;&lt;/author&gt;&lt;/authors&gt;&lt;/publication&gt;&lt;publication&gt;&lt;uuid&gt;0D51DFA2-E73B-4735-9B42-A590767E73F5&lt;/uuid&gt;&lt;volume&gt;13&lt;/volume&gt;&lt;accepted_date&gt;99201208241200000000222000&lt;/accepted_date&gt;&lt;doi&gt;10.1186/1471-2369-13-101&lt;/doi&gt;&lt;startpage&gt;101&lt;/startpage&gt;&lt;publication_date&gt;99201200001200000000200000&lt;/publication_date&gt;&lt;url&gt;http://eutils.ncbi.nlm.nih.gov/entrez/eutils/elink.fcgi?dbfrom=pubmed&amp;amp;id=22943390&amp;amp;retmode=ref&amp;amp;cmd=prlinks&lt;/url&gt;&lt;type&gt;400&lt;/type&gt;&lt;title&gt;Analysis of kidney dysfunction in orthopaedic patients.&lt;/title&gt;&lt;submission_date&gt;99201110251200000000222000&lt;/submission_date&gt;&lt;institution&gt;Department of Trauma and Orthopaedics, General Hospital of Levadia, Levadia, Greece. kkateros@hotmail.com&lt;/institution&gt;&lt;subtype&gt;400&lt;/subtype&gt;&lt;bundle&gt;&lt;publication&gt;&lt;title&gt;BMC nephrology&lt;/title&gt;&lt;type&gt;-100&lt;/type&gt;&lt;subtype&gt;-100&lt;/subtype&gt;&lt;uuid&gt;AAF506E8-E235-4AAA-97E3-D2650AD77386&lt;/uuid&gt;&lt;/publication&gt;&lt;/bundle&gt;&lt;authors&gt;&lt;author&gt;&lt;firstName&gt;Konstantinos&lt;/firstName&gt;&lt;lastName&gt;Kateros&lt;/lastName&gt;&lt;/author&gt;&lt;author&gt;&lt;firstName&gt;Christos&lt;/firstName&gt;&lt;lastName&gt;Doulgerakis&lt;/lastName&gt;&lt;/author&gt;&lt;author&gt;&lt;firstName&gt;Spyridon&lt;/firstName&gt;&lt;middleNames&gt;P&lt;/middleNames&gt;&lt;lastName&gt;Galanakos&lt;/lastName&gt;&lt;/author&gt;&lt;author&gt;&lt;firstName&gt;Vasileios&lt;/firstName&gt;&lt;middleNames&gt;I&lt;/middleNames&gt;&lt;lastName&gt;Sakellariou&lt;/lastName&gt;&lt;/author&gt;&lt;author&gt;&lt;firstName&gt;Stamatios&lt;/firstName&gt;&lt;middleNames&gt;A&lt;/middleNames&gt;&lt;lastName&gt;Papadakis&lt;/lastName&gt;&lt;/author&gt;&lt;author&gt;&lt;firstName&gt;George&lt;/firstName&gt;&lt;middleNames&gt;A&lt;/middleNames&gt;&lt;lastName&gt;Macheras&lt;/lastName&gt;&lt;/author&gt;&lt;/authors&gt;&lt;/publication&gt;&lt;/publications&gt;&lt;cites&gt;&lt;/cites&gt;&lt;/citation&gt;</w:instrText>
      </w:r>
      <w:r w:rsidR="00B01444" w:rsidRPr="003B7DDC">
        <w:rPr>
          <w:rFonts w:ascii="Book Antiqua" w:hAnsi="Book Antiqua" w:cs="Arial"/>
          <w:lang w:val="en-GB"/>
        </w:rPr>
        <w:fldChar w:fldCharType="separate"/>
      </w:r>
      <w:r w:rsidR="00B01444" w:rsidRPr="003B7DDC">
        <w:rPr>
          <w:rFonts w:ascii="Book Antiqua" w:hAnsi="Book Antiqua" w:cs="Book Antiqua"/>
          <w:noProof w:val="0"/>
          <w:vertAlign w:val="superscript"/>
          <w:lang w:val="en-US"/>
        </w:rPr>
        <w:t>[9-11]</w:t>
      </w:r>
      <w:r w:rsidR="00B01444" w:rsidRPr="003B7DDC">
        <w:rPr>
          <w:rFonts w:ascii="Book Antiqua" w:hAnsi="Book Antiqua" w:cs="Arial"/>
          <w:lang w:val="en-GB"/>
        </w:rPr>
        <w:fldChar w:fldCharType="end"/>
      </w:r>
      <w:r w:rsidRPr="003B7DDC">
        <w:rPr>
          <w:rFonts w:ascii="Book Antiqua" w:hAnsi="Book Antiqua" w:cs="Arial"/>
          <w:lang w:val="en-GB"/>
        </w:rPr>
        <w:t>.</w:t>
      </w:r>
      <w:r w:rsidR="00F67C38" w:rsidRPr="003B7DDC">
        <w:rPr>
          <w:rFonts w:ascii="Book Antiqua" w:hAnsi="Book Antiqua" w:cs="Arial"/>
          <w:lang w:val="en-GB"/>
        </w:rPr>
        <w:t xml:space="preserve"> </w:t>
      </w:r>
      <w:r w:rsidRPr="003B7DDC">
        <w:rPr>
          <w:rFonts w:ascii="Book Antiqua" w:hAnsi="Book Antiqua" w:cs="Arial"/>
          <w:lang w:val="en-GB"/>
        </w:rPr>
        <w:t>There have been no prior epidemiological AKI studies in any paediatric orthopaedic populations..</w:t>
      </w:r>
    </w:p>
    <w:p w14:paraId="71DA6224" w14:textId="5775BD50" w:rsidR="00C2498C" w:rsidRPr="003B7DDC" w:rsidRDefault="00C2498C" w:rsidP="006C226D">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lang w:val="en-GB"/>
        </w:rPr>
        <w:t>In our cohort, no patient had pre-existing kidney dysfunction prior to surgery, which suggests that our high incidence of AKI may be primarily related to peri-operative risk factors.</w:t>
      </w:r>
      <w:r w:rsidR="006C226D">
        <w:rPr>
          <w:rFonts w:ascii="Book Antiqua" w:hAnsi="Book Antiqua" w:cs="Arial"/>
          <w:lang w:val="en-GB"/>
        </w:rPr>
        <w:t xml:space="preserve"> </w:t>
      </w:r>
      <w:r w:rsidR="000B32EA">
        <w:rPr>
          <w:rFonts w:ascii="Book Antiqua" w:hAnsi="Book Antiqua" w:cs="Arial"/>
          <w:lang w:val="en-GB"/>
        </w:rPr>
        <w:t>W</w:t>
      </w:r>
      <w:r w:rsidRPr="003B7DDC">
        <w:rPr>
          <w:rFonts w:ascii="Book Antiqua" w:hAnsi="Book Antiqua" w:cs="Arial"/>
          <w:lang w:val="en-GB"/>
        </w:rPr>
        <w:t xml:space="preserve">e identified 2 potential risk factors that may be related to the development of AKI in this population: </w:t>
      </w:r>
      <w:r w:rsidR="00B01444" w:rsidRPr="003B7DDC">
        <w:rPr>
          <w:rFonts w:ascii="Book Antiqua" w:hAnsi="Book Antiqua" w:cs="Arial"/>
          <w:lang w:val="en-GB" w:eastAsia="zh-CN"/>
        </w:rPr>
        <w:t>(</w:t>
      </w:r>
      <w:r w:rsidRPr="003B7DDC">
        <w:rPr>
          <w:rFonts w:ascii="Book Antiqua" w:hAnsi="Book Antiqua" w:cs="Arial"/>
          <w:lang w:val="en-GB"/>
        </w:rPr>
        <w:t>1) lower intravenous fluid exposure in the intra-operative period</w:t>
      </w:r>
      <w:r w:rsidR="00B01444" w:rsidRPr="003B7DDC">
        <w:rPr>
          <w:rFonts w:ascii="Book Antiqua" w:hAnsi="Book Antiqua" w:cs="Arial"/>
          <w:lang w:val="en-GB" w:eastAsia="zh-CN"/>
        </w:rPr>
        <w:t>;</w:t>
      </w:r>
      <w:r w:rsidRPr="003B7DDC">
        <w:rPr>
          <w:rFonts w:ascii="Book Antiqua" w:hAnsi="Book Antiqua" w:cs="Arial"/>
          <w:lang w:val="en-GB"/>
        </w:rPr>
        <w:t xml:space="preserve"> and </w:t>
      </w:r>
      <w:r w:rsidR="00B01444" w:rsidRPr="003B7DDC">
        <w:rPr>
          <w:rFonts w:ascii="Book Antiqua" w:hAnsi="Book Antiqua" w:cs="Arial"/>
          <w:lang w:val="en-GB" w:eastAsia="zh-CN"/>
        </w:rPr>
        <w:t>(</w:t>
      </w:r>
      <w:r w:rsidRPr="003B7DDC">
        <w:rPr>
          <w:rFonts w:ascii="Book Antiqua" w:hAnsi="Book Antiqua" w:cs="Arial"/>
          <w:lang w:val="en-GB"/>
        </w:rPr>
        <w:t xml:space="preserve">2) high peri-operative nephrotoxin exposure with 60% of the AKI population being exposed to NSAIDs or aminoglycosides. The exact interaction between peri-operative fluid and nephrotoxin exposure towards the development of AKI cannot be determined in our retrospective analysis, but our results suggest that patients who are exposed to the highest amounts of fluids intra-operatively without nephrotoxin exposure may be more protected against AKI. Interestingly, a recent adult orthopaedic study showed that peri-operative dehydration, administration of NSAIDs, and use of </w:t>
      </w:r>
      <w:r w:rsidRPr="003B7DDC">
        <w:rPr>
          <w:rFonts w:ascii="Book Antiqua" w:hAnsi="Book Antiqua" w:cs="Arial"/>
          <w:lang w:val="en-GB"/>
        </w:rPr>
        <w:lastRenderedPageBreak/>
        <w:t>nephrotoxic antibiotics were all independently associated with the development of post-o</w:t>
      </w:r>
      <w:r w:rsidR="00BD7A50" w:rsidRPr="003B7DDC">
        <w:rPr>
          <w:rFonts w:ascii="Book Antiqua" w:hAnsi="Book Antiqua" w:cs="Arial"/>
          <w:lang w:val="en-GB"/>
        </w:rPr>
        <w:t>perative kidney dysfunction</w:t>
      </w:r>
      <w:r w:rsidR="00B01444" w:rsidRPr="003B7DDC">
        <w:rPr>
          <w:rFonts w:ascii="Book Antiqua" w:hAnsi="Book Antiqua" w:cs="Arial"/>
          <w:lang w:val="en-GB"/>
        </w:rPr>
        <w:fldChar w:fldCharType="begin"/>
      </w:r>
      <w:r w:rsidR="00B01444" w:rsidRPr="003B7DDC">
        <w:rPr>
          <w:rFonts w:ascii="Book Antiqua" w:hAnsi="Book Antiqua" w:cs="Arial"/>
          <w:lang w:val="en-GB"/>
        </w:rPr>
        <w:instrText xml:space="preserve"> ADDIN PAPERS2_CITATIONS &lt;citation&gt;&lt;uuid&gt;0C9FCCE3-52BF-4AB9-B81B-039F2DFD10EC&lt;/uuid&gt;&lt;priority&gt;4&lt;/priority&gt;&lt;publications&gt;&lt;publication&gt;&lt;uuid&gt;0D51DFA2-E73B-4735-9B42-A590767E73F5&lt;/uuid&gt;&lt;volume&gt;13&lt;/volume&gt;&lt;accepted_date&gt;99201208241200000000222000&lt;/accepted_date&gt;&lt;doi&gt;10.1186/1471-2369-13-101&lt;/doi&gt;&lt;startpage&gt;101&lt;/startpage&gt;&lt;publication_date&gt;99201200001200000000200000&lt;/publication_date&gt;&lt;url&gt;http://eutils.ncbi.nlm.nih.gov/entrez/eutils/elink.fcgi?dbfrom=pubmed&amp;amp;id=22943390&amp;amp;retmode=ref&amp;amp;cmd=prlinks&lt;/url&gt;&lt;type&gt;400&lt;/type&gt;&lt;title&gt;Analysis of kidney dysfunction in orthopaedic patients.&lt;/title&gt;&lt;submission_date&gt;99201110251200000000222000&lt;/submission_date&gt;&lt;institution&gt;Department of Trauma and Orthopaedics, General Hospital of Levadia, Levadia, Greece. kkateros@hotmail.com&lt;/institution&gt;&lt;subtype&gt;400&lt;/subtype&gt;&lt;bundle&gt;&lt;publication&gt;&lt;title&gt;BMC nephrology&lt;/title&gt;&lt;type&gt;-100&lt;/type&gt;&lt;subtype&gt;-100&lt;/subtype&gt;&lt;uuid&gt;AAF506E8-E235-4AAA-97E3-D2650AD77386&lt;/uuid&gt;&lt;/publication&gt;&lt;/bundle&gt;&lt;authors&gt;&lt;author&gt;&lt;firstName&gt;Konstantinos&lt;/firstName&gt;&lt;lastName&gt;Kateros&lt;/lastName&gt;&lt;/author&gt;&lt;author&gt;&lt;firstName&gt;Christos&lt;/firstName&gt;&lt;lastName&gt;Doulgerakis&lt;/lastName&gt;&lt;/author&gt;&lt;author&gt;&lt;firstName&gt;Spyridon&lt;/firstName&gt;&lt;middleNames&gt;P&lt;/middleNames&gt;&lt;lastName&gt;Galanakos&lt;/lastName&gt;&lt;/author&gt;&lt;author&gt;&lt;firstName&gt;Vasileios&lt;/firstName&gt;&lt;middleNames&gt;I&lt;/middleNames&gt;&lt;lastName&gt;Sakellariou&lt;/lastName&gt;&lt;/author&gt;&lt;author&gt;&lt;firstName&gt;Stamatios&lt;/firstName&gt;&lt;middleNames&gt;A&lt;/middleNames&gt;&lt;lastName&gt;Papadakis&lt;/lastName&gt;&lt;/author&gt;&lt;author&gt;&lt;firstName&gt;George&lt;/firstName&gt;&lt;middleNames&gt;A&lt;/middleNames&gt;&lt;lastName&gt;Macheras&lt;/lastName&gt;&lt;/author&gt;&lt;/authors&gt;&lt;/publication&gt;&lt;/publications&gt;&lt;cites&gt;&lt;/cites&gt;&lt;/citation&gt;</w:instrText>
      </w:r>
      <w:r w:rsidR="00B01444" w:rsidRPr="003B7DDC">
        <w:rPr>
          <w:rFonts w:ascii="Book Antiqua" w:hAnsi="Book Antiqua" w:cs="Arial"/>
          <w:lang w:val="en-GB"/>
        </w:rPr>
        <w:fldChar w:fldCharType="separate"/>
      </w:r>
      <w:r w:rsidR="00B01444" w:rsidRPr="003B7DDC">
        <w:rPr>
          <w:rFonts w:ascii="Book Antiqua" w:hAnsi="Book Antiqua" w:cs="Book Antiqua"/>
          <w:noProof w:val="0"/>
          <w:vertAlign w:val="superscript"/>
          <w:lang w:val="en-US"/>
        </w:rPr>
        <w:t>[11]</w:t>
      </w:r>
      <w:r w:rsidR="00B01444" w:rsidRPr="003B7DDC">
        <w:rPr>
          <w:rFonts w:ascii="Book Antiqua" w:hAnsi="Book Antiqua" w:cs="Arial"/>
          <w:lang w:val="en-GB"/>
        </w:rPr>
        <w:fldChar w:fldCharType="end"/>
      </w:r>
      <w:r w:rsidR="00BD7A50" w:rsidRPr="003B7DDC">
        <w:rPr>
          <w:rFonts w:ascii="Book Antiqua" w:hAnsi="Book Antiqua" w:cs="Arial"/>
          <w:lang w:val="en-GB"/>
        </w:rPr>
        <w:t>.</w:t>
      </w:r>
      <w:r w:rsidRPr="003B7DDC">
        <w:rPr>
          <w:rFonts w:ascii="Book Antiqua" w:hAnsi="Book Antiqua" w:cs="Arial"/>
          <w:lang w:val="en-GB"/>
        </w:rPr>
        <w:t xml:space="preserve"> According to a large epidemiological study analyzing the most common AKI etiologies in children, AKI related to nephrotoxin exposure accounts for up to 16% o</w:t>
      </w:r>
      <w:r w:rsidR="00F67C38" w:rsidRPr="003B7DDC">
        <w:rPr>
          <w:rFonts w:ascii="Book Antiqua" w:hAnsi="Book Antiqua" w:cs="Arial"/>
          <w:lang w:val="en-GB"/>
        </w:rPr>
        <w:t>f in-hospital paediatric AKI</w:t>
      </w:r>
      <w:r w:rsidR="00B01444" w:rsidRPr="003B7DDC">
        <w:rPr>
          <w:rFonts w:ascii="Book Antiqua" w:hAnsi="Book Antiqua" w:cs="Arial"/>
          <w:lang w:val="en-GB"/>
        </w:rPr>
        <w:fldChar w:fldCharType="begin"/>
      </w:r>
      <w:r w:rsidR="00B01444" w:rsidRPr="003B7DDC">
        <w:rPr>
          <w:rFonts w:ascii="Book Antiqua" w:hAnsi="Book Antiqua" w:cs="Arial"/>
          <w:lang w:val="en-GB"/>
        </w:rPr>
        <w:instrText xml:space="preserve"> ADDIN PAPERS2_CITATIONS &lt;citation&gt;&lt;uuid&gt;927C1C81-D444-4D6C-97BF-362EDEA5E551&lt;/uuid&gt;&lt;priority&gt;5&lt;/priority&gt;&lt;publications&gt;&lt;publication&gt;&lt;volume&gt;45&lt;/volume&gt;&lt;publication_date&gt;99200501001200000000220000&lt;/publication_date&gt;&lt;number&gt;1&lt;/number&gt;&lt;institution&gt;Baylor College of Medicine and Texas Children's Hospital, Houston, TX 77030, USA. stuartg@bcm.tmc.edu&lt;/institution&gt;&lt;startpage&gt;96&lt;/startpage&gt;&lt;title&gt;Pediatric ARF epidemiology at a tertiary care center from 1999 to 2001.&lt;/title&gt;&lt;uuid&gt;EBEAD5C1-0F95-4EEE-9367-558ECECAB3FB&lt;/uuid&gt;&lt;subtype&gt;400&lt;/subtype&gt;&lt;endpage&gt;101&lt;/endpage&gt;&lt;type&gt;400&lt;/type&gt;&lt;url&gt;http://eutils.ncbi.nlm.nih.gov/entrez/eutils/elink.fcgi?dbfrom=pubmed&amp;amp;id=15696448&amp;amp;retmode=ref&amp;amp;cmd=prlinks&lt;/url&gt;&lt;bundle&gt;&lt;publication&gt;&lt;title&gt;American journal of kidney diseases : the official journal of the National Kidney Foundation&lt;/title&gt;&lt;type&gt;-100&lt;/type&gt;&lt;subtype&gt;-100&lt;/subtype&gt;&lt;uuid&gt;C3B9A64C-0A23-4BF6-AF5C-9BBE01235181&lt;/uuid&gt;&lt;/publication&gt;&lt;/bundle&gt;&lt;authors&gt;&lt;author&gt;&lt;firstName&gt;Shirley&lt;/firstName&gt;&lt;lastName&gt;Hui-Stickle&lt;/lastName&gt;&lt;/author&gt;&lt;author&gt;&lt;firstName&gt;Eileen&lt;/firstName&gt;&lt;middleNames&gt;D&lt;/middleNames&gt;&lt;lastName&gt;Brewer&lt;/lastName&gt;&lt;/author&gt;&lt;author&gt;&lt;firstName&gt;Stuart&lt;/firstName&gt;&lt;middleNames&gt;L&lt;/middleNames&gt;&lt;lastName&gt;Goldstein&lt;/lastName&gt;&lt;/author&gt;&lt;/authors&gt;&lt;/publication&gt;&lt;/publications&gt;&lt;cites&gt;&lt;/cites&gt;&lt;/citation&gt;</w:instrText>
      </w:r>
      <w:r w:rsidR="00B01444" w:rsidRPr="003B7DDC">
        <w:rPr>
          <w:rFonts w:ascii="Book Antiqua" w:hAnsi="Book Antiqua" w:cs="Arial"/>
          <w:lang w:val="en-GB"/>
        </w:rPr>
        <w:fldChar w:fldCharType="separate"/>
      </w:r>
      <w:r w:rsidR="00B01444" w:rsidRPr="003B7DDC">
        <w:rPr>
          <w:rFonts w:ascii="Book Antiqua" w:hAnsi="Book Antiqua" w:cs="Book Antiqua"/>
          <w:noProof w:val="0"/>
          <w:vertAlign w:val="superscript"/>
          <w:lang w:val="en-US"/>
        </w:rPr>
        <w:t>[12]</w:t>
      </w:r>
      <w:r w:rsidR="00B01444" w:rsidRPr="003B7DDC">
        <w:rPr>
          <w:rFonts w:ascii="Book Antiqua" w:hAnsi="Book Antiqua" w:cs="Arial"/>
          <w:lang w:val="en-GB"/>
        </w:rPr>
        <w:fldChar w:fldCharType="end"/>
      </w:r>
      <w:r w:rsidRPr="003B7DDC">
        <w:rPr>
          <w:rFonts w:ascii="Book Antiqua" w:hAnsi="Book Antiqua" w:cs="Arial"/>
          <w:lang w:val="en-GB"/>
        </w:rPr>
        <w:t>. Outside of fluid intake and use of nephrotoxins, there may be other complex intra-operative factors related to AKI that we were not able to study based on the retrospective nature of our study. For example, a recent local observational study involving 30 children undergoing scoliosis surgery found that a significantly reduced cardiac output (18.5% reduction)was associated with the prolonged prone positioning r</w:t>
      </w:r>
      <w:r w:rsidR="00F67C38" w:rsidRPr="003B7DDC">
        <w:rPr>
          <w:rFonts w:ascii="Book Antiqua" w:hAnsi="Book Antiqua" w:cs="Arial"/>
          <w:lang w:val="en-GB"/>
        </w:rPr>
        <w:t>equired for these surgeries</w:t>
      </w:r>
      <w:r w:rsidR="00B01444" w:rsidRPr="003B7DDC">
        <w:rPr>
          <w:rFonts w:ascii="Book Antiqua" w:hAnsi="Book Antiqua" w:cs="Arial"/>
          <w:lang w:val="en-GB"/>
        </w:rPr>
        <w:fldChar w:fldCharType="begin"/>
      </w:r>
      <w:r w:rsidR="00B01444" w:rsidRPr="003B7DDC">
        <w:rPr>
          <w:rFonts w:ascii="Book Antiqua" w:hAnsi="Book Antiqua" w:cs="Arial"/>
          <w:lang w:val="en-GB"/>
        </w:rPr>
        <w:instrText xml:space="preserve"> ADDIN PAPERS2_CITATIONS &lt;citation&gt;&lt;uuid&gt;4CCAE397-4C21-4557-BC5B-2376905C072F&lt;/uuid&gt;&lt;priority&gt;6&lt;/priority&gt;&lt;publications&gt;&lt;publication&gt;&lt;uuid&gt;0777CD2C-F46F-46D0-8584-41A9A6CFFD76&lt;/uuid&gt;&lt;volume&gt;68&lt;/volume&gt;&lt;accepted_date&gt;99201304171200000000222000&lt;/accepted_date&gt;&lt;doi&gt;10.1111/anae.12310&lt;/doi&gt;&lt;startpage&gt;742&lt;/startpage&gt;&lt;publication_date&gt;99201307001200000000220000&lt;/publication_date&gt;&lt;url&gt;http://eutils.ncbi.nlm.nih.gov/entrez/eutils/elink.fcgi?dbfrom=pubmed&amp;amp;id=23710730&amp;amp;retmode=ref&amp;amp;cmd=prlinks&lt;/url&gt;&lt;type&gt;400&lt;/type&gt;&lt;title&gt;Changes in cardiac index and blood pressure on positioning children prone for scoliosis surgery.&lt;/title&gt;&lt;institution&gt;Department of Anesthesiology, Pharmacology &amp;amp; Therapeutic, The University of British Columbia, Vancouver, British Columbia, Canada.&lt;/institution&gt;&lt;number&gt;7&lt;/number&gt;&lt;subtype&gt;400&lt;/subtype&gt;&lt;endpage&gt;746&lt;/endpage&gt;&lt;bundle&gt;&lt;publication&gt;&lt;title&gt;Anaesthesia&lt;/title&gt;&lt;type&gt;-100&lt;/type&gt;&lt;subtype&gt;-100&lt;/subtype&gt;&lt;uuid&gt;27379E65-15B6-4956-B194-5421BB1E024B&lt;/uuid&gt;&lt;/publication&gt;&lt;/bundle&gt;&lt;authors&gt;&lt;author&gt;&lt;firstName&gt;Z&lt;/firstName&gt;&lt;middleNames&gt;E&lt;/middleNames&gt;&lt;lastName&gt;Brown&lt;/lastName&gt;&lt;/author&gt;&lt;author&gt;&lt;firstName&gt;M&lt;/firstName&gt;&lt;lastName&gt;Görges&lt;/lastName&gt;&lt;/author&gt;&lt;author&gt;&lt;firstName&gt;E&lt;/firstName&gt;&lt;lastName&gt;Cooke&lt;/lastName&gt;&lt;/author&gt;&lt;author&gt;&lt;firstName&gt;S&lt;/firstName&gt;&lt;lastName&gt;Malherbe&lt;/lastName&gt;&lt;/author&gt;&lt;author&gt;&lt;firstName&gt;G&lt;/firstName&gt;&lt;middleNames&gt;A&lt;/middleNames&gt;&lt;lastName&gt;Dumont&lt;/lastName&gt;&lt;/author&gt;&lt;author&gt;&lt;firstName&gt;J&lt;/firstName&gt;&lt;middleNames&gt;M&lt;/middleNames&gt;&lt;lastName&gt;Ansermino&lt;/lastName&gt;&lt;/author&gt;&lt;/authors&gt;&lt;/publication&gt;&lt;/publications&gt;&lt;cites&gt;&lt;/cites&gt;&lt;/citation&gt;</w:instrText>
      </w:r>
      <w:r w:rsidR="00B01444" w:rsidRPr="003B7DDC">
        <w:rPr>
          <w:rFonts w:ascii="Book Antiqua" w:hAnsi="Book Antiqua" w:cs="Arial"/>
          <w:lang w:val="en-GB"/>
        </w:rPr>
        <w:fldChar w:fldCharType="separate"/>
      </w:r>
      <w:r w:rsidR="00B01444" w:rsidRPr="003B7DDC">
        <w:rPr>
          <w:rFonts w:ascii="Book Antiqua" w:hAnsi="Book Antiqua" w:cs="Book Antiqua"/>
          <w:noProof w:val="0"/>
          <w:vertAlign w:val="superscript"/>
          <w:lang w:val="en-US"/>
        </w:rPr>
        <w:t>[13]</w:t>
      </w:r>
      <w:r w:rsidR="00B01444" w:rsidRPr="003B7DDC">
        <w:rPr>
          <w:rFonts w:ascii="Book Antiqua" w:hAnsi="Book Antiqua" w:cs="Arial"/>
          <w:lang w:val="en-GB"/>
        </w:rPr>
        <w:fldChar w:fldCharType="end"/>
      </w:r>
      <w:r w:rsidRPr="003B7DDC">
        <w:rPr>
          <w:rFonts w:ascii="Book Antiqua" w:hAnsi="Book Antiqua" w:cs="Arial"/>
          <w:lang w:val="en-GB"/>
        </w:rPr>
        <w:t xml:space="preserve">. Reduced cardiac output may lead to a state of poor renal perfusion during these lengthy procedures, which may put these children at a higher risk of AKI compared to other general surgical populations.  </w:t>
      </w:r>
    </w:p>
    <w:p w14:paraId="61F3E906" w14:textId="42ED6A07" w:rsidR="00C2498C" w:rsidRPr="003B7DDC" w:rsidRDefault="00C2498C" w:rsidP="00B01444">
      <w:pPr>
        <w:autoSpaceDE w:val="0"/>
        <w:autoSpaceDN w:val="0"/>
        <w:adjustRightInd w:val="0"/>
        <w:snapToGrid w:val="0"/>
        <w:spacing w:line="360" w:lineRule="auto"/>
        <w:ind w:firstLine="709"/>
        <w:jc w:val="both"/>
        <w:rPr>
          <w:rFonts w:ascii="Book Antiqua" w:hAnsi="Book Antiqua" w:cs="Arial"/>
          <w:lang w:val="en-GB"/>
        </w:rPr>
      </w:pPr>
      <w:r w:rsidRPr="003B7DDC">
        <w:rPr>
          <w:rFonts w:ascii="Book Antiqua" w:hAnsi="Book Antiqua" w:cs="Arial"/>
          <w:lang w:val="en-GB"/>
        </w:rPr>
        <w:t>Even though the rise of creatinine trended higher in AKI patients compared to controls, it is interesting to note that the majority of AKI patients in our cohort were “oliguric” without significant rises in serum creatinine that often did not meet the creatinine criteria of the AKIN definition (at least 50% rise in creatinine). This may be partly related to a reduction of serum creatinine concentration associated with hemo-dilution effects and relative fluid overload as the majority of our patients demonstrated a cumulative positive fluid balance intra-operatively and in the ICU post-operatively. In addition, approximately 1/3 of our surgical cohort had an underlying condition including spina bifida and cerebral palsy (non-idiopathic scoliosis population). The significantly lower baseline serum creatinine values observed in our non-idiopathic scoliosis patients implies that a significantly low muscle mass state may limit an appreciable rise in serum creatinine during an episode of AKI. This is also a population where the use of recently validated  AKI biomarkers  represent</w:t>
      </w:r>
      <w:r w:rsidR="00B21A94">
        <w:rPr>
          <w:rFonts w:ascii="Book Antiqua" w:hAnsi="Book Antiqua" w:cs="Arial"/>
          <w:lang w:val="en-GB"/>
        </w:rPr>
        <w:t>ing</w:t>
      </w:r>
      <w:r w:rsidRPr="003B7DDC">
        <w:rPr>
          <w:rFonts w:ascii="Book Antiqua" w:hAnsi="Book Antiqua" w:cs="Arial"/>
          <w:lang w:val="en-GB"/>
        </w:rPr>
        <w:t xml:space="preserve"> early tubular damage  </w:t>
      </w:r>
      <w:r w:rsidR="008649C8" w:rsidRPr="003B7DDC">
        <w:rPr>
          <w:rFonts w:ascii="Book Antiqua" w:hAnsi="Book Antiqua" w:cs="Arial"/>
          <w:lang w:val="en-GB" w:eastAsia="zh-CN"/>
        </w:rPr>
        <w:t>[</w:t>
      </w:r>
      <w:r w:rsidRPr="003B7DDC">
        <w:rPr>
          <w:rFonts w:ascii="Book Antiqua" w:hAnsi="Book Antiqua" w:cs="Arial"/>
          <w:i/>
          <w:lang w:val="en-GB"/>
        </w:rPr>
        <w:t>e</w:t>
      </w:r>
      <w:r w:rsidR="008649C8" w:rsidRPr="003B7DDC">
        <w:rPr>
          <w:rFonts w:ascii="Book Antiqua" w:hAnsi="Book Antiqua" w:cs="Arial"/>
          <w:i/>
          <w:lang w:val="en-GB" w:eastAsia="zh-CN"/>
        </w:rPr>
        <w:t>.</w:t>
      </w:r>
      <w:r w:rsidRPr="003B7DDC">
        <w:rPr>
          <w:rFonts w:ascii="Book Antiqua" w:hAnsi="Book Antiqua" w:cs="Arial"/>
          <w:i/>
          <w:lang w:val="en-GB"/>
        </w:rPr>
        <w:t>g</w:t>
      </w:r>
      <w:r w:rsidR="008649C8" w:rsidRPr="003B7DDC">
        <w:rPr>
          <w:rFonts w:ascii="Book Antiqua" w:hAnsi="Book Antiqua" w:cs="Arial"/>
          <w:i/>
          <w:lang w:val="en-GB" w:eastAsia="zh-CN"/>
        </w:rPr>
        <w:t>.,</w:t>
      </w:r>
      <w:r w:rsidRPr="003B7DDC">
        <w:rPr>
          <w:rFonts w:ascii="Book Antiqua" w:hAnsi="Book Antiqua" w:cs="Arial"/>
          <w:lang w:val="en-GB"/>
        </w:rPr>
        <w:t xml:space="preserve"> neutrophil gelatinase associated lipocalin (NGAL), interleukin-18 (IL-18), and kidney-injury molecule (KIM-1)</w:t>
      </w:r>
      <w:r w:rsidR="008649C8" w:rsidRPr="003B7DDC">
        <w:rPr>
          <w:rFonts w:ascii="Book Antiqua" w:hAnsi="Book Antiqua" w:cs="Arial"/>
          <w:lang w:val="en-GB" w:eastAsia="zh-CN"/>
        </w:rPr>
        <w:t>]</w:t>
      </w:r>
      <w:r w:rsidRPr="003B7DDC">
        <w:rPr>
          <w:rFonts w:ascii="Book Antiqua" w:hAnsi="Book Antiqua" w:cs="Arial"/>
          <w:lang w:val="en-GB"/>
        </w:rPr>
        <w:t xml:space="preserve"> may be warranted in </w:t>
      </w:r>
      <w:r w:rsidRPr="003B7DDC">
        <w:rPr>
          <w:rFonts w:ascii="Book Antiqua" w:hAnsi="Book Antiqua" w:cs="Arial"/>
          <w:lang w:val="en-GB"/>
        </w:rPr>
        <w:lastRenderedPageBreak/>
        <w:t>future orthopaedic AKI studies due to the potential issues of serum creatinine in this highly pre</w:t>
      </w:r>
      <w:r w:rsidR="00F67C38" w:rsidRPr="003B7DDC">
        <w:rPr>
          <w:rFonts w:ascii="Book Antiqua" w:hAnsi="Book Antiqua" w:cs="Arial"/>
          <w:lang w:val="en-GB"/>
        </w:rPr>
        <w:t>valent group of patients</w:t>
      </w:r>
      <w:r w:rsidR="00A20C7A" w:rsidRPr="003B7DDC">
        <w:rPr>
          <w:rFonts w:ascii="Book Antiqua" w:hAnsi="Book Antiqua" w:cs="Arial"/>
          <w:lang w:val="en-GB"/>
        </w:rPr>
        <w:fldChar w:fldCharType="begin"/>
      </w:r>
      <w:r w:rsidR="00A20C7A" w:rsidRPr="003B7DDC">
        <w:rPr>
          <w:rFonts w:ascii="Book Antiqua" w:hAnsi="Book Antiqua" w:cs="Arial"/>
          <w:lang w:val="en-GB"/>
        </w:rPr>
        <w:instrText xml:space="preserve"> ADDIN PAPERS2_CITATIONS &lt;citation&gt;&lt;uuid&gt;39D931CD-BF82-4EE8-AC09-B15690E4C4A7&lt;/uuid&gt;&lt;priority&gt;7&lt;/priority&gt;&lt;publications&gt;&lt;publication&gt;&lt;uuid&gt;59EA6493-66F8-41D6-8051-B3905DDF0592&lt;/uuid&gt;&lt;volume&gt;23&lt;/volume&gt;&lt;doi&gt;10.1097/MOP.0b013e328343f4dd&lt;/doi&gt;&lt;startpage&gt;194&lt;/startpage&gt;&lt;publication_date&gt;99201104001200000000220000&lt;/publication_date&gt;&lt;url&gt;http://eutils.ncbi.nlm.nih.gov/entrez/eutils/elink.fcgi?dbfrom=pubmed&amp;amp;id=21252674&amp;amp;retmode=ref&amp;amp;cmd=prlinks&lt;/url&gt;&lt;type&gt;400&lt;/type&gt;&lt;title&gt;Biomarkers for the early detection of acute kidney injury.&lt;/title&gt;&lt;institution&gt;Center for Acute Care Nephrology, Cincinnati Children's Hospital Medical Center, University of Cincinnati School of Medicine, Cincinnati, Ohio 45229-3039, USA. prasad.devarajan@cchmc.org&lt;/institution&gt;&lt;number&gt;2&lt;/number&gt;&lt;subtype&gt;400&lt;/subtype&gt;&lt;endpage&gt;200&lt;/endpage&gt;&lt;bundle&gt;&lt;publication&gt;&lt;title&gt;Current opinion in pediatrics&lt;/title&gt;&lt;type&gt;-100&lt;/type&gt;&lt;subtype&gt;-100&lt;/subtype&gt;&lt;uuid&gt;AF4CBBC3-B663-4065-9123-851F638C24E3&lt;/uuid&gt;&lt;/publication&gt;&lt;/bundle&gt;&lt;authors&gt;&lt;author&gt;&lt;firstName&gt;Prasad&lt;/firstName&gt;&lt;lastName&gt;Devarajan&lt;/lastName&gt;&lt;/author&gt;&lt;/authors&gt;&lt;/publication&gt;&lt;publication&gt;&lt;uuid&gt;A5405AEE-AC30-4FAB-9844-83D8515ADAF7&lt;/uuid&gt;&lt;volume&gt;26&lt;/volume&gt;&lt;accepted_date&gt;99201005241200000000222000&lt;/accepted_date&gt;&lt;doi&gt;10.1007/s00467-010-1576-0&lt;/doi&gt;&lt;startpage&gt;29&lt;/startpage&gt;&lt;revision_date&gt;99201005201200000000222000&lt;/revision_date&gt;&lt;publication_date&gt;99201101001200000000220000&lt;/publication_date&gt;&lt;url&gt;http://eutils.ncbi.nlm.nih.gov/entrez/eutils/elink.fcgi?dbfrom=pubmed&amp;amp;id=20623143&amp;amp;retmode=ref&amp;amp;cmd=prlinks&lt;/url&gt;&lt;type&gt;400&lt;/type&gt;&lt;title&gt;Biomarkers of acute kidney injury in children: discovery, evaluation, and clinical application.&lt;/title&gt;&lt;submission_date&gt;99201003241200000000222000&lt;/submission_date&gt;&lt;number&gt;1&lt;/number&gt;&lt;institution&gt;Department of Pediatrics, Division of Nephrology, Montreal Children's Hospital, McGill University Health Centre, 2300 Tupper, Room E-213, Montreal, Quebec, H3H 1P3, Canada.&lt;/institution&gt;&lt;subtype&gt;400&lt;/subtype&gt;&lt;endpage&gt;40&lt;/endpage&gt;&lt;bundle&gt;&lt;publication&gt;&lt;url&gt;http://GW2JH3XR2C.search.serialssolutions.com&lt;/url&gt;&lt;title&gt;Pediatric Nephrology&lt;/title&gt;&lt;type&gt;-100&lt;/type&gt;&lt;subtype&gt;-100&lt;/subtype&gt;&lt;uuid&gt;AB7C65A6-2E4E-40CB-A646-C87D35980257&lt;/uuid&gt;&lt;/publication&gt;&lt;/bundle&gt;&lt;authors&gt;&lt;author&gt;&lt;firstName&gt;Zubaida&lt;/firstName&gt;&lt;lastName&gt;Al-Ismaili&lt;/lastName&gt;&lt;/author&gt;&lt;author&gt;&lt;firstName&gt;Ana&lt;/firstName&gt;&lt;lastName&gt;Palijan&lt;/lastName&gt;&lt;/author&gt;&lt;author&gt;&lt;firstName&gt;Michael&lt;/firstName&gt;&lt;lastName&gt;Zappitelli&lt;/lastName&gt;&lt;/author&gt;&lt;/authors&gt;&lt;/publication&gt;&lt;publication&gt;&lt;uuid&gt;440EADB1-F3A8-4960-9A70-C644707E6275&lt;/uuid&gt;&lt;volume&gt;23&lt;/volume&gt;&lt;accepted_date&gt;99200702221200000000222000&lt;/accepted_date&gt;&lt;doi&gt;10.1007/s00467-007-0470-x&lt;/doi&gt;&lt;startpage&gt;2151&lt;/startpage&gt;&lt;revision_date&gt;99200702211200000000222000&lt;/revision_date&gt;&lt;publication_date&gt;99200812001200000000220000&lt;/publication_date&gt;&lt;url&gt;http://eutils.ncbi.nlm.nih.gov/entrez/eutils/elink.fcgi?dbfrom=pubmed&amp;amp;id=17394022&amp;amp;retmode=ref&amp;amp;cmd=prlinks&lt;/url&gt;&lt;type&gt;400&lt;/type&gt;&lt;title&gt;Biomarkers for the early detection of acute kidney injury.&lt;/title&gt;&lt;submission_date&gt;99200702211200000000222000&lt;/submission_date&gt;&lt;number&gt;12&lt;/number&gt;&lt;institution&gt;Cincinnati Children's Hospital Medical Center, Cincinnati, OH 45229-3039, USA.&lt;/institution&gt;&lt;subtype&gt;400&lt;/subtype&gt;&lt;endpage&gt;2157&lt;/endpage&gt;&lt;bundle&gt;&lt;publication&gt;&lt;url&gt;http://www.springerlink.com&lt;/url&gt;&lt;title&gt;Pediatric nephrology (Berlin, Germany)&lt;/title&gt;&lt;type&gt;-100&lt;/type&gt;&lt;subtype&gt;-100&lt;/subtype&gt;&lt;uuid&gt;619BB69D-2268-4EBA-92DE-FDD467649B75&lt;/uuid&gt;&lt;/publication&gt;&lt;/bundle&gt;&lt;authors&gt;&lt;author&gt;&lt;firstName&gt;Mai&lt;/firstName&gt;&lt;middleNames&gt;T&lt;/middleNames&gt;&lt;lastName&gt;Nguyen&lt;/lastName&gt;&lt;/author&gt;&lt;author&gt;&lt;firstName&gt;Prasad&lt;/firstName&gt;&lt;lastName&gt;Devarajan&lt;/lastName&gt;&lt;/author&gt;&lt;/authors&gt;&lt;/publication&gt;&lt;/publications&gt;&lt;cites&gt;&lt;/cites&gt;&lt;/citation&gt;</w:instrText>
      </w:r>
      <w:r w:rsidR="00A20C7A" w:rsidRPr="003B7DDC">
        <w:rPr>
          <w:rFonts w:ascii="Book Antiqua" w:hAnsi="Book Antiqua" w:cs="Arial"/>
          <w:lang w:val="en-GB"/>
        </w:rPr>
        <w:fldChar w:fldCharType="separate"/>
      </w:r>
      <w:r w:rsidR="00A20C7A" w:rsidRPr="003B7DDC">
        <w:rPr>
          <w:rFonts w:ascii="Book Antiqua" w:hAnsi="Book Antiqua" w:cs="Book Antiqua"/>
          <w:noProof w:val="0"/>
          <w:vertAlign w:val="superscript"/>
          <w:lang w:val="en-US"/>
        </w:rPr>
        <w:t>[14-16]</w:t>
      </w:r>
      <w:r w:rsidR="00A20C7A" w:rsidRPr="003B7DDC">
        <w:rPr>
          <w:rFonts w:ascii="Book Antiqua" w:hAnsi="Book Antiqua" w:cs="Arial"/>
          <w:lang w:val="en-GB"/>
        </w:rPr>
        <w:fldChar w:fldCharType="end"/>
      </w:r>
      <w:r w:rsidRPr="003B7DDC">
        <w:rPr>
          <w:rFonts w:ascii="Book Antiqua" w:hAnsi="Book Antiqua" w:cs="Arial"/>
          <w:lang w:val="en-GB"/>
        </w:rPr>
        <w:t>.</w:t>
      </w:r>
      <w:r w:rsidR="00F67C38" w:rsidRPr="003B7DDC">
        <w:rPr>
          <w:rFonts w:ascii="Book Antiqua" w:hAnsi="Book Antiqua" w:cs="Arial"/>
          <w:lang w:val="en-GB"/>
        </w:rPr>
        <w:t xml:space="preserve"> </w:t>
      </w:r>
      <w:r w:rsidRPr="003B7DDC">
        <w:rPr>
          <w:rFonts w:ascii="Book Antiqua" w:hAnsi="Book Antiqua" w:cs="Arial"/>
          <w:lang w:val="en-GB"/>
        </w:rPr>
        <w:t xml:space="preserve">Lastly, serum creatinine, was not monitored frequently past 24 </w:t>
      </w:r>
      <w:r w:rsidR="00012EE2" w:rsidRPr="003B7DDC">
        <w:rPr>
          <w:rFonts w:ascii="Book Antiqua" w:hAnsi="Book Antiqua" w:cs="Arial"/>
          <w:lang w:val="en-GB"/>
        </w:rPr>
        <w:t>h</w:t>
      </w:r>
      <w:r w:rsidRPr="003B7DDC">
        <w:rPr>
          <w:rFonts w:ascii="Book Antiqua" w:hAnsi="Book Antiqua" w:cs="Arial"/>
          <w:lang w:val="en-GB"/>
        </w:rPr>
        <w:t xml:space="preserve"> post-operatively in the majority of patients with the potential of higher rises in creatinine being missed in many patients</w:t>
      </w:r>
      <w:r w:rsidR="00B87354" w:rsidRPr="003B7DDC">
        <w:rPr>
          <w:rFonts w:ascii="Book Antiqua" w:hAnsi="Book Antiqua" w:cs="Arial"/>
          <w:lang w:val="en-GB"/>
        </w:rPr>
        <w:t>.</w:t>
      </w:r>
    </w:p>
    <w:p w14:paraId="653F8563" w14:textId="664A280D" w:rsidR="00C2498C" w:rsidRPr="003B7DDC" w:rsidRDefault="00C2498C" w:rsidP="00B01444">
      <w:pPr>
        <w:autoSpaceDE w:val="0"/>
        <w:autoSpaceDN w:val="0"/>
        <w:adjustRightInd w:val="0"/>
        <w:snapToGrid w:val="0"/>
        <w:spacing w:line="360" w:lineRule="auto"/>
        <w:ind w:firstLine="709"/>
        <w:jc w:val="both"/>
        <w:rPr>
          <w:rFonts w:ascii="Book Antiqua" w:hAnsi="Book Antiqua" w:cs="Arial"/>
          <w:lang w:val="en-GB"/>
        </w:rPr>
      </w:pPr>
      <w:r w:rsidRPr="003B7DDC">
        <w:rPr>
          <w:rFonts w:ascii="Book Antiqua" w:hAnsi="Book Antiqua" w:cs="Arial"/>
          <w:lang w:val="en-GB"/>
        </w:rPr>
        <w:t>Another potential reason for oliguria in this population is the syndrome of inappropriate anti-diuretic hormone (SIADH), which has been reported in adult and some paediatric spina</w:t>
      </w:r>
      <w:r w:rsidR="00F67C38" w:rsidRPr="003B7DDC">
        <w:rPr>
          <w:rFonts w:ascii="Book Antiqua" w:hAnsi="Book Antiqua" w:cs="Arial"/>
          <w:lang w:val="en-GB"/>
        </w:rPr>
        <w:t xml:space="preserve">l orthopedic literature. </w:t>
      </w:r>
      <w:r w:rsidR="00F67C38" w:rsidRPr="003B7DDC">
        <w:rPr>
          <w:rFonts w:ascii="Book Antiqua" w:hAnsi="Book Antiqua" w:cs="Arial"/>
          <w:lang w:val="en-GB"/>
        </w:rPr>
        <w:fldChar w:fldCharType="begin"/>
      </w:r>
      <w:r w:rsidR="00795637" w:rsidRPr="003B7DDC">
        <w:rPr>
          <w:rFonts w:ascii="Book Antiqua" w:hAnsi="Book Antiqua" w:cs="Arial"/>
          <w:lang w:val="en-GB"/>
        </w:rPr>
        <w:instrText xml:space="preserve"> ADDIN PAPERS2_CITATIONS &lt;citation&gt;&lt;uuid&gt;17AD5702-3314-45A5-A4FF-8D91DE63187C&lt;/uuid&gt;&lt;priority&gt;8&lt;/priority&gt;&lt;publications&gt;&lt;publication&gt;&lt;volume&gt;21&lt;/volume&gt;&lt;publication_date&gt;99199603151200000000222000&lt;/publication_date&gt;&lt;number&gt;6&lt;/number&gt;&lt;institution&gt;Division of Orthopaedic Surgery, University of Queensland, Brisbane, Australia.&lt;/institution&gt;&lt;startpage&gt;724&lt;/startpage&gt;&lt;title&gt;Inappropriate secretion of antidiuretic hormone in postoperative scoliosis patients: the role of fluid management.&lt;/title&gt;&lt;uuid&gt;1DF232A3-5173-47FC-AE8C-F3AC3A881555&lt;/uuid&gt;&lt;subtype&gt;400&lt;/subtype&gt;&lt;endpage&gt;727&lt;/endpage&gt;&lt;type&gt;400&lt;/type&gt;&lt;url&gt;http://eutils.ncbi.nlm.nih.gov/entrez/eutils/elink.fcgi?dbfrom=pubmed&amp;amp;id=8882695&amp;amp;retmode=ref&amp;amp;cmd=prlinks&lt;/url&gt;&lt;bundle&gt;&lt;publication&gt;&lt;title&gt;Spine&lt;/title&gt;&lt;type&gt;-100&lt;/type&gt;&lt;subtype&gt;-100&lt;/subtype&gt;&lt;uuid&gt;495391C4-AF10-4063-99EE-CAF1CA016F86&lt;/uuid&gt;&lt;/publication&gt;&lt;/bundle&gt;&lt;authors&gt;&lt;author&gt;&lt;firstName&gt;P&lt;/firstName&gt;&lt;middleNames&gt;W&lt;/middleNames&gt;&lt;lastName&gt;Brazel&lt;/lastName&gt;&lt;/author&gt;&lt;author&gt;&lt;firstName&gt;I&lt;/firstName&gt;&lt;middleNames&gt;B&lt;/middleNames&gt;&lt;lastName&gt;McPhee&lt;/lastName&gt;&lt;/author&gt;&lt;/authors&gt;&lt;/publication&gt;&lt;publication&gt;&lt;volume&gt;19&lt;/volume&gt;&lt;publication_date&gt;99199408011200000000222000&lt;/publication_date&gt;&lt;number&gt;15&lt;/number&gt;&lt;institution&gt;Department of Orthopaedic Surgery, UCLA School of Medicine.&lt;/institution&gt;&lt;startpage&gt;1674&lt;/startpage&gt;&lt;title&gt;Hyponatremia and syndrome of inappropriate antidiuretic hormone secretion in adult spinal surgery.&lt;/title&gt;&lt;uuid&gt;BE21CC37-CFE6-4CBD-B5DD-8688DFA2134C&lt;/uuid&gt;&lt;subtype&gt;400&lt;/subtype&gt;&lt;endpage&gt;1679&lt;/endpage&gt;&lt;type&gt;400&lt;/type&gt;&lt;url&gt;http://eutils.ncbi.nlm.nih.gov/entrez/eutils/elink.fcgi?dbfrom=pubmed&amp;amp;id=7973959&amp;amp;retmode=ref&amp;amp;cmd=prlinks&lt;/url&gt;&lt;bundle&gt;&lt;publication&gt;&lt;title&gt;Spine&lt;/title&gt;&lt;type&gt;-100&lt;/type&gt;&lt;subtype&gt;-100&lt;/subtype&gt;&lt;uuid&gt;495391C4-AF10-4063-99EE-CAF1CA016F86&lt;/uuid&gt;&lt;/publication&gt;&lt;/bundle&gt;&lt;authors&gt;&lt;author&gt;&lt;firstName&gt;C&lt;/firstName&gt;&lt;middleNames&gt;C&lt;/middleNames&gt;&lt;lastName&gt;Callewart&lt;/lastName&gt;&lt;/author&gt;&lt;author&gt;&lt;firstName&gt;J&lt;/firstName&gt;&lt;middleNames&gt;T&lt;/middleNames&gt;&lt;lastName&gt;Minchew&lt;/lastName&gt;&lt;/author&gt;&lt;author&gt;&lt;firstName&gt;L&lt;/firstName&gt;&lt;middleNames&gt;E&lt;/middleNames&gt;&lt;lastName&gt;Kanim&lt;/lastName&gt;&lt;/author&gt;&lt;author&gt;&lt;firstName&gt;Y&lt;/firstName&gt;&lt;middleNames&gt;C&lt;/middleNames&gt;&lt;lastName&gt;Tsai&lt;/lastName&gt;&lt;/author&gt;&lt;author&gt;&lt;firstName&gt;S&lt;/firstName&gt;&lt;lastName&gt;Salehmoghaddam&lt;/lastName&gt;&lt;/author&gt;&lt;author&gt;&lt;firstName&gt;E&lt;/firstName&gt;&lt;middleNames&gt;G&lt;/middleNames&gt;&lt;lastName&gt;Dawson&lt;/lastName&gt;&lt;/author&gt;&lt;author&gt;&lt;firstName&gt;R&lt;/firstName&gt;&lt;middleNames&gt;B&lt;/middleNames&gt;&lt;lastName&gt;Delamarter&lt;/lastName&gt;&lt;/author&gt;&lt;/authors&gt;&lt;/publication&gt;&lt;publication&gt;&lt;volume&gt;14&lt;/volume&gt;&lt;publication_date&gt;99198907001200000000220000&lt;/publication_date&gt;&lt;number&gt;7&lt;/number&gt;&lt;institution&gt;Department of Orthopaedic Surgery, Temple University Hospital, Philadelphia, Pennsylvania.&lt;/institution&gt;&lt;startpage&gt;722&lt;/startpage&gt;&lt;title&gt;The syndrome of inappropriate antidiuretic hormone secretion and its effect on blood indices following spinal fusion.&lt;/title&gt;&lt;uuid&gt;11393963-D2B4-46DA-9989-3B438577A55C&lt;/uuid&gt;&lt;subtype&gt;400&lt;/subtype&gt;&lt;endpage&gt;726&lt;/endpage&gt;&lt;type&gt;400&lt;/type&gt;&lt;url&gt;http://eutils.ncbi.nlm.nih.gov/entrez/eutils/elink.fcgi?dbfrom=pubmed&amp;amp;id=2772722&amp;amp;retmode=ref&amp;amp;cmd=prlinks&lt;/url&gt;&lt;bundle&gt;&lt;publication&gt;&lt;title&gt;Spine&lt;/title&gt;&lt;type&gt;-100&lt;/type&gt;&lt;subtype&gt;-100&lt;/subtype&gt;&lt;uuid&gt;495391C4-AF10-4063-99EE-CAF1CA016F86&lt;/uuid&gt;&lt;/publication&gt;&lt;/bundle&gt;&lt;authors&gt;&lt;author&gt;&lt;firstName&gt;R&lt;/firstName&gt;&lt;middleNames&gt;J&lt;/middleNames&gt;&lt;lastName&gt;Mason&lt;/lastName&gt;&lt;/author&gt;&lt;author&gt;&lt;firstName&gt;R&lt;/firstName&gt;&lt;middleNames&gt;R&lt;/middleNames&gt;&lt;lastName&gt;Betz&lt;/lastName&gt;&lt;/author&gt;&lt;author&gt;&lt;firstName&gt;J&lt;/firstName&gt;&lt;middleNames&gt;P&lt;/middleNames&gt;&lt;lastName&gt;Orlowski&lt;/lastName&gt;&lt;/author&gt;&lt;author&gt;&lt;firstName&gt;G&lt;/firstName&gt;&lt;middleNames&gt;R&lt;/middleNames&gt;&lt;lastName&gt;Bell&lt;/lastName&gt;&lt;/author&gt;&lt;/authors&gt;&lt;/publication&gt;&lt;/publications&gt;&lt;cites&gt;&lt;/cites&gt;&lt;/citation&gt;</w:instrText>
      </w:r>
      <w:r w:rsidR="00F67C38" w:rsidRPr="003B7DDC">
        <w:rPr>
          <w:rFonts w:ascii="Book Antiqua" w:hAnsi="Book Antiqua" w:cs="Arial"/>
          <w:lang w:val="en-GB"/>
        </w:rPr>
        <w:fldChar w:fldCharType="separate"/>
      </w:r>
      <w:r w:rsidR="00795637" w:rsidRPr="003B7DDC">
        <w:rPr>
          <w:rFonts w:ascii="Book Antiqua" w:hAnsi="Book Antiqua" w:cs="Book Antiqua"/>
          <w:noProof w:val="0"/>
          <w:vertAlign w:val="superscript"/>
          <w:lang w:val="en-US"/>
        </w:rPr>
        <w:t>[17-19]</w:t>
      </w:r>
      <w:r w:rsidR="00F67C38" w:rsidRPr="003B7DDC">
        <w:rPr>
          <w:rFonts w:ascii="Book Antiqua" w:hAnsi="Book Antiqua" w:cs="Arial"/>
          <w:lang w:val="en-GB"/>
        </w:rPr>
        <w:fldChar w:fldCharType="end"/>
      </w:r>
      <w:r w:rsidRPr="003B7DDC">
        <w:rPr>
          <w:rFonts w:ascii="Book Antiqua" w:hAnsi="Book Antiqua" w:cs="Arial"/>
          <w:lang w:val="en-GB"/>
        </w:rPr>
        <w:t xml:space="preserve"> The diagnosis of SIADH requires the presence of hyponatremia (serum sodium &lt;</w:t>
      </w:r>
      <w:r w:rsidR="00A20C7A" w:rsidRPr="003B7DDC">
        <w:rPr>
          <w:rFonts w:ascii="Book Antiqua" w:hAnsi="Book Antiqua" w:cs="Arial"/>
          <w:lang w:val="en-GB" w:eastAsia="zh-CN"/>
        </w:rPr>
        <w:t xml:space="preserve"> </w:t>
      </w:r>
      <w:r w:rsidRPr="003B7DDC">
        <w:rPr>
          <w:rFonts w:ascii="Book Antiqua" w:hAnsi="Book Antiqua" w:cs="Arial"/>
          <w:lang w:val="en-GB"/>
        </w:rPr>
        <w:t>135 mmol/L). In our cohort, only 10 patients (14%) overall were recorded with hyponatremia either during surgery or post-operatively, and only 5 of the AKI patients (14%) had documented hyponatremia. Mean serum sodium levels were the same in AKI and non-AKI patients both intra (138) and post-operatively (137).  Even though we were not able to completely exclude SIADH with serum ADH levels and urine osmolality values, it is unlikely that SIADH was the primary cause of oliguria based on several reasons. As shown in a paediatric study of SIADH in children following spinal fusion surgery, serum ADH levels peaked immediately post-op and decl</w:t>
      </w:r>
      <w:r w:rsidR="00F67C38" w:rsidRPr="003B7DDC">
        <w:rPr>
          <w:rFonts w:ascii="Book Antiqua" w:hAnsi="Book Antiqua" w:cs="Arial"/>
          <w:lang w:val="en-GB"/>
        </w:rPr>
        <w:t xml:space="preserve">ined by 6 </w:t>
      </w:r>
      <w:r w:rsidR="00012EE2" w:rsidRPr="003B7DDC">
        <w:rPr>
          <w:rFonts w:ascii="Book Antiqua" w:hAnsi="Book Antiqua" w:cs="Arial"/>
          <w:lang w:val="en-GB"/>
        </w:rPr>
        <w:t>h</w:t>
      </w:r>
      <w:r w:rsidR="00F67C38" w:rsidRPr="003B7DDC">
        <w:rPr>
          <w:rFonts w:ascii="Book Antiqua" w:hAnsi="Book Antiqua" w:cs="Arial"/>
          <w:lang w:val="en-GB"/>
        </w:rPr>
        <w:t xml:space="preserve"> after surgery</w:t>
      </w:r>
      <w:r w:rsidR="00A20C7A" w:rsidRPr="003B7DDC">
        <w:rPr>
          <w:rFonts w:ascii="Book Antiqua" w:hAnsi="Book Antiqua" w:cs="Arial"/>
          <w:lang w:val="en-GB"/>
        </w:rPr>
        <w:fldChar w:fldCharType="begin"/>
      </w:r>
      <w:r w:rsidR="00A20C7A" w:rsidRPr="003B7DDC">
        <w:rPr>
          <w:rFonts w:ascii="Book Antiqua" w:hAnsi="Book Antiqua" w:cs="Arial"/>
          <w:lang w:val="en-GB"/>
        </w:rPr>
        <w:instrText xml:space="preserve"> ADDIN PAPERS2_CITATIONS &lt;citation&gt;&lt;uuid&gt;3012AE4F-92A0-4272-8CD0-1B8F78C8B2A0&lt;/uuid&gt;&lt;priority&gt;9&lt;/priority&gt;&lt;publications&gt;&lt;publication&gt;&lt;volume&gt;27&lt;/volume&gt;&lt;publication_date&gt;99199903001200000000220000&lt;/publication_date&gt;&lt;number&gt;3&lt;/number&gt;&lt;institution&gt;Department of Pediatrics, Children's Hospital of Michigan, Wayne State University School of Medicine, Detroit 48201-2196, USA.&lt;/institution&gt;&lt;startpage&gt;622&lt;/startpage&gt;&lt;title&gt;Syndrome of inappropriate antidiuretic hormone secretion in children following spinal fusion.&lt;/title&gt;&lt;uuid&gt;0F64FD3A-9DBB-49AF-987C-51391AAE721E&lt;/uuid&gt;&lt;subtype&gt;400&lt;/subtype&gt;&lt;endpage&gt;627&lt;/endpage&gt;&lt;type&gt;400&lt;/type&gt;&lt;url&gt;http://eutils.ncbi.nlm.nih.gov/entrez/eutils/elink.fcgi?dbfrom=pubmed&amp;amp;id=10199545&amp;amp;retmode=ref&amp;amp;cmd=prlinks&lt;/url&gt;&lt;bundle&gt;&lt;publication&gt;&lt;title&gt;Critical Care Medicine&lt;/title&gt;&lt;type&gt;-100&lt;/type&gt;&lt;subtype&gt;-100&lt;/subtype&gt;&lt;uuid&gt;CF17BC1B-1DE4-4D5F-8CB8-0025F2A3758E&lt;/uuid&gt;&lt;/publication&gt;&lt;/bundle&gt;&lt;authors&gt;&lt;author&gt;&lt;firstName&gt;M&lt;/firstName&gt;&lt;middleNames&gt;W&lt;/middleNames&gt;&lt;lastName&gt;Lieh-Lai&lt;/lastName&gt;&lt;/author&gt;&lt;author&gt;&lt;firstName&gt;D&lt;/firstName&gt;&lt;middleNames&gt;F&lt;/middleNames&gt;&lt;lastName&gt;Stanitski&lt;/lastName&gt;&lt;/author&gt;&lt;author&gt;&lt;firstName&gt;A&lt;/firstName&gt;&lt;middleNames&gt;P&lt;/middleNames&gt;&lt;lastName&gt;Sarnaik&lt;/lastName&gt;&lt;/author&gt;&lt;author&gt;&lt;firstName&gt;H&lt;/firstName&gt;&lt;middleNames&gt;G&lt;/middleNames&gt;&lt;lastName&gt;Uy&lt;/lastName&gt;&lt;/author&gt;&lt;author&gt;&lt;firstName&gt;N&lt;/firstName&gt;&lt;middleNames&gt;F&lt;/middleNames&gt;&lt;lastName&gt;Rossi&lt;/lastName&gt;&lt;/author&gt;&lt;author&gt;&lt;firstName&gt;P&lt;/firstName&gt;&lt;middleNames&gt;M&lt;/middleNames&gt;&lt;lastName&gt;Simpson&lt;/lastName&gt;&lt;/author&gt;&lt;author&gt;&lt;firstName&gt;C&lt;/firstName&gt;&lt;middleNames&gt;L&lt;/middleNames&gt;&lt;lastName&gt;Stanitski&lt;/lastName&gt;&lt;/author&gt;&lt;/authors&gt;&lt;/publication&gt;&lt;/publications&gt;&lt;cites&gt;&lt;/cites&gt;&lt;/citation&gt;</w:instrText>
      </w:r>
      <w:r w:rsidR="00A20C7A" w:rsidRPr="003B7DDC">
        <w:rPr>
          <w:rFonts w:ascii="Book Antiqua" w:hAnsi="Book Antiqua" w:cs="Arial"/>
          <w:lang w:val="en-GB"/>
        </w:rPr>
        <w:fldChar w:fldCharType="separate"/>
      </w:r>
      <w:r w:rsidR="00A20C7A" w:rsidRPr="003B7DDC">
        <w:rPr>
          <w:rFonts w:ascii="Book Antiqua" w:hAnsi="Book Antiqua" w:cs="Book Antiqua"/>
          <w:noProof w:val="0"/>
          <w:vertAlign w:val="superscript"/>
          <w:lang w:val="en-US"/>
        </w:rPr>
        <w:t>[20]</w:t>
      </w:r>
      <w:r w:rsidR="00A20C7A" w:rsidRPr="003B7DDC">
        <w:rPr>
          <w:rFonts w:ascii="Book Antiqua" w:hAnsi="Book Antiqua" w:cs="Arial"/>
          <w:lang w:val="en-GB"/>
        </w:rPr>
        <w:fldChar w:fldCharType="end"/>
      </w:r>
      <w:r w:rsidRPr="003B7DDC">
        <w:rPr>
          <w:rFonts w:ascii="Book Antiqua" w:hAnsi="Book Antiqua" w:cs="Arial"/>
          <w:lang w:val="en-GB"/>
        </w:rPr>
        <w:t>. Our stage 1 AKI patients (n=17) me</w:t>
      </w:r>
      <w:r w:rsidR="00883B30" w:rsidRPr="003B7DDC">
        <w:rPr>
          <w:rFonts w:ascii="Book Antiqua" w:hAnsi="Book Antiqua" w:cs="Arial"/>
          <w:lang w:val="en-GB"/>
        </w:rPr>
        <w:t xml:space="preserve">t criteria for oliguria (&lt;0.5 </w:t>
      </w:r>
      <w:r w:rsidR="001F041C" w:rsidRPr="003B7DDC">
        <w:rPr>
          <w:rFonts w:ascii="Book Antiqua" w:hAnsi="Book Antiqua" w:cs="Arial"/>
          <w:lang w:val="en-GB"/>
        </w:rPr>
        <w:t xml:space="preserve">mL/kg/h </w:t>
      </w:r>
      <w:r w:rsidRPr="003B7DDC">
        <w:rPr>
          <w:rFonts w:ascii="Book Antiqua" w:hAnsi="Book Antiqua" w:cs="Arial"/>
          <w:lang w:val="en-GB"/>
        </w:rPr>
        <w:t xml:space="preserve"> for at least 6 </w:t>
      </w:r>
      <w:r w:rsidR="00012EE2" w:rsidRPr="003B7DDC">
        <w:rPr>
          <w:rFonts w:ascii="Book Antiqua" w:hAnsi="Book Antiqua" w:cs="Arial"/>
          <w:lang w:val="en-GB"/>
        </w:rPr>
        <w:t>h</w:t>
      </w:r>
      <w:r w:rsidRPr="003B7DDC">
        <w:rPr>
          <w:rFonts w:ascii="Book Antiqua" w:hAnsi="Book Antiqua" w:cs="Arial"/>
          <w:lang w:val="en-GB"/>
        </w:rPr>
        <w:t xml:space="preserve">) at a mean of 9.1 </w:t>
      </w:r>
      <w:r w:rsidR="00012EE2" w:rsidRPr="003B7DDC">
        <w:rPr>
          <w:rFonts w:ascii="Book Antiqua" w:hAnsi="Book Antiqua" w:cs="Arial"/>
          <w:lang w:val="en-GB"/>
        </w:rPr>
        <w:t>h</w:t>
      </w:r>
      <w:r w:rsidRPr="003B7DDC">
        <w:rPr>
          <w:rFonts w:ascii="Book Antiqua" w:hAnsi="Book Antiqua" w:cs="Arial"/>
          <w:lang w:val="en-GB"/>
        </w:rPr>
        <w:t xml:space="preserve"> after surgery and stage 2 AKI patients (n=17) met criteria (&lt;0.5 cc/kg/h for at least 12 </w:t>
      </w:r>
      <w:r w:rsidR="00012EE2" w:rsidRPr="003B7DDC">
        <w:rPr>
          <w:rFonts w:ascii="Book Antiqua" w:hAnsi="Book Antiqua" w:cs="Arial"/>
          <w:lang w:val="en-GB"/>
        </w:rPr>
        <w:t>h</w:t>
      </w:r>
      <w:r w:rsidRPr="003B7DDC">
        <w:rPr>
          <w:rFonts w:ascii="Book Antiqua" w:hAnsi="Book Antiqua" w:cs="Arial"/>
          <w:lang w:val="en-GB"/>
        </w:rPr>
        <w:t xml:space="preserve">) at a mean of 13.8 </w:t>
      </w:r>
      <w:r w:rsidR="00012EE2" w:rsidRPr="003B7DDC">
        <w:rPr>
          <w:rFonts w:ascii="Book Antiqua" w:hAnsi="Book Antiqua" w:cs="Arial"/>
          <w:lang w:val="en-GB"/>
        </w:rPr>
        <w:t>h</w:t>
      </w:r>
      <w:r w:rsidRPr="003B7DDC">
        <w:rPr>
          <w:rFonts w:ascii="Book Antiqua" w:hAnsi="Book Antiqua" w:cs="Arial"/>
          <w:lang w:val="en-GB"/>
        </w:rPr>
        <w:t xml:space="preserve"> post-operatively, well after the peak of serum ADH levels was observed in prior studies</w:t>
      </w:r>
      <w:r w:rsidR="00A20C7A" w:rsidRPr="003B7DDC">
        <w:rPr>
          <w:rFonts w:ascii="Book Antiqua" w:hAnsi="Book Antiqua" w:cs="Arial"/>
          <w:vertAlign w:val="superscript"/>
          <w:lang w:val="en-GB" w:eastAsia="zh-CN"/>
        </w:rPr>
        <w:t>[</w:t>
      </w:r>
      <w:r w:rsidR="00A20C7A" w:rsidRPr="003B7DDC">
        <w:rPr>
          <w:rFonts w:ascii="Book Antiqua" w:hAnsi="Book Antiqua" w:cs="Arial"/>
          <w:vertAlign w:val="superscript"/>
          <w:lang w:val="en-GB"/>
        </w:rPr>
        <w:t>20</w:t>
      </w:r>
      <w:r w:rsidR="00A20C7A" w:rsidRPr="003B7DDC">
        <w:rPr>
          <w:rFonts w:ascii="Book Antiqua" w:hAnsi="Book Antiqua" w:cs="Arial"/>
          <w:vertAlign w:val="superscript"/>
          <w:lang w:val="en-GB" w:eastAsia="zh-CN"/>
        </w:rPr>
        <w:t>]</w:t>
      </w:r>
      <w:r w:rsidRPr="003B7DDC">
        <w:rPr>
          <w:rFonts w:ascii="Book Antiqua" w:hAnsi="Book Antiqua" w:cs="Arial"/>
          <w:lang w:val="en-GB"/>
        </w:rPr>
        <w:t>.</w:t>
      </w:r>
      <w:r w:rsidR="00A20C7A" w:rsidRPr="003B7DDC">
        <w:rPr>
          <w:rFonts w:ascii="Book Antiqua" w:hAnsi="Book Antiqua" w:cs="Arial"/>
          <w:lang w:val="en-GB" w:eastAsia="zh-CN"/>
        </w:rPr>
        <w:t xml:space="preserve"> </w:t>
      </w:r>
      <w:r w:rsidRPr="003B7DDC">
        <w:rPr>
          <w:rFonts w:ascii="Book Antiqua" w:hAnsi="Book Antiqua" w:cs="Arial"/>
          <w:lang w:val="en-GB"/>
        </w:rPr>
        <w:t>In addition, the AKIN criteria for olig</w:t>
      </w:r>
      <w:r w:rsidR="00883B30" w:rsidRPr="003B7DDC">
        <w:rPr>
          <w:rFonts w:ascii="Book Antiqua" w:hAnsi="Book Antiqua" w:cs="Arial"/>
          <w:lang w:val="en-GB"/>
        </w:rPr>
        <w:t>uria is strict (Stage 1: &lt;</w:t>
      </w:r>
      <w:r w:rsidR="00353F86" w:rsidRPr="003B7DDC">
        <w:rPr>
          <w:rFonts w:ascii="Book Antiqua" w:hAnsi="Book Antiqua" w:cs="Arial"/>
          <w:lang w:val="en-GB" w:eastAsia="zh-CN"/>
        </w:rPr>
        <w:t xml:space="preserve"> </w:t>
      </w:r>
      <w:r w:rsidR="00883B30" w:rsidRPr="003B7DDC">
        <w:rPr>
          <w:rFonts w:ascii="Book Antiqua" w:hAnsi="Book Antiqua" w:cs="Arial"/>
          <w:lang w:val="en-GB"/>
        </w:rPr>
        <w:t>0.5 m</w:t>
      </w:r>
      <w:r w:rsidR="00353F86" w:rsidRPr="003B7DDC">
        <w:rPr>
          <w:rFonts w:ascii="Book Antiqua" w:hAnsi="Book Antiqua" w:cs="Arial"/>
          <w:lang w:val="en-GB"/>
        </w:rPr>
        <w:t>L</w:t>
      </w:r>
      <w:r w:rsidRPr="003B7DDC">
        <w:rPr>
          <w:rFonts w:ascii="Book Antiqua" w:hAnsi="Book Antiqua" w:cs="Arial"/>
          <w:lang w:val="en-GB"/>
        </w:rPr>
        <w:t xml:space="preserve">/kg/hr for at least 6 </w:t>
      </w:r>
      <w:r w:rsidR="00012EE2" w:rsidRPr="003B7DDC">
        <w:rPr>
          <w:rFonts w:ascii="Book Antiqua" w:hAnsi="Book Antiqua" w:cs="Arial"/>
          <w:lang w:val="en-GB"/>
        </w:rPr>
        <w:t>h</w:t>
      </w:r>
      <w:r w:rsidRPr="003B7DDC">
        <w:rPr>
          <w:rFonts w:ascii="Book Antiqua" w:hAnsi="Book Antiqua" w:cs="Arial"/>
          <w:lang w:val="en-GB"/>
        </w:rPr>
        <w:t xml:space="preserve">) and is often more severe than what is observed in patients with SIADH. </w:t>
      </w:r>
      <w:r w:rsidR="00EB4DA8">
        <w:rPr>
          <w:rFonts w:ascii="Book Antiqua" w:hAnsi="Book Antiqua" w:cs="Arial"/>
          <w:lang w:val="en-GB"/>
        </w:rPr>
        <w:t xml:space="preserve">Therefore, </w:t>
      </w:r>
      <w:r w:rsidRPr="003B7DDC">
        <w:rPr>
          <w:rFonts w:ascii="Book Antiqua" w:hAnsi="Book Antiqua" w:cs="Arial"/>
          <w:lang w:val="en-GB"/>
        </w:rPr>
        <w:t>SIADH as a primary reason for fulfilling AKIN urine output criteria is unlikely, but will need to be further explored in future prospective studies.</w:t>
      </w:r>
    </w:p>
    <w:p w14:paraId="50ED0A9E" w14:textId="77777777" w:rsidR="00C2498C" w:rsidRPr="003B7DDC" w:rsidRDefault="00C2498C" w:rsidP="00B01444">
      <w:pPr>
        <w:autoSpaceDE w:val="0"/>
        <w:autoSpaceDN w:val="0"/>
        <w:adjustRightInd w:val="0"/>
        <w:snapToGrid w:val="0"/>
        <w:spacing w:line="360" w:lineRule="auto"/>
        <w:ind w:firstLine="709"/>
        <w:jc w:val="both"/>
        <w:rPr>
          <w:rFonts w:ascii="Book Antiqua" w:hAnsi="Book Antiqua" w:cs="Arial"/>
          <w:lang w:val="en-GB"/>
        </w:rPr>
      </w:pPr>
      <w:r w:rsidRPr="003B7DDC">
        <w:rPr>
          <w:rFonts w:ascii="Book Antiqua" w:hAnsi="Book Antiqua" w:cs="Arial"/>
          <w:lang w:val="en-GB"/>
        </w:rPr>
        <w:t xml:space="preserve">   </w:t>
      </w:r>
    </w:p>
    <w:p w14:paraId="30BD3F91" w14:textId="395937BF" w:rsidR="00C2498C" w:rsidRPr="003B7DDC" w:rsidRDefault="00C2498C" w:rsidP="00B01444">
      <w:pPr>
        <w:autoSpaceDE w:val="0"/>
        <w:autoSpaceDN w:val="0"/>
        <w:adjustRightInd w:val="0"/>
        <w:snapToGrid w:val="0"/>
        <w:spacing w:line="360" w:lineRule="auto"/>
        <w:ind w:firstLine="709"/>
        <w:jc w:val="both"/>
        <w:rPr>
          <w:rFonts w:ascii="Book Antiqua" w:hAnsi="Book Antiqua" w:cs="Arial"/>
          <w:lang w:val="en-GB"/>
        </w:rPr>
      </w:pPr>
      <w:r w:rsidRPr="003B7DDC">
        <w:rPr>
          <w:rFonts w:ascii="Book Antiqua" w:hAnsi="Book Antiqua" w:cs="Arial"/>
          <w:lang w:val="en-GB"/>
        </w:rPr>
        <w:t xml:space="preserve">Unlike recent studies involving paediatric cardiac surgery patients, peri-operative AKI was not associated with morbidity (increased hospital/ICU length of stay) or mortality in children undergoing spinal instrumentation surgery. This </w:t>
      </w:r>
      <w:r w:rsidRPr="003B7DDC">
        <w:rPr>
          <w:rFonts w:ascii="Book Antiqua" w:hAnsi="Book Antiqua" w:cs="Arial"/>
          <w:lang w:val="en-GB"/>
        </w:rPr>
        <w:lastRenderedPageBreak/>
        <w:t>needs to be studied prospectively in larger orthopaedic populations before any further conclusions are made due to the potential concerns of our study being under-powered with a relatively small sample size.  Regardless, the relatively high incidence of AKI in our cohort cannot be ignored, especially in the context of several recent adult and paediatric publications revealing an increased risk of chronic kidney disease following a single episode of AKI including those of milder severity</w:t>
      </w:r>
      <w:r w:rsidR="00353F86" w:rsidRPr="003B7DDC">
        <w:rPr>
          <w:rFonts w:ascii="Book Antiqua" w:hAnsi="Book Antiqua" w:cs="Arial"/>
          <w:vertAlign w:val="superscript"/>
          <w:lang w:val="en-GB" w:eastAsia="zh-CN"/>
        </w:rPr>
        <w:t>[</w:t>
      </w:r>
      <w:r w:rsidR="00353F86" w:rsidRPr="003B7DDC">
        <w:rPr>
          <w:rFonts w:ascii="Book Antiqua" w:hAnsi="Book Antiqua" w:cs="Arial"/>
          <w:vertAlign w:val="superscript"/>
          <w:lang w:val="en-GB"/>
        </w:rPr>
        <w:t>3-8</w:t>
      </w:r>
      <w:r w:rsidR="00353F86" w:rsidRPr="003B7DDC">
        <w:rPr>
          <w:rFonts w:ascii="Book Antiqua" w:hAnsi="Book Antiqua" w:cs="Arial"/>
          <w:vertAlign w:val="superscript"/>
          <w:lang w:val="en-GB" w:eastAsia="zh-CN"/>
        </w:rPr>
        <w:t>]</w:t>
      </w:r>
      <w:r w:rsidRPr="003B7DDC">
        <w:rPr>
          <w:rFonts w:ascii="Book Antiqua" w:hAnsi="Book Antiqua" w:cs="Arial"/>
          <w:lang w:val="en-GB"/>
        </w:rPr>
        <w:t xml:space="preserve">. </w:t>
      </w:r>
    </w:p>
    <w:p w14:paraId="673C744A" w14:textId="77777777" w:rsidR="00DE50BA" w:rsidRPr="003B7DDC" w:rsidRDefault="001A4A03" w:rsidP="00B01444">
      <w:pPr>
        <w:autoSpaceDE w:val="0"/>
        <w:autoSpaceDN w:val="0"/>
        <w:adjustRightInd w:val="0"/>
        <w:snapToGrid w:val="0"/>
        <w:spacing w:line="360" w:lineRule="auto"/>
        <w:ind w:firstLine="709"/>
        <w:jc w:val="both"/>
        <w:rPr>
          <w:rFonts w:ascii="Book Antiqua" w:hAnsi="Book Antiqua" w:cs="Arial"/>
          <w:lang w:val="en-GB"/>
        </w:rPr>
      </w:pPr>
      <w:r w:rsidRPr="003B7DDC">
        <w:rPr>
          <w:rFonts w:ascii="Book Antiqua" w:hAnsi="Book Antiqua" w:cs="Arial"/>
          <w:lang w:val="en-GB" w:eastAsia="zh-CN"/>
        </w:rPr>
        <w:t xml:space="preserve">In conclusion, </w:t>
      </w:r>
      <w:r w:rsidR="00DE50BA" w:rsidRPr="003B7DDC">
        <w:rPr>
          <w:rFonts w:ascii="Book Antiqua" w:hAnsi="Book Antiqua" w:cs="Arial"/>
          <w:lang w:val="en-GB" w:eastAsia="zh-CN"/>
        </w:rPr>
        <w:t>we</w:t>
      </w:r>
      <w:r w:rsidR="00DE50BA" w:rsidRPr="003B7DDC">
        <w:rPr>
          <w:rFonts w:ascii="Book Antiqua" w:hAnsi="Book Antiqua" w:cs="Arial"/>
          <w:lang w:val="en-GB"/>
        </w:rPr>
        <w:t xml:space="preserve"> observed a high incidence of AKI following spinal instrumentation surgery in children that is potentially related to the frequent use of nephrotoxins and the amount of fluid administered peri-operatively.</w:t>
      </w:r>
    </w:p>
    <w:p w14:paraId="15463A30" w14:textId="77777777" w:rsidR="008007A2" w:rsidRPr="003B7DDC" w:rsidRDefault="008007A2" w:rsidP="00CB581F">
      <w:pPr>
        <w:autoSpaceDE w:val="0"/>
        <w:autoSpaceDN w:val="0"/>
        <w:adjustRightInd w:val="0"/>
        <w:snapToGrid w:val="0"/>
        <w:spacing w:line="360" w:lineRule="auto"/>
        <w:jc w:val="both"/>
        <w:rPr>
          <w:rFonts w:ascii="Book Antiqua" w:hAnsi="Book Antiqua" w:cs="Arial"/>
          <w:lang w:val="en-GB" w:eastAsia="zh-CN"/>
        </w:rPr>
      </w:pPr>
    </w:p>
    <w:p w14:paraId="42330E37" w14:textId="77777777" w:rsidR="00471C15" w:rsidRPr="003B7DDC" w:rsidRDefault="00471C15" w:rsidP="00CB581F">
      <w:pPr>
        <w:autoSpaceDE w:val="0"/>
        <w:autoSpaceDN w:val="0"/>
        <w:adjustRightInd w:val="0"/>
        <w:snapToGrid w:val="0"/>
        <w:spacing w:line="360" w:lineRule="auto"/>
        <w:jc w:val="both"/>
        <w:rPr>
          <w:rFonts w:ascii="Book Antiqua" w:hAnsi="Book Antiqua" w:cs="Arial"/>
          <w:b/>
          <w:bCs/>
          <w:lang w:val="en-GB" w:eastAsia="zh-CN"/>
        </w:rPr>
      </w:pPr>
      <w:r w:rsidRPr="003B7DDC">
        <w:rPr>
          <w:rFonts w:ascii="Book Antiqua" w:hAnsi="Book Antiqua" w:cs="Arial"/>
          <w:b/>
          <w:bCs/>
          <w:lang w:val="en-GB"/>
        </w:rPr>
        <w:t>COMMENT</w:t>
      </w:r>
      <w:r w:rsidR="00353F86" w:rsidRPr="003B7DDC">
        <w:rPr>
          <w:rFonts w:ascii="Book Antiqua" w:hAnsi="Book Antiqua" w:cs="Arial"/>
          <w:b/>
          <w:bCs/>
          <w:lang w:val="en-GB" w:eastAsia="zh-CN"/>
        </w:rPr>
        <w:t>S</w:t>
      </w:r>
    </w:p>
    <w:p w14:paraId="3BB53876" w14:textId="77777777" w:rsidR="00B50C95" w:rsidRPr="003B7DDC" w:rsidRDefault="00B50C95" w:rsidP="00CB581F">
      <w:pPr>
        <w:autoSpaceDE w:val="0"/>
        <w:autoSpaceDN w:val="0"/>
        <w:adjustRightInd w:val="0"/>
        <w:snapToGrid w:val="0"/>
        <w:spacing w:line="360" w:lineRule="auto"/>
        <w:jc w:val="both"/>
        <w:rPr>
          <w:rFonts w:ascii="Book Antiqua" w:hAnsi="Book Antiqua" w:cs="Arial"/>
          <w:b/>
          <w:bCs/>
          <w:i/>
          <w:lang w:val="en-GB" w:eastAsia="zh-CN"/>
        </w:rPr>
      </w:pPr>
      <w:r w:rsidRPr="003B7DDC">
        <w:rPr>
          <w:rFonts w:ascii="Book Antiqua" w:hAnsi="Book Antiqua" w:cs="Arial"/>
          <w:b/>
          <w:bCs/>
          <w:i/>
          <w:lang w:val="en-GB" w:eastAsia="zh-CN"/>
        </w:rPr>
        <w:t>Background</w:t>
      </w:r>
    </w:p>
    <w:p w14:paraId="3243D099" w14:textId="77777777" w:rsidR="00B50C95" w:rsidRPr="003B7DDC" w:rsidRDefault="00DE50BA" w:rsidP="00CB581F">
      <w:pPr>
        <w:autoSpaceDE w:val="0"/>
        <w:autoSpaceDN w:val="0"/>
        <w:adjustRightInd w:val="0"/>
        <w:snapToGrid w:val="0"/>
        <w:spacing w:line="360" w:lineRule="auto"/>
        <w:jc w:val="both"/>
        <w:rPr>
          <w:rFonts w:ascii="Book Antiqua" w:hAnsi="Book Antiqua" w:cs="Arial"/>
          <w:lang w:val="en-GB" w:eastAsia="zh-CN"/>
        </w:rPr>
      </w:pPr>
      <w:r w:rsidRPr="003B7DDC">
        <w:rPr>
          <w:rFonts w:ascii="Book Antiqua" w:hAnsi="Book Antiqua" w:cs="Arial"/>
          <w:lang w:val="en-GB"/>
        </w:rPr>
        <w:t xml:space="preserve">Outside of cardiac surgery patients, the epidemiology </w:t>
      </w:r>
      <w:r w:rsidR="00353F86" w:rsidRPr="003B7DDC">
        <w:rPr>
          <w:rFonts w:ascii="Book Antiqua" w:hAnsi="Book Antiqua" w:cs="Arial"/>
          <w:lang w:val="en-GB"/>
        </w:rPr>
        <w:t xml:space="preserve">of </w:t>
      </w:r>
      <w:r w:rsidR="00353F86" w:rsidRPr="003B7DDC">
        <w:rPr>
          <w:rFonts w:ascii="Book Antiqua" w:hAnsi="Book Antiqua" w:cs="Arial"/>
          <w:bCs/>
          <w:lang w:val="en-GB"/>
        </w:rPr>
        <w:t>acute kidney injury</w:t>
      </w:r>
      <w:r w:rsidR="00353F86" w:rsidRPr="003B7DDC">
        <w:rPr>
          <w:rFonts w:ascii="Book Antiqua" w:hAnsi="Book Antiqua" w:cs="Arial"/>
          <w:bCs/>
          <w:lang w:val="en-GB" w:eastAsia="zh-CN"/>
        </w:rPr>
        <w:t xml:space="preserve"> (AKI)</w:t>
      </w:r>
      <w:r w:rsidR="00353F86" w:rsidRPr="003B7DDC">
        <w:rPr>
          <w:rFonts w:ascii="Book Antiqua" w:hAnsi="Book Antiqua" w:cs="Arial"/>
          <w:lang w:val="en-GB"/>
        </w:rPr>
        <w:t xml:space="preserve"> has not been well studied in other paediatric</w:t>
      </w:r>
      <w:r w:rsidRPr="003B7DDC">
        <w:rPr>
          <w:rFonts w:ascii="Book Antiqua" w:hAnsi="Book Antiqua" w:cs="Arial"/>
          <w:lang w:val="en-GB"/>
        </w:rPr>
        <w:t xml:space="preserve"> surgical populations including those undergoing major orthopaedic surgeries. </w:t>
      </w:r>
    </w:p>
    <w:p w14:paraId="6EA64D3A" w14:textId="77777777" w:rsidR="00353F86" w:rsidRPr="003B7DDC" w:rsidRDefault="00353F86" w:rsidP="00CB581F">
      <w:pPr>
        <w:autoSpaceDE w:val="0"/>
        <w:autoSpaceDN w:val="0"/>
        <w:adjustRightInd w:val="0"/>
        <w:snapToGrid w:val="0"/>
        <w:spacing w:line="360" w:lineRule="auto"/>
        <w:jc w:val="both"/>
        <w:rPr>
          <w:rFonts w:ascii="Book Antiqua" w:hAnsi="Book Antiqua" w:cs="Arial"/>
          <w:bCs/>
          <w:lang w:val="en-GB" w:eastAsia="zh-CN"/>
        </w:rPr>
      </w:pPr>
    </w:p>
    <w:p w14:paraId="7CEDAD7E" w14:textId="77777777" w:rsidR="00353F86" w:rsidRPr="003B7DDC" w:rsidRDefault="00353F86" w:rsidP="00CB581F">
      <w:pPr>
        <w:autoSpaceDE w:val="0"/>
        <w:autoSpaceDN w:val="0"/>
        <w:adjustRightInd w:val="0"/>
        <w:snapToGrid w:val="0"/>
        <w:spacing w:line="360" w:lineRule="auto"/>
        <w:jc w:val="both"/>
        <w:rPr>
          <w:rFonts w:ascii="Book Antiqua" w:hAnsi="Book Antiqua" w:cs="Arial"/>
          <w:bCs/>
          <w:i/>
          <w:lang w:val="en-GB" w:eastAsia="zh-CN"/>
        </w:rPr>
      </w:pPr>
      <w:r w:rsidRPr="003B7DDC">
        <w:rPr>
          <w:rFonts w:ascii="Book Antiqua" w:hAnsi="Book Antiqua" w:cs="Arial"/>
          <w:b/>
          <w:bCs/>
          <w:i/>
          <w:lang w:val="en-GB" w:eastAsia="zh-CN"/>
        </w:rPr>
        <w:t>Research frontiers</w:t>
      </w:r>
      <w:r w:rsidRPr="003B7DDC">
        <w:rPr>
          <w:rFonts w:ascii="Book Antiqua" w:hAnsi="Book Antiqua" w:cs="Arial"/>
          <w:bCs/>
          <w:i/>
          <w:lang w:val="en-GB" w:eastAsia="zh-CN"/>
        </w:rPr>
        <w:t xml:space="preserve"> </w:t>
      </w:r>
    </w:p>
    <w:p w14:paraId="4525ABB1" w14:textId="77777777" w:rsidR="00B50C95" w:rsidRPr="003B7DDC" w:rsidRDefault="00DE50BA" w:rsidP="00CB581F">
      <w:pPr>
        <w:autoSpaceDE w:val="0"/>
        <w:autoSpaceDN w:val="0"/>
        <w:adjustRightInd w:val="0"/>
        <w:snapToGrid w:val="0"/>
        <w:spacing w:line="360" w:lineRule="auto"/>
        <w:jc w:val="both"/>
        <w:rPr>
          <w:rFonts w:ascii="Book Antiqua" w:hAnsi="Book Antiqua" w:cs="Arial"/>
          <w:lang w:val="en-GB" w:eastAsia="zh-CN"/>
        </w:rPr>
      </w:pPr>
      <w:r w:rsidRPr="003B7DDC">
        <w:rPr>
          <w:rFonts w:ascii="Book Antiqua" w:hAnsi="Book Antiqua" w:cs="Arial"/>
          <w:lang w:val="en-GB"/>
        </w:rPr>
        <w:t>Several studies have revealed an increased morbidity and mortality associated with pediatric AKI and an increased risk of chronic kidney disease in survivors of AKI</w:t>
      </w:r>
      <w:r w:rsidR="00353F86" w:rsidRPr="003B7DDC">
        <w:rPr>
          <w:rFonts w:ascii="Book Antiqua" w:hAnsi="Book Antiqua" w:cs="Arial"/>
          <w:lang w:val="en-GB" w:eastAsia="zh-CN"/>
        </w:rPr>
        <w:t>.</w:t>
      </w:r>
    </w:p>
    <w:p w14:paraId="513874F3" w14:textId="77777777" w:rsidR="00353F86" w:rsidRPr="003B7DDC" w:rsidRDefault="00353F86" w:rsidP="00CB581F">
      <w:pPr>
        <w:autoSpaceDE w:val="0"/>
        <w:autoSpaceDN w:val="0"/>
        <w:adjustRightInd w:val="0"/>
        <w:snapToGrid w:val="0"/>
        <w:spacing w:line="360" w:lineRule="auto"/>
        <w:jc w:val="both"/>
        <w:rPr>
          <w:rFonts w:ascii="Book Antiqua" w:hAnsi="Book Antiqua" w:cs="Arial"/>
          <w:bCs/>
          <w:lang w:val="en-GB" w:eastAsia="zh-CN"/>
        </w:rPr>
      </w:pPr>
    </w:p>
    <w:p w14:paraId="7DEB6B56" w14:textId="77777777" w:rsidR="00B50C95" w:rsidRPr="003B7DDC" w:rsidRDefault="00B50C95" w:rsidP="00CB581F">
      <w:pPr>
        <w:autoSpaceDE w:val="0"/>
        <w:autoSpaceDN w:val="0"/>
        <w:adjustRightInd w:val="0"/>
        <w:snapToGrid w:val="0"/>
        <w:spacing w:line="360" w:lineRule="auto"/>
        <w:jc w:val="both"/>
        <w:rPr>
          <w:rFonts w:ascii="Book Antiqua" w:hAnsi="Book Antiqua" w:cs="Arial"/>
          <w:b/>
          <w:bCs/>
          <w:i/>
          <w:lang w:val="en-GB" w:eastAsia="zh-CN"/>
        </w:rPr>
      </w:pPr>
      <w:r w:rsidRPr="003B7DDC">
        <w:rPr>
          <w:rFonts w:ascii="Book Antiqua" w:hAnsi="Book Antiqua" w:cs="Arial"/>
          <w:b/>
          <w:bCs/>
          <w:i/>
          <w:lang w:val="en-GB" w:eastAsia="zh-CN"/>
        </w:rPr>
        <w:t>Innovations and breakthroughs</w:t>
      </w:r>
    </w:p>
    <w:p w14:paraId="4B81B302" w14:textId="24FC289A" w:rsidR="00B50C95" w:rsidRPr="003B7DDC" w:rsidRDefault="002A2778" w:rsidP="00CB581F">
      <w:pPr>
        <w:autoSpaceDE w:val="0"/>
        <w:autoSpaceDN w:val="0"/>
        <w:adjustRightInd w:val="0"/>
        <w:snapToGrid w:val="0"/>
        <w:spacing w:line="360" w:lineRule="auto"/>
        <w:jc w:val="both"/>
        <w:rPr>
          <w:rFonts w:ascii="Book Antiqua" w:hAnsi="Book Antiqua" w:cs="Arial"/>
          <w:lang w:val="en-GB" w:eastAsia="zh-CN"/>
        </w:rPr>
      </w:pPr>
      <w:r>
        <w:rPr>
          <w:rFonts w:ascii="Book Antiqua" w:hAnsi="Book Antiqua" w:cs="Arial" w:hint="eastAsia"/>
          <w:lang w:val="en-GB" w:eastAsia="zh-CN"/>
        </w:rPr>
        <w:t>The authors</w:t>
      </w:r>
      <w:r w:rsidR="000520B0" w:rsidRPr="003B7DDC">
        <w:rPr>
          <w:rFonts w:ascii="Book Antiqua" w:hAnsi="Book Antiqua" w:cs="Arial"/>
          <w:lang w:val="en-GB"/>
        </w:rPr>
        <w:t xml:space="preserve"> report a high incidence of AKI following spinal instrumentation surgery in children that is potentially related to the frequent use of nephrotoxins and the amount of fluid administered peri-operatively.</w:t>
      </w:r>
    </w:p>
    <w:p w14:paraId="49BD3BCD" w14:textId="77777777" w:rsidR="00353F86" w:rsidRPr="003B7DDC" w:rsidRDefault="00353F86" w:rsidP="00CB581F">
      <w:pPr>
        <w:autoSpaceDE w:val="0"/>
        <w:autoSpaceDN w:val="0"/>
        <w:adjustRightInd w:val="0"/>
        <w:snapToGrid w:val="0"/>
        <w:spacing w:line="360" w:lineRule="auto"/>
        <w:jc w:val="both"/>
        <w:rPr>
          <w:rFonts w:ascii="Book Antiqua" w:hAnsi="Book Antiqua" w:cs="Arial"/>
          <w:bCs/>
          <w:lang w:val="en-GB" w:eastAsia="zh-CN"/>
        </w:rPr>
      </w:pPr>
    </w:p>
    <w:p w14:paraId="7BAC0CC6" w14:textId="77777777" w:rsidR="00B50C95" w:rsidRPr="003B7DDC" w:rsidRDefault="00B50C95" w:rsidP="00CB581F">
      <w:pPr>
        <w:autoSpaceDE w:val="0"/>
        <w:autoSpaceDN w:val="0"/>
        <w:adjustRightInd w:val="0"/>
        <w:snapToGrid w:val="0"/>
        <w:spacing w:line="360" w:lineRule="auto"/>
        <w:jc w:val="both"/>
        <w:rPr>
          <w:rFonts w:ascii="Book Antiqua" w:hAnsi="Book Antiqua" w:cs="Arial"/>
          <w:b/>
          <w:bCs/>
          <w:i/>
          <w:lang w:val="en-GB" w:eastAsia="zh-CN"/>
        </w:rPr>
      </w:pPr>
      <w:r w:rsidRPr="003B7DDC">
        <w:rPr>
          <w:rFonts w:ascii="Book Antiqua" w:hAnsi="Book Antiqua" w:cs="Arial"/>
          <w:b/>
          <w:bCs/>
          <w:i/>
          <w:lang w:val="en-GB" w:eastAsia="zh-CN"/>
        </w:rPr>
        <w:t>Applications</w:t>
      </w:r>
    </w:p>
    <w:p w14:paraId="1272F7F3" w14:textId="77777777" w:rsidR="00B50C95" w:rsidRPr="003B7DDC" w:rsidRDefault="001A4A03" w:rsidP="00CB581F">
      <w:pPr>
        <w:autoSpaceDE w:val="0"/>
        <w:autoSpaceDN w:val="0"/>
        <w:adjustRightInd w:val="0"/>
        <w:snapToGrid w:val="0"/>
        <w:spacing w:line="360" w:lineRule="auto"/>
        <w:jc w:val="both"/>
        <w:rPr>
          <w:rFonts w:ascii="Book Antiqua" w:hAnsi="Book Antiqua" w:cs="Arial"/>
          <w:lang w:val="en-GB" w:eastAsia="zh-CN"/>
        </w:rPr>
      </w:pPr>
      <w:r w:rsidRPr="003B7DDC">
        <w:rPr>
          <w:rFonts w:ascii="Book Antiqua" w:hAnsi="Book Antiqua" w:cs="Arial"/>
          <w:bCs/>
          <w:lang w:val="en-GB" w:eastAsia="zh-CN"/>
        </w:rPr>
        <w:lastRenderedPageBreak/>
        <w:t xml:space="preserve">This study suggests </w:t>
      </w:r>
      <w:r w:rsidR="00D4762C" w:rsidRPr="003B7DDC">
        <w:rPr>
          <w:rFonts w:ascii="Book Antiqua" w:hAnsi="Book Antiqua" w:cs="Arial"/>
          <w:lang w:val="en-GB"/>
        </w:rPr>
        <w:t>that there are modifiable AKI risk factors with the potential of reducing AKI incidence in this understudied population.</w:t>
      </w:r>
    </w:p>
    <w:p w14:paraId="5F9EEE08" w14:textId="77777777" w:rsidR="00353F86" w:rsidRPr="003B7DDC" w:rsidRDefault="00353F86" w:rsidP="00CB581F">
      <w:pPr>
        <w:autoSpaceDE w:val="0"/>
        <w:autoSpaceDN w:val="0"/>
        <w:adjustRightInd w:val="0"/>
        <w:snapToGrid w:val="0"/>
        <w:spacing w:line="360" w:lineRule="auto"/>
        <w:jc w:val="both"/>
        <w:rPr>
          <w:rFonts w:ascii="Book Antiqua" w:hAnsi="Book Antiqua" w:cs="Arial"/>
          <w:bCs/>
          <w:lang w:val="en-GB" w:eastAsia="zh-CN"/>
        </w:rPr>
      </w:pPr>
    </w:p>
    <w:p w14:paraId="6F1E910E" w14:textId="77777777" w:rsidR="00B50C95" w:rsidRPr="003B7DDC" w:rsidRDefault="00B50C95" w:rsidP="00CB581F">
      <w:pPr>
        <w:autoSpaceDE w:val="0"/>
        <w:autoSpaceDN w:val="0"/>
        <w:adjustRightInd w:val="0"/>
        <w:snapToGrid w:val="0"/>
        <w:spacing w:line="360" w:lineRule="auto"/>
        <w:jc w:val="both"/>
        <w:rPr>
          <w:rFonts w:ascii="Book Antiqua" w:hAnsi="Book Antiqua" w:cs="Arial"/>
          <w:b/>
          <w:bCs/>
          <w:i/>
          <w:lang w:val="en-GB" w:eastAsia="zh-CN"/>
        </w:rPr>
      </w:pPr>
      <w:r w:rsidRPr="003B7DDC">
        <w:rPr>
          <w:rFonts w:ascii="Book Antiqua" w:hAnsi="Book Antiqua" w:cs="Arial"/>
          <w:b/>
          <w:bCs/>
          <w:i/>
          <w:lang w:val="en-GB" w:eastAsia="zh-CN"/>
        </w:rPr>
        <w:t>Terminology</w:t>
      </w:r>
    </w:p>
    <w:p w14:paraId="02AFB25D" w14:textId="77777777" w:rsidR="00B50C95" w:rsidRPr="003B7DDC" w:rsidRDefault="00D4762C" w:rsidP="00CB581F">
      <w:pPr>
        <w:autoSpaceDE w:val="0"/>
        <w:autoSpaceDN w:val="0"/>
        <w:adjustRightInd w:val="0"/>
        <w:snapToGrid w:val="0"/>
        <w:spacing w:line="360" w:lineRule="auto"/>
        <w:jc w:val="both"/>
        <w:rPr>
          <w:rFonts w:ascii="Book Antiqua" w:hAnsi="Book Antiqua" w:cs="Arial"/>
          <w:bCs/>
          <w:lang w:val="en-GB" w:eastAsia="zh-CN"/>
        </w:rPr>
      </w:pPr>
      <w:r w:rsidRPr="003B7DDC">
        <w:rPr>
          <w:rFonts w:ascii="Book Antiqua" w:hAnsi="Book Antiqua" w:cs="Arial"/>
          <w:bCs/>
          <w:lang w:val="en-GB" w:eastAsia="zh-CN"/>
        </w:rPr>
        <w:t>AKI</w:t>
      </w:r>
      <w:r w:rsidR="00AC5AE1" w:rsidRPr="003B7DDC">
        <w:rPr>
          <w:rFonts w:ascii="Book Antiqua" w:hAnsi="Book Antiqua" w:cs="Arial"/>
          <w:bCs/>
          <w:lang w:val="en-GB" w:eastAsia="zh-CN"/>
        </w:rPr>
        <w:t xml:space="preserve">N-criteria: </w:t>
      </w:r>
      <w:r w:rsidR="00353F86" w:rsidRPr="003B7DDC">
        <w:rPr>
          <w:rFonts w:ascii="Book Antiqua" w:hAnsi="Book Antiqua" w:cs="Arial"/>
          <w:bCs/>
          <w:lang w:val="en-GB" w:eastAsia="zh-CN"/>
        </w:rPr>
        <w:t>A</w:t>
      </w:r>
      <w:r w:rsidR="00AC5AE1" w:rsidRPr="003B7DDC">
        <w:rPr>
          <w:rFonts w:ascii="Book Antiqua" w:hAnsi="Book Antiqua" w:cs="Arial"/>
          <w:bCs/>
          <w:lang w:val="en-GB" w:eastAsia="zh-CN"/>
        </w:rPr>
        <w:t xml:space="preserve"> set of criteria </w:t>
      </w:r>
      <w:r w:rsidR="0064633C" w:rsidRPr="003B7DDC">
        <w:rPr>
          <w:rFonts w:ascii="Book Antiqua" w:hAnsi="Book Antiqua" w:cs="Arial"/>
          <w:bCs/>
          <w:lang w:val="en-GB" w:eastAsia="zh-CN"/>
        </w:rPr>
        <w:t>based on urine output or rise in serum creatinine to define AKI, according to</w:t>
      </w:r>
      <w:r w:rsidR="00335F97" w:rsidRPr="003B7DDC">
        <w:rPr>
          <w:rFonts w:ascii="Book Antiqua" w:hAnsi="Book Antiqua" w:cs="Arial"/>
          <w:bCs/>
          <w:lang w:val="en-GB" w:eastAsia="zh-CN"/>
        </w:rPr>
        <w:t xml:space="preserve"> the acute kidney injury </w:t>
      </w:r>
      <w:r w:rsidR="00AC5AE1" w:rsidRPr="003B7DDC">
        <w:rPr>
          <w:rFonts w:ascii="Book Antiqua" w:hAnsi="Book Antiqua" w:cs="Arial"/>
          <w:bCs/>
          <w:lang w:val="en-GB" w:eastAsia="zh-CN"/>
        </w:rPr>
        <w:t>network</w:t>
      </w:r>
      <w:r w:rsidR="0064633C" w:rsidRPr="003B7DDC">
        <w:rPr>
          <w:rFonts w:ascii="Book Antiqua" w:hAnsi="Book Antiqua" w:cs="Arial"/>
          <w:bCs/>
          <w:lang w:val="en-GB" w:eastAsia="zh-CN"/>
        </w:rPr>
        <w:t xml:space="preserve"> (AKIN)</w:t>
      </w:r>
      <w:r w:rsidR="00AC5AE1" w:rsidRPr="003B7DDC">
        <w:rPr>
          <w:rFonts w:ascii="Book Antiqua" w:hAnsi="Book Antiqua" w:cs="Arial"/>
          <w:bCs/>
          <w:lang w:val="en-GB" w:eastAsia="zh-CN"/>
        </w:rPr>
        <w:t>.</w:t>
      </w:r>
    </w:p>
    <w:p w14:paraId="295A3908" w14:textId="77777777" w:rsidR="00353F86" w:rsidRPr="003B7DDC" w:rsidRDefault="00353F86" w:rsidP="00CB581F">
      <w:pPr>
        <w:autoSpaceDE w:val="0"/>
        <w:autoSpaceDN w:val="0"/>
        <w:adjustRightInd w:val="0"/>
        <w:snapToGrid w:val="0"/>
        <w:spacing w:line="360" w:lineRule="auto"/>
        <w:jc w:val="both"/>
        <w:rPr>
          <w:rFonts w:ascii="Book Antiqua" w:hAnsi="Book Antiqua" w:cs="Arial"/>
          <w:bCs/>
          <w:lang w:val="en-GB" w:eastAsia="zh-CN"/>
        </w:rPr>
      </w:pPr>
    </w:p>
    <w:p w14:paraId="054AB7F0" w14:textId="77777777" w:rsidR="00353F86" w:rsidRPr="003B7DDC" w:rsidRDefault="00353F86" w:rsidP="00CB581F">
      <w:pPr>
        <w:autoSpaceDE w:val="0"/>
        <w:autoSpaceDN w:val="0"/>
        <w:adjustRightInd w:val="0"/>
        <w:snapToGrid w:val="0"/>
        <w:spacing w:line="360" w:lineRule="auto"/>
        <w:jc w:val="both"/>
        <w:rPr>
          <w:rFonts w:ascii="Book Antiqua" w:hAnsi="Book Antiqua" w:cs="Arial"/>
          <w:lang w:val="en-GB" w:eastAsia="zh-CN"/>
        </w:rPr>
      </w:pPr>
      <w:r w:rsidRPr="003B7DDC">
        <w:rPr>
          <w:rFonts w:ascii="Book Antiqua" w:hAnsi="Book Antiqua"/>
          <w:b/>
          <w:bCs/>
          <w:i/>
          <w:lang w:val="en-GB"/>
        </w:rPr>
        <w:t>Peer-review</w:t>
      </w:r>
      <w:r w:rsidRPr="003B7DDC">
        <w:rPr>
          <w:rFonts w:ascii="Book Antiqua" w:hAnsi="Book Antiqua" w:cs="Arial"/>
          <w:lang w:val="en-GB"/>
        </w:rPr>
        <w:t xml:space="preserve"> </w:t>
      </w:r>
    </w:p>
    <w:p w14:paraId="1E7F1601" w14:textId="77777777" w:rsidR="003901F7" w:rsidRPr="003B7DDC" w:rsidRDefault="003901F7" w:rsidP="00CB581F">
      <w:pPr>
        <w:autoSpaceDE w:val="0"/>
        <w:autoSpaceDN w:val="0"/>
        <w:adjustRightInd w:val="0"/>
        <w:snapToGrid w:val="0"/>
        <w:spacing w:line="360" w:lineRule="auto"/>
        <w:jc w:val="both"/>
        <w:rPr>
          <w:rFonts w:ascii="Book Antiqua" w:hAnsi="Book Antiqua" w:cs="Arial"/>
          <w:bCs/>
          <w:lang w:val="en-GB" w:eastAsia="zh-CN"/>
        </w:rPr>
      </w:pPr>
      <w:r w:rsidRPr="003B7DDC">
        <w:rPr>
          <w:rFonts w:ascii="Book Antiqua" w:hAnsi="Book Antiqua" w:cs="Arial"/>
          <w:bCs/>
          <w:lang w:val="en-GB" w:eastAsia="zh-CN"/>
        </w:rPr>
        <w:t xml:space="preserve">This is an interesting study which is well done  and with new findings. It will be interesting to get more data about renal function after 3-5 years to have an idea about the impact of AKI on the long term renal prognosis. </w:t>
      </w:r>
    </w:p>
    <w:p w14:paraId="0C7BF776" w14:textId="77777777" w:rsidR="003901F7" w:rsidRPr="003B7DDC" w:rsidRDefault="003901F7" w:rsidP="00CB581F">
      <w:pPr>
        <w:autoSpaceDE w:val="0"/>
        <w:autoSpaceDN w:val="0"/>
        <w:adjustRightInd w:val="0"/>
        <w:snapToGrid w:val="0"/>
        <w:spacing w:line="360" w:lineRule="auto"/>
        <w:jc w:val="both"/>
        <w:rPr>
          <w:rFonts w:ascii="Book Antiqua" w:hAnsi="Book Antiqua" w:cs="Arial"/>
          <w:bCs/>
          <w:lang w:val="en-GB" w:eastAsia="zh-CN"/>
        </w:rPr>
      </w:pPr>
    </w:p>
    <w:p w14:paraId="0AD12E35" w14:textId="77777777" w:rsidR="00447BD4" w:rsidRPr="003B7DDC" w:rsidRDefault="003901F7" w:rsidP="00447BD4">
      <w:pPr>
        <w:autoSpaceDE w:val="0"/>
        <w:autoSpaceDN w:val="0"/>
        <w:adjustRightInd w:val="0"/>
        <w:snapToGrid w:val="0"/>
        <w:spacing w:line="360" w:lineRule="auto"/>
        <w:jc w:val="both"/>
        <w:rPr>
          <w:rFonts w:ascii="Book Antiqua" w:hAnsi="Book Antiqua" w:cs="Arial"/>
          <w:b/>
          <w:lang w:val="en-GB"/>
        </w:rPr>
      </w:pPr>
      <w:r w:rsidRPr="003B7DDC">
        <w:rPr>
          <w:rFonts w:ascii="Book Antiqua" w:hAnsi="Book Antiqua" w:cs="Arial"/>
          <w:bCs/>
          <w:lang w:val="en-GB" w:eastAsia="zh-CN"/>
        </w:rPr>
        <w:br w:type="page"/>
      </w:r>
      <w:r w:rsidR="000168C4" w:rsidRPr="003B7DDC">
        <w:rPr>
          <w:rFonts w:ascii="Book Antiqua" w:hAnsi="Book Antiqua" w:cs="Arial"/>
          <w:b/>
          <w:lang w:val="en-GB"/>
        </w:rPr>
        <w:lastRenderedPageBreak/>
        <w:t>REFERENCES</w:t>
      </w:r>
    </w:p>
    <w:p w14:paraId="15E64D8C"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bookmarkStart w:id="51" w:name="OLE_LINK307"/>
      <w:bookmarkStart w:id="52" w:name="OLE_LINK308"/>
      <w:bookmarkStart w:id="53" w:name="OLE_LINK319"/>
      <w:bookmarkStart w:id="54" w:name="OLE_LINK338"/>
      <w:r w:rsidRPr="003B7DDC">
        <w:rPr>
          <w:rFonts w:ascii="Book Antiqua" w:hAnsi="Book Antiqua"/>
          <w:b/>
          <w:bCs/>
          <w:lang w:val="en-US"/>
        </w:rPr>
        <w:t>Alkandari O</w:t>
      </w:r>
      <w:r w:rsidRPr="003B7DDC">
        <w:rPr>
          <w:rFonts w:ascii="Book Antiqua" w:hAnsi="Book Antiqua"/>
          <w:lang w:val="en-US"/>
        </w:rPr>
        <w:t>, Eddington KA, Hyder A, Gauvin F, Ducruet T, Gottesman R, Phan V, Zappitelli M. Acute kidney injury is an independent risk factor for pediatric intensive care unit mortality, longer length of stay and prolonged mechanical ventilation in critically ill children: a two-center retrospective cohort study. </w:t>
      </w:r>
      <w:r w:rsidRPr="003B7DDC">
        <w:rPr>
          <w:rFonts w:ascii="Book Antiqua" w:hAnsi="Book Antiqua"/>
          <w:i/>
          <w:iCs/>
          <w:lang w:val="en-US"/>
        </w:rPr>
        <w:t>Crit Care</w:t>
      </w:r>
      <w:r w:rsidRPr="003B7DDC">
        <w:rPr>
          <w:rFonts w:ascii="Book Antiqua" w:hAnsi="Book Antiqua"/>
          <w:lang w:val="en-US"/>
        </w:rPr>
        <w:t> 2011; </w:t>
      </w:r>
      <w:r w:rsidRPr="003B7DDC">
        <w:rPr>
          <w:rFonts w:ascii="Book Antiqua" w:hAnsi="Book Antiqua"/>
          <w:b/>
          <w:bCs/>
          <w:lang w:val="en-US"/>
        </w:rPr>
        <w:t>15</w:t>
      </w:r>
      <w:r w:rsidRPr="003B7DDC">
        <w:rPr>
          <w:rFonts w:ascii="Book Antiqua" w:hAnsi="Book Antiqua"/>
          <w:lang w:val="en-US"/>
        </w:rPr>
        <w:t>: R146 [PMID: 21663616 DOI: 10.1186/cc10269]</w:t>
      </w:r>
    </w:p>
    <w:p w14:paraId="3F39A05E"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Akcan-Arikan A</w:t>
      </w:r>
      <w:r w:rsidRPr="003B7DDC">
        <w:rPr>
          <w:rFonts w:ascii="Book Antiqua" w:hAnsi="Book Antiqua"/>
          <w:lang w:val="en-US"/>
        </w:rPr>
        <w:t>, Zappitelli M, Loftis LL, Washburn KK, Jefferson LS, Goldstein SL. Modified RIFLE criteria in critically ill children with acute kidney injury. </w:t>
      </w:r>
      <w:r w:rsidRPr="003B7DDC">
        <w:rPr>
          <w:rFonts w:ascii="Book Antiqua" w:hAnsi="Book Antiqua"/>
          <w:i/>
          <w:iCs/>
          <w:lang w:val="en-US"/>
        </w:rPr>
        <w:t>Kidney Int</w:t>
      </w:r>
      <w:r w:rsidRPr="003B7DDC">
        <w:rPr>
          <w:rFonts w:ascii="Book Antiqua" w:hAnsi="Book Antiqua"/>
          <w:lang w:val="en-US"/>
        </w:rPr>
        <w:t> 2007; </w:t>
      </w:r>
      <w:r w:rsidRPr="003B7DDC">
        <w:rPr>
          <w:rFonts w:ascii="Book Antiqua" w:hAnsi="Book Antiqua"/>
          <w:b/>
          <w:bCs/>
          <w:lang w:val="en-US"/>
        </w:rPr>
        <w:t>71</w:t>
      </w:r>
      <w:r w:rsidRPr="003B7DDC">
        <w:rPr>
          <w:rFonts w:ascii="Book Antiqua" w:hAnsi="Book Antiqua"/>
          <w:lang w:val="en-US"/>
        </w:rPr>
        <w:t>: 1028-1035 [PMID: 17396113 DOI: 10.1038/sj.ki.5002231]</w:t>
      </w:r>
    </w:p>
    <w:p w14:paraId="20CA0BF2"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Mammen C</w:t>
      </w:r>
      <w:r w:rsidRPr="003B7DDC">
        <w:rPr>
          <w:rFonts w:ascii="Book Antiqua" w:hAnsi="Book Antiqua"/>
          <w:lang w:val="en-US"/>
        </w:rPr>
        <w:t>, Al Abbas A, Skippen P, Nadel H, Levine D, Collet JP, Matsell DG. Long-term risk of CKD in children surviving episodes of acute kidney injury in the intensive care unit: a prospective cohort study. </w:t>
      </w:r>
      <w:r w:rsidRPr="003B7DDC">
        <w:rPr>
          <w:rFonts w:ascii="Book Antiqua" w:hAnsi="Book Antiqua"/>
          <w:i/>
          <w:iCs/>
          <w:lang w:val="en-US"/>
        </w:rPr>
        <w:t>Am J Kidney Dis</w:t>
      </w:r>
      <w:r w:rsidRPr="003B7DDC">
        <w:rPr>
          <w:rFonts w:ascii="Book Antiqua" w:hAnsi="Book Antiqua"/>
          <w:lang w:val="en-US"/>
        </w:rPr>
        <w:t> 2012; </w:t>
      </w:r>
      <w:r w:rsidRPr="003B7DDC">
        <w:rPr>
          <w:rFonts w:ascii="Book Antiqua" w:hAnsi="Book Antiqua"/>
          <w:b/>
          <w:bCs/>
          <w:lang w:val="en-US"/>
        </w:rPr>
        <w:t>59</w:t>
      </w:r>
      <w:r w:rsidRPr="003B7DDC">
        <w:rPr>
          <w:rFonts w:ascii="Book Antiqua" w:hAnsi="Book Antiqua"/>
          <w:lang w:val="en-US"/>
        </w:rPr>
        <w:t>: 523-530 [PMID: 22206744 DOI: 10.1053/j.ajkd.2011.10.048]</w:t>
      </w:r>
    </w:p>
    <w:p w14:paraId="0238F592"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Menon S</w:t>
      </w:r>
      <w:r w:rsidRPr="003B7DDC">
        <w:rPr>
          <w:rFonts w:ascii="Book Antiqua" w:hAnsi="Book Antiqua"/>
          <w:lang w:val="en-US"/>
        </w:rPr>
        <w:t>, Kirkendall ES, Nguyen H, Goldstein SL. Acute kidney injury associated with high nephrotoxic medication exposure leads to chronic kidney disease after 6 months. </w:t>
      </w:r>
      <w:r w:rsidRPr="003B7DDC">
        <w:rPr>
          <w:rFonts w:ascii="Book Antiqua" w:hAnsi="Book Antiqua"/>
          <w:i/>
          <w:iCs/>
          <w:lang w:val="en-US"/>
        </w:rPr>
        <w:t>J Pediatr</w:t>
      </w:r>
      <w:r w:rsidRPr="003B7DDC">
        <w:rPr>
          <w:rFonts w:ascii="Book Antiqua" w:hAnsi="Book Antiqua"/>
          <w:lang w:val="en-US"/>
        </w:rPr>
        <w:t> 2014; </w:t>
      </w:r>
      <w:r w:rsidRPr="003B7DDC">
        <w:rPr>
          <w:rFonts w:ascii="Book Antiqua" w:hAnsi="Book Antiqua"/>
          <w:b/>
          <w:bCs/>
          <w:lang w:val="en-US"/>
        </w:rPr>
        <w:t>165</w:t>
      </w:r>
      <w:r w:rsidRPr="003B7DDC">
        <w:rPr>
          <w:rFonts w:ascii="Book Antiqua" w:hAnsi="Book Antiqua"/>
          <w:lang w:val="en-US"/>
        </w:rPr>
        <w:t>: 522-7.e2 [PMID: 24928698 DOI: 10.1016/j.jpeds.2014.04.058]</w:t>
      </w:r>
    </w:p>
    <w:p w14:paraId="5E318D6C"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Askenazi DJ</w:t>
      </w:r>
      <w:r w:rsidRPr="003B7DDC">
        <w:rPr>
          <w:rFonts w:ascii="Book Antiqua" w:hAnsi="Book Antiqua"/>
          <w:lang w:val="en-US"/>
        </w:rPr>
        <w:t>, Feig DI, Graham NM, Hui-Stickle S, Goldstein SL. 3-5 year longitudinal follow-up of pediatric patients after acute renal failure. </w:t>
      </w:r>
      <w:r w:rsidRPr="003B7DDC">
        <w:rPr>
          <w:rFonts w:ascii="Book Antiqua" w:hAnsi="Book Antiqua"/>
          <w:i/>
          <w:iCs/>
          <w:lang w:val="en-US"/>
        </w:rPr>
        <w:t>Kidney Int</w:t>
      </w:r>
      <w:r w:rsidRPr="003B7DDC">
        <w:rPr>
          <w:rFonts w:ascii="Book Antiqua" w:hAnsi="Book Antiqua"/>
          <w:lang w:val="en-US"/>
        </w:rPr>
        <w:t> 2006; </w:t>
      </w:r>
      <w:r w:rsidRPr="003B7DDC">
        <w:rPr>
          <w:rFonts w:ascii="Book Antiqua" w:hAnsi="Book Antiqua"/>
          <w:b/>
          <w:bCs/>
          <w:lang w:val="en-US"/>
        </w:rPr>
        <w:t>69</w:t>
      </w:r>
      <w:r w:rsidRPr="003B7DDC">
        <w:rPr>
          <w:rFonts w:ascii="Book Antiqua" w:hAnsi="Book Antiqua"/>
          <w:lang w:val="en-US"/>
        </w:rPr>
        <w:t>: 184-189 [PMID: 16374442 DOI: 10.1038/sj.ki.5000032]</w:t>
      </w:r>
    </w:p>
    <w:p w14:paraId="2E0B4899"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Viaud M</w:t>
      </w:r>
      <w:r w:rsidRPr="003B7DDC">
        <w:rPr>
          <w:rFonts w:ascii="Book Antiqua" w:hAnsi="Book Antiqua"/>
          <w:lang w:val="en-US"/>
        </w:rPr>
        <w:t>, Llanas B, Harambat J. Renal outcome in long-term survivors from severe acute kidney injury in childhood. </w:t>
      </w:r>
      <w:r w:rsidRPr="003B7DDC">
        <w:rPr>
          <w:rFonts w:ascii="Book Antiqua" w:hAnsi="Book Antiqua"/>
          <w:i/>
          <w:iCs/>
          <w:lang w:val="en-US"/>
        </w:rPr>
        <w:t>Pediatr Nephrol</w:t>
      </w:r>
      <w:r w:rsidRPr="003B7DDC">
        <w:rPr>
          <w:rFonts w:ascii="Book Antiqua" w:hAnsi="Book Antiqua"/>
          <w:lang w:val="en-US"/>
        </w:rPr>
        <w:t> 2012; </w:t>
      </w:r>
      <w:r w:rsidRPr="003B7DDC">
        <w:rPr>
          <w:rFonts w:ascii="Book Antiqua" w:hAnsi="Book Antiqua"/>
          <w:b/>
          <w:bCs/>
          <w:lang w:val="en-US"/>
        </w:rPr>
        <w:t>27</w:t>
      </w:r>
      <w:r w:rsidRPr="003B7DDC">
        <w:rPr>
          <w:rFonts w:ascii="Book Antiqua" w:hAnsi="Book Antiqua"/>
          <w:lang w:val="en-US"/>
        </w:rPr>
        <w:t>: 151-12; author reply 153 [PMID: 21947273 DOI: 10.1007/s00467-011-2016-5]</w:t>
      </w:r>
    </w:p>
    <w:p w14:paraId="01ECD054"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Slack R</w:t>
      </w:r>
      <w:r w:rsidRPr="003B7DDC">
        <w:rPr>
          <w:rFonts w:ascii="Book Antiqua" w:hAnsi="Book Antiqua"/>
          <w:lang w:val="en-US"/>
        </w:rPr>
        <w:t>, Hawkins KC, Gilhooley L, Addison GM, Lewis MA, Webb NJ. Long-term outcome of meningococcal sepsis-associated acute renal failure. </w:t>
      </w:r>
      <w:r w:rsidRPr="003B7DDC">
        <w:rPr>
          <w:rFonts w:ascii="Book Antiqua" w:hAnsi="Book Antiqua"/>
          <w:i/>
          <w:iCs/>
          <w:lang w:val="en-US"/>
        </w:rPr>
        <w:t>Pediatr Crit Care Med</w:t>
      </w:r>
      <w:r w:rsidRPr="003B7DDC">
        <w:rPr>
          <w:rFonts w:ascii="Book Antiqua" w:hAnsi="Book Antiqua"/>
          <w:lang w:val="en-US"/>
        </w:rPr>
        <w:t> 2005; </w:t>
      </w:r>
      <w:r w:rsidRPr="003B7DDC">
        <w:rPr>
          <w:rFonts w:ascii="Book Antiqua" w:hAnsi="Book Antiqua"/>
          <w:b/>
          <w:bCs/>
          <w:lang w:val="en-US"/>
        </w:rPr>
        <w:t>6</w:t>
      </w:r>
      <w:r w:rsidRPr="003B7DDC">
        <w:rPr>
          <w:rFonts w:ascii="Book Antiqua" w:hAnsi="Book Antiqua"/>
          <w:lang w:val="en-US"/>
        </w:rPr>
        <w:t>: 477-479 [PMID: 15982443 DOI: 10.1097/01.PCC.0000163285.74452.23]</w:t>
      </w:r>
    </w:p>
    <w:p w14:paraId="7500E993"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lastRenderedPageBreak/>
        <w:t>Coca SG</w:t>
      </w:r>
      <w:r w:rsidRPr="003B7DDC">
        <w:rPr>
          <w:rFonts w:ascii="Book Antiqua" w:hAnsi="Book Antiqua"/>
          <w:lang w:val="en-US"/>
        </w:rPr>
        <w:t>, Singanamala S, Parikh CR. Chronic kidney disease after acute kidney injury: a systematic review and meta-analysis. </w:t>
      </w:r>
      <w:r w:rsidRPr="003B7DDC">
        <w:rPr>
          <w:rFonts w:ascii="Book Antiqua" w:hAnsi="Book Antiqua"/>
          <w:i/>
          <w:iCs/>
          <w:lang w:val="en-US"/>
        </w:rPr>
        <w:t>Kidney Int</w:t>
      </w:r>
      <w:r w:rsidRPr="003B7DDC">
        <w:rPr>
          <w:rFonts w:ascii="Book Antiqua" w:hAnsi="Book Antiqua"/>
          <w:lang w:val="en-US"/>
        </w:rPr>
        <w:t> 2012; </w:t>
      </w:r>
      <w:r w:rsidRPr="003B7DDC">
        <w:rPr>
          <w:rFonts w:ascii="Book Antiqua" w:hAnsi="Book Antiqua"/>
          <w:b/>
          <w:bCs/>
          <w:lang w:val="en-US"/>
        </w:rPr>
        <w:t>81</w:t>
      </w:r>
      <w:r w:rsidRPr="003B7DDC">
        <w:rPr>
          <w:rFonts w:ascii="Book Antiqua" w:hAnsi="Book Antiqua"/>
          <w:lang w:val="en-US"/>
        </w:rPr>
        <w:t>: 442-448 [PMID: 22113526 DOI: 10.1038/ki.2011.379]</w:t>
      </w:r>
    </w:p>
    <w:p w14:paraId="3F0D9C0C"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White SM</w:t>
      </w:r>
      <w:r w:rsidRPr="003B7DDC">
        <w:rPr>
          <w:rFonts w:ascii="Book Antiqua" w:hAnsi="Book Antiqua"/>
          <w:lang w:val="en-US"/>
        </w:rPr>
        <w:t>, Rashid N, Chakladar A. An analysis of renal dysfunction in 1511 patients with fractured neck of femur: the implications for peri-operative analgesia. </w:t>
      </w:r>
      <w:r w:rsidRPr="003B7DDC">
        <w:rPr>
          <w:rFonts w:ascii="Book Antiqua" w:hAnsi="Book Antiqua"/>
          <w:i/>
          <w:iCs/>
          <w:lang w:val="en-US"/>
        </w:rPr>
        <w:t>Anaesthesia</w:t>
      </w:r>
      <w:r w:rsidRPr="003B7DDC">
        <w:rPr>
          <w:rFonts w:ascii="Book Antiqua" w:hAnsi="Book Antiqua"/>
          <w:lang w:val="en-US"/>
        </w:rPr>
        <w:t> 2009; </w:t>
      </w:r>
      <w:r w:rsidRPr="003B7DDC">
        <w:rPr>
          <w:rFonts w:ascii="Book Antiqua" w:hAnsi="Book Antiqua"/>
          <w:b/>
          <w:bCs/>
          <w:lang w:val="en-US"/>
        </w:rPr>
        <w:t>64</w:t>
      </w:r>
      <w:r w:rsidRPr="003B7DDC">
        <w:rPr>
          <w:rFonts w:ascii="Book Antiqua" w:hAnsi="Book Antiqua"/>
          <w:lang w:val="en-US"/>
        </w:rPr>
        <w:t>: 1061-1065 [PMID: 19735395 DOI: 10.1111/j.1365-2044.2009.06012.x]</w:t>
      </w:r>
    </w:p>
    <w:p w14:paraId="08285BA5"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423E31">
        <w:rPr>
          <w:rFonts w:ascii="Book Antiqua" w:hAnsi="Book Antiqua"/>
          <w:b/>
          <w:bCs/>
        </w:rPr>
        <w:t>Bennet SJ</w:t>
      </w:r>
      <w:r w:rsidRPr="00423E31">
        <w:rPr>
          <w:rFonts w:ascii="Book Antiqua" w:hAnsi="Book Antiqua"/>
        </w:rPr>
        <w:t xml:space="preserve">, Berry OM, Goddard J, Keating JF. </w:t>
      </w:r>
      <w:r w:rsidRPr="003B7DDC">
        <w:rPr>
          <w:rFonts w:ascii="Book Antiqua" w:hAnsi="Book Antiqua"/>
          <w:lang w:val="en-US"/>
        </w:rPr>
        <w:t>Acute renal dysfunction following hip fracture. </w:t>
      </w:r>
      <w:r w:rsidRPr="003B7DDC">
        <w:rPr>
          <w:rFonts w:ascii="Book Antiqua" w:hAnsi="Book Antiqua"/>
          <w:i/>
          <w:iCs/>
          <w:lang w:val="en-US"/>
        </w:rPr>
        <w:t>Injury</w:t>
      </w:r>
      <w:r w:rsidRPr="003B7DDC">
        <w:rPr>
          <w:rFonts w:ascii="Book Antiqua" w:hAnsi="Book Antiqua"/>
          <w:lang w:val="en-US"/>
        </w:rPr>
        <w:t> 2010; </w:t>
      </w:r>
      <w:r w:rsidRPr="003B7DDC">
        <w:rPr>
          <w:rFonts w:ascii="Book Antiqua" w:hAnsi="Book Antiqua"/>
          <w:b/>
          <w:bCs/>
          <w:lang w:val="en-US"/>
        </w:rPr>
        <w:t>41</w:t>
      </w:r>
      <w:r w:rsidRPr="003B7DDC">
        <w:rPr>
          <w:rFonts w:ascii="Book Antiqua" w:hAnsi="Book Antiqua"/>
          <w:lang w:val="en-US"/>
        </w:rPr>
        <w:t>: 335-338 [PMID: 19729159 DOI: 10.1016/j.injury.2009.07.009]</w:t>
      </w:r>
    </w:p>
    <w:p w14:paraId="0F506FE8"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Kateros K</w:t>
      </w:r>
      <w:r w:rsidRPr="003B7DDC">
        <w:rPr>
          <w:rFonts w:ascii="Book Antiqua" w:hAnsi="Book Antiqua"/>
          <w:lang w:val="en-US"/>
        </w:rPr>
        <w:t>, Doulgerakis C, Galanakos SP, Sakellariou VI, Papadakis SA, Macheras GA. Analysis of kidney dysfunction in orthopaedic patients. </w:t>
      </w:r>
      <w:r w:rsidRPr="003B7DDC">
        <w:rPr>
          <w:rFonts w:ascii="Book Antiqua" w:hAnsi="Book Antiqua"/>
          <w:i/>
          <w:iCs/>
          <w:lang w:val="en-US"/>
        </w:rPr>
        <w:t>BMC Nephrol</w:t>
      </w:r>
      <w:r w:rsidRPr="003B7DDC">
        <w:rPr>
          <w:rFonts w:ascii="Book Antiqua" w:hAnsi="Book Antiqua"/>
          <w:lang w:val="en-US"/>
        </w:rPr>
        <w:t> 2012; </w:t>
      </w:r>
      <w:r w:rsidRPr="003B7DDC">
        <w:rPr>
          <w:rFonts w:ascii="Book Antiqua" w:hAnsi="Book Antiqua"/>
          <w:b/>
          <w:bCs/>
          <w:lang w:val="en-US"/>
        </w:rPr>
        <w:t>13</w:t>
      </w:r>
      <w:r w:rsidRPr="003B7DDC">
        <w:rPr>
          <w:rFonts w:ascii="Book Antiqua" w:hAnsi="Book Antiqua"/>
          <w:lang w:val="en-US"/>
        </w:rPr>
        <w:t>: 101 [PMID: 22943390 DOI: 10.1186/1471-2369-13-101]</w:t>
      </w:r>
    </w:p>
    <w:p w14:paraId="1BE1DC25"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Hui-Stickle S</w:t>
      </w:r>
      <w:r w:rsidRPr="003B7DDC">
        <w:rPr>
          <w:rFonts w:ascii="Book Antiqua" w:hAnsi="Book Antiqua"/>
          <w:lang w:val="en-US"/>
        </w:rPr>
        <w:t>, Brewer ED, Goldstein SL. Pediatric ARF epidemiology at a tertiary care center from 1999 to 2001. </w:t>
      </w:r>
      <w:r w:rsidRPr="003B7DDC">
        <w:rPr>
          <w:rFonts w:ascii="Book Antiqua" w:hAnsi="Book Antiqua"/>
          <w:i/>
          <w:iCs/>
          <w:lang w:val="en-US"/>
        </w:rPr>
        <w:t>Am J Kidney Dis</w:t>
      </w:r>
      <w:r w:rsidRPr="003B7DDC">
        <w:rPr>
          <w:rFonts w:ascii="Book Antiqua" w:hAnsi="Book Antiqua"/>
          <w:lang w:val="en-US"/>
        </w:rPr>
        <w:t> 2005; </w:t>
      </w:r>
      <w:r w:rsidRPr="003B7DDC">
        <w:rPr>
          <w:rFonts w:ascii="Book Antiqua" w:hAnsi="Book Antiqua"/>
          <w:b/>
          <w:bCs/>
          <w:lang w:val="en-US"/>
        </w:rPr>
        <w:t>45</w:t>
      </w:r>
      <w:r w:rsidRPr="003B7DDC">
        <w:rPr>
          <w:rFonts w:ascii="Book Antiqua" w:hAnsi="Book Antiqua"/>
          <w:lang w:val="en-US"/>
        </w:rPr>
        <w:t>: 96-101 [PMID: 15696448 DOI: 10.1053/j.ajkd.2004.09.028]</w:t>
      </w:r>
    </w:p>
    <w:p w14:paraId="42C72825"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Brown ZE</w:t>
      </w:r>
      <w:r w:rsidRPr="003B7DDC">
        <w:rPr>
          <w:rFonts w:ascii="Book Antiqua" w:hAnsi="Book Antiqua"/>
          <w:lang w:val="en-US"/>
        </w:rPr>
        <w:t>, Görges M, Cooke E, Malherbe S, Dumont GA, Ansermino JM. Changes in cardiac index and blood pressure on positioning children prone for scoliosis surgery. </w:t>
      </w:r>
      <w:r w:rsidRPr="003B7DDC">
        <w:rPr>
          <w:rFonts w:ascii="Book Antiqua" w:hAnsi="Book Antiqua"/>
          <w:i/>
          <w:iCs/>
          <w:lang w:val="en-US"/>
        </w:rPr>
        <w:t>Anaesthesia</w:t>
      </w:r>
      <w:r w:rsidRPr="003B7DDC">
        <w:rPr>
          <w:rFonts w:ascii="Book Antiqua" w:hAnsi="Book Antiqua"/>
          <w:lang w:val="en-US"/>
        </w:rPr>
        <w:t> 2013; </w:t>
      </w:r>
      <w:r w:rsidRPr="003B7DDC">
        <w:rPr>
          <w:rFonts w:ascii="Book Antiqua" w:hAnsi="Book Antiqua"/>
          <w:b/>
          <w:bCs/>
          <w:lang w:val="en-US"/>
        </w:rPr>
        <w:t>68</w:t>
      </w:r>
      <w:r w:rsidRPr="003B7DDC">
        <w:rPr>
          <w:rFonts w:ascii="Book Antiqua" w:hAnsi="Book Antiqua"/>
          <w:lang w:val="en-US"/>
        </w:rPr>
        <w:t>: 742-746 [PMID: 23710730 DOI: 10.1111/anae.12310]</w:t>
      </w:r>
    </w:p>
    <w:p w14:paraId="6D5BEFD3"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Devarajan P</w:t>
      </w:r>
      <w:r w:rsidRPr="003B7DDC">
        <w:rPr>
          <w:rFonts w:ascii="Book Antiqua" w:hAnsi="Book Antiqua"/>
          <w:lang w:val="en-US"/>
        </w:rPr>
        <w:t>. Biomarkers for the early detection of acute kidney injury. </w:t>
      </w:r>
      <w:r w:rsidRPr="003B7DDC">
        <w:rPr>
          <w:rFonts w:ascii="Book Antiqua" w:hAnsi="Book Antiqua"/>
          <w:i/>
          <w:iCs/>
          <w:lang w:val="en-US"/>
        </w:rPr>
        <w:t>Curr Opin Pediatr</w:t>
      </w:r>
      <w:r w:rsidRPr="003B7DDC">
        <w:rPr>
          <w:rFonts w:ascii="Book Antiqua" w:hAnsi="Book Antiqua"/>
          <w:lang w:val="en-US"/>
        </w:rPr>
        <w:t> 2011; </w:t>
      </w:r>
      <w:r w:rsidRPr="003B7DDC">
        <w:rPr>
          <w:rFonts w:ascii="Book Antiqua" w:hAnsi="Book Antiqua"/>
          <w:b/>
          <w:bCs/>
          <w:lang w:val="en-US"/>
        </w:rPr>
        <w:t>23</w:t>
      </w:r>
      <w:r w:rsidRPr="003B7DDC">
        <w:rPr>
          <w:rFonts w:ascii="Book Antiqua" w:hAnsi="Book Antiqua"/>
          <w:lang w:val="en-US"/>
        </w:rPr>
        <w:t>: 194-200 [PMID: 21252674 DOI: 10.1097/MOP.0b013e328343f4dd]</w:t>
      </w:r>
    </w:p>
    <w:p w14:paraId="7B0C706D"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Al-Ismaili Z</w:t>
      </w:r>
      <w:r w:rsidRPr="003B7DDC">
        <w:rPr>
          <w:rFonts w:ascii="Book Antiqua" w:hAnsi="Book Antiqua"/>
          <w:lang w:val="en-US"/>
        </w:rPr>
        <w:t>, Palijan A, Zappitelli M. Biomarkers of acute kidney injury in children: discovery, evaluation, and clinical application. </w:t>
      </w:r>
      <w:r w:rsidRPr="003B7DDC">
        <w:rPr>
          <w:rFonts w:ascii="Book Antiqua" w:hAnsi="Book Antiqua"/>
          <w:i/>
          <w:iCs/>
          <w:lang w:val="en-US"/>
        </w:rPr>
        <w:t>Pediatr Nephrol</w:t>
      </w:r>
      <w:r w:rsidRPr="003B7DDC">
        <w:rPr>
          <w:rFonts w:ascii="Book Antiqua" w:hAnsi="Book Antiqua"/>
          <w:lang w:val="en-US"/>
        </w:rPr>
        <w:t> 2011; </w:t>
      </w:r>
      <w:r w:rsidRPr="003B7DDC">
        <w:rPr>
          <w:rFonts w:ascii="Book Antiqua" w:hAnsi="Book Antiqua"/>
          <w:b/>
          <w:bCs/>
          <w:lang w:val="en-US"/>
        </w:rPr>
        <w:t>26</w:t>
      </w:r>
      <w:r w:rsidRPr="003B7DDC">
        <w:rPr>
          <w:rFonts w:ascii="Book Antiqua" w:hAnsi="Book Antiqua"/>
          <w:lang w:val="en-US"/>
        </w:rPr>
        <w:t>: 29-40 [PMID: 20623143 DOI: 10.1007/s00467-010-1576-0]</w:t>
      </w:r>
    </w:p>
    <w:p w14:paraId="274212B1"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Nguyen MT</w:t>
      </w:r>
      <w:r w:rsidRPr="003B7DDC">
        <w:rPr>
          <w:rFonts w:ascii="Book Antiqua" w:hAnsi="Book Antiqua"/>
          <w:lang w:val="en-US"/>
        </w:rPr>
        <w:t>, Devarajan P. Biomarkers for the early detection of acute kidney injury. </w:t>
      </w:r>
      <w:r w:rsidRPr="003B7DDC">
        <w:rPr>
          <w:rFonts w:ascii="Book Antiqua" w:hAnsi="Book Antiqua"/>
          <w:i/>
          <w:iCs/>
          <w:lang w:val="en-US"/>
        </w:rPr>
        <w:t>Pediatr Nephrol</w:t>
      </w:r>
      <w:r w:rsidRPr="003B7DDC">
        <w:rPr>
          <w:rFonts w:ascii="Book Antiqua" w:hAnsi="Book Antiqua"/>
          <w:lang w:val="en-US"/>
        </w:rPr>
        <w:t> 2008; </w:t>
      </w:r>
      <w:r w:rsidRPr="003B7DDC">
        <w:rPr>
          <w:rFonts w:ascii="Book Antiqua" w:hAnsi="Book Antiqua"/>
          <w:b/>
          <w:bCs/>
          <w:lang w:val="en-US"/>
        </w:rPr>
        <w:t>23</w:t>
      </w:r>
      <w:r w:rsidRPr="003B7DDC">
        <w:rPr>
          <w:rFonts w:ascii="Book Antiqua" w:hAnsi="Book Antiqua"/>
          <w:lang w:val="en-US"/>
        </w:rPr>
        <w:t>: 2151-2157 [PMID: 17394022 DOI: 10.1007/s00467-007-0470-x]</w:t>
      </w:r>
    </w:p>
    <w:p w14:paraId="2CD3C4FA"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lastRenderedPageBreak/>
        <w:t>Brazel PW</w:t>
      </w:r>
      <w:r w:rsidRPr="003B7DDC">
        <w:rPr>
          <w:rFonts w:ascii="Book Antiqua" w:hAnsi="Book Antiqua"/>
          <w:lang w:val="en-US"/>
        </w:rPr>
        <w:t>, McPhee IB. Inappropriate secretion of antidiuretic hormone in postoperative scoliosis patients: the role of fluid management. </w:t>
      </w:r>
      <w:r w:rsidRPr="003B7DDC">
        <w:rPr>
          <w:rFonts w:ascii="Book Antiqua" w:hAnsi="Book Antiqua"/>
          <w:i/>
          <w:iCs/>
          <w:lang w:val="en-US"/>
        </w:rPr>
        <w:t xml:space="preserve">Spine </w:t>
      </w:r>
      <w:r w:rsidRPr="003B7DDC">
        <w:rPr>
          <w:rFonts w:ascii="Book Antiqua" w:hAnsi="Book Antiqua"/>
          <w:iCs/>
          <w:lang w:val="en-US"/>
        </w:rPr>
        <w:t>(Phila Pa 1976)</w:t>
      </w:r>
      <w:r w:rsidRPr="003B7DDC">
        <w:rPr>
          <w:rFonts w:ascii="Book Antiqua" w:hAnsi="Book Antiqua"/>
          <w:lang w:val="en-US"/>
        </w:rPr>
        <w:t> 1996; </w:t>
      </w:r>
      <w:r w:rsidRPr="003B7DDC">
        <w:rPr>
          <w:rFonts w:ascii="Book Antiqua" w:hAnsi="Book Antiqua"/>
          <w:b/>
          <w:bCs/>
          <w:lang w:val="en-US"/>
        </w:rPr>
        <w:t>21</w:t>
      </w:r>
      <w:r w:rsidRPr="003B7DDC">
        <w:rPr>
          <w:rFonts w:ascii="Book Antiqua" w:hAnsi="Book Antiqua"/>
          <w:lang w:val="en-US"/>
        </w:rPr>
        <w:t>: 724-727 [PMID: 8882695 DOI: 10.1097/00007632-199603150-00013]</w:t>
      </w:r>
    </w:p>
    <w:p w14:paraId="533878E5"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Callewart CC</w:t>
      </w:r>
      <w:r w:rsidRPr="003B7DDC">
        <w:rPr>
          <w:rFonts w:ascii="Book Antiqua" w:hAnsi="Book Antiqua"/>
          <w:lang w:val="en-US"/>
        </w:rPr>
        <w:t>, Minchew JT, Kanim LE, Tsai YC, Salehmoghaddam S, Dawson EG, Delamarter RB. Hyponatremia and syndrome of inappropriate antidiuretic hormone secretion in adult spinal surgery. </w:t>
      </w:r>
      <w:r w:rsidRPr="003B7DDC">
        <w:rPr>
          <w:rFonts w:ascii="Book Antiqua" w:hAnsi="Book Antiqua"/>
          <w:i/>
          <w:iCs/>
          <w:lang w:val="en-US"/>
        </w:rPr>
        <w:t xml:space="preserve">Spine </w:t>
      </w:r>
      <w:r w:rsidRPr="003B7DDC">
        <w:rPr>
          <w:rFonts w:ascii="Book Antiqua" w:hAnsi="Book Antiqua"/>
          <w:iCs/>
          <w:lang w:val="en-US"/>
        </w:rPr>
        <w:t>(Phila Pa 1976)</w:t>
      </w:r>
      <w:r w:rsidRPr="003B7DDC">
        <w:rPr>
          <w:rFonts w:ascii="Book Antiqua" w:hAnsi="Book Antiqua"/>
          <w:lang w:val="en-US"/>
        </w:rPr>
        <w:t> 1994; </w:t>
      </w:r>
      <w:r w:rsidRPr="003B7DDC">
        <w:rPr>
          <w:rFonts w:ascii="Book Antiqua" w:hAnsi="Book Antiqua"/>
          <w:b/>
          <w:bCs/>
          <w:lang w:val="en-US"/>
        </w:rPr>
        <w:t>19</w:t>
      </w:r>
      <w:r w:rsidRPr="003B7DDC">
        <w:rPr>
          <w:rFonts w:ascii="Book Antiqua" w:hAnsi="Book Antiqua"/>
          <w:lang w:val="en-US"/>
        </w:rPr>
        <w:t>: 1674-1679 [PMID: 7973959 DOI: 10.1097/00007632-199408000-00004]</w:t>
      </w:r>
    </w:p>
    <w:p w14:paraId="3882CD5F"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Mason RJ</w:t>
      </w:r>
      <w:r w:rsidRPr="003B7DDC">
        <w:rPr>
          <w:rFonts w:ascii="Book Antiqua" w:hAnsi="Book Antiqua"/>
          <w:lang w:val="en-US"/>
        </w:rPr>
        <w:t>, Betz RR, Orlowski JP, Bell GR. The syndrome of inappropriate antidiuretic hormone secretion and its effect on blood indices following spinal fusion. </w:t>
      </w:r>
      <w:r w:rsidRPr="003B7DDC">
        <w:rPr>
          <w:rFonts w:ascii="Book Antiqua" w:hAnsi="Book Antiqua"/>
          <w:i/>
          <w:iCs/>
          <w:lang w:val="en-US"/>
        </w:rPr>
        <w:t xml:space="preserve">Spine </w:t>
      </w:r>
      <w:r w:rsidRPr="003B7DDC">
        <w:rPr>
          <w:rFonts w:ascii="Book Antiqua" w:hAnsi="Book Antiqua"/>
          <w:iCs/>
          <w:lang w:val="en-US"/>
        </w:rPr>
        <w:t>(Phila Pa 1976)</w:t>
      </w:r>
      <w:r w:rsidRPr="003B7DDC">
        <w:rPr>
          <w:rFonts w:ascii="Book Antiqua" w:hAnsi="Book Antiqua"/>
          <w:lang w:val="en-US"/>
        </w:rPr>
        <w:t> 1989; </w:t>
      </w:r>
      <w:r w:rsidRPr="003B7DDC">
        <w:rPr>
          <w:rFonts w:ascii="Book Antiqua" w:hAnsi="Book Antiqua"/>
          <w:b/>
          <w:bCs/>
          <w:lang w:val="en-US"/>
        </w:rPr>
        <w:t>14</w:t>
      </w:r>
      <w:r w:rsidRPr="003B7DDC">
        <w:rPr>
          <w:rFonts w:ascii="Book Antiqua" w:hAnsi="Book Antiqua"/>
          <w:lang w:val="en-US"/>
        </w:rPr>
        <w:t>: 722-726 [PMID: 2772722 DOI: 10.1097/00007632-198907000-00013]</w:t>
      </w:r>
    </w:p>
    <w:p w14:paraId="0D0D89BC" w14:textId="77777777" w:rsidR="00D25E3D" w:rsidRPr="003B7DDC" w:rsidRDefault="00D25E3D" w:rsidP="00D25E3D">
      <w:pPr>
        <w:numPr>
          <w:ilvl w:val="0"/>
          <w:numId w:val="2"/>
        </w:numPr>
        <w:snapToGrid w:val="0"/>
        <w:spacing w:line="360" w:lineRule="auto"/>
        <w:ind w:left="426" w:hanging="426"/>
        <w:jc w:val="both"/>
        <w:rPr>
          <w:rFonts w:ascii="Book Antiqua" w:hAnsi="Book Antiqua"/>
          <w:lang w:val="en-US"/>
        </w:rPr>
      </w:pPr>
      <w:r w:rsidRPr="003B7DDC">
        <w:rPr>
          <w:rFonts w:ascii="Book Antiqua" w:hAnsi="Book Antiqua"/>
          <w:b/>
          <w:bCs/>
          <w:lang w:val="en-US"/>
        </w:rPr>
        <w:t>Lieh-Lai MW</w:t>
      </w:r>
      <w:r w:rsidRPr="003B7DDC">
        <w:rPr>
          <w:rFonts w:ascii="Book Antiqua" w:hAnsi="Book Antiqua"/>
          <w:lang w:val="en-US"/>
        </w:rPr>
        <w:t>, Stanitski DF, Sarnaik AP, Uy HG, Rossi NF, Simpson PM, Stanitski CL. Syndrome of inappropriate antidiuretic hormone secretion in children following spinal fusion. </w:t>
      </w:r>
      <w:r w:rsidRPr="003B7DDC">
        <w:rPr>
          <w:rFonts w:ascii="Book Antiqua" w:hAnsi="Book Antiqua"/>
          <w:i/>
          <w:iCs/>
          <w:lang w:val="en-US"/>
        </w:rPr>
        <w:t>Crit Care Med</w:t>
      </w:r>
      <w:r w:rsidRPr="003B7DDC">
        <w:rPr>
          <w:rFonts w:ascii="Book Antiqua" w:hAnsi="Book Antiqua"/>
          <w:lang w:val="en-US"/>
        </w:rPr>
        <w:t> 1999; </w:t>
      </w:r>
      <w:r w:rsidRPr="003B7DDC">
        <w:rPr>
          <w:rFonts w:ascii="Book Antiqua" w:hAnsi="Book Antiqua"/>
          <w:b/>
          <w:bCs/>
          <w:lang w:val="en-US"/>
        </w:rPr>
        <w:t>27</w:t>
      </w:r>
      <w:r w:rsidRPr="003B7DDC">
        <w:rPr>
          <w:rFonts w:ascii="Book Antiqua" w:hAnsi="Book Antiqua"/>
          <w:lang w:val="en-US"/>
        </w:rPr>
        <w:t>: 622-627 [PMID: 10199545 DOI: 10.1097/00003246-199903000-00046]</w:t>
      </w:r>
    </w:p>
    <w:p w14:paraId="5B69AB11" w14:textId="77777777" w:rsidR="00733010" w:rsidRPr="003B7DDC" w:rsidRDefault="00AA073D" w:rsidP="00D25E3D">
      <w:pPr>
        <w:snapToGrid w:val="0"/>
        <w:spacing w:line="360" w:lineRule="auto"/>
        <w:jc w:val="both"/>
        <w:rPr>
          <w:rFonts w:ascii="Book Antiqua" w:hAnsi="Book Antiqua"/>
          <w:b/>
          <w:color w:val="000000"/>
          <w:lang w:eastAsia="zh-CN"/>
        </w:rPr>
      </w:pPr>
      <w:r w:rsidRPr="003B7DDC">
        <w:rPr>
          <w:rFonts w:ascii="Book Antiqua" w:hAnsi="Book Antiqua"/>
          <w:b/>
          <w:color w:val="000000"/>
        </w:rPr>
        <w:t xml:space="preserve"> </w:t>
      </w:r>
    </w:p>
    <w:p w14:paraId="7FD486BC" w14:textId="77777777" w:rsidR="00AA073D" w:rsidRPr="00423E31" w:rsidRDefault="00AA073D" w:rsidP="00AA073D">
      <w:pPr>
        <w:snapToGrid w:val="0"/>
        <w:spacing w:line="360" w:lineRule="auto"/>
        <w:jc w:val="right"/>
        <w:rPr>
          <w:rFonts w:ascii="Book Antiqua" w:hAnsi="Book Antiqua"/>
          <w:b/>
          <w:color w:val="000000"/>
          <w:lang w:val="en-US"/>
        </w:rPr>
      </w:pPr>
      <w:r w:rsidRPr="00423E31">
        <w:rPr>
          <w:rFonts w:ascii="Book Antiqua" w:hAnsi="Book Antiqua"/>
          <w:b/>
          <w:color w:val="000000"/>
          <w:lang w:val="en-US"/>
        </w:rPr>
        <w:t>P-Reviewer:</w:t>
      </w:r>
      <w:r w:rsidRPr="00423E31">
        <w:rPr>
          <w:rFonts w:ascii="Book Antiqua" w:hAnsi="Book Antiqua"/>
          <w:color w:val="000000"/>
          <w:lang w:val="en-US"/>
        </w:rPr>
        <w:t xml:space="preserve"> </w:t>
      </w:r>
      <w:r w:rsidR="00DE135E" w:rsidRPr="00423E31">
        <w:rPr>
          <w:rFonts w:ascii="Book Antiqua" w:hAnsi="Book Antiqua"/>
          <w:color w:val="000000"/>
          <w:lang w:val="en-US"/>
        </w:rPr>
        <w:t>Bhimma R, Friedman EA, Mahmoud KM, Olowu WA</w:t>
      </w:r>
      <w:r w:rsidR="00DE135E" w:rsidRPr="00423E31">
        <w:rPr>
          <w:rFonts w:ascii="Book Antiqua" w:hAnsi="Book Antiqua"/>
          <w:color w:val="000000"/>
          <w:shd w:val="clear" w:color="auto" w:fill="FFFFFF"/>
          <w:lang w:val="en-US" w:eastAsia="zh-CN"/>
        </w:rPr>
        <w:t xml:space="preserve"> </w:t>
      </w:r>
      <w:r w:rsidRPr="00423E31">
        <w:rPr>
          <w:rFonts w:ascii="Book Antiqua" w:hAnsi="Book Antiqua"/>
          <w:b/>
          <w:color w:val="000000"/>
          <w:lang w:val="en-US"/>
        </w:rPr>
        <w:t xml:space="preserve">S-Editor: </w:t>
      </w:r>
      <w:r w:rsidRPr="00423E31">
        <w:rPr>
          <w:rFonts w:ascii="Book Antiqua" w:hAnsi="Book Antiqua"/>
          <w:color w:val="000000"/>
          <w:lang w:val="en-US"/>
        </w:rPr>
        <w:t xml:space="preserve">Kong JX </w:t>
      </w:r>
      <w:r w:rsidRPr="00423E31">
        <w:rPr>
          <w:rFonts w:ascii="Book Antiqua" w:hAnsi="Book Antiqua"/>
          <w:b/>
          <w:color w:val="000000"/>
          <w:lang w:val="en-US"/>
        </w:rPr>
        <w:t>L-Editor: E-Editor:</w:t>
      </w:r>
    </w:p>
    <w:bookmarkEnd w:id="51"/>
    <w:bookmarkEnd w:id="52"/>
    <w:bookmarkEnd w:id="53"/>
    <w:bookmarkEnd w:id="54"/>
    <w:p w14:paraId="1741D927" w14:textId="77777777" w:rsidR="00C2498C" w:rsidRPr="003B7DDC" w:rsidRDefault="00447BD4" w:rsidP="00447BD4">
      <w:pPr>
        <w:autoSpaceDE w:val="0"/>
        <w:autoSpaceDN w:val="0"/>
        <w:adjustRightInd w:val="0"/>
        <w:snapToGrid w:val="0"/>
        <w:spacing w:line="360" w:lineRule="auto"/>
        <w:jc w:val="both"/>
        <w:rPr>
          <w:rFonts w:ascii="Book Antiqua" w:hAnsi="Book Antiqua" w:cs="Arial"/>
          <w:b/>
          <w:bCs/>
          <w:lang w:val="en-GB"/>
        </w:rPr>
      </w:pPr>
      <w:r w:rsidRPr="003B7DDC">
        <w:rPr>
          <w:rFonts w:ascii="Book Antiqua" w:hAnsi="Book Antiqua" w:cs="Arial"/>
          <w:bCs/>
          <w:lang w:val="en-GB" w:eastAsia="zh-CN"/>
        </w:rPr>
        <w:br w:type="page"/>
      </w:r>
      <w:r w:rsidR="0069444B" w:rsidRPr="003B7DDC">
        <w:rPr>
          <w:rFonts w:ascii="Book Antiqua" w:hAnsi="Book Antiqua" w:cs="Arial"/>
          <w:bCs/>
          <w:lang w:val="en-US" w:eastAsia="zh-CN"/>
        </w:rPr>
        <w:lastRenderedPageBreak/>
        <mc:AlternateContent>
          <mc:Choice Requires="wpc">
            <w:drawing>
              <wp:inline distT="0" distB="0" distL="0" distR="0" wp14:anchorId="6ED0DC71" wp14:editId="5DA5CC0B">
                <wp:extent cx="5715000" cy="5829300"/>
                <wp:effectExtent l="0" t="0" r="0" b="0"/>
                <wp:docPr id="39" name="Papier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41"/>
                        <wps:cNvSpPr>
                          <a:spLocks noChangeArrowheads="1"/>
                        </wps:cNvSpPr>
                        <wps:spPr bwMode="auto">
                          <a:xfrm>
                            <a:off x="1143000" y="2628900"/>
                            <a:ext cx="1371600" cy="457200"/>
                          </a:xfrm>
                          <a:prstGeom prst="rect">
                            <a:avLst/>
                          </a:prstGeom>
                          <a:solidFill>
                            <a:srgbClr val="FFFFFF"/>
                          </a:solidFill>
                          <a:ln w="9525">
                            <a:solidFill>
                              <a:srgbClr val="000000"/>
                            </a:solidFill>
                            <a:miter lim="800000"/>
                            <a:headEnd/>
                            <a:tailEnd/>
                          </a:ln>
                        </wps:spPr>
                        <wps:txbx>
                          <w:txbxContent>
                            <w:p w14:paraId="45BBF568" w14:textId="77777777" w:rsidR="000B32EA" w:rsidRPr="00657CA3" w:rsidRDefault="000B32EA" w:rsidP="00657CA3">
                              <w:pPr>
                                <w:rPr>
                                  <w:rFonts w:ascii="Book Antiqua" w:hAnsi="Book Antiqua"/>
                                  <w:szCs w:val="20"/>
                                </w:rPr>
                              </w:pPr>
                              <w:r w:rsidRPr="00657CA3">
                                <w:rPr>
                                  <w:rFonts w:ascii="Book Antiqua" w:hAnsi="Book Antiqua"/>
                                  <w:szCs w:val="20"/>
                                </w:rPr>
                                <w:t xml:space="preserve">      </w:t>
                              </w:r>
                              <w:r w:rsidRPr="00657CA3">
                                <w:rPr>
                                  <w:rFonts w:ascii="Book Antiqua" w:hAnsi="Book Antiqua"/>
                                  <w:b/>
                                  <w:szCs w:val="20"/>
                                </w:rPr>
                                <w:t>AKI cases</w:t>
                              </w:r>
                            </w:p>
                            <w:p w14:paraId="56C2805B" w14:textId="77777777" w:rsidR="000B32EA" w:rsidRPr="00657CA3" w:rsidRDefault="000B32EA" w:rsidP="00657CA3">
                              <w:pPr>
                                <w:jc w:val="center"/>
                                <w:rPr>
                                  <w:rFonts w:ascii="Book Antiqua" w:hAnsi="Book Antiqua"/>
                                  <w:b/>
                                  <w:szCs w:val="20"/>
                                </w:rPr>
                              </w:pPr>
                              <w:r w:rsidRPr="00657CA3">
                                <w:rPr>
                                  <w:rFonts w:ascii="Book Antiqua" w:hAnsi="Book Antiqua"/>
                                  <w:b/>
                                  <w:szCs w:val="20"/>
                                </w:rPr>
                                <w:t>n=35</w:t>
                              </w:r>
                            </w:p>
                          </w:txbxContent>
                        </wps:txbx>
                        <wps:bodyPr rot="0" vert="horz" wrap="square" lIns="91440" tIns="45720" rIns="91440" bIns="45720" anchor="t" anchorCtr="0" upright="1">
                          <a:noAutofit/>
                        </wps:bodyPr>
                      </wps:wsp>
                      <wps:wsp>
                        <wps:cNvPr id="8" name="Line 42"/>
                        <wps:cNvCnPr>
                          <a:cxnSpLocks noChangeShapeType="1"/>
                        </wps:cNvCnPr>
                        <wps:spPr bwMode="auto">
                          <a:xfrm flipH="1">
                            <a:off x="1828800" y="194310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43"/>
                        <wps:cNvCnPr>
                          <a:cxnSpLocks noChangeShapeType="1"/>
                        </wps:cNvCnPr>
                        <wps:spPr bwMode="auto">
                          <a:xfrm>
                            <a:off x="3086100" y="1600200"/>
                            <a:ext cx="685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44"/>
                        <wps:cNvSpPr>
                          <a:spLocks noChangeArrowheads="1"/>
                        </wps:cNvSpPr>
                        <wps:spPr bwMode="auto">
                          <a:xfrm>
                            <a:off x="685800" y="3886200"/>
                            <a:ext cx="914400" cy="1028700"/>
                          </a:xfrm>
                          <a:prstGeom prst="rect">
                            <a:avLst/>
                          </a:prstGeom>
                          <a:solidFill>
                            <a:srgbClr val="FFFFFF"/>
                          </a:solidFill>
                          <a:ln w="9525">
                            <a:solidFill>
                              <a:srgbClr val="000000"/>
                            </a:solidFill>
                            <a:miter lim="800000"/>
                            <a:headEnd/>
                            <a:tailEnd/>
                          </a:ln>
                        </wps:spPr>
                        <wps:txbx>
                          <w:txbxContent>
                            <w:p w14:paraId="190839C1" w14:textId="77777777" w:rsidR="000B32EA" w:rsidRPr="008B348C" w:rsidRDefault="000B32EA" w:rsidP="00657CA3">
                              <w:pPr>
                                <w:rPr>
                                  <w:rFonts w:ascii="Book Antiqua" w:hAnsi="Book Antiqua"/>
                                  <w:b/>
                                  <w:sz w:val="20"/>
                                  <w:szCs w:val="20"/>
                                </w:rPr>
                              </w:pPr>
                              <w:r w:rsidRPr="008B348C">
                                <w:rPr>
                                  <w:rFonts w:ascii="Book Antiqua" w:hAnsi="Book Antiqua"/>
                                  <w:b/>
                                  <w:sz w:val="20"/>
                                  <w:szCs w:val="20"/>
                                </w:rPr>
                                <w:t>Idiopathic scoliosis cases</w:t>
                              </w:r>
                            </w:p>
                            <w:p w14:paraId="6B9C715C" w14:textId="77777777" w:rsidR="000B32EA" w:rsidRPr="008B348C" w:rsidRDefault="000B32EA" w:rsidP="00657CA3">
                              <w:pPr>
                                <w:rPr>
                                  <w:rFonts w:ascii="Book Antiqua" w:hAnsi="Book Antiqua"/>
                                  <w:b/>
                                  <w:sz w:val="20"/>
                                  <w:szCs w:val="20"/>
                                </w:rPr>
                              </w:pPr>
                            </w:p>
                            <w:p w14:paraId="6BB5C4DD" w14:textId="77777777" w:rsidR="000B32EA" w:rsidRPr="008B348C" w:rsidRDefault="000B32EA" w:rsidP="00657CA3">
                              <w:pPr>
                                <w:rPr>
                                  <w:rFonts w:ascii="Book Antiqua" w:hAnsi="Book Antiqua"/>
                                  <w:b/>
                                  <w:sz w:val="20"/>
                                  <w:szCs w:val="20"/>
                                </w:rPr>
                              </w:pPr>
                            </w:p>
                            <w:p w14:paraId="374E4899" w14:textId="77777777" w:rsidR="000B32EA" w:rsidRPr="008B348C" w:rsidRDefault="000B32EA" w:rsidP="00657CA3">
                              <w:pPr>
                                <w:jc w:val="center"/>
                                <w:rPr>
                                  <w:rFonts w:ascii="Book Antiqua" w:hAnsi="Book Antiqua"/>
                                  <w:b/>
                                  <w:sz w:val="20"/>
                                  <w:szCs w:val="20"/>
                                </w:rPr>
                              </w:pPr>
                              <w:r w:rsidRPr="008B348C">
                                <w:rPr>
                                  <w:rFonts w:ascii="Book Antiqua" w:hAnsi="Book Antiqua"/>
                                  <w:b/>
                                  <w:sz w:val="20"/>
                                  <w:szCs w:val="20"/>
                                </w:rPr>
                                <w:t>n=24</w:t>
                              </w:r>
                            </w:p>
                            <w:p w14:paraId="5143E83A" w14:textId="77777777" w:rsidR="000B32EA" w:rsidRPr="008B348C" w:rsidRDefault="000B32EA" w:rsidP="00657CA3">
                              <w:pPr>
                                <w:rPr>
                                  <w:rFonts w:ascii="Book Antiqua" w:hAnsi="Book Antiqua"/>
                                  <w:b/>
                                  <w:sz w:val="20"/>
                                  <w:szCs w:val="20"/>
                                </w:rPr>
                              </w:pPr>
                            </w:p>
                          </w:txbxContent>
                        </wps:txbx>
                        <wps:bodyPr rot="0" vert="horz" wrap="square" lIns="91440" tIns="45720" rIns="91440" bIns="45720" anchor="t" anchorCtr="0" upright="1">
                          <a:noAutofit/>
                        </wps:bodyPr>
                      </wps:wsp>
                      <wps:wsp>
                        <wps:cNvPr id="11" name="Line 45"/>
                        <wps:cNvCnPr>
                          <a:cxnSpLocks noChangeShapeType="1"/>
                        </wps:cNvCnPr>
                        <wps:spPr bwMode="auto">
                          <a:xfrm flipH="1">
                            <a:off x="1143000" y="308610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6"/>
                        <wps:cNvCnPr>
                          <a:cxnSpLocks noChangeShapeType="1"/>
                        </wps:cNvCnPr>
                        <wps:spPr bwMode="auto">
                          <a:xfrm>
                            <a:off x="1714500" y="3086100"/>
                            <a:ext cx="342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7"/>
                        <wps:cNvCnPr>
                          <a:cxnSpLocks noChangeShapeType="1"/>
                        </wps:cNvCnPr>
                        <wps:spPr bwMode="auto">
                          <a:xfrm flipH="1">
                            <a:off x="3543300" y="3086100"/>
                            <a:ext cx="2286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8"/>
                        <wps:cNvCnPr>
                          <a:cxnSpLocks noChangeShapeType="1"/>
                        </wps:cNvCnPr>
                        <wps:spPr bwMode="auto">
                          <a:xfrm>
                            <a:off x="3771900" y="3086100"/>
                            <a:ext cx="8001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49"/>
                        <wps:cNvSpPr txBox="1">
                          <a:spLocks noChangeArrowheads="1"/>
                        </wps:cNvSpPr>
                        <wps:spPr bwMode="auto">
                          <a:xfrm>
                            <a:off x="1714500" y="1028700"/>
                            <a:ext cx="1943100" cy="914400"/>
                          </a:xfrm>
                          <a:prstGeom prst="rect">
                            <a:avLst/>
                          </a:prstGeom>
                          <a:solidFill>
                            <a:srgbClr val="FFFFFF"/>
                          </a:solidFill>
                          <a:ln w="9525">
                            <a:solidFill>
                              <a:srgbClr val="000000"/>
                            </a:solidFill>
                            <a:miter lim="800000"/>
                            <a:headEnd/>
                            <a:tailEnd/>
                          </a:ln>
                        </wps:spPr>
                        <wps:txbx>
                          <w:txbxContent>
                            <w:p w14:paraId="2F1A8F2B" w14:textId="77777777" w:rsidR="000B32EA" w:rsidRPr="00657CA3" w:rsidRDefault="000B32EA" w:rsidP="00657CA3">
                              <w:pPr>
                                <w:jc w:val="center"/>
                                <w:rPr>
                                  <w:rFonts w:ascii="Book Antiqua" w:hAnsi="Book Antiqua"/>
                                  <w:b/>
                                  <w:szCs w:val="20"/>
                                </w:rPr>
                              </w:pPr>
                            </w:p>
                            <w:p w14:paraId="28F3353F" w14:textId="77777777" w:rsidR="000B32EA" w:rsidRPr="00657CA3" w:rsidRDefault="000B32EA" w:rsidP="00657CA3">
                              <w:pPr>
                                <w:jc w:val="center"/>
                                <w:rPr>
                                  <w:rFonts w:ascii="Book Antiqua" w:hAnsi="Book Antiqua"/>
                                  <w:b/>
                                  <w:szCs w:val="20"/>
                                  <w:lang w:val="en-GB"/>
                                </w:rPr>
                              </w:pPr>
                              <w:r w:rsidRPr="00657CA3">
                                <w:rPr>
                                  <w:rFonts w:ascii="Book Antiqua" w:hAnsi="Book Antiqua"/>
                                  <w:b/>
                                  <w:szCs w:val="20"/>
                                  <w:lang w:val="en-GB"/>
                                </w:rPr>
                                <w:t>Cohort</w:t>
                              </w:r>
                              <w:r w:rsidRPr="00657CA3">
                                <w:rPr>
                                  <w:rFonts w:ascii="Book Antiqua" w:hAnsi="Book Antiqua" w:hint="eastAsia"/>
                                  <w:b/>
                                  <w:szCs w:val="20"/>
                                  <w:vertAlign w:val="superscript"/>
                                  <w:lang w:val="en-GB" w:eastAsia="zh-CN"/>
                                </w:rPr>
                                <w:t>1</w:t>
                              </w:r>
                              <w:r w:rsidRPr="00657CA3">
                                <w:rPr>
                                  <w:rFonts w:ascii="Book Antiqua" w:hAnsi="Book Antiqua"/>
                                  <w:b/>
                                  <w:szCs w:val="20"/>
                                  <w:lang w:val="en-GB"/>
                                </w:rPr>
                                <w:t>:</w:t>
                              </w:r>
                            </w:p>
                            <w:p w14:paraId="154E7673" w14:textId="77777777" w:rsidR="000B32EA" w:rsidRPr="00657CA3" w:rsidRDefault="000B32EA" w:rsidP="00657CA3">
                              <w:pPr>
                                <w:jc w:val="center"/>
                                <w:rPr>
                                  <w:rFonts w:ascii="Book Antiqua" w:hAnsi="Book Antiqua"/>
                                  <w:b/>
                                  <w:szCs w:val="20"/>
                                  <w:lang w:val="en-GB"/>
                                </w:rPr>
                              </w:pPr>
                            </w:p>
                            <w:p w14:paraId="7E22D4F8" w14:textId="77777777" w:rsidR="000B32EA" w:rsidRPr="00657CA3" w:rsidRDefault="000B32EA" w:rsidP="00657CA3">
                              <w:pPr>
                                <w:jc w:val="center"/>
                                <w:rPr>
                                  <w:rFonts w:ascii="Book Antiqua" w:hAnsi="Book Antiqua"/>
                                  <w:b/>
                                  <w:szCs w:val="20"/>
                                  <w:lang w:val="en-GB"/>
                                </w:rPr>
                              </w:pPr>
                              <w:r w:rsidRPr="00657CA3">
                                <w:rPr>
                                  <w:rFonts w:ascii="Book Antiqua" w:hAnsi="Book Antiqua"/>
                                  <w:b/>
                                  <w:szCs w:val="20"/>
                                  <w:lang w:val="en-GB"/>
                                </w:rPr>
                                <w:t>n=208</w:t>
                              </w:r>
                            </w:p>
                          </w:txbxContent>
                        </wps:txbx>
                        <wps:bodyPr rot="0" vert="horz" wrap="square" lIns="91440" tIns="45720" rIns="91440" bIns="45720" anchor="t" anchorCtr="0" upright="1">
                          <a:noAutofit/>
                        </wps:bodyPr>
                      </wps:wsp>
                      <wps:wsp>
                        <wps:cNvPr id="16" name="Rectangle 50"/>
                        <wps:cNvSpPr>
                          <a:spLocks noChangeArrowheads="1"/>
                        </wps:cNvSpPr>
                        <wps:spPr bwMode="auto">
                          <a:xfrm>
                            <a:off x="1714500" y="3886200"/>
                            <a:ext cx="914400" cy="1028700"/>
                          </a:xfrm>
                          <a:prstGeom prst="rect">
                            <a:avLst/>
                          </a:prstGeom>
                          <a:solidFill>
                            <a:srgbClr val="FFFFFF"/>
                          </a:solidFill>
                          <a:ln w="9525">
                            <a:solidFill>
                              <a:srgbClr val="000000"/>
                            </a:solidFill>
                            <a:miter lim="800000"/>
                            <a:headEnd/>
                            <a:tailEnd/>
                          </a:ln>
                        </wps:spPr>
                        <wps:txbx>
                          <w:txbxContent>
                            <w:p w14:paraId="57844CB9" w14:textId="77777777" w:rsidR="000B32EA" w:rsidRPr="008B348C" w:rsidRDefault="000B32EA" w:rsidP="00657CA3">
                              <w:pPr>
                                <w:rPr>
                                  <w:rFonts w:ascii="Book Antiqua" w:hAnsi="Book Antiqua"/>
                                  <w:b/>
                                  <w:sz w:val="20"/>
                                  <w:szCs w:val="20"/>
                                  <w:lang w:val="fr-FR"/>
                                </w:rPr>
                              </w:pPr>
                              <w:r w:rsidRPr="008B348C">
                                <w:rPr>
                                  <w:rFonts w:ascii="Book Antiqua" w:hAnsi="Book Antiqua"/>
                                  <w:b/>
                                  <w:sz w:val="20"/>
                                  <w:szCs w:val="20"/>
                                  <w:lang w:val="fr-FR"/>
                                </w:rPr>
                                <w:t>Non- idiopathic scoliosis</w:t>
                              </w:r>
                            </w:p>
                            <w:p w14:paraId="09802AA1" w14:textId="77777777" w:rsidR="000B32EA" w:rsidRPr="008B348C" w:rsidRDefault="000B32EA" w:rsidP="00657CA3">
                              <w:pPr>
                                <w:rPr>
                                  <w:rFonts w:ascii="Book Antiqua" w:hAnsi="Book Antiqua"/>
                                  <w:b/>
                                  <w:sz w:val="20"/>
                                  <w:szCs w:val="20"/>
                                  <w:lang w:val="fr-FR"/>
                                </w:rPr>
                              </w:pPr>
                              <w:r w:rsidRPr="008B348C">
                                <w:rPr>
                                  <w:rFonts w:ascii="Book Antiqua" w:hAnsi="Book Antiqua"/>
                                  <w:b/>
                                  <w:sz w:val="20"/>
                                  <w:szCs w:val="20"/>
                                  <w:lang w:val="fr-FR"/>
                                </w:rPr>
                                <w:t>cases</w:t>
                              </w:r>
                            </w:p>
                            <w:p w14:paraId="14F018AA" w14:textId="77777777" w:rsidR="000B32EA" w:rsidRPr="008B348C" w:rsidRDefault="000B32EA" w:rsidP="00657CA3">
                              <w:pPr>
                                <w:rPr>
                                  <w:rFonts w:ascii="Book Antiqua" w:hAnsi="Book Antiqua"/>
                                  <w:b/>
                                  <w:sz w:val="20"/>
                                  <w:szCs w:val="20"/>
                                  <w:lang w:val="fr-FR"/>
                                </w:rPr>
                              </w:pPr>
                            </w:p>
                            <w:p w14:paraId="59EEF1BF" w14:textId="77777777" w:rsidR="000B32EA" w:rsidRPr="008B348C" w:rsidRDefault="000B32EA" w:rsidP="00657CA3">
                              <w:pPr>
                                <w:jc w:val="center"/>
                                <w:rPr>
                                  <w:rFonts w:ascii="Book Antiqua" w:hAnsi="Book Antiqua"/>
                                  <w:b/>
                                  <w:sz w:val="20"/>
                                  <w:szCs w:val="20"/>
                                  <w:lang w:val="fr-FR"/>
                                </w:rPr>
                              </w:pPr>
                              <w:r w:rsidRPr="008B348C">
                                <w:rPr>
                                  <w:rFonts w:ascii="Book Antiqua" w:hAnsi="Book Antiqua"/>
                                  <w:b/>
                                  <w:sz w:val="20"/>
                                  <w:szCs w:val="20"/>
                                  <w:lang w:val="fr-FR"/>
                                </w:rPr>
                                <w:t>n=11</w:t>
                              </w:r>
                            </w:p>
                            <w:p w14:paraId="3EBD0ADF" w14:textId="77777777" w:rsidR="000B32EA" w:rsidRPr="008B348C" w:rsidRDefault="000B32EA" w:rsidP="00657CA3">
                              <w:pPr>
                                <w:rPr>
                                  <w:rFonts w:ascii="Book Antiqua" w:hAnsi="Book Antiqua"/>
                                  <w:b/>
                                  <w:sz w:val="20"/>
                                  <w:szCs w:val="20"/>
                                  <w:lang w:val="fr-FR"/>
                                </w:rPr>
                              </w:pPr>
                            </w:p>
                          </w:txbxContent>
                        </wps:txbx>
                        <wps:bodyPr rot="0" vert="horz" wrap="square" lIns="91440" tIns="45720" rIns="91440" bIns="45720" anchor="t" anchorCtr="0" upright="1">
                          <a:noAutofit/>
                        </wps:bodyPr>
                      </wps:wsp>
                      <wps:wsp>
                        <wps:cNvPr id="17" name="Rectangle 51"/>
                        <wps:cNvSpPr>
                          <a:spLocks noChangeArrowheads="1"/>
                        </wps:cNvSpPr>
                        <wps:spPr bwMode="auto">
                          <a:xfrm>
                            <a:off x="3086100" y="3886200"/>
                            <a:ext cx="914400" cy="1028700"/>
                          </a:xfrm>
                          <a:prstGeom prst="rect">
                            <a:avLst/>
                          </a:prstGeom>
                          <a:solidFill>
                            <a:srgbClr val="FFFFFF"/>
                          </a:solidFill>
                          <a:ln w="9525">
                            <a:solidFill>
                              <a:srgbClr val="000000"/>
                            </a:solidFill>
                            <a:miter lim="800000"/>
                            <a:headEnd/>
                            <a:tailEnd/>
                          </a:ln>
                        </wps:spPr>
                        <wps:txbx>
                          <w:txbxContent>
                            <w:p w14:paraId="222AE7A3" w14:textId="77777777" w:rsidR="000B32EA" w:rsidRPr="008B348C" w:rsidRDefault="000B32EA" w:rsidP="00657CA3">
                              <w:pPr>
                                <w:rPr>
                                  <w:rFonts w:ascii="Book Antiqua" w:hAnsi="Book Antiqua"/>
                                  <w:b/>
                                  <w:sz w:val="20"/>
                                  <w:szCs w:val="20"/>
                                </w:rPr>
                              </w:pPr>
                              <w:r w:rsidRPr="008B348C">
                                <w:rPr>
                                  <w:rFonts w:ascii="Book Antiqua" w:hAnsi="Book Antiqua"/>
                                  <w:b/>
                                  <w:sz w:val="20"/>
                                  <w:szCs w:val="20"/>
                                </w:rPr>
                                <w:t>Idiopathic scoliosis</w:t>
                              </w:r>
                            </w:p>
                            <w:p w14:paraId="63051761" w14:textId="77777777" w:rsidR="000B32EA" w:rsidRPr="008B348C" w:rsidRDefault="000B32EA" w:rsidP="00657CA3">
                              <w:pPr>
                                <w:rPr>
                                  <w:rFonts w:ascii="Book Antiqua" w:hAnsi="Book Antiqua"/>
                                  <w:b/>
                                  <w:sz w:val="20"/>
                                  <w:szCs w:val="20"/>
                                </w:rPr>
                              </w:pPr>
                              <w:r w:rsidRPr="008B348C">
                                <w:rPr>
                                  <w:rFonts w:ascii="Book Antiqua" w:hAnsi="Book Antiqua"/>
                                  <w:b/>
                                  <w:sz w:val="20"/>
                                  <w:szCs w:val="20"/>
                                </w:rPr>
                                <w:t>controls</w:t>
                              </w:r>
                            </w:p>
                            <w:p w14:paraId="555EC2CC" w14:textId="77777777" w:rsidR="000B32EA" w:rsidRPr="008B348C" w:rsidRDefault="000B32EA" w:rsidP="00657CA3">
                              <w:pPr>
                                <w:rPr>
                                  <w:rFonts w:ascii="Book Antiqua" w:hAnsi="Book Antiqua"/>
                                  <w:b/>
                                  <w:sz w:val="20"/>
                                  <w:szCs w:val="20"/>
                                </w:rPr>
                              </w:pPr>
                            </w:p>
                            <w:p w14:paraId="2F63EECB" w14:textId="77777777" w:rsidR="000B32EA" w:rsidRPr="008B348C" w:rsidRDefault="000B32EA" w:rsidP="00657CA3">
                              <w:pPr>
                                <w:rPr>
                                  <w:rFonts w:ascii="Book Antiqua" w:hAnsi="Book Antiqua"/>
                                  <w:b/>
                                  <w:sz w:val="20"/>
                                  <w:szCs w:val="20"/>
                                </w:rPr>
                              </w:pPr>
                            </w:p>
                            <w:p w14:paraId="27CC9DB1" w14:textId="77777777" w:rsidR="000B32EA" w:rsidRPr="008B348C" w:rsidRDefault="000B32EA" w:rsidP="00657CA3">
                              <w:pPr>
                                <w:jc w:val="center"/>
                                <w:rPr>
                                  <w:rFonts w:ascii="Book Antiqua" w:hAnsi="Book Antiqua"/>
                                  <w:b/>
                                  <w:sz w:val="20"/>
                                  <w:szCs w:val="20"/>
                                </w:rPr>
                              </w:pPr>
                              <w:r w:rsidRPr="008B348C">
                                <w:rPr>
                                  <w:rFonts w:ascii="Book Antiqua" w:hAnsi="Book Antiqua"/>
                                  <w:b/>
                                  <w:sz w:val="20"/>
                                  <w:szCs w:val="20"/>
                                </w:rPr>
                                <w:t>n=24</w:t>
                              </w:r>
                            </w:p>
                            <w:p w14:paraId="6FCA4EC3" w14:textId="77777777" w:rsidR="000B32EA" w:rsidRPr="008B348C" w:rsidRDefault="000B32EA" w:rsidP="00657CA3">
                              <w:pPr>
                                <w:rPr>
                                  <w:rFonts w:ascii="Book Antiqua" w:hAnsi="Book Antiqua"/>
                                  <w:b/>
                                  <w:sz w:val="20"/>
                                  <w:szCs w:val="20"/>
                                </w:rPr>
                              </w:pPr>
                            </w:p>
                          </w:txbxContent>
                        </wps:txbx>
                        <wps:bodyPr rot="0" vert="horz" wrap="square" lIns="91440" tIns="45720" rIns="91440" bIns="45720" anchor="t" anchorCtr="0" upright="1">
                          <a:noAutofit/>
                        </wps:bodyPr>
                      </wps:wsp>
                      <wps:wsp>
                        <wps:cNvPr id="18" name="Rectangle 52"/>
                        <wps:cNvSpPr>
                          <a:spLocks noChangeArrowheads="1"/>
                        </wps:cNvSpPr>
                        <wps:spPr bwMode="auto">
                          <a:xfrm>
                            <a:off x="4114800" y="3886200"/>
                            <a:ext cx="914400" cy="1028700"/>
                          </a:xfrm>
                          <a:prstGeom prst="rect">
                            <a:avLst/>
                          </a:prstGeom>
                          <a:solidFill>
                            <a:srgbClr val="FFFFFF"/>
                          </a:solidFill>
                          <a:ln w="9525">
                            <a:solidFill>
                              <a:srgbClr val="000000"/>
                            </a:solidFill>
                            <a:miter lim="800000"/>
                            <a:headEnd/>
                            <a:tailEnd/>
                          </a:ln>
                        </wps:spPr>
                        <wps:txbx>
                          <w:txbxContent>
                            <w:p w14:paraId="106B14C7" w14:textId="77777777" w:rsidR="000B32EA" w:rsidRPr="008B348C" w:rsidRDefault="000B32EA" w:rsidP="00657CA3">
                              <w:pPr>
                                <w:rPr>
                                  <w:rFonts w:ascii="Book Antiqua" w:hAnsi="Book Antiqua"/>
                                  <w:b/>
                                  <w:sz w:val="20"/>
                                  <w:szCs w:val="20"/>
                                  <w:lang w:val="fr-FR"/>
                                </w:rPr>
                              </w:pPr>
                              <w:r w:rsidRPr="008B348C">
                                <w:rPr>
                                  <w:rFonts w:ascii="Book Antiqua" w:hAnsi="Book Antiqua"/>
                                  <w:b/>
                                  <w:sz w:val="20"/>
                                  <w:szCs w:val="20"/>
                                  <w:lang w:val="fr-FR"/>
                                </w:rPr>
                                <w:t>Non- idiopathic scoliosis</w:t>
                              </w:r>
                            </w:p>
                            <w:p w14:paraId="7708E1AB" w14:textId="77777777" w:rsidR="000B32EA" w:rsidRPr="008B348C" w:rsidRDefault="000B32EA" w:rsidP="00657CA3">
                              <w:pPr>
                                <w:rPr>
                                  <w:rFonts w:ascii="Book Antiqua" w:hAnsi="Book Antiqua"/>
                                  <w:b/>
                                  <w:sz w:val="20"/>
                                  <w:szCs w:val="20"/>
                                  <w:lang w:val="fr-FR"/>
                                </w:rPr>
                              </w:pPr>
                              <w:r w:rsidRPr="008B348C">
                                <w:rPr>
                                  <w:rFonts w:ascii="Book Antiqua" w:hAnsi="Book Antiqua"/>
                                  <w:b/>
                                  <w:sz w:val="20"/>
                                  <w:szCs w:val="20"/>
                                  <w:lang w:val="fr-FR"/>
                                </w:rPr>
                                <w:t>controls</w:t>
                              </w:r>
                            </w:p>
                            <w:p w14:paraId="2AC652FC" w14:textId="77777777" w:rsidR="000B32EA" w:rsidRPr="008B348C" w:rsidRDefault="000B32EA" w:rsidP="00657CA3">
                              <w:pPr>
                                <w:rPr>
                                  <w:rFonts w:ascii="Book Antiqua" w:hAnsi="Book Antiqua"/>
                                  <w:b/>
                                  <w:sz w:val="20"/>
                                  <w:szCs w:val="20"/>
                                  <w:lang w:val="fr-FR"/>
                                </w:rPr>
                              </w:pPr>
                            </w:p>
                            <w:p w14:paraId="156A5CC0" w14:textId="77777777" w:rsidR="000B32EA" w:rsidRPr="008B348C" w:rsidRDefault="000B32EA" w:rsidP="00657CA3">
                              <w:pPr>
                                <w:jc w:val="center"/>
                                <w:rPr>
                                  <w:rFonts w:ascii="Book Antiqua" w:hAnsi="Book Antiqua"/>
                                  <w:b/>
                                  <w:sz w:val="20"/>
                                  <w:szCs w:val="20"/>
                                  <w:lang w:val="fr-FR"/>
                                </w:rPr>
                              </w:pPr>
                              <w:r w:rsidRPr="008B348C">
                                <w:rPr>
                                  <w:rFonts w:ascii="Book Antiqua" w:hAnsi="Book Antiqua"/>
                                  <w:b/>
                                  <w:sz w:val="20"/>
                                  <w:szCs w:val="20"/>
                                  <w:lang w:val="fr-FR"/>
                                </w:rPr>
                                <w:t>n=12</w:t>
                              </w:r>
                            </w:p>
                          </w:txbxContent>
                        </wps:txbx>
                        <wps:bodyPr rot="0" vert="horz" wrap="square" lIns="91440" tIns="45720" rIns="91440" bIns="45720" anchor="t" anchorCtr="0" upright="1">
                          <a:noAutofit/>
                        </wps:bodyPr>
                      </wps:wsp>
                      <wps:wsp>
                        <wps:cNvPr id="19" name="Rectangle 53"/>
                        <wps:cNvSpPr>
                          <a:spLocks noChangeArrowheads="1"/>
                        </wps:cNvSpPr>
                        <wps:spPr bwMode="auto">
                          <a:xfrm>
                            <a:off x="3086100" y="2628900"/>
                            <a:ext cx="1371600" cy="457200"/>
                          </a:xfrm>
                          <a:prstGeom prst="rect">
                            <a:avLst/>
                          </a:prstGeom>
                          <a:solidFill>
                            <a:srgbClr val="FFFFFF"/>
                          </a:solidFill>
                          <a:ln w="9525">
                            <a:solidFill>
                              <a:srgbClr val="000000"/>
                            </a:solidFill>
                            <a:miter lim="800000"/>
                            <a:headEnd/>
                            <a:tailEnd/>
                          </a:ln>
                        </wps:spPr>
                        <wps:txbx>
                          <w:txbxContent>
                            <w:p w14:paraId="1B821422" w14:textId="77777777" w:rsidR="000B32EA" w:rsidRPr="00657CA3" w:rsidRDefault="000B32EA" w:rsidP="00657CA3">
                              <w:pPr>
                                <w:jc w:val="center"/>
                                <w:rPr>
                                  <w:rFonts w:ascii="Book Antiqua" w:hAnsi="Book Antiqua"/>
                                  <w:b/>
                                  <w:vertAlign w:val="superscript"/>
                                </w:rPr>
                              </w:pPr>
                              <w:r w:rsidRPr="00657CA3">
                                <w:rPr>
                                  <w:rFonts w:ascii="Book Antiqua" w:hAnsi="Book Antiqua"/>
                                </w:rPr>
                                <w:t xml:space="preserve"> </w:t>
                              </w:r>
                              <w:r w:rsidRPr="00657CA3">
                                <w:rPr>
                                  <w:rFonts w:ascii="Book Antiqua" w:hAnsi="Book Antiqua"/>
                                  <w:b/>
                                </w:rPr>
                                <w:t>Controls</w:t>
                              </w:r>
                              <w:r w:rsidRPr="00657CA3">
                                <w:rPr>
                                  <w:rFonts w:ascii="Book Antiqua" w:hAnsi="Book Antiqua" w:cs="Arial" w:hint="eastAsia"/>
                                  <w:b/>
                                  <w:vertAlign w:val="superscript"/>
                                  <w:lang w:val="en-GB" w:eastAsia="zh-CN"/>
                                </w:rPr>
                                <w:t>2</w:t>
                              </w:r>
                            </w:p>
                            <w:p w14:paraId="684B1BBD" w14:textId="77777777" w:rsidR="000B32EA" w:rsidRPr="00657CA3" w:rsidRDefault="000B32EA" w:rsidP="00657CA3">
                              <w:pPr>
                                <w:jc w:val="center"/>
                                <w:rPr>
                                  <w:rFonts w:ascii="Book Antiqua" w:hAnsi="Book Antiqua"/>
                                  <w:b/>
                                </w:rPr>
                              </w:pPr>
                              <w:r w:rsidRPr="00657CA3">
                                <w:rPr>
                                  <w:rFonts w:ascii="Book Antiqua" w:hAnsi="Book Antiqua"/>
                                  <w:b/>
                                </w:rPr>
                                <w:t>n=36</w:t>
                              </w:r>
                            </w:p>
                            <w:p w14:paraId="24741520" w14:textId="77777777" w:rsidR="000B32EA" w:rsidRPr="008B348C" w:rsidRDefault="000B32EA" w:rsidP="00657CA3">
                              <w:pPr>
                                <w:jc w:val="center"/>
                                <w:rPr>
                                  <w:rFonts w:ascii="Book Antiqua" w:hAnsi="Book Antiqua"/>
                                  <w:b/>
                                  <w:sz w:val="20"/>
                                  <w:szCs w:val="20"/>
                                </w:rPr>
                              </w:pPr>
                              <w:r w:rsidRPr="008B348C">
                                <w:rPr>
                                  <w:rFonts w:ascii="Book Antiqua" w:hAnsi="Book Antiqua"/>
                                  <w:sz w:val="20"/>
                                  <w:szCs w:val="20"/>
                                </w:rPr>
                                <w:t xml:space="preserve">     </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xmlns:mv="urn:schemas-microsoft-com:mac:vml" xmlns:mo="http://schemas.microsoft.com/office/mac/office/2008/main">
            <w:pict>
              <v:group w14:anchorId="6ED0DC71" id="Papier 39" o:spid="_x0000_s1026" editas="canvas" style="width:450pt;height:459pt;mso-position-horizontal-relative:char;mso-position-vertical-relative:line" coordsize="57150,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&#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58293;visibility:visible;mso-wrap-style:square">
                  <v:fill o:detectmouseclick="t"/>
                  <v:path o:connecttype="none"/>
                </v:shape>
                <v:rect id="Rectangle 41" o:spid="_x0000_s1028" style="position:absolute;left:11430;top:26289;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45BBF568" w14:textId="77777777" w:rsidR="000B32EA" w:rsidRPr="00657CA3" w:rsidRDefault="000B32EA" w:rsidP="00657CA3">
                        <w:pPr>
                          <w:rPr>
                            <w:rFonts w:ascii="Book Antiqua" w:hAnsi="Book Antiqua"/>
                            <w:szCs w:val="20"/>
                          </w:rPr>
                        </w:pPr>
                        <w:r w:rsidRPr="00657CA3">
                          <w:rPr>
                            <w:rFonts w:ascii="Book Antiqua" w:hAnsi="Book Antiqua"/>
                            <w:szCs w:val="20"/>
                          </w:rPr>
                          <w:t xml:space="preserve">      </w:t>
                        </w:r>
                        <w:r w:rsidRPr="00657CA3">
                          <w:rPr>
                            <w:rFonts w:ascii="Book Antiqua" w:hAnsi="Book Antiqua"/>
                            <w:b/>
                            <w:szCs w:val="20"/>
                          </w:rPr>
                          <w:t>AKI cases</w:t>
                        </w:r>
                      </w:p>
                      <w:p w14:paraId="56C2805B" w14:textId="77777777" w:rsidR="000B32EA" w:rsidRPr="00657CA3" w:rsidRDefault="000B32EA" w:rsidP="00657CA3">
                        <w:pPr>
                          <w:jc w:val="center"/>
                          <w:rPr>
                            <w:rFonts w:ascii="Book Antiqua" w:hAnsi="Book Antiqua"/>
                            <w:b/>
                            <w:szCs w:val="20"/>
                          </w:rPr>
                        </w:pPr>
                        <w:r w:rsidRPr="00657CA3">
                          <w:rPr>
                            <w:rFonts w:ascii="Book Antiqua" w:hAnsi="Book Antiqua"/>
                            <w:b/>
                            <w:szCs w:val="20"/>
                          </w:rPr>
                          <w:t>n=35</w:t>
                        </w:r>
                      </w:p>
                    </w:txbxContent>
                  </v:textbox>
                </v:rect>
                <v:line id="Line 42" o:spid="_x0000_s1029" style="position:absolute;flip:x;visibility:visible;mso-wrap-style:square" from="18288,19431" to="2171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43" o:spid="_x0000_s1030" style="position:absolute;visibility:visible;mso-wrap-style:square" from="30861,16002" to="37719,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44" o:spid="_x0000_s1031" style="position:absolute;left:6858;top:38862;width:914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190839C1" w14:textId="77777777" w:rsidR="000B32EA" w:rsidRPr="008B348C" w:rsidRDefault="000B32EA" w:rsidP="00657CA3">
                        <w:pPr>
                          <w:rPr>
                            <w:rFonts w:ascii="Book Antiqua" w:hAnsi="Book Antiqua"/>
                            <w:b/>
                            <w:sz w:val="20"/>
                            <w:szCs w:val="20"/>
                          </w:rPr>
                        </w:pPr>
                        <w:r w:rsidRPr="008B348C">
                          <w:rPr>
                            <w:rFonts w:ascii="Book Antiqua" w:hAnsi="Book Antiqua"/>
                            <w:b/>
                            <w:sz w:val="20"/>
                            <w:szCs w:val="20"/>
                          </w:rPr>
                          <w:t>Idiopathic scoliosis cases</w:t>
                        </w:r>
                      </w:p>
                      <w:p w14:paraId="6B9C715C" w14:textId="77777777" w:rsidR="000B32EA" w:rsidRPr="008B348C" w:rsidRDefault="000B32EA" w:rsidP="00657CA3">
                        <w:pPr>
                          <w:rPr>
                            <w:rFonts w:ascii="Book Antiqua" w:hAnsi="Book Antiqua"/>
                            <w:b/>
                            <w:sz w:val="20"/>
                            <w:szCs w:val="20"/>
                          </w:rPr>
                        </w:pPr>
                      </w:p>
                      <w:p w14:paraId="6BB5C4DD" w14:textId="77777777" w:rsidR="000B32EA" w:rsidRPr="008B348C" w:rsidRDefault="000B32EA" w:rsidP="00657CA3">
                        <w:pPr>
                          <w:rPr>
                            <w:rFonts w:ascii="Book Antiqua" w:hAnsi="Book Antiqua"/>
                            <w:b/>
                            <w:sz w:val="20"/>
                            <w:szCs w:val="20"/>
                          </w:rPr>
                        </w:pPr>
                      </w:p>
                      <w:p w14:paraId="374E4899" w14:textId="77777777" w:rsidR="000B32EA" w:rsidRPr="008B348C" w:rsidRDefault="000B32EA" w:rsidP="00657CA3">
                        <w:pPr>
                          <w:jc w:val="center"/>
                          <w:rPr>
                            <w:rFonts w:ascii="Book Antiqua" w:hAnsi="Book Antiqua"/>
                            <w:b/>
                            <w:sz w:val="20"/>
                            <w:szCs w:val="20"/>
                          </w:rPr>
                        </w:pPr>
                        <w:r w:rsidRPr="008B348C">
                          <w:rPr>
                            <w:rFonts w:ascii="Book Antiqua" w:hAnsi="Book Antiqua"/>
                            <w:b/>
                            <w:sz w:val="20"/>
                            <w:szCs w:val="20"/>
                          </w:rPr>
                          <w:t>n=24</w:t>
                        </w:r>
                      </w:p>
                      <w:p w14:paraId="5143E83A" w14:textId="77777777" w:rsidR="000B32EA" w:rsidRPr="008B348C" w:rsidRDefault="000B32EA" w:rsidP="00657CA3">
                        <w:pPr>
                          <w:rPr>
                            <w:rFonts w:ascii="Book Antiqua" w:hAnsi="Book Antiqua"/>
                            <w:b/>
                            <w:sz w:val="20"/>
                            <w:szCs w:val="20"/>
                          </w:rPr>
                        </w:pPr>
                      </w:p>
                    </w:txbxContent>
                  </v:textbox>
                </v:rect>
                <v:line id="Line 45" o:spid="_x0000_s1032" style="position:absolute;flip:x;visibility:visible;mso-wrap-style:square" from="11430,30861" to="1714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46" o:spid="_x0000_s1033" style="position:absolute;visibility:visible;mso-wrap-style:square" from="17145,30861" to="20574,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47" o:spid="_x0000_s1034" style="position:absolute;flip:x;visibility:visible;mso-wrap-style:square" from="35433,30861" to="3771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48" o:spid="_x0000_s1035" style="position:absolute;visibility:visible;mso-wrap-style:square" from="37719,30861" to="45720,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49" o:spid="_x0000_s1036" type="#_x0000_t202" style="position:absolute;left:17145;top:10287;width:1943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2F1A8F2B" w14:textId="77777777" w:rsidR="000B32EA" w:rsidRPr="00657CA3" w:rsidRDefault="000B32EA" w:rsidP="00657CA3">
                        <w:pPr>
                          <w:jc w:val="center"/>
                          <w:rPr>
                            <w:rFonts w:ascii="Book Antiqua" w:hAnsi="Book Antiqua"/>
                            <w:b/>
                            <w:szCs w:val="20"/>
                          </w:rPr>
                        </w:pPr>
                      </w:p>
                      <w:p w14:paraId="28F3353F" w14:textId="77777777" w:rsidR="000B32EA" w:rsidRPr="00657CA3" w:rsidRDefault="000B32EA" w:rsidP="00657CA3">
                        <w:pPr>
                          <w:jc w:val="center"/>
                          <w:rPr>
                            <w:rFonts w:ascii="Book Antiqua" w:hAnsi="Book Antiqua"/>
                            <w:b/>
                            <w:szCs w:val="20"/>
                            <w:lang w:val="en-GB"/>
                          </w:rPr>
                        </w:pPr>
                        <w:r w:rsidRPr="00657CA3">
                          <w:rPr>
                            <w:rFonts w:ascii="Book Antiqua" w:hAnsi="Book Antiqua"/>
                            <w:b/>
                            <w:szCs w:val="20"/>
                            <w:lang w:val="en-GB"/>
                          </w:rPr>
                          <w:t>Cohort</w:t>
                        </w:r>
                        <w:r w:rsidRPr="00657CA3">
                          <w:rPr>
                            <w:rFonts w:ascii="Book Antiqua" w:hAnsi="Book Antiqua" w:hint="eastAsia"/>
                            <w:b/>
                            <w:szCs w:val="20"/>
                            <w:vertAlign w:val="superscript"/>
                            <w:lang w:val="en-GB" w:eastAsia="zh-CN"/>
                          </w:rPr>
                          <w:t>1</w:t>
                        </w:r>
                        <w:r w:rsidRPr="00657CA3">
                          <w:rPr>
                            <w:rFonts w:ascii="Book Antiqua" w:hAnsi="Book Antiqua"/>
                            <w:b/>
                            <w:szCs w:val="20"/>
                            <w:lang w:val="en-GB"/>
                          </w:rPr>
                          <w:t>:</w:t>
                        </w:r>
                      </w:p>
                      <w:p w14:paraId="154E7673" w14:textId="77777777" w:rsidR="000B32EA" w:rsidRPr="00657CA3" w:rsidRDefault="000B32EA" w:rsidP="00657CA3">
                        <w:pPr>
                          <w:jc w:val="center"/>
                          <w:rPr>
                            <w:rFonts w:ascii="Book Antiqua" w:hAnsi="Book Antiqua"/>
                            <w:b/>
                            <w:szCs w:val="20"/>
                            <w:lang w:val="en-GB"/>
                          </w:rPr>
                        </w:pPr>
                      </w:p>
                      <w:p w14:paraId="7E22D4F8" w14:textId="77777777" w:rsidR="000B32EA" w:rsidRPr="00657CA3" w:rsidRDefault="000B32EA" w:rsidP="00657CA3">
                        <w:pPr>
                          <w:jc w:val="center"/>
                          <w:rPr>
                            <w:rFonts w:ascii="Book Antiqua" w:hAnsi="Book Antiqua"/>
                            <w:b/>
                            <w:szCs w:val="20"/>
                            <w:lang w:val="en-GB"/>
                          </w:rPr>
                        </w:pPr>
                        <w:r w:rsidRPr="00657CA3">
                          <w:rPr>
                            <w:rFonts w:ascii="Book Antiqua" w:hAnsi="Book Antiqua"/>
                            <w:b/>
                            <w:szCs w:val="20"/>
                            <w:lang w:val="en-GB"/>
                          </w:rPr>
                          <w:t>n=208</w:t>
                        </w:r>
                      </w:p>
                    </w:txbxContent>
                  </v:textbox>
                </v:shape>
                <v:rect id="Rectangle 50" o:spid="_x0000_s1037" style="position:absolute;left:17145;top:38862;width:914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57844CB9" w14:textId="77777777" w:rsidR="000B32EA" w:rsidRPr="008B348C" w:rsidRDefault="000B32EA" w:rsidP="00657CA3">
                        <w:pPr>
                          <w:rPr>
                            <w:rFonts w:ascii="Book Antiqua" w:hAnsi="Book Antiqua"/>
                            <w:b/>
                            <w:sz w:val="20"/>
                            <w:szCs w:val="20"/>
                            <w:lang w:val="fr-FR"/>
                          </w:rPr>
                        </w:pPr>
                        <w:r w:rsidRPr="008B348C">
                          <w:rPr>
                            <w:rFonts w:ascii="Book Antiqua" w:hAnsi="Book Antiqua"/>
                            <w:b/>
                            <w:sz w:val="20"/>
                            <w:szCs w:val="20"/>
                            <w:lang w:val="fr-FR"/>
                          </w:rPr>
                          <w:t>Non- idiopathic scoliosis</w:t>
                        </w:r>
                      </w:p>
                      <w:p w14:paraId="09802AA1" w14:textId="77777777" w:rsidR="000B32EA" w:rsidRPr="008B348C" w:rsidRDefault="000B32EA" w:rsidP="00657CA3">
                        <w:pPr>
                          <w:rPr>
                            <w:rFonts w:ascii="Book Antiqua" w:hAnsi="Book Antiqua"/>
                            <w:b/>
                            <w:sz w:val="20"/>
                            <w:szCs w:val="20"/>
                            <w:lang w:val="fr-FR"/>
                          </w:rPr>
                        </w:pPr>
                        <w:r w:rsidRPr="008B348C">
                          <w:rPr>
                            <w:rFonts w:ascii="Book Antiqua" w:hAnsi="Book Antiqua"/>
                            <w:b/>
                            <w:sz w:val="20"/>
                            <w:szCs w:val="20"/>
                            <w:lang w:val="fr-FR"/>
                          </w:rPr>
                          <w:t>cases</w:t>
                        </w:r>
                      </w:p>
                      <w:p w14:paraId="14F018AA" w14:textId="77777777" w:rsidR="000B32EA" w:rsidRPr="008B348C" w:rsidRDefault="000B32EA" w:rsidP="00657CA3">
                        <w:pPr>
                          <w:rPr>
                            <w:rFonts w:ascii="Book Antiqua" w:hAnsi="Book Antiqua"/>
                            <w:b/>
                            <w:sz w:val="20"/>
                            <w:szCs w:val="20"/>
                            <w:lang w:val="fr-FR"/>
                          </w:rPr>
                        </w:pPr>
                      </w:p>
                      <w:p w14:paraId="59EEF1BF" w14:textId="77777777" w:rsidR="000B32EA" w:rsidRPr="008B348C" w:rsidRDefault="000B32EA" w:rsidP="00657CA3">
                        <w:pPr>
                          <w:jc w:val="center"/>
                          <w:rPr>
                            <w:rFonts w:ascii="Book Antiqua" w:hAnsi="Book Antiqua"/>
                            <w:b/>
                            <w:sz w:val="20"/>
                            <w:szCs w:val="20"/>
                            <w:lang w:val="fr-FR"/>
                          </w:rPr>
                        </w:pPr>
                        <w:r w:rsidRPr="008B348C">
                          <w:rPr>
                            <w:rFonts w:ascii="Book Antiqua" w:hAnsi="Book Antiqua"/>
                            <w:b/>
                            <w:sz w:val="20"/>
                            <w:szCs w:val="20"/>
                            <w:lang w:val="fr-FR"/>
                          </w:rPr>
                          <w:t>n=11</w:t>
                        </w:r>
                      </w:p>
                      <w:p w14:paraId="3EBD0ADF" w14:textId="77777777" w:rsidR="000B32EA" w:rsidRPr="008B348C" w:rsidRDefault="000B32EA" w:rsidP="00657CA3">
                        <w:pPr>
                          <w:rPr>
                            <w:rFonts w:ascii="Book Antiqua" w:hAnsi="Book Antiqua"/>
                            <w:b/>
                            <w:sz w:val="20"/>
                            <w:szCs w:val="20"/>
                            <w:lang w:val="fr-FR"/>
                          </w:rPr>
                        </w:pPr>
                      </w:p>
                    </w:txbxContent>
                  </v:textbox>
                </v:rect>
                <v:rect id="Rectangle 51" o:spid="_x0000_s1038" style="position:absolute;left:30861;top:38862;width:914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222AE7A3" w14:textId="77777777" w:rsidR="000B32EA" w:rsidRPr="008B348C" w:rsidRDefault="000B32EA" w:rsidP="00657CA3">
                        <w:pPr>
                          <w:rPr>
                            <w:rFonts w:ascii="Book Antiqua" w:hAnsi="Book Antiqua"/>
                            <w:b/>
                            <w:sz w:val="20"/>
                            <w:szCs w:val="20"/>
                          </w:rPr>
                        </w:pPr>
                        <w:r w:rsidRPr="008B348C">
                          <w:rPr>
                            <w:rFonts w:ascii="Book Antiqua" w:hAnsi="Book Antiqua"/>
                            <w:b/>
                            <w:sz w:val="20"/>
                            <w:szCs w:val="20"/>
                          </w:rPr>
                          <w:t>Idiopathic scoliosis</w:t>
                        </w:r>
                      </w:p>
                      <w:p w14:paraId="63051761" w14:textId="77777777" w:rsidR="000B32EA" w:rsidRPr="008B348C" w:rsidRDefault="000B32EA" w:rsidP="00657CA3">
                        <w:pPr>
                          <w:rPr>
                            <w:rFonts w:ascii="Book Antiqua" w:hAnsi="Book Antiqua"/>
                            <w:b/>
                            <w:sz w:val="20"/>
                            <w:szCs w:val="20"/>
                          </w:rPr>
                        </w:pPr>
                        <w:r w:rsidRPr="008B348C">
                          <w:rPr>
                            <w:rFonts w:ascii="Book Antiqua" w:hAnsi="Book Antiqua"/>
                            <w:b/>
                            <w:sz w:val="20"/>
                            <w:szCs w:val="20"/>
                          </w:rPr>
                          <w:t>controls</w:t>
                        </w:r>
                      </w:p>
                      <w:p w14:paraId="555EC2CC" w14:textId="77777777" w:rsidR="000B32EA" w:rsidRPr="008B348C" w:rsidRDefault="000B32EA" w:rsidP="00657CA3">
                        <w:pPr>
                          <w:rPr>
                            <w:rFonts w:ascii="Book Antiqua" w:hAnsi="Book Antiqua"/>
                            <w:b/>
                            <w:sz w:val="20"/>
                            <w:szCs w:val="20"/>
                          </w:rPr>
                        </w:pPr>
                      </w:p>
                      <w:p w14:paraId="2F63EECB" w14:textId="77777777" w:rsidR="000B32EA" w:rsidRPr="008B348C" w:rsidRDefault="000B32EA" w:rsidP="00657CA3">
                        <w:pPr>
                          <w:rPr>
                            <w:rFonts w:ascii="Book Antiqua" w:hAnsi="Book Antiqua"/>
                            <w:b/>
                            <w:sz w:val="20"/>
                            <w:szCs w:val="20"/>
                          </w:rPr>
                        </w:pPr>
                      </w:p>
                      <w:p w14:paraId="27CC9DB1" w14:textId="77777777" w:rsidR="000B32EA" w:rsidRPr="008B348C" w:rsidRDefault="000B32EA" w:rsidP="00657CA3">
                        <w:pPr>
                          <w:jc w:val="center"/>
                          <w:rPr>
                            <w:rFonts w:ascii="Book Antiqua" w:hAnsi="Book Antiqua"/>
                            <w:b/>
                            <w:sz w:val="20"/>
                            <w:szCs w:val="20"/>
                          </w:rPr>
                        </w:pPr>
                        <w:r w:rsidRPr="008B348C">
                          <w:rPr>
                            <w:rFonts w:ascii="Book Antiqua" w:hAnsi="Book Antiqua"/>
                            <w:b/>
                            <w:sz w:val="20"/>
                            <w:szCs w:val="20"/>
                          </w:rPr>
                          <w:t>n=24</w:t>
                        </w:r>
                      </w:p>
                      <w:p w14:paraId="6FCA4EC3" w14:textId="77777777" w:rsidR="000B32EA" w:rsidRPr="008B348C" w:rsidRDefault="000B32EA" w:rsidP="00657CA3">
                        <w:pPr>
                          <w:rPr>
                            <w:rFonts w:ascii="Book Antiqua" w:hAnsi="Book Antiqua"/>
                            <w:b/>
                            <w:sz w:val="20"/>
                            <w:szCs w:val="20"/>
                          </w:rPr>
                        </w:pPr>
                      </w:p>
                    </w:txbxContent>
                  </v:textbox>
                </v:rect>
                <v:rect id="Rectangle 52" o:spid="_x0000_s1039" style="position:absolute;left:41148;top:38862;width:914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106B14C7" w14:textId="77777777" w:rsidR="000B32EA" w:rsidRPr="008B348C" w:rsidRDefault="000B32EA" w:rsidP="00657CA3">
                        <w:pPr>
                          <w:rPr>
                            <w:rFonts w:ascii="Book Antiqua" w:hAnsi="Book Antiqua"/>
                            <w:b/>
                            <w:sz w:val="20"/>
                            <w:szCs w:val="20"/>
                            <w:lang w:val="fr-FR"/>
                          </w:rPr>
                        </w:pPr>
                        <w:r w:rsidRPr="008B348C">
                          <w:rPr>
                            <w:rFonts w:ascii="Book Antiqua" w:hAnsi="Book Antiqua"/>
                            <w:b/>
                            <w:sz w:val="20"/>
                            <w:szCs w:val="20"/>
                            <w:lang w:val="fr-FR"/>
                          </w:rPr>
                          <w:t>Non- idiopathic scoliosis</w:t>
                        </w:r>
                      </w:p>
                      <w:p w14:paraId="7708E1AB" w14:textId="77777777" w:rsidR="000B32EA" w:rsidRPr="008B348C" w:rsidRDefault="000B32EA" w:rsidP="00657CA3">
                        <w:pPr>
                          <w:rPr>
                            <w:rFonts w:ascii="Book Antiqua" w:hAnsi="Book Antiqua"/>
                            <w:b/>
                            <w:sz w:val="20"/>
                            <w:szCs w:val="20"/>
                            <w:lang w:val="fr-FR"/>
                          </w:rPr>
                        </w:pPr>
                        <w:r w:rsidRPr="008B348C">
                          <w:rPr>
                            <w:rFonts w:ascii="Book Antiqua" w:hAnsi="Book Antiqua"/>
                            <w:b/>
                            <w:sz w:val="20"/>
                            <w:szCs w:val="20"/>
                            <w:lang w:val="fr-FR"/>
                          </w:rPr>
                          <w:t>controls</w:t>
                        </w:r>
                      </w:p>
                      <w:p w14:paraId="2AC652FC" w14:textId="77777777" w:rsidR="000B32EA" w:rsidRPr="008B348C" w:rsidRDefault="000B32EA" w:rsidP="00657CA3">
                        <w:pPr>
                          <w:rPr>
                            <w:rFonts w:ascii="Book Antiqua" w:hAnsi="Book Antiqua"/>
                            <w:b/>
                            <w:sz w:val="20"/>
                            <w:szCs w:val="20"/>
                            <w:lang w:val="fr-FR"/>
                          </w:rPr>
                        </w:pPr>
                      </w:p>
                      <w:p w14:paraId="156A5CC0" w14:textId="77777777" w:rsidR="000B32EA" w:rsidRPr="008B348C" w:rsidRDefault="000B32EA" w:rsidP="00657CA3">
                        <w:pPr>
                          <w:jc w:val="center"/>
                          <w:rPr>
                            <w:rFonts w:ascii="Book Antiqua" w:hAnsi="Book Antiqua"/>
                            <w:b/>
                            <w:sz w:val="20"/>
                            <w:szCs w:val="20"/>
                            <w:lang w:val="fr-FR"/>
                          </w:rPr>
                        </w:pPr>
                        <w:r w:rsidRPr="008B348C">
                          <w:rPr>
                            <w:rFonts w:ascii="Book Antiqua" w:hAnsi="Book Antiqua"/>
                            <w:b/>
                            <w:sz w:val="20"/>
                            <w:szCs w:val="20"/>
                            <w:lang w:val="fr-FR"/>
                          </w:rPr>
                          <w:t>n=12</w:t>
                        </w:r>
                      </w:p>
                    </w:txbxContent>
                  </v:textbox>
                </v:rect>
                <v:rect id="Rectangle 53" o:spid="_x0000_s1040" style="position:absolute;left:30861;top:26289;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1B821422" w14:textId="77777777" w:rsidR="000B32EA" w:rsidRPr="00657CA3" w:rsidRDefault="000B32EA" w:rsidP="00657CA3">
                        <w:pPr>
                          <w:jc w:val="center"/>
                          <w:rPr>
                            <w:rFonts w:ascii="Book Antiqua" w:hAnsi="Book Antiqua"/>
                            <w:b/>
                            <w:vertAlign w:val="superscript"/>
                          </w:rPr>
                        </w:pPr>
                        <w:r w:rsidRPr="00657CA3">
                          <w:rPr>
                            <w:rFonts w:ascii="Book Antiqua" w:hAnsi="Book Antiqua"/>
                          </w:rPr>
                          <w:t xml:space="preserve"> </w:t>
                        </w:r>
                        <w:r w:rsidRPr="00657CA3">
                          <w:rPr>
                            <w:rFonts w:ascii="Book Antiqua" w:hAnsi="Book Antiqua"/>
                            <w:b/>
                          </w:rPr>
                          <w:t>Controls</w:t>
                        </w:r>
                        <w:r w:rsidRPr="00657CA3">
                          <w:rPr>
                            <w:rFonts w:ascii="Book Antiqua" w:hAnsi="Book Antiqua" w:cs="Arial" w:hint="eastAsia"/>
                            <w:b/>
                            <w:vertAlign w:val="superscript"/>
                            <w:lang w:val="en-GB" w:eastAsia="zh-CN"/>
                          </w:rPr>
                          <w:t>2</w:t>
                        </w:r>
                      </w:p>
                      <w:p w14:paraId="684B1BBD" w14:textId="77777777" w:rsidR="000B32EA" w:rsidRPr="00657CA3" w:rsidRDefault="000B32EA" w:rsidP="00657CA3">
                        <w:pPr>
                          <w:jc w:val="center"/>
                          <w:rPr>
                            <w:rFonts w:ascii="Book Antiqua" w:hAnsi="Book Antiqua"/>
                            <w:b/>
                          </w:rPr>
                        </w:pPr>
                        <w:r w:rsidRPr="00657CA3">
                          <w:rPr>
                            <w:rFonts w:ascii="Book Antiqua" w:hAnsi="Book Antiqua"/>
                            <w:b/>
                          </w:rPr>
                          <w:t>n=36</w:t>
                        </w:r>
                      </w:p>
                      <w:p w14:paraId="24741520" w14:textId="77777777" w:rsidR="000B32EA" w:rsidRPr="008B348C" w:rsidRDefault="000B32EA" w:rsidP="00657CA3">
                        <w:pPr>
                          <w:jc w:val="center"/>
                          <w:rPr>
                            <w:rFonts w:ascii="Book Antiqua" w:hAnsi="Book Antiqua"/>
                            <w:b/>
                            <w:sz w:val="20"/>
                            <w:szCs w:val="20"/>
                          </w:rPr>
                        </w:pPr>
                        <w:r w:rsidRPr="008B348C">
                          <w:rPr>
                            <w:rFonts w:ascii="Book Antiqua" w:hAnsi="Book Antiqua"/>
                            <w:sz w:val="20"/>
                            <w:szCs w:val="20"/>
                          </w:rPr>
                          <w:t xml:space="preserve">     </w:t>
                        </w:r>
                      </w:p>
                    </w:txbxContent>
                  </v:textbox>
                </v:rect>
                <w10:anchorlock/>
              </v:group>
            </w:pict>
          </mc:Fallback>
        </mc:AlternateContent>
      </w:r>
    </w:p>
    <w:p w14:paraId="54347493"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7B690936"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b/>
          <w:bCs/>
          <w:lang w:val="en-GB"/>
        </w:rPr>
        <w:t>Figure 1</w:t>
      </w:r>
      <w:r w:rsidR="00657CA3" w:rsidRPr="003B7DDC">
        <w:rPr>
          <w:rFonts w:ascii="Book Antiqua" w:hAnsi="Book Antiqua" w:cs="Arial"/>
          <w:b/>
          <w:bCs/>
          <w:lang w:val="en-GB" w:eastAsia="zh-CN"/>
        </w:rPr>
        <w:t xml:space="preserve"> </w:t>
      </w:r>
      <w:r w:rsidRPr="003B7DDC">
        <w:rPr>
          <w:rFonts w:ascii="Book Antiqua" w:hAnsi="Book Antiqua" w:cs="Arial"/>
          <w:b/>
          <w:bCs/>
          <w:lang w:val="en-GB"/>
        </w:rPr>
        <w:t>Patient flow chart</w:t>
      </w:r>
      <w:r w:rsidR="00657CA3" w:rsidRPr="003B7DDC">
        <w:rPr>
          <w:rFonts w:ascii="Book Antiqua" w:hAnsi="Book Antiqua" w:cs="Arial"/>
          <w:b/>
          <w:bCs/>
          <w:lang w:val="en-GB" w:eastAsia="zh-CN"/>
        </w:rPr>
        <w:t xml:space="preserve">. </w:t>
      </w:r>
      <w:r w:rsidR="00657CA3" w:rsidRPr="003B7DDC">
        <w:rPr>
          <w:rFonts w:ascii="Book Antiqua" w:hAnsi="Book Antiqua"/>
          <w:vertAlign w:val="superscript"/>
          <w:lang w:val="en-GB" w:eastAsia="zh-CN"/>
        </w:rPr>
        <w:t>1</w:t>
      </w:r>
      <w:r w:rsidRPr="003B7DDC">
        <w:rPr>
          <w:rFonts w:ascii="Book Antiqua" w:hAnsi="Book Antiqua" w:cs="Arial"/>
          <w:lang w:val="en-GB"/>
        </w:rPr>
        <w:t>The cohort consists of all patients undergoing spinal instrumentation surgery between January 2006 and December 2008 at British Columbia Children’s Hospital (Vancouver, Canada)</w:t>
      </w:r>
      <w:r w:rsidR="00657CA3" w:rsidRPr="003B7DDC">
        <w:rPr>
          <w:rFonts w:ascii="Book Antiqua" w:hAnsi="Book Antiqua" w:cs="Arial"/>
          <w:lang w:val="en-GB" w:eastAsia="zh-CN"/>
        </w:rPr>
        <w:t xml:space="preserve">; </w:t>
      </w:r>
      <w:r w:rsidR="00657CA3" w:rsidRPr="003B7DDC">
        <w:rPr>
          <w:rFonts w:ascii="Book Antiqua" w:hAnsi="Book Antiqua" w:cs="Arial"/>
          <w:vertAlign w:val="superscript"/>
          <w:lang w:val="en-GB" w:eastAsia="zh-CN"/>
        </w:rPr>
        <w:t>2</w:t>
      </w:r>
      <w:r w:rsidRPr="003B7DDC">
        <w:rPr>
          <w:rFonts w:ascii="Book Antiqua" w:hAnsi="Book Antiqua" w:cs="Arial"/>
          <w:lang w:val="en-GB"/>
        </w:rPr>
        <w:t xml:space="preserve">Controls were matched for sex, age, and underlying diagnosis (idiopathic </w:t>
      </w:r>
      <w:r w:rsidR="001F041C" w:rsidRPr="003B7DDC">
        <w:rPr>
          <w:rFonts w:ascii="Book Antiqua" w:hAnsi="Book Antiqua" w:cs="Arial"/>
          <w:i/>
          <w:lang w:val="en-GB"/>
        </w:rPr>
        <w:t>vs</w:t>
      </w:r>
      <w:r w:rsidRPr="003B7DDC">
        <w:rPr>
          <w:rFonts w:ascii="Book Antiqua" w:hAnsi="Book Antiqua" w:cs="Arial"/>
          <w:lang w:val="en-GB"/>
        </w:rPr>
        <w:t xml:space="preserve"> non-idiopathic scoliosis).</w:t>
      </w:r>
    </w:p>
    <w:p w14:paraId="07934658" w14:textId="77777777" w:rsidR="001954DC" w:rsidRPr="003B7DDC" w:rsidRDefault="00C2498C" w:rsidP="001954DC">
      <w:pPr>
        <w:autoSpaceDE w:val="0"/>
        <w:autoSpaceDN w:val="0"/>
        <w:adjustRightInd w:val="0"/>
        <w:snapToGrid w:val="0"/>
        <w:spacing w:line="360" w:lineRule="auto"/>
        <w:jc w:val="both"/>
        <w:rPr>
          <w:rFonts w:ascii="Book Antiqua" w:hAnsi="Book Antiqua" w:cs="Arial"/>
          <w:lang w:val="nl" w:eastAsia="zh-CN"/>
        </w:rPr>
      </w:pPr>
      <w:r w:rsidRPr="003B7DDC">
        <w:rPr>
          <w:rFonts w:ascii="Book Antiqua" w:hAnsi="Book Antiqua" w:cs="Arial"/>
          <w:lang w:val="en-GB"/>
        </w:rPr>
        <w:br w:type="page"/>
      </w:r>
      <w:r w:rsidR="001954DC" w:rsidRPr="003B7DDC">
        <w:rPr>
          <w:rFonts w:ascii="Book Antiqua" w:hAnsi="Book Antiqua" w:cs="Arial"/>
          <w:b/>
          <w:lang w:val="nl" w:eastAsia="zh-CN"/>
        </w:rPr>
        <w:lastRenderedPageBreak/>
        <w:t>A</w:t>
      </w:r>
      <w:r w:rsidR="0069444B" w:rsidRPr="003B7DDC">
        <w:rPr>
          <w:rFonts w:ascii="Book Antiqua" w:hAnsi="Book Antiqua" w:cs="Arial"/>
          <w:lang w:val="en-US" w:eastAsia="zh-CN"/>
        </w:rPr>
        <mc:AlternateContent>
          <mc:Choice Requires="wps">
            <w:drawing>
              <wp:inline distT="0" distB="0" distL="0" distR="0" wp14:anchorId="3C91AF9E" wp14:editId="3C0B1046">
                <wp:extent cx="5495925" cy="3423920"/>
                <wp:effectExtent l="9525" t="8255" r="9525" b="6350"/>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423920"/>
                        </a:xfrm>
                        <a:prstGeom prst="rect">
                          <a:avLst/>
                        </a:prstGeom>
                        <a:solidFill>
                          <a:srgbClr val="FFFFFF"/>
                        </a:solidFill>
                        <a:ln w="9525">
                          <a:solidFill>
                            <a:srgbClr val="000000"/>
                          </a:solidFill>
                          <a:miter lim="800000"/>
                          <a:headEnd/>
                          <a:tailEnd/>
                        </a:ln>
                      </wps:spPr>
                      <wps:txbx>
                        <w:txbxContent>
                          <w:p w14:paraId="0C23FAFC" w14:textId="77777777" w:rsidR="000B32EA" w:rsidRPr="00B35224" w:rsidRDefault="000B32EA" w:rsidP="001954DC">
                            <w:pPr>
                              <w:autoSpaceDE w:val="0"/>
                              <w:autoSpaceDN w:val="0"/>
                              <w:adjustRightInd w:val="0"/>
                              <w:spacing w:line="360" w:lineRule="auto"/>
                              <w:rPr>
                                <w:rFonts w:ascii="Book Antiqua" w:hAnsi="Book Antiqua" w:cs="Arial"/>
                                <w:lang w:val="en-GB"/>
                              </w:rPr>
                            </w:pPr>
                            <w:r w:rsidRPr="008E0D39">
                              <w:rPr>
                                <w:rFonts w:ascii="Book Antiqua" w:hAnsi="Book Antiqua" w:cs="Arial"/>
                                <w:lang w:val="en-US" w:eastAsia="zh-CN"/>
                              </w:rPr>
                              <w:drawing>
                                <wp:inline distT="0" distB="0" distL="0" distR="0" wp14:anchorId="09817D2F" wp14:editId="47AC28C0">
                                  <wp:extent cx="5686425" cy="32289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3228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xmlns:w15="http://schemas.microsoft.com/office/word/2012/wordml" xmlns:mv="urn:schemas-microsoft-com:mac:vml" xmlns:mo="http://schemas.microsoft.com/office/mac/office/2008/main">
            <w:pict>
              <v:shape w14:anchorId="3C91AF9E" id="Text Box 57" o:spid="_x0000_s1041" type="#_x0000_t202" style="width:432.75pt;height:269.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">
                <v:textbox style="mso-fit-shape-to-text:t">
                  <w:txbxContent>
                    <w:p w14:paraId="0C23FAFC" w14:textId="77777777" w:rsidR="000B32EA" w:rsidRPr="00B35224" w:rsidRDefault="000B32EA" w:rsidP="001954DC">
                      <w:pPr>
                        <w:autoSpaceDE w:val="0"/>
                        <w:autoSpaceDN w:val="0"/>
                        <w:adjustRightInd w:val="0"/>
                        <w:spacing w:line="360" w:lineRule="auto"/>
                        <w:rPr>
                          <w:rFonts w:ascii="Book Antiqua" w:hAnsi="Book Antiqua" w:cs="Arial"/>
                          <w:lang w:val="en-GB"/>
                        </w:rPr>
                      </w:pPr>
                      <w:r w:rsidRPr="008E0D39">
                        <w:rPr>
                          <w:rFonts w:ascii="Book Antiqua" w:hAnsi="Book Antiqua" w:cs="Arial"/>
                          <w:lang w:eastAsia="nl-NL"/>
                        </w:rPr>
                        <w:drawing>
                          <wp:inline distT="0" distB="0" distL="0" distR="0" wp14:anchorId="09817D2F" wp14:editId="47AC28C0">
                            <wp:extent cx="5686425" cy="32289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3228975"/>
                                    </a:xfrm>
                                    <a:prstGeom prst="rect">
                                      <a:avLst/>
                                    </a:prstGeom>
                                    <a:noFill/>
                                    <a:ln>
                                      <a:noFill/>
                                    </a:ln>
                                  </pic:spPr>
                                </pic:pic>
                              </a:graphicData>
                            </a:graphic>
                          </wp:inline>
                        </w:drawing>
                      </w:r>
                    </w:p>
                  </w:txbxContent>
                </v:textbox>
                <w10:anchorlock/>
              </v:shape>
            </w:pict>
          </mc:Fallback>
        </mc:AlternateContent>
      </w:r>
    </w:p>
    <w:p w14:paraId="37FE5CD6" w14:textId="77777777" w:rsidR="001954DC" w:rsidRPr="003B7DDC" w:rsidRDefault="0069444B" w:rsidP="001954DC">
      <w:pPr>
        <w:autoSpaceDE w:val="0"/>
        <w:autoSpaceDN w:val="0"/>
        <w:adjustRightInd w:val="0"/>
        <w:snapToGrid w:val="0"/>
        <w:spacing w:line="360" w:lineRule="auto"/>
        <w:jc w:val="both"/>
        <w:rPr>
          <w:rFonts w:ascii="Book Antiqua" w:hAnsi="Book Antiqua" w:cs="Arial"/>
          <w:lang w:val="en-GB" w:eastAsia="zh-CN"/>
        </w:rPr>
      </w:pPr>
      <w:r w:rsidRPr="003B7DDC">
        <w:rPr>
          <w:rFonts w:ascii="Book Antiqua" w:hAnsi="Book Antiqua" w:cs="Arial"/>
          <w:b/>
          <w:lang w:val="en-US" w:eastAsia="zh-CN"/>
        </w:rPr>
        <mc:AlternateContent>
          <mc:Choice Requires="wps">
            <w:drawing>
              <wp:anchor distT="0" distB="0" distL="114300" distR="114300" simplePos="0" relativeHeight="251656704" behindDoc="0" locked="0" layoutInCell="1" allowOverlap="1" wp14:anchorId="0F7C1909" wp14:editId="26D92C50">
                <wp:simplePos x="0" y="0"/>
                <wp:positionH relativeFrom="column">
                  <wp:posOffset>3524250</wp:posOffset>
                </wp:positionH>
                <wp:positionV relativeFrom="paragraph">
                  <wp:posOffset>-3408680</wp:posOffset>
                </wp:positionV>
                <wp:extent cx="1971675" cy="800100"/>
                <wp:effectExtent l="9525" t="9525" r="9525" b="952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00100"/>
                        </a:xfrm>
                        <a:prstGeom prst="rect">
                          <a:avLst/>
                        </a:prstGeom>
                        <a:solidFill>
                          <a:srgbClr val="FFFFFF"/>
                        </a:solidFill>
                        <a:ln w="9525">
                          <a:solidFill>
                            <a:srgbClr val="000000"/>
                          </a:solidFill>
                          <a:miter lim="800000"/>
                          <a:headEnd/>
                          <a:tailEnd/>
                        </a:ln>
                      </wps:spPr>
                      <wps:txbx>
                        <w:txbxContent>
                          <w:p w14:paraId="1814DA66" w14:textId="77777777" w:rsidR="000B32EA" w:rsidRPr="00883B30" w:rsidRDefault="000B32EA" w:rsidP="00874041">
                            <w:pPr>
                              <w:autoSpaceDE w:val="0"/>
                              <w:autoSpaceDN w:val="0"/>
                              <w:adjustRightInd w:val="0"/>
                              <w:spacing w:line="360" w:lineRule="auto"/>
                              <w:rPr>
                                <w:rFonts w:ascii="Book Antiqua" w:hAnsi="Book Antiqua" w:cs="Arial"/>
                                <w:sz w:val="20"/>
                                <w:szCs w:val="20"/>
                                <w:lang w:val="en-GB"/>
                              </w:rPr>
                            </w:pPr>
                            <w:r w:rsidRPr="00883B30">
                              <w:rPr>
                                <w:rFonts w:ascii="Book Antiqua" w:hAnsi="Book Antiqua" w:cs="Arial"/>
                                <w:sz w:val="20"/>
                                <w:szCs w:val="20"/>
                                <w:lang w:val="en-GB"/>
                              </w:rPr>
                              <w:t>Fluid tertile 1: &lt; 5.4 mL/kg/h</w:t>
                            </w:r>
                          </w:p>
                          <w:p w14:paraId="730B2C81" w14:textId="77777777" w:rsidR="000B32EA" w:rsidRPr="00883B30" w:rsidRDefault="000B32EA" w:rsidP="00874041">
                            <w:pPr>
                              <w:autoSpaceDE w:val="0"/>
                              <w:autoSpaceDN w:val="0"/>
                              <w:adjustRightInd w:val="0"/>
                              <w:spacing w:line="360" w:lineRule="auto"/>
                              <w:rPr>
                                <w:rFonts w:ascii="Book Antiqua" w:hAnsi="Book Antiqua" w:cs="Arial"/>
                                <w:sz w:val="20"/>
                                <w:szCs w:val="20"/>
                                <w:lang w:val="en-GB"/>
                              </w:rPr>
                            </w:pPr>
                            <w:r>
                              <w:rPr>
                                <w:rFonts w:ascii="Book Antiqua" w:hAnsi="Book Antiqua" w:cs="Arial"/>
                                <w:sz w:val="20"/>
                                <w:szCs w:val="20"/>
                                <w:lang w:val="en-GB"/>
                              </w:rPr>
                              <w:t>Fluid tertile 2: 5.4</w:t>
                            </w:r>
                            <w:r>
                              <w:rPr>
                                <w:rFonts w:ascii="Book Antiqua" w:hAnsi="Book Antiqua" w:cs="Arial" w:hint="eastAsia"/>
                                <w:sz w:val="20"/>
                                <w:szCs w:val="20"/>
                                <w:lang w:val="en-GB" w:eastAsia="zh-CN"/>
                              </w:rPr>
                              <w:t>-</w:t>
                            </w:r>
                            <w:r w:rsidRPr="00883B30">
                              <w:rPr>
                                <w:rFonts w:ascii="Book Antiqua" w:hAnsi="Book Antiqua" w:cs="Arial"/>
                                <w:sz w:val="20"/>
                                <w:szCs w:val="20"/>
                                <w:lang w:val="en-GB"/>
                              </w:rPr>
                              <w:t>7.9 mL/kg/h</w:t>
                            </w:r>
                          </w:p>
                          <w:p w14:paraId="0EB74C93" w14:textId="77777777" w:rsidR="000B32EA" w:rsidRPr="00883B30" w:rsidRDefault="000B32EA" w:rsidP="00874041">
                            <w:pPr>
                              <w:autoSpaceDE w:val="0"/>
                              <w:autoSpaceDN w:val="0"/>
                              <w:adjustRightInd w:val="0"/>
                              <w:spacing w:line="360" w:lineRule="auto"/>
                              <w:rPr>
                                <w:rFonts w:ascii="Book Antiqua" w:hAnsi="Book Antiqua" w:cs="Arial"/>
                                <w:sz w:val="20"/>
                                <w:szCs w:val="20"/>
                                <w:lang w:val="en-GB"/>
                              </w:rPr>
                            </w:pPr>
                            <w:r w:rsidRPr="00883B30">
                              <w:rPr>
                                <w:rFonts w:ascii="Book Antiqua" w:hAnsi="Book Antiqua" w:cs="Arial"/>
                                <w:sz w:val="20"/>
                                <w:szCs w:val="20"/>
                                <w:lang w:val="en-GB"/>
                              </w:rPr>
                              <w:t>Fluid tertile 3: &gt; 7.9 mL/kg/h</w:t>
                            </w:r>
                          </w:p>
                          <w:p w14:paraId="290152AF" w14:textId="77777777" w:rsidR="000B32EA" w:rsidRDefault="000B32EA" w:rsidP="00874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F7C1909" id="Text Box 55" o:spid="_x0000_s1042" type="#_x0000_t202" style="position:absolute;left:0;text-align:left;margin-left:277.5pt;margin-top:-268.4pt;width:155.2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">
                <v:textbox>
                  <w:txbxContent>
                    <w:p w14:paraId="1814DA66" w14:textId="77777777" w:rsidR="000B32EA" w:rsidRPr="00883B30" w:rsidRDefault="000B32EA" w:rsidP="00874041">
                      <w:pPr>
                        <w:autoSpaceDE w:val="0"/>
                        <w:autoSpaceDN w:val="0"/>
                        <w:adjustRightInd w:val="0"/>
                        <w:spacing w:line="360" w:lineRule="auto"/>
                        <w:rPr>
                          <w:rFonts w:ascii="Book Antiqua" w:hAnsi="Book Antiqua" w:cs="Arial"/>
                          <w:sz w:val="20"/>
                          <w:szCs w:val="20"/>
                          <w:lang w:val="en-GB"/>
                        </w:rPr>
                      </w:pPr>
                      <w:r w:rsidRPr="00883B30">
                        <w:rPr>
                          <w:rFonts w:ascii="Book Antiqua" w:hAnsi="Book Antiqua" w:cs="Arial"/>
                          <w:sz w:val="20"/>
                          <w:szCs w:val="20"/>
                          <w:lang w:val="en-GB"/>
                        </w:rPr>
                        <w:t>Fluid tertile 1: &lt; 5.4 mL/kg/h</w:t>
                      </w:r>
                    </w:p>
                    <w:p w14:paraId="730B2C81" w14:textId="77777777" w:rsidR="000B32EA" w:rsidRPr="00883B30" w:rsidRDefault="000B32EA" w:rsidP="00874041">
                      <w:pPr>
                        <w:autoSpaceDE w:val="0"/>
                        <w:autoSpaceDN w:val="0"/>
                        <w:adjustRightInd w:val="0"/>
                        <w:spacing w:line="360" w:lineRule="auto"/>
                        <w:rPr>
                          <w:rFonts w:ascii="Book Antiqua" w:hAnsi="Book Antiqua" w:cs="Arial"/>
                          <w:sz w:val="20"/>
                          <w:szCs w:val="20"/>
                          <w:lang w:val="en-GB"/>
                        </w:rPr>
                      </w:pPr>
                      <w:r>
                        <w:rPr>
                          <w:rFonts w:ascii="Book Antiqua" w:hAnsi="Book Antiqua" w:cs="Arial"/>
                          <w:sz w:val="20"/>
                          <w:szCs w:val="20"/>
                          <w:lang w:val="en-GB"/>
                        </w:rPr>
                        <w:t>Fluid tertile 2: 5.4</w:t>
                      </w:r>
                      <w:r>
                        <w:rPr>
                          <w:rFonts w:ascii="Book Antiqua" w:hAnsi="Book Antiqua" w:cs="Arial" w:hint="eastAsia"/>
                          <w:sz w:val="20"/>
                          <w:szCs w:val="20"/>
                          <w:lang w:val="en-GB" w:eastAsia="zh-CN"/>
                        </w:rPr>
                        <w:t>-</w:t>
                      </w:r>
                      <w:r w:rsidRPr="00883B30">
                        <w:rPr>
                          <w:rFonts w:ascii="Book Antiqua" w:hAnsi="Book Antiqua" w:cs="Arial"/>
                          <w:sz w:val="20"/>
                          <w:szCs w:val="20"/>
                          <w:lang w:val="en-GB"/>
                        </w:rPr>
                        <w:t>7.9 mL/kg/h</w:t>
                      </w:r>
                    </w:p>
                    <w:p w14:paraId="0EB74C93" w14:textId="77777777" w:rsidR="000B32EA" w:rsidRPr="00883B30" w:rsidRDefault="000B32EA" w:rsidP="00874041">
                      <w:pPr>
                        <w:autoSpaceDE w:val="0"/>
                        <w:autoSpaceDN w:val="0"/>
                        <w:adjustRightInd w:val="0"/>
                        <w:spacing w:line="360" w:lineRule="auto"/>
                        <w:rPr>
                          <w:rFonts w:ascii="Book Antiqua" w:hAnsi="Book Antiqua" w:cs="Arial"/>
                          <w:sz w:val="20"/>
                          <w:szCs w:val="20"/>
                          <w:lang w:val="en-GB"/>
                        </w:rPr>
                      </w:pPr>
                      <w:r w:rsidRPr="00883B30">
                        <w:rPr>
                          <w:rFonts w:ascii="Book Antiqua" w:hAnsi="Book Antiqua" w:cs="Arial"/>
                          <w:sz w:val="20"/>
                          <w:szCs w:val="20"/>
                          <w:lang w:val="en-GB"/>
                        </w:rPr>
                        <w:t>Fluid tertile 3: &gt; 7.9 mL/kg/h</w:t>
                      </w:r>
                    </w:p>
                    <w:p w14:paraId="290152AF" w14:textId="77777777" w:rsidR="000B32EA" w:rsidRDefault="000B32EA" w:rsidP="00874041"/>
                  </w:txbxContent>
                </v:textbox>
              </v:shape>
            </w:pict>
          </mc:Fallback>
        </mc:AlternateContent>
      </w:r>
      <w:r w:rsidR="001954DC" w:rsidRPr="003B7DDC">
        <w:rPr>
          <w:rFonts w:ascii="Book Antiqua" w:hAnsi="Book Antiqua" w:cs="Arial"/>
          <w:b/>
          <w:lang w:val="nl" w:eastAsia="zh-CN"/>
        </w:rPr>
        <w:t>B</w:t>
      </w:r>
    </w:p>
    <w:p w14:paraId="343C406E" w14:textId="77777777" w:rsidR="00C2498C" w:rsidRPr="003B7DDC" w:rsidRDefault="0069444B" w:rsidP="00CB581F">
      <w:pPr>
        <w:autoSpaceDE w:val="0"/>
        <w:autoSpaceDN w:val="0"/>
        <w:adjustRightInd w:val="0"/>
        <w:snapToGrid w:val="0"/>
        <w:spacing w:line="360" w:lineRule="auto"/>
        <w:jc w:val="both"/>
        <w:rPr>
          <w:rFonts w:ascii="Book Antiqua" w:hAnsi="Book Antiqua" w:cs="Arial"/>
          <w:lang w:val="en-GB"/>
        </w:rPr>
      </w:pPr>
      <w:r w:rsidRPr="003B7DDC">
        <w:rPr>
          <w:rFonts w:ascii="Book Antiqua" w:hAnsi="Book Antiqua" w:cs="Arial"/>
          <w:lang w:val="en-US" w:eastAsia="zh-CN"/>
        </w:rPr>
        <w:drawing>
          <wp:inline distT="0" distB="0" distL="0" distR="0" wp14:anchorId="7485BBD2" wp14:editId="4983616C">
            <wp:extent cx="5600700" cy="3181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3181350"/>
                    </a:xfrm>
                    <a:prstGeom prst="rect">
                      <a:avLst/>
                    </a:prstGeom>
                    <a:noFill/>
                    <a:ln>
                      <a:noFill/>
                    </a:ln>
                  </pic:spPr>
                </pic:pic>
              </a:graphicData>
            </a:graphic>
          </wp:inline>
        </w:drawing>
      </w:r>
    </w:p>
    <w:p w14:paraId="068088C4" w14:textId="77777777" w:rsidR="00C2498C" w:rsidRPr="003B7DDC" w:rsidRDefault="0069444B" w:rsidP="00CB581F">
      <w:pPr>
        <w:autoSpaceDE w:val="0"/>
        <w:autoSpaceDN w:val="0"/>
        <w:adjustRightInd w:val="0"/>
        <w:snapToGrid w:val="0"/>
        <w:spacing w:line="360" w:lineRule="auto"/>
        <w:jc w:val="both"/>
        <w:rPr>
          <w:rFonts w:ascii="Book Antiqua" w:hAnsi="Book Antiqua" w:cs="Arial"/>
          <w:highlight w:val="yellow"/>
          <w:lang w:val="en-GB" w:eastAsia="zh-CN"/>
        </w:rPr>
      </w:pPr>
      <w:r w:rsidRPr="003B7DDC">
        <w:rPr>
          <w:rFonts w:ascii="Book Antiqua" w:hAnsi="Book Antiqua" w:cs="Arial"/>
          <w:b/>
          <w:lang w:val="en-US" w:eastAsia="zh-CN"/>
        </w:rPr>
        <mc:AlternateContent>
          <mc:Choice Requires="wps">
            <w:drawing>
              <wp:anchor distT="0" distB="0" distL="114300" distR="114300" simplePos="0" relativeHeight="251657728" behindDoc="0" locked="0" layoutInCell="1" allowOverlap="1" wp14:anchorId="503D4912" wp14:editId="5A291366">
                <wp:simplePos x="0" y="0"/>
                <wp:positionH relativeFrom="column">
                  <wp:posOffset>3524250</wp:posOffset>
                </wp:positionH>
                <wp:positionV relativeFrom="paragraph">
                  <wp:posOffset>-3216275</wp:posOffset>
                </wp:positionV>
                <wp:extent cx="2009775" cy="800100"/>
                <wp:effectExtent l="9525" t="8890" r="9525" b="1016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00100"/>
                        </a:xfrm>
                        <a:prstGeom prst="rect">
                          <a:avLst/>
                        </a:prstGeom>
                        <a:solidFill>
                          <a:srgbClr val="FFFFFF"/>
                        </a:solidFill>
                        <a:ln w="9525">
                          <a:solidFill>
                            <a:srgbClr val="000000"/>
                          </a:solidFill>
                          <a:miter lim="800000"/>
                          <a:headEnd/>
                          <a:tailEnd/>
                        </a:ln>
                      </wps:spPr>
                      <wps:txbx>
                        <w:txbxContent>
                          <w:p w14:paraId="1C7DB6A9" w14:textId="77777777" w:rsidR="000B32EA" w:rsidRPr="00883B30" w:rsidRDefault="000B32EA" w:rsidP="00E53043">
                            <w:pPr>
                              <w:autoSpaceDE w:val="0"/>
                              <w:autoSpaceDN w:val="0"/>
                              <w:adjustRightInd w:val="0"/>
                              <w:spacing w:line="360" w:lineRule="auto"/>
                              <w:rPr>
                                <w:rFonts w:ascii="Book Antiqua" w:hAnsi="Book Antiqua" w:cs="Arial"/>
                                <w:sz w:val="20"/>
                                <w:szCs w:val="20"/>
                                <w:lang w:val="en-GB"/>
                              </w:rPr>
                            </w:pPr>
                            <w:r w:rsidRPr="00883B30">
                              <w:rPr>
                                <w:rFonts w:ascii="Book Antiqua" w:hAnsi="Book Antiqua" w:cs="Arial"/>
                                <w:sz w:val="20"/>
                                <w:szCs w:val="20"/>
                                <w:lang w:val="en-GB"/>
                              </w:rPr>
                              <w:t>Fluid tertile 1: &lt; 5.4 mL/kg/h</w:t>
                            </w:r>
                          </w:p>
                          <w:p w14:paraId="1DD52AA4" w14:textId="77777777" w:rsidR="000B32EA" w:rsidRPr="00883B30" w:rsidRDefault="000B32EA" w:rsidP="00E53043">
                            <w:pPr>
                              <w:autoSpaceDE w:val="0"/>
                              <w:autoSpaceDN w:val="0"/>
                              <w:adjustRightInd w:val="0"/>
                              <w:spacing w:line="360" w:lineRule="auto"/>
                              <w:rPr>
                                <w:rFonts w:ascii="Book Antiqua" w:hAnsi="Book Antiqua" w:cs="Arial"/>
                                <w:sz w:val="20"/>
                                <w:szCs w:val="20"/>
                                <w:lang w:val="en-GB"/>
                              </w:rPr>
                            </w:pPr>
                            <w:r>
                              <w:rPr>
                                <w:rFonts w:ascii="Book Antiqua" w:hAnsi="Book Antiqua" w:cs="Arial"/>
                                <w:sz w:val="20"/>
                                <w:szCs w:val="20"/>
                                <w:lang w:val="en-GB"/>
                              </w:rPr>
                              <w:t>Fluid tertile 2: 5.4</w:t>
                            </w:r>
                            <w:r>
                              <w:rPr>
                                <w:rFonts w:ascii="Book Antiqua" w:hAnsi="Book Antiqua" w:cs="Arial" w:hint="eastAsia"/>
                                <w:sz w:val="20"/>
                                <w:szCs w:val="20"/>
                                <w:lang w:val="en-GB" w:eastAsia="zh-CN"/>
                              </w:rPr>
                              <w:t>-</w:t>
                            </w:r>
                            <w:r w:rsidRPr="00883B30">
                              <w:rPr>
                                <w:rFonts w:ascii="Book Antiqua" w:hAnsi="Book Antiqua" w:cs="Arial"/>
                                <w:sz w:val="20"/>
                                <w:szCs w:val="20"/>
                                <w:lang w:val="en-GB"/>
                              </w:rPr>
                              <w:t>7.9 mL/kg/h</w:t>
                            </w:r>
                          </w:p>
                          <w:p w14:paraId="15D1A6BA" w14:textId="77777777" w:rsidR="000B32EA" w:rsidRPr="00883B30" w:rsidRDefault="000B32EA" w:rsidP="00E53043">
                            <w:pPr>
                              <w:autoSpaceDE w:val="0"/>
                              <w:autoSpaceDN w:val="0"/>
                              <w:adjustRightInd w:val="0"/>
                              <w:spacing w:line="360" w:lineRule="auto"/>
                              <w:rPr>
                                <w:rFonts w:ascii="Book Antiqua" w:hAnsi="Book Antiqua" w:cs="Arial"/>
                                <w:sz w:val="20"/>
                                <w:szCs w:val="20"/>
                                <w:lang w:val="en-GB"/>
                              </w:rPr>
                            </w:pPr>
                            <w:r w:rsidRPr="00883B30">
                              <w:rPr>
                                <w:rFonts w:ascii="Book Antiqua" w:hAnsi="Book Antiqua" w:cs="Arial"/>
                                <w:sz w:val="20"/>
                                <w:szCs w:val="20"/>
                                <w:lang w:val="en-GB"/>
                              </w:rPr>
                              <w:t>Fluid tertile 3: &gt; 7.9 mL/kg/h</w:t>
                            </w:r>
                          </w:p>
                          <w:p w14:paraId="26F5FC8C" w14:textId="77777777" w:rsidR="000B32EA" w:rsidRDefault="000B32EA" w:rsidP="00E53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03D4912" id="Text Box 56" o:spid="_x0000_s1043" type="#_x0000_t202" style="position:absolute;left:0;text-align:left;margin-left:277.5pt;margin-top:-253.25pt;width:158.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">
                <v:textbox>
                  <w:txbxContent>
                    <w:p w14:paraId="1C7DB6A9" w14:textId="77777777" w:rsidR="000B32EA" w:rsidRPr="00883B30" w:rsidRDefault="000B32EA" w:rsidP="00E53043">
                      <w:pPr>
                        <w:autoSpaceDE w:val="0"/>
                        <w:autoSpaceDN w:val="0"/>
                        <w:adjustRightInd w:val="0"/>
                        <w:spacing w:line="360" w:lineRule="auto"/>
                        <w:rPr>
                          <w:rFonts w:ascii="Book Antiqua" w:hAnsi="Book Antiqua" w:cs="Arial"/>
                          <w:sz w:val="20"/>
                          <w:szCs w:val="20"/>
                          <w:lang w:val="en-GB"/>
                        </w:rPr>
                      </w:pPr>
                      <w:r w:rsidRPr="00883B30">
                        <w:rPr>
                          <w:rFonts w:ascii="Book Antiqua" w:hAnsi="Book Antiqua" w:cs="Arial"/>
                          <w:sz w:val="20"/>
                          <w:szCs w:val="20"/>
                          <w:lang w:val="en-GB"/>
                        </w:rPr>
                        <w:t>Fluid tertile 1: &lt; 5.4 mL/kg/h</w:t>
                      </w:r>
                    </w:p>
                    <w:p w14:paraId="1DD52AA4" w14:textId="77777777" w:rsidR="000B32EA" w:rsidRPr="00883B30" w:rsidRDefault="000B32EA" w:rsidP="00E53043">
                      <w:pPr>
                        <w:autoSpaceDE w:val="0"/>
                        <w:autoSpaceDN w:val="0"/>
                        <w:adjustRightInd w:val="0"/>
                        <w:spacing w:line="360" w:lineRule="auto"/>
                        <w:rPr>
                          <w:rFonts w:ascii="Book Antiqua" w:hAnsi="Book Antiqua" w:cs="Arial"/>
                          <w:sz w:val="20"/>
                          <w:szCs w:val="20"/>
                          <w:lang w:val="en-GB"/>
                        </w:rPr>
                      </w:pPr>
                      <w:r>
                        <w:rPr>
                          <w:rFonts w:ascii="Book Antiqua" w:hAnsi="Book Antiqua" w:cs="Arial"/>
                          <w:sz w:val="20"/>
                          <w:szCs w:val="20"/>
                          <w:lang w:val="en-GB"/>
                        </w:rPr>
                        <w:t>Fluid tertile 2: 5.4</w:t>
                      </w:r>
                      <w:r>
                        <w:rPr>
                          <w:rFonts w:ascii="Book Antiqua" w:hAnsi="Book Antiqua" w:cs="Arial" w:hint="eastAsia"/>
                          <w:sz w:val="20"/>
                          <w:szCs w:val="20"/>
                          <w:lang w:val="en-GB" w:eastAsia="zh-CN"/>
                        </w:rPr>
                        <w:t>-</w:t>
                      </w:r>
                      <w:r w:rsidRPr="00883B30">
                        <w:rPr>
                          <w:rFonts w:ascii="Book Antiqua" w:hAnsi="Book Antiqua" w:cs="Arial"/>
                          <w:sz w:val="20"/>
                          <w:szCs w:val="20"/>
                          <w:lang w:val="en-GB"/>
                        </w:rPr>
                        <w:t>7.9 mL/kg/h</w:t>
                      </w:r>
                    </w:p>
                    <w:p w14:paraId="15D1A6BA" w14:textId="77777777" w:rsidR="000B32EA" w:rsidRPr="00883B30" w:rsidRDefault="000B32EA" w:rsidP="00E53043">
                      <w:pPr>
                        <w:autoSpaceDE w:val="0"/>
                        <w:autoSpaceDN w:val="0"/>
                        <w:adjustRightInd w:val="0"/>
                        <w:spacing w:line="360" w:lineRule="auto"/>
                        <w:rPr>
                          <w:rFonts w:ascii="Book Antiqua" w:hAnsi="Book Antiqua" w:cs="Arial"/>
                          <w:sz w:val="20"/>
                          <w:szCs w:val="20"/>
                          <w:lang w:val="en-GB"/>
                        </w:rPr>
                      </w:pPr>
                      <w:r w:rsidRPr="00883B30">
                        <w:rPr>
                          <w:rFonts w:ascii="Book Antiqua" w:hAnsi="Book Antiqua" w:cs="Arial"/>
                          <w:sz w:val="20"/>
                          <w:szCs w:val="20"/>
                          <w:lang w:val="en-GB"/>
                        </w:rPr>
                        <w:t>Fluid tertile 3: &gt; 7.9 mL/kg/h</w:t>
                      </w:r>
                    </w:p>
                    <w:p w14:paraId="26F5FC8C" w14:textId="77777777" w:rsidR="000B32EA" w:rsidRDefault="000B32EA" w:rsidP="00E53043"/>
                  </w:txbxContent>
                </v:textbox>
              </v:shape>
            </w:pict>
          </mc:Fallback>
        </mc:AlternateContent>
      </w:r>
      <w:r w:rsidR="003108B1" w:rsidRPr="003B7DDC">
        <w:rPr>
          <w:rFonts w:ascii="Book Antiqua" w:hAnsi="Book Antiqua" w:cs="Arial"/>
          <w:b/>
          <w:bCs/>
          <w:lang w:val="en-GB"/>
        </w:rPr>
        <w:t>Figure 2</w:t>
      </w:r>
      <w:r w:rsidR="00C2498C" w:rsidRPr="003B7DDC">
        <w:rPr>
          <w:rFonts w:ascii="Book Antiqua" w:hAnsi="Book Antiqua" w:cs="Arial"/>
          <w:b/>
          <w:bCs/>
          <w:lang w:val="en-GB"/>
        </w:rPr>
        <w:t xml:space="preserve"> </w:t>
      </w:r>
      <w:r w:rsidR="008F4BDC" w:rsidRPr="003B7DDC">
        <w:rPr>
          <w:rFonts w:ascii="Book Antiqua" w:hAnsi="Book Antiqua" w:cs="Arial"/>
          <w:b/>
          <w:bCs/>
          <w:lang w:val="en-GB"/>
        </w:rPr>
        <w:t>Acute kidney injury</w:t>
      </w:r>
      <w:r w:rsidR="00C2498C" w:rsidRPr="003B7DDC">
        <w:rPr>
          <w:rFonts w:ascii="Book Antiqua" w:hAnsi="Book Antiqua" w:cs="Arial"/>
          <w:b/>
          <w:bCs/>
          <w:lang w:val="en-GB"/>
        </w:rPr>
        <w:t xml:space="preserve"> incidence according to intra-operative fluid </w:t>
      </w:r>
      <w:r w:rsidR="003108B1" w:rsidRPr="003B7DDC">
        <w:rPr>
          <w:rFonts w:ascii="Book Antiqua" w:hAnsi="Book Antiqua" w:cs="Arial"/>
          <w:b/>
          <w:bCs/>
          <w:lang w:val="en-GB"/>
        </w:rPr>
        <w:t>management</w:t>
      </w:r>
      <w:r w:rsidR="00C2498C" w:rsidRPr="003B7DDC">
        <w:rPr>
          <w:rFonts w:ascii="Book Antiqua" w:hAnsi="Book Antiqua" w:cs="Arial"/>
          <w:b/>
          <w:bCs/>
          <w:lang w:val="en-GB"/>
        </w:rPr>
        <w:t xml:space="preserve"> </w:t>
      </w:r>
      <w:r w:rsidR="008F4BDC" w:rsidRPr="003B7DDC">
        <w:rPr>
          <w:rFonts w:ascii="Book Antiqua" w:hAnsi="Book Antiqua" w:cs="Arial"/>
          <w:b/>
          <w:bCs/>
          <w:lang w:val="en-GB" w:eastAsia="zh-CN"/>
        </w:rPr>
        <w:t>and</w:t>
      </w:r>
      <w:r w:rsidR="00C2498C" w:rsidRPr="003B7DDC">
        <w:rPr>
          <w:rFonts w:ascii="Book Antiqua" w:hAnsi="Book Antiqua" w:cs="Arial"/>
          <w:b/>
          <w:bCs/>
          <w:lang w:val="en-GB"/>
        </w:rPr>
        <w:t xml:space="preserve"> nephrotoxin exposure</w:t>
      </w:r>
      <w:r w:rsidR="008F4BDC" w:rsidRPr="003B7DDC">
        <w:rPr>
          <w:rFonts w:ascii="Book Antiqua" w:hAnsi="Book Antiqua" w:cs="Arial"/>
          <w:b/>
          <w:bCs/>
          <w:lang w:val="en-GB" w:eastAsia="zh-CN"/>
        </w:rPr>
        <w:t xml:space="preserve">. </w:t>
      </w:r>
      <w:r w:rsidR="003108B1" w:rsidRPr="003B7DDC">
        <w:rPr>
          <w:rFonts w:ascii="Book Antiqua" w:hAnsi="Book Antiqua" w:cs="Arial"/>
          <w:lang w:val="en-GB"/>
        </w:rPr>
        <w:t>A</w:t>
      </w:r>
      <w:r w:rsidR="00FA06E9" w:rsidRPr="003B7DDC">
        <w:rPr>
          <w:rFonts w:ascii="Book Antiqua" w:hAnsi="Book Antiqua" w:cs="Arial"/>
          <w:lang w:val="en-GB"/>
        </w:rPr>
        <w:t xml:space="preserve">: </w:t>
      </w:r>
      <w:r w:rsidR="001954DC" w:rsidRPr="003B7DDC">
        <w:rPr>
          <w:rFonts w:ascii="Book Antiqua" w:hAnsi="Book Antiqua" w:cs="Arial"/>
          <w:bCs/>
          <w:lang w:val="en-GB"/>
        </w:rPr>
        <w:t xml:space="preserve">Acute kidney injury </w:t>
      </w:r>
      <w:r w:rsidR="001954DC" w:rsidRPr="003B7DDC">
        <w:rPr>
          <w:rFonts w:ascii="Book Antiqua" w:hAnsi="Book Antiqua" w:cs="Arial"/>
          <w:bCs/>
          <w:lang w:val="en-GB" w:eastAsia="zh-CN"/>
        </w:rPr>
        <w:t>(</w:t>
      </w:r>
      <w:r w:rsidR="009D6284" w:rsidRPr="003B7DDC">
        <w:rPr>
          <w:rFonts w:ascii="Book Antiqua" w:hAnsi="Book Antiqua" w:cs="Arial"/>
          <w:lang w:val="en-GB"/>
        </w:rPr>
        <w:t>AKI</w:t>
      </w:r>
      <w:r w:rsidR="001954DC" w:rsidRPr="003B7DDC">
        <w:rPr>
          <w:rFonts w:ascii="Book Antiqua" w:hAnsi="Book Antiqua" w:cs="Arial"/>
          <w:lang w:val="en-GB" w:eastAsia="zh-CN"/>
        </w:rPr>
        <w:t>)</w:t>
      </w:r>
      <w:r w:rsidR="009D6284" w:rsidRPr="003B7DDC">
        <w:rPr>
          <w:rFonts w:ascii="Book Antiqua" w:hAnsi="Book Antiqua" w:cs="Arial"/>
          <w:lang w:val="en-GB"/>
        </w:rPr>
        <w:t xml:space="preserve"> incidence according to</w:t>
      </w:r>
      <w:r w:rsidR="00C2498C" w:rsidRPr="003B7DDC">
        <w:rPr>
          <w:rFonts w:ascii="Book Antiqua" w:hAnsi="Book Antiqua" w:cs="Arial"/>
          <w:lang w:val="en-GB"/>
        </w:rPr>
        <w:t xml:space="preserve"> fluid tertile</w:t>
      </w:r>
      <w:r w:rsidR="001954DC" w:rsidRPr="003B7DDC">
        <w:rPr>
          <w:rFonts w:ascii="Book Antiqua" w:hAnsi="Book Antiqua" w:cs="Arial"/>
          <w:lang w:val="en-GB" w:eastAsia="zh-CN"/>
        </w:rPr>
        <w:t>:</w:t>
      </w:r>
      <w:r w:rsidR="009D6284" w:rsidRPr="003B7DDC">
        <w:rPr>
          <w:rFonts w:ascii="Book Antiqua" w:hAnsi="Book Antiqua" w:cs="Arial"/>
          <w:lang w:val="en-GB"/>
        </w:rPr>
        <w:t xml:space="preserve"> Tertile</w:t>
      </w:r>
      <w:r w:rsidR="00C2498C" w:rsidRPr="003B7DDC">
        <w:rPr>
          <w:rFonts w:ascii="Book Antiqua" w:hAnsi="Book Antiqua" w:cs="Arial"/>
          <w:lang w:val="en-GB"/>
        </w:rPr>
        <w:t xml:space="preserve"> 1 (70%) </w:t>
      </w:r>
      <w:r w:rsidR="001F041C" w:rsidRPr="003B7DDC">
        <w:rPr>
          <w:rFonts w:ascii="Book Antiqua" w:hAnsi="Book Antiqua" w:cs="Arial"/>
          <w:i/>
          <w:lang w:val="en-GB"/>
        </w:rPr>
        <w:t>vs</w:t>
      </w:r>
      <w:r w:rsidR="00C2498C" w:rsidRPr="003B7DDC">
        <w:rPr>
          <w:rFonts w:ascii="Book Antiqua" w:hAnsi="Book Antiqua" w:cs="Arial"/>
          <w:lang w:val="en-GB"/>
        </w:rPr>
        <w:t xml:space="preserve"> fluid tertile 2 (50%) </w:t>
      </w:r>
      <w:r w:rsidR="001F041C" w:rsidRPr="003B7DDC">
        <w:rPr>
          <w:rFonts w:ascii="Book Antiqua" w:hAnsi="Book Antiqua" w:cs="Arial"/>
          <w:i/>
          <w:lang w:val="en-GB"/>
        </w:rPr>
        <w:t>vs</w:t>
      </w:r>
      <w:r w:rsidR="00C2498C" w:rsidRPr="003B7DDC">
        <w:rPr>
          <w:rFonts w:ascii="Book Antiqua" w:hAnsi="Book Antiqua" w:cs="Arial"/>
          <w:lang w:val="en-GB"/>
        </w:rPr>
        <w:t xml:space="preserve"> fluid tertile 3 </w:t>
      </w:r>
      <w:r w:rsidR="00C2498C" w:rsidRPr="003B7DDC">
        <w:rPr>
          <w:rFonts w:ascii="Book Antiqua" w:hAnsi="Book Antiqua" w:cs="Arial"/>
          <w:lang w:val="en-GB"/>
        </w:rPr>
        <w:lastRenderedPageBreak/>
        <w:t>(29%) (</w:t>
      </w:r>
      <w:r w:rsidR="001954DC" w:rsidRPr="003B7DDC">
        <w:rPr>
          <w:rFonts w:ascii="Book Antiqua" w:hAnsi="Book Antiqua" w:cs="Arial"/>
          <w:i/>
          <w:lang w:val="en-GB"/>
        </w:rPr>
        <w:t>P</w:t>
      </w:r>
      <w:r w:rsidR="00C2498C" w:rsidRPr="003B7DDC">
        <w:rPr>
          <w:rFonts w:ascii="Book Antiqua" w:hAnsi="Book Antiqua" w:cs="Arial"/>
          <w:lang w:val="en-GB"/>
        </w:rPr>
        <w:t xml:space="preserve"> = 0.02)</w:t>
      </w:r>
      <w:r w:rsidR="001954DC" w:rsidRPr="003B7DDC">
        <w:rPr>
          <w:rFonts w:ascii="Book Antiqua" w:hAnsi="Book Antiqua" w:cs="Arial"/>
          <w:lang w:val="en-GB" w:eastAsia="zh-CN"/>
        </w:rPr>
        <w:t xml:space="preserve">; </w:t>
      </w:r>
      <w:r w:rsidR="003108B1" w:rsidRPr="003B7DDC">
        <w:rPr>
          <w:rFonts w:ascii="Book Antiqua" w:hAnsi="Book Antiqua" w:cs="Arial"/>
          <w:lang w:val="en-GB"/>
        </w:rPr>
        <w:t>B</w:t>
      </w:r>
      <w:r w:rsidR="00FA06E9" w:rsidRPr="003B7DDC">
        <w:rPr>
          <w:rFonts w:ascii="Book Antiqua" w:hAnsi="Book Antiqua" w:cs="Arial"/>
          <w:lang w:val="en-GB"/>
        </w:rPr>
        <w:t xml:space="preserve">: </w:t>
      </w:r>
      <w:r w:rsidR="009D6284" w:rsidRPr="003B7DDC">
        <w:rPr>
          <w:rFonts w:ascii="Book Antiqua" w:hAnsi="Book Antiqua" w:cs="Arial"/>
          <w:lang w:val="en-GB"/>
        </w:rPr>
        <w:t>AKI incidence according to fluid</w:t>
      </w:r>
      <w:r w:rsidR="00C2498C" w:rsidRPr="003B7DDC">
        <w:rPr>
          <w:rFonts w:ascii="Book Antiqua" w:hAnsi="Book Antiqua" w:cs="Arial"/>
          <w:lang w:val="en-GB"/>
        </w:rPr>
        <w:t xml:space="preserve"> tertile </w:t>
      </w:r>
      <w:r w:rsidR="009D6284" w:rsidRPr="003B7DDC">
        <w:rPr>
          <w:rFonts w:ascii="Book Antiqua" w:hAnsi="Book Antiqua" w:cs="Arial"/>
          <w:lang w:val="en-GB"/>
        </w:rPr>
        <w:t>and</w:t>
      </w:r>
      <w:r w:rsidR="00C2498C" w:rsidRPr="003B7DDC">
        <w:rPr>
          <w:rFonts w:ascii="Book Antiqua" w:hAnsi="Book Antiqua" w:cs="Arial"/>
          <w:lang w:val="en-GB"/>
        </w:rPr>
        <w:t xml:space="preserve"> nephrotoxin exposure: </w:t>
      </w:r>
      <w:r w:rsidR="009D6284" w:rsidRPr="003B7DDC">
        <w:rPr>
          <w:rFonts w:ascii="Book Antiqua" w:hAnsi="Book Antiqua" w:cs="Arial"/>
          <w:lang w:val="en-GB"/>
        </w:rPr>
        <w:t xml:space="preserve">Tertile 1 with nephrotoxin exposure (75%) </w:t>
      </w:r>
      <w:r w:rsidR="001F041C" w:rsidRPr="003B7DDC">
        <w:rPr>
          <w:rFonts w:ascii="Book Antiqua" w:hAnsi="Book Antiqua" w:cs="Arial"/>
          <w:i/>
          <w:lang w:val="en-GB"/>
        </w:rPr>
        <w:t>vs</w:t>
      </w:r>
      <w:r w:rsidR="009D6284" w:rsidRPr="003B7DDC">
        <w:rPr>
          <w:rFonts w:ascii="Book Antiqua" w:hAnsi="Book Antiqua" w:cs="Arial"/>
          <w:lang w:val="en-GB"/>
        </w:rPr>
        <w:t xml:space="preserve"> </w:t>
      </w:r>
      <w:r w:rsidR="00C2498C" w:rsidRPr="003B7DDC">
        <w:rPr>
          <w:rFonts w:ascii="Book Antiqua" w:hAnsi="Book Antiqua" w:cs="Arial"/>
          <w:lang w:val="en-GB"/>
        </w:rPr>
        <w:t>fluid tertile</w:t>
      </w:r>
      <w:r w:rsidR="009D6284" w:rsidRPr="003B7DDC">
        <w:rPr>
          <w:rFonts w:ascii="Book Antiqua" w:hAnsi="Book Antiqua" w:cs="Arial"/>
          <w:lang w:val="en-GB"/>
        </w:rPr>
        <w:t xml:space="preserve"> 3 with no nephrotoxin exposure</w:t>
      </w:r>
      <w:r w:rsidR="00C2498C" w:rsidRPr="003B7DDC">
        <w:rPr>
          <w:rFonts w:ascii="Book Antiqua" w:hAnsi="Book Antiqua" w:cs="Arial"/>
          <w:lang w:val="en-GB"/>
        </w:rPr>
        <w:t xml:space="preserve"> (10%) (</w:t>
      </w:r>
      <w:r w:rsidR="001954DC" w:rsidRPr="003B7DDC">
        <w:rPr>
          <w:rFonts w:ascii="Book Antiqua" w:hAnsi="Book Antiqua" w:cs="Arial"/>
          <w:i/>
          <w:lang w:val="en-GB"/>
        </w:rPr>
        <w:t>P</w:t>
      </w:r>
      <w:r w:rsidR="001954DC" w:rsidRPr="003B7DDC">
        <w:rPr>
          <w:rFonts w:ascii="Book Antiqua" w:hAnsi="Book Antiqua" w:cs="Arial"/>
          <w:i/>
          <w:lang w:val="en-GB" w:eastAsia="zh-CN"/>
        </w:rPr>
        <w:t xml:space="preserve"> </w:t>
      </w:r>
      <w:r w:rsidR="001954DC" w:rsidRPr="003B7DDC">
        <w:rPr>
          <w:rFonts w:ascii="Book Antiqua" w:hAnsi="Book Antiqua" w:cs="Arial"/>
          <w:i/>
          <w:lang w:val="en-GB"/>
        </w:rPr>
        <w:t>=</w:t>
      </w:r>
      <w:r w:rsidR="001954DC" w:rsidRPr="003B7DDC">
        <w:rPr>
          <w:rFonts w:ascii="Book Antiqua" w:hAnsi="Book Antiqua" w:cs="Arial"/>
          <w:i/>
          <w:lang w:val="en-GB" w:eastAsia="zh-CN"/>
        </w:rPr>
        <w:t xml:space="preserve"> </w:t>
      </w:r>
      <w:r w:rsidR="00C2498C" w:rsidRPr="003B7DDC">
        <w:rPr>
          <w:rFonts w:ascii="Book Antiqua" w:hAnsi="Book Antiqua" w:cs="Arial"/>
          <w:lang w:val="en-GB"/>
        </w:rPr>
        <w:t>0.04)</w:t>
      </w:r>
      <w:r w:rsidR="001954DC" w:rsidRPr="003B7DDC">
        <w:rPr>
          <w:rFonts w:ascii="Book Antiqua" w:hAnsi="Book Antiqua" w:cs="Arial"/>
          <w:lang w:val="en-GB" w:eastAsia="zh-CN"/>
        </w:rPr>
        <w:t>.</w:t>
      </w:r>
    </w:p>
    <w:p w14:paraId="0C0B81A7" w14:textId="77777777" w:rsidR="009D6284" w:rsidRPr="003B7DDC" w:rsidRDefault="009D6284" w:rsidP="00CB581F">
      <w:pPr>
        <w:autoSpaceDE w:val="0"/>
        <w:autoSpaceDN w:val="0"/>
        <w:adjustRightInd w:val="0"/>
        <w:snapToGrid w:val="0"/>
        <w:spacing w:line="360" w:lineRule="auto"/>
        <w:jc w:val="both"/>
        <w:rPr>
          <w:rFonts w:ascii="Book Antiqua" w:hAnsi="Book Antiqua" w:cs="Arial"/>
          <w:lang w:val="en-GB"/>
        </w:rPr>
      </w:pPr>
    </w:p>
    <w:p w14:paraId="30798ADB" w14:textId="77777777" w:rsidR="009D6284" w:rsidRPr="003B7DDC" w:rsidRDefault="009D6284" w:rsidP="00CB581F">
      <w:pPr>
        <w:autoSpaceDE w:val="0"/>
        <w:autoSpaceDN w:val="0"/>
        <w:adjustRightInd w:val="0"/>
        <w:snapToGrid w:val="0"/>
        <w:spacing w:line="360" w:lineRule="auto"/>
        <w:jc w:val="both"/>
        <w:rPr>
          <w:rFonts w:ascii="Book Antiqua" w:hAnsi="Book Antiqua" w:cs="Arial"/>
          <w:lang w:val="en-GB"/>
        </w:rPr>
      </w:pPr>
    </w:p>
    <w:p w14:paraId="41D0CD53"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bCs/>
          <w:lang w:val="en-GB"/>
        </w:rPr>
      </w:pPr>
      <w:r w:rsidRPr="003B7DDC">
        <w:rPr>
          <w:rFonts w:ascii="Book Antiqua" w:hAnsi="Book Antiqua" w:cs="Arial"/>
          <w:lang w:val="en-GB"/>
        </w:rPr>
        <w:br w:type="page"/>
      </w:r>
      <w:r w:rsidR="0069444B" w:rsidRPr="003B7DDC">
        <w:rPr>
          <w:rFonts w:ascii="Book Antiqua" w:hAnsi="Book Antiqua" w:cs="Arial"/>
          <w:lang w:val="en-US" w:eastAsia="zh-CN"/>
        </w:rPr>
        <w:lastRenderedPageBreak/>
        <mc:AlternateContent>
          <mc:Choice Requires="wps">
            <w:drawing>
              <wp:anchor distT="0" distB="0" distL="114300" distR="114300" simplePos="0" relativeHeight="251655680" behindDoc="0" locked="0" layoutInCell="1" allowOverlap="1" wp14:anchorId="74DA246A" wp14:editId="6FB3FA14">
                <wp:simplePos x="0" y="0"/>
                <wp:positionH relativeFrom="column">
                  <wp:posOffset>3886200</wp:posOffset>
                </wp:positionH>
                <wp:positionV relativeFrom="paragraph">
                  <wp:posOffset>-3577590</wp:posOffset>
                </wp:positionV>
                <wp:extent cx="2286000" cy="800100"/>
                <wp:effectExtent l="9525" t="13335" r="9525" b="571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14:paraId="2EEDE92C" w14:textId="77777777" w:rsidR="000B32EA" w:rsidRPr="00883B30" w:rsidRDefault="000B32EA" w:rsidP="00883B30">
                            <w:pPr>
                              <w:autoSpaceDE w:val="0"/>
                              <w:autoSpaceDN w:val="0"/>
                              <w:adjustRightInd w:val="0"/>
                              <w:spacing w:line="360" w:lineRule="auto"/>
                              <w:rPr>
                                <w:rFonts w:ascii="Book Antiqua" w:hAnsi="Book Antiqua" w:cs="Arial"/>
                                <w:sz w:val="20"/>
                                <w:szCs w:val="20"/>
                                <w:lang w:val="en-GB"/>
                              </w:rPr>
                            </w:pPr>
                            <w:r w:rsidRPr="00883B30">
                              <w:rPr>
                                <w:rFonts w:ascii="Book Antiqua" w:hAnsi="Book Antiqua" w:cs="Arial"/>
                                <w:sz w:val="20"/>
                                <w:szCs w:val="20"/>
                                <w:lang w:val="en-GB"/>
                              </w:rPr>
                              <w:t>Fluid tertile 1: &lt; 5.4 ml/kg/hour</w:t>
                            </w:r>
                          </w:p>
                          <w:p w14:paraId="7816FB3F" w14:textId="77777777" w:rsidR="000B32EA" w:rsidRPr="00883B30" w:rsidRDefault="000B32EA" w:rsidP="00883B30">
                            <w:pPr>
                              <w:autoSpaceDE w:val="0"/>
                              <w:autoSpaceDN w:val="0"/>
                              <w:adjustRightInd w:val="0"/>
                              <w:spacing w:line="360" w:lineRule="auto"/>
                              <w:rPr>
                                <w:rFonts w:ascii="Book Antiqua" w:hAnsi="Book Antiqua" w:cs="Arial"/>
                                <w:sz w:val="20"/>
                                <w:szCs w:val="20"/>
                                <w:lang w:val="en-GB"/>
                              </w:rPr>
                            </w:pPr>
                            <w:r w:rsidRPr="00883B30">
                              <w:rPr>
                                <w:rFonts w:ascii="Book Antiqua" w:hAnsi="Book Antiqua" w:cs="Arial"/>
                                <w:sz w:val="20"/>
                                <w:szCs w:val="20"/>
                                <w:lang w:val="en-GB"/>
                              </w:rPr>
                              <w:t>Fluid tertile 2: 5.4 - 7.9 ml/kg/hour</w:t>
                            </w:r>
                          </w:p>
                          <w:p w14:paraId="24B19DEB" w14:textId="77777777" w:rsidR="000B32EA" w:rsidRPr="00883B30" w:rsidRDefault="000B32EA" w:rsidP="00883B30">
                            <w:pPr>
                              <w:autoSpaceDE w:val="0"/>
                              <w:autoSpaceDN w:val="0"/>
                              <w:adjustRightInd w:val="0"/>
                              <w:spacing w:line="360" w:lineRule="auto"/>
                              <w:rPr>
                                <w:rFonts w:ascii="Book Antiqua" w:hAnsi="Book Antiqua" w:cs="Arial"/>
                                <w:sz w:val="20"/>
                                <w:szCs w:val="20"/>
                                <w:lang w:val="en-GB"/>
                              </w:rPr>
                            </w:pPr>
                            <w:r w:rsidRPr="00883B30">
                              <w:rPr>
                                <w:rFonts w:ascii="Book Antiqua" w:hAnsi="Book Antiqua" w:cs="Arial"/>
                                <w:sz w:val="20"/>
                                <w:szCs w:val="20"/>
                                <w:lang w:val="en-GB"/>
                              </w:rPr>
                              <w:t>Fluid tertile 3: &gt; 7.9 ml/kg/hour</w:t>
                            </w:r>
                          </w:p>
                          <w:p w14:paraId="4D0407ED" w14:textId="77777777" w:rsidR="000B32EA" w:rsidRDefault="000B3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4DA246A" id="Text Box 37" o:spid="_x0000_s1044" type="#_x0000_t202" style="position:absolute;left:0;text-align:left;margin-left:306pt;margin-top:-281.7pt;width:180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">
                <v:textbox>
                  <w:txbxContent>
                    <w:p w14:paraId="2EEDE92C" w14:textId="77777777" w:rsidR="000B32EA" w:rsidRPr="00883B30" w:rsidRDefault="000B32EA" w:rsidP="00883B30">
                      <w:pPr>
                        <w:autoSpaceDE w:val="0"/>
                        <w:autoSpaceDN w:val="0"/>
                        <w:adjustRightInd w:val="0"/>
                        <w:spacing w:line="360" w:lineRule="auto"/>
                        <w:rPr>
                          <w:rFonts w:ascii="Book Antiqua" w:hAnsi="Book Antiqua" w:cs="Arial"/>
                          <w:sz w:val="20"/>
                          <w:szCs w:val="20"/>
                          <w:lang w:val="en-GB"/>
                        </w:rPr>
                      </w:pPr>
                      <w:r w:rsidRPr="00883B30">
                        <w:rPr>
                          <w:rFonts w:ascii="Book Antiqua" w:hAnsi="Book Antiqua" w:cs="Arial"/>
                          <w:sz w:val="20"/>
                          <w:szCs w:val="20"/>
                          <w:lang w:val="en-GB"/>
                        </w:rPr>
                        <w:t>Fluid tertile 1: &lt; 5.4 ml/kg/hour</w:t>
                      </w:r>
                    </w:p>
                    <w:p w14:paraId="7816FB3F" w14:textId="77777777" w:rsidR="000B32EA" w:rsidRPr="00883B30" w:rsidRDefault="000B32EA" w:rsidP="00883B30">
                      <w:pPr>
                        <w:autoSpaceDE w:val="0"/>
                        <w:autoSpaceDN w:val="0"/>
                        <w:adjustRightInd w:val="0"/>
                        <w:spacing w:line="360" w:lineRule="auto"/>
                        <w:rPr>
                          <w:rFonts w:ascii="Book Antiqua" w:hAnsi="Book Antiqua" w:cs="Arial"/>
                          <w:sz w:val="20"/>
                          <w:szCs w:val="20"/>
                          <w:lang w:val="en-GB"/>
                        </w:rPr>
                      </w:pPr>
                      <w:r w:rsidRPr="00883B30">
                        <w:rPr>
                          <w:rFonts w:ascii="Book Antiqua" w:hAnsi="Book Antiqua" w:cs="Arial"/>
                          <w:sz w:val="20"/>
                          <w:szCs w:val="20"/>
                          <w:lang w:val="en-GB"/>
                        </w:rPr>
                        <w:t>Fluid tertile 2: 5.4 - 7.9 ml/kg/hour</w:t>
                      </w:r>
                    </w:p>
                    <w:p w14:paraId="24B19DEB" w14:textId="77777777" w:rsidR="000B32EA" w:rsidRPr="00883B30" w:rsidRDefault="000B32EA" w:rsidP="00883B30">
                      <w:pPr>
                        <w:autoSpaceDE w:val="0"/>
                        <w:autoSpaceDN w:val="0"/>
                        <w:adjustRightInd w:val="0"/>
                        <w:spacing w:line="360" w:lineRule="auto"/>
                        <w:rPr>
                          <w:rFonts w:ascii="Book Antiqua" w:hAnsi="Book Antiqua" w:cs="Arial"/>
                          <w:sz w:val="20"/>
                          <w:szCs w:val="20"/>
                          <w:lang w:val="en-GB"/>
                        </w:rPr>
                      </w:pPr>
                      <w:r w:rsidRPr="00883B30">
                        <w:rPr>
                          <w:rFonts w:ascii="Book Antiqua" w:hAnsi="Book Antiqua" w:cs="Arial"/>
                          <w:sz w:val="20"/>
                          <w:szCs w:val="20"/>
                          <w:lang w:val="en-GB"/>
                        </w:rPr>
                        <w:t>Fluid tertile 3: &gt; 7.9 ml/kg/hour</w:t>
                      </w:r>
                    </w:p>
                    <w:p w14:paraId="4D0407ED" w14:textId="77777777" w:rsidR="000B32EA" w:rsidRDefault="000B32EA"/>
                  </w:txbxContent>
                </v:textbox>
              </v:shape>
            </w:pict>
          </mc:Fallback>
        </mc:AlternateContent>
      </w:r>
      <w:r w:rsidRPr="003B7DDC">
        <w:rPr>
          <w:rFonts w:ascii="Book Antiqua" w:hAnsi="Book Antiqua" w:cs="Arial"/>
          <w:b/>
          <w:bCs/>
          <w:lang w:val="en-GB"/>
        </w:rPr>
        <w:t>Table 1 Acute Kidney Injury Network criteria</w:t>
      </w:r>
    </w:p>
    <w:tbl>
      <w:tblPr>
        <w:tblW w:w="10065" w:type="dxa"/>
        <w:jc w:val="center"/>
        <w:tblLayout w:type="fixed"/>
        <w:tblCellMar>
          <w:left w:w="70" w:type="dxa"/>
          <w:right w:w="70" w:type="dxa"/>
        </w:tblCellMar>
        <w:tblLook w:val="0000" w:firstRow="0" w:lastRow="0" w:firstColumn="0" w:lastColumn="0" w:noHBand="0" w:noVBand="0"/>
      </w:tblPr>
      <w:tblGrid>
        <w:gridCol w:w="2001"/>
        <w:gridCol w:w="2520"/>
        <w:gridCol w:w="2520"/>
        <w:gridCol w:w="3024"/>
      </w:tblGrid>
      <w:tr w:rsidR="0037314E" w:rsidRPr="003B7DDC" w14:paraId="0174337D" w14:textId="77777777" w:rsidTr="0024591A">
        <w:trPr>
          <w:trHeight w:val="480"/>
          <w:jc w:val="center"/>
        </w:trPr>
        <w:tc>
          <w:tcPr>
            <w:tcW w:w="2001" w:type="dxa"/>
            <w:tcBorders>
              <w:top w:val="single" w:sz="4" w:space="0" w:color="auto"/>
              <w:bottom w:val="single" w:sz="4" w:space="0" w:color="auto"/>
            </w:tcBorders>
            <w:shd w:val="clear" w:color="000000" w:fill="FFFFFF"/>
          </w:tcPr>
          <w:p w14:paraId="0261B3DC" w14:textId="77777777" w:rsidR="00C2498C" w:rsidRPr="003B7DDC" w:rsidRDefault="0037314E" w:rsidP="00357BA4">
            <w:pPr>
              <w:autoSpaceDE w:val="0"/>
              <w:autoSpaceDN w:val="0"/>
              <w:adjustRightInd w:val="0"/>
              <w:snapToGrid w:val="0"/>
              <w:spacing w:line="360" w:lineRule="auto"/>
              <w:rPr>
                <w:rFonts w:ascii="Book Antiqua" w:hAnsi="Book Antiqua"/>
                <w:lang w:val="en-GB"/>
              </w:rPr>
            </w:pPr>
            <w:r w:rsidRPr="003B7DDC">
              <w:rPr>
                <w:rFonts w:ascii="Book Antiqua" w:hAnsi="Book Antiqua" w:cs="Arial"/>
                <w:b/>
                <w:bCs/>
                <w:lang w:val="en-GB"/>
              </w:rPr>
              <w:t>Acute Kidney Injury Network</w:t>
            </w:r>
            <w:r w:rsidR="00C2498C" w:rsidRPr="003B7DDC">
              <w:rPr>
                <w:rFonts w:ascii="Book Antiqua" w:hAnsi="Book Antiqua"/>
                <w:b/>
                <w:bCs/>
                <w:lang w:val="en-GB"/>
              </w:rPr>
              <w:t xml:space="preserve"> </w:t>
            </w:r>
            <w:r w:rsidRPr="003B7DDC">
              <w:rPr>
                <w:rFonts w:ascii="Book Antiqua" w:hAnsi="Book Antiqua"/>
                <w:b/>
                <w:bCs/>
                <w:lang w:val="en-GB"/>
              </w:rPr>
              <w:t>c</w:t>
            </w:r>
            <w:r w:rsidR="00C2498C" w:rsidRPr="003B7DDC">
              <w:rPr>
                <w:rFonts w:ascii="Book Antiqua" w:hAnsi="Book Antiqua"/>
                <w:b/>
                <w:bCs/>
                <w:lang w:val="en-GB"/>
              </w:rPr>
              <w:t>riteria</w:t>
            </w:r>
          </w:p>
        </w:tc>
        <w:tc>
          <w:tcPr>
            <w:tcW w:w="2520" w:type="dxa"/>
            <w:tcBorders>
              <w:top w:val="single" w:sz="4" w:space="0" w:color="auto"/>
              <w:bottom w:val="single" w:sz="4" w:space="0" w:color="auto"/>
            </w:tcBorders>
            <w:shd w:val="clear" w:color="000000" w:fill="FFFFFF"/>
          </w:tcPr>
          <w:p w14:paraId="793DB611" w14:textId="77777777" w:rsidR="00C2498C" w:rsidRPr="003B7DDC" w:rsidRDefault="00C2498C" w:rsidP="0024591A">
            <w:pPr>
              <w:autoSpaceDE w:val="0"/>
              <w:autoSpaceDN w:val="0"/>
              <w:adjustRightInd w:val="0"/>
              <w:snapToGrid w:val="0"/>
              <w:spacing w:line="360" w:lineRule="auto"/>
              <w:jc w:val="center"/>
              <w:rPr>
                <w:rFonts w:ascii="Book Antiqua" w:hAnsi="Book Antiqua"/>
                <w:b/>
                <w:bCs/>
                <w:lang w:val="en-GB"/>
              </w:rPr>
            </w:pPr>
            <w:r w:rsidRPr="003B7DDC">
              <w:rPr>
                <w:rFonts w:ascii="Book Antiqua" w:hAnsi="Book Antiqua"/>
                <w:b/>
                <w:bCs/>
                <w:lang w:val="en-GB"/>
              </w:rPr>
              <w:t>Stage 1</w:t>
            </w:r>
          </w:p>
          <w:p w14:paraId="4F7E9E64" w14:textId="77777777" w:rsidR="00C2498C" w:rsidRPr="003B7DDC" w:rsidRDefault="00C2498C" w:rsidP="0024591A">
            <w:pPr>
              <w:autoSpaceDE w:val="0"/>
              <w:autoSpaceDN w:val="0"/>
              <w:adjustRightInd w:val="0"/>
              <w:snapToGrid w:val="0"/>
              <w:spacing w:line="360" w:lineRule="auto"/>
              <w:jc w:val="center"/>
              <w:rPr>
                <w:rFonts w:ascii="Book Antiqua" w:hAnsi="Book Antiqua"/>
                <w:lang w:val="en-GB"/>
              </w:rPr>
            </w:pPr>
          </w:p>
        </w:tc>
        <w:tc>
          <w:tcPr>
            <w:tcW w:w="2520" w:type="dxa"/>
            <w:tcBorders>
              <w:top w:val="single" w:sz="4" w:space="0" w:color="auto"/>
              <w:bottom w:val="single" w:sz="4" w:space="0" w:color="auto"/>
            </w:tcBorders>
            <w:shd w:val="clear" w:color="000000" w:fill="FFFFFF"/>
          </w:tcPr>
          <w:p w14:paraId="478F489B" w14:textId="77777777" w:rsidR="00C2498C" w:rsidRPr="003B7DDC" w:rsidRDefault="00C2498C" w:rsidP="0024591A">
            <w:pPr>
              <w:autoSpaceDE w:val="0"/>
              <w:autoSpaceDN w:val="0"/>
              <w:adjustRightInd w:val="0"/>
              <w:snapToGrid w:val="0"/>
              <w:spacing w:line="360" w:lineRule="auto"/>
              <w:jc w:val="center"/>
              <w:rPr>
                <w:rFonts w:ascii="Book Antiqua" w:hAnsi="Book Antiqua"/>
                <w:lang w:val="en-GB"/>
              </w:rPr>
            </w:pPr>
            <w:r w:rsidRPr="003B7DDC">
              <w:rPr>
                <w:rFonts w:ascii="Book Antiqua" w:hAnsi="Book Antiqua"/>
                <w:b/>
                <w:bCs/>
                <w:lang w:val="en-GB"/>
              </w:rPr>
              <w:t>Stage 2</w:t>
            </w:r>
          </w:p>
        </w:tc>
        <w:tc>
          <w:tcPr>
            <w:tcW w:w="3024" w:type="dxa"/>
            <w:tcBorders>
              <w:top w:val="single" w:sz="4" w:space="0" w:color="auto"/>
              <w:bottom w:val="single" w:sz="4" w:space="0" w:color="auto"/>
            </w:tcBorders>
            <w:shd w:val="clear" w:color="000000" w:fill="FFFFFF"/>
          </w:tcPr>
          <w:p w14:paraId="5EE139D3" w14:textId="77777777" w:rsidR="00C2498C" w:rsidRPr="003B7DDC" w:rsidRDefault="00C2498C" w:rsidP="0024591A">
            <w:pPr>
              <w:autoSpaceDE w:val="0"/>
              <w:autoSpaceDN w:val="0"/>
              <w:adjustRightInd w:val="0"/>
              <w:snapToGrid w:val="0"/>
              <w:spacing w:line="360" w:lineRule="auto"/>
              <w:jc w:val="center"/>
              <w:rPr>
                <w:rFonts w:ascii="Book Antiqua" w:hAnsi="Book Antiqua"/>
                <w:lang w:val="en-GB"/>
              </w:rPr>
            </w:pPr>
            <w:r w:rsidRPr="003B7DDC">
              <w:rPr>
                <w:rFonts w:ascii="Book Antiqua" w:hAnsi="Book Antiqua"/>
                <w:b/>
                <w:bCs/>
                <w:lang w:val="en-GB"/>
              </w:rPr>
              <w:t>Stage 3</w:t>
            </w:r>
          </w:p>
        </w:tc>
      </w:tr>
      <w:tr w:rsidR="0037314E" w:rsidRPr="003B7DDC" w14:paraId="096E4FC1" w14:textId="77777777" w:rsidTr="0024591A">
        <w:trPr>
          <w:trHeight w:val="525"/>
          <w:jc w:val="center"/>
        </w:trPr>
        <w:tc>
          <w:tcPr>
            <w:tcW w:w="2001" w:type="dxa"/>
            <w:tcBorders>
              <w:top w:val="single" w:sz="4" w:space="0" w:color="auto"/>
            </w:tcBorders>
            <w:shd w:val="clear" w:color="000000" w:fill="FFFFFF"/>
          </w:tcPr>
          <w:p w14:paraId="61E80219" w14:textId="77777777" w:rsidR="00C2498C" w:rsidRPr="003B7DDC" w:rsidRDefault="00C2498C" w:rsidP="00357BA4">
            <w:pPr>
              <w:autoSpaceDE w:val="0"/>
              <w:autoSpaceDN w:val="0"/>
              <w:adjustRightInd w:val="0"/>
              <w:snapToGrid w:val="0"/>
              <w:spacing w:line="360" w:lineRule="auto"/>
              <w:rPr>
                <w:rFonts w:ascii="Book Antiqua" w:hAnsi="Book Antiqua"/>
                <w:lang w:val="en-GB"/>
              </w:rPr>
            </w:pPr>
            <w:r w:rsidRPr="003B7DDC">
              <w:rPr>
                <w:rFonts w:ascii="Book Antiqua" w:hAnsi="Book Antiqua"/>
                <w:lang w:val="en-GB"/>
              </w:rPr>
              <w:t>Serum creatinine</w:t>
            </w:r>
          </w:p>
        </w:tc>
        <w:tc>
          <w:tcPr>
            <w:tcW w:w="2520" w:type="dxa"/>
            <w:tcBorders>
              <w:top w:val="single" w:sz="4" w:space="0" w:color="auto"/>
            </w:tcBorders>
            <w:shd w:val="clear" w:color="000000" w:fill="FFFFFF"/>
          </w:tcPr>
          <w:p w14:paraId="1CA5620F" w14:textId="77777777" w:rsidR="00C2498C" w:rsidRPr="003B7DDC" w:rsidRDefault="00C2498C" w:rsidP="0024591A">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1.5-1.9 times baseline</w:t>
            </w:r>
          </w:p>
          <w:p w14:paraId="0FAFAAC0" w14:textId="77777777" w:rsidR="00C2498C" w:rsidRPr="003B7DDC" w:rsidRDefault="00C2498C" w:rsidP="0024591A">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OR</w:t>
            </w:r>
          </w:p>
          <w:p w14:paraId="61363E4C" w14:textId="77777777" w:rsidR="00C2498C" w:rsidRPr="003B7DDC" w:rsidRDefault="0037314E" w:rsidP="0024591A">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w:t>
            </w:r>
            <w:r w:rsidRPr="003B7DDC">
              <w:rPr>
                <w:rFonts w:ascii="Book Antiqua" w:hAnsi="Book Antiqua"/>
                <w:lang w:val="en-GB" w:eastAsia="zh-CN"/>
              </w:rPr>
              <w:t xml:space="preserve"> </w:t>
            </w:r>
            <w:r w:rsidR="00C2498C" w:rsidRPr="003B7DDC">
              <w:rPr>
                <w:rFonts w:ascii="Book Antiqua" w:hAnsi="Book Antiqua"/>
                <w:lang w:val="en-GB"/>
              </w:rPr>
              <w:t>0.3 mg/dL (</w:t>
            </w:r>
            <w:r w:rsidRPr="003B7DDC">
              <w:rPr>
                <w:rFonts w:ascii="Book Antiqua" w:hAnsi="Book Antiqua"/>
                <w:lang w:val="en-GB"/>
              </w:rPr>
              <w:t xml:space="preserve">≥ </w:t>
            </w:r>
            <w:r w:rsidR="00C2498C" w:rsidRPr="003B7DDC">
              <w:rPr>
                <w:rFonts w:ascii="Book Antiqua" w:hAnsi="Book Antiqua"/>
                <w:lang w:val="en-GB"/>
              </w:rPr>
              <w:t>26.5 umol/L) increase</w:t>
            </w:r>
          </w:p>
        </w:tc>
        <w:tc>
          <w:tcPr>
            <w:tcW w:w="2520" w:type="dxa"/>
            <w:tcBorders>
              <w:top w:val="single" w:sz="4" w:space="0" w:color="auto"/>
            </w:tcBorders>
            <w:shd w:val="clear" w:color="000000" w:fill="FFFFFF"/>
          </w:tcPr>
          <w:p w14:paraId="7900CC70" w14:textId="77777777" w:rsidR="00C2498C" w:rsidRPr="003B7DDC" w:rsidRDefault="00C2498C" w:rsidP="0024591A">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2.0-2.9 times baseline</w:t>
            </w:r>
          </w:p>
        </w:tc>
        <w:tc>
          <w:tcPr>
            <w:tcW w:w="3024" w:type="dxa"/>
            <w:tcBorders>
              <w:top w:val="single" w:sz="4" w:space="0" w:color="auto"/>
            </w:tcBorders>
            <w:shd w:val="clear" w:color="000000" w:fill="FFFFFF"/>
          </w:tcPr>
          <w:p w14:paraId="2EAFD4EE" w14:textId="77777777" w:rsidR="00C2498C" w:rsidRPr="003B7DDC" w:rsidRDefault="00C2498C" w:rsidP="0024591A">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3.0 times baseline</w:t>
            </w:r>
          </w:p>
          <w:p w14:paraId="2A888C33" w14:textId="77777777" w:rsidR="00C2498C" w:rsidRPr="003B7DDC" w:rsidRDefault="00C2498C" w:rsidP="0024591A">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OR</w:t>
            </w:r>
          </w:p>
          <w:p w14:paraId="53773CEB" w14:textId="77777777" w:rsidR="00C2498C" w:rsidRPr="003B7DDC" w:rsidRDefault="0037314E" w:rsidP="0024591A">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 xml:space="preserve">≥ </w:t>
            </w:r>
            <w:r w:rsidR="00C2498C" w:rsidRPr="003B7DDC">
              <w:rPr>
                <w:rFonts w:ascii="Book Antiqua" w:hAnsi="Book Antiqua"/>
                <w:lang w:val="en-GB"/>
              </w:rPr>
              <w:t>4 mg/dL (353.6 umol/L) increase</w:t>
            </w:r>
          </w:p>
          <w:p w14:paraId="2068ECA6" w14:textId="77777777" w:rsidR="00C2498C" w:rsidRPr="003B7DDC" w:rsidRDefault="00C2498C" w:rsidP="0024591A">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OR</w:t>
            </w:r>
          </w:p>
          <w:p w14:paraId="744B57A5" w14:textId="77777777" w:rsidR="00C2498C" w:rsidRPr="003B7DDC" w:rsidRDefault="004A5123" w:rsidP="004A5123">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Need for RRT</w:t>
            </w:r>
          </w:p>
        </w:tc>
      </w:tr>
      <w:tr w:rsidR="0037314E" w:rsidRPr="003B7DDC" w14:paraId="0DBC0257" w14:textId="77777777" w:rsidTr="0024591A">
        <w:trPr>
          <w:trHeight w:val="1162"/>
          <w:jc w:val="center"/>
        </w:trPr>
        <w:tc>
          <w:tcPr>
            <w:tcW w:w="2001" w:type="dxa"/>
            <w:tcBorders>
              <w:bottom w:val="single" w:sz="4" w:space="0" w:color="auto"/>
            </w:tcBorders>
            <w:shd w:val="clear" w:color="000000" w:fill="FFFFFF"/>
          </w:tcPr>
          <w:p w14:paraId="67F6477F" w14:textId="77777777" w:rsidR="00C2498C" w:rsidRPr="003B7DDC" w:rsidRDefault="00C2498C" w:rsidP="00357BA4">
            <w:pPr>
              <w:autoSpaceDE w:val="0"/>
              <w:autoSpaceDN w:val="0"/>
              <w:adjustRightInd w:val="0"/>
              <w:snapToGrid w:val="0"/>
              <w:spacing w:line="360" w:lineRule="auto"/>
              <w:rPr>
                <w:rFonts w:ascii="Book Antiqua" w:hAnsi="Book Antiqua"/>
                <w:lang w:val="en-GB"/>
              </w:rPr>
            </w:pPr>
            <w:r w:rsidRPr="003B7DDC">
              <w:rPr>
                <w:rFonts w:ascii="Book Antiqua" w:hAnsi="Book Antiqua"/>
                <w:lang w:val="en-GB"/>
              </w:rPr>
              <w:t xml:space="preserve">Urine </w:t>
            </w:r>
            <w:r w:rsidR="0024591A" w:rsidRPr="003B7DDC">
              <w:rPr>
                <w:rFonts w:ascii="Book Antiqua" w:hAnsi="Book Antiqua"/>
                <w:lang w:val="en-GB"/>
              </w:rPr>
              <w:t>o</w:t>
            </w:r>
            <w:r w:rsidRPr="003B7DDC">
              <w:rPr>
                <w:rFonts w:ascii="Book Antiqua" w:hAnsi="Book Antiqua"/>
                <w:lang w:val="en-GB"/>
              </w:rPr>
              <w:t>utput</w:t>
            </w:r>
          </w:p>
        </w:tc>
        <w:tc>
          <w:tcPr>
            <w:tcW w:w="2520" w:type="dxa"/>
            <w:tcBorders>
              <w:bottom w:val="single" w:sz="4" w:space="0" w:color="auto"/>
            </w:tcBorders>
            <w:shd w:val="clear" w:color="000000" w:fill="FFFFFF"/>
          </w:tcPr>
          <w:p w14:paraId="6E21CFAA" w14:textId="77777777" w:rsidR="00C2498C" w:rsidRPr="003B7DDC" w:rsidRDefault="00C2498C" w:rsidP="0024591A">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&lt;</w:t>
            </w:r>
            <w:r w:rsidR="004A5123" w:rsidRPr="003B7DDC">
              <w:rPr>
                <w:rFonts w:ascii="Book Antiqua" w:hAnsi="Book Antiqua"/>
                <w:lang w:val="en-GB" w:eastAsia="zh-CN"/>
              </w:rPr>
              <w:t xml:space="preserve"> </w:t>
            </w:r>
            <w:r w:rsidRPr="003B7DDC">
              <w:rPr>
                <w:rFonts w:ascii="Book Antiqua" w:hAnsi="Book Antiqua"/>
                <w:lang w:val="en-GB"/>
              </w:rPr>
              <w:t>0.5 m</w:t>
            </w:r>
            <w:r w:rsidR="0024591A" w:rsidRPr="003B7DDC">
              <w:rPr>
                <w:rFonts w:ascii="Book Antiqua" w:hAnsi="Book Antiqua"/>
                <w:lang w:val="en-GB"/>
              </w:rPr>
              <w:t>L</w:t>
            </w:r>
            <w:r w:rsidRPr="003B7DDC">
              <w:rPr>
                <w:rFonts w:ascii="Book Antiqua" w:hAnsi="Book Antiqua"/>
                <w:lang w:val="en-GB"/>
              </w:rPr>
              <w:t xml:space="preserve">/kg/h for </w:t>
            </w:r>
            <w:r w:rsidR="0037314E" w:rsidRPr="003B7DDC">
              <w:rPr>
                <w:rFonts w:ascii="Book Antiqua" w:hAnsi="Book Antiqua"/>
                <w:lang w:val="en-GB"/>
              </w:rPr>
              <w:t xml:space="preserve">≥ </w:t>
            </w:r>
            <w:r w:rsidRPr="003B7DDC">
              <w:rPr>
                <w:rFonts w:ascii="Book Antiqua" w:hAnsi="Book Antiqua"/>
                <w:lang w:val="en-GB"/>
              </w:rPr>
              <w:t xml:space="preserve">6-12 </w:t>
            </w:r>
            <w:r w:rsidR="00012EE2" w:rsidRPr="003B7DDC">
              <w:rPr>
                <w:rFonts w:ascii="Book Antiqua" w:hAnsi="Book Antiqua"/>
                <w:lang w:val="en-GB"/>
              </w:rPr>
              <w:t>h</w:t>
            </w:r>
          </w:p>
        </w:tc>
        <w:tc>
          <w:tcPr>
            <w:tcW w:w="2520" w:type="dxa"/>
            <w:tcBorders>
              <w:bottom w:val="single" w:sz="4" w:space="0" w:color="auto"/>
            </w:tcBorders>
            <w:shd w:val="clear" w:color="000000" w:fill="FFFFFF"/>
          </w:tcPr>
          <w:p w14:paraId="2228A89E" w14:textId="77777777" w:rsidR="00C2498C" w:rsidRPr="003B7DDC" w:rsidRDefault="00C2498C" w:rsidP="0024591A">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&lt;</w:t>
            </w:r>
            <w:r w:rsidR="004A5123" w:rsidRPr="003B7DDC">
              <w:rPr>
                <w:rFonts w:ascii="Book Antiqua" w:hAnsi="Book Antiqua"/>
                <w:lang w:val="en-GB" w:eastAsia="zh-CN"/>
              </w:rPr>
              <w:t xml:space="preserve"> </w:t>
            </w:r>
            <w:r w:rsidRPr="003B7DDC">
              <w:rPr>
                <w:rFonts w:ascii="Book Antiqua" w:hAnsi="Book Antiqua"/>
                <w:lang w:val="en-GB"/>
              </w:rPr>
              <w:t>0.5 m</w:t>
            </w:r>
            <w:r w:rsidR="004A5123" w:rsidRPr="003B7DDC">
              <w:rPr>
                <w:rFonts w:ascii="Book Antiqua" w:hAnsi="Book Antiqua"/>
                <w:lang w:val="en-GB"/>
              </w:rPr>
              <w:t>L</w:t>
            </w:r>
            <w:r w:rsidRPr="003B7DDC">
              <w:rPr>
                <w:rFonts w:ascii="Book Antiqua" w:hAnsi="Book Antiqua"/>
                <w:lang w:val="en-GB"/>
              </w:rPr>
              <w:t xml:space="preserve">/kg/h for </w:t>
            </w:r>
            <w:r w:rsidR="0037314E" w:rsidRPr="003B7DDC">
              <w:rPr>
                <w:rFonts w:ascii="Book Antiqua" w:hAnsi="Book Antiqua"/>
                <w:lang w:val="en-GB"/>
              </w:rPr>
              <w:t xml:space="preserve">≥ </w:t>
            </w:r>
            <w:r w:rsidRPr="003B7DDC">
              <w:rPr>
                <w:rFonts w:ascii="Book Antiqua" w:hAnsi="Book Antiqua"/>
                <w:lang w:val="en-GB"/>
              </w:rPr>
              <w:t xml:space="preserve">12 </w:t>
            </w:r>
            <w:r w:rsidR="00012EE2" w:rsidRPr="003B7DDC">
              <w:rPr>
                <w:rFonts w:ascii="Book Antiqua" w:hAnsi="Book Antiqua"/>
                <w:lang w:val="en-GB"/>
              </w:rPr>
              <w:t>h</w:t>
            </w:r>
          </w:p>
        </w:tc>
        <w:tc>
          <w:tcPr>
            <w:tcW w:w="3024" w:type="dxa"/>
            <w:tcBorders>
              <w:bottom w:val="single" w:sz="4" w:space="0" w:color="auto"/>
            </w:tcBorders>
            <w:shd w:val="clear" w:color="000000" w:fill="FFFFFF"/>
          </w:tcPr>
          <w:p w14:paraId="0CD9729E" w14:textId="77777777" w:rsidR="00C2498C" w:rsidRPr="003B7DDC" w:rsidRDefault="00C2498C" w:rsidP="0024591A">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&lt;</w:t>
            </w:r>
            <w:r w:rsidR="004A5123" w:rsidRPr="003B7DDC">
              <w:rPr>
                <w:rFonts w:ascii="Book Antiqua" w:hAnsi="Book Antiqua"/>
                <w:lang w:val="en-GB" w:eastAsia="zh-CN"/>
              </w:rPr>
              <w:t xml:space="preserve"> </w:t>
            </w:r>
            <w:r w:rsidRPr="003B7DDC">
              <w:rPr>
                <w:rFonts w:ascii="Book Antiqua" w:hAnsi="Book Antiqua"/>
                <w:lang w:val="en-GB"/>
              </w:rPr>
              <w:t>0.3 m</w:t>
            </w:r>
            <w:r w:rsidR="004A5123" w:rsidRPr="003B7DDC">
              <w:rPr>
                <w:rFonts w:ascii="Book Antiqua" w:hAnsi="Book Antiqua"/>
                <w:lang w:val="en-GB"/>
              </w:rPr>
              <w:t>L</w:t>
            </w:r>
            <w:r w:rsidRPr="003B7DDC">
              <w:rPr>
                <w:rFonts w:ascii="Book Antiqua" w:hAnsi="Book Antiqua"/>
                <w:lang w:val="en-GB"/>
              </w:rPr>
              <w:t xml:space="preserve">/kg/h for </w:t>
            </w:r>
            <w:r w:rsidR="0037314E" w:rsidRPr="003B7DDC">
              <w:rPr>
                <w:rFonts w:ascii="Book Antiqua" w:hAnsi="Book Antiqua"/>
                <w:lang w:val="en-GB"/>
              </w:rPr>
              <w:t xml:space="preserve">≥ </w:t>
            </w:r>
            <w:r w:rsidRPr="003B7DDC">
              <w:rPr>
                <w:rFonts w:ascii="Book Antiqua" w:hAnsi="Book Antiqua"/>
                <w:lang w:val="en-GB"/>
              </w:rPr>
              <w:t xml:space="preserve">24 </w:t>
            </w:r>
            <w:r w:rsidR="00012EE2" w:rsidRPr="003B7DDC">
              <w:rPr>
                <w:rFonts w:ascii="Book Antiqua" w:hAnsi="Book Antiqua"/>
                <w:lang w:val="en-GB"/>
              </w:rPr>
              <w:t>h</w:t>
            </w:r>
          </w:p>
          <w:p w14:paraId="0D0EDA3D" w14:textId="77777777" w:rsidR="00C2498C" w:rsidRPr="003B7DDC" w:rsidRDefault="00C2498C" w:rsidP="0024591A">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OR</w:t>
            </w:r>
          </w:p>
          <w:p w14:paraId="0DD70A8A" w14:textId="77777777" w:rsidR="00C2498C" w:rsidRPr="003B7DDC" w:rsidRDefault="00C2498C" w:rsidP="0024591A">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 xml:space="preserve">Anuria </w:t>
            </w:r>
            <w:r w:rsidR="0037314E" w:rsidRPr="003B7DDC">
              <w:rPr>
                <w:rFonts w:ascii="Book Antiqua" w:hAnsi="Book Antiqua"/>
                <w:lang w:val="en-GB"/>
              </w:rPr>
              <w:t xml:space="preserve">≥ </w:t>
            </w:r>
            <w:r w:rsidRPr="003B7DDC">
              <w:rPr>
                <w:rFonts w:ascii="Book Antiqua" w:hAnsi="Book Antiqua"/>
                <w:lang w:val="en-GB"/>
              </w:rPr>
              <w:t xml:space="preserve">12 </w:t>
            </w:r>
            <w:r w:rsidR="00012EE2" w:rsidRPr="003B7DDC">
              <w:rPr>
                <w:rFonts w:ascii="Book Antiqua" w:hAnsi="Book Antiqua"/>
                <w:lang w:val="en-GB"/>
              </w:rPr>
              <w:t>h</w:t>
            </w:r>
          </w:p>
        </w:tc>
      </w:tr>
    </w:tbl>
    <w:p w14:paraId="00B26B8C"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57D48637" w14:textId="77777777" w:rsidR="00C2498C" w:rsidRPr="003B7DDC" w:rsidRDefault="00C2498C" w:rsidP="00CB581F">
      <w:pPr>
        <w:autoSpaceDE w:val="0"/>
        <w:autoSpaceDN w:val="0"/>
        <w:adjustRightInd w:val="0"/>
        <w:snapToGrid w:val="0"/>
        <w:spacing w:line="360" w:lineRule="auto"/>
        <w:jc w:val="both"/>
        <w:rPr>
          <w:rFonts w:ascii="Book Antiqua" w:hAnsi="Book Antiqua" w:cs="Arial"/>
          <w:b/>
          <w:bCs/>
          <w:lang w:val="en-GB"/>
        </w:rPr>
      </w:pPr>
      <w:r w:rsidRPr="003B7DDC">
        <w:rPr>
          <w:rFonts w:ascii="Book Antiqua" w:hAnsi="Book Antiqua" w:cs="Arial"/>
          <w:lang w:val="en-GB"/>
        </w:rPr>
        <w:br w:type="page"/>
      </w:r>
      <w:r w:rsidRPr="003B7DDC">
        <w:rPr>
          <w:rFonts w:ascii="Book Antiqua" w:hAnsi="Book Antiqua" w:cs="Arial"/>
          <w:b/>
          <w:bCs/>
          <w:lang w:val="en-GB"/>
        </w:rPr>
        <w:lastRenderedPageBreak/>
        <w:t>Table 2 Baseline patient characteristics</w:t>
      </w:r>
    </w:p>
    <w:tbl>
      <w:tblPr>
        <w:tblW w:w="9249" w:type="dxa"/>
        <w:tblInd w:w="70" w:type="dxa"/>
        <w:tblLayout w:type="fixed"/>
        <w:tblCellMar>
          <w:left w:w="70" w:type="dxa"/>
          <w:right w:w="70" w:type="dxa"/>
        </w:tblCellMar>
        <w:tblLook w:val="0000" w:firstRow="0" w:lastRow="0" w:firstColumn="0" w:lastColumn="0" w:noHBand="0" w:noVBand="0"/>
      </w:tblPr>
      <w:tblGrid>
        <w:gridCol w:w="3261"/>
        <w:gridCol w:w="1701"/>
        <w:gridCol w:w="2410"/>
        <w:gridCol w:w="1877"/>
      </w:tblGrid>
      <w:tr w:rsidR="0025346E" w:rsidRPr="003B7DDC" w14:paraId="4610D046" w14:textId="77777777" w:rsidTr="0025346E">
        <w:trPr>
          <w:trHeight w:val="375"/>
        </w:trPr>
        <w:tc>
          <w:tcPr>
            <w:tcW w:w="3261" w:type="dxa"/>
            <w:tcBorders>
              <w:top w:val="single" w:sz="4" w:space="0" w:color="auto"/>
              <w:bottom w:val="single" w:sz="4" w:space="0" w:color="auto"/>
            </w:tcBorders>
            <w:shd w:val="clear" w:color="000000" w:fill="FFFFFF"/>
          </w:tcPr>
          <w:p w14:paraId="0F2DDA34" w14:textId="77777777" w:rsidR="00C2498C" w:rsidRPr="003B7DDC" w:rsidRDefault="00BB07E0" w:rsidP="0025346E">
            <w:pPr>
              <w:autoSpaceDE w:val="0"/>
              <w:autoSpaceDN w:val="0"/>
              <w:adjustRightInd w:val="0"/>
              <w:snapToGrid w:val="0"/>
              <w:spacing w:line="360" w:lineRule="auto"/>
              <w:rPr>
                <w:rFonts w:ascii="Book Antiqua" w:hAnsi="Book Antiqua"/>
                <w:b/>
                <w:lang w:val="fr-FR"/>
              </w:rPr>
            </w:pPr>
            <w:r w:rsidRPr="003B7DDC">
              <w:rPr>
                <w:rFonts w:ascii="Book Antiqua" w:hAnsi="Book Antiqua"/>
                <w:b/>
                <w:lang w:val="fr-FR"/>
              </w:rPr>
              <w:t>Variables</w:t>
            </w:r>
          </w:p>
        </w:tc>
        <w:tc>
          <w:tcPr>
            <w:tcW w:w="1701" w:type="dxa"/>
            <w:tcBorders>
              <w:top w:val="single" w:sz="4" w:space="0" w:color="auto"/>
              <w:bottom w:val="single" w:sz="4" w:space="0" w:color="auto"/>
            </w:tcBorders>
            <w:shd w:val="clear" w:color="000000" w:fill="FFFFFF"/>
          </w:tcPr>
          <w:p w14:paraId="6D18C33F" w14:textId="77777777" w:rsidR="00C2498C" w:rsidRPr="003B7DDC" w:rsidRDefault="00C2498C" w:rsidP="0025346E">
            <w:pPr>
              <w:autoSpaceDE w:val="0"/>
              <w:autoSpaceDN w:val="0"/>
              <w:adjustRightInd w:val="0"/>
              <w:snapToGrid w:val="0"/>
              <w:spacing w:line="360" w:lineRule="auto"/>
              <w:jc w:val="center"/>
              <w:rPr>
                <w:rFonts w:ascii="Book Antiqua" w:hAnsi="Book Antiqua"/>
                <w:b/>
                <w:lang w:val="fr-FR"/>
              </w:rPr>
            </w:pPr>
            <w:r w:rsidRPr="003B7DDC">
              <w:rPr>
                <w:rFonts w:ascii="Book Antiqua" w:hAnsi="Book Antiqua"/>
                <w:b/>
                <w:lang w:val="fr-FR"/>
              </w:rPr>
              <w:t>AKI (</w:t>
            </w:r>
            <w:r w:rsidRPr="003B7DDC">
              <w:rPr>
                <w:rFonts w:ascii="Book Antiqua" w:hAnsi="Book Antiqua"/>
                <w:b/>
                <w:i/>
                <w:lang w:val="fr-FR"/>
              </w:rPr>
              <w:t>n</w:t>
            </w:r>
            <w:r w:rsidR="0025346E" w:rsidRPr="003B7DDC">
              <w:rPr>
                <w:rFonts w:ascii="Book Antiqua" w:hAnsi="Book Antiqua"/>
                <w:b/>
                <w:lang w:val="fr-FR" w:eastAsia="zh-CN"/>
              </w:rPr>
              <w:t xml:space="preserve"> </w:t>
            </w:r>
            <w:r w:rsidRPr="003B7DDC">
              <w:rPr>
                <w:rFonts w:ascii="Book Antiqua" w:hAnsi="Book Antiqua"/>
                <w:b/>
                <w:lang w:val="fr-FR"/>
              </w:rPr>
              <w:t>=</w:t>
            </w:r>
            <w:r w:rsidR="0025346E" w:rsidRPr="003B7DDC">
              <w:rPr>
                <w:rFonts w:ascii="Book Antiqua" w:hAnsi="Book Antiqua"/>
                <w:b/>
                <w:lang w:val="fr-FR" w:eastAsia="zh-CN"/>
              </w:rPr>
              <w:t xml:space="preserve"> </w:t>
            </w:r>
            <w:r w:rsidRPr="003B7DDC">
              <w:rPr>
                <w:rFonts w:ascii="Book Antiqua" w:hAnsi="Book Antiqua"/>
                <w:b/>
                <w:lang w:val="fr-FR"/>
              </w:rPr>
              <w:t>35)</w:t>
            </w:r>
          </w:p>
        </w:tc>
        <w:tc>
          <w:tcPr>
            <w:tcW w:w="2410" w:type="dxa"/>
            <w:tcBorders>
              <w:top w:val="single" w:sz="4" w:space="0" w:color="auto"/>
              <w:bottom w:val="single" w:sz="4" w:space="0" w:color="auto"/>
            </w:tcBorders>
            <w:shd w:val="clear" w:color="000000" w:fill="FFFFFF"/>
          </w:tcPr>
          <w:p w14:paraId="6A07373A" w14:textId="77777777" w:rsidR="00C2498C" w:rsidRPr="003B7DDC" w:rsidRDefault="00C2498C" w:rsidP="0025346E">
            <w:pPr>
              <w:autoSpaceDE w:val="0"/>
              <w:autoSpaceDN w:val="0"/>
              <w:adjustRightInd w:val="0"/>
              <w:snapToGrid w:val="0"/>
              <w:spacing w:line="360" w:lineRule="auto"/>
              <w:jc w:val="center"/>
              <w:rPr>
                <w:rFonts w:ascii="Book Antiqua" w:hAnsi="Book Antiqua"/>
                <w:b/>
                <w:lang w:val="fr-FR"/>
              </w:rPr>
            </w:pPr>
            <w:r w:rsidRPr="003B7DDC">
              <w:rPr>
                <w:rFonts w:ascii="Book Antiqua" w:hAnsi="Book Antiqua"/>
                <w:b/>
                <w:lang w:val="fr-FR"/>
              </w:rPr>
              <w:t xml:space="preserve">Non-AKI </w:t>
            </w:r>
            <w:r w:rsidR="0025346E" w:rsidRPr="003B7DDC">
              <w:rPr>
                <w:rFonts w:ascii="Book Antiqua" w:hAnsi="Book Antiqua"/>
                <w:b/>
                <w:lang w:val="fr-FR"/>
              </w:rPr>
              <w:t>(</w:t>
            </w:r>
            <w:r w:rsidR="0025346E" w:rsidRPr="003B7DDC">
              <w:rPr>
                <w:rFonts w:ascii="Book Antiqua" w:hAnsi="Book Antiqua"/>
                <w:b/>
                <w:i/>
                <w:lang w:val="fr-FR"/>
              </w:rPr>
              <w:t>n</w:t>
            </w:r>
            <w:r w:rsidR="0025346E" w:rsidRPr="003B7DDC">
              <w:rPr>
                <w:rFonts w:ascii="Book Antiqua" w:hAnsi="Book Antiqua"/>
                <w:b/>
                <w:lang w:val="fr-FR" w:eastAsia="zh-CN"/>
              </w:rPr>
              <w:t xml:space="preserve"> </w:t>
            </w:r>
            <w:r w:rsidR="0025346E" w:rsidRPr="003B7DDC">
              <w:rPr>
                <w:rFonts w:ascii="Book Antiqua" w:hAnsi="Book Antiqua"/>
                <w:b/>
                <w:lang w:val="fr-FR"/>
              </w:rPr>
              <w:t>=</w:t>
            </w:r>
            <w:r w:rsidR="0025346E" w:rsidRPr="003B7DDC">
              <w:rPr>
                <w:rFonts w:ascii="Book Antiqua" w:hAnsi="Book Antiqua"/>
                <w:b/>
                <w:lang w:val="fr-FR" w:eastAsia="zh-CN"/>
              </w:rPr>
              <w:t xml:space="preserve"> </w:t>
            </w:r>
            <w:r w:rsidRPr="003B7DDC">
              <w:rPr>
                <w:rFonts w:ascii="Book Antiqua" w:hAnsi="Book Antiqua"/>
                <w:b/>
                <w:lang w:val="fr-FR"/>
              </w:rPr>
              <w:t>36)</w:t>
            </w:r>
          </w:p>
        </w:tc>
        <w:tc>
          <w:tcPr>
            <w:tcW w:w="1877" w:type="dxa"/>
            <w:tcBorders>
              <w:top w:val="single" w:sz="4" w:space="0" w:color="auto"/>
              <w:bottom w:val="single" w:sz="4" w:space="0" w:color="auto"/>
            </w:tcBorders>
            <w:shd w:val="clear" w:color="000000" w:fill="FFFFFF"/>
          </w:tcPr>
          <w:p w14:paraId="31DEA947" w14:textId="77777777" w:rsidR="00C2498C" w:rsidRPr="003B7DDC" w:rsidRDefault="00C2498C" w:rsidP="0025346E">
            <w:pPr>
              <w:autoSpaceDE w:val="0"/>
              <w:autoSpaceDN w:val="0"/>
              <w:adjustRightInd w:val="0"/>
              <w:snapToGrid w:val="0"/>
              <w:spacing w:line="360" w:lineRule="auto"/>
              <w:jc w:val="center"/>
              <w:rPr>
                <w:rFonts w:ascii="Book Antiqua" w:hAnsi="Book Antiqua"/>
                <w:b/>
                <w:lang w:val="en-GB"/>
              </w:rPr>
            </w:pPr>
            <w:r w:rsidRPr="003B7DDC">
              <w:rPr>
                <w:rFonts w:ascii="Book Antiqua" w:hAnsi="Book Antiqua"/>
                <w:b/>
                <w:lang w:val="en-GB"/>
              </w:rPr>
              <w:t xml:space="preserve">Total </w:t>
            </w:r>
            <w:r w:rsidR="0025346E" w:rsidRPr="003B7DDC">
              <w:rPr>
                <w:rFonts w:ascii="Book Antiqua" w:hAnsi="Book Antiqua"/>
                <w:b/>
                <w:lang w:val="fr-FR"/>
              </w:rPr>
              <w:t>(</w:t>
            </w:r>
            <w:r w:rsidR="0025346E" w:rsidRPr="003B7DDC">
              <w:rPr>
                <w:rFonts w:ascii="Book Antiqua" w:hAnsi="Book Antiqua"/>
                <w:b/>
                <w:i/>
                <w:lang w:val="fr-FR"/>
              </w:rPr>
              <w:t>n</w:t>
            </w:r>
            <w:r w:rsidR="0025346E" w:rsidRPr="003B7DDC">
              <w:rPr>
                <w:rFonts w:ascii="Book Antiqua" w:hAnsi="Book Antiqua"/>
                <w:b/>
                <w:lang w:val="fr-FR" w:eastAsia="zh-CN"/>
              </w:rPr>
              <w:t xml:space="preserve"> </w:t>
            </w:r>
            <w:r w:rsidR="0025346E" w:rsidRPr="003B7DDC">
              <w:rPr>
                <w:rFonts w:ascii="Book Antiqua" w:hAnsi="Book Antiqua"/>
                <w:b/>
                <w:lang w:val="fr-FR"/>
              </w:rPr>
              <w:t>=</w:t>
            </w:r>
            <w:r w:rsidR="0025346E" w:rsidRPr="003B7DDC">
              <w:rPr>
                <w:rFonts w:ascii="Book Antiqua" w:hAnsi="Book Antiqua"/>
                <w:b/>
                <w:lang w:val="fr-FR" w:eastAsia="zh-CN"/>
              </w:rPr>
              <w:t xml:space="preserve"> </w:t>
            </w:r>
            <w:r w:rsidRPr="003B7DDC">
              <w:rPr>
                <w:rFonts w:ascii="Book Antiqua" w:hAnsi="Book Antiqua"/>
                <w:b/>
                <w:lang w:val="en-GB"/>
              </w:rPr>
              <w:t>71)</w:t>
            </w:r>
          </w:p>
        </w:tc>
      </w:tr>
      <w:tr w:rsidR="0025346E" w:rsidRPr="003B7DDC" w14:paraId="03306D18" w14:textId="77777777" w:rsidTr="0025346E">
        <w:trPr>
          <w:trHeight w:val="4236"/>
        </w:trPr>
        <w:tc>
          <w:tcPr>
            <w:tcW w:w="3261" w:type="dxa"/>
            <w:tcBorders>
              <w:top w:val="single" w:sz="4" w:space="0" w:color="auto"/>
              <w:bottom w:val="single" w:sz="4" w:space="0" w:color="auto"/>
            </w:tcBorders>
            <w:shd w:val="clear" w:color="000000" w:fill="FFFFFF"/>
          </w:tcPr>
          <w:p w14:paraId="0E12F236" w14:textId="77777777" w:rsidR="00C2498C" w:rsidRPr="003B7DDC" w:rsidRDefault="00C2498C" w:rsidP="0025346E">
            <w:pPr>
              <w:autoSpaceDE w:val="0"/>
              <w:autoSpaceDN w:val="0"/>
              <w:adjustRightInd w:val="0"/>
              <w:snapToGrid w:val="0"/>
              <w:spacing w:line="360" w:lineRule="auto"/>
              <w:rPr>
                <w:rFonts w:ascii="Book Antiqua" w:hAnsi="Book Antiqua"/>
                <w:lang w:val="en-GB" w:eastAsia="zh-CN"/>
              </w:rPr>
            </w:pPr>
            <w:r w:rsidRPr="003B7DDC">
              <w:rPr>
                <w:rFonts w:ascii="Book Antiqua" w:hAnsi="Book Antiqua"/>
                <w:lang w:val="en-GB"/>
              </w:rPr>
              <w:t>Age (yr)</w:t>
            </w:r>
          </w:p>
          <w:p w14:paraId="07E2C0DC" w14:textId="77777777" w:rsidR="00C2498C" w:rsidRPr="003B7DDC" w:rsidRDefault="0025346E" w:rsidP="0025346E">
            <w:pPr>
              <w:autoSpaceDE w:val="0"/>
              <w:autoSpaceDN w:val="0"/>
              <w:adjustRightInd w:val="0"/>
              <w:snapToGrid w:val="0"/>
              <w:spacing w:line="360" w:lineRule="auto"/>
              <w:rPr>
                <w:rFonts w:ascii="Book Antiqua" w:hAnsi="Book Antiqua"/>
                <w:lang w:val="en-GB" w:eastAsia="zh-CN"/>
              </w:rPr>
            </w:pPr>
            <w:r w:rsidRPr="003B7DDC">
              <w:rPr>
                <w:rFonts w:ascii="Book Antiqua" w:hAnsi="Book Antiqua"/>
                <w:lang w:val="en-GB"/>
              </w:rPr>
              <w:t>Sex (male)</w:t>
            </w:r>
          </w:p>
          <w:p w14:paraId="210D7717" w14:textId="77777777" w:rsidR="00C2498C" w:rsidRPr="003B7DDC" w:rsidRDefault="0025346E" w:rsidP="0025346E">
            <w:pPr>
              <w:autoSpaceDE w:val="0"/>
              <w:autoSpaceDN w:val="0"/>
              <w:adjustRightInd w:val="0"/>
              <w:snapToGrid w:val="0"/>
              <w:spacing w:line="360" w:lineRule="auto"/>
              <w:rPr>
                <w:rFonts w:ascii="Book Antiqua" w:hAnsi="Book Antiqua"/>
                <w:lang w:val="en-GB" w:eastAsia="zh-CN"/>
              </w:rPr>
            </w:pPr>
            <w:r w:rsidRPr="003B7DDC">
              <w:rPr>
                <w:rFonts w:ascii="Book Antiqua" w:hAnsi="Book Antiqua"/>
                <w:lang w:val="en-GB"/>
              </w:rPr>
              <w:t>Idiopathic scoliosis</w:t>
            </w:r>
          </w:p>
          <w:p w14:paraId="1C9E658E" w14:textId="77777777" w:rsidR="00C2498C" w:rsidRPr="003B7DDC" w:rsidRDefault="0025346E" w:rsidP="0025346E">
            <w:pPr>
              <w:autoSpaceDE w:val="0"/>
              <w:autoSpaceDN w:val="0"/>
              <w:adjustRightInd w:val="0"/>
              <w:snapToGrid w:val="0"/>
              <w:spacing w:line="360" w:lineRule="auto"/>
              <w:rPr>
                <w:rFonts w:ascii="Book Antiqua" w:hAnsi="Book Antiqua"/>
                <w:lang w:val="en-GB" w:eastAsia="zh-CN"/>
              </w:rPr>
            </w:pPr>
            <w:r w:rsidRPr="003B7DDC">
              <w:rPr>
                <w:rFonts w:ascii="Book Antiqua" w:hAnsi="Book Antiqua"/>
                <w:lang w:val="en-GB"/>
              </w:rPr>
              <w:t>Weight (kg)</w:t>
            </w:r>
          </w:p>
          <w:p w14:paraId="03AAB4E8" w14:textId="77777777" w:rsidR="00C2498C" w:rsidRPr="003B7DDC" w:rsidRDefault="0025346E" w:rsidP="0025346E">
            <w:pPr>
              <w:autoSpaceDE w:val="0"/>
              <w:autoSpaceDN w:val="0"/>
              <w:adjustRightInd w:val="0"/>
              <w:snapToGrid w:val="0"/>
              <w:spacing w:line="360" w:lineRule="auto"/>
              <w:rPr>
                <w:rFonts w:ascii="Book Antiqua" w:hAnsi="Book Antiqua"/>
                <w:lang w:val="en-GB" w:eastAsia="zh-CN"/>
              </w:rPr>
            </w:pPr>
            <w:r w:rsidRPr="003B7DDC">
              <w:rPr>
                <w:rFonts w:ascii="Book Antiqua" w:hAnsi="Book Antiqua"/>
                <w:lang w:val="en-GB"/>
              </w:rPr>
              <w:t>Height (cm)</w:t>
            </w:r>
          </w:p>
          <w:p w14:paraId="46EAE439" w14:textId="77777777" w:rsidR="00C2498C" w:rsidRPr="003B7DDC" w:rsidRDefault="00C2498C" w:rsidP="0025346E">
            <w:pPr>
              <w:autoSpaceDE w:val="0"/>
              <w:autoSpaceDN w:val="0"/>
              <w:adjustRightInd w:val="0"/>
              <w:snapToGrid w:val="0"/>
              <w:spacing w:line="360" w:lineRule="auto"/>
              <w:rPr>
                <w:rFonts w:ascii="Book Antiqua" w:hAnsi="Book Antiqua"/>
                <w:lang w:val="en-GB" w:eastAsia="zh-CN"/>
              </w:rPr>
            </w:pPr>
            <w:r w:rsidRPr="003B7DDC">
              <w:rPr>
                <w:rFonts w:ascii="Book Antiqua" w:hAnsi="Book Antiqua"/>
                <w:lang w:val="en-GB"/>
              </w:rPr>
              <w:t>BSA (kg/m</w:t>
            </w:r>
            <w:r w:rsidRPr="003B7DDC">
              <w:rPr>
                <w:rFonts w:ascii="Book Antiqua" w:hAnsi="Book Antiqua"/>
                <w:vertAlign w:val="superscript"/>
                <w:lang w:val="en-GB"/>
              </w:rPr>
              <w:t>2</w:t>
            </w:r>
            <w:r w:rsidR="0025346E" w:rsidRPr="003B7DDC">
              <w:rPr>
                <w:rFonts w:ascii="Book Antiqua" w:hAnsi="Book Antiqua"/>
                <w:lang w:val="en-GB"/>
              </w:rPr>
              <w:t>)</w:t>
            </w:r>
          </w:p>
          <w:p w14:paraId="3C424489" w14:textId="77777777" w:rsidR="00C2498C" w:rsidRPr="003B7DDC" w:rsidRDefault="0025346E" w:rsidP="0025346E">
            <w:pPr>
              <w:autoSpaceDE w:val="0"/>
              <w:autoSpaceDN w:val="0"/>
              <w:adjustRightInd w:val="0"/>
              <w:snapToGrid w:val="0"/>
              <w:spacing w:line="360" w:lineRule="auto"/>
              <w:rPr>
                <w:rFonts w:ascii="Book Antiqua" w:hAnsi="Book Antiqua"/>
                <w:lang w:val="nl" w:eastAsia="zh-CN"/>
              </w:rPr>
            </w:pPr>
            <w:r w:rsidRPr="003B7DDC">
              <w:rPr>
                <w:rFonts w:ascii="Book Antiqua" w:hAnsi="Book Antiqua"/>
                <w:lang w:val="nl"/>
              </w:rPr>
              <w:t>Pre-op Syst BP (mm Hg)</w:t>
            </w:r>
          </w:p>
          <w:p w14:paraId="554C0FD7" w14:textId="77777777" w:rsidR="00C2498C" w:rsidRPr="003B7DDC" w:rsidRDefault="0025346E" w:rsidP="0025346E">
            <w:pPr>
              <w:autoSpaceDE w:val="0"/>
              <w:autoSpaceDN w:val="0"/>
              <w:adjustRightInd w:val="0"/>
              <w:snapToGrid w:val="0"/>
              <w:spacing w:line="360" w:lineRule="auto"/>
              <w:rPr>
                <w:rFonts w:ascii="Book Antiqua" w:hAnsi="Book Antiqua"/>
                <w:lang w:val="nl" w:eastAsia="zh-CN"/>
              </w:rPr>
            </w:pPr>
            <w:r w:rsidRPr="003B7DDC">
              <w:rPr>
                <w:rFonts w:ascii="Book Antiqua" w:hAnsi="Book Antiqua"/>
                <w:lang w:val="nl"/>
              </w:rPr>
              <w:t>Pre-op Diast BP (mm Hg)</w:t>
            </w:r>
          </w:p>
          <w:p w14:paraId="62087D4D" w14:textId="77777777" w:rsidR="00C2498C" w:rsidRPr="003B7DDC" w:rsidRDefault="00C2498C" w:rsidP="0025346E">
            <w:pPr>
              <w:autoSpaceDE w:val="0"/>
              <w:autoSpaceDN w:val="0"/>
              <w:adjustRightInd w:val="0"/>
              <w:snapToGrid w:val="0"/>
              <w:spacing w:line="360" w:lineRule="auto"/>
              <w:rPr>
                <w:rFonts w:ascii="Book Antiqua" w:hAnsi="Book Antiqua"/>
                <w:lang w:val="en-GB" w:eastAsia="zh-CN"/>
              </w:rPr>
            </w:pPr>
            <w:r w:rsidRPr="003B7DDC">
              <w:rPr>
                <w:rFonts w:ascii="Book Antiqua" w:hAnsi="Book Antiqua"/>
                <w:lang w:val="en-GB"/>
              </w:rPr>
              <w:t>Baseline creatinine (</w:t>
            </w:r>
            <w:r w:rsidR="0025346E" w:rsidRPr="003B7DDC">
              <w:rPr>
                <w:rFonts w:ascii="Book Antiqua" w:hAnsi="Book Antiqua"/>
                <w:lang w:val="en-GB"/>
              </w:rPr>
              <w:t>µmol/L)</w:t>
            </w:r>
          </w:p>
          <w:p w14:paraId="7ABBD6C6" w14:textId="77777777" w:rsidR="00C2498C" w:rsidRPr="003B7DDC" w:rsidRDefault="00C2498C" w:rsidP="0025346E">
            <w:pPr>
              <w:autoSpaceDE w:val="0"/>
              <w:autoSpaceDN w:val="0"/>
              <w:adjustRightInd w:val="0"/>
              <w:snapToGrid w:val="0"/>
              <w:spacing w:line="360" w:lineRule="auto"/>
              <w:rPr>
                <w:rFonts w:ascii="Book Antiqua" w:hAnsi="Book Antiqua"/>
                <w:lang w:val="en-GB"/>
              </w:rPr>
            </w:pPr>
            <w:r w:rsidRPr="003B7DDC">
              <w:rPr>
                <w:rFonts w:ascii="Book Antiqua" w:hAnsi="Book Antiqua"/>
                <w:lang w:val="en-GB"/>
              </w:rPr>
              <w:t>Baseline Hb (g/L)</w:t>
            </w:r>
          </w:p>
        </w:tc>
        <w:tc>
          <w:tcPr>
            <w:tcW w:w="1701" w:type="dxa"/>
            <w:tcBorders>
              <w:top w:val="single" w:sz="4" w:space="0" w:color="auto"/>
              <w:bottom w:val="single" w:sz="4" w:space="0" w:color="auto"/>
            </w:tcBorders>
            <w:shd w:val="clear" w:color="000000" w:fill="FFFFFF"/>
          </w:tcPr>
          <w:p w14:paraId="132B6809" w14:textId="77777777" w:rsidR="00C2498C" w:rsidRPr="003B7DDC" w:rsidRDefault="00C2498C"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15.4 ± 1.75</w:t>
            </w:r>
          </w:p>
          <w:p w14:paraId="0342EFB9"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9 (26%)</w:t>
            </w:r>
          </w:p>
          <w:p w14:paraId="39F34680"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24 (69%)</w:t>
            </w:r>
          </w:p>
          <w:p w14:paraId="44E4827B" w14:textId="77777777" w:rsidR="00C2498C" w:rsidRPr="003B7DDC" w:rsidRDefault="00C2498C"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56.5 ± 16</w:t>
            </w:r>
            <w:r w:rsidR="0025346E" w:rsidRPr="003B7DDC">
              <w:rPr>
                <w:rFonts w:ascii="Book Antiqua" w:hAnsi="Book Antiqua"/>
                <w:lang w:val="en-GB"/>
              </w:rPr>
              <w:t>.0</w:t>
            </w:r>
          </w:p>
          <w:p w14:paraId="0D6E7B55"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161 ± 9.8</w:t>
            </w:r>
          </w:p>
          <w:p w14:paraId="627E2CC4"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1.58 ± 0.27</w:t>
            </w:r>
          </w:p>
          <w:p w14:paraId="1D884095"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116 ± 13.4</w:t>
            </w:r>
          </w:p>
          <w:p w14:paraId="0F2264C1"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71 ± 11.1</w:t>
            </w:r>
          </w:p>
          <w:p w14:paraId="358004AC"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49.9 ± 15.2</w:t>
            </w:r>
          </w:p>
          <w:p w14:paraId="0B401C0B" w14:textId="77777777" w:rsidR="00C2498C" w:rsidRPr="003B7DDC" w:rsidRDefault="00C2498C" w:rsidP="0025346E">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138 ± 11.7</w:t>
            </w:r>
          </w:p>
        </w:tc>
        <w:tc>
          <w:tcPr>
            <w:tcW w:w="2410" w:type="dxa"/>
            <w:tcBorders>
              <w:top w:val="single" w:sz="4" w:space="0" w:color="auto"/>
              <w:bottom w:val="single" w:sz="4" w:space="0" w:color="auto"/>
            </w:tcBorders>
            <w:shd w:val="clear" w:color="000000" w:fill="FFFFFF"/>
          </w:tcPr>
          <w:p w14:paraId="35809881"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14.4 ± 1.95</w:t>
            </w:r>
          </w:p>
          <w:p w14:paraId="216763C8"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6 (17%)</w:t>
            </w:r>
          </w:p>
          <w:p w14:paraId="166BBE1C"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24 (67%)</w:t>
            </w:r>
          </w:p>
          <w:p w14:paraId="3E68F277"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45.2 ± 11.9</w:t>
            </w:r>
          </w:p>
          <w:p w14:paraId="5B2AA535"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155 ± 10.6</w:t>
            </w:r>
          </w:p>
          <w:p w14:paraId="0E10C443"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1.38 ± 0.23</w:t>
            </w:r>
          </w:p>
          <w:p w14:paraId="3446084C"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113 ± 9.8</w:t>
            </w:r>
          </w:p>
          <w:p w14:paraId="7DB909CC"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71 ± 8.9</w:t>
            </w:r>
          </w:p>
          <w:p w14:paraId="3EB9CE2C" w14:textId="77777777" w:rsidR="00C2498C" w:rsidRPr="003B7DDC" w:rsidRDefault="00C2498C"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47.</w:t>
            </w:r>
            <w:r w:rsidR="0025346E" w:rsidRPr="003B7DDC">
              <w:rPr>
                <w:rFonts w:ascii="Book Antiqua" w:hAnsi="Book Antiqua"/>
                <w:lang w:val="en-GB"/>
              </w:rPr>
              <w:t>4 ± 13.1</w:t>
            </w:r>
          </w:p>
          <w:p w14:paraId="79273995" w14:textId="77777777" w:rsidR="00C2498C" w:rsidRPr="003B7DDC" w:rsidRDefault="00C2498C" w:rsidP="0025346E">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137 ± 13.1</w:t>
            </w:r>
          </w:p>
        </w:tc>
        <w:tc>
          <w:tcPr>
            <w:tcW w:w="1877" w:type="dxa"/>
            <w:tcBorders>
              <w:top w:val="single" w:sz="4" w:space="0" w:color="auto"/>
              <w:bottom w:val="single" w:sz="4" w:space="0" w:color="auto"/>
            </w:tcBorders>
            <w:shd w:val="clear" w:color="000000" w:fill="FFFFFF"/>
          </w:tcPr>
          <w:p w14:paraId="70D913E5"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14.9 ± 1.90</w:t>
            </w:r>
          </w:p>
          <w:p w14:paraId="52DD2151"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15 (21%)</w:t>
            </w:r>
          </w:p>
          <w:p w14:paraId="0853F446"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48 (68%)</w:t>
            </w:r>
          </w:p>
          <w:p w14:paraId="17CEDEB9"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50.7 ± 15.1</w:t>
            </w:r>
          </w:p>
          <w:p w14:paraId="76432902"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158 ± 10.6</w:t>
            </w:r>
          </w:p>
          <w:p w14:paraId="09892EB6"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1.48 ± 0.27</w:t>
            </w:r>
          </w:p>
          <w:p w14:paraId="6ED1AEB1"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114 ± 11.7</w:t>
            </w:r>
          </w:p>
          <w:p w14:paraId="7D27AD70"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71 ±  9.9</w:t>
            </w:r>
          </w:p>
          <w:p w14:paraId="7635ACAD" w14:textId="77777777" w:rsidR="00C2498C" w:rsidRPr="003B7DDC" w:rsidRDefault="0025346E" w:rsidP="0025346E">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48.7 ± 14.1</w:t>
            </w:r>
          </w:p>
          <w:p w14:paraId="042E66F5" w14:textId="77777777" w:rsidR="00C2498C" w:rsidRPr="003B7DDC" w:rsidRDefault="00C2498C" w:rsidP="0025346E">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137 ± 12.4</w:t>
            </w:r>
          </w:p>
        </w:tc>
      </w:tr>
    </w:tbl>
    <w:p w14:paraId="73D5EC03"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eastAsia="zh-CN"/>
        </w:rPr>
      </w:pPr>
    </w:p>
    <w:p w14:paraId="70CC1511"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6051262F"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2432C067"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4A0BF567"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47D23CEB"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6777EEAB"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7F0BF427"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08A27ACD"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5C4DBD0C"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2D5A6681" w14:textId="77777777" w:rsidR="00C2498C" w:rsidRPr="003B7DDC" w:rsidRDefault="00C2498C" w:rsidP="00CB581F">
      <w:pPr>
        <w:autoSpaceDE w:val="0"/>
        <w:autoSpaceDN w:val="0"/>
        <w:adjustRightInd w:val="0"/>
        <w:snapToGrid w:val="0"/>
        <w:spacing w:line="360" w:lineRule="auto"/>
        <w:jc w:val="both"/>
        <w:rPr>
          <w:rFonts w:ascii="Book Antiqua" w:hAnsi="Book Antiqua" w:cs="Arial"/>
          <w:lang w:val="en-GB"/>
        </w:rPr>
      </w:pPr>
    </w:p>
    <w:p w14:paraId="001B20FC" w14:textId="77777777" w:rsidR="00C2498C" w:rsidRPr="003B7DDC" w:rsidRDefault="00AD07C6" w:rsidP="00CB581F">
      <w:pPr>
        <w:autoSpaceDE w:val="0"/>
        <w:autoSpaceDN w:val="0"/>
        <w:adjustRightInd w:val="0"/>
        <w:snapToGrid w:val="0"/>
        <w:spacing w:line="360" w:lineRule="auto"/>
        <w:jc w:val="both"/>
        <w:rPr>
          <w:rFonts w:ascii="Book Antiqua" w:hAnsi="Book Antiqua" w:cs="Arial"/>
          <w:b/>
          <w:bCs/>
          <w:lang w:val="en-GB" w:eastAsia="zh-CN"/>
        </w:rPr>
      </w:pPr>
      <w:r w:rsidRPr="003B7DDC">
        <w:rPr>
          <w:rFonts w:ascii="Book Antiqua" w:hAnsi="Book Antiqua" w:cs="Arial"/>
          <w:b/>
          <w:bCs/>
          <w:lang w:val="en-GB"/>
        </w:rPr>
        <w:br w:type="page"/>
      </w:r>
      <w:r w:rsidRPr="003B7DDC">
        <w:rPr>
          <w:rFonts w:ascii="Book Antiqua" w:hAnsi="Book Antiqua" w:cs="Arial"/>
          <w:b/>
          <w:bCs/>
          <w:lang w:val="en-GB"/>
        </w:rPr>
        <w:lastRenderedPageBreak/>
        <w:t>Table 3</w:t>
      </w:r>
      <w:r w:rsidRPr="003B7DDC">
        <w:rPr>
          <w:rFonts w:ascii="Book Antiqua" w:hAnsi="Book Antiqua" w:cs="Arial"/>
          <w:b/>
          <w:bCs/>
          <w:lang w:val="en-GB" w:eastAsia="zh-CN"/>
        </w:rPr>
        <w:t xml:space="preserve"> </w:t>
      </w:r>
      <w:r w:rsidR="00C2498C" w:rsidRPr="003B7DDC">
        <w:rPr>
          <w:rFonts w:ascii="Book Antiqua" w:hAnsi="Book Antiqua" w:cs="Arial"/>
          <w:b/>
          <w:bCs/>
          <w:lang w:val="en-GB"/>
        </w:rPr>
        <w:t>Intra-operative/</w:t>
      </w:r>
      <w:r w:rsidRPr="003B7DDC">
        <w:rPr>
          <w:rFonts w:ascii="Book Antiqua" w:hAnsi="Book Antiqua" w:cs="Arial"/>
          <w:b/>
          <w:bCs/>
          <w:lang w:val="en-GB"/>
        </w:rPr>
        <w:t>p</w:t>
      </w:r>
      <w:r w:rsidR="00C2498C" w:rsidRPr="003B7DDC">
        <w:rPr>
          <w:rFonts w:ascii="Book Antiqua" w:hAnsi="Book Antiqua" w:cs="Arial"/>
          <w:b/>
          <w:bCs/>
          <w:lang w:val="en-GB"/>
        </w:rPr>
        <w:t xml:space="preserve">ost-operative </w:t>
      </w:r>
      <w:r w:rsidRPr="003B7DDC">
        <w:rPr>
          <w:rFonts w:ascii="Book Antiqua" w:hAnsi="Book Antiqua" w:cs="Arial"/>
          <w:b/>
          <w:bCs/>
          <w:lang w:val="en-GB"/>
        </w:rPr>
        <w:t>c</w:t>
      </w:r>
      <w:r w:rsidR="00C2498C" w:rsidRPr="003B7DDC">
        <w:rPr>
          <w:rFonts w:ascii="Book Antiqua" w:hAnsi="Book Antiqua" w:cs="Arial"/>
          <w:b/>
          <w:bCs/>
          <w:lang w:val="en-GB"/>
        </w:rPr>
        <w:t>ourse</w:t>
      </w:r>
    </w:p>
    <w:tbl>
      <w:tblPr>
        <w:tblW w:w="10490" w:type="dxa"/>
        <w:tblInd w:w="-1064" w:type="dxa"/>
        <w:tblLayout w:type="fixed"/>
        <w:tblCellMar>
          <w:left w:w="70" w:type="dxa"/>
          <w:right w:w="70" w:type="dxa"/>
        </w:tblCellMar>
        <w:tblLook w:val="0000" w:firstRow="0" w:lastRow="0" w:firstColumn="0" w:lastColumn="0" w:noHBand="0" w:noVBand="0"/>
      </w:tblPr>
      <w:tblGrid>
        <w:gridCol w:w="5103"/>
        <w:gridCol w:w="2127"/>
        <w:gridCol w:w="2126"/>
        <w:gridCol w:w="1134"/>
      </w:tblGrid>
      <w:tr w:rsidR="00AD07C6" w:rsidRPr="003B7DDC" w14:paraId="7E87CF02" w14:textId="77777777" w:rsidTr="0042764C">
        <w:trPr>
          <w:cantSplit/>
        </w:trPr>
        <w:tc>
          <w:tcPr>
            <w:tcW w:w="5103" w:type="dxa"/>
            <w:tcBorders>
              <w:top w:val="single" w:sz="4" w:space="0" w:color="auto"/>
              <w:bottom w:val="single" w:sz="4" w:space="0" w:color="auto"/>
            </w:tcBorders>
            <w:shd w:val="clear" w:color="000000" w:fill="FFFFFF"/>
          </w:tcPr>
          <w:p w14:paraId="2BCD06EA" w14:textId="77777777" w:rsidR="00C2498C" w:rsidRPr="003B7DDC" w:rsidRDefault="00C2498C" w:rsidP="00AD07C6">
            <w:pPr>
              <w:autoSpaceDE w:val="0"/>
              <w:autoSpaceDN w:val="0"/>
              <w:adjustRightInd w:val="0"/>
              <w:snapToGrid w:val="0"/>
              <w:spacing w:line="360" w:lineRule="auto"/>
              <w:ind w:left="76"/>
              <w:jc w:val="center"/>
              <w:rPr>
                <w:rFonts w:ascii="Book Antiqua" w:hAnsi="Book Antiqua" w:cs="Arial"/>
                <w:b/>
                <w:lang w:val="en-GB"/>
              </w:rPr>
            </w:pPr>
          </w:p>
        </w:tc>
        <w:tc>
          <w:tcPr>
            <w:tcW w:w="2127" w:type="dxa"/>
            <w:tcBorders>
              <w:top w:val="single" w:sz="4" w:space="0" w:color="auto"/>
              <w:bottom w:val="single" w:sz="4" w:space="0" w:color="auto"/>
            </w:tcBorders>
            <w:shd w:val="clear" w:color="000000" w:fill="FFFFFF"/>
          </w:tcPr>
          <w:p w14:paraId="738F0EA8" w14:textId="77777777" w:rsidR="00C2498C" w:rsidRPr="003B7DDC" w:rsidRDefault="00AD07C6" w:rsidP="00AD07C6">
            <w:pPr>
              <w:autoSpaceDE w:val="0"/>
              <w:autoSpaceDN w:val="0"/>
              <w:adjustRightInd w:val="0"/>
              <w:snapToGrid w:val="0"/>
              <w:spacing w:line="360" w:lineRule="auto"/>
              <w:ind w:left="76"/>
              <w:jc w:val="center"/>
              <w:rPr>
                <w:rFonts w:ascii="Book Antiqua" w:hAnsi="Book Antiqua"/>
                <w:b/>
                <w:lang w:val="fr-FR"/>
              </w:rPr>
            </w:pPr>
            <w:r w:rsidRPr="003B7DDC">
              <w:rPr>
                <w:rFonts w:ascii="Book Antiqua" w:hAnsi="Book Antiqua"/>
                <w:b/>
                <w:lang w:val="fr-FR"/>
              </w:rPr>
              <w:t>AKI (</w:t>
            </w:r>
            <w:r w:rsidRPr="003B7DDC">
              <w:rPr>
                <w:rFonts w:ascii="Book Antiqua" w:hAnsi="Book Antiqua"/>
                <w:b/>
                <w:i/>
                <w:lang w:val="fr-FR"/>
              </w:rPr>
              <w:t>n</w:t>
            </w:r>
            <w:r w:rsidRPr="003B7DDC">
              <w:rPr>
                <w:rFonts w:ascii="Book Antiqua" w:hAnsi="Book Antiqua"/>
                <w:b/>
                <w:lang w:val="fr-FR" w:eastAsia="zh-CN"/>
              </w:rPr>
              <w:t xml:space="preserve"> </w:t>
            </w:r>
            <w:r w:rsidRPr="003B7DDC">
              <w:rPr>
                <w:rFonts w:ascii="Book Antiqua" w:hAnsi="Book Antiqua"/>
                <w:b/>
                <w:lang w:val="fr-FR"/>
              </w:rPr>
              <w:t>=</w:t>
            </w:r>
            <w:r w:rsidRPr="003B7DDC">
              <w:rPr>
                <w:rFonts w:ascii="Book Antiqua" w:hAnsi="Book Antiqua"/>
                <w:b/>
                <w:lang w:val="fr-FR" w:eastAsia="zh-CN"/>
              </w:rPr>
              <w:t xml:space="preserve"> </w:t>
            </w:r>
            <w:r w:rsidRPr="003B7DDC">
              <w:rPr>
                <w:rFonts w:ascii="Book Antiqua" w:hAnsi="Book Antiqua"/>
                <w:b/>
                <w:lang w:val="fr-FR"/>
              </w:rPr>
              <w:t>35)</w:t>
            </w:r>
          </w:p>
        </w:tc>
        <w:tc>
          <w:tcPr>
            <w:tcW w:w="2126" w:type="dxa"/>
            <w:tcBorders>
              <w:top w:val="single" w:sz="4" w:space="0" w:color="auto"/>
              <w:bottom w:val="single" w:sz="4" w:space="0" w:color="auto"/>
            </w:tcBorders>
            <w:shd w:val="clear" w:color="000000" w:fill="FFFFFF"/>
          </w:tcPr>
          <w:p w14:paraId="52322E7A" w14:textId="77777777" w:rsidR="00C2498C" w:rsidRPr="003B7DDC" w:rsidRDefault="00AD07C6" w:rsidP="00AD07C6">
            <w:pPr>
              <w:autoSpaceDE w:val="0"/>
              <w:autoSpaceDN w:val="0"/>
              <w:adjustRightInd w:val="0"/>
              <w:snapToGrid w:val="0"/>
              <w:spacing w:line="360" w:lineRule="auto"/>
              <w:ind w:left="76"/>
              <w:jc w:val="center"/>
              <w:rPr>
                <w:rFonts w:ascii="Book Antiqua" w:hAnsi="Book Antiqua"/>
                <w:b/>
                <w:lang w:val="fr-FR"/>
              </w:rPr>
            </w:pPr>
            <w:r w:rsidRPr="003B7DDC">
              <w:rPr>
                <w:rFonts w:ascii="Book Antiqua" w:hAnsi="Book Antiqua"/>
                <w:b/>
                <w:lang w:val="fr-FR"/>
              </w:rPr>
              <w:t>Non-AKI (</w:t>
            </w:r>
            <w:r w:rsidRPr="003B7DDC">
              <w:rPr>
                <w:rFonts w:ascii="Book Antiqua" w:hAnsi="Book Antiqua"/>
                <w:b/>
                <w:i/>
                <w:lang w:val="fr-FR"/>
              </w:rPr>
              <w:t>n</w:t>
            </w:r>
            <w:r w:rsidRPr="003B7DDC">
              <w:rPr>
                <w:rFonts w:ascii="Book Antiqua" w:hAnsi="Book Antiqua"/>
                <w:b/>
                <w:lang w:val="fr-FR" w:eastAsia="zh-CN"/>
              </w:rPr>
              <w:t xml:space="preserve"> </w:t>
            </w:r>
            <w:r w:rsidRPr="003B7DDC">
              <w:rPr>
                <w:rFonts w:ascii="Book Antiqua" w:hAnsi="Book Antiqua"/>
                <w:b/>
                <w:lang w:val="fr-FR"/>
              </w:rPr>
              <w:t>=</w:t>
            </w:r>
            <w:r w:rsidRPr="003B7DDC">
              <w:rPr>
                <w:rFonts w:ascii="Book Antiqua" w:hAnsi="Book Antiqua"/>
                <w:b/>
                <w:lang w:val="fr-FR" w:eastAsia="zh-CN"/>
              </w:rPr>
              <w:t xml:space="preserve"> </w:t>
            </w:r>
            <w:r w:rsidRPr="003B7DDC">
              <w:rPr>
                <w:rFonts w:ascii="Book Antiqua" w:hAnsi="Book Antiqua"/>
                <w:b/>
                <w:lang w:val="fr-FR"/>
              </w:rPr>
              <w:t>36)</w:t>
            </w:r>
          </w:p>
        </w:tc>
        <w:tc>
          <w:tcPr>
            <w:tcW w:w="1134" w:type="dxa"/>
            <w:tcBorders>
              <w:top w:val="single" w:sz="4" w:space="0" w:color="auto"/>
              <w:bottom w:val="single" w:sz="4" w:space="0" w:color="auto"/>
            </w:tcBorders>
            <w:shd w:val="clear" w:color="000000" w:fill="FFFFFF"/>
          </w:tcPr>
          <w:p w14:paraId="6A2DEA71" w14:textId="77777777" w:rsidR="00C2498C" w:rsidRPr="003B7DDC" w:rsidRDefault="00C2498C" w:rsidP="00AD07C6">
            <w:pPr>
              <w:autoSpaceDE w:val="0"/>
              <w:autoSpaceDN w:val="0"/>
              <w:adjustRightInd w:val="0"/>
              <w:snapToGrid w:val="0"/>
              <w:spacing w:line="360" w:lineRule="auto"/>
              <w:jc w:val="center"/>
              <w:rPr>
                <w:rFonts w:ascii="Book Antiqua" w:hAnsi="Book Antiqua"/>
                <w:b/>
                <w:lang w:val="en-GB"/>
              </w:rPr>
            </w:pPr>
            <w:r w:rsidRPr="003B7DDC">
              <w:rPr>
                <w:rFonts w:ascii="Book Antiqua" w:hAnsi="Book Antiqua"/>
                <w:b/>
                <w:i/>
                <w:lang w:val="en-GB"/>
              </w:rPr>
              <w:t>P</w:t>
            </w:r>
            <w:r w:rsidRPr="003B7DDC">
              <w:rPr>
                <w:rFonts w:ascii="Book Antiqua" w:hAnsi="Book Antiqua"/>
                <w:b/>
                <w:lang w:val="en-GB"/>
              </w:rPr>
              <w:t xml:space="preserve"> value</w:t>
            </w:r>
          </w:p>
        </w:tc>
      </w:tr>
      <w:tr w:rsidR="00AD07C6" w:rsidRPr="003B7DDC" w14:paraId="164EEA25" w14:textId="77777777" w:rsidTr="0042764C">
        <w:trPr>
          <w:cantSplit/>
        </w:trPr>
        <w:tc>
          <w:tcPr>
            <w:tcW w:w="5103" w:type="dxa"/>
            <w:tcBorders>
              <w:top w:val="single" w:sz="4" w:space="0" w:color="auto"/>
            </w:tcBorders>
            <w:shd w:val="clear" w:color="000000" w:fill="FFFFFF"/>
          </w:tcPr>
          <w:p w14:paraId="3B1D7763" w14:textId="77777777" w:rsidR="00C2498C" w:rsidRPr="003B7DDC" w:rsidRDefault="00C2498C" w:rsidP="00AD07C6">
            <w:pPr>
              <w:autoSpaceDE w:val="0"/>
              <w:autoSpaceDN w:val="0"/>
              <w:adjustRightInd w:val="0"/>
              <w:snapToGrid w:val="0"/>
              <w:spacing w:line="360" w:lineRule="auto"/>
              <w:rPr>
                <w:rFonts w:ascii="Book Antiqua" w:hAnsi="Book Antiqua"/>
                <w:lang w:val="en-GB"/>
              </w:rPr>
            </w:pPr>
            <w:r w:rsidRPr="003B7DDC">
              <w:rPr>
                <w:rFonts w:ascii="Book Antiqua" w:hAnsi="Book Antiqua"/>
                <w:bCs/>
                <w:lang w:val="en-GB"/>
              </w:rPr>
              <w:t xml:space="preserve">Intra-operative </w:t>
            </w:r>
            <w:r w:rsidR="00E0590A" w:rsidRPr="003B7DDC">
              <w:rPr>
                <w:rFonts w:ascii="Book Antiqua" w:hAnsi="Book Antiqua"/>
                <w:bCs/>
                <w:lang w:val="en-GB"/>
              </w:rPr>
              <w:t>c</w:t>
            </w:r>
            <w:r w:rsidRPr="003B7DDC">
              <w:rPr>
                <w:rFonts w:ascii="Book Antiqua" w:hAnsi="Book Antiqua"/>
                <w:bCs/>
                <w:lang w:val="en-GB"/>
              </w:rPr>
              <w:t>ourse</w:t>
            </w:r>
          </w:p>
        </w:tc>
        <w:tc>
          <w:tcPr>
            <w:tcW w:w="2127" w:type="dxa"/>
            <w:tcBorders>
              <w:top w:val="single" w:sz="4" w:space="0" w:color="auto"/>
            </w:tcBorders>
            <w:shd w:val="clear" w:color="000000" w:fill="FFFFFF"/>
          </w:tcPr>
          <w:p w14:paraId="7479EDF3"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p>
        </w:tc>
        <w:tc>
          <w:tcPr>
            <w:tcW w:w="2126" w:type="dxa"/>
            <w:tcBorders>
              <w:top w:val="single" w:sz="4" w:space="0" w:color="auto"/>
            </w:tcBorders>
            <w:shd w:val="clear" w:color="000000" w:fill="FFFFFF"/>
          </w:tcPr>
          <w:p w14:paraId="04AA6D14"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p>
        </w:tc>
        <w:tc>
          <w:tcPr>
            <w:tcW w:w="1134" w:type="dxa"/>
            <w:tcBorders>
              <w:top w:val="single" w:sz="4" w:space="0" w:color="auto"/>
            </w:tcBorders>
            <w:shd w:val="clear" w:color="000000" w:fill="FFFFFF"/>
          </w:tcPr>
          <w:p w14:paraId="19275E07"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p>
        </w:tc>
      </w:tr>
      <w:tr w:rsidR="00AD07C6" w:rsidRPr="003B7DDC" w14:paraId="1FB0FF07" w14:textId="77777777" w:rsidTr="0042764C">
        <w:trPr>
          <w:cantSplit/>
        </w:trPr>
        <w:tc>
          <w:tcPr>
            <w:tcW w:w="5103" w:type="dxa"/>
            <w:shd w:val="clear" w:color="000000" w:fill="FFFFFF"/>
          </w:tcPr>
          <w:p w14:paraId="6C79385F" w14:textId="77777777" w:rsidR="00C2498C" w:rsidRPr="003B7DDC" w:rsidRDefault="00C2498C" w:rsidP="00DF4BD4">
            <w:pPr>
              <w:autoSpaceDE w:val="0"/>
              <w:autoSpaceDN w:val="0"/>
              <w:adjustRightInd w:val="0"/>
              <w:snapToGrid w:val="0"/>
              <w:spacing w:line="360" w:lineRule="auto"/>
              <w:ind w:left="220"/>
              <w:rPr>
                <w:rFonts w:ascii="Book Antiqua" w:hAnsi="Book Antiqua"/>
                <w:lang w:val="en-GB"/>
              </w:rPr>
            </w:pPr>
            <w:r w:rsidRPr="003B7DDC">
              <w:rPr>
                <w:rFonts w:ascii="Book Antiqua" w:hAnsi="Book Antiqua"/>
                <w:lang w:val="en-GB"/>
              </w:rPr>
              <w:t>Duration of surgery (</w:t>
            </w:r>
            <w:r w:rsidR="00012EE2" w:rsidRPr="003B7DDC">
              <w:rPr>
                <w:rFonts w:ascii="Book Antiqua" w:hAnsi="Book Antiqua"/>
                <w:lang w:val="en-GB"/>
              </w:rPr>
              <w:t>h</w:t>
            </w:r>
            <w:r w:rsidRPr="003B7DDC">
              <w:rPr>
                <w:rFonts w:ascii="Book Antiqua" w:hAnsi="Book Antiqua"/>
                <w:lang w:val="en-GB"/>
              </w:rPr>
              <w:t>)</w:t>
            </w:r>
          </w:p>
        </w:tc>
        <w:tc>
          <w:tcPr>
            <w:tcW w:w="2127" w:type="dxa"/>
            <w:shd w:val="clear" w:color="000000" w:fill="FFFFFF"/>
          </w:tcPr>
          <w:p w14:paraId="017497CA"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8.5 ± 2.4</w:t>
            </w:r>
          </w:p>
        </w:tc>
        <w:tc>
          <w:tcPr>
            <w:tcW w:w="2126" w:type="dxa"/>
            <w:shd w:val="clear" w:color="000000" w:fill="FFFFFF"/>
          </w:tcPr>
          <w:p w14:paraId="70EFDCD9"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8.2 ± 2.1</w:t>
            </w:r>
          </w:p>
        </w:tc>
        <w:tc>
          <w:tcPr>
            <w:tcW w:w="1134" w:type="dxa"/>
            <w:shd w:val="clear" w:color="000000" w:fill="FFFFFF"/>
          </w:tcPr>
          <w:p w14:paraId="3CF86114"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0.54</w:t>
            </w:r>
          </w:p>
        </w:tc>
      </w:tr>
      <w:tr w:rsidR="00AD07C6" w:rsidRPr="003B7DDC" w14:paraId="06DAC0D2" w14:textId="77777777" w:rsidTr="0042764C">
        <w:trPr>
          <w:cantSplit/>
        </w:trPr>
        <w:tc>
          <w:tcPr>
            <w:tcW w:w="5103" w:type="dxa"/>
            <w:shd w:val="clear" w:color="000000" w:fill="FFFFFF"/>
          </w:tcPr>
          <w:p w14:paraId="64348350" w14:textId="77777777" w:rsidR="00C2498C" w:rsidRPr="003B7DDC" w:rsidRDefault="00C2498C" w:rsidP="00DF4BD4">
            <w:pPr>
              <w:autoSpaceDE w:val="0"/>
              <w:autoSpaceDN w:val="0"/>
              <w:adjustRightInd w:val="0"/>
              <w:snapToGrid w:val="0"/>
              <w:spacing w:line="360" w:lineRule="auto"/>
              <w:ind w:left="220"/>
              <w:rPr>
                <w:rFonts w:ascii="Book Antiqua" w:hAnsi="Book Antiqua"/>
                <w:lang w:val="en-GB"/>
              </w:rPr>
            </w:pPr>
            <w:r w:rsidRPr="003B7DDC">
              <w:rPr>
                <w:rFonts w:ascii="Book Antiqua" w:hAnsi="Book Antiqua"/>
                <w:lang w:val="en-GB"/>
              </w:rPr>
              <w:t>Cumulative intra-operative fluid administration (m</w:t>
            </w:r>
            <w:r w:rsidR="00AD07C6" w:rsidRPr="003B7DDC">
              <w:rPr>
                <w:rFonts w:ascii="Book Antiqua" w:hAnsi="Book Antiqua"/>
                <w:lang w:val="en-GB"/>
              </w:rPr>
              <w:t>L</w:t>
            </w:r>
            <w:r w:rsidRPr="003B7DDC">
              <w:rPr>
                <w:rFonts w:ascii="Book Antiqua" w:hAnsi="Book Antiqua"/>
                <w:lang w:val="en-GB"/>
              </w:rPr>
              <w:t>)</w:t>
            </w:r>
          </w:p>
        </w:tc>
        <w:tc>
          <w:tcPr>
            <w:tcW w:w="2127" w:type="dxa"/>
            <w:shd w:val="clear" w:color="000000" w:fill="FFFFFF"/>
          </w:tcPr>
          <w:p w14:paraId="4D9E70C0"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2555 ± 973</w:t>
            </w:r>
          </w:p>
        </w:tc>
        <w:tc>
          <w:tcPr>
            <w:tcW w:w="2126" w:type="dxa"/>
            <w:shd w:val="clear" w:color="000000" w:fill="FFFFFF"/>
          </w:tcPr>
          <w:p w14:paraId="525843AD"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2732 ± 1264</w:t>
            </w:r>
          </w:p>
        </w:tc>
        <w:tc>
          <w:tcPr>
            <w:tcW w:w="1134" w:type="dxa"/>
            <w:shd w:val="clear" w:color="000000" w:fill="FFFFFF"/>
          </w:tcPr>
          <w:p w14:paraId="1F291A18"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0.51</w:t>
            </w:r>
          </w:p>
        </w:tc>
      </w:tr>
      <w:tr w:rsidR="00AD07C6" w:rsidRPr="003B7DDC" w14:paraId="3781E72B" w14:textId="77777777" w:rsidTr="0042764C">
        <w:trPr>
          <w:cantSplit/>
        </w:trPr>
        <w:tc>
          <w:tcPr>
            <w:tcW w:w="5103" w:type="dxa"/>
            <w:shd w:val="clear" w:color="000000" w:fill="FFFFFF"/>
          </w:tcPr>
          <w:p w14:paraId="1123F150" w14:textId="77777777" w:rsidR="00C2498C" w:rsidRPr="003B7DDC" w:rsidRDefault="00C2498C" w:rsidP="00DF4BD4">
            <w:pPr>
              <w:autoSpaceDE w:val="0"/>
              <w:autoSpaceDN w:val="0"/>
              <w:adjustRightInd w:val="0"/>
              <w:snapToGrid w:val="0"/>
              <w:spacing w:line="360" w:lineRule="auto"/>
              <w:ind w:left="220"/>
              <w:rPr>
                <w:rFonts w:ascii="Book Antiqua" w:hAnsi="Book Antiqua"/>
                <w:lang w:val="en-GB"/>
              </w:rPr>
            </w:pPr>
            <w:r w:rsidRPr="003B7DDC">
              <w:rPr>
                <w:rFonts w:ascii="Book Antiqua" w:hAnsi="Book Antiqua"/>
                <w:lang w:val="en-GB"/>
              </w:rPr>
              <w:t>Cumulative intra-operative fluid administration (</w:t>
            </w:r>
            <w:r w:rsidR="001F041C" w:rsidRPr="003B7DDC">
              <w:rPr>
                <w:rFonts w:ascii="Book Antiqua" w:hAnsi="Book Antiqua"/>
                <w:lang w:val="en-GB"/>
              </w:rPr>
              <w:t xml:space="preserve">mL/kg/h </w:t>
            </w:r>
            <w:r w:rsidRPr="003B7DDC">
              <w:rPr>
                <w:rFonts w:ascii="Book Antiqua" w:hAnsi="Book Antiqua"/>
                <w:lang w:val="en-GB"/>
              </w:rPr>
              <w:t>)</w:t>
            </w:r>
          </w:p>
        </w:tc>
        <w:tc>
          <w:tcPr>
            <w:tcW w:w="2127" w:type="dxa"/>
            <w:shd w:val="clear" w:color="000000" w:fill="FFFFFF"/>
          </w:tcPr>
          <w:p w14:paraId="2AED464E"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6.2 ± 2.9</w:t>
            </w:r>
          </w:p>
        </w:tc>
        <w:tc>
          <w:tcPr>
            <w:tcW w:w="2126" w:type="dxa"/>
            <w:shd w:val="clear" w:color="000000" w:fill="FFFFFF"/>
          </w:tcPr>
          <w:p w14:paraId="6BAEF9AC"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7.5 ± 3.3</w:t>
            </w:r>
          </w:p>
        </w:tc>
        <w:tc>
          <w:tcPr>
            <w:tcW w:w="1134" w:type="dxa"/>
            <w:shd w:val="clear" w:color="000000" w:fill="FFFFFF"/>
          </w:tcPr>
          <w:p w14:paraId="32AD256F"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0.08</w:t>
            </w:r>
          </w:p>
        </w:tc>
      </w:tr>
      <w:tr w:rsidR="00AD07C6" w:rsidRPr="003B7DDC" w14:paraId="6766745F" w14:textId="77777777" w:rsidTr="0042764C">
        <w:trPr>
          <w:cantSplit/>
        </w:trPr>
        <w:tc>
          <w:tcPr>
            <w:tcW w:w="5103" w:type="dxa"/>
            <w:shd w:val="clear" w:color="000000" w:fill="FFFFFF"/>
          </w:tcPr>
          <w:p w14:paraId="0D8E4047" w14:textId="77777777" w:rsidR="00C2498C" w:rsidRPr="003B7DDC" w:rsidRDefault="00C2498C" w:rsidP="00DF4BD4">
            <w:pPr>
              <w:autoSpaceDE w:val="0"/>
              <w:autoSpaceDN w:val="0"/>
              <w:adjustRightInd w:val="0"/>
              <w:snapToGrid w:val="0"/>
              <w:spacing w:line="360" w:lineRule="auto"/>
              <w:ind w:left="220"/>
              <w:rPr>
                <w:rFonts w:ascii="Book Antiqua" w:hAnsi="Book Antiqua"/>
                <w:lang w:val="en-GB"/>
              </w:rPr>
            </w:pPr>
            <w:r w:rsidRPr="003B7DDC">
              <w:rPr>
                <w:rFonts w:ascii="Book Antiqua" w:hAnsi="Book Antiqua"/>
                <w:lang w:val="en-GB"/>
              </w:rPr>
              <w:t>Intra-operative urine output (</w:t>
            </w:r>
            <w:r w:rsidR="001F041C" w:rsidRPr="003B7DDC">
              <w:rPr>
                <w:rFonts w:ascii="Book Antiqua" w:hAnsi="Book Antiqua"/>
                <w:lang w:val="en-GB"/>
              </w:rPr>
              <w:t xml:space="preserve">mL/kg/h </w:t>
            </w:r>
            <w:r w:rsidRPr="003B7DDC">
              <w:rPr>
                <w:rFonts w:ascii="Book Antiqua" w:hAnsi="Book Antiqua"/>
                <w:lang w:val="en-GB"/>
              </w:rPr>
              <w:t>)</w:t>
            </w:r>
          </w:p>
        </w:tc>
        <w:tc>
          <w:tcPr>
            <w:tcW w:w="2127" w:type="dxa"/>
            <w:shd w:val="clear" w:color="000000" w:fill="FFFFFF"/>
          </w:tcPr>
          <w:p w14:paraId="2544AD99"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1.9 ± 1.1</w:t>
            </w:r>
          </w:p>
        </w:tc>
        <w:tc>
          <w:tcPr>
            <w:tcW w:w="2126" w:type="dxa"/>
            <w:shd w:val="clear" w:color="000000" w:fill="FFFFFF"/>
          </w:tcPr>
          <w:p w14:paraId="56C49D33"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2.4 ± 1.5</w:t>
            </w:r>
          </w:p>
        </w:tc>
        <w:tc>
          <w:tcPr>
            <w:tcW w:w="1134" w:type="dxa"/>
            <w:shd w:val="clear" w:color="000000" w:fill="FFFFFF"/>
          </w:tcPr>
          <w:p w14:paraId="4FCF8677"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0.17</w:t>
            </w:r>
          </w:p>
        </w:tc>
      </w:tr>
      <w:tr w:rsidR="00AD07C6" w:rsidRPr="003B7DDC" w14:paraId="0BF09E93" w14:textId="77777777" w:rsidTr="0042764C">
        <w:trPr>
          <w:cantSplit/>
        </w:trPr>
        <w:tc>
          <w:tcPr>
            <w:tcW w:w="5103" w:type="dxa"/>
            <w:shd w:val="clear" w:color="000000" w:fill="FFFFFF"/>
          </w:tcPr>
          <w:p w14:paraId="608B44FD" w14:textId="77777777" w:rsidR="00C2498C" w:rsidRPr="003B7DDC" w:rsidRDefault="00C2498C" w:rsidP="0042764C">
            <w:pPr>
              <w:autoSpaceDE w:val="0"/>
              <w:autoSpaceDN w:val="0"/>
              <w:adjustRightInd w:val="0"/>
              <w:snapToGrid w:val="0"/>
              <w:spacing w:line="360" w:lineRule="auto"/>
              <w:ind w:left="220"/>
              <w:rPr>
                <w:rFonts w:ascii="Book Antiqua" w:hAnsi="Book Antiqua"/>
                <w:lang w:val="en-GB"/>
              </w:rPr>
            </w:pPr>
            <w:r w:rsidRPr="003B7DDC">
              <w:rPr>
                <w:rFonts w:ascii="Book Antiqua" w:hAnsi="Book Antiqua"/>
                <w:lang w:val="en-GB"/>
              </w:rPr>
              <w:t>Intra-operative fluid balance</w:t>
            </w:r>
            <w:r w:rsidR="0042764C" w:rsidRPr="003B7DDC">
              <w:rPr>
                <w:rFonts w:ascii="Book Antiqua" w:hAnsi="Book Antiqua"/>
                <w:lang w:val="en-GB" w:eastAsia="zh-CN"/>
              </w:rPr>
              <w:t xml:space="preserve"> </w:t>
            </w:r>
            <w:r w:rsidRPr="003B7DDC">
              <w:rPr>
                <w:rFonts w:ascii="Book Antiqua" w:hAnsi="Book Antiqua"/>
                <w:lang w:val="en-GB"/>
              </w:rPr>
              <w:t>(</w:t>
            </w:r>
            <w:r w:rsidR="00AD07C6" w:rsidRPr="003B7DDC">
              <w:rPr>
                <w:rFonts w:ascii="Book Antiqua" w:hAnsi="Book Antiqua"/>
                <w:lang w:val="en-GB" w:eastAsia="zh-CN"/>
              </w:rPr>
              <w:t>L</w:t>
            </w:r>
            <w:r w:rsidRPr="003B7DDC">
              <w:rPr>
                <w:rFonts w:ascii="Book Antiqua" w:hAnsi="Book Antiqua"/>
                <w:lang w:val="en-GB"/>
              </w:rPr>
              <w:t>)</w:t>
            </w:r>
          </w:p>
        </w:tc>
        <w:tc>
          <w:tcPr>
            <w:tcW w:w="2127" w:type="dxa"/>
            <w:shd w:val="clear" w:color="000000" w:fill="FFFFFF"/>
          </w:tcPr>
          <w:p w14:paraId="59E28E00"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1.2 ± 1.0</w:t>
            </w:r>
          </w:p>
        </w:tc>
        <w:tc>
          <w:tcPr>
            <w:tcW w:w="2126" w:type="dxa"/>
            <w:shd w:val="clear" w:color="000000" w:fill="FFFFFF"/>
          </w:tcPr>
          <w:p w14:paraId="636E8C03"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1.3 ± 1.1</w:t>
            </w:r>
          </w:p>
        </w:tc>
        <w:tc>
          <w:tcPr>
            <w:tcW w:w="1134" w:type="dxa"/>
            <w:shd w:val="clear" w:color="000000" w:fill="FFFFFF"/>
          </w:tcPr>
          <w:p w14:paraId="22FE2C27" w14:textId="77777777" w:rsidR="00C2498C" w:rsidRPr="003B7DDC" w:rsidRDefault="00C2498C"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0.7</w:t>
            </w:r>
          </w:p>
        </w:tc>
      </w:tr>
      <w:tr w:rsidR="00DF4BD4" w:rsidRPr="00F33952" w14:paraId="3008AE35" w14:textId="77777777" w:rsidTr="0042764C">
        <w:trPr>
          <w:cantSplit/>
        </w:trPr>
        <w:tc>
          <w:tcPr>
            <w:tcW w:w="5103" w:type="dxa"/>
            <w:shd w:val="clear" w:color="000000" w:fill="FFFFFF"/>
          </w:tcPr>
          <w:p w14:paraId="29002F0B" w14:textId="77777777" w:rsidR="00DF4BD4" w:rsidRPr="003B7DDC" w:rsidRDefault="00DF4BD4" w:rsidP="00DF4BD4">
            <w:pPr>
              <w:autoSpaceDE w:val="0"/>
              <w:autoSpaceDN w:val="0"/>
              <w:adjustRightInd w:val="0"/>
              <w:snapToGrid w:val="0"/>
              <w:spacing w:line="360" w:lineRule="auto"/>
              <w:ind w:left="220"/>
              <w:rPr>
                <w:rFonts w:ascii="Book Antiqua" w:hAnsi="Book Antiqua"/>
                <w:lang w:val="en-GB" w:eastAsia="zh-CN"/>
              </w:rPr>
            </w:pPr>
            <w:r w:rsidRPr="003B7DDC">
              <w:rPr>
                <w:rFonts w:ascii="Book Antiqua" w:hAnsi="Book Antiqua"/>
                <w:lang w:val="en-GB"/>
              </w:rPr>
              <w:t>Max. BP decline during surgery</w:t>
            </w:r>
          </w:p>
        </w:tc>
        <w:tc>
          <w:tcPr>
            <w:tcW w:w="2127" w:type="dxa"/>
            <w:shd w:val="clear" w:color="000000" w:fill="FFFFFF"/>
          </w:tcPr>
          <w:p w14:paraId="071970F9" w14:textId="77777777" w:rsidR="00DF4BD4" w:rsidRPr="003B7DDC" w:rsidRDefault="00DF4BD4" w:rsidP="003B7DDC">
            <w:pPr>
              <w:autoSpaceDE w:val="0"/>
              <w:autoSpaceDN w:val="0"/>
              <w:adjustRightInd w:val="0"/>
              <w:snapToGrid w:val="0"/>
              <w:spacing w:line="360" w:lineRule="auto"/>
              <w:jc w:val="center"/>
              <w:rPr>
                <w:rFonts w:ascii="Book Antiqua" w:hAnsi="Book Antiqua"/>
                <w:lang w:val="en-GB"/>
              </w:rPr>
            </w:pPr>
          </w:p>
        </w:tc>
        <w:tc>
          <w:tcPr>
            <w:tcW w:w="2126" w:type="dxa"/>
            <w:shd w:val="clear" w:color="000000" w:fill="FFFFFF"/>
          </w:tcPr>
          <w:p w14:paraId="760FA7DE" w14:textId="77777777" w:rsidR="00DF4BD4" w:rsidRPr="003B7DDC" w:rsidRDefault="00DF4BD4" w:rsidP="00DF4BD4">
            <w:pPr>
              <w:autoSpaceDE w:val="0"/>
              <w:autoSpaceDN w:val="0"/>
              <w:adjustRightInd w:val="0"/>
              <w:snapToGrid w:val="0"/>
              <w:spacing w:line="360" w:lineRule="auto"/>
              <w:rPr>
                <w:rFonts w:ascii="Book Antiqua" w:hAnsi="Book Antiqua"/>
                <w:lang w:val="en-GB" w:eastAsia="zh-CN"/>
              </w:rPr>
            </w:pPr>
          </w:p>
        </w:tc>
        <w:tc>
          <w:tcPr>
            <w:tcW w:w="1134" w:type="dxa"/>
            <w:shd w:val="clear" w:color="000000" w:fill="FFFFFF"/>
          </w:tcPr>
          <w:p w14:paraId="51A7DE51" w14:textId="77777777" w:rsidR="00DF4BD4" w:rsidRPr="003B7DDC" w:rsidRDefault="00DF4BD4" w:rsidP="00DF4BD4">
            <w:pPr>
              <w:autoSpaceDE w:val="0"/>
              <w:autoSpaceDN w:val="0"/>
              <w:adjustRightInd w:val="0"/>
              <w:snapToGrid w:val="0"/>
              <w:spacing w:line="360" w:lineRule="auto"/>
              <w:rPr>
                <w:rFonts w:ascii="Book Antiqua" w:hAnsi="Book Antiqua"/>
                <w:lang w:val="en-GB" w:eastAsia="zh-CN"/>
              </w:rPr>
            </w:pPr>
          </w:p>
        </w:tc>
      </w:tr>
      <w:tr w:rsidR="00DF4BD4" w:rsidRPr="003B7DDC" w14:paraId="33D0F30A" w14:textId="77777777" w:rsidTr="0042764C">
        <w:trPr>
          <w:cantSplit/>
        </w:trPr>
        <w:tc>
          <w:tcPr>
            <w:tcW w:w="5103" w:type="dxa"/>
            <w:shd w:val="clear" w:color="000000" w:fill="FFFFFF"/>
          </w:tcPr>
          <w:p w14:paraId="580FE67E" w14:textId="77777777" w:rsidR="00DF4BD4" w:rsidRPr="003B7DDC" w:rsidRDefault="00DF4BD4" w:rsidP="00DF4BD4">
            <w:pPr>
              <w:autoSpaceDE w:val="0"/>
              <w:autoSpaceDN w:val="0"/>
              <w:adjustRightInd w:val="0"/>
              <w:snapToGrid w:val="0"/>
              <w:spacing w:line="360" w:lineRule="auto"/>
              <w:ind w:left="503"/>
              <w:rPr>
                <w:rFonts w:ascii="Book Antiqua" w:hAnsi="Book Antiqua"/>
                <w:lang w:val="en-GB" w:eastAsia="zh-CN"/>
              </w:rPr>
            </w:pPr>
            <w:r w:rsidRPr="003B7DDC">
              <w:rPr>
                <w:rFonts w:ascii="Book Antiqua" w:hAnsi="Book Antiqua"/>
                <w:lang w:val="en-GB"/>
              </w:rPr>
              <w:t>Systolic (% from baseline)</w:t>
            </w:r>
          </w:p>
        </w:tc>
        <w:tc>
          <w:tcPr>
            <w:tcW w:w="2127" w:type="dxa"/>
            <w:shd w:val="clear" w:color="000000" w:fill="FFFFFF"/>
          </w:tcPr>
          <w:p w14:paraId="750A554C" w14:textId="77777777" w:rsidR="00DF4BD4" w:rsidRPr="003B7DDC" w:rsidRDefault="00DF4BD4" w:rsidP="00DF4BD4">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27 ± 12</w:t>
            </w:r>
          </w:p>
        </w:tc>
        <w:tc>
          <w:tcPr>
            <w:tcW w:w="2126" w:type="dxa"/>
            <w:shd w:val="clear" w:color="000000" w:fill="FFFFFF"/>
          </w:tcPr>
          <w:p w14:paraId="28774989" w14:textId="77777777" w:rsidR="00DF4BD4" w:rsidRPr="003B7DDC" w:rsidRDefault="00DF4BD4" w:rsidP="00DF4BD4">
            <w:pPr>
              <w:autoSpaceDE w:val="0"/>
              <w:autoSpaceDN w:val="0"/>
              <w:adjustRightInd w:val="0"/>
              <w:snapToGrid w:val="0"/>
              <w:spacing w:line="360" w:lineRule="auto"/>
              <w:jc w:val="center"/>
              <w:rPr>
                <w:rFonts w:ascii="Book Antiqua" w:hAnsi="Book Antiqua"/>
                <w:lang w:val="en-GB" w:eastAsia="zh-CN"/>
              </w:rPr>
            </w:pPr>
            <w:r w:rsidRPr="003B7DDC">
              <w:rPr>
                <w:rFonts w:ascii="Book Antiqua" w:hAnsi="Book Antiqua"/>
                <w:lang w:val="en-GB"/>
              </w:rPr>
              <w:t>33 ± 14</w:t>
            </w:r>
          </w:p>
        </w:tc>
        <w:tc>
          <w:tcPr>
            <w:tcW w:w="1134" w:type="dxa"/>
            <w:shd w:val="clear" w:color="000000" w:fill="FFFFFF"/>
          </w:tcPr>
          <w:p w14:paraId="034CC93E" w14:textId="77777777" w:rsidR="00DF4BD4" w:rsidRPr="003B7DDC" w:rsidRDefault="00DF4BD4" w:rsidP="00DF4BD4">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0.36</w:t>
            </w:r>
          </w:p>
        </w:tc>
      </w:tr>
      <w:tr w:rsidR="00DF4BD4" w:rsidRPr="003B7DDC" w14:paraId="03C4A914" w14:textId="77777777" w:rsidTr="0042764C">
        <w:trPr>
          <w:cantSplit/>
        </w:trPr>
        <w:tc>
          <w:tcPr>
            <w:tcW w:w="5103" w:type="dxa"/>
            <w:shd w:val="clear" w:color="000000" w:fill="FFFFFF"/>
          </w:tcPr>
          <w:p w14:paraId="7208A438" w14:textId="77777777" w:rsidR="00DF4BD4" w:rsidRPr="003B7DDC" w:rsidRDefault="00DF4BD4" w:rsidP="00DF4BD4">
            <w:pPr>
              <w:autoSpaceDE w:val="0"/>
              <w:autoSpaceDN w:val="0"/>
              <w:adjustRightInd w:val="0"/>
              <w:snapToGrid w:val="0"/>
              <w:spacing w:line="360" w:lineRule="auto"/>
              <w:ind w:left="503"/>
              <w:rPr>
                <w:rFonts w:ascii="Book Antiqua" w:hAnsi="Book Antiqua"/>
                <w:lang w:val="en-GB"/>
              </w:rPr>
            </w:pPr>
            <w:r w:rsidRPr="003B7DDC">
              <w:rPr>
                <w:rFonts w:ascii="Book Antiqua" w:hAnsi="Book Antiqua"/>
                <w:lang w:val="en-GB"/>
              </w:rPr>
              <w:t>Diastolic (% from baseline)</w:t>
            </w:r>
          </w:p>
        </w:tc>
        <w:tc>
          <w:tcPr>
            <w:tcW w:w="2127" w:type="dxa"/>
            <w:shd w:val="clear" w:color="000000" w:fill="FFFFFF"/>
          </w:tcPr>
          <w:p w14:paraId="5090E42A" w14:textId="77777777" w:rsidR="00DF4BD4" w:rsidRPr="003B7DDC" w:rsidRDefault="00DF4BD4" w:rsidP="003B7DDC">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30 ± 9</w:t>
            </w:r>
          </w:p>
        </w:tc>
        <w:tc>
          <w:tcPr>
            <w:tcW w:w="2126" w:type="dxa"/>
            <w:shd w:val="clear" w:color="000000" w:fill="FFFFFF"/>
          </w:tcPr>
          <w:p w14:paraId="618E07C8"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34 ± 13</w:t>
            </w:r>
          </w:p>
        </w:tc>
        <w:tc>
          <w:tcPr>
            <w:tcW w:w="1134" w:type="dxa"/>
            <w:shd w:val="clear" w:color="000000" w:fill="FFFFFF"/>
          </w:tcPr>
          <w:p w14:paraId="20CD6C69"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0.93</w:t>
            </w:r>
          </w:p>
        </w:tc>
      </w:tr>
      <w:tr w:rsidR="00DF4BD4" w:rsidRPr="003B7DDC" w14:paraId="2FFA7821" w14:textId="77777777" w:rsidTr="0042764C">
        <w:trPr>
          <w:cantSplit/>
        </w:trPr>
        <w:tc>
          <w:tcPr>
            <w:tcW w:w="5103" w:type="dxa"/>
            <w:shd w:val="clear" w:color="000000" w:fill="FFFFFF"/>
          </w:tcPr>
          <w:p w14:paraId="2A9708D5" w14:textId="77777777" w:rsidR="00DF4BD4" w:rsidRPr="003B7DDC" w:rsidRDefault="00DF4BD4" w:rsidP="00DF4BD4">
            <w:pPr>
              <w:autoSpaceDE w:val="0"/>
              <w:autoSpaceDN w:val="0"/>
              <w:adjustRightInd w:val="0"/>
              <w:snapToGrid w:val="0"/>
              <w:spacing w:line="360" w:lineRule="auto"/>
              <w:ind w:left="220"/>
              <w:rPr>
                <w:rFonts w:ascii="Book Antiqua" w:hAnsi="Book Antiqua"/>
                <w:lang w:val="en-GB"/>
              </w:rPr>
            </w:pPr>
            <w:r w:rsidRPr="003B7DDC">
              <w:rPr>
                <w:rFonts w:ascii="Book Antiqua" w:hAnsi="Book Antiqua"/>
                <w:lang w:val="en-GB"/>
              </w:rPr>
              <w:t>Patients requiring blood transfusion (</w:t>
            </w:r>
            <w:r w:rsidRPr="003B7DDC">
              <w:rPr>
                <w:rFonts w:ascii="Book Antiqua" w:hAnsi="Book Antiqua"/>
                <w:i/>
                <w:lang w:val="en-GB"/>
              </w:rPr>
              <w:t>n</w:t>
            </w:r>
            <w:r w:rsidRPr="003B7DDC">
              <w:rPr>
                <w:rFonts w:ascii="Book Antiqua" w:hAnsi="Book Antiqua"/>
                <w:lang w:val="en-GB"/>
              </w:rPr>
              <w:t>)</w:t>
            </w:r>
          </w:p>
        </w:tc>
        <w:tc>
          <w:tcPr>
            <w:tcW w:w="2127" w:type="dxa"/>
            <w:shd w:val="clear" w:color="000000" w:fill="FFFFFF"/>
          </w:tcPr>
          <w:p w14:paraId="7F3A9F6D" w14:textId="77777777" w:rsidR="00DF4BD4" w:rsidRPr="003B7DDC" w:rsidRDefault="00DF4BD4" w:rsidP="00AD07C6">
            <w:pPr>
              <w:autoSpaceDE w:val="0"/>
              <w:autoSpaceDN w:val="0"/>
              <w:adjustRightInd w:val="0"/>
              <w:snapToGrid w:val="0"/>
              <w:spacing w:line="360" w:lineRule="auto"/>
              <w:jc w:val="center"/>
              <w:rPr>
                <w:rFonts w:ascii="Book Antiqua" w:hAnsi="Book Antiqua"/>
                <w:lang w:val="fr-FR"/>
              </w:rPr>
            </w:pPr>
            <w:r w:rsidRPr="003B7DDC">
              <w:rPr>
                <w:rFonts w:ascii="Book Antiqua" w:hAnsi="Book Antiqua"/>
                <w:lang w:val="fr-FR"/>
              </w:rPr>
              <w:t>7 (20%)</w:t>
            </w:r>
          </w:p>
        </w:tc>
        <w:tc>
          <w:tcPr>
            <w:tcW w:w="2126" w:type="dxa"/>
            <w:shd w:val="clear" w:color="000000" w:fill="FFFFFF"/>
          </w:tcPr>
          <w:p w14:paraId="070326D1" w14:textId="77777777" w:rsidR="00DF4BD4" w:rsidRPr="003B7DDC" w:rsidRDefault="00DF4BD4" w:rsidP="00AD07C6">
            <w:pPr>
              <w:autoSpaceDE w:val="0"/>
              <w:autoSpaceDN w:val="0"/>
              <w:adjustRightInd w:val="0"/>
              <w:snapToGrid w:val="0"/>
              <w:spacing w:line="360" w:lineRule="auto"/>
              <w:jc w:val="center"/>
              <w:rPr>
                <w:rFonts w:ascii="Book Antiqua" w:hAnsi="Book Antiqua"/>
                <w:lang w:val="fr-FR"/>
              </w:rPr>
            </w:pPr>
            <w:r w:rsidRPr="003B7DDC">
              <w:rPr>
                <w:rFonts w:ascii="Book Antiqua" w:hAnsi="Book Antiqua"/>
                <w:lang w:val="fr-FR"/>
              </w:rPr>
              <w:t>12 (33%)</w:t>
            </w:r>
          </w:p>
        </w:tc>
        <w:tc>
          <w:tcPr>
            <w:tcW w:w="1134" w:type="dxa"/>
            <w:shd w:val="clear" w:color="000000" w:fill="FFFFFF"/>
          </w:tcPr>
          <w:p w14:paraId="1EF4CA1D" w14:textId="77777777" w:rsidR="00DF4BD4" w:rsidRPr="003B7DDC" w:rsidRDefault="00DF4BD4" w:rsidP="00AD07C6">
            <w:pPr>
              <w:autoSpaceDE w:val="0"/>
              <w:autoSpaceDN w:val="0"/>
              <w:adjustRightInd w:val="0"/>
              <w:snapToGrid w:val="0"/>
              <w:spacing w:line="360" w:lineRule="auto"/>
              <w:jc w:val="center"/>
              <w:rPr>
                <w:rFonts w:ascii="Book Antiqua" w:hAnsi="Book Antiqua"/>
                <w:lang w:val="fr-FR"/>
              </w:rPr>
            </w:pPr>
            <w:r w:rsidRPr="003B7DDC">
              <w:rPr>
                <w:rFonts w:ascii="Book Antiqua" w:hAnsi="Book Antiqua"/>
                <w:lang w:val="fr-FR"/>
              </w:rPr>
              <w:t>0.21</w:t>
            </w:r>
          </w:p>
        </w:tc>
      </w:tr>
      <w:tr w:rsidR="00DF4BD4" w:rsidRPr="003B7DDC" w14:paraId="67F54A4D" w14:textId="77777777" w:rsidTr="0042764C">
        <w:trPr>
          <w:cantSplit/>
        </w:trPr>
        <w:tc>
          <w:tcPr>
            <w:tcW w:w="5103" w:type="dxa"/>
            <w:shd w:val="clear" w:color="000000" w:fill="FFFFFF"/>
          </w:tcPr>
          <w:p w14:paraId="36DF494E" w14:textId="77777777" w:rsidR="00DF4BD4" w:rsidRPr="003B7DDC" w:rsidRDefault="00DF4BD4" w:rsidP="00DF4BD4">
            <w:pPr>
              <w:autoSpaceDE w:val="0"/>
              <w:autoSpaceDN w:val="0"/>
              <w:adjustRightInd w:val="0"/>
              <w:snapToGrid w:val="0"/>
              <w:spacing w:line="360" w:lineRule="auto"/>
              <w:ind w:left="220"/>
              <w:rPr>
                <w:rFonts w:ascii="Book Antiqua" w:hAnsi="Book Antiqua"/>
                <w:lang w:val="fr-FR"/>
              </w:rPr>
            </w:pPr>
            <w:r w:rsidRPr="003B7DDC">
              <w:rPr>
                <w:rFonts w:ascii="Book Antiqua" w:hAnsi="Book Antiqua"/>
                <w:lang w:val="fr-FR"/>
              </w:rPr>
              <w:t>Nephrotoxin exposure</w:t>
            </w:r>
          </w:p>
        </w:tc>
        <w:tc>
          <w:tcPr>
            <w:tcW w:w="2127" w:type="dxa"/>
            <w:shd w:val="clear" w:color="000000" w:fill="FFFFFF"/>
          </w:tcPr>
          <w:p w14:paraId="2F0BFB78" w14:textId="77777777" w:rsidR="00DF4BD4" w:rsidRPr="003B7DDC" w:rsidRDefault="00DF4BD4" w:rsidP="00AD07C6">
            <w:pPr>
              <w:autoSpaceDE w:val="0"/>
              <w:autoSpaceDN w:val="0"/>
              <w:adjustRightInd w:val="0"/>
              <w:snapToGrid w:val="0"/>
              <w:spacing w:line="360" w:lineRule="auto"/>
              <w:jc w:val="center"/>
              <w:rPr>
                <w:rFonts w:ascii="Book Antiqua" w:hAnsi="Book Antiqua"/>
                <w:lang w:val="fr-FR"/>
              </w:rPr>
            </w:pPr>
            <w:r w:rsidRPr="003B7DDC">
              <w:rPr>
                <w:rFonts w:ascii="Book Antiqua" w:hAnsi="Book Antiqua"/>
                <w:lang w:val="fr-FR"/>
              </w:rPr>
              <w:t>8 (23%)</w:t>
            </w:r>
          </w:p>
        </w:tc>
        <w:tc>
          <w:tcPr>
            <w:tcW w:w="2126" w:type="dxa"/>
            <w:shd w:val="clear" w:color="000000" w:fill="FFFFFF"/>
          </w:tcPr>
          <w:p w14:paraId="79BB0507" w14:textId="77777777" w:rsidR="00DF4BD4" w:rsidRPr="003B7DDC" w:rsidRDefault="00DF4BD4" w:rsidP="00AD07C6">
            <w:pPr>
              <w:autoSpaceDE w:val="0"/>
              <w:autoSpaceDN w:val="0"/>
              <w:adjustRightInd w:val="0"/>
              <w:snapToGrid w:val="0"/>
              <w:spacing w:line="360" w:lineRule="auto"/>
              <w:jc w:val="center"/>
              <w:rPr>
                <w:rFonts w:ascii="Book Antiqua" w:hAnsi="Book Antiqua"/>
                <w:lang w:val="fr-FR"/>
              </w:rPr>
            </w:pPr>
            <w:r w:rsidRPr="003B7DDC">
              <w:rPr>
                <w:rFonts w:ascii="Book Antiqua" w:hAnsi="Book Antiqua"/>
                <w:lang w:val="fr-FR"/>
              </w:rPr>
              <w:t>6 (17%)</w:t>
            </w:r>
          </w:p>
        </w:tc>
        <w:tc>
          <w:tcPr>
            <w:tcW w:w="1134" w:type="dxa"/>
            <w:shd w:val="clear" w:color="000000" w:fill="FFFFFF"/>
          </w:tcPr>
          <w:p w14:paraId="16BCE6F7" w14:textId="77777777" w:rsidR="00DF4BD4" w:rsidRPr="003B7DDC" w:rsidRDefault="0042764C" w:rsidP="0042764C">
            <w:pPr>
              <w:autoSpaceDE w:val="0"/>
              <w:autoSpaceDN w:val="0"/>
              <w:adjustRightInd w:val="0"/>
              <w:snapToGrid w:val="0"/>
              <w:spacing w:line="360" w:lineRule="auto"/>
              <w:jc w:val="center"/>
              <w:rPr>
                <w:rFonts w:ascii="Book Antiqua" w:hAnsi="Book Antiqua"/>
                <w:lang w:val="fr-FR" w:eastAsia="zh-CN"/>
              </w:rPr>
            </w:pPr>
            <w:r w:rsidRPr="003B7DDC">
              <w:rPr>
                <w:rFonts w:ascii="Book Antiqua" w:hAnsi="Book Antiqua"/>
                <w:lang w:val="fr-FR"/>
              </w:rPr>
              <w:t>0.51</w:t>
            </w:r>
          </w:p>
        </w:tc>
      </w:tr>
      <w:tr w:rsidR="00DF4BD4" w:rsidRPr="003B7DDC" w14:paraId="746FB8B5" w14:textId="77777777" w:rsidTr="0042764C">
        <w:trPr>
          <w:cantSplit/>
        </w:trPr>
        <w:tc>
          <w:tcPr>
            <w:tcW w:w="5103" w:type="dxa"/>
            <w:shd w:val="clear" w:color="000000" w:fill="FFFFFF"/>
          </w:tcPr>
          <w:p w14:paraId="48304B22" w14:textId="77777777" w:rsidR="00DF4BD4" w:rsidRPr="003B7DDC" w:rsidRDefault="00DF4BD4" w:rsidP="00AD07C6">
            <w:pPr>
              <w:autoSpaceDE w:val="0"/>
              <w:autoSpaceDN w:val="0"/>
              <w:adjustRightInd w:val="0"/>
              <w:snapToGrid w:val="0"/>
              <w:spacing w:line="360" w:lineRule="auto"/>
              <w:ind w:left="76"/>
              <w:rPr>
                <w:rFonts w:ascii="Book Antiqua" w:hAnsi="Book Antiqua"/>
                <w:lang w:val="en-GB"/>
              </w:rPr>
            </w:pPr>
            <w:r w:rsidRPr="003B7DDC">
              <w:rPr>
                <w:rFonts w:ascii="Book Antiqua" w:hAnsi="Book Antiqua"/>
                <w:bCs/>
                <w:lang w:val="en-GB"/>
              </w:rPr>
              <w:t xml:space="preserve">Post-operative </w:t>
            </w:r>
            <w:r w:rsidR="0042764C" w:rsidRPr="003B7DDC">
              <w:rPr>
                <w:rFonts w:ascii="Book Antiqua" w:hAnsi="Book Antiqua"/>
                <w:bCs/>
                <w:lang w:val="en-GB"/>
              </w:rPr>
              <w:t>c</w:t>
            </w:r>
            <w:r w:rsidRPr="003B7DDC">
              <w:rPr>
                <w:rFonts w:ascii="Book Antiqua" w:hAnsi="Book Antiqua"/>
                <w:bCs/>
                <w:lang w:val="en-GB"/>
              </w:rPr>
              <w:t>ourse</w:t>
            </w:r>
          </w:p>
        </w:tc>
        <w:tc>
          <w:tcPr>
            <w:tcW w:w="2127" w:type="dxa"/>
            <w:shd w:val="clear" w:color="000000" w:fill="FFFFFF"/>
          </w:tcPr>
          <w:p w14:paraId="7FBF250C"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p>
        </w:tc>
        <w:tc>
          <w:tcPr>
            <w:tcW w:w="2126" w:type="dxa"/>
            <w:shd w:val="clear" w:color="000000" w:fill="FFFFFF"/>
          </w:tcPr>
          <w:p w14:paraId="62FD4B6C"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p>
        </w:tc>
        <w:tc>
          <w:tcPr>
            <w:tcW w:w="1134" w:type="dxa"/>
            <w:shd w:val="clear" w:color="000000" w:fill="FFFFFF"/>
          </w:tcPr>
          <w:p w14:paraId="2A435710"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p>
        </w:tc>
      </w:tr>
      <w:tr w:rsidR="00DF4BD4" w:rsidRPr="003B7DDC" w14:paraId="269C5B16" w14:textId="77777777" w:rsidTr="0042764C">
        <w:trPr>
          <w:cantSplit/>
        </w:trPr>
        <w:tc>
          <w:tcPr>
            <w:tcW w:w="5103" w:type="dxa"/>
            <w:shd w:val="clear" w:color="000000" w:fill="FFFFFF"/>
          </w:tcPr>
          <w:p w14:paraId="7D0DE4EC" w14:textId="77777777" w:rsidR="00DF4BD4" w:rsidRPr="003B7DDC" w:rsidRDefault="00DF4BD4" w:rsidP="0042764C">
            <w:pPr>
              <w:autoSpaceDE w:val="0"/>
              <w:autoSpaceDN w:val="0"/>
              <w:adjustRightInd w:val="0"/>
              <w:snapToGrid w:val="0"/>
              <w:spacing w:line="360" w:lineRule="auto"/>
              <w:ind w:left="220"/>
              <w:rPr>
                <w:rFonts w:ascii="Book Antiqua" w:hAnsi="Book Antiqua"/>
                <w:lang w:val="en-GB"/>
              </w:rPr>
            </w:pPr>
            <w:r w:rsidRPr="003B7DDC">
              <w:rPr>
                <w:rFonts w:ascii="Book Antiqua" w:hAnsi="Book Antiqua"/>
                <w:lang w:val="en-GB"/>
              </w:rPr>
              <w:t>Duration of PICU Stay (d)</w:t>
            </w:r>
          </w:p>
        </w:tc>
        <w:tc>
          <w:tcPr>
            <w:tcW w:w="2127" w:type="dxa"/>
            <w:shd w:val="clear" w:color="000000" w:fill="FFFFFF"/>
          </w:tcPr>
          <w:p w14:paraId="1914249A"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1 (IQR 0, range 17)</w:t>
            </w:r>
          </w:p>
        </w:tc>
        <w:tc>
          <w:tcPr>
            <w:tcW w:w="2126" w:type="dxa"/>
            <w:shd w:val="clear" w:color="000000" w:fill="FFFFFF"/>
          </w:tcPr>
          <w:p w14:paraId="34CCECF5"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1 (IQR 0, range 6)</w:t>
            </w:r>
          </w:p>
        </w:tc>
        <w:tc>
          <w:tcPr>
            <w:tcW w:w="1134" w:type="dxa"/>
            <w:shd w:val="clear" w:color="000000" w:fill="FFFFFF"/>
          </w:tcPr>
          <w:p w14:paraId="34AB31A5"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0.77</w:t>
            </w:r>
          </w:p>
        </w:tc>
      </w:tr>
      <w:tr w:rsidR="00DF4BD4" w:rsidRPr="003B7DDC" w14:paraId="04C8915A" w14:textId="77777777" w:rsidTr="0042764C">
        <w:trPr>
          <w:cantSplit/>
        </w:trPr>
        <w:tc>
          <w:tcPr>
            <w:tcW w:w="5103" w:type="dxa"/>
            <w:shd w:val="clear" w:color="000000" w:fill="FFFFFF"/>
          </w:tcPr>
          <w:p w14:paraId="575F3428" w14:textId="77777777" w:rsidR="00DF4BD4" w:rsidRPr="003B7DDC" w:rsidRDefault="00DF4BD4" w:rsidP="0042764C">
            <w:pPr>
              <w:autoSpaceDE w:val="0"/>
              <w:autoSpaceDN w:val="0"/>
              <w:adjustRightInd w:val="0"/>
              <w:snapToGrid w:val="0"/>
              <w:spacing w:line="360" w:lineRule="auto"/>
              <w:ind w:left="220"/>
              <w:rPr>
                <w:rFonts w:ascii="Book Antiqua" w:hAnsi="Book Antiqua"/>
                <w:lang w:val="en-GB" w:eastAsia="zh-CN"/>
              </w:rPr>
            </w:pPr>
            <w:r w:rsidRPr="003B7DDC">
              <w:rPr>
                <w:rFonts w:ascii="Book Antiqua" w:hAnsi="Book Antiqua"/>
                <w:lang w:val="en-GB"/>
              </w:rPr>
              <w:t>Cumulative PICU fluid administration (m</w:t>
            </w:r>
            <w:r w:rsidR="0042764C" w:rsidRPr="003B7DDC">
              <w:rPr>
                <w:rFonts w:ascii="Book Antiqua" w:hAnsi="Book Antiqua"/>
                <w:lang w:val="en-GB"/>
              </w:rPr>
              <w:t>L</w:t>
            </w:r>
            <w:r w:rsidRPr="003B7DDC">
              <w:rPr>
                <w:rFonts w:ascii="Book Antiqua" w:hAnsi="Book Antiqua"/>
                <w:lang w:val="en-GB"/>
              </w:rPr>
              <w:t>)</w:t>
            </w:r>
          </w:p>
        </w:tc>
        <w:tc>
          <w:tcPr>
            <w:tcW w:w="2127" w:type="dxa"/>
            <w:shd w:val="clear" w:color="000000" w:fill="FFFFFF"/>
          </w:tcPr>
          <w:p w14:paraId="7A60C236"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2069 (IQR 886)</w:t>
            </w:r>
          </w:p>
        </w:tc>
        <w:tc>
          <w:tcPr>
            <w:tcW w:w="2126" w:type="dxa"/>
            <w:shd w:val="clear" w:color="000000" w:fill="FFFFFF"/>
          </w:tcPr>
          <w:p w14:paraId="6D079018"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1918 (IQR 1048)</w:t>
            </w:r>
          </w:p>
        </w:tc>
        <w:tc>
          <w:tcPr>
            <w:tcW w:w="1134" w:type="dxa"/>
            <w:shd w:val="clear" w:color="000000" w:fill="FFFFFF"/>
          </w:tcPr>
          <w:p w14:paraId="562FD9EF"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0.15</w:t>
            </w:r>
          </w:p>
        </w:tc>
      </w:tr>
      <w:tr w:rsidR="00DF4BD4" w:rsidRPr="003B7DDC" w14:paraId="368CAB4F" w14:textId="77777777" w:rsidTr="0042764C">
        <w:trPr>
          <w:cantSplit/>
        </w:trPr>
        <w:tc>
          <w:tcPr>
            <w:tcW w:w="5103" w:type="dxa"/>
            <w:shd w:val="clear" w:color="000000" w:fill="FFFFFF"/>
          </w:tcPr>
          <w:p w14:paraId="1D7CCFE9" w14:textId="77777777" w:rsidR="00DF4BD4" w:rsidRPr="003B7DDC" w:rsidRDefault="00DF4BD4" w:rsidP="0042764C">
            <w:pPr>
              <w:autoSpaceDE w:val="0"/>
              <w:autoSpaceDN w:val="0"/>
              <w:adjustRightInd w:val="0"/>
              <w:snapToGrid w:val="0"/>
              <w:spacing w:line="360" w:lineRule="auto"/>
              <w:ind w:left="220"/>
              <w:rPr>
                <w:rFonts w:ascii="Book Antiqua" w:hAnsi="Book Antiqua"/>
                <w:lang w:val="en-GB"/>
              </w:rPr>
            </w:pPr>
            <w:r w:rsidRPr="003B7DDC">
              <w:rPr>
                <w:rFonts w:ascii="Book Antiqua" w:hAnsi="Book Antiqua"/>
                <w:lang w:val="en-GB"/>
              </w:rPr>
              <w:t>Cumulative PICU fluid administration (mL/kg/h )</w:t>
            </w:r>
          </w:p>
        </w:tc>
        <w:tc>
          <w:tcPr>
            <w:tcW w:w="2127" w:type="dxa"/>
            <w:shd w:val="clear" w:color="000000" w:fill="FFFFFF"/>
          </w:tcPr>
          <w:p w14:paraId="5840E98C"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2.1 ± 0.8</w:t>
            </w:r>
          </w:p>
        </w:tc>
        <w:tc>
          <w:tcPr>
            <w:tcW w:w="2126" w:type="dxa"/>
            <w:shd w:val="clear" w:color="000000" w:fill="FFFFFF"/>
          </w:tcPr>
          <w:p w14:paraId="4D4C79C6"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2.3 ± 0.7</w:t>
            </w:r>
          </w:p>
        </w:tc>
        <w:tc>
          <w:tcPr>
            <w:tcW w:w="1134" w:type="dxa"/>
            <w:shd w:val="clear" w:color="000000" w:fill="FFFFFF"/>
          </w:tcPr>
          <w:p w14:paraId="09E87993"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0.31</w:t>
            </w:r>
          </w:p>
        </w:tc>
      </w:tr>
      <w:tr w:rsidR="00DF4BD4" w:rsidRPr="003B7DDC" w14:paraId="1A541304" w14:textId="77777777" w:rsidTr="0042764C">
        <w:trPr>
          <w:cantSplit/>
        </w:trPr>
        <w:tc>
          <w:tcPr>
            <w:tcW w:w="5103" w:type="dxa"/>
            <w:shd w:val="clear" w:color="000000" w:fill="FFFFFF"/>
          </w:tcPr>
          <w:p w14:paraId="4D94C44C" w14:textId="77777777" w:rsidR="00DF4BD4" w:rsidRPr="003B7DDC" w:rsidRDefault="00DF4BD4" w:rsidP="0042764C">
            <w:pPr>
              <w:autoSpaceDE w:val="0"/>
              <w:autoSpaceDN w:val="0"/>
              <w:adjustRightInd w:val="0"/>
              <w:snapToGrid w:val="0"/>
              <w:spacing w:line="360" w:lineRule="auto"/>
              <w:ind w:left="220"/>
              <w:rPr>
                <w:rFonts w:ascii="Book Antiqua" w:hAnsi="Book Antiqua"/>
                <w:lang w:val="en-GB"/>
              </w:rPr>
            </w:pPr>
            <w:r w:rsidRPr="003B7DDC">
              <w:rPr>
                <w:rFonts w:ascii="Book Antiqua" w:hAnsi="Book Antiqua"/>
                <w:lang w:val="en-GB"/>
              </w:rPr>
              <w:t>PICU urine output (mL/kg/h )</w:t>
            </w:r>
          </w:p>
        </w:tc>
        <w:tc>
          <w:tcPr>
            <w:tcW w:w="2127" w:type="dxa"/>
            <w:shd w:val="clear" w:color="000000" w:fill="FFFFFF"/>
          </w:tcPr>
          <w:p w14:paraId="5F3B8634"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0.7 ± 0.4</w:t>
            </w:r>
          </w:p>
        </w:tc>
        <w:tc>
          <w:tcPr>
            <w:tcW w:w="2126" w:type="dxa"/>
            <w:shd w:val="clear" w:color="000000" w:fill="FFFFFF"/>
          </w:tcPr>
          <w:p w14:paraId="099856A1"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1.1 ± 0.4</w:t>
            </w:r>
          </w:p>
        </w:tc>
        <w:tc>
          <w:tcPr>
            <w:tcW w:w="1134" w:type="dxa"/>
            <w:shd w:val="clear" w:color="000000" w:fill="FFFFFF"/>
          </w:tcPr>
          <w:p w14:paraId="34401AE2"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&lt;</w:t>
            </w:r>
            <w:r w:rsidR="00DF4CBE" w:rsidRPr="003B7DDC">
              <w:rPr>
                <w:rFonts w:ascii="Book Antiqua" w:hAnsi="Book Antiqua"/>
                <w:lang w:val="en-GB" w:eastAsia="zh-CN"/>
              </w:rPr>
              <w:t xml:space="preserve"> </w:t>
            </w:r>
            <w:r w:rsidRPr="003B7DDC">
              <w:rPr>
                <w:rFonts w:ascii="Book Antiqua" w:hAnsi="Book Antiqua"/>
                <w:lang w:val="en-GB"/>
              </w:rPr>
              <w:t>0.001</w:t>
            </w:r>
          </w:p>
        </w:tc>
      </w:tr>
      <w:tr w:rsidR="00DF4BD4" w:rsidRPr="003B7DDC" w14:paraId="34A5CBC0" w14:textId="77777777" w:rsidTr="0042764C">
        <w:trPr>
          <w:cantSplit/>
        </w:trPr>
        <w:tc>
          <w:tcPr>
            <w:tcW w:w="5103" w:type="dxa"/>
            <w:shd w:val="clear" w:color="000000" w:fill="FFFFFF"/>
          </w:tcPr>
          <w:p w14:paraId="266A3BCC" w14:textId="77777777" w:rsidR="00DF4BD4" w:rsidRPr="003B7DDC" w:rsidRDefault="00DF4BD4" w:rsidP="0042764C">
            <w:pPr>
              <w:autoSpaceDE w:val="0"/>
              <w:autoSpaceDN w:val="0"/>
              <w:adjustRightInd w:val="0"/>
              <w:snapToGrid w:val="0"/>
              <w:spacing w:line="360" w:lineRule="auto"/>
              <w:ind w:left="220"/>
              <w:rPr>
                <w:rFonts w:ascii="Book Antiqua" w:hAnsi="Book Antiqua"/>
                <w:lang w:val="en-GB"/>
              </w:rPr>
            </w:pPr>
            <w:r w:rsidRPr="003B7DDC">
              <w:rPr>
                <w:rFonts w:ascii="Book Antiqua" w:hAnsi="Book Antiqua"/>
                <w:lang w:val="en-GB"/>
              </w:rPr>
              <w:t>PICU fluid balance (</w:t>
            </w:r>
            <w:r w:rsidR="0042764C" w:rsidRPr="003B7DDC">
              <w:rPr>
                <w:rFonts w:ascii="Book Antiqua" w:hAnsi="Book Antiqua"/>
                <w:lang w:val="en-GB" w:eastAsia="zh-CN"/>
              </w:rPr>
              <w:t>L</w:t>
            </w:r>
            <w:r w:rsidRPr="003B7DDC">
              <w:rPr>
                <w:rFonts w:ascii="Book Antiqua" w:hAnsi="Book Antiqua"/>
                <w:lang w:val="en-GB"/>
              </w:rPr>
              <w:t>)</w:t>
            </w:r>
          </w:p>
        </w:tc>
        <w:tc>
          <w:tcPr>
            <w:tcW w:w="2127" w:type="dxa"/>
            <w:shd w:val="clear" w:color="000000" w:fill="FFFFFF"/>
          </w:tcPr>
          <w:p w14:paraId="5484D58D"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1.3 ± 1.0</w:t>
            </w:r>
          </w:p>
        </w:tc>
        <w:tc>
          <w:tcPr>
            <w:tcW w:w="2126" w:type="dxa"/>
            <w:shd w:val="clear" w:color="000000" w:fill="FFFFFF"/>
          </w:tcPr>
          <w:p w14:paraId="07017744"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0.8 ± 0.8</w:t>
            </w:r>
          </w:p>
        </w:tc>
        <w:tc>
          <w:tcPr>
            <w:tcW w:w="1134" w:type="dxa"/>
            <w:shd w:val="clear" w:color="000000" w:fill="FFFFFF"/>
          </w:tcPr>
          <w:p w14:paraId="5E49148A"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0.02</w:t>
            </w:r>
          </w:p>
        </w:tc>
      </w:tr>
      <w:tr w:rsidR="00DF4BD4" w:rsidRPr="003B7DDC" w14:paraId="5FAFDDCE" w14:textId="77777777" w:rsidTr="0042764C">
        <w:trPr>
          <w:cantSplit/>
        </w:trPr>
        <w:tc>
          <w:tcPr>
            <w:tcW w:w="5103" w:type="dxa"/>
            <w:shd w:val="clear" w:color="000000" w:fill="FFFFFF"/>
          </w:tcPr>
          <w:p w14:paraId="57864184" w14:textId="77777777" w:rsidR="00DF4BD4" w:rsidRPr="003B7DDC" w:rsidRDefault="00DF4BD4" w:rsidP="0042764C">
            <w:pPr>
              <w:autoSpaceDE w:val="0"/>
              <w:autoSpaceDN w:val="0"/>
              <w:adjustRightInd w:val="0"/>
              <w:snapToGrid w:val="0"/>
              <w:spacing w:line="360" w:lineRule="auto"/>
              <w:ind w:left="220"/>
              <w:rPr>
                <w:rFonts w:ascii="Book Antiqua" w:hAnsi="Book Antiqua"/>
                <w:lang w:val="en-GB"/>
              </w:rPr>
            </w:pPr>
            <w:r w:rsidRPr="003B7DDC">
              <w:rPr>
                <w:rFonts w:ascii="Book Antiqua" w:hAnsi="Book Antiqua"/>
                <w:lang w:val="en-GB"/>
              </w:rPr>
              <w:t>Max Hb drop (% from baseline)</w:t>
            </w:r>
          </w:p>
        </w:tc>
        <w:tc>
          <w:tcPr>
            <w:tcW w:w="2127" w:type="dxa"/>
            <w:shd w:val="clear" w:color="000000" w:fill="FFFFFF"/>
          </w:tcPr>
          <w:p w14:paraId="548C4AB4"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26 ± 9</w:t>
            </w:r>
          </w:p>
        </w:tc>
        <w:tc>
          <w:tcPr>
            <w:tcW w:w="2126" w:type="dxa"/>
            <w:shd w:val="clear" w:color="000000" w:fill="FFFFFF"/>
          </w:tcPr>
          <w:p w14:paraId="251ACEDB"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26 ± 10</w:t>
            </w:r>
          </w:p>
        </w:tc>
        <w:tc>
          <w:tcPr>
            <w:tcW w:w="1134" w:type="dxa"/>
            <w:shd w:val="clear" w:color="000000" w:fill="FFFFFF"/>
          </w:tcPr>
          <w:p w14:paraId="107E7DE1"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0.94</w:t>
            </w:r>
          </w:p>
        </w:tc>
      </w:tr>
      <w:tr w:rsidR="00DF4BD4" w:rsidRPr="003B7DDC" w14:paraId="68C5ADD6" w14:textId="77777777" w:rsidTr="0042764C">
        <w:trPr>
          <w:cantSplit/>
        </w:trPr>
        <w:tc>
          <w:tcPr>
            <w:tcW w:w="5103" w:type="dxa"/>
            <w:tcBorders>
              <w:bottom w:val="single" w:sz="4" w:space="0" w:color="auto"/>
            </w:tcBorders>
            <w:shd w:val="clear" w:color="000000" w:fill="FFFFFF"/>
          </w:tcPr>
          <w:p w14:paraId="78DD0318" w14:textId="77777777" w:rsidR="00DF4BD4" w:rsidRPr="003B7DDC" w:rsidRDefault="00DF4BD4" w:rsidP="0042764C">
            <w:pPr>
              <w:autoSpaceDE w:val="0"/>
              <w:autoSpaceDN w:val="0"/>
              <w:adjustRightInd w:val="0"/>
              <w:snapToGrid w:val="0"/>
              <w:spacing w:line="360" w:lineRule="auto"/>
              <w:ind w:left="220"/>
              <w:rPr>
                <w:rFonts w:ascii="Book Antiqua" w:hAnsi="Book Antiqua"/>
                <w:lang w:val="en-GB"/>
              </w:rPr>
            </w:pPr>
            <w:r w:rsidRPr="003B7DDC">
              <w:rPr>
                <w:rFonts w:ascii="Book Antiqua" w:hAnsi="Book Antiqua"/>
                <w:lang w:val="en-GB"/>
              </w:rPr>
              <w:t>Nephrotoxin exposure in PICU</w:t>
            </w:r>
          </w:p>
        </w:tc>
        <w:tc>
          <w:tcPr>
            <w:tcW w:w="2127" w:type="dxa"/>
            <w:tcBorders>
              <w:bottom w:val="single" w:sz="4" w:space="0" w:color="auto"/>
            </w:tcBorders>
            <w:shd w:val="clear" w:color="000000" w:fill="FFFFFF"/>
          </w:tcPr>
          <w:p w14:paraId="51CCB910"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18 (51%)</w:t>
            </w:r>
          </w:p>
        </w:tc>
        <w:tc>
          <w:tcPr>
            <w:tcW w:w="2126" w:type="dxa"/>
            <w:tcBorders>
              <w:bottom w:val="single" w:sz="4" w:space="0" w:color="auto"/>
            </w:tcBorders>
            <w:shd w:val="clear" w:color="000000" w:fill="FFFFFF"/>
          </w:tcPr>
          <w:p w14:paraId="35E472B4"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4 (11%)</w:t>
            </w:r>
          </w:p>
        </w:tc>
        <w:tc>
          <w:tcPr>
            <w:tcW w:w="1134" w:type="dxa"/>
            <w:tcBorders>
              <w:bottom w:val="single" w:sz="4" w:space="0" w:color="auto"/>
            </w:tcBorders>
            <w:shd w:val="clear" w:color="000000" w:fill="FFFFFF"/>
          </w:tcPr>
          <w:p w14:paraId="18113FB4" w14:textId="77777777" w:rsidR="00DF4BD4" w:rsidRPr="003B7DDC" w:rsidRDefault="00DF4BD4" w:rsidP="00AD07C6">
            <w:pPr>
              <w:autoSpaceDE w:val="0"/>
              <w:autoSpaceDN w:val="0"/>
              <w:adjustRightInd w:val="0"/>
              <w:snapToGrid w:val="0"/>
              <w:spacing w:line="360" w:lineRule="auto"/>
              <w:jc w:val="center"/>
              <w:rPr>
                <w:rFonts w:ascii="Book Antiqua" w:hAnsi="Book Antiqua"/>
                <w:lang w:val="en-GB"/>
              </w:rPr>
            </w:pPr>
            <w:r w:rsidRPr="003B7DDC">
              <w:rPr>
                <w:rFonts w:ascii="Book Antiqua" w:hAnsi="Book Antiqua"/>
                <w:lang w:val="en-GB"/>
              </w:rPr>
              <w:t>&lt;</w:t>
            </w:r>
            <w:r w:rsidR="00DF4CBE" w:rsidRPr="003B7DDC">
              <w:rPr>
                <w:rFonts w:ascii="Book Antiqua" w:hAnsi="Book Antiqua"/>
                <w:lang w:val="en-GB" w:eastAsia="zh-CN"/>
              </w:rPr>
              <w:t xml:space="preserve"> </w:t>
            </w:r>
            <w:r w:rsidRPr="003B7DDC">
              <w:rPr>
                <w:rFonts w:ascii="Book Antiqua" w:hAnsi="Book Antiqua"/>
                <w:lang w:val="en-GB"/>
              </w:rPr>
              <w:t>0.001</w:t>
            </w:r>
          </w:p>
        </w:tc>
      </w:tr>
    </w:tbl>
    <w:p w14:paraId="02AAD598" w14:textId="77777777" w:rsidR="00C2498C" w:rsidRPr="003B7DDC" w:rsidRDefault="00854EB3" w:rsidP="00CB581F">
      <w:pPr>
        <w:widowControl w:val="0"/>
        <w:tabs>
          <w:tab w:val="left" w:pos="640"/>
        </w:tabs>
        <w:autoSpaceDE w:val="0"/>
        <w:autoSpaceDN w:val="0"/>
        <w:adjustRightInd w:val="0"/>
        <w:snapToGrid w:val="0"/>
        <w:spacing w:line="360" w:lineRule="auto"/>
        <w:ind w:left="640" w:hanging="640"/>
        <w:jc w:val="both"/>
        <w:rPr>
          <w:rFonts w:ascii="Book Antiqua" w:hAnsi="Book Antiqua"/>
          <w:lang w:val="en-GB" w:eastAsia="zh-CN"/>
        </w:rPr>
      </w:pPr>
      <w:r w:rsidRPr="003B7DDC">
        <w:rPr>
          <w:rFonts w:ascii="Book Antiqua" w:hAnsi="Book Antiqua"/>
          <w:lang w:val="fr-FR"/>
        </w:rPr>
        <w:t>AKI</w:t>
      </w:r>
      <w:r w:rsidRPr="003B7DDC">
        <w:rPr>
          <w:rFonts w:ascii="Book Antiqua" w:hAnsi="Book Antiqua"/>
          <w:lang w:val="fr-FR" w:eastAsia="zh-CN"/>
        </w:rPr>
        <w:t xml:space="preserve">: </w:t>
      </w:r>
      <w:r w:rsidRPr="003B7DDC">
        <w:rPr>
          <w:rFonts w:ascii="Book Antiqua" w:hAnsi="Book Antiqua" w:cs="Arial"/>
          <w:bCs/>
          <w:lang w:val="en-GB"/>
        </w:rPr>
        <w:t>Acute kidney injury</w:t>
      </w:r>
      <w:r w:rsidRPr="003B7DDC">
        <w:rPr>
          <w:rFonts w:ascii="Book Antiqua" w:hAnsi="Book Antiqua" w:cs="Arial"/>
          <w:bCs/>
          <w:lang w:val="en-GB" w:eastAsia="zh-CN"/>
        </w:rPr>
        <w:t>;</w:t>
      </w:r>
      <w:r w:rsidRPr="003B7DDC">
        <w:rPr>
          <w:rFonts w:ascii="Book Antiqua" w:hAnsi="Book Antiqua" w:cs="Arial"/>
          <w:bCs/>
          <w:lang w:val="en-GB"/>
        </w:rPr>
        <w:t xml:space="preserve"> </w:t>
      </w:r>
      <w:r w:rsidRPr="003B7DDC">
        <w:rPr>
          <w:rFonts w:ascii="Book Antiqua" w:hAnsi="Book Antiqua"/>
          <w:lang w:val="fr-FR" w:eastAsia="zh-CN"/>
        </w:rPr>
        <w:t xml:space="preserve">PICU: </w:t>
      </w:r>
      <w:r w:rsidRPr="003B7DDC">
        <w:rPr>
          <w:rFonts w:ascii="Book Antiqua" w:hAnsi="Book Antiqua" w:cs="Arial"/>
          <w:lang w:val="en-GB"/>
        </w:rPr>
        <w:t>Paediatric intensive care unit</w:t>
      </w:r>
      <w:r w:rsidRPr="003B7DDC">
        <w:rPr>
          <w:rFonts w:ascii="Book Antiqua" w:hAnsi="Book Antiqua" w:cs="Arial"/>
          <w:lang w:val="en-GB" w:eastAsia="zh-CN"/>
        </w:rPr>
        <w:t>.</w:t>
      </w:r>
    </w:p>
    <w:sectPr w:rsidR="00C2498C" w:rsidRPr="003B7DD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E08BB" w14:textId="77777777" w:rsidR="00020340" w:rsidRDefault="00020340" w:rsidP="002A2778">
      <w:r>
        <w:separator/>
      </w:r>
    </w:p>
  </w:endnote>
  <w:endnote w:type="continuationSeparator" w:id="0">
    <w:p w14:paraId="24DB4E4B" w14:textId="77777777" w:rsidR="00020340" w:rsidRDefault="00020340" w:rsidP="002A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C9ECD" w14:textId="77777777" w:rsidR="00020340" w:rsidRDefault="00020340" w:rsidP="002A2778">
      <w:r>
        <w:separator/>
      </w:r>
    </w:p>
  </w:footnote>
  <w:footnote w:type="continuationSeparator" w:id="0">
    <w:p w14:paraId="3311C4C7" w14:textId="77777777" w:rsidR="00020340" w:rsidRDefault="00020340" w:rsidP="002A2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AA9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2BC55FC"/>
    <w:multiLevelType w:val="hybridMultilevel"/>
    <w:tmpl w:val="C74C31DE"/>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BB"/>
    <w:rsid w:val="00012EE2"/>
    <w:rsid w:val="000168C4"/>
    <w:rsid w:val="00020340"/>
    <w:rsid w:val="0003451D"/>
    <w:rsid w:val="000520B0"/>
    <w:rsid w:val="00073A3A"/>
    <w:rsid w:val="00080845"/>
    <w:rsid w:val="00084BD7"/>
    <w:rsid w:val="000A5DC7"/>
    <w:rsid w:val="000B32EA"/>
    <w:rsid w:val="000D57D5"/>
    <w:rsid w:val="000F74DE"/>
    <w:rsid w:val="000F7DCD"/>
    <w:rsid w:val="001567F4"/>
    <w:rsid w:val="00183889"/>
    <w:rsid w:val="001954DC"/>
    <w:rsid w:val="001A4A03"/>
    <w:rsid w:val="001B4127"/>
    <w:rsid w:val="001C6EF0"/>
    <w:rsid w:val="001D66BB"/>
    <w:rsid w:val="001F041C"/>
    <w:rsid w:val="001F2C7E"/>
    <w:rsid w:val="00202614"/>
    <w:rsid w:val="0020709B"/>
    <w:rsid w:val="0021644C"/>
    <w:rsid w:val="00225351"/>
    <w:rsid w:val="00244A0F"/>
    <w:rsid w:val="0024591A"/>
    <w:rsid w:val="0025346E"/>
    <w:rsid w:val="00276E32"/>
    <w:rsid w:val="002A2778"/>
    <w:rsid w:val="003108B1"/>
    <w:rsid w:val="00335F97"/>
    <w:rsid w:val="00353F86"/>
    <w:rsid w:val="00357BA4"/>
    <w:rsid w:val="0037314E"/>
    <w:rsid w:val="00373A66"/>
    <w:rsid w:val="0038673C"/>
    <w:rsid w:val="003901F7"/>
    <w:rsid w:val="003A26D4"/>
    <w:rsid w:val="003B04DA"/>
    <w:rsid w:val="003B7DDC"/>
    <w:rsid w:val="003D5E49"/>
    <w:rsid w:val="003E724B"/>
    <w:rsid w:val="004009AA"/>
    <w:rsid w:val="00423E31"/>
    <w:rsid w:val="0042764C"/>
    <w:rsid w:val="0043730D"/>
    <w:rsid w:val="00447BD4"/>
    <w:rsid w:val="00463A57"/>
    <w:rsid w:val="00471C15"/>
    <w:rsid w:val="00486E59"/>
    <w:rsid w:val="00490AA4"/>
    <w:rsid w:val="00491BFB"/>
    <w:rsid w:val="004A5123"/>
    <w:rsid w:val="004E38EC"/>
    <w:rsid w:val="005C2533"/>
    <w:rsid w:val="00634C91"/>
    <w:rsid w:val="0064633C"/>
    <w:rsid w:val="00651864"/>
    <w:rsid w:val="00657CA3"/>
    <w:rsid w:val="0067475F"/>
    <w:rsid w:val="00686C97"/>
    <w:rsid w:val="006873AB"/>
    <w:rsid w:val="00691C41"/>
    <w:rsid w:val="0069444B"/>
    <w:rsid w:val="00697348"/>
    <w:rsid w:val="006C226D"/>
    <w:rsid w:val="006D11FA"/>
    <w:rsid w:val="006F63F9"/>
    <w:rsid w:val="00733010"/>
    <w:rsid w:val="00773BC5"/>
    <w:rsid w:val="00775AA8"/>
    <w:rsid w:val="00791029"/>
    <w:rsid w:val="00795637"/>
    <w:rsid w:val="007B5770"/>
    <w:rsid w:val="007C2C40"/>
    <w:rsid w:val="008007A2"/>
    <w:rsid w:val="008040D3"/>
    <w:rsid w:val="00840F80"/>
    <w:rsid w:val="00842FCD"/>
    <w:rsid w:val="00854EB3"/>
    <w:rsid w:val="008649C8"/>
    <w:rsid w:val="0086789D"/>
    <w:rsid w:val="00867EA1"/>
    <w:rsid w:val="00874041"/>
    <w:rsid w:val="00883B30"/>
    <w:rsid w:val="00886E82"/>
    <w:rsid w:val="008917F8"/>
    <w:rsid w:val="008A03BA"/>
    <w:rsid w:val="008B34DB"/>
    <w:rsid w:val="008E0D39"/>
    <w:rsid w:val="008E5671"/>
    <w:rsid w:val="008F4BDC"/>
    <w:rsid w:val="00954D8D"/>
    <w:rsid w:val="00957E46"/>
    <w:rsid w:val="00970EDD"/>
    <w:rsid w:val="009B7F01"/>
    <w:rsid w:val="009D6284"/>
    <w:rsid w:val="009D6A1A"/>
    <w:rsid w:val="009E097D"/>
    <w:rsid w:val="009F46C9"/>
    <w:rsid w:val="00A20C7A"/>
    <w:rsid w:val="00A40787"/>
    <w:rsid w:val="00A41A80"/>
    <w:rsid w:val="00A47F57"/>
    <w:rsid w:val="00A865C2"/>
    <w:rsid w:val="00AA073D"/>
    <w:rsid w:val="00AC5AE1"/>
    <w:rsid w:val="00AD07C6"/>
    <w:rsid w:val="00AD611E"/>
    <w:rsid w:val="00AF2726"/>
    <w:rsid w:val="00B01444"/>
    <w:rsid w:val="00B21A94"/>
    <w:rsid w:val="00B50C95"/>
    <w:rsid w:val="00B55B28"/>
    <w:rsid w:val="00B87354"/>
    <w:rsid w:val="00B95027"/>
    <w:rsid w:val="00BB07E0"/>
    <w:rsid w:val="00BB454A"/>
    <w:rsid w:val="00BD7A50"/>
    <w:rsid w:val="00BE6CC7"/>
    <w:rsid w:val="00BF3D1D"/>
    <w:rsid w:val="00BF68F2"/>
    <w:rsid w:val="00C2498C"/>
    <w:rsid w:val="00C4632B"/>
    <w:rsid w:val="00C526B5"/>
    <w:rsid w:val="00C55EC0"/>
    <w:rsid w:val="00C669BC"/>
    <w:rsid w:val="00C712DF"/>
    <w:rsid w:val="00C8715B"/>
    <w:rsid w:val="00CB581F"/>
    <w:rsid w:val="00CC1116"/>
    <w:rsid w:val="00CE0E7E"/>
    <w:rsid w:val="00CF7E88"/>
    <w:rsid w:val="00D024EA"/>
    <w:rsid w:val="00D25E3D"/>
    <w:rsid w:val="00D443C0"/>
    <w:rsid w:val="00D4762C"/>
    <w:rsid w:val="00DB523E"/>
    <w:rsid w:val="00DC618E"/>
    <w:rsid w:val="00DD2395"/>
    <w:rsid w:val="00DD7F4B"/>
    <w:rsid w:val="00DE135E"/>
    <w:rsid w:val="00DE3B25"/>
    <w:rsid w:val="00DE50BA"/>
    <w:rsid w:val="00DE79F1"/>
    <w:rsid w:val="00DF4BD4"/>
    <w:rsid w:val="00DF4CBE"/>
    <w:rsid w:val="00E0590A"/>
    <w:rsid w:val="00E53043"/>
    <w:rsid w:val="00E563FA"/>
    <w:rsid w:val="00E64349"/>
    <w:rsid w:val="00E80761"/>
    <w:rsid w:val="00EB11BB"/>
    <w:rsid w:val="00EB4DA8"/>
    <w:rsid w:val="00EC3916"/>
    <w:rsid w:val="00F33952"/>
    <w:rsid w:val="00F56347"/>
    <w:rsid w:val="00F67C38"/>
    <w:rsid w:val="00F9174F"/>
    <w:rsid w:val="00FA06E9"/>
    <w:rsid w:val="00FC06F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C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sz w:val="24"/>
      <w:szCs w:val="24"/>
      <w:lang w:eastAsia="en-US"/>
    </w:rPr>
  </w:style>
  <w:style w:type="paragraph" w:styleId="1">
    <w:name w:val="heading 1"/>
    <w:basedOn w:val="a"/>
    <w:next w:val="a"/>
    <w:qFormat/>
    <w:pPr>
      <w:keepNext/>
      <w:autoSpaceDE w:val="0"/>
      <w:autoSpaceDN w:val="0"/>
      <w:adjustRightInd w:val="0"/>
      <w:spacing w:line="480" w:lineRule="auto"/>
      <w:outlineLvl w:val="0"/>
    </w:pPr>
    <w:rPr>
      <w:rFonts w:ascii="Arial" w:hAnsi="Arial" w:cs="Arial"/>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sz w:val="16"/>
      <w:szCs w:val="16"/>
    </w:rPr>
  </w:style>
  <w:style w:type="paragraph" w:styleId="a4">
    <w:name w:val="annotation text"/>
    <w:basedOn w:val="a"/>
    <w:link w:val="Char"/>
    <w:uiPriority w:val="99"/>
    <w:rPr>
      <w:sz w:val="20"/>
      <w:szCs w:val="20"/>
    </w:rPr>
  </w:style>
  <w:style w:type="paragraph" w:styleId="a5">
    <w:name w:val="Balloon Text"/>
    <w:basedOn w:val="a"/>
    <w:semiHidden/>
    <w:unhideWhenUsed/>
    <w:rPr>
      <w:rFonts w:ascii="Lucida Grande" w:hAnsi="Lucida Grande"/>
      <w:sz w:val="18"/>
      <w:szCs w:val="18"/>
    </w:rPr>
  </w:style>
  <w:style w:type="character" w:customStyle="1" w:styleId="BalloonTextChar">
    <w:name w:val="Balloon Text Char"/>
    <w:semiHidden/>
    <w:rPr>
      <w:rFonts w:ascii="Lucida Grande" w:hAnsi="Lucida Grande"/>
      <w:noProof/>
      <w:sz w:val="18"/>
      <w:szCs w:val="18"/>
    </w:rPr>
  </w:style>
  <w:style w:type="paragraph" w:styleId="a6">
    <w:name w:val="annotation subject"/>
    <w:basedOn w:val="a4"/>
    <w:next w:val="a4"/>
    <w:link w:val="Char0"/>
    <w:uiPriority w:val="99"/>
    <w:semiHidden/>
    <w:unhideWhenUsed/>
    <w:rsid w:val="00B87354"/>
    <w:rPr>
      <w:b/>
      <w:bCs/>
    </w:rPr>
  </w:style>
  <w:style w:type="character" w:customStyle="1" w:styleId="Char">
    <w:name w:val="批注文字 Char"/>
    <w:link w:val="a4"/>
    <w:uiPriority w:val="99"/>
    <w:rsid w:val="00B87354"/>
    <w:rPr>
      <w:noProof/>
      <w:lang w:val="nl-NL" w:eastAsia="en-US"/>
    </w:rPr>
  </w:style>
  <w:style w:type="character" w:customStyle="1" w:styleId="Char0">
    <w:name w:val="批注主题 Char"/>
    <w:link w:val="a6"/>
    <w:uiPriority w:val="99"/>
    <w:semiHidden/>
    <w:rsid w:val="00B87354"/>
    <w:rPr>
      <w:b/>
      <w:bCs/>
      <w:noProof/>
      <w:lang w:val="nl-NL" w:eastAsia="en-US"/>
    </w:rPr>
  </w:style>
  <w:style w:type="paragraph" w:customStyle="1" w:styleId="Gemiddeldraster21">
    <w:name w:val="Gemiddeld raster 21"/>
    <w:uiPriority w:val="1"/>
    <w:qFormat/>
    <w:rsid w:val="00373A66"/>
    <w:pPr>
      <w:widowControl w:val="0"/>
    </w:pPr>
    <w:rPr>
      <w:rFonts w:ascii="Cambria" w:eastAsia="MS Mincho" w:hAnsi="Cambria"/>
      <w:kern w:val="2"/>
      <w:sz w:val="24"/>
      <w:szCs w:val="22"/>
      <w:lang w:val="en-US" w:eastAsia="zh-TW"/>
    </w:rPr>
  </w:style>
  <w:style w:type="paragraph" w:styleId="a7">
    <w:name w:val="List Paragraph"/>
    <w:basedOn w:val="a"/>
    <w:uiPriority w:val="34"/>
    <w:qFormat/>
    <w:rsid w:val="00775AA8"/>
    <w:pPr>
      <w:spacing w:after="200" w:line="276" w:lineRule="auto"/>
      <w:ind w:left="720"/>
      <w:contextualSpacing/>
    </w:pPr>
    <w:rPr>
      <w:rFonts w:ascii="Book Antiqua" w:hAnsi="Book Antiqua"/>
      <w:noProof w:val="0"/>
      <w:sz w:val="22"/>
      <w:szCs w:val="22"/>
      <w:lang w:val="en-US" w:eastAsia="zh-CN"/>
    </w:rPr>
  </w:style>
  <w:style w:type="character" w:styleId="a8">
    <w:name w:val="Hyperlink"/>
    <w:uiPriority w:val="99"/>
    <w:semiHidden/>
    <w:unhideWhenUsed/>
    <w:rsid w:val="000168C4"/>
    <w:rPr>
      <w:color w:val="0000FF"/>
      <w:u w:val="single"/>
    </w:rPr>
  </w:style>
  <w:style w:type="paragraph" w:styleId="a9">
    <w:name w:val="header"/>
    <w:basedOn w:val="a"/>
    <w:link w:val="Char1"/>
    <w:uiPriority w:val="99"/>
    <w:unhideWhenUsed/>
    <w:rsid w:val="002A277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2A2778"/>
    <w:rPr>
      <w:noProof/>
      <w:sz w:val="18"/>
      <w:szCs w:val="18"/>
      <w:lang w:eastAsia="en-US"/>
    </w:rPr>
  </w:style>
  <w:style w:type="paragraph" w:styleId="aa">
    <w:name w:val="footer"/>
    <w:basedOn w:val="a"/>
    <w:link w:val="Char2"/>
    <w:uiPriority w:val="99"/>
    <w:unhideWhenUsed/>
    <w:rsid w:val="002A2778"/>
    <w:pPr>
      <w:tabs>
        <w:tab w:val="center" w:pos="4153"/>
        <w:tab w:val="right" w:pos="8306"/>
      </w:tabs>
      <w:snapToGrid w:val="0"/>
    </w:pPr>
    <w:rPr>
      <w:sz w:val="18"/>
      <w:szCs w:val="18"/>
    </w:rPr>
  </w:style>
  <w:style w:type="character" w:customStyle="1" w:styleId="Char2">
    <w:name w:val="页脚 Char"/>
    <w:basedOn w:val="a0"/>
    <w:link w:val="aa"/>
    <w:uiPriority w:val="99"/>
    <w:rsid w:val="002A2778"/>
    <w:rPr>
      <w:noProof/>
      <w:sz w:val="18"/>
      <w:szCs w:val="18"/>
      <w:lang w:eastAsia="en-US"/>
    </w:rPr>
  </w:style>
  <w:style w:type="character" w:styleId="ab">
    <w:name w:val="Emphasis"/>
    <w:qFormat/>
    <w:rsid w:val="006873AB"/>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sz w:val="24"/>
      <w:szCs w:val="24"/>
      <w:lang w:eastAsia="en-US"/>
    </w:rPr>
  </w:style>
  <w:style w:type="paragraph" w:styleId="1">
    <w:name w:val="heading 1"/>
    <w:basedOn w:val="a"/>
    <w:next w:val="a"/>
    <w:qFormat/>
    <w:pPr>
      <w:keepNext/>
      <w:autoSpaceDE w:val="0"/>
      <w:autoSpaceDN w:val="0"/>
      <w:adjustRightInd w:val="0"/>
      <w:spacing w:line="480" w:lineRule="auto"/>
      <w:outlineLvl w:val="0"/>
    </w:pPr>
    <w:rPr>
      <w:rFonts w:ascii="Arial" w:hAnsi="Arial" w:cs="Arial"/>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sz w:val="16"/>
      <w:szCs w:val="16"/>
    </w:rPr>
  </w:style>
  <w:style w:type="paragraph" w:styleId="a4">
    <w:name w:val="annotation text"/>
    <w:basedOn w:val="a"/>
    <w:link w:val="Char"/>
    <w:uiPriority w:val="99"/>
    <w:rPr>
      <w:sz w:val="20"/>
      <w:szCs w:val="20"/>
    </w:rPr>
  </w:style>
  <w:style w:type="paragraph" w:styleId="a5">
    <w:name w:val="Balloon Text"/>
    <w:basedOn w:val="a"/>
    <w:semiHidden/>
    <w:unhideWhenUsed/>
    <w:rPr>
      <w:rFonts w:ascii="Lucida Grande" w:hAnsi="Lucida Grande"/>
      <w:sz w:val="18"/>
      <w:szCs w:val="18"/>
    </w:rPr>
  </w:style>
  <w:style w:type="character" w:customStyle="1" w:styleId="BalloonTextChar">
    <w:name w:val="Balloon Text Char"/>
    <w:semiHidden/>
    <w:rPr>
      <w:rFonts w:ascii="Lucida Grande" w:hAnsi="Lucida Grande"/>
      <w:noProof/>
      <w:sz w:val="18"/>
      <w:szCs w:val="18"/>
    </w:rPr>
  </w:style>
  <w:style w:type="paragraph" w:styleId="a6">
    <w:name w:val="annotation subject"/>
    <w:basedOn w:val="a4"/>
    <w:next w:val="a4"/>
    <w:link w:val="Char0"/>
    <w:uiPriority w:val="99"/>
    <w:semiHidden/>
    <w:unhideWhenUsed/>
    <w:rsid w:val="00B87354"/>
    <w:rPr>
      <w:b/>
      <w:bCs/>
    </w:rPr>
  </w:style>
  <w:style w:type="character" w:customStyle="1" w:styleId="Char">
    <w:name w:val="批注文字 Char"/>
    <w:link w:val="a4"/>
    <w:uiPriority w:val="99"/>
    <w:rsid w:val="00B87354"/>
    <w:rPr>
      <w:noProof/>
      <w:lang w:val="nl-NL" w:eastAsia="en-US"/>
    </w:rPr>
  </w:style>
  <w:style w:type="character" w:customStyle="1" w:styleId="Char0">
    <w:name w:val="批注主题 Char"/>
    <w:link w:val="a6"/>
    <w:uiPriority w:val="99"/>
    <w:semiHidden/>
    <w:rsid w:val="00B87354"/>
    <w:rPr>
      <w:b/>
      <w:bCs/>
      <w:noProof/>
      <w:lang w:val="nl-NL" w:eastAsia="en-US"/>
    </w:rPr>
  </w:style>
  <w:style w:type="paragraph" w:customStyle="1" w:styleId="Gemiddeldraster21">
    <w:name w:val="Gemiddeld raster 21"/>
    <w:uiPriority w:val="1"/>
    <w:qFormat/>
    <w:rsid w:val="00373A66"/>
    <w:pPr>
      <w:widowControl w:val="0"/>
    </w:pPr>
    <w:rPr>
      <w:rFonts w:ascii="Cambria" w:eastAsia="MS Mincho" w:hAnsi="Cambria"/>
      <w:kern w:val="2"/>
      <w:sz w:val="24"/>
      <w:szCs w:val="22"/>
      <w:lang w:val="en-US" w:eastAsia="zh-TW"/>
    </w:rPr>
  </w:style>
  <w:style w:type="paragraph" w:styleId="a7">
    <w:name w:val="List Paragraph"/>
    <w:basedOn w:val="a"/>
    <w:uiPriority w:val="34"/>
    <w:qFormat/>
    <w:rsid w:val="00775AA8"/>
    <w:pPr>
      <w:spacing w:after="200" w:line="276" w:lineRule="auto"/>
      <w:ind w:left="720"/>
      <w:contextualSpacing/>
    </w:pPr>
    <w:rPr>
      <w:rFonts w:ascii="Book Antiqua" w:hAnsi="Book Antiqua"/>
      <w:noProof w:val="0"/>
      <w:sz w:val="22"/>
      <w:szCs w:val="22"/>
      <w:lang w:val="en-US" w:eastAsia="zh-CN"/>
    </w:rPr>
  </w:style>
  <w:style w:type="character" w:styleId="a8">
    <w:name w:val="Hyperlink"/>
    <w:uiPriority w:val="99"/>
    <w:semiHidden/>
    <w:unhideWhenUsed/>
    <w:rsid w:val="000168C4"/>
    <w:rPr>
      <w:color w:val="0000FF"/>
      <w:u w:val="single"/>
    </w:rPr>
  </w:style>
  <w:style w:type="paragraph" w:styleId="a9">
    <w:name w:val="header"/>
    <w:basedOn w:val="a"/>
    <w:link w:val="Char1"/>
    <w:uiPriority w:val="99"/>
    <w:unhideWhenUsed/>
    <w:rsid w:val="002A277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2A2778"/>
    <w:rPr>
      <w:noProof/>
      <w:sz w:val="18"/>
      <w:szCs w:val="18"/>
      <w:lang w:eastAsia="en-US"/>
    </w:rPr>
  </w:style>
  <w:style w:type="paragraph" w:styleId="aa">
    <w:name w:val="footer"/>
    <w:basedOn w:val="a"/>
    <w:link w:val="Char2"/>
    <w:uiPriority w:val="99"/>
    <w:unhideWhenUsed/>
    <w:rsid w:val="002A2778"/>
    <w:pPr>
      <w:tabs>
        <w:tab w:val="center" w:pos="4153"/>
        <w:tab w:val="right" w:pos="8306"/>
      </w:tabs>
      <w:snapToGrid w:val="0"/>
    </w:pPr>
    <w:rPr>
      <w:sz w:val="18"/>
      <w:szCs w:val="18"/>
    </w:rPr>
  </w:style>
  <w:style w:type="character" w:customStyle="1" w:styleId="Char2">
    <w:name w:val="页脚 Char"/>
    <w:basedOn w:val="a0"/>
    <w:link w:val="aa"/>
    <w:uiPriority w:val="99"/>
    <w:rsid w:val="002A2778"/>
    <w:rPr>
      <w:noProof/>
      <w:sz w:val="18"/>
      <w:szCs w:val="18"/>
      <w:lang w:eastAsia="en-US"/>
    </w:rPr>
  </w:style>
  <w:style w:type="character" w:styleId="ab">
    <w:name w:val="Emphasis"/>
    <w:qFormat/>
    <w:rsid w:val="006873A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8228">
      <w:bodyDiv w:val="1"/>
      <w:marLeft w:val="0"/>
      <w:marRight w:val="0"/>
      <w:marTop w:val="0"/>
      <w:marBottom w:val="0"/>
      <w:divBdr>
        <w:top w:val="none" w:sz="0" w:space="0" w:color="auto"/>
        <w:left w:val="none" w:sz="0" w:space="0" w:color="auto"/>
        <w:bottom w:val="none" w:sz="0" w:space="0" w:color="auto"/>
        <w:right w:val="none" w:sz="0" w:space="0" w:color="auto"/>
      </w:divBdr>
      <w:divsChild>
        <w:div w:id="173152018">
          <w:marLeft w:val="0"/>
          <w:marRight w:val="0"/>
          <w:marTop w:val="0"/>
          <w:marBottom w:val="0"/>
          <w:divBdr>
            <w:top w:val="none" w:sz="0" w:space="0" w:color="auto"/>
            <w:left w:val="none" w:sz="0" w:space="0" w:color="auto"/>
            <w:bottom w:val="none" w:sz="0" w:space="0" w:color="auto"/>
            <w:right w:val="none" w:sz="0" w:space="0" w:color="auto"/>
          </w:divBdr>
        </w:div>
        <w:div w:id="300623426">
          <w:marLeft w:val="0"/>
          <w:marRight w:val="0"/>
          <w:marTop w:val="0"/>
          <w:marBottom w:val="0"/>
          <w:divBdr>
            <w:top w:val="none" w:sz="0" w:space="0" w:color="auto"/>
            <w:left w:val="none" w:sz="0" w:space="0" w:color="auto"/>
            <w:bottom w:val="none" w:sz="0" w:space="0" w:color="auto"/>
            <w:right w:val="none" w:sz="0" w:space="0" w:color="auto"/>
          </w:divBdr>
        </w:div>
        <w:div w:id="348795580">
          <w:marLeft w:val="0"/>
          <w:marRight w:val="0"/>
          <w:marTop w:val="0"/>
          <w:marBottom w:val="0"/>
          <w:divBdr>
            <w:top w:val="none" w:sz="0" w:space="0" w:color="auto"/>
            <w:left w:val="none" w:sz="0" w:space="0" w:color="auto"/>
            <w:bottom w:val="none" w:sz="0" w:space="0" w:color="auto"/>
            <w:right w:val="none" w:sz="0" w:space="0" w:color="auto"/>
          </w:divBdr>
        </w:div>
        <w:div w:id="375474176">
          <w:marLeft w:val="0"/>
          <w:marRight w:val="0"/>
          <w:marTop w:val="0"/>
          <w:marBottom w:val="0"/>
          <w:divBdr>
            <w:top w:val="none" w:sz="0" w:space="0" w:color="auto"/>
            <w:left w:val="none" w:sz="0" w:space="0" w:color="auto"/>
            <w:bottom w:val="none" w:sz="0" w:space="0" w:color="auto"/>
            <w:right w:val="none" w:sz="0" w:space="0" w:color="auto"/>
          </w:divBdr>
        </w:div>
        <w:div w:id="425154163">
          <w:marLeft w:val="0"/>
          <w:marRight w:val="0"/>
          <w:marTop w:val="0"/>
          <w:marBottom w:val="0"/>
          <w:divBdr>
            <w:top w:val="none" w:sz="0" w:space="0" w:color="auto"/>
            <w:left w:val="none" w:sz="0" w:space="0" w:color="auto"/>
            <w:bottom w:val="none" w:sz="0" w:space="0" w:color="auto"/>
            <w:right w:val="none" w:sz="0" w:space="0" w:color="auto"/>
          </w:divBdr>
        </w:div>
        <w:div w:id="435685193">
          <w:marLeft w:val="0"/>
          <w:marRight w:val="0"/>
          <w:marTop w:val="0"/>
          <w:marBottom w:val="0"/>
          <w:divBdr>
            <w:top w:val="none" w:sz="0" w:space="0" w:color="auto"/>
            <w:left w:val="none" w:sz="0" w:space="0" w:color="auto"/>
            <w:bottom w:val="none" w:sz="0" w:space="0" w:color="auto"/>
            <w:right w:val="none" w:sz="0" w:space="0" w:color="auto"/>
          </w:divBdr>
        </w:div>
        <w:div w:id="522397547">
          <w:marLeft w:val="0"/>
          <w:marRight w:val="0"/>
          <w:marTop w:val="0"/>
          <w:marBottom w:val="0"/>
          <w:divBdr>
            <w:top w:val="none" w:sz="0" w:space="0" w:color="auto"/>
            <w:left w:val="none" w:sz="0" w:space="0" w:color="auto"/>
            <w:bottom w:val="none" w:sz="0" w:space="0" w:color="auto"/>
            <w:right w:val="none" w:sz="0" w:space="0" w:color="auto"/>
          </w:divBdr>
        </w:div>
        <w:div w:id="589121701">
          <w:marLeft w:val="0"/>
          <w:marRight w:val="0"/>
          <w:marTop w:val="0"/>
          <w:marBottom w:val="0"/>
          <w:divBdr>
            <w:top w:val="none" w:sz="0" w:space="0" w:color="auto"/>
            <w:left w:val="none" w:sz="0" w:space="0" w:color="auto"/>
            <w:bottom w:val="none" w:sz="0" w:space="0" w:color="auto"/>
            <w:right w:val="none" w:sz="0" w:space="0" w:color="auto"/>
          </w:divBdr>
        </w:div>
        <w:div w:id="604774943">
          <w:marLeft w:val="0"/>
          <w:marRight w:val="0"/>
          <w:marTop w:val="0"/>
          <w:marBottom w:val="0"/>
          <w:divBdr>
            <w:top w:val="none" w:sz="0" w:space="0" w:color="auto"/>
            <w:left w:val="none" w:sz="0" w:space="0" w:color="auto"/>
            <w:bottom w:val="none" w:sz="0" w:space="0" w:color="auto"/>
            <w:right w:val="none" w:sz="0" w:space="0" w:color="auto"/>
          </w:divBdr>
        </w:div>
        <w:div w:id="804857256">
          <w:marLeft w:val="0"/>
          <w:marRight w:val="0"/>
          <w:marTop w:val="0"/>
          <w:marBottom w:val="0"/>
          <w:divBdr>
            <w:top w:val="none" w:sz="0" w:space="0" w:color="auto"/>
            <w:left w:val="none" w:sz="0" w:space="0" w:color="auto"/>
            <w:bottom w:val="none" w:sz="0" w:space="0" w:color="auto"/>
            <w:right w:val="none" w:sz="0" w:space="0" w:color="auto"/>
          </w:divBdr>
        </w:div>
        <w:div w:id="856969026">
          <w:marLeft w:val="0"/>
          <w:marRight w:val="0"/>
          <w:marTop w:val="0"/>
          <w:marBottom w:val="0"/>
          <w:divBdr>
            <w:top w:val="none" w:sz="0" w:space="0" w:color="auto"/>
            <w:left w:val="none" w:sz="0" w:space="0" w:color="auto"/>
            <w:bottom w:val="none" w:sz="0" w:space="0" w:color="auto"/>
            <w:right w:val="none" w:sz="0" w:space="0" w:color="auto"/>
          </w:divBdr>
        </w:div>
        <w:div w:id="949051576">
          <w:marLeft w:val="0"/>
          <w:marRight w:val="0"/>
          <w:marTop w:val="0"/>
          <w:marBottom w:val="0"/>
          <w:divBdr>
            <w:top w:val="none" w:sz="0" w:space="0" w:color="auto"/>
            <w:left w:val="none" w:sz="0" w:space="0" w:color="auto"/>
            <w:bottom w:val="none" w:sz="0" w:space="0" w:color="auto"/>
            <w:right w:val="none" w:sz="0" w:space="0" w:color="auto"/>
          </w:divBdr>
        </w:div>
        <w:div w:id="1104807318">
          <w:marLeft w:val="0"/>
          <w:marRight w:val="0"/>
          <w:marTop w:val="0"/>
          <w:marBottom w:val="0"/>
          <w:divBdr>
            <w:top w:val="none" w:sz="0" w:space="0" w:color="auto"/>
            <w:left w:val="none" w:sz="0" w:space="0" w:color="auto"/>
            <w:bottom w:val="none" w:sz="0" w:space="0" w:color="auto"/>
            <w:right w:val="none" w:sz="0" w:space="0" w:color="auto"/>
          </w:divBdr>
        </w:div>
        <w:div w:id="1297679421">
          <w:marLeft w:val="0"/>
          <w:marRight w:val="0"/>
          <w:marTop w:val="0"/>
          <w:marBottom w:val="0"/>
          <w:divBdr>
            <w:top w:val="none" w:sz="0" w:space="0" w:color="auto"/>
            <w:left w:val="none" w:sz="0" w:space="0" w:color="auto"/>
            <w:bottom w:val="none" w:sz="0" w:space="0" w:color="auto"/>
            <w:right w:val="none" w:sz="0" w:space="0" w:color="auto"/>
          </w:divBdr>
        </w:div>
        <w:div w:id="1307584482">
          <w:marLeft w:val="0"/>
          <w:marRight w:val="0"/>
          <w:marTop w:val="0"/>
          <w:marBottom w:val="0"/>
          <w:divBdr>
            <w:top w:val="none" w:sz="0" w:space="0" w:color="auto"/>
            <w:left w:val="none" w:sz="0" w:space="0" w:color="auto"/>
            <w:bottom w:val="none" w:sz="0" w:space="0" w:color="auto"/>
            <w:right w:val="none" w:sz="0" w:space="0" w:color="auto"/>
          </w:divBdr>
        </w:div>
        <w:div w:id="1544245179">
          <w:marLeft w:val="0"/>
          <w:marRight w:val="0"/>
          <w:marTop w:val="0"/>
          <w:marBottom w:val="0"/>
          <w:divBdr>
            <w:top w:val="none" w:sz="0" w:space="0" w:color="auto"/>
            <w:left w:val="none" w:sz="0" w:space="0" w:color="auto"/>
            <w:bottom w:val="none" w:sz="0" w:space="0" w:color="auto"/>
            <w:right w:val="none" w:sz="0" w:space="0" w:color="auto"/>
          </w:divBdr>
        </w:div>
        <w:div w:id="1649894189">
          <w:marLeft w:val="0"/>
          <w:marRight w:val="0"/>
          <w:marTop w:val="0"/>
          <w:marBottom w:val="0"/>
          <w:divBdr>
            <w:top w:val="none" w:sz="0" w:space="0" w:color="auto"/>
            <w:left w:val="none" w:sz="0" w:space="0" w:color="auto"/>
            <w:bottom w:val="none" w:sz="0" w:space="0" w:color="auto"/>
            <w:right w:val="none" w:sz="0" w:space="0" w:color="auto"/>
          </w:divBdr>
        </w:div>
        <w:div w:id="1758013591">
          <w:marLeft w:val="0"/>
          <w:marRight w:val="0"/>
          <w:marTop w:val="0"/>
          <w:marBottom w:val="0"/>
          <w:divBdr>
            <w:top w:val="none" w:sz="0" w:space="0" w:color="auto"/>
            <w:left w:val="none" w:sz="0" w:space="0" w:color="auto"/>
            <w:bottom w:val="none" w:sz="0" w:space="0" w:color="auto"/>
            <w:right w:val="none" w:sz="0" w:space="0" w:color="auto"/>
          </w:divBdr>
        </w:div>
        <w:div w:id="1761174899">
          <w:marLeft w:val="0"/>
          <w:marRight w:val="0"/>
          <w:marTop w:val="0"/>
          <w:marBottom w:val="0"/>
          <w:divBdr>
            <w:top w:val="none" w:sz="0" w:space="0" w:color="auto"/>
            <w:left w:val="none" w:sz="0" w:space="0" w:color="auto"/>
            <w:bottom w:val="none" w:sz="0" w:space="0" w:color="auto"/>
            <w:right w:val="none" w:sz="0" w:space="0" w:color="auto"/>
          </w:divBdr>
        </w:div>
        <w:div w:id="214349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BFD3B-8371-46FA-8E82-2A5E7B7F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10741</Words>
  <Characters>61230</Characters>
  <Application>Microsoft Office Word</Application>
  <DocSecurity>0</DocSecurity>
  <Lines>510</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Name of Journal: World Journal of Nephrology</vt:lpstr>
      <vt:lpstr>Name of Journal: World Journal of Nephrology</vt:lpstr>
    </vt:vector>
  </TitlesOfParts>
  <Company>Health Shared Services BC</Company>
  <LinksUpToDate>false</LinksUpToDate>
  <CharactersWithSpaces>71828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Nephrology</dc:title>
  <dc:creator>Jasper</dc:creator>
  <cp:lastModifiedBy>Windows 用户</cp:lastModifiedBy>
  <cp:revision>3</cp:revision>
  <dcterms:created xsi:type="dcterms:W3CDTF">2017-01-13T00:06:00Z</dcterms:created>
  <dcterms:modified xsi:type="dcterms:W3CDTF">2017-01-14T01:38:00Z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citations="10" publications="20"/&gt;&lt;/info&gt;PAPERS2_INFO_END</vt:lpwstr>
  </property>
  <property fmtid="{D5CDD505-2E9C-101B-9397-08002B2CF9AE}" pid="3" name="_NewReviewCycle">
    <vt:lpwstr/>
  </property>
</Properties>
</file>