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266CA" w14:textId="77777777" w:rsidR="005C04C7" w:rsidRPr="00B246B6" w:rsidRDefault="003B6C65" w:rsidP="00C57CCC">
      <w:pPr>
        <w:spacing w:after="0" w:line="360" w:lineRule="auto"/>
        <w:jc w:val="both"/>
        <w:rPr>
          <w:rFonts w:ascii="Book Antiqua" w:hAnsi="Book Antiqua" w:cs="Book Antiqua"/>
          <w:b/>
          <w:bCs/>
          <w:i/>
          <w:sz w:val="24"/>
          <w:szCs w:val="24"/>
          <w:lang w:val="en-US" w:eastAsia="zh-CN"/>
        </w:rPr>
      </w:pPr>
      <w:r w:rsidRPr="00B246B6">
        <w:rPr>
          <w:rFonts w:ascii="Book Antiqua" w:hAnsi="Book Antiqua" w:cs="Book Antiqua"/>
          <w:b/>
          <w:bCs/>
          <w:sz w:val="24"/>
          <w:szCs w:val="24"/>
          <w:lang w:val="en-US" w:eastAsia="zh-CN"/>
        </w:rPr>
        <w:t xml:space="preserve">Name of journal: </w:t>
      </w:r>
      <w:r w:rsidRPr="00B246B6">
        <w:rPr>
          <w:rFonts w:ascii="Book Antiqua" w:hAnsi="Book Antiqua" w:cs="Book Antiqua"/>
          <w:b/>
          <w:bCs/>
          <w:i/>
          <w:sz w:val="24"/>
          <w:szCs w:val="24"/>
          <w:lang w:val="en-US" w:eastAsia="zh-CN"/>
        </w:rPr>
        <w:t xml:space="preserve">World Journal of </w:t>
      </w:r>
      <w:r w:rsidR="00585B62" w:rsidRPr="00B246B6">
        <w:rPr>
          <w:rFonts w:ascii="Book Antiqua" w:hAnsi="Book Antiqua" w:cs="Book Antiqua"/>
          <w:b/>
          <w:bCs/>
          <w:i/>
          <w:sz w:val="24"/>
          <w:szCs w:val="24"/>
          <w:lang w:val="en-US" w:eastAsia="zh-CN"/>
        </w:rPr>
        <w:t>Radiology</w:t>
      </w:r>
    </w:p>
    <w:p w14:paraId="7D3E1936" w14:textId="77777777" w:rsidR="003B6C65" w:rsidRPr="00B246B6" w:rsidRDefault="003B6C65" w:rsidP="00C57CCC">
      <w:pPr>
        <w:spacing w:after="0" w:line="360" w:lineRule="auto"/>
        <w:jc w:val="both"/>
        <w:rPr>
          <w:rFonts w:ascii="Book Antiqua" w:hAnsi="Book Antiqua" w:cs="Book Antiqua"/>
          <w:b/>
          <w:bCs/>
          <w:sz w:val="24"/>
          <w:szCs w:val="24"/>
          <w:lang w:val="en-US" w:eastAsia="zh-CN"/>
        </w:rPr>
      </w:pPr>
      <w:r w:rsidRPr="00B246B6">
        <w:rPr>
          <w:rFonts w:ascii="Book Antiqua" w:hAnsi="Book Antiqua" w:cs="Book Antiqua"/>
          <w:b/>
          <w:bCs/>
          <w:sz w:val="24"/>
          <w:szCs w:val="24"/>
          <w:lang w:val="en-US" w:eastAsia="zh-CN"/>
        </w:rPr>
        <w:t xml:space="preserve">ESPS Manuscript NO: </w:t>
      </w:r>
      <w:r w:rsidR="005C04C7" w:rsidRPr="00B246B6">
        <w:rPr>
          <w:rFonts w:ascii="Book Antiqua" w:hAnsi="Book Antiqua" w:cs="Book Antiqua"/>
          <w:b/>
          <w:bCs/>
          <w:sz w:val="24"/>
          <w:szCs w:val="24"/>
          <w:lang w:val="en-US" w:eastAsia="zh-CN"/>
        </w:rPr>
        <w:t>27666</w:t>
      </w:r>
    </w:p>
    <w:p w14:paraId="356C5916" w14:textId="77777777" w:rsidR="00725360" w:rsidRPr="00B246B6" w:rsidRDefault="00725360" w:rsidP="00C57CCC">
      <w:pPr>
        <w:spacing w:after="0" w:line="360" w:lineRule="auto"/>
        <w:rPr>
          <w:rFonts w:ascii="Book Antiqua" w:hAnsi="Book Antiqua"/>
          <w:b/>
          <w:sz w:val="24"/>
          <w:szCs w:val="24"/>
        </w:rPr>
      </w:pPr>
      <w:r w:rsidRPr="00B246B6">
        <w:rPr>
          <w:rFonts w:ascii="Book Antiqua" w:hAnsi="Book Antiqua"/>
          <w:b/>
          <w:sz w:val="24"/>
          <w:szCs w:val="24"/>
        </w:rPr>
        <w:t>Manuscript Type: Original Article</w:t>
      </w:r>
    </w:p>
    <w:p w14:paraId="65B0CFE5" w14:textId="77777777" w:rsidR="005A1BBF" w:rsidRPr="00B246B6" w:rsidRDefault="005A1BBF" w:rsidP="00C57CCC">
      <w:pPr>
        <w:spacing w:after="0" w:line="360" w:lineRule="auto"/>
        <w:jc w:val="both"/>
        <w:rPr>
          <w:rFonts w:ascii="Book Antiqua" w:hAnsi="Book Antiqua" w:cs="Book Antiqua"/>
          <w:b/>
          <w:bCs/>
          <w:sz w:val="24"/>
          <w:szCs w:val="24"/>
          <w:lang w:val="en-US" w:eastAsia="zh-CN"/>
        </w:rPr>
      </w:pPr>
    </w:p>
    <w:p w14:paraId="525A37E8" w14:textId="3689F60B" w:rsidR="003B6C65" w:rsidRPr="00B246B6" w:rsidRDefault="00585B62" w:rsidP="00C57CCC">
      <w:pPr>
        <w:spacing w:after="0" w:line="360" w:lineRule="auto"/>
        <w:jc w:val="both"/>
        <w:rPr>
          <w:rFonts w:ascii="Book Antiqua" w:hAnsi="Book Antiqua" w:cs="Book Antiqua"/>
          <w:b/>
          <w:bCs/>
          <w:i/>
          <w:sz w:val="24"/>
          <w:szCs w:val="24"/>
          <w:lang w:val="en-US" w:eastAsia="zh-CN"/>
        </w:rPr>
      </w:pPr>
      <w:r w:rsidRPr="00B246B6">
        <w:rPr>
          <w:rFonts w:ascii="Book Antiqua" w:hAnsi="Book Antiqua" w:cs="Book Antiqua"/>
          <w:b/>
          <w:bCs/>
          <w:i/>
          <w:sz w:val="24"/>
          <w:szCs w:val="24"/>
          <w:lang w:val="en-US" w:eastAsia="zh-CN"/>
        </w:rPr>
        <w:t>Retrospective study</w:t>
      </w:r>
    </w:p>
    <w:p w14:paraId="6A1FB2E5" w14:textId="77777777" w:rsidR="003B6C65" w:rsidRPr="00B246B6" w:rsidRDefault="003B6C65" w:rsidP="00C57CCC">
      <w:pPr>
        <w:spacing w:after="0" w:line="360" w:lineRule="auto"/>
        <w:jc w:val="both"/>
        <w:rPr>
          <w:rFonts w:ascii="Book Antiqua" w:hAnsi="Book Antiqua" w:cs="Book Antiqua"/>
          <w:b/>
          <w:bCs/>
          <w:sz w:val="24"/>
          <w:szCs w:val="24"/>
          <w:lang w:val="en-US"/>
        </w:rPr>
      </w:pPr>
    </w:p>
    <w:p w14:paraId="5D1EDF72"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Impact of contrast-enhanced ultrasound in patients with renal function impairment</w:t>
      </w:r>
    </w:p>
    <w:p w14:paraId="046EF39B" w14:textId="77777777" w:rsidR="003B6C65" w:rsidRPr="00B246B6" w:rsidRDefault="003B6C65" w:rsidP="00C57CCC">
      <w:pPr>
        <w:spacing w:after="0" w:line="360" w:lineRule="auto"/>
        <w:jc w:val="both"/>
        <w:rPr>
          <w:rFonts w:ascii="Book Antiqua" w:hAnsi="Book Antiqua" w:cs="Book Antiqua"/>
          <w:b/>
          <w:bCs/>
          <w:sz w:val="24"/>
          <w:szCs w:val="24"/>
          <w:lang w:val="en-US" w:eastAsia="zh-CN"/>
        </w:rPr>
      </w:pPr>
    </w:p>
    <w:p w14:paraId="2F8436F5" w14:textId="7EF6BE1D" w:rsidR="003B6C65" w:rsidRPr="00B246B6" w:rsidRDefault="00634803"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rPr>
        <w:t xml:space="preserve">Girometti R </w:t>
      </w:r>
      <w:r w:rsidRPr="00B246B6">
        <w:rPr>
          <w:rFonts w:ascii="Book Antiqua" w:hAnsi="Book Antiqua" w:cs="Book Antiqua"/>
          <w:i/>
          <w:sz w:val="24"/>
          <w:szCs w:val="24"/>
          <w:lang w:val="en-US"/>
        </w:rPr>
        <w:t>et al</w:t>
      </w:r>
      <w:r w:rsidRPr="00B246B6">
        <w:rPr>
          <w:rFonts w:ascii="Book Antiqua" w:hAnsi="Book Antiqua" w:cs="Book Antiqua"/>
          <w:sz w:val="24"/>
          <w:szCs w:val="24"/>
          <w:lang w:val="en-US"/>
        </w:rPr>
        <w:t>.</w:t>
      </w:r>
      <w:r w:rsidR="00585B62" w:rsidRPr="00B246B6">
        <w:rPr>
          <w:rFonts w:ascii="Book Antiqua" w:hAnsi="Book Antiqua" w:cs="Book Antiqua"/>
          <w:sz w:val="24"/>
          <w:szCs w:val="24"/>
          <w:lang w:val="en-US"/>
        </w:rPr>
        <w:t xml:space="preserve"> </w:t>
      </w:r>
      <w:r w:rsidR="003B6C65" w:rsidRPr="00B246B6">
        <w:rPr>
          <w:rFonts w:ascii="Book Antiqua" w:hAnsi="Book Antiqua" w:cs="Book Antiqua"/>
          <w:sz w:val="24"/>
          <w:szCs w:val="24"/>
          <w:lang w:val="en-US"/>
        </w:rPr>
        <w:t>CEUS in patients with renal failure</w:t>
      </w:r>
    </w:p>
    <w:p w14:paraId="5AE85D9D" w14:textId="77777777" w:rsidR="00634803" w:rsidRPr="00B246B6" w:rsidRDefault="00634803" w:rsidP="00C57CCC">
      <w:pPr>
        <w:spacing w:after="0" w:line="360" w:lineRule="auto"/>
        <w:jc w:val="both"/>
        <w:rPr>
          <w:rFonts w:ascii="Book Antiqua" w:hAnsi="Book Antiqua" w:cs="Book Antiqua"/>
          <w:sz w:val="24"/>
          <w:szCs w:val="24"/>
          <w:lang w:val="en-US" w:eastAsia="zh-CN"/>
        </w:rPr>
      </w:pPr>
    </w:p>
    <w:p w14:paraId="7E3D30F0" w14:textId="77777777" w:rsidR="003B6C65" w:rsidRPr="00B246B6" w:rsidRDefault="003B6C65" w:rsidP="00C57CCC">
      <w:pPr>
        <w:spacing w:after="0" w:line="360" w:lineRule="auto"/>
        <w:jc w:val="both"/>
        <w:rPr>
          <w:rFonts w:ascii="Book Antiqua" w:hAnsi="Book Antiqua" w:cs="Book Antiqua"/>
          <w:b/>
          <w:sz w:val="24"/>
          <w:szCs w:val="24"/>
          <w:lang w:eastAsia="zh-CN"/>
        </w:rPr>
      </w:pPr>
      <w:bookmarkStart w:id="0" w:name="OLE_LINK79"/>
      <w:bookmarkStart w:id="1" w:name="OLE_LINK80"/>
      <w:r w:rsidRPr="00B246B6">
        <w:rPr>
          <w:rFonts w:ascii="Book Antiqua" w:hAnsi="Book Antiqua" w:cs="Book Antiqua"/>
          <w:b/>
          <w:sz w:val="24"/>
          <w:szCs w:val="24"/>
          <w:lang w:eastAsia="zh-CN"/>
        </w:rPr>
        <w:t>Rossano Girometti, Tiziano Stocca, Elena Serena, Antonio Granata, Michele Bertolotto</w:t>
      </w:r>
    </w:p>
    <w:bookmarkEnd w:id="0"/>
    <w:bookmarkEnd w:id="1"/>
    <w:p w14:paraId="1EBACCB4" w14:textId="77777777" w:rsidR="00634803" w:rsidRPr="00B246B6" w:rsidRDefault="00634803" w:rsidP="00C57CCC">
      <w:pPr>
        <w:spacing w:after="0" w:line="360" w:lineRule="auto"/>
        <w:jc w:val="both"/>
        <w:rPr>
          <w:rFonts w:ascii="Book Antiqua" w:hAnsi="Book Antiqua" w:cs="Book Antiqua"/>
          <w:sz w:val="24"/>
          <w:szCs w:val="24"/>
          <w:lang w:eastAsia="zh-CN"/>
        </w:rPr>
      </w:pPr>
    </w:p>
    <w:p w14:paraId="5A4F618E" w14:textId="41EF48BE" w:rsidR="003B6C65" w:rsidRPr="00B246B6" w:rsidRDefault="003B6C65" w:rsidP="00C57CCC">
      <w:pPr>
        <w:spacing w:after="0" w:line="360" w:lineRule="auto"/>
        <w:jc w:val="both"/>
        <w:rPr>
          <w:rFonts w:ascii="Book Antiqua" w:hAnsi="Book Antiqua" w:cs="Book Antiqua"/>
          <w:sz w:val="24"/>
          <w:szCs w:val="24"/>
          <w:lang w:eastAsia="zh-CN"/>
        </w:rPr>
      </w:pPr>
      <w:r w:rsidRPr="00B246B6">
        <w:rPr>
          <w:rFonts w:ascii="Book Antiqua" w:hAnsi="Book Antiqua" w:cs="Book Antiqua"/>
          <w:b/>
          <w:bCs/>
          <w:sz w:val="24"/>
          <w:szCs w:val="24"/>
        </w:rPr>
        <w:t>Rossano Girometti</w:t>
      </w:r>
      <w:r w:rsidRPr="00B246B6">
        <w:rPr>
          <w:rFonts w:ascii="Book Antiqua" w:hAnsi="Book Antiqua" w:cs="Book Antiqua"/>
          <w:sz w:val="24"/>
          <w:szCs w:val="24"/>
        </w:rPr>
        <w:t>,</w:t>
      </w:r>
      <w:r w:rsidRPr="00B246B6">
        <w:rPr>
          <w:rFonts w:ascii="Book Antiqua" w:hAnsi="Book Antiqua" w:cs="Book Antiqua"/>
          <w:b/>
          <w:bCs/>
          <w:sz w:val="24"/>
          <w:szCs w:val="24"/>
        </w:rPr>
        <w:t xml:space="preserve"> </w:t>
      </w:r>
      <w:r w:rsidRPr="00B246B6">
        <w:rPr>
          <w:rFonts w:ascii="Book Antiqua" w:hAnsi="Book Antiqua" w:cs="Book Antiqua"/>
          <w:sz w:val="24"/>
          <w:szCs w:val="24"/>
        </w:rPr>
        <w:t>Institute of Diagnostic Radiology,</w:t>
      </w:r>
      <w:r w:rsidRPr="00B246B6">
        <w:rPr>
          <w:rFonts w:ascii="Book Antiqua" w:hAnsi="Book Antiqua" w:cs="Book Antiqua"/>
          <w:b/>
          <w:bCs/>
          <w:sz w:val="24"/>
          <w:szCs w:val="24"/>
        </w:rPr>
        <w:t xml:space="preserve"> </w:t>
      </w:r>
      <w:r w:rsidRPr="00B246B6">
        <w:rPr>
          <w:rFonts w:ascii="Book Antiqua" w:hAnsi="Book Antiqua" w:cs="Book Antiqua"/>
          <w:sz w:val="24"/>
          <w:szCs w:val="24"/>
        </w:rPr>
        <w:t xml:space="preserve">Department of Medical and Biological Sciences, University of Udine, University Hospital “S. Maria della </w:t>
      </w:r>
      <w:r w:rsidR="00EF27B5" w:rsidRPr="00B246B6">
        <w:rPr>
          <w:rFonts w:ascii="Book Antiqua" w:hAnsi="Book Antiqua" w:cs="Book Antiqua"/>
          <w:sz w:val="24"/>
          <w:szCs w:val="24"/>
        </w:rPr>
        <w:t>Misericordia”,</w:t>
      </w:r>
      <w:r w:rsidR="00EF27B5" w:rsidRPr="00B246B6">
        <w:rPr>
          <w:rFonts w:ascii="Book Antiqua" w:hAnsi="Book Antiqua" w:cs="Book Antiqua"/>
          <w:sz w:val="24"/>
          <w:szCs w:val="24"/>
          <w:lang w:eastAsia="zh-CN"/>
        </w:rPr>
        <w:t xml:space="preserve"> </w:t>
      </w:r>
      <w:r w:rsidRPr="00B246B6">
        <w:rPr>
          <w:rFonts w:ascii="Book Antiqua" w:hAnsi="Book Antiqua" w:cs="Book Antiqua"/>
          <w:sz w:val="24"/>
          <w:szCs w:val="24"/>
        </w:rPr>
        <w:t>33100 Udine</w:t>
      </w:r>
      <w:r w:rsidR="00EF27B5" w:rsidRPr="00B246B6">
        <w:rPr>
          <w:rFonts w:ascii="Book Antiqua" w:hAnsi="Book Antiqua" w:cs="Book Antiqua"/>
          <w:sz w:val="24"/>
          <w:szCs w:val="24"/>
          <w:lang w:eastAsia="zh-CN"/>
        </w:rPr>
        <w:t>,</w:t>
      </w:r>
      <w:r w:rsidR="00EF27B5" w:rsidRPr="00B246B6">
        <w:rPr>
          <w:rFonts w:ascii="Book Antiqua" w:hAnsi="Book Antiqua" w:cs="Book Antiqua"/>
          <w:sz w:val="24"/>
          <w:szCs w:val="24"/>
        </w:rPr>
        <w:t xml:space="preserve"> Italy</w:t>
      </w:r>
    </w:p>
    <w:p w14:paraId="1C9C3940" w14:textId="77777777" w:rsidR="00EC4610" w:rsidRPr="00B246B6" w:rsidRDefault="00EC4610" w:rsidP="00C57CCC">
      <w:pPr>
        <w:spacing w:after="0" w:line="360" w:lineRule="auto"/>
        <w:jc w:val="both"/>
        <w:rPr>
          <w:rFonts w:ascii="Book Antiqua" w:hAnsi="Book Antiqua" w:cs="Book Antiqua"/>
          <w:sz w:val="24"/>
          <w:szCs w:val="24"/>
          <w:lang w:eastAsia="zh-CN"/>
        </w:rPr>
      </w:pPr>
    </w:p>
    <w:p w14:paraId="325E6B3D" w14:textId="6C427C27" w:rsidR="003B6C65" w:rsidRPr="00B246B6" w:rsidRDefault="003B6C65" w:rsidP="00C57CCC">
      <w:pPr>
        <w:spacing w:after="0" w:line="360" w:lineRule="auto"/>
        <w:jc w:val="both"/>
        <w:rPr>
          <w:rFonts w:ascii="Book Antiqua" w:hAnsi="Book Antiqua" w:cs="Book Antiqua"/>
          <w:sz w:val="24"/>
          <w:szCs w:val="24"/>
          <w:lang w:eastAsia="zh-CN"/>
        </w:rPr>
      </w:pPr>
      <w:r w:rsidRPr="00B246B6">
        <w:rPr>
          <w:rFonts w:ascii="Book Antiqua" w:hAnsi="Book Antiqua" w:cs="Book Antiqua"/>
          <w:b/>
          <w:bCs/>
          <w:sz w:val="24"/>
          <w:szCs w:val="24"/>
        </w:rPr>
        <w:t>Tiziano Stocca</w:t>
      </w:r>
      <w:r w:rsidRPr="00B246B6">
        <w:rPr>
          <w:rFonts w:ascii="Book Antiqua" w:hAnsi="Book Antiqua" w:cs="Book Antiqua"/>
          <w:sz w:val="24"/>
          <w:szCs w:val="24"/>
        </w:rPr>
        <w:t>, S.O.C. Radiologia, San Giovanni di Dio Hospital, 34170 Gorizia</w:t>
      </w:r>
      <w:r w:rsidR="00295C96" w:rsidRPr="00B246B6">
        <w:rPr>
          <w:rFonts w:ascii="Book Antiqua" w:hAnsi="Book Antiqua" w:cs="Book Antiqua"/>
          <w:sz w:val="24"/>
          <w:szCs w:val="24"/>
          <w:lang w:eastAsia="zh-CN"/>
        </w:rPr>
        <w:t>,</w:t>
      </w:r>
      <w:r w:rsidR="00295C96" w:rsidRPr="00B246B6">
        <w:rPr>
          <w:rFonts w:ascii="Book Antiqua" w:hAnsi="Book Antiqua" w:cs="Book Antiqua"/>
          <w:sz w:val="24"/>
          <w:szCs w:val="24"/>
        </w:rPr>
        <w:t xml:space="preserve"> Italy</w:t>
      </w:r>
    </w:p>
    <w:p w14:paraId="304D1887" w14:textId="77777777" w:rsidR="00EC4610" w:rsidRPr="00B246B6" w:rsidRDefault="00EC4610" w:rsidP="00C57CCC">
      <w:pPr>
        <w:spacing w:after="0" w:line="360" w:lineRule="auto"/>
        <w:jc w:val="both"/>
        <w:rPr>
          <w:rFonts w:ascii="Book Antiqua" w:hAnsi="Book Antiqua" w:cs="Book Antiqua"/>
          <w:sz w:val="24"/>
          <w:szCs w:val="24"/>
          <w:lang w:eastAsia="zh-CN"/>
        </w:rPr>
      </w:pPr>
    </w:p>
    <w:p w14:paraId="6B44D727" w14:textId="256B1BB1" w:rsidR="003B6C65" w:rsidRPr="00B246B6" w:rsidRDefault="003B6C65" w:rsidP="00C57CCC">
      <w:pPr>
        <w:spacing w:after="0" w:line="360" w:lineRule="auto"/>
        <w:jc w:val="both"/>
        <w:rPr>
          <w:rFonts w:ascii="Book Antiqua" w:hAnsi="Book Antiqua" w:cs="Book Antiqua"/>
          <w:sz w:val="24"/>
          <w:szCs w:val="24"/>
          <w:lang w:eastAsia="zh-CN"/>
        </w:rPr>
      </w:pPr>
      <w:r w:rsidRPr="00B246B6">
        <w:rPr>
          <w:rFonts w:ascii="Book Antiqua" w:hAnsi="Book Antiqua" w:cs="Book Antiqua"/>
          <w:b/>
          <w:bCs/>
          <w:sz w:val="24"/>
          <w:szCs w:val="24"/>
        </w:rPr>
        <w:t>Elena Serena</w:t>
      </w:r>
      <w:r w:rsidRPr="00B246B6">
        <w:rPr>
          <w:rFonts w:ascii="Book Antiqua" w:hAnsi="Book Antiqua" w:cs="Book Antiqua"/>
          <w:sz w:val="24"/>
          <w:szCs w:val="24"/>
        </w:rPr>
        <w:t xml:space="preserve">, </w:t>
      </w:r>
      <w:r w:rsidRPr="00B246B6">
        <w:rPr>
          <w:rFonts w:ascii="Book Antiqua" w:hAnsi="Book Antiqua" w:cs="Book Antiqua"/>
          <w:b/>
          <w:bCs/>
          <w:sz w:val="24"/>
          <w:szCs w:val="24"/>
        </w:rPr>
        <w:t>Michele Bertolotto</w:t>
      </w:r>
      <w:r w:rsidRPr="00B246B6">
        <w:rPr>
          <w:rFonts w:ascii="Book Antiqua" w:hAnsi="Book Antiqua" w:cs="Book Antiqua"/>
          <w:sz w:val="24"/>
          <w:szCs w:val="24"/>
        </w:rPr>
        <w:t>, Department of Radiology, University of Trieste, Cattinara Hospital, Strada di Fiume,</w:t>
      </w:r>
      <w:r w:rsidR="003C71D0" w:rsidRPr="00B246B6">
        <w:rPr>
          <w:rFonts w:ascii="Book Antiqua" w:hAnsi="Book Antiqua" w:cs="Book Antiqua"/>
          <w:sz w:val="24"/>
          <w:szCs w:val="24"/>
          <w:lang w:eastAsia="zh-CN"/>
        </w:rPr>
        <w:t xml:space="preserve"> </w:t>
      </w:r>
      <w:r w:rsidR="003C71D0" w:rsidRPr="00B246B6">
        <w:rPr>
          <w:rFonts w:ascii="Book Antiqua" w:hAnsi="Book Antiqua" w:cs="Book Antiqua"/>
          <w:sz w:val="24"/>
          <w:szCs w:val="24"/>
        </w:rPr>
        <w:t>34149 Trieste</w:t>
      </w:r>
      <w:r w:rsidR="003C71D0" w:rsidRPr="00B246B6">
        <w:rPr>
          <w:rFonts w:ascii="Book Antiqua" w:hAnsi="Book Antiqua" w:cs="Book Antiqua"/>
          <w:sz w:val="24"/>
          <w:szCs w:val="24"/>
          <w:lang w:eastAsia="zh-CN"/>
        </w:rPr>
        <w:t>,</w:t>
      </w:r>
      <w:r w:rsidR="003C71D0" w:rsidRPr="00B246B6">
        <w:rPr>
          <w:rFonts w:ascii="Book Antiqua" w:hAnsi="Book Antiqua" w:cs="Book Antiqua"/>
          <w:sz w:val="24"/>
          <w:szCs w:val="24"/>
        </w:rPr>
        <w:t xml:space="preserve"> Italy</w:t>
      </w:r>
    </w:p>
    <w:p w14:paraId="18B2C970" w14:textId="77777777" w:rsidR="00EC4610" w:rsidRPr="00B246B6" w:rsidRDefault="00EC4610" w:rsidP="00C57CCC">
      <w:pPr>
        <w:spacing w:after="0" w:line="360" w:lineRule="auto"/>
        <w:jc w:val="both"/>
        <w:rPr>
          <w:rFonts w:ascii="Book Antiqua" w:hAnsi="Book Antiqua" w:cs="Book Antiqua"/>
          <w:sz w:val="24"/>
          <w:szCs w:val="24"/>
          <w:lang w:eastAsia="zh-CN"/>
        </w:rPr>
      </w:pPr>
    </w:p>
    <w:p w14:paraId="4AFEE4C2" w14:textId="4A9B958B" w:rsidR="003B6C65" w:rsidRPr="00B246B6" w:rsidRDefault="003B6C65" w:rsidP="00C57CCC">
      <w:pPr>
        <w:spacing w:after="0" w:line="360" w:lineRule="auto"/>
        <w:jc w:val="both"/>
        <w:rPr>
          <w:rFonts w:ascii="Book Antiqua" w:hAnsi="Book Antiqua" w:cs="Book Antiqua"/>
          <w:sz w:val="24"/>
          <w:szCs w:val="24"/>
        </w:rPr>
      </w:pPr>
      <w:r w:rsidRPr="00B246B6">
        <w:rPr>
          <w:rFonts w:ascii="Book Antiqua" w:hAnsi="Book Antiqua" w:cs="Book Antiqua"/>
          <w:b/>
          <w:bCs/>
          <w:sz w:val="24"/>
          <w:szCs w:val="24"/>
        </w:rPr>
        <w:t>Antonio Granata</w:t>
      </w:r>
      <w:r w:rsidRPr="00B246B6">
        <w:rPr>
          <w:rFonts w:ascii="Book Antiqua" w:hAnsi="Book Antiqua" w:cs="Book Antiqua"/>
          <w:sz w:val="24"/>
          <w:szCs w:val="24"/>
        </w:rPr>
        <w:t xml:space="preserve">, UOC di Nefrologia-Dialisi, </w:t>
      </w:r>
      <w:r w:rsidR="00512422" w:rsidRPr="00B246B6">
        <w:rPr>
          <w:rFonts w:ascii="Book Antiqua" w:hAnsi="Book Antiqua" w:cs="Book Antiqua"/>
          <w:sz w:val="24"/>
          <w:szCs w:val="24"/>
        </w:rPr>
        <w:t>“San Giovanni di Dio” Hospital,</w:t>
      </w:r>
      <w:r w:rsidR="00512422" w:rsidRPr="00B246B6">
        <w:rPr>
          <w:rFonts w:ascii="Book Antiqua" w:hAnsi="Book Antiqua" w:cs="Book Antiqua"/>
          <w:sz w:val="24"/>
          <w:szCs w:val="24"/>
          <w:lang w:eastAsia="zh-CN"/>
        </w:rPr>
        <w:t xml:space="preserve"> </w:t>
      </w:r>
      <w:r w:rsidRPr="00B246B6">
        <w:rPr>
          <w:rFonts w:ascii="Book Antiqua" w:hAnsi="Book Antiqua" w:cs="Book Antiqua"/>
          <w:sz w:val="24"/>
          <w:szCs w:val="24"/>
        </w:rPr>
        <w:t>92100 Agrigento</w:t>
      </w:r>
      <w:r w:rsidR="00CA06CD" w:rsidRPr="00B246B6">
        <w:rPr>
          <w:rFonts w:ascii="Book Antiqua" w:hAnsi="Book Antiqua" w:cs="Book Antiqua"/>
          <w:sz w:val="24"/>
          <w:szCs w:val="24"/>
          <w:lang w:eastAsia="zh-CN"/>
        </w:rPr>
        <w:t>,</w:t>
      </w:r>
      <w:r w:rsidR="00CA06CD" w:rsidRPr="00B246B6">
        <w:rPr>
          <w:rFonts w:ascii="Book Antiqua" w:hAnsi="Book Antiqua" w:cs="Book Antiqua"/>
          <w:sz w:val="24"/>
          <w:szCs w:val="24"/>
        </w:rPr>
        <w:t xml:space="preserve"> Italy</w:t>
      </w:r>
    </w:p>
    <w:p w14:paraId="2F9ACE67" w14:textId="77777777" w:rsidR="003B6C65" w:rsidRPr="00B246B6" w:rsidRDefault="003B6C65" w:rsidP="00C57CCC">
      <w:pPr>
        <w:spacing w:after="0" w:line="360" w:lineRule="auto"/>
        <w:jc w:val="both"/>
        <w:rPr>
          <w:rFonts w:ascii="Book Antiqua" w:hAnsi="Book Antiqua" w:cs="Book Antiqua"/>
          <w:sz w:val="24"/>
          <w:szCs w:val="24"/>
        </w:rPr>
      </w:pPr>
    </w:p>
    <w:p w14:paraId="60ED1CC8" w14:textId="77777777" w:rsidR="003B6C65" w:rsidRPr="00B246B6" w:rsidRDefault="003B6C65" w:rsidP="00C57CCC">
      <w:pPr>
        <w:spacing w:after="0" w:line="360" w:lineRule="auto"/>
        <w:jc w:val="both"/>
        <w:rPr>
          <w:rFonts w:ascii="Book Antiqua" w:hAnsi="Book Antiqua" w:cs="Book Antiqua"/>
          <w:sz w:val="24"/>
          <w:szCs w:val="24"/>
        </w:rPr>
      </w:pPr>
      <w:r w:rsidRPr="00B246B6">
        <w:rPr>
          <w:rFonts w:ascii="Book Antiqua" w:hAnsi="Book Antiqua" w:cs="Book Antiqua"/>
          <w:b/>
          <w:bCs/>
          <w:sz w:val="24"/>
          <w:szCs w:val="24"/>
        </w:rPr>
        <w:t xml:space="preserve">Author contributions: </w:t>
      </w:r>
      <w:r w:rsidRPr="00B246B6">
        <w:rPr>
          <w:rFonts w:ascii="Book Antiqua" w:hAnsi="Book Antiqua" w:cs="Book Antiqua"/>
          <w:sz w:val="24"/>
          <w:szCs w:val="24"/>
        </w:rPr>
        <w:t xml:space="preserve">Bertolotto M and Girometti R designed the study; Bertolotto M and Stocca T performed examinations; Bertolotto M, Stocca T, Granata A and Serena E analyzed images; Bertolotto M, Girometti R, Granata A, Stocca T and Serena E analyzed data; Girometti R and Bertolotto M wrote the paper. </w:t>
      </w:r>
    </w:p>
    <w:p w14:paraId="65402B4D" w14:textId="0616A16E" w:rsidR="003B6C65" w:rsidRPr="00B246B6" w:rsidRDefault="003B6C65" w:rsidP="00C57CCC">
      <w:pPr>
        <w:spacing w:after="0" w:line="360" w:lineRule="auto"/>
        <w:jc w:val="both"/>
        <w:rPr>
          <w:rFonts w:ascii="Book Antiqua" w:hAnsi="Book Antiqua" w:cs="Book Antiqua"/>
          <w:sz w:val="24"/>
          <w:szCs w:val="24"/>
          <w:lang w:val="en-US" w:eastAsia="zh-CN"/>
        </w:rPr>
      </w:pPr>
    </w:p>
    <w:p w14:paraId="69CA1132" w14:textId="74C89DD2" w:rsidR="003B6C65" w:rsidRPr="00B246B6" w:rsidRDefault="003B6C65"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b/>
          <w:bCs/>
          <w:sz w:val="24"/>
          <w:szCs w:val="24"/>
          <w:lang w:val="en-US" w:eastAsia="zh-CN"/>
        </w:rPr>
        <w:t>Institutional review board statement</w:t>
      </w:r>
      <w:r w:rsidR="00A94CAE" w:rsidRPr="00B246B6">
        <w:rPr>
          <w:rFonts w:ascii="Book Antiqua" w:hAnsi="Book Antiqua" w:cs="Book Antiqua"/>
          <w:b/>
          <w:bCs/>
          <w:sz w:val="24"/>
          <w:szCs w:val="24"/>
          <w:lang w:val="en-US" w:eastAsia="zh-CN"/>
        </w:rPr>
        <w:t xml:space="preserve">: </w:t>
      </w:r>
      <w:r w:rsidR="00A94CAE" w:rsidRPr="00B246B6">
        <w:rPr>
          <w:rFonts w:ascii="Book Antiqua" w:hAnsi="Book Antiqua" w:cs="Book Antiqua"/>
          <w:sz w:val="24"/>
          <w:szCs w:val="24"/>
          <w:lang w:val="en-US" w:eastAsia="zh-CN"/>
        </w:rPr>
        <w:t>T</w:t>
      </w:r>
      <w:r w:rsidRPr="00B246B6">
        <w:rPr>
          <w:rFonts w:ascii="Book Antiqua" w:hAnsi="Book Antiqua" w:cs="Book Antiqua"/>
          <w:sz w:val="24"/>
          <w:szCs w:val="24"/>
          <w:lang w:val="en-US" w:eastAsia="zh-CN"/>
        </w:rPr>
        <w:t>he study was reviewed and approved by the Ethical Committee of the Friuli Venezia Giulia, Italy.</w:t>
      </w:r>
    </w:p>
    <w:p w14:paraId="08029E68" w14:textId="77777777" w:rsidR="003B6C65" w:rsidRPr="00B246B6" w:rsidRDefault="003B6C65"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b/>
          <w:bCs/>
          <w:sz w:val="24"/>
          <w:szCs w:val="24"/>
          <w:lang w:val="en-US" w:eastAsia="zh-CN"/>
        </w:rPr>
        <w:lastRenderedPageBreak/>
        <w:t xml:space="preserve">Informed consent statement: </w:t>
      </w:r>
      <w:r w:rsidRPr="00B246B6">
        <w:rPr>
          <w:rFonts w:ascii="Book Antiqua" w:hAnsi="Book Antiqua" w:cs="Book Antiqua"/>
          <w:sz w:val="24"/>
          <w:szCs w:val="24"/>
          <w:lang w:val="en-US" w:eastAsia="zh-CN"/>
        </w:rPr>
        <w:t>By Italian regulations (Determinazione Ministeriale 20.03.2008, Delibera del 15.12.2011 del Garante per la Protezione dei Dati personali) informed consent acquisition is waived for retrospective studies.</w:t>
      </w:r>
    </w:p>
    <w:p w14:paraId="691EC904" w14:textId="77777777" w:rsidR="009E476A" w:rsidRPr="00B246B6" w:rsidRDefault="009E476A" w:rsidP="00C57CCC">
      <w:pPr>
        <w:spacing w:after="0" w:line="360" w:lineRule="auto"/>
        <w:jc w:val="both"/>
        <w:rPr>
          <w:rFonts w:ascii="Book Antiqua" w:hAnsi="Book Antiqua" w:cs="Book Antiqua"/>
          <w:sz w:val="24"/>
          <w:szCs w:val="24"/>
          <w:lang w:val="en-US" w:eastAsia="zh-CN"/>
        </w:rPr>
      </w:pPr>
    </w:p>
    <w:p w14:paraId="6783BD31" w14:textId="7A628C4A" w:rsidR="003B6C65" w:rsidRPr="00B246B6" w:rsidRDefault="003B6C65"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b/>
          <w:bCs/>
          <w:sz w:val="24"/>
          <w:szCs w:val="24"/>
          <w:lang w:val="en-US" w:eastAsia="zh-CN"/>
        </w:rPr>
        <w:t xml:space="preserve">Conflict-of-interest statement: </w:t>
      </w:r>
      <w:r w:rsidR="0002003D" w:rsidRPr="00B246B6">
        <w:rPr>
          <w:rFonts w:ascii="Book Antiqua" w:hAnsi="Book Antiqua" w:cs="Book Antiqua"/>
          <w:sz w:val="24"/>
          <w:szCs w:val="24"/>
          <w:lang w:val="en-US" w:eastAsia="zh-CN"/>
        </w:rPr>
        <w:t>N</w:t>
      </w:r>
      <w:r w:rsidRPr="00B246B6">
        <w:rPr>
          <w:rFonts w:ascii="Book Antiqua" w:hAnsi="Book Antiqua" w:cs="Book Antiqua"/>
          <w:sz w:val="24"/>
          <w:szCs w:val="24"/>
          <w:lang w:val="en-US" w:eastAsia="zh-CN"/>
        </w:rPr>
        <w:t>othing to disclose.</w:t>
      </w:r>
    </w:p>
    <w:p w14:paraId="5D129630" w14:textId="77777777" w:rsidR="009E476A" w:rsidRPr="00B246B6" w:rsidRDefault="009E476A" w:rsidP="00C57CCC">
      <w:pPr>
        <w:spacing w:after="0" w:line="360" w:lineRule="auto"/>
        <w:jc w:val="both"/>
        <w:rPr>
          <w:rFonts w:ascii="Book Antiqua" w:hAnsi="Book Antiqua" w:cs="Book Antiqua"/>
          <w:sz w:val="24"/>
          <w:szCs w:val="24"/>
          <w:lang w:val="en-US" w:eastAsia="zh-CN"/>
        </w:rPr>
      </w:pPr>
    </w:p>
    <w:p w14:paraId="43FDF098" w14:textId="77777777" w:rsidR="003B6C65" w:rsidRPr="00B246B6" w:rsidRDefault="003B6C65" w:rsidP="00C57CCC">
      <w:pPr>
        <w:spacing w:after="0" w:line="360" w:lineRule="auto"/>
        <w:jc w:val="both"/>
        <w:rPr>
          <w:rFonts w:ascii="Book Antiqua" w:hAnsi="Book Antiqua" w:cs="Book Antiqua"/>
          <w:sz w:val="24"/>
          <w:szCs w:val="24"/>
          <w:lang w:val="en-GB" w:eastAsia="zh-CN"/>
        </w:rPr>
      </w:pPr>
      <w:r w:rsidRPr="00B246B6">
        <w:rPr>
          <w:rFonts w:ascii="Book Antiqua" w:hAnsi="Book Antiqua" w:cs="Book Antiqua"/>
          <w:b/>
          <w:bCs/>
          <w:sz w:val="24"/>
          <w:szCs w:val="24"/>
          <w:lang w:val="en-US" w:eastAsia="zh-CN"/>
        </w:rPr>
        <w:t>Data sharing statement:</w:t>
      </w:r>
      <w:r w:rsidRPr="00B246B6">
        <w:rPr>
          <w:rFonts w:ascii="Book Antiqua" w:hAnsi="Book Antiqua" w:cs="Book Antiqua"/>
          <w:sz w:val="24"/>
          <w:szCs w:val="24"/>
          <w:lang w:val="en-US" w:eastAsia="zh-CN"/>
        </w:rPr>
        <w:t xml:space="preserve"> No additional data are available.</w:t>
      </w:r>
      <w:r w:rsidRPr="00B246B6">
        <w:rPr>
          <w:rFonts w:ascii="Book Antiqua" w:hAnsi="Book Antiqua" w:cs="Book Antiqua"/>
          <w:sz w:val="24"/>
          <w:szCs w:val="24"/>
          <w:lang w:val="en-GB" w:eastAsia="zh-CN"/>
        </w:rPr>
        <w:t xml:space="preserve"> </w:t>
      </w:r>
    </w:p>
    <w:p w14:paraId="020BA660" w14:textId="77777777" w:rsidR="00B37BA7" w:rsidRPr="00B246B6" w:rsidRDefault="00B37BA7" w:rsidP="00C57CCC">
      <w:pPr>
        <w:spacing w:after="0" w:line="360" w:lineRule="auto"/>
        <w:jc w:val="both"/>
        <w:rPr>
          <w:rFonts w:ascii="Book Antiqua" w:hAnsi="Book Antiqua" w:cs="Book Antiqua"/>
          <w:sz w:val="24"/>
          <w:szCs w:val="24"/>
          <w:lang w:val="en-GB" w:eastAsia="zh-CN"/>
        </w:rPr>
      </w:pPr>
    </w:p>
    <w:p w14:paraId="0003D15D" w14:textId="68640FA3" w:rsidR="00585B62" w:rsidRPr="00B246B6" w:rsidRDefault="00585B62"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b/>
          <w:sz w:val="24"/>
          <w:szCs w:val="24"/>
          <w:lang w:val="en-US" w:eastAsia="zh-CN"/>
        </w:rPr>
        <w:t>Open-Access</w:t>
      </w:r>
      <w:r w:rsidRPr="00B246B6">
        <w:rPr>
          <w:rFonts w:ascii="Book Antiqua" w:hAnsi="Book Antiqua" w:cs="Book Antiqua"/>
          <w:sz w:val="24"/>
          <w:szCs w:val="24"/>
          <w:lang w:val="en-US" w:eastAsia="zh-CN"/>
        </w:rPr>
        <w:t xml:space="preserve">: 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C65E39" w:rsidRPr="00B246B6">
          <w:rPr>
            <w:rStyle w:val="Hyperlink"/>
            <w:rFonts w:ascii="Book Antiqua" w:hAnsi="Book Antiqua" w:cs="Book Antiqua"/>
            <w:color w:val="auto"/>
            <w:sz w:val="24"/>
            <w:szCs w:val="24"/>
            <w:u w:val="none"/>
            <w:lang w:val="en-US" w:eastAsia="zh-CN"/>
          </w:rPr>
          <w:t>http://creativecommons.org/licenses/by-nc/4.0/</w:t>
        </w:r>
      </w:hyperlink>
      <w:r w:rsidRPr="00B246B6">
        <w:rPr>
          <w:rFonts w:ascii="Book Antiqua" w:hAnsi="Book Antiqua" w:cs="Book Antiqua"/>
          <w:sz w:val="24"/>
          <w:szCs w:val="24"/>
          <w:lang w:val="en-US" w:eastAsia="zh-CN"/>
        </w:rPr>
        <w:t xml:space="preserve"> </w:t>
      </w:r>
    </w:p>
    <w:p w14:paraId="08850DAD" w14:textId="77777777" w:rsidR="00C65E39" w:rsidRPr="00B246B6" w:rsidRDefault="00C65E39" w:rsidP="00C57CCC">
      <w:pPr>
        <w:spacing w:after="0" w:line="360" w:lineRule="auto"/>
        <w:jc w:val="both"/>
        <w:rPr>
          <w:rFonts w:ascii="Book Antiqua" w:hAnsi="Book Antiqua" w:cs="Book Antiqua"/>
          <w:sz w:val="24"/>
          <w:szCs w:val="24"/>
          <w:lang w:val="en-US" w:eastAsia="zh-CN"/>
        </w:rPr>
      </w:pPr>
    </w:p>
    <w:p w14:paraId="61B8BFF9" w14:textId="10A83AEF" w:rsidR="00C65E39" w:rsidRPr="00B246B6" w:rsidRDefault="003E1B16" w:rsidP="00C57CCC">
      <w:pPr>
        <w:spacing w:after="0" w:line="360" w:lineRule="auto"/>
        <w:jc w:val="both"/>
        <w:rPr>
          <w:rFonts w:ascii="Book Antiqua" w:hAnsi="Book Antiqua"/>
          <w:sz w:val="24"/>
          <w:szCs w:val="24"/>
          <w:lang w:eastAsia="zh-CN"/>
        </w:rPr>
      </w:pPr>
      <w:r w:rsidRPr="00B246B6">
        <w:rPr>
          <w:rFonts w:ascii="Book Antiqua" w:hAnsi="Book Antiqua"/>
          <w:b/>
          <w:sz w:val="24"/>
          <w:szCs w:val="24"/>
        </w:rPr>
        <w:t xml:space="preserve">Manuscript source: </w:t>
      </w:r>
      <w:r w:rsidRPr="00B246B6">
        <w:rPr>
          <w:rFonts w:ascii="Book Antiqua" w:hAnsi="Book Antiqua"/>
          <w:sz w:val="24"/>
          <w:szCs w:val="24"/>
        </w:rPr>
        <w:t>Invited manuscript</w:t>
      </w:r>
    </w:p>
    <w:p w14:paraId="20E9A331" w14:textId="77777777" w:rsidR="003E1B16" w:rsidRPr="00B246B6" w:rsidRDefault="003E1B16" w:rsidP="00C57CCC">
      <w:pPr>
        <w:spacing w:after="0" w:line="360" w:lineRule="auto"/>
        <w:jc w:val="both"/>
        <w:rPr>
          <w:rFonts w:ascii="Book Antiqua" w:hAnsi="Book Antiqua" w:cs="Book Antiqua"/>
          <w:sz w:val="24"/>
          <w:szCs w:val="24"/>
          <w:lang w:val="en-US" w:eastAsia="zh-CN"/>
        </w:rPr>
      </w:pPr>
    </w:p>
    <w:p w14:paraId="2D837D9B" w14:textId="69A39968" w:rsidR="003B6C65" w:rsidRPr="00B246B6" w:rsidRDefault="003B6C65" w:rsidP="00C57CCC">
      <w:pPr>
        <w:spacing w:after="0" w:line="360" w:lineRule="auto"/>
        <w:jc w:val="both"/>
        <w:rPr>
          <w:rFonts w:ascii="Book Antiqua" w:hAnsi="Book Antiqua" w:cs="Book Antiqua"/>
          <w:sz w:val="24"/>
          <w:szCs w:val="24"/>
          <w:lang w:val="en-US"/>
        </w:rPr>
      </w:pPr>
      <w:r w:rsidRPr="00B246B6">
        <w:rPr>
          <w:rFonts w:ascii="Book Antiqua" w:hAnsi="Book Antiqua" w:cs="Book Antiqua"/>
          <w:b/>
          <w:bCs/>
          <w:sz w:val="24"/>
          <w:szCs w:val="24"/>
          <w:lang w:val="en-GB" w:eastAsia="zh-CN"/>
        </w:rPr>
        <w:t>Correspondence to</w:t>
      </w:r>
      <w:r w:rsidRPr="00B246B6">
        <w:rPr>
          <w:rFonts w:ascii="Book Antiqua" w:hAnsi="Book Antiqua" w:cs="Book Antiqua"/>
          <w:sz w:val="24"/>
          <w:szCs w:val="24"/>
          <w:lang w:val="en-GB" w:eastAsia="zh-CN"/>
        </w:rPr>
        <w:t xml:space="preserve">: </w:t>
      </w:r>
      <w:r w:rsidRPr="00B246B6">
        <w:rPr>
          <w:rFonts w:ascii="Book Antiqua" w:hAnsi="Book Antiqua" w:cs="Book Antiqua"/>
          <w:b/>
          <w:sz w:val="24"/>
          <w:szCs w:val="24"/>
          <w:lang w:val="en-GB"/>
        </w:rPr>
        <w:t>Rossano Girometti, MD,</w:t>
      </w:r>
      <w:r w:rsidRPr="00B246B6">
        <w:rPr>
          <w:rFonts w:ascii="Book Antiqua" w:hAnsi="Book Antiqua" w:cs="Book Antiqua"/>
          <w:sz w:val="24"/>
          <w:szCs w:val="24"/>
          <w:lang w:val="en-GB"/>
        </w:rPr>
        <w:t xml:space="preserve"> Institute of Radiology, Department of Medical and Biological Sciences, University of Udine, University Hospital “S. Maria della Misericordia”, via Colugna,</w:t>
      </w:r>
      <w:r w:rsidR="0000064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GB"/>
        </w:rPr>
        <w:t>33100 Udine</w:t>
      </w:r>
      <w:r w:rsidR="0000064E" w:rsidRPr="00B246B6">
        <w:rPr>
          <w:rFonts w:ascii="Book Antiqua" w:hAnsi="Book Antiqua" w:cs="Book Antiqua"/>
          <w:sz w:val="24"/>
          <w:szCs w:val="24"/>
          <w:lang w:val="en-GB" w:eastAsia="zh-CN"/>
        </w:rPr>
        <w:t xml:space="preserve">, </w:t>
      </w:r>
      <w:r w:rsidR="007247F6" w:rsidRPr="00B246B6">
        <w:rPr>
          <w:rFonts w:ascii="Book Antiqua" w:hAnsi="Book Antiqua" w:cs="Book Antiqua"/>
          <w:sz w:val="24"/>
          <w:szCs w:val="24"/>
          <w:lang w:val="en-GB"/>
        </w:rPr>
        <w:t>Italy</w:t>
      </w:r>
      <w:r w:rsidRPr="00B246B6">
        <w:rPr>
          <w:rFonts w:ascii="Book Antiqua" w:hAnsi="Book Antiqua" w:cs="Book Antiqua"/>
          <w:sz w:val="24"/>
          <w:szCs w:val="24"/>
          <w:lang w:val="en-GB"/>
        </w:rPr>
        <w:t xml:space="preserve">. </w:t>
      </w:r>
      <w:hyperlink r:id="rId10" w:history="1">
        <w:r w:rsidRPr="00B246B6">
          <w:rPr>
            <w:rStyle w:val="Hyperlink"/>
            <w:rFonts w:ascii="Book Antiqua" w:hAnsi="Book Antiqua" w:cs="Book Antiqua"/>
            <w:color w:val="auto"/>
            <w:sz w:val="24"/>
            <w:szCs w:val="24"/>
            <w:u w:val="none"/>
            <w:lang w:val="en-US"/>
          </w:rPr>
          <w:t>rgirometti@sirm.org</w:t>
        </w:r>
      </w:hyperlink>
    </w:p>
    <w:p w14:paraId="28766C38" w14:textId="77777777" w:rsidR="003B6C65" w:rsidRPr="00B246B6" w:rsidRDefault="003B6C65" w:rsidP="00C57CCC">
      <w:pPr>
        <w:spacing w:after="0" w:line="360" w:lineRule="auto"/>
        <w:jc w:val="both"/>
        <w:rPr>
          <w:rFonts w:ascii="Book Antiqua" w:hAnsi="Book Antiqua" w:cs="Book Antiqua"/>
          <w:sz w:val="24"/>
          <w:szCs w:val="24"/>
          <w:lang w:val="en-GB"/>
        </w:rPr>
      </w:pPr>
      <w:r w:rsidRPr="00B246B6">
        <w:rPr>
          <w:rFonts w:ascii="Book Antiqua" w:hAnsi="Book Antiqua" w:cs="Book Antiqua"/>
          <w:b/>
          <w:bCs/>
          <w:sz w:val="24"/>
          <w:szCs w:val="24"/>
          <w:lang w:val="en-GB"/>
        </w:rPr>
        <w:t>Telephone:</w:t>
      </w:r>
      <w:r w:rsidRPr="00B246B6">
        <w:rPr>
          <w:rFonts w:ascii="Book Antiqua" w:hAnsi="Book Antiqua" w:cs="Book Antiqua"/>
          <w:sz w:val="24"/>
          <w:szCs w:val="24"/>
          <w:lang w:val="en-GB"/>
        </w:rPr>
        <w:t xml:space="preserve"> </w:t>
      </w:r>
      <w:r w:rsidRPr="00B246B6">
        <w:rPr>
          <w:rFonts w:ascii="Book Antiqua" w:hAnsi="Book Antiqua" w:cs="Book Antiqua"/>
          <w:sz w:val="24"/>
          <w:szCs w:val="24"/>
          <w:lang w:val="en-US"/>
        </w:rPr>
        <w:t>+39-0432-559266</w:t>
      </w:r>
      <w:r w:rsidRPr="00B246B6">
        <w:rPr>
          <w:rFonts w:ascii="Book Antiqua" w:hAnsi="Book Antiqua" w:cs="Book Antiqua"/>
          <w:sz w:val="24"/>
          <w:szCs w:val="24"/>
          <w:lang w:val="en-GB"/>
        </w:rPr>
        <w:t xml:space="preserve"> </w:t>
      </w:r>
    </w:p>
    <w:p w14:paraId="62225787" w14:textId="77777777" w:rsidR="003B6C65" w:rsidRPr="00B246B6" w:rsidRDefault="003B6C65" w:rsidP="00C57CCC">
      <w:pPr>
        <w:spacing w:after="0" w:line="360" w:lineRule="auto"/>
        <w:jc w:val="both"/>
        <w:rPr>
          <w:rFonts w:ascii="Book Antiqua" w:hAnsi="Book Antiqua" w:cs="Book Antiqua"/>
          <w:sz w:val="24"/>
          <w:szCs w:val="24"/>
          <w:lang w:val="en-GB"/>
        </w:rPr>
      </w:pPr>
      <w:r w:rsidRPr="00B246B6">
        <w:rPr>
          <w:rFonts w:ascii="Book Antiqua" w:hAnsi="Book Antiqua" w:cs="Book Antiqua"/>
          <w:b/>
          <w:bCs/>
          <w:sz w:val="24"/>
          <w:szCs w:val="24"/>
          <w:lang w:val="en-GB"/>
        </w:rPr>
        <w:t>Fax:</w:t>
      </w:r>
      <w:r w:rsidRPr="00B246B6">
        <w:rPr>
          <w:rFonts w:ascii="Book Antiqua" w:hAnsi="Book Antiqua" w:cs="Book Antiqua"/>
          <w:sz w:val="24"/>
          <w:szCs w:val="24"/>
          <w:lang w:val="en-GB"/>
        </w:rPr>
        <w:t xml:space="preserve"> </w:t>
      </w:r>
      <w:r w:rsidRPr="00B246B6">
        <w:rPr>
          <w:rFonts w:ascii="Book Antiqua" w:hAnsi="Book Antiqua" w:cs="Book Antiqua"/>
          <w:sz w:val="24"/>
          <w:szCs w:val="24"/>
          <w:lang w:val="en-US"/>
        </w:rPr>
        <w:t>+39-0432-559867</w:t>
      </w:r>
    </w:p>
    <w:p w14:paraId="5A84BA8F" w14:textId="77777777" w:rsidR="003B6C65" w:rsidRPr="00B246B6" w:rsidRDefault="003B6C65" w:rsidP="00C57CCC">
      <w:pPr>
        <w:spacing w:after="0" w:line="360" w:lineRule="auto"/>
        <w:jc w:val="both"/>
        <w:rPr>
          <w:rFonts w:ascii="Book Antiqua" w:hAnsi="Book Antiqua" w:cs="Book Antiqua"/>
          <w:b/>
          <w:bCs/>
          <w:sz w:val="24"/>
          <w:szCs w:val="24"/>
          <w:lang w:val="en-US"/>
        </w:rPr>
      </w:pPr>
    </w:p>
    <w:p w14:paraId="089C4A93" w14:textId="77777777" w:rsidR="00147EBF" w:rsidRPr="00B246B6" w:rsidRDefault="00147EBF" w:rsidP="00147EBF">
      <w:pPr>
        <w:pStyle w:val="PlainText"/>
        <w:spacing w:line="360" w:lineRule="auto"/>
        <w:rPr>
          <w:rFonts w:ascii="Book Antiqua" w:hAnsi="Book Antiqua" w:cs="Times New Roman"/>
          <w:b/>
          <w:sz w:val="24"/>
          <w:szCs w:val="24"/>
        </w:rPr>
      </w:pPr>
      <w:bookmarkStart w:id="2" w:name="OLE_LINK284"/>
      <w:bookmarkStart w:id="3" w:name="OLE_LINK285"/>
      <w:r w:rsidRPr="00B246B6">
        <w:rPr>
          <w:rFonts w:ascii="Book Antiqua" w:hAnsi="Book Antiqua" w:cs="Times New Roman"/>
          <w:b/>
          <w:sz w:val="24"/>
          <w:szCs w:val="24"/>
        </w:rPr>
        <w:t>Received:</w:t>
      </w:r>
      <w:r w:rsidRPr="00B246B6">
        <w:rPr>
          <w:rFonts w:ascii="Book Antiqua" w:hAnsi="Book Antiqua" w:cs="Times New Roman"/>
          <w:sz w:val="24"/>
          <w:szCs w:val="24"/>
        </w:rPr>
        <w:t xml:space="preserve"> June 11, 2016</w:t>
      </w:r>
    </w:p>
    <w:p w14:paraId="6EE594C9" w14:textId="104F5EEE" w:rsidR="00147EBF" w:rsidRPr="00B246B6" w:rsidRDefault="00147EBF" w:rsidP="00147EBF">
      <w:pPr>
        <w:pStyle w:val="PlainText"/>
        <w:spacing w:line="360" w:lineRule="auto"/>
        <w:rPr>
          <w:rFonts w:ascii="Book Antiqua" w:hAnsi="Book Antiqua" w:cs="Times New Roman"/>
          <w:b/>
          <w:sz w:val="24"/>
          <w:szCs w:val="24"/>
        </w:rPr>
      </w:pPr>
      <w:r w:rsidRPr="00B246B6">
        <w:rPr>
          <w:rFonts w:ascii="Book Antiqua" w:hAnsi="Book Antiqua" w:cs="Times New Roman"/>
          <w:b/>
          <w:sz w:val="24"/>
          <w:szCs w:val="24"/>
        </w:rPr>
        <w:t>Peer-review started:</w:t>
      </w:r>
      <w:r w:rsidRPr="00B246B6">
        <w:rPr>
          <w:rFonts w:ascii="Book Antiqua" w:hAnsi="Book Antiqua" w:cs="Times New Roman"/>
          <w:sz w:val="24"/>
          <w:szCs w:val="24"/>
        </w:rPr>
        <w:t xml:space="preserve"> June 1</w:t>
      </w:r>
      <w:r w:rsidR="00273364" w:rsidRPr="00B246B6">
        <w:rPr>
          <w:rFonts w:ascii="Book Antiqua" w:hAnsi="Book Antiqua" w:cs="Times New Roman"/>
          <w:sz w:val="24"/>
          <w:szCs w:val="24"/>
          <w:lang w:eastAsia="zh-CN"/>
        </w:rPr>
        <w:t>5</w:t>
      </w:r>
      <w:r w:rsidRPr="00B246B6">
        <w:rPr>
          <w:rFonts w:ascii="Book Antiqua" w:hAnsi="Book Antiqua" w:cs="Times New Roman"/>
          <w:sz w:val="24"/>
          <w:szCs w:val="24"/>
        </w:rPr>
        <w:t>, 2016</w:t>
      </w:r>
    </w:p>
    <w:p w14:paraId="7889C360" w14:textId="1D971EDE" w:rsidR="00147EBF" w:rsidRPr="00B246B6" w:rsidRDefault="00147EBF" w:rsidP="00147EBF">
      <w:pPr>
        <w:pStyle w:val="PlainText"/>
        <w:spacing w:line="360" w:lineRule="auto"/>
        <w:rPr>
          <w:rFonts w:ascii="Book Antiqua" w:hAnsi="Book Antiqua" w:cs="Times New Roman"/>
          <w:b/>
          <w:sz w:val="24"/>
          <w:szCs w:val="24"/>
        </w:rPr>
      </w:pPr>
      <w:r w:rsidRPr="00B246B6">
        <w:rPr>
          <w:rFonts w:ascii="Book Antiqua" w:hAnsi="Book Antiqua" w:cs="Times New Roman"/>
          <w:b/>
          <w:sz w:val="24"/>
          <w:szCs w:val="24"/>
        </w:rPr>
        <w:t>First decision:</w:t>
      </w:r>
      <w:r w:rsidRPr="00B246B6">
        <w:rPr>
          <w:rFonts w:ascii="Book Antiqua" w:hAnsi="Book Antiqua" w:cs="Times New Roman"/>
          <w:sz w:val="24"/>
          <w:szCs w:val="24"/>
        </w:rPr>
        <w:t xml:space="preserve"> </w:t>
      </w:r>
      <w:r w:rsidR="00EA4201" w:rsidRPr="00B246B6">
        <w:rPr>
          <w:rFonts w:ascii="Book Antiqua" w:hAnsi="Book Antiqua" w:cs="Times New Roman"/>
          <w:sz w:val="24"/>
          <w:szCs w:val="24"/>
          <w:lang w:eastAsia="zh-CN"/>
        </w:rPr>
        <w:t>July</w:t>
      </w:r>
      <w:r w:rsidRPr="00B246B6">
        <w:rPr>
          <w:rFonts w:ascii="Book Antiqua" w:hAnsi="Book Antiqua" w:cs="Times New Roman"/>
          <w:sz w:val="24"/>
          <w:szCs w:val="24"/>
        </w:rPr>
        <w:t xml:space="preserve"> </w:t>
      </w:r>
      <w:r w:rsidR="00EA4201" w:rsidRPr="00B246B6">
        <w:rPr>
          <w:rFonts w:ascii="Book Antiqua" w:hAnsi="Book Antiqua" w:cs="Times New Roman"/>
          <w:sz w:val="24"/>
          <w:szCs w:val="24"/>
          <w:lang w:eastAsia="zh-CN"/>
        </w:rPr>
        <w:t>29</w:t>
      </w:r>
      <w:r w:rsidRPr="00B246B6">
        <w:rPr>
          <w:rFonts w:ascii="Book Antiqua" w:hAnsi="Book Antiqua" w:cs="Times New Roman"/>
          <w:sz w:val="24"/>
          <w:szCs w:val="24"/>
        </w:rPr>
        <w:t>, 2016</w:t>
      </w:r>
    </w:p>
    <w:p w14:paraId="58192A7E" w14:textId="1C43BCA7" w:rsidR="00147EBF" w:rsidRPr="00B246B6" w:rsidRDefault="00147EBF" w:rsidP="00147EBF">
      <w:pPr>
        <w:pStyle w:val="PlainText"/>
        <w:spacing w:line="360" w:lineRule="auto"/>
        <w:rPr>
          <w:rFonts w:ascii="Book Antiqua" w:hAnsi="Book Antiqua" w:cs="Times New Roman"/>
          <w:b/>
          <w:sz w:val="24"/>
          <w:szCs w:val="24"/>
        </w:rPr>
      </w:pPr>
      <w:r w:rsidRPr="00B246B6">
        <w:rPr>
          <w:rFonts w:ascii="Book Antiqua" w:hAnsi="Book Antiqua" w:cs="Times New Roman"/>
          <w:b/>
          <w:sz w:val="24"/>
          <w:szCs w:val="24"/>
        </w:rPr>
        <w:t xml:space="preserve">Revised: </w:t>
      </w:r>
      <w:r w:rsidRPr="00B246B6">
        <w:rPr>
          <w:rFonts w:ascii="Book Antiqua" w:hAnsi="Book Antiqua" w:cs="Times New Roman"/>
          <w:sz w:val="24"/>
          <w:szCs w:val="24"/>
        </w:rPr>
        <w:t xml:space="preserve">September </w:t>
      </w:r>
      <w:r w:rsidR="00EA4201" w:rsidRPr="00B246B6">
        <w:rPr>
          <w:rFonts w:ascii="Book Antiqua" w:hAnsi="Book Antiqua" w:cs="Times New Roman"/>
          <w:sz w:val="24"/>
          <w:szCs w:val="24"/>
          <w:lang w:eastAsia="zh-CN"/>
        </w:rPr>
        <w:t>18</w:t>
      </w:r>
      <w:r w:rsidRPr="00B246B6">
        <w:rPr>
          <w:rFonts w:ascii="Book Antiqua" w:hAnsi="Book Antiqua" w:cs="Times New Roman"/>
          <w:sz w:val="24"/>
          <w:szCs w:val="24"/>
        </w:rPr>
        <w:t>, 2016</w:t>
      </w:r>
    </w:p>
    <w:p w14:paraId="587FFDE9" w14:textId="2C677BDA" w:rsidR="00147EBF" w:rsidRPr="009E396A" w:rsidRDefault="00147EBF" w:rsidP="009E396A">
      <w:pPr>
        <w:rPr>
          <w:rFonts w:ascii="Book Antiqua" w:hAnsi="Book Antiqua"/>
          <w:iCs/>
          <w:sz w:val="24"/>
        </w:rPr>
      </w:pPr>
      <w:r w:rsidRPr="00B246B6">
        <w:rPr>
          <w:rFonts w:ascii="Book Antiqua" w:hAnsi="Book Antiqua" w:cs="Times New Roman"/>
          <w:b/>
          <w:sz w:val="24"/>
          <w:szCs w:val="24"/>
        </w:rPr>
        <w:t xml:space="preserve">Accepted: </w:t>
      </w:r>
      <w:r w:rsidR="009E396A">
        <w:rPr>
          <w:rStyle w:val="Emphasis"/>
        </w:rPr>
        <w:t>November</w:t>
      </w:r>
      <w:r w:rsidR="009E396A">
        <w:rPr>
          <w:rStyle w:val="Emphasis"/>
          <w:rFonts w:ascii="宋体" w:hAnsi="宋体" w:cs="宋体" w:hint="eastAsia"/>
        </w:rPr>
        <w:t xml:space="preserve"> 1</w:t>
      </w:r>
      <w:r w:rsidR="009E396A" w:rsidRPr="00235CD4">
        <w:rPr>
          <w:rStyle w:val="Emphasis"/>
        </w:rPr>
        <w:t>,</w:t>
      </w:r>
      <w:r w:rsidR="009E396A">
        <w:rPr>
          <w:rStyle w:val="Emphasis"/>
        </w:rPr>
        <w:t xml:space="preserve"> 2016</w:t>
      </w:r>
      <w:bookmarkStart w:id="4" w:name="_GoBack"/>
      <w:bookmarkEnd w:id="4"/>
    </w:p>
    <w:p w14:paraId="413CC131" w14:textId="77777777" w:rsidR="00147EBF" w:rsidRPr="00B246B6" w:rsidRDefault="00147EBF" w:rsidP="00147EBF">
      <w:pPr>
        <w:pStyle w:val="PlainText"/>
        <w:spacing w:line="360" w:lineRule="auto"/>
        <w:rPr>
          <w:rFonts w:ascii="Book Antiqua" w:hAnsi="Book Antiqua" w:cs="Times New Roman"/>
          <w:b/>
          <w:sz w:val="24"/>
          <w:szCs w:val="24"/>
        </w:rPr>
      </w:pPr>
      <w:r w:rsidRPr="00B246B6">
        <w:rPr>
          <w:rFonts w:ascii="Book Antiqua" w:hAnsi="Book Antiqua" w:cs="Times New Roman"/>
          <w:b/>
          <w:sz w:val="24"/>
          <w:szCs w:val="24"/>
        </w:rPr>
        <w:t xml:space="preserve">Article in press: </w:t>
      </w:r>
    </w:p>
    <w:p w14:paraId="52CC3DB5" w14:textId="77777777" w:rsidR="00147EBF" w:rsidRPr="00B246B6" w:rsidRDefault="00147EBF" w:rsidP="00147EBF">
      <w:pPr>
        <w:pStyle w:val="PlainText"/>
        <w:spacing w:line="360" w:lineRule="auto"/>
        <w:rPr>
          <w:rFonts w:ascii="Book Antiqua" w:hAnsi="Book Antiqua" w:cs="Times New Roman"/>
          <w:b/>
          <w:sz w:val="24"/>
          <w:szCs w:val="24"/>
        </w:rPr>
      </w:pPr>
      <w:r w:rsidRPr="00B246B6">
        <w:rPr>
          <w:rFonts w:ascii="Book Antiqua" w:hAnsi="Book Antiqua" w:cs="Times New Roman"/>
          <w:b/>
          <w:sz w:val="24"/>
          <w:szCs w:val="24"/>
        </w:rPr>
        <w:t xml:space="preserve">Published online: </w:t>
      </w:r>
    </w:p>
    <w:bookmarkEnd w:id="2"/>
    <w:bookmarkEnd w:id="3"/>
    <w:p w14:paraId="30F5E04F" w14:textId="77777777" w:rsidR="003B6C65" w:rsidRPr="00B246B6" w:rsidRDefault="003B6C65" w:rsidP="00C57CCC">
      <w:pPr>
        <w:spacing w:after="0" w:line="360" w:lineRule="auto"/>
        <w:jc w:val="both"/>
        <w:rPr>
          <w:rFonts w:ascii="Book Antiqua" w:hAnsi="Book Antiqua" w:cs="Book Antiqua"/>
          <w:b/>
          <w:bCs/>
          <w:sz w:val="24"/>
          <w:szCs w:val="24"/>
        </w:rPr>
      </w:pPr>
    </w:p>
    <w:p w14:paraId="3D7CD349" w14:textId="6DA92037" w:rsidR="003B6C65" w:rsidRPr="00B246B6" w:rsidRDefault="00EA4201" w:rsidP="00C57CCC">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br w:type="page"/>
      </w:r>
      <w:r w:rsidR="003B6C65" w:rsidRPr="00B246B6">
        <w:rPr>
          <w:rFonts w:ascii="Book Antiqua" w:hAnsi="Book Antiqua" w:cs="Book Antiqua"/>
          <w:b/>
          <w:bCs/>
          <w:sz w:val="24"/>
          <w:szCs w:val="24"/>
          <w:lang w:val="en-US"/>
        </w:rPr>
        <w:lastRenderedPageBreak/>
        <w:t>Abstract:</w:t>
      </w:r>
    </w:p>
    <w:p w14:paraId="7C13C7E6" w14:textId="77777777" w:rsidR="00727A0A" w:rsidRPr="00B246B6" w:rsidRDefault="003B6C65" w:rsidP="00C57CCC">
      <w:pPr>
        <w:widowControl w:val="0"/>
        <w:autoSpaceDE w:val="0"/>
        <w:autoSpaceDN w:val="0"/>
        <w:adjustRightInd w:val="0"/>
        <w:spacing w:after="0" w:line="360" w:lineRule="auto"/>
        <w:jc w:val="both"/>
        <w:rPr>
          <w:rFonts w:ascii="Book Antiqua" w:hAnsi="Book Antiqua" w:cs="Book Antiqua"/>
          <w:b/>
          <w:bCs/>
          <w:i/>
          <w:sz w:val="24"/>
          <w:szCs w:val="24"/>
          <w:lang w:val="en-GB" w:eastAsia="zh-CN"/>
        </w:rPr>
      </w:pPr>
      <w:r w:rsidRPr="00B246B6">
        <w:rPr>
          <w:rFonts w:ascii="Book Antiqua" w:hAnsi="Book Antiqua" w:cs="Book Antiqua"/>
          <w:b/>
          <w:bCs/>
          <w:i/>
          <w:sz w:val="24"/>
          <w:szCs w:val="24"/>
          <w:lang w:val="en-GB"/>
        </w:rPr>
        <w:t>AIM</w:t>
      </w:r>
    </w:p>
    <w:p w14:paraId="78C267D7" w14:textId="5335A1E5" w:rsidR="003B6C65" w:rsidRPr="00B246B6" w:rsidRDefault="003B6C65" w:rsidP="00C57CCC">
      <w:pPr>
        <w:widowControl w:val="0"/>
        <w:autoSpaceDE w:val="0"/>
        <w:autoSpaceDN w:val="0"/>
        <w:adjustRightInd w:val="0"/>
        <w:spacing w:after="0" w:line="360" w:lineRule="auto"/>
        <w:jc w:val="both"/>
        <w:rPr>
          <w:rFonts w:ascii="Book Antiqua" w:hAnsi="Book Antiqua" w:cs="Book Antiqua"/>
          <w:sz w:val="24"/>
          <w:szCs w:val="24"/>
          <w:lang w:val="en-GB" w:eastAsia="zh-CN"/>
        </w:rPr>
      </w:pPr>
      <w:r w:rsidRPr="00B246B6">
        <w:rPr>
          <w:rFonts w:ascii="Book Antiqua" w:hAnsi="Book Antiqua" w:cs="Book Antiqua"/>
          <w:sz w:val="24"/>
          <w:szCs w:val="24"/>
          <w:lang w:val="en-GB"/>
        </w:rPr>
        <w:t>To investigate the role of contrast enhanced ultrasound (CEUS) in evaluating patients with renal function impairment (RFI) showing</w:t>
      </w:r>
      <w:r w:rsidR="0002003D">
        <w:rPr>
          <w:rFonts w:ascii="Book Antiqua" w:hAnsi="Book Antiqua" w:cs="Book Antiqua" w:hint="eastAsia"/>
          <w:sz w:val="24"/>
          <w:szCs w:val="24"/>
          <w:lang w:val="en-GB" w:eastAsia="zh-CN"/>
        </w:rPr>
        <w:t>:</w:t>
      </w:r>
      <w:r w:rsidRPr="00B246B6">
        <w:rPr>
          <w:rFonts w:ascii="Book Antiqua" w:hAnsi="Book Antiqua" w:cs="Book Antiqua"/>
          <w:sz w:val="24"/>
          <w:szCs w:val="24"/>
          <w:lang w:val="en-GB"/>
        </w:rPr>
        <w:t xml:space="preserve"> (</w:t>
      </w:r>
      <w:r w:rsidR="001401C0" w:rsidRPr="00B246B6">
        <w:rPr>
          <w:rFonts w:ascii="Book Antiqua" w:hAnsi="Book Antiqua" w:cs="Book Antiqua"/>
          <w:sz w:val="24"/>
          <w:szCs w:val="24"/>
          <w:lang w:val="en-GB" w:eastAsia="zh-CN"/>
        </w:rPr>
        <w:t>1</w:t>
      </w:r>
      <w:r w:rsidRPr="00B246B6">
        <w:rPr>
          <w:rFonts w:ascii="Book Antiqua" w:hAnsi="Book Antiqua" w:cs="Book Antiqua"/>
          <w:sz w:val="24"/>
          <w:szCs w:val="24"/>
          <w:lang w:val="en-GB"/>
        </w:rPr>
        <w:t>) acute renal failure (ARF) of suspicious vascular origin</w:t>
      </w:r>
      <w:r w:rsidR="0002003D">
        <w:rPr>
          <w:rFonts w:ascii="Book Antiqua" w:hAnsi="Book Antiqua" w:cs="Book Antiqua" w:hint="eastAsia"/>
          <w:sz w:val="24"/>
          <w:szCs w:val="24"/>
          <w:lang w:val="en-GB" w:eastAsia="zh-CN"/>
        </w:rPr>
        <w:t>;</w:t>
      </w:r>
      <w:r w:rsidRPr="00B246B6">
        <w:rPr>
          <w:rFonts w:ascii="Book Antiqua" w:hAnsi="Book Antiqua" w:cs="Book Antiqua"/>
          <w:sz w:val="24"/>
          <w:szCs w:val="24"/>
          <w:lang w:val="en-GB"/>
        </w:rPr>
        <w:t xml:space="preserve"> or (</w:t>
      </w:r>
      <w:r w:rsidR="001401C0" w:rsidRPr="00B246B6">
        <w:rPr>
          <w:rFonts w:ascii="Book Antiqua" w:hAnsi="Book Antiqua" w:cs="Book Antiqua"/>
          <w:sz w:val="24"/>
          <w:szCs w:val="24"/>
          <w:lang w:val="en-GB" w:eastAsia="zh-CN"/>
        </w:rPr>
        <w:t>2</w:t>
      </w:r>
      <w:r w:rsidR="00985325">
        <w:rPr>
          <w:rFonts w:ascii="Book Antiqua" w:hAnsi="Book Antiqua" w:cs="Book Antiqua"/>
          <w:sz w:val="24"/>
          <w:szCs w:val="24"/>
          <w:lang w:val="en-GB"/>
        </w:rPr>
        <w:t>) suspicious renal lesions.</w:t>
      </w:r>
    </w:p>
    <w:p w14:paraId="2C93211C" w14:textId="77777777" w:rsidR="00CC4090" w:rsidRPr="0002003D" w:rsidRDefault="00CC4090" w:rsidP="00C57CCC">
      <w:pPr>
        <w:widowControl w:val="0"/>
        <w:autoSpaceDE w:val="0"/>
        <w:autoSpaceDN w:val="0"/>
        <w:adjustRightInd w:val="0"/>
        <w:spacing w:after="0" w:line="360" w:lineRule="auto"/>
        <w:jc w:val="both"/>
        <w:rPr>
          <w:rFonts w:ascii="Book Antiqua" w:hAnsi="Book Antiqua" w:cs="Book Antiqua"/>
          <w:sz w:val="24"/>
          <w:szCs w:val="24"/>
          <w:lang w:val="en-GB" w:eastAsia="zh-CN"/>
        </w:rPr>
      </w:pPr>
    </w:p>
    <w:p w14:paraId="367E030A" w14:textId="77777777" w:rsidR="00CC4090" w:rsidRPr="00B246B6" w:rsidRDefault="003B6C65" w:rsidP="00C57CCC">
      <w:pPr>
        <w:widowControl w:val="0"/>
        <w:autoSpaceDE w:val="0"/>
        <w:autoSpaceDN w:val="0"/>
        <w:adjustRightInd w:val="0"/>
        <w:spacing w:after="0" w:line="360" w:lineRule="auto"/>
        <w:jc w:val="both"/>
        <w:rPr>
          <w:rFonts w:ascii="Book Antiqua" w:hAnsi="Book Antiqua" w:cs="Book Antiqua"/>
          <w:b/>
          <w:bCs/>
          <w:i/>
          <w:sz w:val="24"/>
          <w:szCs w:val="24"/>
          <w:lang w:val="en-GB" w:eastAsia="zh-CN"/>
        </w:rPr>
      </w:pPr>
      <w:r w:rsidRPr="00B246B6">
        <w:rPr>
          <w:rFonts w:ascii="Book Antiqua" w:hAnsi="Book Antiqua" w:cs="Book Antiqua"/>
          <w:b/>
          <w:bCs/>
          <w:i/>
          <w:sz w:val="24"/>
          <w:szCs w:val="24"/>
          <w:lang w:val="en-GB"/>
        </w:rPr>
        <w:t>METHODS</w:t>
      </w:r>
    </w:p>
    <w:p w14:paraId="55169884" w14:textId="42D4E564" w:rsidR="003B6C65" w:rsidRPr="00B246B6" w:rsidRDefault="003B6C65" w:rsidP="00C57CCC">
      <w:pPr>
        <w:widowControl w:val="0"/>
        <w:autoSpaceDE w:val="0"/>
        <w:autoSpaceDN w:val="0"/>
        <w:adjustRightInd w:val="0"/>
        <w:spacing w:after="0" w:line="360" w:lineRule="auto"/>
        <w:jc w:val="both"/>
        <w:rPr>
          <w:rFonts w:ascii="Book Antiqua" w:hAnsi="Book Antiqua" w:cs="Book Antiqua"/>
          <w:sz w:val="24"/>
          <w:szCs w:val="24"/>
          <w:lang w:val="en-GB" w:eastAsia="zh-CN"/>
        </w:rPr>
      </w:pPr>
      <w:r w:rsidRPr="00B246B6">
        <w:rPr>
          <w:rFonts w:ascii="Book Antiqua" w:hAnsi="Book Antiqua" w:cs="Book Antiqua"/>
          <w:sz w:val="24"/>
          <w:szCs w:val="24"/>
          <w:lang w:val="en-GB"/>
        </w:rPr>
        <w:t>We retrospectively evaluated patients addressed to CEUS over an eight years period to rule-out vascular causes of ARF (first group of 50 subjects) or assess previously found suspicious renal lesions (second group of 41 subjects with acute or chronic RFI). After preliminary grey-scale and color Doppler investigation, each kidney was investigated individually with CEUS, using 1.2-2.4 m</w:t>
      </w:r>
      <w:r w:rsidR="00EB3796" w:rsidRPr="00B246B6">
        <w:rPr>
          <w:rFonts w:ascii="Book Antiqua" w:hAnsi="Book Antiqua" w:cs="Book Antiqua"/>
          <w:sz w:val="24"/>
          <w:szCs w:val="24"/>
          <w:lang w:val="en-GB"/>
        </w:rPr>
        <w:t>L</w:t>
      </w:r>
      <w:r w:rsidRPr="00B246B6">
        <w:rPr>
          <w:rFonts w:ascii="Book Antiqua" w:hAnsi="Book Antiqua" w:cs="Book Antiqua"/>
          <w:sz w:val="24"/>
          <w:szCs w:val="24"/>
          <w:lang w:val="en-GB"/>
        </w:rPr>
        <w:t xml:space="preserve"> of a sulfur hexafluoride-filled microbubble contrast agent. Image analysis was performed in consensus by two readers who reviewed digital clips of CEUS. We calculated the rate of vascular abnormalities detection for the first group and performed descriptive statistics of imaging findings for the second group.</w:t>
      </w:r>
    </w:p>
    <w:p w14:paraId="0EDE3ED7" w14:textId="77777777" w:rsidR="00D70AE9" w:rsidRPr="00B246B6" w:rsidRDefault="00D70AE9" w:rsidP="00C57CCC">
      <w:pPr>
        <w:widowControl w:val="0"/>
        <w:autoSpaceDE w:val="0"/>
        <w:autoSpaceDN w:val="0"/>
        <w:adjustRightInd w:val="0"/>
        <w:spacing w:after="0" w:line="360" w:lineRule="auto"/>
        <w:jc w:val="both"/>
        <w:rPr>
          <w:rFonts w:ascii="Book Antiqua" w:hAnsi="Book Antiqua" w:cs="Book Antiqua"/>
          <w:sz w:val="24"/>
          <w:szCs w:val="24"/>
          <w:lang w:val="en-GB" w:eastAsia="zh-CN"/>
        </w:rPr>
      </w:pPr>
    </w:p>
    <w:p w14:paraId="043CE704" w14:textId="77777777" w:rsidR="00A827F4" w:rsidRPr="00B246B6" w:rsidRDefault="003B6C65" w:rsidP="00C57CCC">
      <w:pPr>
        <w:widowControl w:val="0"/>
        <w:adjustRightInd w:val="0"/>
        <w:spacing w:after="0" w:line="360" w:lineRule="auto"/>
        <w:jc w:val="both"/>
        <w:rPr>
          <w:rFonts w:ascii="Book Antiqua" w:hAnsi="Book Antiqua" w:cs="Book Antiqua"/>
          <w:b/>
          <w:bCs/>
          <w:i/>
          <w:sz w:val="24"/>
          <w:szCs w:val="24"/>
          <w:lang w:val="en-GB" w:eastAsia="zh-CN"/>
        </w:rPr>
      </w:pPr>
      <w:r w:rsidRPr="00B246B6">
        <w:rPr>
          <w:rFonts w:ascii="Book Antiqua" w:hAnsi="Book Antiqua" w:cs="Book Antiqua"/>
          <w:b/>
          <w:bCs/>
          <w:i/>
          <w:sz w:val="24"/>
          <w:szCs w:val="24"/>
          <w:lang w:val="en-GB"/>
        </w:rPr>
        <w:t>RESULTS</w:t>
      </w:r>
    </w:p>
    <w:p w14:paraId="5EE5F211" w14:textId="3712A7DF" w:rsidR="003B6C65" w:rsidRPr="00B246B6" w:rsidRDefault="003B6C65" w:rsidP="00C57CCC">
      <w:pPr>
        <w:widowControl w:val="0"/>
        <w:adjustRightInd w:val="0"/>
        <w:spacing w:after="0" w:line="360" w:lineRule="auto"/>
        <w:jc w:val="both"/>
        <w:rPr>
          <w:rFonts w:ascii="Book Antiqua" w:hAnsi="Book Antiqua" w:cs="Book Antiqua"/>
          <w:sz w:val="24"/>
          <w:szCs w:val="24"/>
          <w:lang w:val="en-GB" w:eastAsia="zh-CN"/>
        </w:rPr>
      </w:pPr>
      <w:r w:rsidRPr="00B246B6">
        <w:rPr>
          <w:rFonts w:ascii="Book Antiqua" w:hAnsi="Book Antiqua" w:cs="Book Antiqua"/>
          <w:sz w:val="24"/>
          <w:szCs w:val="24"/>
          <w:lang w:val="en-GB"/>
        </w:rPr>
        <w:t>In the first group,</w:t>
      </w:r>
      <w:r w:rsidRPr="00B246B6">
        <w:rPr>
          <w:rFonts w:ascii="Book Antiqua" w:hAnsi="Book Antiqua" w:cs="Book Antiqua"/>
          <w:b/>
          <w:bCs/>
          <w:sz w:val="24"/>
          <w:szCs w:val="24"/>
          <w:lang w:val="en-GB"/>
        </w:rPr>
        <w:t xml:space="preserve"> </w:t>
      </w:r>
      <w:r w:rsidRPr="00B246B6">
        <w:rPr>
          <w:rFonts w:ascii="Book Antiqua" w:hAnsi="Book Antiqua" w:cs="Book Antiqua"/>
          <w:sz w:val="24"/>
          <w:szCs w:val="24"/>
          <w:lang w:val="en-GB"/>
        </w:rPr>
        <w:t>CEUS detected renal infarction or cortical ischemia in 18/50</w:t>
      </w:r>
      <w:r w:rsidR="003D1417" w:rsidRPr="00B246B6">
        <w:rPr>
          <w:rFonts w:ascii="Book Antiqua" w:hAnsi="Book Antiqua" w:cs="Book Antiqua"/>
          <w:sz w:val="24"/>
          <w:szCs w:val="24"/>
          <w:lang w:val="en-GB"/>
        </w:rPr>
        <w:t xml:space="preserve"> patients (36%; 95%C</w:t>
      </w:r>
      <w:r w:rsidRPr="00B246B6">
        <w:rPr>
          <w:rFonts w:ascii="Book Antiqua" w:hAnsi="Book Antiqua" w:cs="Book Antiqua"/>
          <w:sz w:val="24"/>
          <w:szCs w:val="24"/>
          <w:lang w:val="en-GB"/>
        </w:rPr>
        <w:t>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GB"/>
        </w:rPr>
        <w:t xml:space="preserve"> 23.3-50.9) and 1/50 patients (2%;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GB"/>
        </w:rPr>
        <w:t xml:space="preserve"> 0.1-12), respectively. The detection rate of infarction was significantly higher (</w:t>
      </w:r>
      <w:r w:rsidR="00A9261E" w:rsidRPr="00B246B6">
        <w:rPr>
          <w:rFonts w:ascii="Book Antiqua" w:hAnsi="Book Antiqua" w:cs="Book Antiqua"/>
          <w:i/>
          <w:sz w:val="24"/>
          <w:szCs w:val="24"/>
          <w:lang w:val="en-GB"/>
        </w:rPr>
        <w:t>P</w:t>
      </w:r>
      <w:r w:rsidR="00A9261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GB"/>
        </w:rPr>
        <w:t>=</w:t>
      </w:r>
      <w:r w:rsidR="00A9261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GB"/>
        </w:rPr>
        <w:t>0.0002;</w:t>
      </w:r>
      <w:r w:rsidR="00A9261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GB"/>
        </w:rPr>
        <w:t xml:space="preserve">McNemar test) compared to color Doppler ultrasonography (10%). No vascular causes of ARF were identified in the remaining 31/50 patients (62%). In the second group, CEUS detected 41 lesions on 39 patients, allowing differentiation between </w:t>
      </w:r>
      <w:r w:rsidR="00034F43" w:rsidRPr="00B246B6">
        <w:rPr>
          <w:rFonts w:ascii="Book Antiqua" w:hAnsi="Book Antiqua" w:cs="Book Antiqua"/>
          <w:sz w:val="24"/>
          <w:szCs w:val="24"/>
          <w:lang w:val="en-GB"/>
        </w:rPr>
        <w:t xml:space="preserve">solid lesions (21/41; 51.2%) </w:t>
      </w:r>
      <w:r w:rsidR="00034F43" w:rsidRPr="00B246B6">
        <w:rPr>
          <w:rFonts w:ascii="Book Antiqua" w:hAnsi="Book Antiqua" w:cs="Book Antiqua"/>
          <w:i/>
          <w:sz w:val="24"/>
          <w:szCs w:val="24"/>
          <w:lang w:val="en-GB"/>
        </w:rPr>
        <w:t>vs</w:t>
      </w:r>
      <w:r w:rsidRPr="00B246B6">
        <w:rPr>
          <w:rFonts w:ascii="Book Antiqua" w:hAnsi="Book Antiqua" w:cs="Book Antiqua"/>
          <w:sz w:val="24"/>
          <w:szCs w:val="24"/>
          <w:lang w:val="en-GB"/>
        </w:rPr>
        <w:t xml:space="preserve"> complex cysts (20/41; 48.8%), and properly addressing 15/39 patients to intervention when feasible based on clinical conditions (surgery and cryoablation in 13 and 2 cases, respectively). Cysts were categorized Bosniak II, IIF, III and IV in 8, 5, 4 and 3 cases, respectively. In the remaining two patients, CEUS found 1 pseudolesion and 1 subcapsular hematoma. </w:t>
      </w:r>
    </w:p>
    <w:p w14:paraId="72431187" w14:textId="77777777" w:rsidR="005C6610" w:rsidRPr="00B246B6" w:rsidRDefault="005C6610" w:rsidP="00C57CCC">
      <w:pPr>
        <w:widowControl w:val="0"/>
        <w:adjustRightInd w:val="0"/>
        <w:spacing w:after="0" w:line="360" w:lineRule="auto"/>
        <w:jc w:val="both"/>
        <w:rPr>
          <w:rFonts w:ascii="Book Antiqua" w:hAnsi="Book Antiqua" w:cs="Book Antiqua"/>
          <w:sz w:val="24"/>
          <w:szCs w:val="24"/>
          <w:lang w:val="en-GB" w:eastAsia="zh-CN"/>
        </w:rPr>
      </w:pPr>
    </w:p>
    <w:p w14:paraId="03EBA581" w14:textId="77777777" w:rsidR="003A6961" w:rsidRPr="00B246B6" w:rsidRDefault="003B6C65" w:rsidP="00C57CCC">
      <w:pPr>
        <w:widowControl w:val="0"/>
        <w:adjustRightInd w:val="0"/>
        <w:spacing w:after="0" w:line="360" w:lineRule="auto"/>
        <w:jc w:val="both"/>
        <w:rPr>
          <w:rFonts w:ascii="Book Antiqua" w:hAnsi="Book Antiqua" w:cs="Book Antiqua"/>
          <w:b/>
          <w:bCs/>
          <w:i/>
          <w:sz w:val="24"/>
          <w:szCs w:val="24"/>
          <w:lang w:val="en-GB" w:eastAsia="zh-CN"/>
        </w:rPr>
      </w:pPr>
      <w:r w:rsidRPr="00B246B6">
        <w:rPr>
          <w:rFonts w:ascii="Book Antiqua" w:hAnsi="Book Antiqua" w:cs="Book Antiqua"/>
          <w:b/>
          <w:bCs/>
          <w:i/>
          <w:sz w:val="24"/>
          <w:szCs w:val="24"/>
          <w:lang w:val="en-GB"/>
        </w:rPr>
        <w:t>CONCLUSION</w:t>
      </w:r>
    </w:p>
    <w:p w14:paraId="36846884" w14:textId="02390422"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CEUS showed high detection rate of renal perfusion abnormalities in patients with ARF, influencing the management of patients with acute or chronic RFI and renal masses throughout their proper characterization.</w:t>
      </w:r>
    </w:p>
    <w:p w14:paraId="10AA70D7" w14:textId="77777777" w:rsidR="003B6C65" w:rsidRPr="00B246B6" w:rsidRDefault="003B6C65" w:rsidP="00C57CCC">
      <w:pPr>
        <w:spacing w:after="0" w:line="360" w:lineRule="auto"/>
        <w:jc w:val="both"/>
        <w:rPr>
          <w:rFonts w:ascii="Book Antiqua" w:hAnsi="Book Antiqua" w:cs="Book Antiqua"/>
          <w:b/>
          <w:bCs/>
          <w:sz w:val="24"/>
          <w:szCs w:val="24"/>
          <w:lang w:val="en-US" w:eastAsia="zh-CN"/>
        </w:rPr>
      </w:pPr>
    </w:p>
    <w:p w14:paraId="75B79642" w14:textId="1A944291" w:rsidR="003B6C65" w:rsidRPr="00B246B6" w:rsidRDefault="003B6C65" w:rsidP="00C57CCC">
      <w:pPr>
        <w:spacing w:after="0" w:line="360" w:lineRule="auto"/>
        <w:jc w:val="both"/>
        <w:rPr>
          <w:rFonts w:ascii="Book Antiqua" w:hAnsi="Book Antiqua" w:cs="Book Antiqua"/>
          <w:sz w:val="24"/>
          <w:szCs w:val="24"/>
          <w:lang w:val="en-US" w:eastAsia="zh-CN"/>
        </w:rPr>
      </w:pPr>
      <w:r w:rsidRPr="00B246B6">
        <w:rPr>
          <w:rFonts w:ascii="Book Antiqua" w:hAnsi="Book Antiqua" w:cs="Book Antiqua"/>
          <w:b/>
          <w:bCs/>
          <w:sz w:val="24"/>
          <w:szCs w:val="24"/>
          <w:lang w:val="en-US" w:eastAsia="zh-CN"/>
        </w:rPr>
        <w:lastRenderedPageBreak/>
        <w:t xml:space="preserve">Key words: </w:t>
      </w:r>
      <w:r w:rsidRPr="00B246B6">
        <w:rPr>
          <w:rFonts w:ascii="Book Antiqua" w:hAnsi="Book Antiqua" w:cs="Book Antiqua"/>
          <w:sz w:val="24"/>
          <w:szCs w:val="24"/>
          <w:lang w:val="en-US" w:eastAsia="zh-CN"/>
        </w:rPr>
        <w:t>Contrast-enhanced</w:t>
      </w:r>
      <w:r w:rsidR="00115726" w:rsidRPr="00B246B6">
        <w:rPr>
          <w:rFonts w:ascii="Book Antiqua" w:hAnsi="Book Antiqua" w:cs="Book Antiqua"/>
          <w:sz w:val="24"/>
          <w:szCs w:val="24"/>
          <w:lang w:val="en-US" w:eastAsia="zh-CN"/>
        </w:rPr>
        <w:t xml:space="preserve"> u</w:t>
      </w:r>
      <w:r w:rsidRPr="00B246B6">
        <w:rPr>
          <w:rFonts w:ascii="Book Antiqua" w:hAnsi="Book Antiqua" w:cs="Book Antiqua"/>
          <w:sz w:val="24"/>
          <w:szCs w:val="24"/>
          <w:lang w:val="en-US" w:eastAsia="zh-CN"/>
        </w:rPr>
        <w:t>ltrasonography; Renal function impairment; Acute renal failure; Renal infarction; Renal lesions; Renal cysts; Bosniak classification</w:t>
      </w:r>
    </w:p>
    <w:p w14:paraId="14708BA1" w14:textId="77777777" w:rsidR="004E1AB7" w:rsidRPr="00B246B6" w:rsidRDefault="004E1AB7" w:rsidP="00C57CCC">
      <w:pPr>
        <w:spacing w:after="0" w:line="360" w:lineRule="auto"/>
        <w:jc w:val="both"/>
        <w:rPr>
          <w:rFonts w:ascii="Book Antiqua" w:hAnsi="Book Antiqua" w:cs="Book Antiqua"/>
          <w:sz w:val="24"/>
          <w:szCs w:val="24"/>
          <w:lang w:val="en-US" w:eastAsia="zh-CN"/>
        </w:rPr>
      </w:pPr>
    </w:p>
    <w:p w14:paraId="18306A73" w14:textId="77777777" w:rsidR="004E1AB7" w:rsidRPr="00B246B6" w:rsidRDefault="004E1AB7" w:rsidP="004E1AB7">
      <w:pPr>
        <w:widowControl w:val="0"/>
        <w:spacing w:after="0" w:line="360" w:lineRule="auto"/>
        <w:jc w:val="both"/>
        <w:rPr>
          <w:rFonts w:ascii="Book Antiqua" w:hAnsi="Book Antiqua" w:cs="Arial"/>
          <w:kern w:val="2"/>
          <w:sz w:val="24"/>
          <w:szCs w:val="24"/>
          <w:lang w:val="en-US" w:eastAsia="zh-CN"/>
        </w:rPr>
      </w:pPr>
      <w:r w:rsidRPr="004E1AB7">
        <w:rPr>
          <w:rFonts w:ascii="Book Antiqua" w:hAnsi="Book Antiqua" w:cs="Times New Roman"/>
          <w:b/>
          <w:kern w:val="2"/>
          <w:sz w:val="24"/>
          <w:szCs w:val="24"/>
          <w:lang w:val="en-US" w:eastAsia="zh-CN"/>
        </w:rPr>
        <w:t xml:space="preserve">© </w:t>
      </w:r>
      <w:r w:rsidRPr="004E1AB7">
        <w:rPr>
          <w:rFonts w:ascii="Book Antiqua" w:hAnsi="Book Antiqua" w:cs="Arial"/>
          <w:b/>
          <w:kern w:val="2"/>
          <w:sz w:val="24"/>
          <w:szCs w:val="24"/>
          <w:lang w:val="en-US" w:eastAsia="zh-CN"/>
        </w:rPr>
        <w:t>The Author(s) 2016.</w:t>
      </w:r>
      <w:r w:rsidRPr="004E1AB7">
        <w:rPr>
          <w:rFonts w:ascii="Book Antiqua" w:hAnsi="Book Antiqua" w:cs="Arial"/>
          <w:kern w:val="2"/>
          <w:sz w:val="24"/>
          <w:szCs w:val="24"/>
          <w:lang w:val="en-US" w:eastAsia="zh-CN"/>
        </w:rPr>
        <w:t xml:space="preserve"> Published by Baishideng Publishing Group Inc. All rights reserved.</w:t>
      </w:r>
    </w:p>
    <w:p w14:paraId="3CA96EC3" w14:textId="77777777" w:rsidR="004E1AB7" w:rsidRPr="004E1AB7" w:rsidRDefault="004E1AB7" w:rsidP="004E1AB7">
      <w:pPr>
        <w:widowControl w:val="0"/>
        <w:spacing w:after="0" w:line="360" w:lineRule="auto"/>
        <w:jc w:val="both"/>
        <w:rPr>
          <w:rFonts w:ascii="Book Antiqua" w:hAnsi="Book Antiqua" w:cs="Arial"/>
          <w:kern w:val="2"/>
          <w:sz w:val="24"/>
          <w:szCs w:val="24"/>
          <w:lang w:val="en-US" w:eastAsia="zh-CN"/>
        </w:rPr>
      </w:pPr>
    </w:p>
    <w:p w14:paraId="61F74EFC" w14:textId="63D566F4" w:rsidR="003B6C65" w:rsidRPr="00B246B6" w:rsidRDefault="003B6C65" w:rsidP="00C57CCC">
      <w:pPr>
        <w:spacing w:after="0" w:line="360" w:lineRule="auto"/>
        <w:jc w:val="both"/>
        <w:rPr>
          <w:rFonts w:ascii="Book Antiqua" w:hAnsi="Book Antiqua" w:cs="Book Antiqua"/>
          <w:sz w:val="24"/>
          <w:szCs w:val="24"/>
          <w:lang w:val="en-US"/>
        </w:rPr>
      </w:pPr>
      <w:r w:rsidRPr="00B246B6">
        <w:rPr>
          <w:rFonts w:ascii="Book Antiqua" w:hAnsi="Book Antiqua" w:cs="Book Antiqua"/>
          <w:b/>
          <w:bCs/>
          <w:sz w:val="24"/>
          <w:szCs w:val="24"/>
          <w:lang w:val="en-US"/>
        </w:rPr>
        <w:t xml:space="preserve">Core tip: </w:t>
      </w:r>
      <w:r w:rsidRPr="00B246B6">
        <w:rPr>
          <w:rFonts w:ascii="Book Antiqua" w:hAnsi="Book Antiqua" w:cs="Book Antiqua"/>
          <w:sz w:val="24"/>
          <w:szCs w:val="24"/>
          <w:lang w:val="en-US"/>
        </w:rPr>
        <w:t xml:space="preserve">Imaging </w:t>
      </w:r>
      <w:r w:rsidR="00585B62" w:rsidRPr="00B246B6">
        <w:rPr>
          <w:rFonts w:ascii="Book Antiqua" w:hAnsi="Book Antiqua" w:cs="Book Antiqua"/>
          <w:sz w:val="24"/>
          <w:szCs w:val="24"/>
          <w:lang w:val="en-US"/>
        </w:rPr>
        <w:t xml:space="preserve">in </w:t>
      </w:r>
      <w:r w:rsidRPr="00B246B6">
        <w:rPr>
          <w:rFonts w:ascii="Book Antiqua" w:hAnsi="Book Antiqua" w:cs="Book Antiqua"/>
          <w:sz w:val="24"/>
          <w:szCs w:val="24"/>
          <w:lang w:val="en-US"/>
        </w:rPr>
        <w:t>patients with renal function impairment (RFI) is challenging because of well-known limitations of conventional color Doppler ultrasound or risks related to the use of contrast media on computed tomography and magnetic resonance imaging. Contrast-enhanced ultrasound</w:t>
      </w:r>
      <w:r w:rsidR="00AB4102"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 xml:space="preserve">is a safer imaging tool in patients with RFI, showing </w:t>
      </w:r>
      <w:r w:rsidR="005C04C7" w:rsidRPr="00B246B6">
        <w:rPr>
          <w:rFonts w:ascii="Book Antiqua" w:hAnsi="Book Antiqua" w:cs="Book Antiqua"/>
          <w:sz w:val="24"/>
          <w:szCs w:val="24"/>
          <w:lang w:val="en-US"/>
        </w:rPr>
        <w:t xml:space="preserve">36% </w:t>
      </w:r>
      <w:r w:rsidRPr="00B246B6">
        <w:rPr>
          <w:rFonts w:ascii="Book Antiqua" w:hAnsi="Book Antiqua" w:cs="Book Antiqua"/>
          <w:sz w:val="24"/>
          <w:szCs w:val="24"/>
          <w:lang w:val="en-US"/>
        </w:rPr>
        <w:t>det</w:t>
      </w:r>
      <w:r w:rsidR="00585B62" w:rsidRPr="00B246B6">
        <w:rPr>
          <w:rFonts w:ascii="Book Antiqua" w:hAnsi="Book Antiqua" w:cs="Book Antiqua"/>
          <w:sz w:val="24"/>
          <w:szCs w:val="24"/>
          <w:lang w:val="en-US"/>
        </w:rPr>
        <w:t>ection rate of renal infarction</w:t>
      </w:r>
      <w:r w:rsidRPr="00B246B6">
        <w:rPr>
          <w:rFonts w:ascii="Book Antiqua" w:hAnsi="Book Antiqua" w:cs="Book Antiqua"/>
          <w:sz w:val="24"/>
          <w:szCs w:val="24"/>
          <w:lang w:val="en-US"/>
        </w:rPr>
        <w:t xml:space="preserve"> in patients with acute renal failure of suspicious vascular origin, and the capability of characterizing renal lesions in order to address patients to most proper treatment.</w:t>
      </w:r>
    </w:p>
    <w:p w14:paraId="2D1DEBDE" w14:textId="77777777" w:rsidR="006D0587" w:rsidRPr="00B246B6" w:rsidRDefault="006D0587" w:rsidP="00C57CCC">
      <w:pPr>
        <w:spacing w:after="0" w:line="360" w:lineRule="auto"/>
        <w:jc w:val="both"/>
        <w:rPr>
          <w:rFonts w:ascii="Book Antiqua" w:hAnsi="Book Antiqua" w:cs="Book Antiqua"/>
          <w:sz w:val="24"/>
          <w:szCs w:val="24"/>
          <w:lang w:val="en-US"/>
        </w:rPr>
      </w:pPr>
    </w:p>
    <w:p w14:paraId="09C21EFE" w14:textId="766B704B" w:rsidR="006D0587" w:rsidRPr="00B246B6" w:rsidRDefault="006D0587" w:rsidP="00C57CCC">
      <w:pPr>
        <w:spacing w:after="0" w:line="360" w:lineRule="auto"/>
        <w:jc w:val="both"/>
        <w:rPr>
          <w:rFonts w:ascii="Book Antiqua" w:hAnsi="Book Antiqua" w:cs="Book Antiqua"/>
          <w:bCs/>
          <w:sz w:val="24"/>
          <w:szCs w:val="24"/>
          <w:lang w:val="en-US"/>
        </w:rPr>
      </w:pPr>
      <w:r w:rsidRPr="00B246B6">
        <w:rPr>
          <w:rFonts w:ascii="Book Antiqua" w:hAnsi="Book Antiqua" w:cs="Book Antiqua"/>
          <w:sz w:val="24"/>
          <w:szCs w:val="24"/>
          <w:lang w:val="en-US"/>
        </w:rPr>
        <w:t xml:space="preserve">Girometti R, Stocca T, Serena E, Granata A, Bertolotto M. </w:t>
      </w:r>
      <w:r w:rsidRPr="00B246B6">
        <w:rPr>
          <w:rFonts w:ascii="Book Antiqua" w:hAnsi="Book Antiqua" w:cs="Book Antiqua"/>
          <w:bCs/>
          <w:sz w:val="24"/>
          <w:szCs w:val="24"/>
          <w:lang w:val="en-US"/>
        </w:rPr>
        <w:t xml:space="preserve">Impact of contrast-enhanced ultrasound in patients with renal function impairment. </w:t>
      </w:r>
      <w:r w:rsidRPr="00B246B6">
        <w:rPr>
          <w:rFonts w:ascii="Book Antiqua" w:hAnsi="Book Antiqua" w:cs="Book Antiqua"/>
          <w:bCs/>
          <w:i/>
          <w:sz w:val="24"/>
          <w:szCs w:val="24"/>
          <w:lang w:val="en-US"/>
        </w:rPr>
        <w:t xml:space="preserve">World J Radiol </w:t>
      </w:r>
      <w:r w:rsidRPr="00B246B6">
        <w:rPr>
          <w:rFonts w:ascii="Book Antiqua" w:hAnsi="Book Antiqua" w:cs="Book Antiqua"/>
          <w:bCs/>
          <w:sz w:val="24"/>
          <w:szCs w:val="24"/>
          <w:lang w:val="en-US"/>
        </w:rPr>
        <w:t>2016; In press</w:t>
      </w:r>
    </w:p>
    <w:p w14:paraId="6FEE6489" w14:textId="2793C126" w:rsidR="006D0587" w:rsidRPr="00B246B6" w:rsidRDefault="006D0587" w:rsidP="00C57CCC">
      <w:pPr>
        <w:spacing w:after="0" w:line="360" w:lineRule="auto"/>
        <w:jc w:val="both"/>
        <w:rPr>
          <w:rFonts w:ascii="Book Antiqua" w:hAnsi="Book Antiqua" w:cs="Book Antiqua"/>
          <w:sz w:val="24"/>
          <w:szCs w:val="24"/>
          <w:lang w:val="en-US"/>
        </w:rPr>
      </w:pPr>
    </w:p>
    <w:p w14:paraId="12BFD7DF" w14:textId="77777777" w:rsidR="006D0587" w:rsidRPr="00B246B6" w:rsidRDefault="006D0587" w:rsidP="00C57CCC">
      <w:pPr>
        <w:spacing w:after="0" w:line="360" w:lineRule="auto"/>
        <w:jc w:val="both"/>
        <w:rPr>
          <w:rFonts w:ascii="Book Antiqua" w:hAnsi="Book Antiqua" w:cs="Book Antiqua"/>
          <w:sz w:val="24"/>
          <w:szCs w:val="24"/>
          <w:lang w:val="en-US"/>
        </w:rPr>
      </w:pPr>
    </w:p>
    <w:p w14:paraId="64C94BC5" w14:textId="77777777" w:rsidR="006D0587" w:rsidRPr="00B246B6" w:rsidRDefault="006D0587" w:rsidP="00C57CCC">
      <w:pPr>
        <w:spacing w:after="0" w:line="360" w:lineRule="auto"/>
        <w:jc w:val="both"/>
        <w:rPr>
          <w:rFonts w:ascii="Book Antiqua" w:hAnsi="Book Antiqua" w:cs="Book Antiqua"/>
          <w:sz w:val="24"/>
          <w:szCs w:val="24"/>
          <w:lang w:val="en-US"/>
        </w:rPr>
      </w:pPr>
    </w:p>
    <w:p w14:paraId="196CA287" w14:textId="77777777" w:rsidR="006D0587" w:rsidRPr="00B246B6" w:rsidRDefault="006D0587" w:rsidP="00C57CCC">
      <w:pPr>
        <w:spacing w:after="0" w:line="360" w:lineRule="auto"/>
        <w:jc w:val="both"/>
        <w:rPr>
          <w:rFonts w:ascii="Book Antiqua" w:hAnsi="Book Antiqua" w:cs="Book Antiqua"/>
          <w:sz w:val="24"/>
          <w:szCs w:val="24"/>
          <w:lang w:val="en-US"/>
        </w:rPr>
      </w:pPr>
    </w:p>
    <w:p w14:paraId="77A3E656" w14:textId="77777777" w:rsidR="006D0587" w:rsidRPr="00B246B6" w:rsidRDefault="006D0587" w:rsidP="00C57CCC">
      <w:pPr>
        <w:spacing w:after="0" w:line="360" w:lineRule="auto"/>
        <w:jc w:val="both"/>
        <w:rPr>
          <w:rFonts w:ascii="Book Antiqua" w:hAnsi="Book Antiqua" w:cs="Book Antiqua"/>
          <w:sz w:val="24"/>
          <w:szCs w:val="24"/>
          <w:lang w:val="en-US"/>
        </w:rPr>
      </w:pPr>
    </w:p>
    <w:p w14:paraId="65C87484" w14:textId="77777777" w:rsidR="006D0587" w:rsidRPr="00B246B6" w:rsidRDefault="006D0587" w:rsidP="00C57CCC">
      <w:pPr>
        <w:spacing w:after="0" w:line="360" w:lineRule="auto"/>
        <w:jc w:val="both"/>
        <w:rPr>
          <w:rFonts w:ascii="Book Antiqua" w:hAnsi="Book Antiqua" w:cs="Book Antiqua"/>
          <w:sz w:val="24"/>
          <w:szCs w:val="24"/>
          <w:lang w:val="en-US"/>
        </w:rPr>
      </w:pPr>
    </w:p>
    <w:p w14:paraId="562ACEC8" w14:textId="77777777" w:rsidR="006D0587" w:rsidRPr="00B246B6" w:rsidRDefault="006D0587" w:rsidP="00C57CCC">
      <w:pPr>
        <w:spacing w:after="0" w:line="360" w:lineRule="auto"/>
        <w:jc w:val="both"/>
        <w:rPr>
          <w:rFonts w:ascii="Book Antiqua" w:hAnsi="Book Antiqua" w:cs="Book Antiqua"/>
          <w:sz w:val="24"/>
          <w:szCs w:val="24"/>
          <w:lang w:val="en-US"/>
        </w:rPr>
      </w:pPr>
    </w:p>
    <w:p w14:paraId="434BBEE6" w14:textId="77777777" w:rsidR="006D0587" w:rsidRPr="00B246B6" w:rsidRDefault="006D0587" w:rsidP="00C57CCC">
      <w:pPr>
        <w:spacing w:after="0" w:line="360" w:lineRule="auto"/>
        <w:jc w:val="both"/>
        <w:rPr>
          <w:rFonts w:ascii="Book Antiqua" w:hAnsi="Book Antiqua" w:cs="Book Antiqua"/>
          <w:sz w:val="24"/>
          <w:szCs w:val="24"/>
          <w:lang w:val="en-US"/>
        </w:rPr>
      </w:pPr>
    </w:p>
    <w:p w14:paraId="4BE75B24" w14:textId="77777777" w:rsidR="006D0587" w:rsidRPr="00B246B6" w:rsidRDefault="006D0587" w:rsidP="00C57CCC">
      <w:pPr>
        <w:spacing w:after="0" w:line="360" w:lineRule="auto"/>
        <w:jc w:val="both"/>
        <w:rPr>
          <w:rFonts w:ascii="Book Antiqua" w:hAnsi="Book Antiqua" w:cs="Book Antiqua"/>
          <w:sz w:val="24"/>
          <w:szCs w:val="24"/>
          <w:lang w:val="en-US"/>
        </w:rPr>
      </w:pPr>
    </w:p>
    <w:p w14:paraId="05A048E7" w14:textId="77777777" w:rsidR="006D0587" w:rsidRPr="00B246B6" w:rsidRDefault="006D0587" w:rsidP="00C57CCC">
      <w:pPr>
        <w:spacing w:after="0" w:line="360" w:lineRule="auto"/>
        <w:jc w:val="both"/>
        <w:rPr>
          <w:rFonts w:ascii="Book Antiqua" w:hAnsi="Book Antiqua" w:cs="Book Antiqua"/>
          <w:sz w:val="24"/>
          <w:szCs w:val="24"/>
          <w:lang w:val="en-US"/>
        </w:rPr>
      </w:pPr>
    </w:p>
    <w:p w14:paraId="71196AB5" w14:textId="77777777" w:rsidR="006D0587" w:rsidRPr="00B246B6" w:rsidRDefault="006D0587" w:rsidP="00C57CCC">
      <w:pPr>
        <w:spacing w:after="0" w:line="360" w:lineRule="auto"/>
        <w:jc w:val="both"/>
        <w:rPr>
          <w:rFonts w:ascii="Book Antiqua" w:hAnsi="Book Antiqua" w:cs="Book Antiqua"/>
          <w:sz w:val="24"/>
          <w:szCs w:val="24"/>
          <w:lang w:val="en-US"/>
        </w:rPr>
      </w:pPr>
    </w:p>
    <w:p w14:paraId="31CE2BCB" w14:textId="175968AE" w:rsidR="003B6C65" w:rsidRPr="00B246B6" w:rsidRDefault="00A13522" w:rsidP="00C57CCC">
      <w:pPr>
        <w:widowControl w:val="0"/>
        <w:autoSpaceDE w:val="0"/>
        <w:autoSpaceDN w:val="0"/>
        <w:adjustRightInd w:val="0"/>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br w:type="page"/>
      </w:r>
      <w:r w:rsidR="003B6C65" w:rsidRPr="00B246B6">
        <w:rPr>
          <w:rFonts w:ascii="Book Antiqua" w:hAnsi="Book Antiqua" w:cs="Book Antiqua"/>
          <w:b/>
          <w:bCs/>
          <w:sz w:val="24"/>
          <w:szCs w:val="24"/>
          <w:lang w:val="en-US"/>
        </w:rPr>
        <w:lastRenderedPageBreak/>
        <w:t>INTRODUCTION</w:t>
      </w:r>
    </w:p>
    <w:p w14:paraId="4D72D633" w14:textId="18E03E48" w:rsidR="003B6C65" w:rsidRPr="00B246B6" w:rsidRDefault="003B6C65" w:rsidP="00C57CCC">
      <w:pPr>
        <w:widowControl w:val="0"/>
        <w:autoSpaceDE w:val="0"/>
        <w:autoSpaceDN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Despite technical improvements, imaging of patients with renal function impairment (RFI) is challenging. Contrast-enhanced computed tomography</w:t>
      </w:r>
      <w:r w:rsidR="00732D88" w:rsidRPr="00B246B6">
        <w:rPr>
          <w:rFonts w:ascii="Book Antiqua" w:hAnsi="Book Antiqua" w:cs="Book Antiqua"/>
          <w:sz w:val="24"/>
          <w:szCs w:val="24"/>
          <w:lang w:val="en-US"/>
        </w:rPr>
        <w:t xml:space="preserve"> (CT)</w:t>
      </w:r>
      <w:r w:rsidRPr="00B246B6">
        <w:rPr>
          <w:rFonts w:ascii="Book Antiqua" w:hAnsi="Book Antiqua" w:cs="Book Antiqua"/>
          <w:sz w:val="24"/>
          <w:szCs w:val="24"/>
          <w:lang w:val="en-US"/>
        </w:rPr>
        <w:t xml:space="preserve"> and magnetic resonance imaging</w:t>
      </w:r>
      <w:r w:rsidR="00732D88" w:rsidRPr="00B246B6">
        <w:rPr>
          <w:rFonts w:ascii="Book Antiqua" w:hAnsi="Book Antiqua" w:cs="Book Antiqua"/>
          <w:sz w:val="24"/>
          <w:szCs w:val="24"/>
          <w:lang w:val="en-US"/>
        </w:rPr>
        <w:t xml:space="preserve"> (MRI)</w:t>
      </w:r>
      <w:r w:rsidRPr="00B246B6">
        <w:rPr>
          <w:rFonts w:ascii="Book Antiqua" w:hAnsi="Book Antiqua" w:cs="Book Antiqua"/>
          <w:sz w:val="24"/>
          <w:szCs w:val="24"/>
          <w:lang w:val="en-US"/>
        </w:rPr>
        <w:t xml:space="preserve"> provide </w:t>
      </w:r>
      <w:r w:rsidR="000964A4" w:rsidRPr="00B246B6">
        <w:rPr>
          <w:rFonts w:ascii="Book Antiqua" w:hAnsi="Book Antiqua" w:cs="Book Antiqua"/>
          <w:sz w:val="24"/>
          <w:szCs w:val="24"/>
          <w:lang w:val="en-US"/>
        </w:rPr>
        <w:t>panoramic representation</w:t>
      </w:r>
      <w:r w:rsidRPr="00B246B6">
        <w:rPr>
          <w:rFonts w:ascii="Book Antiqua" w:hAnsi="Book Antiqua" w:cs="Book Antiqua"/>
          <w:sz w:val="24"/>
          <w:szCs w:val="24"/>
          <w:lang w:val="en-US"/>
        </w:rPr>
        <w:t xml:space="preserve"> of the kidneys</w:t>
      </w:r>
      <w:r w:rsidR="000964A4" w:rsidRPr="00B246B6">
        <w:rPr>
          <w:rFonts w:ascii="Book Antiqua" w:hAnsi="Book Antiqua" w:cs="Book Antiqua"/>
          <w:sz w:val="24"/>
          <w:szCs w:val="24"/>
          <w:lang w:val="en-US"/>
        </w:rPr>
        <w:t>, perirenal spaces, and vessels, leading to</w:t>
      </w:r>
      <w:r w:rsidRPr="00B246B6">
        <w:rPr>
          <w:rFonts w:ascii="Book Antiqua" w:hAnsi="Book Antiqua" w:cs="Book Antiqua"/>
          <w:sz w:val="24"/>
          <w:szCs w:val="24"/>
          <w:lang w:val="en-US"/>
        </w:rPr>
        <w:t xml:space="preserve"> high diagnostic accuracy. </w:t>
      </w:r>
      <w:r w:rsidR="00E276A3" w:rsidRPr="00B246B6">
        <w:rPr>
          <w:rFonts w:ascii="Book Antiqua" w:hAnsi="Book Antiqua" w:cs="Book Antiqua"/>
          <w:sz w:val="24"/>
          <w:szCs w:val="24"/>
          <w:lang w:val="en-US"/>
        </w:rPr>
        <w:t>However, i</w:t>
      </w:r>
      <w:r w:rsidRPr="00B246B6">
        <w:rPr>
          <w:rFonts w:ascii="Book Antiqua" w:hAnsi="Book Antiqua" w:cs="Book Antiqua"/>
          <w:sz w:val="24"/>
          <w:szCs w:val="24"/>
          <w:lang w:val="en-US"/>
        </w:rPr>
        <w:t xml:space="preserve">odinated </w:t>
      </w:r>
      <w:r w:rsidR="00E276A3" w:rsidRPr="00B246B6">
        <w:rPr>
          <w:rFonts w:ascii="Book Antiqua" w:hAnsi="Book Antiqua" w:cs="Book Antiqua"/>
          <w:sz w:val="24"/>
          <w:szCs w:val="24"/>
          <w:lang w:val="en-US"/>
        </w:rPr>
        <w:t xml:space="preserve">contrast agents </w:t>
      </w:r>
      <w:r w:rsidRPr="00B246B6">
        <w:rPr>
          <w:rFonts w:ascii="Book Antiqua" w:hAnsi="Book Antiqua" w:cs="Book Antiqua"/>
          <w:sz w:val="24"/>
          <w:szCs w:val="24"/>
          <w:lang w:val="en-US"/>
        </w:rPr>
        <w:t xml:space="preserve">are potentially harmful in patients with RFI because of </w:t>
      </w:r>
      <w:r w:rsidR="00E276A3" w:rsidRPr="00B246B6">
        <w:rPr>
          <w:rFonts w:ascii="Book Antiqua" w:hAnsi="Book Antiqua" w:cs="Book Antiqua"/>
          <w:sz w:val="24"/>
          <w:szCs w:val="24"/>
          <w:lang w:val="en-US"/>
        </w:rPr>
        <w:t xml:space="preserve">the </w:t>
      </w:r>
      <w:r w:rsidRPr="00B246B6">
        <w:rPr>
          <w:rFonts w:ascii="Book Antiqua" w:hAnsi="Book Antiqua" w:cs="Book Antiqua"/>
          <w:sz w:val="24"/>
          <w:szCs w:val="24"/>
          <w:lang w:val="en-US"/>
        </w:rPr>
        <w:t>risk of contrast-induced nephropathy (CIN)</w:t>
      </w:r>
      <w:r w:rsidR="00E276A3" w:rsidRPr="00B246B6">
        <w:rPr>
          <w:rFonts w:ascii="Book Antiqua" w:hAnsi="Book Antiqua" w:cs="Book Antiqua"/>
          <w:sz w:val="24"/>
          <w:szCs w:val="24"/>
          <w:vertAlign w:val="superscript"/>
          <w:lang w:val="en-US"/>
        </w:rPr>
        <w:t>[1]</w:t>
      </w:r>
      <w:r w:rsidR="00E276A3" w:rsidRPr="00B246B6">
        <w:rPr>
          <w:rFonts w:ascii="Book Antiqua" w:hAnsi="Book Antiqua" w:cs="Book Antiqua"/>
          <w:sz w:val="24"/>
          <w:szCs w:val="24"/>
          <w:lang w:val="en-US"/>
        </w:rPr>
        <w:t xml:space="preserve">. </w:t>
      </w:r>
      <w:r w:rsidR="00134A9E" w:rsidRPr="00B246B6">
        <w:rPr>
          <w:rFonts w:ascii="Book Antiqua" w:hAnsi="Book Antiqua" w:cs="Book Antiqua"/>
          <w:sz w:val="24"/>
          <w:szCs w:val="24"/>
          <w:lang w:val="en-US"/>
        </w:rPr>
        <w:t>Al</w:t>
      </w:r>
      <w:r w:rsidR="00E276A3" w:rsidRPr="00B246B6">
        <w:rPr>
          <w:rFonts w:ascii="Book Antiqua" w:hAnsi="Book Antiqua" w:cs="Book Antiqua"/>
          <w:sz w:val="24"/>
          <w:szCs w:val="24"/>
          <w:lang w:val="en-US"/>
        </w:rPr>
        <w:t xml:space="preserve">though risk for nephrogenic systemic fibrosis (NSF) has been better defined over the last years, concerns still exist for </w:t>
      </w:r>
      <w:r w:rsidR="00134A9E" w:rsidRPr="00B246B6">
        <w:rPr>
          <w:rFonts w:ascii="Book Antiqua" w:hAnsi="Book Antiqua" w:cs="Book Antiqua"/>
          <w:sz w:val="24"/>
          <w:szCs w:val="24"/>
          <w:lang w:val="en-US"/>
        </w:rPr>
        <w:t xml:space="preserve">the </w:t>
      </w:r>
      <w:r w:rsidR="00E276A3" w:rsidRPr="00B246B6">
        <w:rPr>
          <w:rFonts w:ascii="Book Antiqua" w:hAnsi="Book Antiqua" w:cs="Book Antiqua"/>
          <w:sz w:val="24"/>
          <w:szCs w:val="24"/>
          <w:lang w:val="en-US"/>
        </w:rPr>
        <w:t>use</w:t>
      </w:r>
      <w:r w:rsidR="00134A9E" w:rsidRPr="00B246B6">
        <w:rPr>
          <w:rFonts w:ascii="Book Antiqua" w:hAnsi="Book Antiqua" w:cs="Book Antiqua"/>
          <w:sz w:val="24"/>
          <w:szCs w:val="24"/>
          <w:lang w:val="en-US"/>
        </w:rPr>
        <w:t xml:space="preserve"> of gadolinium chelates</w:t>
      </w:r>
      <w:r w:rsidR="00E276A3" w:rsidRPr="00B246B6">
        <w:rPr>
          <w:rFonts w:ascii="Book Antiqua" w:hAnsi="Book Antiqua" w:cs="Book Antiqua"/>
          <w:sz w:val="24"/>
          <w:szCs w:val="24"/>
          <w:lang w:val="en-US"/>
        </w:rPr>
        <w:t xml:space="preserve"> in patients with RFI</w:t>
      </w:r>
      <w:r w:rsidR="00134A9E" w:rsidRPr="00B246B6">
        <w:rPr>
          <w:rFonts w:ascii="Book Antiqua" w:hAnsi="Book Antiqua" w:cs="Book Antiqua"/>
          <w:sz w:val="24"/>
          <w:szCs w:val="24"/>
          <w:lang w:val="en-US"/>
        </w:rPr>
        <w:t>, given uncertainty in pathogenic mechanisms and/or potential additional side effects related to gadolinium accumulation in the brain</w:t>
      </w:r>
      <w:r w:rsidRPr="00B246B6">
        <w:rPr>
          <w:rFonts w:ascii="Book Antiqua" w:hAnsi="Book Antiqua" w:cs="Book Antiqua"/>
          <w:sz w:val="24"/>
          <w:szCs w:val="24"/>
          <w:vertAlign w:val="superscript"/>
          <w:lang w:val="en-US"/>
        </w:rPr>
        <w:t>[1-4]</w:t>
      </w:r>
      <w:r w:rsidRPr="00B246B6">
        <w:rPr>
          <w:rFonts w:ascii="Book Antiqua" w:hAnsi="Book Antiqua" w:cs="Book Antiqua"/>
          <w:sz w:val="24"/>
          <w:szCs w:val="24"/>
          <w:lang w:val="en-US"/>
        </w:rPr>
        <w:t>. In practice, it is recommended to consider alternative imaging modalities in patie</w:t>
      </w:r>
      <w:r w:rsidR="000964A4" w:rsidRPr="00B246B6">
        <w:rPr>
          <w:rFonts w:ascii="Book Antiqua" w:hAnsi="Book Antiqua" w:cs="Book Antiqua"/>
          <w:sz w:val="24"/>
          <w:szCs w:val="24"/>
          <w:lang w:val="en-US"/>
        </w:rPr>
        <w:t>nts not requiring use of iodina</w:t>
      </w:r>
      <w:r w:rsidRPr="00B246B6">
        <w:rPr>
          <w:rFonts w:ascii="Book Antiqua" w:hAnsi="Book Antiqua" w:cs="Book Antiqua"/>
          <w:sz w:val="24"/>
          <w:szCs w:val="24"/>
          <w:lang w:val="en-US"/>
        </w:rPr>
        <w:t>ted or gadolinium contrast media</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"DOI" : "10.1055/s-0031-1281676", "ISSN" : "1438-8782", "PMID" : "21874631", "author" : [ { "dropping-particle" : "", "family" : "Piscaglia", "given" : "F", "non-dropping-particle" : "", "parse-names" : false, "suffix" : "" }, { "dropping-particle" : "", "family" : "Nols\u00f8e", "given" : "C", "non-dropping-particle" : "", "parse-names" : false, "suffix" : "" }, { "dropping-particle" : "", "family" : "Dietrich", "given" : "C F", "non-dropping-particle" : "", "parse-names" : false, "suffix" : "" }, { "dropping-particle" : "", "family" : "Cosgrove", "given" : "D O", "non-dropping-particle" : "", "parse-names" : false, "suffix" : "" }, { "dropping-particle" : "", "family" : "Gilja", "given" : "O H", "non-dropping-particle" : "", "parse-names" : false, "suffix" : "" }, { "dropping-particle" : "", "family" : "Bachmann Nielsen", "given" : "M", "non-dropping-particle" : "", "parse-names" : false, "suffix" : "" }, { "dropping-particle" : "", "family" : "Albrecht", "given" : "T", "non-dropping-particle" : "", "parse-names" : false, "suffix" : "" }, { "dropping-particle" : "", "family" : "Barozzi", "given" : "L", "non-dropping-particle" : "", "parse-names" : false, "suffix" : "" }, { "dropping-particle" : "", "family" : "Bertolotto", "given" : "M", "non-dropping-particle" : "", "parse-names" : false, "suffix" : "" }, { "dropping-particle" : "", "family" : "Catalano", "given" : "O", "non-dropping-particle" : "", "parse-names" : false, "suffix" : "" }, { "dropping-particle" : "", "family" : "Claudon", "given" : "M", "non-dropping-particle" : "", "parse-names" : false, "suffix" : "" }, { "dropping-particle" : "", "family" : "Clevert", "given" : "D A", "non-dropping-particle" : "", "parse-names" : false, "suffix" : "" }, { "dropping-particle" : "", "family" : "Correas", "given" : "J M", "non-dropping-particle" : "", "parse-names" : false, "suffix" : "" }, { "dropping-particle" : "", "family" : "D'Onofrio", "given" : "M", "non-dropping-particle" : "", "parse-names" : false, "suffix" : "" }, { "dropping-particle" : "", "family" : "Drudi", "given" : "F M", "non-dropping-particle" : "", "parse-names" : false, "suffix" : "" }, { "dropping-particle" : "", "family" : "Eyding", "given" : "J", "non-dropping-particle" : "", "parse-names" : false, "suffix" : "" }, { "dropping-particle" : "", "family" : "Giovannini", "given" : "M", "non-dropping-particle" : "", "parse-names" : false, "suffix" : "" }, { "dropping-particle" : "", "family" : "Hocke", "given" : "M", "non-dropping-particle" : "", "parse-names" : false, "suffix" : "" }, { "dropping-particle" : "", "family" : "Ignee", "given" : "A", "non-dropping-particle" : "", "parse-names" : false, "suffix" : "" }, { "dropping-particle" : "", "family" : "Jung", "given" : "E M", "non-dropping-particle" : "", "parse-names" : false, "suffix" : "" }, { "dropping-particle" : "", "family" : "Klauser", "given" : "A S", "non-dropping-particle" : "", "parse-names" : false, "suffix" : "" }, { "dropping-particle" : "", "family" : "Lassau", "given" : "N", "non-dropping-particle" : "", "parse-names" : false, "suffix" : "" }, { "dropping-particle" : "", "family" : "Leen", "given" : "E", "non-dropping-particle" : "", "parse-names" : false, "suffix" : "" }, { "dropping-particle" : "", "family" : "Mathis", "given" : "G", "non-dropping-particle" : "", "parse-names" : false, "suffix" : "" }, { "dropping-particle" : "", "family" : "Saftoiu", "given" : "A", "non-dropping-particle" : "", "parse-names" : false, "suffix" : "" }, { "dropping-particle" : "", "family" : "Seidel", "given" : "G", "non-dropping-particle" : "", "parse-names" : false, "suffix" : "" }, { "dropping-particle" : "", "family" : "Sidhu", "given" : "P S", "non-dropping-particle" : "", "parse-names" : false, "suffix" : "" }, { "dropping-particle" : "", "family" : "Haar", "given" : "G", "non-dropping-particle" : "ter", "parse-names" : false, "suffix" : "" }, { "dropping-particle" : "", "family" : "Timmerman", "given" : "D", "non-dropping-particle" : "", "parse-names" : false, "suffix" : "" }, { "dropping-particle" : "", "family" : "Weskott", "given" : "H P", "non-dropping-particle" : "", "parse-names" : false, "suffix" : "" } ], "container-title" : "Ultraschall in der Medizin (Stuttgart, Germany : 1980)", "id" : "ITEM-1", "issue" : "1", "issued" : { "date-parts" : [ [ "2012", "2" ] ] }, "page" : "33-59", "title" : "The EFSUMB Guidelines and Recommendations on the Clinical Practice of Contrast Enhanced Ultrasound (CEUS): update 2011 on non-hepatic applications.", "type" : "article-journal", "volume" : "33" }, "uris" : [ "http://www.mendeley.com/documents/?uuid=1f910b39-a3e8-4c8f-9877-c204b15fae2d" ] } ], "mendeley" : { "formattedCitation" : "[1]", "plainTextFormattedCitation" : "[1]", "previouslyFormattedCitation" : "[1]"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w:t>
      </w:r>
    </w:p>
    <w:p w14:paraId="499038FF" w14:textId="2BB91EB4" w:rsidR="003B6C65" w:rsidRPr="00B246B6" w:rsidRDefault="003B6C65" w:rsidP="00A13522">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Color-Doppler ultrasound (US) is the first imaging modality in patients with RFI. It is widely used to rule-out obstruction</w:t>
      </w:r>
      <w:r w:rsidR="00166144" w:rsidRPr="00B246B6">
        <w:rPr>
          <w:rFonts w:ascii="Book Antiqua" w:hAnsi="Book Antiqua" w:cs="Book Antiqua"/>
          <w:sz w:val="24"/>
          <w:szCs w:val="24"/>
          <w:lang w:val="en-US"/>
        </w:rPr>
        <w:t xml:space="preserve"> or</w:t>
      </w:r>
      <w:r w:rsidRPr="00B246B6">
        <w:rPr>
          <w:rFonts w:ascii="Book Antiqua" w:hAnsi="Book Antiqua" w:cs="Book Antiqua"/>
          <w:sz w:val="24"/>
          <w:szCs w:val="24"/>
          <w:lang w:val="en-US"/>
        </w:rPr>
        <w:t xml:space="preserve"> investigate renal vessels and parenchymal abnormalities without </w:t>
      </w:r>
      <w:r w:rsidR="00166144" w:rsidRPr="00B246B6">
        <w:rPr>
          <w:rFonts w:ascii="Book Antiqua" w:hAnsi="Book Antiqua" w:cs="Book Antiqua"/>
          <w:sz w:val="24"/>
          <w:szCs w:val="24"/>
          <w:lang w:val="en-US"/>
        </w:rPr>
        <w:t xml:space="preserve">the </w:t>
      </w:r>
      <w:r w:rsidRPr="00B246B6">
        <w:rPr>
          <w:rFonts w:ascii="Book Antiqua" w:hAnsi="Book Antiqua" w:cs="Book Antiqua"/>
          <w:sz w:val="24"/>
          <w:szCs w:val="24"/>
          <w:lang w:val="en-US"/>
        </w:rPr>
        <w:t>use of nephrotoxic agents</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"ISSN" : "03025144", "author" : [ { "dropping-particle" : "", "family" : "Pozzi Mucelli", "given" : "Roberto", "non-dropping-particle" : "", "parse-names" : false, "suffix" : "" }, { "dropping-particle" : "", "family" : "Bertolotto", "given" : "Michele", "non-dropping-particle" : "", "parse-names" : false, "suffix" : "" }, { "dropping-particle" : "", "family" : "Quaia", "given" : "Emilio", "non-dropping-particle" : "", "parse-names" : false, "suffix" : "" }, { "dropping-particle" : "", "family" : "Pozzi Mucelli", "given" : "Roberto", "non-dropping-particle" : "", "parse-names" : false, "suffix" : "" }, { "dropping-particle" : "", "family" : "Bertolotto", "given" : "Michele", "non-dropping-particle" : "", "parse-names" : false, "suffix" : "" }, { "dropping-particle" : "", "family" : "Quaia", "given" : "Emilio", "non-dropping-particle" : "", "parse-names" : false, "suffix" : "" } ], "container-title" : "Contributions to Nephrology", "id" : "ITEM-1", "issue" : "132", "issued" : { "date-parts" : [ [ "2001" ] ] }, "page" : "76-91", "title" : "Imaging techniques in acute renal failure.", "type" : "article-journal", "volume" : "132" }, "uris" : [ "http://www.mendeley.com/documents/?uuid=a2311f37-43b1-4aa9-8ecc-64884d294521" ] } ], "mendeley" : { "formattedCitation" : "[5]", "plainTextFormattedCitation" : "[5]", "previouslyFormattedCitation" : "[5]"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[5]</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 xml:space="preserve">. In addition, US permits the detection of incidental, otherwise unknown renal lesions. However, </w:t>
      </w:r>
      <w:r w:rsidR="00917298" w:rsidRPr="00B246B6">
        <w:rPr>
          <w:rFonts w:ascii="Book Antiqua" w:hAnsi="Book Antiqua" w:cs="Book Antiqua"/>
          <w:sz w:val="24"/>
          <w:szCs w:val="24"/>
          <w:lang w:val="en-US"/>
        </w:rPr>
        <w:t>there are well-known limitations of conventional Doppler modes in evaluating these patients, including difficult detection of perfusion abnormalities in globally hypoperfused kidneys</w:t>
      </w:r>
      <w:r w:rsidR="00732D88" w:rsidRPr="00B246B6">
        <w:rPr>
          <w:rFonts w:ascii="Book Antiqua" w:hAnsi="Book Antiqua" w:cs="Book Antiqua"/>
          <w:sz w:val="24"/>
          <w:szCs w:val="24"/>
          <w:lang w:val="en-US"/>
        </w:rPr>
        <w:t>, and</w:t>
      </w:r>
      <w:r w:rsidR="00917298" w:rsidRPr="00B246B6">
        <w:rPr>
          <w:rFonts w:ascii="Book Antiqua" w:hAnsi="Book Antiqua" w:cs="Book Antiqua"/>
          <w:sz w:val="24"/>
          <w:szCs w:val="24"/>
          <w:lang w:val="en-US"/>
        </w:rPr>
        <w:t xml:space="preserve"> unreliable characterization of renal masses other than simple cysts</w:t>
      </w:r>
      <w:r w:rsidRPr="00B246B6">
        <w:rPr>
          <w:rFonts w:ascii="Book Antiqua" w:hAnsi="Book Antiqua" w:cs="Book Antiqua"/>
          <w:sz w:val="24"/>
          <w:szCs w:val="24"/>
          <w:vertAlign w:val="superscript"/>
          <w:lang w:val="en-US"/>
        </w:rPr>
        <w:t>[5-8]</w:t>
      </w:r>
      <w:r w:rsidRPr="00B246B6">
        <w:rPr>
          <w:rFonts w:ascii="Book Antiqua" w:hAnsi="Book Antiqua" w:cs="Book Antiqua"/>
          <w:sz w:val="24"/>
          <w:szCs w:val="24"/>
          <w:lang w:val="en-US"/>
        </w:rPr>
        <w:t>. In particular, conventional Doppler modes do not allow differentiation between hypovascular tumors and complicated cysts</w:t>
      </w:r>
      <w:r w:rsidRPr="00B246B6">
        <w:rPr>
          <w:rFonts w:ascii="Book Antiqua" w:hAnsi="Book Antiqua" w:cs="Book Antiqua"/>
          <w:sz w:val="24"/>
          <w:szCs w:val="24"/>
          <w:vertAlign w:val="superscript"/>
          <w:lang w:val="en-US"/>
        </w:rPr>
        <w:t>[9,10]</w:t>
      </w:r>
      <w:r w:rsidRPr="00B246B6">
        <w:rPr>
          <w:rFonts w:ascii="Book Antiqua" w:hAnsi="Book Antiqua" w:cs="Book Antiqua"/>
          <w:sz w:val="24"/>
          <w:szCs w:val="24"/>
          <w:lang w:val="en-US"/>
        </w:rPr>
        <w:t xml:space="preserve">, both of common occurrence in patients with RFI, </w:t>
      </w:r>
      <w:r w:rsidR="00732D88" w:rsidRPr="00B246B6">
        <w:rPr>
          <w:rFonts w:ascii="Book Antiqua" w:hAnsi="Book Antiqua" w:cs="Book Antiqua"/>
          <w:sz w:val="24"/>
          <w:szCs w:val="24"/>
          <w:lang w:val="en-US"/>
        </w:rPr>
        <w:t>nor can reliably</w:t>
      </w:r>
      <w:r w:rsidRPr="00B246B6">
        <w:rPr>
          <w:rFonts w:ascii="Book Antiqua" w:hAnsi="Book Antiqua" w:cs="Book Antiqua"/>
          <w:sz w:val="24"/>
          <w:szCs w:val="24"/>
          <w:lang w:val="en-US"/>
        </w:rPr>
        <w:t xml:space="preserve"> assess the risk of malignancy of complex cystic masses.</w:t>
      </w:r>
    </w:p>
    <w:p w14:paraId="14FBEE2D" w14:textId="16E0801B" w:rsidR="00D45B3E" w:rsidRPr="00B246B6" w:rsidRDefault="003B6C65" w:rsidP="00A13522">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Contrast-enhanced ultrasound (CEUS) has been advocated as the imaging modality of choice to evaluate patients with RFI, given the absence </w:t>
      </w:r>
      <w:r w:rsidR="00732D88" w:rsidRPr="00B246B6">
        <w:rPr>
          <w:rFonts w:ascii="Book Antiqua" w:hAnsi="Book Antiqua" w:cs="Book Antiqua"/>
          <w:sz w:val="24"/>
          <w:szCs w:val="24"/>
          <w:lang w:val="en-US"/>
        </w:rPr>
        <w:t xml:space="preserve">of </w:t>
      </w:r>
      <w:r w:rsidRPr="00B246B6">
        <w:rPr>
          <w:rFonts w:ascii="Book Antiqua" w:hAnsi="Book Antiqua" w:cs="Book Antiqua"/>
          <w:sz w:val="24"/>
          <w:szCs w:val="24"/>
          <w:lang w:val="en-US"/>
        </w:rPr>
        <w:t>nephrotoxicity and the ability of representing renal vascularization with excellent sensitivity and high spatial resolution</w:t>
      </w:r>
      <w:r w:rsidRPr="00B246B6">
        <w:rPr>
          <w:rFonts w:ascii="Book Antiqua" w:hAnsi="Book Antiqua" w:cs="Book Antiqua"/>
          <w:sz w:val="24"/>
          <w:szCs w:val="24"/>
          <w:vertAlign w:val="superscript"/>
          <w:lang w:val="en-US"/>
        </w:rPr>
        <w:t>[9,11]</w:t>
      </w:r>
      <w:r w:rsidRPr="00B246B6">
        <w:rPr>
          <w:rFonts w:ascii="Book Antiqua" w:hAnsi="Book Antiqua" w:cs="Book Antiqua"/>
          <w:sz w:val="24"/>
          <w:szCs w:val="24"/>
          <w:lang w:val="en-US"/>
        </w:rPr>
        <w:t>. According to the European federation of societies for ultrasound in medicine and biology (EFSUMB) guidelines, imaging with CEUS should be considered in every patient with RFI, when able to provide the clinically necessary information</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"DOI" : "10.1055/s-0031-1281676", "ISSN" : "1438-8782", "PMID" : "21874631", "author" : [ { "dropping-particle" : "", "family" : "Piscaglia", "given" : "F", "non-dropping-particle" : "", "parse-names" : false, "suffix" : "" }, { "dropping-particle" : "", "family" : "Nols\u00f8e", "given" : "C", "non-dropping-particle" : "", "parse-names" : false, "suffix" : "" }, { "dropping-particle" : "", "family" : "Dietrich", "given" : "C F", "non-dropping-particle" : "", "parse-names" : false, "suffix" : "" }, { "dropping-particle" : "", "family" : "Cosgrove", "given" : "D O", "non-dropping-particle" : "", "parse-names" : false, "suffix" : "" }, { "dropping-particle" : "", "family" : "Gilja", "given" : "O H", "non-dropping-particle" : "", "parse-names" : false, "suffix" : "" }, { "dropping-particle" : "", "family" : "Bachmann Nielsen", "given" : "M", "non-dropping-particle" : "", "parse-names" : false, "suffix" : "" }, { "dropping-particle" : "", "family" : "Albrecht", "given" : "T", "non-dropping-particle" : "", "parse-names" : false, "suffix" : "" }, { "dropping-particle" : "", "family" : "Barozzi", "given" : "L", "non-dropping-particle" : "", "parse-names" : false, "suffix" : "" }, { "dropping-particle" : "", "family" : "Bertolotto", "given" : "M", "non-dropping-particle" : "", "parse-names" : false, "suffix" : "" }, { "dropping-particle" : "", "family" : "Catalano", "given" : "O", "non-dropping-particle" : "", "parse-names" : false, "suffix" : "" }, { "dropping-particle" : "", "family" : "Claudon", "given" : "M", "non-dropping-particle" : "", "parse-names" : false, "suffix" : "" }, { "dropping-particle" : "", "family" : "Clevert", "given" : "D A", "non-dropping-particle" : "", "parse-names" : false, "suffix" : "" }, { "dropping-particle" : "", "family" : "Correas", "given" : "J M", "non-dropping-particle" : "", "parse-names" : false, "suffix" : "" }, { "dropping-particle" : "", "family" : "D'Onofrio", "given" : "M", "non-dropping-particle" : "", "parse-names" : false, "suffix" : "" }, { "dropping-particle" : "", "family" : "Drudi", "given" : "F M", "non-dropping-particle" : "", "parse-names" : false, "suffix" : "" }, { "dropping-particle" : "", "family" : "Eyding", "given" : "J", "non-dropping-particle" : "", "parse-names" : false, "suffix" : "" }, { "dropping-particle" : "", "family" : "Giovannini", "given" : "M", "non-dropping-particle" : "", "parse-names" : false, "suffix" : "" }, { "dropping-particle" : "", "family" : "Hocke", "given" : "M", "non-dropping-particle" : "", "parse-names" : false, "suffix" : "" }, { "dropping-particle" : "", "family" : "Ignee", "given" : "A", "non-dropping-particle" : "", "parse-names" : false, "suffix" : "" }, { "dropping-particle" : "", "family" : "Jung", "given" : "E M", "non-dropping-particle" : "", "parse-names" : false, "suffix" : "" }, { "dropping-particle" : "", "family" : "Klauser", "given" : "A S", "non-dropping-particle" : "", "parse-names" : false, "suffix" : "" }, { "dropping-particle" : "", "family" : "Lassau", "given" : "N", "non-dropping-particle" : "", "parse-names" : false, "suffix" : "" }, { "dropping-particle" : "", "family" : "Leen", "given" : "E", "non-dropping-particle" : "", "parse-names" : false, "suffix" : "" }, { "dropping-particle" : "", "family" : "Mathis", "given" : "G", "non-dropping-particle" : "", "parse-names" : false, "suffix" : "" }, { "dropping-particle" : "", "family" : "Saftoiu", "given" : "A", "non-dropping-particle" : "", "parse-names" : false, "suffix" : "" }, { "dropping-particle" : "", "family" : "Seidel", "given" : "G", "non-dropping-particle" : "", "parse-names" : false, "suffix" : "" }, { "dropping-particle" : "", "family" : "Sidhu", "given" : "P S", "non-dropping-particle" : "", "parse-names" : false, "suffix" : "" }, { "dropping-particle" : "", "family" : "Haar", "given" : "G", "non-dropping-particle" : "ter", "parse-names" : false, "suffix" : "" }, { "dropping-particle" : "", "family" : "Timmerman", "given" : "D", "non-dropping-particle" : "", "parse-names" : false, "suffix" : "" }, { "dropping-particle" : "", "family" : "Weskott", "given" : "H P", "non-dropping-particle" : "", "parse-names" : false, "suffix" : "" } ], "container-title" : "Ultraschall in der Medizin (Stuttgart, Germany : 1980)", "id" : "ITEM-1", "issue" : "1", "issued" : { "date-parts" : [ [ "2012", "2" ] ] }, "page" : "33-59", "title" : "The EFSUMB Guidelines and Recommendations on the Clinical Practice of Contrast Enhanced Ultrasound (CEUS): update 2011 on non-hepatic applications.", "type" : "article-journal", "volume" : "33" }, "uris" : [ "http://www.mendeley.com/documents/?uuid=1f910b39-a3e8-4c8f-9877-c204b15fae2d" ] } ], "mendeley" : { "formattedCitation" : "[1]", "plainTextFormattedCitation" : "[1]", "previouslyFormattedCitation" : "[1]"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 xml:space="preserve">. CEUS has the potential to compensate for limitations of conventional Doppler modes </w:t>
      </w:r>
      <w:r w:rsidRPr="00B246B6">
        <w:rPr>
          <w:rFonts w:ascii="Book Antiqua" w:hAnsi="Book Antiqua" w:cs="Book Antiqua"/>
          <w:sz w:val="24"/>
          <w:szCs w:val="24"/>
          <w:lang w:val="en-GB"/>
        </w:rPr>
        <w:t xml:space="preserve">with a diagnostic performance comparable or superior to CT in </w:t>
      </w:r>
      <w:r w:rsidR="00D45B3E" w:rsidRPr="00B246B6">
        <w:rPr>
          <w:rFonts w:ascii="Book Antiqua" w:hAnsi="Book Antiqua" w:cs="Book Antiqua"/>
          <w:sz w:val="24"/>
          <w:szCs w:val="24"/>
          <w:lang w:val="en-GB"/>
        </w:rPr>
        <w:t xml:space="preserve">the </w:t>
      </w:r>
      <w:r w:rsidRPr="00B246B6">
        <w:rPr>
          <w:rFonts w:ascii="Book Antiqua" w:hAnsi="Book Antiqua" w:cs="Book Antiqua"/>
          <w:sz w:val="24"/>
          <w:szCs w:val="24"/>
          <w:lang w:val="en-GB"/>
        </w:rPr>
        <w:t xml:space="preserve">detection of perfusion abnormalities, lesion characterization </w:t>
      </w:r>
      <w:r w:rsidR="00153DA2" w:rsidRPr="00B246B6">
        <w:rPr>
          <w:rFonts w:ascii="Book Antiqua" w:hAnsi="Book Antiqua" w:cs="Book Antiqua"/>
          <w:sz w:val="24"/>
          <w:szCs w:val="24"/>
          <w:lang w:val="en-GB"/>
        </w:rPr>
        <w:t>(</w:t>
      </w:r>
      <w:r w:rsidRPr="00B246B6">
        <w:rPr>
          <w:rFonts w:ascii="Book Antiqua" w:hAnsi="Book Antiqua" w:cs="Book Antiqua"/>
          <w:sz w:val="24"/>
          <w:szCs w:val="24"/>
          <w:lang w:val="en-GB"/>
        </w:rPr>
        <w:t xml:space="preserve">cystic </w:t>
      </w:r>
      <w:r w:rsidR="00034F43" w:rsidRPr="00B246B6">
        <w:rPr>
          <w:rFonts w:ascii="Book Antiqua" w:hAnsi="Book Antiqua" w:cs="Book Antiqua"/>
          <w:i/>
          <w:sz w:val="24"/>
          <w:szCs w:val="24"/>
          <w:lang w:val="en-GB"/>
        </w:rPr>
        <w:t>vs</w:t>
      </w:r>
      <w:r w:rsidRPr="00B246B6">
        <w:rPr>
          <w:rFonts w:ascii="Book Antiqua" w:hAnsi="Book Antiqua" w:cs="Book Antiqua"/>
          <w:sz w:val="24"/>
          <w:szCs w:val="24"/>
          <w:lang w:val="en-GB"/>
        </w:rPr>
        <w:t xml:space="preserve"> solid</w:t>
      </w:r>
      <w:r w:rsidR="00153DA2" w:rsidRPr="00B246B6">
        <w:rPr>
          <w:rFonts w:ascii="Book Antiqua" w:hAnsi="Book Antiqua" w:cs="Book Antiqua"/>
          <w:sz w:val="24"/>
          <w:szCs w:val="24"/>
          <w:lang w:val="en-GB"/>
        </w:rPr>
        <w:t>)</w:t>
      </w:r>
      <w:r w:rsidRPr="00B246B6">
        <w:rPr>
          <w:rFonts w:ascii="Book Antiqua" w:hAnsi="Book Antiqua" w:cs="Book Antiqua"/>
          <w:sz w:val="24"/>
          <w:szCs w:val="24"/>
          <w:lang w:val="en-GB"/>
        </w:rPr>
        <w:t xml:space="preserve">, and categorization of cysts according </w:t>
      </w:r>
      <w:r w:rsidR="00153DA2" w:rsidRPr="00B246B6">
        <w:rPr>
          <w:rFonts w:ascii="Book Antiqua" w:hAnsi="Book Antiqua" w:cs="Book Antiqua"/>
          <w:sz w:val="24"/>
          <w:szCs w:val="24"/>
          <w:lang w:val="en-GB"/>
        </w:rPr>
        <w:t>to</w:t>
      </w:r>
      <w:r w:rsidRPr="00B246B6">
        <w:rPr>
          <w:rFonts w:ascii="Book Antiqua" w:hAnsi="Book Antiqua" w:cs="Book Antiqua"/>
          <w:sz w:val="24"/>
          <w:szCs w:val="24"/>
          <w:lang w:val="en-GB"/>
        </w:rPr>
        <w:t xml:space="preserve"> Bosniak criteria</w:t>
      </w:r>
      <w:r w:rsidRPr="00B246B6">
        <w:rPr>
          <w:rFonts w:ascii="Book Antiqua" w:hAnsi="Book Antiqua" w:cs="Book Antiqua"/>
          <w:sz w:val="24"/>
          <w:szCs w:val="24"/>
          <w:vertAlign w:val="superscript"/>
          <w:lang w:val="en-GB"/>
        </w:rPr>
        <w:t>[10,12-14]</w:t>
      </w:r>
      <w:r w:rsidRPr="00B246B6">
        <w:rPr>
          <w:rFonts w:ascii="Book Antiqua" w:hAnsi="Book Antiqua" w:cs="Book Antiqua"/>
          <w:sz w:val="24"/>
          <w:szCs w:val="24"/>
          <w:lang w:val="en-US"/>
        </w:rPr>
        <w:t xml:space="preserve">. </w:t>
      </w:r>
      <w:r w:rsidR="009B50A0" w:rsidRPr="00B246B6">
        <w:rPr>
          <w:rFonts w:ascii="Book Antiqua" w:hAnsi="Book Antiqua" w:cs="Book Antiqua"/>
          <w:sz w:val="24"/>
          <w:szCs w:val="24"/>
          <w:lang w:val="en-US"/>
        </w:rPr>
        <w:t>To our knowledge, however, e</w:t>
      </w:r>
      <w:r w:rsidR="0038462B" w:rsidRPr="00B246B6">
        <w:rPr>
          <w:rFonts w:ascii="Book Antiqua" w:hAnsi="Book Antiqua" w:cs="Book Antiqua"/>
          <w:sz w:val="24"/>
          <w:szCs w:val="24"/>
          <w:lang w:val="en-US"/>
        </w:rPr>
        <w:t>vidence</w:t>
      </w:r>
      <w:r w:rsidRPr="00B246B6">
        <w:rPr>
          <w:rFonts w:ascii="Book Antiqua" w:hAnsi="Book Antiqua" w:cs="Book Antiqua"/>
          <w:sz w:val="24"/>
          <w:szCs w:val="24"/>
          <w:lang w:val="en-US"/>
        </w:rPr>
        <w:t xml:space="preserve"> </w:t>
      </w:r>
      <w:r w:rsidR="0038462B" w:rsidRPr="00B246B6">
        <w:rPr>
          <w:rFonts w:ascii="Book Antiqua" w:hAnsi="Book Antiqua" w:cs="Book Antiqua"/>
          <w:sz w:val="24"/>
          <w:szCs w:val="24"/>
          <w:lang w:val="en-US"/>
        </w:rPr>
        <w:t xml:space="preserve">supporting </w:t>
      </w:r>
      <w:r w:rsidR="00153DA2" w:rsidRPr="00B246B6">
        <w:rPr>
          <w:rFonts w:ascii="Book Antiqua" w:hAnsi="Book Antiqua" w:cs="Book Antiqua"/>
          <w:sz w:val="24"/>
          <w:szCs w:val="24"/>
          <w:lang w:val="en-US"/>
        </w:rPr>
        <w:t>the above indications</w:t>
      </w:r>
      <w:r w:rsidRPr="00B246B6">
        <w:rPr>
          <w:rFonts w:ascii="Book Antiqua" w:hAnsi="Book Antiqua" w:cs="Book Antiqua"/>
          <w:sz w:val="24"/>
          <w:szCs w:val="24"/>
          <w:lang w:val="en-US"/>
        </w:rPr>
        <w:t xml:space="preserve"> results from </w:t>
      </w:r>
      <w:r w:rsidR="009B50A0" w:rsidRPr="00B246B6">
        <w:rPr>
          <w:rFonts w:ascii="Book Antiqua" w:hAnsi="Book Antiqua" w:cs="Book Antiqua"/>
          <w:sz w:val="24"/>
          <w:szCs w:val="24"/>
          <w:lang w:val="en-US"/>
        </w:rPr>
        <w:t>reports</w:t>
      </w:r>
      <w:r w:rsidRPr="00B246B6">
        <w:rPr>
          <w:rFonts w:ascii="Book Antiqua" w:hAnsi="Book Antiqua" w:cs="Book Antiqua"/>
          <w:sz w:val="24"/>
          <w:szCs w:val="24"/>
          <w:lang w:val="en-US"/>
        </w:rPr>
        <w:t xml:space="preserve"> on patients with normal renal function</w:t>
      </w:r>
      <w:r w:rsidR="00D45B3E" w:rsidRPr="00B246B6">
        <w:rPr>
          <w:rFonts w:ascii="Book Antiqua" w:hAnsi="Book Antiqua" w:cs="Book Antiqua"/>
          <w:sz w:val="24"/>
          <w:szCs w:val="24"/>
          <w:lang w:val="en-US"/>
        </w:rPr>
        <w:t xml:space="preserve"> and </w:t>
      </w:r>
      <w:r w:rsidR="00BB4472" w:rsidRPr="00B246B6">
        <w:rPr>
          <w:rFonts w:ascii="Book Antiqua" w:hAnsi="Book Antiqua" w:cs="Book Antiqua"/>
          <w:sz w:val="24"/>
          <w:szCs w:val="24"/>
          <w:lang w:val="en-US"/>
        </w:rPr>
        <w:t xml:space="preserve">experts </w:t>
      </w:r>
      <w:r w:rsidR="00BB4472" w:rsidRPr="00B246B6">
        <w:rPr>
          <w:rFonts w:ascii="Book Antiqua" w:hAnsi="Book Antiqua" w:cs="Book Antiqua"/>
          <w:sz w:val="24"/>
          <w:szCs w:val="24"/>
          <w:lang w:val="en-US"/>
        </w:rPr>
        <w:lastRenderedPageBreak/>
        <w:t>opinion rather than specifically addressed studies</w:t>
      </w:r>
      <w:r w:rsidR="009B50A0" w:rsidRPr="00B246B6">
        <w:rPr>
          <w:rFonts w:ascii="Book Antiqua" w:hAnsi="Book Antiqua" w:cs="Book Antiqua"/>
          <w:sz w:val="24"/>
          <w:szCs w:val="24"/>
          <w:lang w:val="en-US"/>
        </w:rPr>
        <w:t>, which currently lack</w:t>
      </w:r>
      <w:r w:rsidR="0038462B" w:rsidRPr="00B246B6">
        <w:rPr>
          <w:rFonts w:ascii="Book Antiqua" w:hAnsi="Book Antiqua" w:cs="Book Antiqua"/>
          <w:sz w:val="24"/>
          <w:szCs w:val="24"/>
          <w:lang w:val="en-US"/>
        </w:rPr>
        <w:t xml:space="preserve">. </w:t>
      </w:r>
    </w:p>
    <w:p w14:paraId="1266BB9A" w14:textId="0FA1BF0D" w:rsidR="003B6C65" w:rsidRPr="00B246B6" w:rsidRDefault="003B6C65" w:rsidP="00A13522">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The purpose of this study </w:t>
      </w:r>
      <w:r w:rsidR="009B50A0" w:rsidRPr="00B246B6">
        <w:rPr>
          <w:rFonts w:ascii="Book Antiqua" w:hAnsi="Book Antiqua" w:cs="Book Antiqua"/>
          <w:sz w:val="24"/>
          <w:szCs w:val="24"/>
          <w:lang w:val="en-US"/>
        </w:rPr>
        <w:t>was</w:t>
      </w:r>
      <w:r w:rsidRPr="00B246B6">
        <w:rPr>
          <w:rFonts w:ascii="Book Antiqua" w:hAnsi="Book Antiqua" w:cs="Book Antiqua"/>
          <w:sz w:val="24"/>
          <w:szCs w:val="24"/>
          <w:lang w:val="en-US"/>
        </w:rPr>
        <w:t xml:space="preserve"> </w:t>
      </w:r>
      <w:r w:rsidRPr="00B246B6">
        <w:rPr>
          <w:rFonts w:ascii="Book Antiqua" w:hAnsi="Book Antiqua" w:cs="Book Antiqua"/>
          <w:sz w:val="24"/>
          <w:szCs w:val="24"/>
          <w:lang w:val="en-GB"/>
        </w:rPr>
        <w:t xml:space="preserve">to investigate the role of CEUS </w:t>
      </w:r>
      <w:r w:rsidRPr="00B246B6">
        <w:rPr>
          <w:rFonts w:ascii="Book Antiqua" w:hAnsi="Book Antiqua" w:cs="Book Antiqua"/>
          <w:sz w:val="24"/>
          <w:szCs w:val="24"/>
          <w:lang w:val="en-US"/>
        </w:rPr>
        <w:t xml:space="preserve">in a population of patients with RFI </w:t>
      </w:r>
      <w:r w:rsidRPr="00B246B6">
        <w:rPr>
          <w:rFonts w:ascii="Book Antiqua" w:hAnsi="Book Antiqua" w:cs="Book Antiqua"/>
          <w:sz w:val="24"/>
          <w:szCs w:val="24"/>
          <w:lang w:val="en-GB"/>
        </w:rPr>
        <w:t>to assess the cause of renal function deterioration when perfusion abnormal</w:t>
      </w:r>
      <w:r w:rsidR="009F2D84" w:rsidRPr="00B246B6">
        <w:rPr>
          <w:rFonts w:ascii="Book Antiqua" w:hAnsi="Book Antiqua" w:cs="Book Antiqua"/>
          <w:sz w:val="24"/>
          <w:szCs w:val="24"/>
          <w:lang w:val="en-GB"/>
        </w:rPr>
        <w:t>ities were clinically suspected or</w:t>
      </w:r>
      <w:r w:rsidRPr="00B246B6">
        <w:rPr>
          <w:rFonts w:ascii="Book Antiqua" w:hAnsi="Book Antiqua" w:cs="Book Antiqua"/>
          <w:sz w:val="24"/>
          <w:szCs w:val="24"/>
          <w:lang w:val="en-GB"/>
        </w:rPr>
        <w:t xml:space="preserve"> characterize renal lesions.</w:t>
      </w:r>
    </w:p>
    <w:p w14:paraId="0A37C051"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bCs/>
          <w:sz w:val="24"/>
          <w:szCs w:val="24"/>
          <w:lang w:val="en-US"/>
        </w:rPr>
      </w:pPr>
    </w:p>
    <w:p w14:paraId="17D98DD7"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MATERIALS AND METHODS</w:t>
      </w:r>
    </w:p>
    <w:p w14:paraId="10231D3E" w14:textId="6422895C" w:rsidR="003B6C65" w:rsidRPr="00B246B6" w:rsidRDefault="005A387B"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Patient’s</w:t>
      </w:r>
      <w:r w:rsidR="003B6C65" w:rsidRPr="00B246B6">
        <w:rPr>
          <w:rFonts w:ascii="Book Antiqua" w:hAnsi="Book Antiqua" w:cs="Book Antiqua"/>
          <w:b/>
          <w:i/>
          <w:iCs/>
          <w:sz w:val="24"/>
          <w:szCs w:val="24"/>
          <w:lang w:val="en-US"/>
        </w:rPr>
        <w:t xml:space="preserve"> population</w:t>
      </w:r>
    </w:p>
    <w:p w14:paraId="7EFD81A0" w14:textId="4B90A09D" w:rsidR="00C63C00" w:rsidRPr="00B246B6" w:rsidRDefault="003B6C65" w:rsidP="00C57CCC">
      <w:pPr>
        <w:widowControl w:val="0"/>
        <w:adjustRightInd w:val="0"/>
        <w:spacing w:after="0" w:line="360" w:lineRule="auto"/>
        <w:jc w:val="both"/>
        <w:rPr>
          <w:rFonts w:ascii="Book Antiqua" w:hAnsi="Book Antiqua" w:cs="Book Antiqua"/>
          <w:sz w:val="24"/>
          <w:szCs w:val="24"/>
          <w:lang w:val="en-GB" w:eastAsia="it-IT"/>
        </w:rPr>
      </w:pPr>
      <w:r w:rsidRPr="00B246B6">
        <w:rPr>
          <w:rFonts w:ascii="Book Antiqua" w:hAnsi="Book Antiqua" w:cs="Book Antiqua"/>
          <w:sz w:val="24"/>
          <w:szCs w:val="24"/>
          <w:lang w:val="en-US"/>
        </w:rPr>
        <w:t>Referring institutional review board approved this study and waived for informed consent acquisition due to the retrospective design, in accordance with regulations of our country. By performing a computer search, we identified all patients with RFI who underwent renal CEUS over an 8-years period (January 2004</w:t>
      </w:r>
      <w:r w:rsidR="0068244D" w:rsidRPr="00B246B6">
        <w:rPr>
          <w:rFonts w:ascii="Book Antiqua" w:hAnsi="Book Antiqua" w:cs="Book Antiqua"/>
          <w:sz w:val="24"/>
          <w:szCs w:val="24"/>
          <w:lang w:val="en-US" w:eastAsia="zh-CN"/>
        </w:rPr>
        <w:t>-</w:t>
      </w:r>
      <w:r w:rsidRPr="00B246B6">
        <w:rPr>
          <w:rFonts w:ascii="Book Antiqua" w:hAnsi="Book Antiqua" w:cs="Book Antiqua"/>
          <w:sz w:val="24"/>
          <w:szCs w:val="24"/>
          <w:lang w:val="en-US"/>
        </w:rPr>
        <w:t xml:space="preserve">August 2012) to assess the cause of renal function deterioration, or to attempt characterization of renal masses. Patients of the first group were investigated to rule-out a vascular cause for renal function deterioration. They were patients with risk factors for renal infarction </w:t>
      </w:r>
      <w:r w:rsidR="006D1DDC" w:rsidRPr="00B246B6">
        <w:rPr>
          <w:rFonts w:ascii="Book Antiqua" w:hAnsi="Book Antiqua" w:cs="Book Antiqua"/>
          <w:sz w:val="24"/>
          <w:szCs w:val="24"/>
          <w:lang w:val="en-US"/>
        </w:rPr>
        <w:t>manifesting</w:t>
      </w:r>
      <w:r w:rsidR="009F2D84" w:rsidRPr="00B246B6">
        <w:rPr>
          <w:rFonts w:ascii="Book Antiqua" w:hAnsi="Book Antiqua" w:cs="Book Antiqua"/>
          <w:sz w:val="24"/>
          <w:szCs w:val="24"/>
          <w:lang w:val="en-US"/>
        </w:rPr>
        <w:t xml:space="preserve"> a</w:t>
      </w:r>
      <w:r w:rsidRPr="00B246B6">
        <w:rPr>
          <w:rFonts w:ascii="Book Antiqua" w:hAnsi="Book Antiqua" w:cs="Book Antiqua"/>
          <w:sz w:val="24"/>
          <w:szCs w:val="24"/>
          <w:lang w:val="en-US"/>
        </w:rPr>
        <w:t xml:space="preserve"> rapid decline of the estimated glomerular filtration rate (eGFR). In </w:t>
      </w:r>
      <w:r w:rsidR="009F2D84" w:rsidRPr="00B246B6">
        <w:rPr>
          <w:rFonts w:ascii="Book Antiqua" w:hAnsi="Book Antiqua" w:cs="Book Antiqua"/>
          <w:sz w:val="24"/>
          <w:szCs w:val="24"/>
          <w:lang w:val="en-US"/>
        </w:rPr>
        <w:t>this group</w:t>
      </w:r>
      <w:r w:rsidRPr="00B246B6">
        <w:rPr>
          <w:rFonts w:ascii="Book Antiqua" w:hAnsi="Book Antiqua" w:cs="Book Antiqua"/>
          <w:sz w:val="24"/>
          <w:szCs w:val="24"/>
          <w:lang w:val="en-US"/>
        </w:rPr>
        <w:t xml:space="preserve">, conventional Doppler modes were used to investigate the renal arteries and parenchymal vessels, </w:t>
      </w:r>
      <w:r w:rsidR="009F2D84" w:rsidRPr="00B246B6">
        <w:rPr>
          <w:rFonts w:ascii="Book Antiqua" w:hAnsi="Book Antiqua" w:cs="Book Antiqua"/>
          <w:sz w:val="24"/>
          <w:szCs w:val="24"/>
          <w:lang w:val="en-US"/>
        </w:rPr>
        <w:t>while</w:t>
      </w:r>
      <w:r w:rsidRPr="00B246B6">
        <w:rPr>
          <w:rFonts w:ascii="Book Antiqua" w:hAnsi="Book Antiqua" w:cs="Book Antiqua"/>
          <w:sz w:val="24"/>
          <w:szCs w:val="24"/>
          <w:lang w:val="en-US"/>
        </w:rPr>
        <w:t xml:space="preserve"> CEUS was </w:t>
      </w:r>
      <w:r w:rsidR="009F2D84" w:rsidRPr="00B246B6">
        <w:rPr>
          <w:rFonts w:ascii="Book Antiqua" w:hAnsi="Book Antiqua" w:cs="Book Antiqua"/>
          <w:sz w:val="24"/>
          <w:szCs w:val="24"/>
          <w:lang w:val="en-US"/>
        </w:rPr>
        <w:t xml:space="preserve">subsequently </w:t>
      </w:r>
      <w:r w:rsidRPr="00B246B6">
        <w:rPr>
          <w:rFonts w:ascii="Book Antiqua" w:hAnsi="Book Antiqua" w:cs="Book Antiqua"/>
          <w:sz w:val="24"/>
          <w:szCs w:val="24"/>
          <w:lang w:val="en-US"/>
        </w:rPr>
        <w:t xml:space="preserve">performed to rule-out infarcted areas not identified with conventional modes. Patients of the second group had renal masses identified on previous conventional US or unenhanced CT. All </w:t>
      </w:r>
      <w:r w:rsidR="009F2D84" w:rsidRPr="00B246B6">
        <w:rPr>
          <w:rFonts w:ascii="Book Antiqua" w:hAnsi="Book Antiqua" w:cs="Book Antiqua"/>
          <w:sz w:val="24"/>
          <w:szCs w:val="24"/>
          <w:lang w:val="en-US"/>
        </w:rPr>
        <w:t>of them</w:t>
      </w:r>
      <w:r w:rsidRPr="00B246B6">
        <w:rPr>
          <w:rFonts w:ascii="Book Antiqua" w:hAnsi="Book Antiqua" w:cs="Book Antiqua"/>
          <w:sz w:val="24"/>
          <w:szCs w:val="24"/>
          <w:lang w:val="en-US"/>
        </w:rPr>
        <w:t xml:space="preserve"> showed eGFR &lt;</w:t>
      </w:r>
      <w:r w:rsidR="00A13522"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60 mL/min</w:t>
      </w:r>
      <w:r w:rsidR="00A13522" w:rsidRPr="00B246B6">
        <w:rPr>
          <w:rFonts w:ascii="Book Antiqua" w:hAnsi="Book Antiqua" w:cs="Book Antiqua"/>
          <w:sz w:val="24"/>
          <w:szCs w:val="24"/>
          <w:lang w:val="en-US" w:eastAsia="zh-CN"/>
        </w:rPr>
        <w:t xml:space="preserve"> per </w:t>
      </w:r>
      <w:r w:rsidRPr="00B246B6">
        <w:rPr>
          <w:rFonts w:ascii="Book Antiqua" w:hAnsi="Book Antiqua" w:cs="Book Antiqua"/>
          <w:sz w:val="24"/>
          <w:szCs w:val="24"/>
          <w:lang w:val="en-US"/>
        </w:rPr>
        <w:t>1.73</w:t>
      </w:r>
      <w:r w:rsidR="0002003D">
        <w:rPr>
          <w:rFonts w:ascii="Book Antiqua" w:hAnsi="Book Antiqua" w:cs="Book Antiqua" w:hint="eastAsia"/>
          <w:sz w:val="24"/>
          <w:szCs w:val="24"/>
          <w:lang w:val="en-US" w:eastAsia="zh-CN"/>
        </w:rPr>
        <w:t xml:space="preserve"> </w:t>
      </w:r>
      <w:r w:rsidRPr="00B246B6">
        <w:rPr>
          <w:rFonts w:ascii="Book Antiqua" w:hAnsi="Book Antiqua" w:cs="Book Antiqua"/>
          <w:sz w:val="24"/>
          <w:szCs w:val="24"/>
          <w:lang w:val="en-US"/>
        </w:rPr>
        <w:t>m</w:t>
      </w:r>
      <w:r w:rsidRPr="00B246B6">
        <w:rPr>
          <w:rFonts w:ascii="Book Antiqua" w:hAnsi="Book Antiqua" w:cs="Book Antiqua"/>
          <w:sz w:val="24"/>
          <w:szCs w:val="24"/>
          <w:vertAlign w:val="superscript"/>
          <w:lang w:val="en-US"/>
        </w:rPr>
        <w:t>2</w:t>
      </w:r>
      <w:r w:rsidRPr="00B246B6">
        <w:rPr>
          <w:rFonts w:ascii="Book Antiqua" w:hAnsi="Book Antiqua" w:cs="Book Antiqua"/>
          <w:sz w:val="24"/>
          <w:szCs w:val="24"/>
          <w:lang w:val="en-US"/>
        </w:rPr>
        <w:t xml:space="preserve"> estimated from the serum creatinine values using the CKD-EPI equation</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"ISSN" : "1539-3704", "PMID" : "19414839", "abstract" : "BACKGROUND: Equations to estimate glomerular filtration rate (GFR) are routinely used to assess kidney function. Current equations have limited precision and systematically underestimate measured GFR at higher values.\n\nOBJECTIVE: To develop a new estimating equation for GFR: the Chronic Kidney Disease Epidemiology Collaboration (CKD-EPI) equation.\n\nDESIGN: Cross-sectional analysis with separate pooled data sets for equation development and validation and a representative sample of the U.S. population for prevalence estimates.\n\nSETTING: Research studies and clinical populations (\"studies\") with measured GFR and NHANES (National Health and Nutrition Examination Survey), 1999 to 2006.\n\nPARTICIPANTS: 8254 participants in 10 studies (equation development data set) and 3896 participants in 16 studies (validation data set). Prevalence estimates were based on 16,032 participants in NHANES.\n\nMEASUREMENTS: GFR, measured as the clearance of exogenous filtration markers (iothalamate in the development data set; iothalamate and other markers in the validation data set), and linear regression to estimate the logarithm of measured GFR from standardized creatinine levels, sex, race, and age.\n\nRESULTS: In the validation data set, the CKD-EPI equation performed better than the Modification of Diet in Renal Disease Study equation, especially at higher GFR (P &lt; 0.001 for all subsequent comparisons), with less bias (median difference between measured and estimated GFR, 2.5 vs. 5.5 mL/min per 1.73 m(2)), improved precision (interquartile range [IQR] of the differences, 16.6 vs. 18.3 mL/min per 1.73 m(2)), and greater accuracy (percentage of estimated GFR within 30% of measured GFR, 84.1% vs. 80.6%). In NHANES, the median estimated GFR was 94.5 mL/min per 1.73 m(2) (IQR, 7</w:instrText>
      </w:r>
      <w:r w:rsidRPr="00B246B6">
        <w:rPr>
          <w:rFonts w:ascii="Book Antiqua" w:hAnsi="Book Antiqua" w:cs="Book Antiqua"/>
          <w:sz w:val="24"/>
          <w:szCs w:val="24"/>
          <w:vertAlign w:val="superscript"/>
        </w:rPr>
        <w:instrText>9.7 to 108.1) vs. 85.0 (IQR, 72.9 to 98.5) mL/min per 1.73 m(2), and the prevalence of chronic kidney disease was 11.5% (95% CI, 10.6% to 12.4%) versus 13.1% (CI, 12.1% to 14.0%).\n\nLIMITATION: The sample contained a limited number of elderly people and racial and ethnic minorities with measured GFR.\n\nCONCLUSION: The CKD-EPI creatinine equation is more accurate than the Modification of Diet in Renal Disease Study equation and could replace it for routine clinical use.\n\nPRIMARY FUNDING SOURCE: National Institute of Diabetes and Digestive and Kidney Diseases.", "author" : [ { "dropping-particle" : "", "family" : "Levey", "given" : "Andrew S", "non-dropping-particle" : "", "parse-names" : false, "suffix" : "" }, { "dropping-particle" : "", "family" : "Stevens", "given" : "Lesley A", "non-dropping-particle" : "", "parse-names" : false, "suffix" : "" }, { "dropping-particle" : "", "family" : "Schmid", "given" : "Christopher H", "non-dropping-particle" : "", "parse-names" : false, "suffix" : "" }, { "dropping-particle" : "", "family" : "Zhang", "given" : "Yaping Lucy", "non-dropping-particle" : "", "parse-names" : false, "suffix" : "" }, { "dropping-particle" : "", "family" : "Castro", "given" : "Alejandro F", "non-dropping-particle" : "", "par</w:instrText>
      </w:r>
      <w:r w:rsidRPr="00B246B6">
        <w:rPr>
          <w:rFonts w:ascii="Book Antiqua" w:hAnsi="Book Antiqua" w:cs="Book Antiqua"/>
          <w:sz w:val="24"/>
          <w:szCs w:val="24"/>
          <w:vertAlign w:val="superscript"/>
          <w:lang w:val="en-US"/>
        </w:rPr>
        <w:instrText>se-names" : false, "suffix" : "" }, { "dropping-particle" : "", "family" : "Feldman", "given" : "Harold I", "non-dropping-particle" : "", "parse-names" : false, "suffix" : "" }, { "dropping-particle" : "", "family" : "Kusek", "given" : "John W", "non-dropping-particle" : "", "parse-names" : false, "suffix" : "" }, { "dropping-particle" : "", "family" : "Eggers", "given" : "Paul", "non-dropping-particle" : "", "parse-names" : false, "suffix" : "" }, { "dropping-particle" : "", "family" : "Lente", "given" : "Frederick", "non-dropping-particle" : "Van", "parse-names" : false, "suffix" : "" }, { "dropping-particle" : "", "family" : "Greene", "given" : "Tom", "non-dropping-particle" : "", "parse-names" : false, "suffix" : "" }, { "dropping-particle" : "", "family" : "Coresh", "given" : "Josef", "non-dropping-particle" : "", "parse-names" : false, "suffix" : "" } ], "container-title" : "Annals of internal medicine", "id" : "ITEM-1", "issue" : "9", "issued" : { "date-parts" : [ [ "2009", "5", "5" ] ] }, "page" : "604-12", "title" : "A new equation to estimate glomerular filtration rate.", "type" : "article-journal", "volume" : "150" }, "uris" : [ "http://www.mendeley.com/documents/?uuid=c0a6d0da-b1da-4bc0-b6c9-8b62764c4eee" ] } ], "mendeley" : { "formattedCitation" : "[15]", "plainTextFormattedCitation" : "[15]", "previouslyFormattedCitation" : "[15]"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[15]</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w:t>
      </w:r>
      <w:r w:rsidRPr="00B246B6">
        <w:rPr>
          <w:rFonts w:ascii="Book Antiqua" w:hAnsi="Book Antiqua" w:cs="Book Antiqua"/>
          <w:sz w:val="24"/>
          <w:szCs w:val="24"/>
          <w:lang w:val="en-US" w:eastAsia="it-IT"/>
        </w:rPr>
        <w:t xml:space="preserve"> </w:t>
      </w:r>
      <w:r w:rsidRPr="00B246B6">
        <w:rPr>
          <w:rFonts w:ascii="Book Antiqua" w:hAnsi="Book Antiqua" w:cs="Book Antiqua"/>
          <w:sz w:val="24"/>
          <w:szCs w:val="24"/>
          <w:lang w:val="en-US"/>
        </w:rPr>
        <w:t>Renal impairment was scored according to the grades of the National Kidney Foundation</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"DOI" : "10.1111/j.1523-1755.2005.00365.x", "ISSN" : "0085-2538", "PMID" : "15882252", "abstract" : "Chronic kidney disease (CKD) is a worldwide public health problem, with adverse outcomes of kidney failure, cardiovascular disease (CVD), and premature death. A simple definition and classification of kidney disease is necessary for international development and implementation of clinical practice guidelines. Kidney Disease: Improving Global Outcomes (KDIGO) conducted a survey and sponsored a controversies conference to (1) provide a clear understanding to both the nephrology and nonnephrology communities of the evidence base for the definition and classification recommended by Kidney Disease Quality Outcome Initiative (K/DOQI), (2) develop global consensus for the adoption of a simple definition and classification system, and (3) identify a collaborative research agenda and plan that would improve the evidence base and facilitate implementation of the definition and classification of CKD. The K/DOQI definition and classification were accepted, with clarifications. CKD is defined as kidney damage or glomerular filtration rate (GFR) &lt;60 mL/min/1.73 m(2) for 3 months or more, irrespective of cause. Kidney damage in many kidney diseases can be ascertained by the presence of albuminuria, defined as albumin-to-creatinine ratio &gt;30 mg/g in two of three spot urine specimens. GFR can be estimated from calibrated serum creatinine and estimating equations, such as the Modification of Diet in Renal Disease (MDRD) Study equation or the Cockcroft-Gault formula. Kidney disease severity is classified into five stages according to the level of GFR. Kidney disease treatment by dialysis and transplantation should be noted. Simple, uniform classifications of CKD by cause and by risks for kidney disease progression and CVD should be developed.", "author" : [ { "dropping-particle" : "", "family" : "Levey", "given" : "Andrew S", "non-dropping-particle" : "", "parse-names" : false, "suffix" : "" }, { "dropping-particle" : "", "family" : "Eckardt", "given" : "Kai-Uwe", "non-dropping-particle" : "", "parse-names" : false, "suffix" : "" }, { "dropping-particle" : "", "family" : "Tsukamoto", "given" : "Yusuke", "non-dropping-particle" : "", "parse-names" : false, "suffix" : "" }, { "dropping-particle" : "", "family" : "Levin", "given" : "Adeera", "non-dropping-particle" : "", "parse-names" : false, "suffix" : "" }, { "dropping-particle" : "", "family" : "Coresh", "given" : "Josef", "non-dropping-particle" : "", "parse-names" : false, "suffix" : "" }, { "dropping-particle" : "", "family" : "Rossert", "given" : "Jerome", "non-dropping-particle" : "", "parse-names" : false, "suffix" : "" }, { "dropping-particle" : "", "family" : "Zeeuw", "given" : "Dick", "non-dropping-particle" : "De", "parse-names" : false, "suffix" : "" }, { "dropping-particle" : "", "family" : "Hostetter", "given" : "Thomas H", "non-dropping-particle" : "", "parse-names" : false, "suffix" : "" }, { "dropping-particle" : "", "family" : "Lameire", "given" : "Norbert", "non-dropping-particle" : "", "parse-names" : false, "suffix" : "" }, { "dropping-particle" : "", "family" : "Eknoyan", "given" : "Garabed", "non-dropping-particle" : "", "parse-names" : false, "suffix" : "" } ], "container-title" : "Kidney international", "id" : "ITEM-1", "issue" : "6", "issued" : { "date-parts" : [ [ "2005", "6" ] ] }, "page" : "2089-100", "title" : "Definition and classification of chronic kidney disease: a position statement from Kidney Disease: Improving Global Outcomes (KDIGO).", "type" : "article-journal", "volume" : "67" }, "uris" : [ "http://www.mendeley.com/documents/?uuid=bfc715f4-4f57-462a-932b-e768f21bb03d" ] } ], "mendeley" : { "formattedCitation" : "[16]", "plainTextFormattedCitation" : "[16]", "previouslyFormattedCitation" : "[16]"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[16]</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w:t>
      </w:r>
      <w:r w:rsidR="00C63C00" w:rsidRPr="00B246B6">
        <w:rPr>
          <w:rFonts w:ascii="Book Antiqua" w:hAnsi="Book Antiqua" w:cs="Book Antiqua"/>
          <w:sz w:val="24"/>
          <w:szCs w:val="24"/>
          <w:lang w:val="en-US"/>
        </w:rPr>
        <w:t xml:space="preserve"> We assessed RFI according to the Kidney disease improving global outcomes (KDIGO) criteria for both acute renal failure (ARF)</w:t>
      </w:r>
      <w:r w:rsidR="00C63C00" w:rsidRPr="00B246B6">
        <w:rPr>
          <w:rFonts w:ascii="Book Antiqua" w:hAnsi="Book Antiqua" w:cs="Book Antiqua"/>
          <w:sz w:val="24"/>
          <w:szCs w:val="24"/>
          <w:vertAlign w:val="superscript"/>
          <w:lang w:val="en-US"/>
        </w:rPr>
        <w:t xml:space="preserve">[17] </w:t>
      </w:r>
      <w:r w:rsidR="00C63C00" w:rsidRPr="00B246B6">
        <w:rPr>
          <w:rFonts w:ascii="Book Antiqua" w:hAnsi="Book Antiqua" w:cs="Book Antiqua"/>
          <w:sz w:val="24"/>
          <w:szCs w:val="24"/>
          <w:lang w:val="en-US"/>
        </w:rPr>
        <w:t>and chronic renal failure (CRF)</w:t>
      </w:r>
      <w:r w:rsidR="00C63C00" w:rsidRPr="00B246B6">
        <w:rPr>
          <w:rFonts w:ascii="Book Antiqua" w:hAnsi="Book Antiqua" w:cs="Book Antiqua"/>
          <w:sz w:val="24"/>
          <w:szCs w:val="24"/>
          <w:vertAlign w:val="superscript"/>
          <w:lang w:val="en-US"/>
        </w:rPr>
        <w:t>[18]</w:t>
      </w:r>
      <w:r w:rsidR="00C63C00" w:rsidRPr="00B246B6">
        <w:rPr>
          <w:rFonts w:ascii="Book Antiqua" w:hAnsi="Book Antiqua" w:cs="Book Antiqua"/>
          <w:sz w:val="24"/>
          <w:szCs w:val="24"/>
          <w:lang w:val="en-US"/>
        </w:rPr>
        <w:t>.</w:t>
      </w:r>
    </w:p>
    <w:p w14:paraId="70A4BD93" w14:textId="066E7963" w:rsidR="003B6C65" w:rsidRPr="00B246B6" w:rsidRDefault="003B6C65" w:rsidP="004C62F4">
      <w:pPr>
        <w:widowControl w:val="0"/>
        <w:adjustRightInd w:val="0"/>
        <w:spacing w:after="0" w:line="360" w:lineRule="auto"/>
        <w:ind w:firstLineChars="100" w:firstLine="240"/>
        <w:jc w:val="both"/>
        <w:rPr>
          <w:rFonts w:ascii="Book Antiqua" w:hAnsi="Book Antiqua" w:cs="Book Antiqua"/>
          <w:sz w:val="24"/>
          <w:szCs w:val="24"/>
          <w:lang w:val="en-US" w:eastAsia="zh-CN"/>
        </w:rPr>
      </w:pPr>
      <w:r w:rsidRPr="00B246B6">
        <w:rPr>
          <w:rFonts w:ascii="Book Antiqua" w:hAnsi="Book Antiqua" w:cs="Book Antiqua"/>
          <w:sz w:val="24"/>
          <w:szCs w:val="24"/>
          <w:lang w:val="en-US"/>
        </w:rPr>
        <w:t>A total of 91 patients were enrolled (64 men, 27 women; age range 40</w:t>
      </w:r>
      <w:r w:rsidR="00073D9F" w:rsidRPr="00B246B6">
        <w:rPr>
          <w:rFonts w:ascii="Book Antiqua" w:hAnsi="Book Antiqua" w:cs="Book Antiqua"/>
          <w:sz w:val="24"/>
          <w:szCs w:val="24"/>
          <w:lang w:val="en-US" w:eastAsia="zh-CN"/>
        </w:rPr>
        <w:t>-</w:t>
      </w:r>
      <w:r w:rsidRPr="00B246B6">
        <w:rPr>
          <w:rFonts w:ascii="Book Antiqua" w:hAnsi="Book Antiqua" w:cs="Book Antiqua"/>
          <w:sz w:val="24"/>
          <w:szCs w:val="24"/>
          <w:lang w:val="en-US"/>
        </w:rPr>
        <w:t>88 years; mean age 71.4</w:t>
      </w:r>
      <w:r w:rsidR="004A3B7F"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w:t>
      </w:r>
      <w:r w:rsidR="004A3B7F"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11.02 years), showing renal impairment ranging from grade 3 to grade 5. Indication</w:t>
      </w:r>
      <w:r w:rsidR="009F2D84" w:rsidRPr="00B246B6">
        <w:rPr>
          <w:rFonts w:ascii="Book Antiqua" w:hAnsi="Book Antiqua" w:cs="Book Antiqua"/>
          <w:sz w:val="24"/>
          <w:szCs w:val="24"/>
          <w:lang w:val="en-US"/>
        </w:rPr>
        <w:t>s</w:t>
      </w:r>
      <w:r w:rsidRPr="00B246B6">
        <w:rPr>
          <w:rFonts w:ascii="Book Antiqua" w:hAnsi="Book Antiqua" w:cs="Book Antiqua"/>
          <w:sz w:val="24"/>
          <w:szCs w:val="24"/>
          <w:lang w:val="en-US"/>
        </w:rPr>
        <w:t xml:space="preserve"> to CEUS </w:t>
      </w:r>
      <w:r w:rsidR="009F2D84" w:rsidRPr="00B246B6">
        <w:rPr>
          <w:rFonts w:ascii="Book Antiqua" w:hAnsi="Book Antiqua" w:cs="Book Antiqua"/>
          <w:sz w:val="24"/>
          <w:szCs w:val="24"/>
          <w:lang w:val="en-US"/>
        </w:rPr>
        <w:t xml:space="preserve">were: </w:t>
      </w:r>
      <w:r w:rsidR="00003CFE" w:rsidRPr="00B246B6">
        <w:rPr>
          <w:rFonts w:ascii="Book Antiqua" w:hAnsi="Book Antiqua" w:cs="Book Antiqua"/>
          <w:sz w:val="24"/>
          <w:szCs w:val="24"/>
          <w:lang w:val="en-US" w:eastAsia="zh-CN"/>
        </w:rPr>
        <w:t>(1</w:t>
      </w:r>
      <w:r w:rsidR="009F2D84" w:rsidRPr="00B246B6">
        <w:rPr>
          <w:rFonts w:ascii="Book Antiqua" w:hAnsi="Book Antiqua" w:cs="Book Antiqua"/>
          <w:sz w:val="24"/>
          <w:szCs w:val="24"/>
          <w:lang w:val="en-US"/>
        </w:rPr>
        <w:t>)</w:t>
      </w:r>
      <w:r w:rsidRPr="00B246B6">
        <w:rPr>
          <w:rFonts w:ascii="Book Antiqua" w:hAnsi="Book Antiqua" w:cs="Book Antiqua"/>
          <w:sz w:val="24"/>
          <w:szCs w:val="24"/>
          <w:lang w:val="en-US"/>
        </w:rPr>
        <w:t xml:space="preserve"> assessment of renal function deterioration in 50/91 patients</w:t>
      </w:r>
      <w:r w:rsidR="009F2D84" w:rsidRPr="00B246B6">
        <w:rPr>
          <w:rFonts w:ascii="Book Antiqua" w:hAnsi="Book Antiqua" w:cs="Book Antiqua"/>
          <w:sz w:val="24"/>
          <w:szCs w:val="24"/>
          <w:lang w:val="en-US"/>
        </w:rPr>
        <w:t xml:space="preserve">; </w:t>
      </w:r>
      <w:r w:rsidR="0002003D">
        <w:rPr>
          <w:rFonts w:ascii="Book Antiqua" w:hAnsi="Book Antiqua" w:cs="Book Antiqua" w:hint="eastAsia"/>
          <w:sz w:val="24"/>
          <w:szCs w:val="24"/>
          <w:lang w:val="en-US" w:eastAsia="zh-CN"/>
        </w:rPr>
        <w:t xml:space="preserve">and </w:t>
      </w:r>
      <w:r w:rsidR="00003CFE" w:rsidRPr="00B246B6">
        <w:rPr>
          <w:rFonts w:ascii="Book Antiqua" w:hAnsi="Book Antiqua" w:cs="Book Antiqua"/>
          <w:sz w:val="24"/>
          <w:szCs w:val="24"/>
          <w:lang w:val="en-US" w:eastAsia="zh-CN"/>
        </w:rPr>
        <w:t>(2</w:t>
      </w:r>
      <w:r w:rsidR="00003CFE" w:rsidRPr="00B246B6">
        <w:rPr>
          <w:rFonts w:ascii="Book Antiqua" w:hAnsi="Book Antiqua" w:cs="Book Antiqua"/>
          <w:sz w:val="24"/>
          <w:szCs w:val="24"/>
          <w:lang w:val="en-US"/>
        </w:rPr>
        <w:t>)</w:t>
      </w:r>
      <w:r w:rsidR="009F2D84" w:rsidRPr="00B246B6">
        <w:rPr>
          <w:rFonts w:ascii="Book Antiqua" w:hAnsi="Book Antiqua" w:cs="Book Antiqua"/>
          <w:sz w:val="24"/>
          <w:szCs w:val="24"/>
          <w:lang w:val="en-US"/>
        </w:rPr>
        <w:t xml:space="preserve"> </w:t>
      </w:r>
      <w:r w:rsidRPr="00B246B6">
        <w:rPr>
          <w:rFonts w:ascii="Book Antiqua" w:hAnsi="Book Antiqua" w:cs="Book Antiqua"/>
          <w:sz w:val="24"/>
          <w:szCs w:val="24"/>
          <w:lang w:val="en-US"/>
        </w:rPr>
        <w:t>characterization of focal renal lesions in the remaining 41/91 patients.</w:t>
      </w:r>
    </w:p>
    <w:p w14:paraId="45E3CACA" w14:textId="77777777" w:rsidR="00A6209E" w:rsidRPr="00B246B6" w:rsidRDefault="00A6209E" w:rsidP="004C62F4">
      <w:pPr>
        <w:widowControl w:val="0"/>
        <w:adjustRightInd w:val="0"/>
        <w:spacing w:after="0" w:line="360" w:lineRule="auto"/>
        <w:ind w:firstLineChars="100" w:firstLine="240"/>
        <w:jc w:val="both"/>
        <w:rPr>
          <w:rFonts w:ascii="Book Antiqua" w:hAnsi="Book Antiqua" w:cs="Book Antiqua"/>
          <w:sz w:val="24"/>
          <w:szCs w:val="24"/>
          <w:lang w:val="en-US" w:eastAsia="zh-CN"/>
        </w:rPr>
      </w:pPr>
    </w:p>
    <w:p w14:paraId="7B09A6A3"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CEUS technique</w:t>
      </w:r>
    </w:p>
    <w:p w14:paraId="3C4AAD55" w14:textId="0CF5E58F" w:rsidR="003B6C65" w:rsidRPr="00B246B6" w:rsidRDefault="003B6C65" w:rsidP="00C57CCC">
      <w:pPr>
        <w:widowControl w:val="0"/>
        <w:adjustRightInd w:val="0"/>
        <w:spacing w:after="0" w:line="360" w:lineRule="auto"/>
        <w:jc w:val="both"/>
        <w:rPr>
          <w:rFonts w:ascii="Book Antiqua" w:hAnsi="Book Antiqua" w:cs="Book Antiqua"/>
          <w:i/>
          <w:iCs/>
          <w:sz w:val="24"/>
          <w:szCs w:val="24"/>
          <w:lang w:val="en-US"/>
        </w:rPr>
      </w:pPr>
      <w:r w:rsidRPr="00B246B6">
        <w:rPr>
          <w:rFonts w:ascii="Book Antiqua" w:hAnsi="Book Antiqua" w:cs="Book Antiqua"/>
          <w:sz w:val="24"/>
          <w:szCs w:val="24"/>
          <w:lang w:val="en-GB"/>
        </w:rPr>
        <w:t>CEUS was performed using different ultrasound equipment and contrast-specific modes (</w:t>
      </w:r>
      <w:r w:rsidR="005A387B" w:rsidRPr="00B246B6">
        <w:rPr>
          <w:rFonts w:ascii="Book Antiqua" w:hAnsi="Book Antiqua" w:cs="Book Antiqua"/>
          <w:sz w:val="24"/>
          <w:szCs w:val="24"/>
          <w:lang w:val="en-GB"/>
        </w:rPr>
        <w:t>Tab</w:t>
      </w:r>
      <w:r w:rsidR="00A6209E" w:rsidRPr="00B246B6">
        <w:rPr>
          <w:rFonts w:ascii="Book Antiqua" w:hAnsi="Book Antiqua" w:cs="Book Antiqua"/>
          <w:sz w:val="24"/>
          <w:szCs w:val="24"/>
          <w:lang w:val="en-GB" w:eastAsia="zh-CN"/>
        </w:rPr>
        <w:t>le</w:t>
      </w:r>
      <w:r w:rsidRPr="00B246B6">
        <w:rPr>
          <w:rFonts w:ascii="Book Antiqua" w:hAnsi="Book Antiqua" w:cs="Book Antiqua"/>
          <w:sz w:val="24"/>
          <w:szCs w:val="24"/>
          <w:lang w:val="en-GB"/>
        </w:rPr>
        <w:t xml:space="preserve"> </w:t>
      </w:r>
      <w:r w:rsidR="006B1B13" w:rsidRPr="00B246B6">
        <w:rPr>
          <w:rFonts w:ascii="Book Antiqua" w:hAnsi="Book Antiqua" w:cs="Book Antiqua"/>
          <w:sz w:val="24"/>
          <w:szCs w:val="24"/>
          <w:lang w:val="en-GB"/>
        </w:rPr>
        <w:t>1</w:t>
      </w:r>
      <w:r w:rsidRPr="00B246B6">
        <w:rPr>
          <w:rFonts w:ascii="Book Antiqua" w:hAnsi="Book Antiqua" w:cs="Book Antiqua"/>
          <w:sz w:val="24"/>
          <w:szCs w:val="24"/>
          <w:lang w:val="en-GB"/>
        </w:rPr>
        <w:t>). After preliminary grey-scale and color Doppler investigation, CEUS examination was set with low acoustic power to</w:t>
      </w:r>
      <w:r w:rsidRPr="00B246B6">
        <w:rPr>
          <w:rFonts w:ascii="Book Antiqua" w:hAnsi="Book Antiqua" w:cs="Book Antiqua"/>
          <w:sz w:val="24"/>
          <w:szCs w:val="24"/>
          <w:lang w:val="en-US"/>
        </w:rPr>
        <w:t xml:space="preserve"> achieve minimum microbubble destruction (mechanical index between 0.06 and 0.2, depending on the equipment used). Each kidney </w:t>
      </w:r>
      <w:r w:rsidRPr="00B246B6">
        <w:rPr>
          <w:rFonts w:ascii="Book Antiqua" w:hAnsi="Book Antiqua" w:cs="Book Antiqua"/>
          <w:sz w:val="24"/>
          <w:szCs w:val="24"/>
          <w:lang w:val="en-US"/>
        </w:rPr>
        <w:lastRenderedPageBreak/>
        <w:t xml:space="preserve">was evaluated separately after </w:t>
      </w:r>
      <w:r w:rsidRPr="0002003D">
        <w:rPr>
          <w:rFonts w:ascii="Book Antiqua" w:hAnsi="Book Antiqua" w:cs="Book Antiqua"/>
          <w:i/>
          <w:sz w:val="24"/>
          <w:szCs w:val="24"/>
          <w:lang w:val="en-US"/>
        </w:rPr>
        <w:t>i.v.</w:t>
      </w:r>
      <w:r w:rsidRPr="00B246B6">
        <w:rPr>
          <w:rFonts w:ascii="Book Antiqua" w:hAnsi="Book Antiqua" w:cs="Book Antiqua"/>
          <w:sz w:val="24"/>
          <w:szCs w:val="24"/>
          <w:lang w:val="en-US"/>
        </w:rPr>
        <w:t xml:space="preserve"> </w:t>
      </w:r>
      <w:r w:rsidRPr="00B246B6">
        <w:rPr>
          <w:rFonts w:ascii="Book Antiqua" w:hAnsi="Book Antiqua" w:cs="Book Antiqua"/>
          <w:sz w:val="24"/>
          <w:szCs w:val="24"/>
          <w:lang w:val="en-GB"/>
        </w:rPr>
        <w:t>injection of a 1.2-2.4 mL dose of a sulfur hexafluoride-filled microbubble contrast agent (SonoVue, BR1, Bracco, Milan, Italy). A 20-gauge cannula was used for contrast injection, followed by a 10 mL normal saline flush. Digital cine-clips were acquired to allow for post-procedure re-evaluation.</w:t>
      </w:r>
    </w:p>
    <w:p w14:paraId="17E861EF"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i/>
          <w:iCs/>
          <w:sz w:val="24"/>
          <w:szCs w:val="24"/>
          <w:lang w:val="en-US"/>
        </w:rPr>
      </w:pPr>
    </w:p>
    <w:p w14:paraId="4901CF50"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Image analysis</w:t>
      </w:r>
    </w:p>
    <w:p w14:paraId="657B0075" w14:textId="32C54E45" w:rsidR="003B6C65" w:rsidRPr="00B246B6" w:rsidRDefault="003B6C65" w:rsidP="00C57CCC">
      <w:pPr>
        <w:widowControl w:val="0"/>
        <w:autoSpaceDE w:val="0"/>
        <w:autoSpaceDN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One radiologist with 18 years of experience in CEUS performed all the examinations. For the purpose of the study, he and a junior radiologist with five years of experience in this technique reviewed </w:t>
      </w:r>
      <w:r w:rsidR="003C070B" w:rsidRPr="00B246B6">
        <w:rPr>
          <w:rFonts w:ascii="Book Antiqua" w:hAnsi="Book Antiqua" w:cs="Book Antiqua"/>
          <w:sz w:val="24"/>
          <w:szCs w:val="24"/>
          <w:lang w:val="en-US"/>
        </w:rPr>
        <w:t xml:space="preserve">in consensus </w:t>
      </w:r>
      <w:r w:rsidRPr="00B246B6">
        <w:rPr>
          <w:rFonts w:ascii="Book Antiqua" w:hAnsi="Book Antiqua" w:cs="Book Antiqua"/>
          <w:sz w:val="24"/>
          <w:szCs w:val="24"/>
          <w:lang w:val="en-US"/>
        </w:rPr>
        <w:t>the images of conventional Doppler modes and the cine-clips of entire CEUS examinations</w:t>
      </w:r>
      <w:r w:rsidR="003C070B" w:rsidRPr="00B246B6">
        <w:rPr>
          <w:rFonts w:ascii="Book Antiqua" w:hAnsi="Book Antiqua" w:cs="Book Antiqua"/>
          <w:sz w:val="24"/>
          <w:szCs w:val="24"/>
          <w:lang w:val="en-US"/>
        </w:rPr>
        <w:t>, using</w:t>
      </w:r>
      <w:r w:rsidRPr="00B246B6">
        <w:rPr>
          <w:rFonts w:ascii="Book Antiqua" w:hAnsi="Book Antiqua" w:cs="Book Antiqua"/>
          <w:sz w:val="24"/>
          <w:szCs w:val="24"/>
          <w:lang w:val="en-US"/>
        </w:rPr>
        <w:t xml:space="preserve"> a commercially available display workstation (</w:t>
      </w:r>
      <w:r w:rsidRPr="00B246B6">
        <w:rPr>
          <w:rFonts w:ascii="Book Antiqua" w:hAnsi="Book Antiqua" w:cs="Book Antiqua"/>
          <w:sz w:val="24"/>
          <w:szCs w:val="24"/>
          <w:lang w:val="en-US" w:eastAsia="it-IT"/>
        </w:rPr>
        <w:t>OsiriX MD v.7.5, Pixmeo, Bernex, CH)</w:t>
      </w:r>
      <w:r w:rsidRPr="00B246B6">
        <w:rPr>
          <w:rFonts w:ascii="Book Antiqua" w:hAnsi="Book Antiqua" w:cs="Book Antiqua"/>
          <w:sz w:val="24"/>
          <w:szCs w:val="24"/>
          <w:lang w:val="en-US"/>
        </w:rPr>
        <w:t>. Readers were blinded to histological diagnosis and/or follow-up results. No discrepancies were found between image interpretation at the time of examinations and during study review.</w:t>
      </w:r>
      <w:r w:rsidRPr="00B246B6">
        <w:rPr>
          <w:rFonts w:ascii="Book Antiqua" w:hAnsi="Book Antiqua" w:cs="Book Antiqua"/>
          <w:sz w:val="24"/>
          <w:szCs w:val="24"/>
          <w:lang w:val="en-US" w:eastAsia="it-IT"/>
        </w:rPr>
        <w:t xml:space="preserve"> </w:t>
      </w:r>
      <w:r w:rsidR="003C070B" w:rsidRPr="00B246B6">
        <w:rPr>
          <w:rFonts w:ascii="Book Antiqua" w:hAnsi="Book Antiqua" w:cs="Book Antiqua"/>
          <w:sz w:val="24"/>
          <w:szCs w:val="24"/>
          <w:lang w:val="en-US" w:eastAsia="it-IT"/>
        </w:rPr>
        <w:t>R</w:t>
      </w:r>
      <w:r w:rsidRPr="00B246B6">
        <w:rPr>
          <w:rFonts w:ascii="Book Antiqua" w:hAnsi="Book Antiqua" w:cs="Book Antiqua"/>
          <w:sz w:val="24"/>
          <w:szCs w:val="24"/>
          <w:lang w:val="en-US" w:eastAsia="it-IT"/>
        </w:rPr>
        <w:t xml:space="preserve">eaders were asked to assess </w:t>
      </w:r>
      <w:r w:rsidR="003C070B" w:rsidRPr="00B246B6">
        <w:rPr>
          <w:rFonts w:ascii="Book Antiqua" w:hAnsi="Book Antiqua" w:cs="Book Antiqua"/>
          <w:sz w:val="24"/>
          <w:szCs w:val="24"/>
          <w:lang w:val="en-US" w:eastAsia="it-IT"/>
        </w:rPr>
        <w:t xml:space="preserve">the </w:t>
      </w:r>
      <w:r w:rsidRPr="00B246B6">
        <w:rPr>
          <w:rFonts w:ascii="Book Antiqua" w:hAnsi="Book Antiqua" w:cs="Book Antiqua"/>
          <w:sz w:val="24"/>
          <w:szCs w:val="24"/>
          <w:lang w:val="en-US" w:eastAsia="it-IT"/>
        </w:rPr>
        <w:t xml:space="preserve">presence of renal infarctions, </w:t>
      </w:r>
      <w:r w:rsidR="003C070B" w:rsidRPr="00B246B6">
        <w:rPr>
          <w:rFonts w:ascii="Book Antiqua" w:hAnsi="Book Antiqua" w:cs="Book Antiqua"/>
          <w:sz w:val="24"/>
          <w:szCs w:val="24"/>
          <w:lang w:val="en-US"/>
        </w:rPr>
        <w:t>characterize renal</w:t>
      </w:r>
      <w:r w:rsidRPr="00B246B6">
        <w:rPr>
          <w:rFonts w:ascii="Book Antiqua" w:hAnsi="Book Antiqua" w:cs="Book Antiqua"/>
          <w:sz w:val="24"/>
          <w:szCs w:val="24"/>
          <w:lang w:val="en-US"/>
        </w:rPr>
        <w:t xml:space="preserve"> lesions as solid or cystic, and classify those with cystic appearance at CEUS according to the Bosniak criteria. </w:t>
      </w:r>
    </w:p>
    <w:p w14:paraId="3ACD84E3" w14:textId="57336FFA" w:rsidR="003B6C65" w:rsidRPr="00B246B6" w:rsidRDefault="003B6C65" w:rsidP="00A6209E">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GB" w:eastAsia="zh-CN"/>
        </w:rPr>
      </w:pPr>
      <w:r w:rsidRPr="00B246B6">
        <w:rPr>
          <w:rFonts w:ascii="Book Antiqua" w:hAnsi="Book Antiqua" w:cs="Book Antiqua"/>
          <w:sz w:val="24"/>
          <w:szCs w:val="24"/>
          <w:lang w:val="en-US"/>
        </w:rPr>
        <w:t>Readers assessed renal infarction on conventional Doppler modes in presence of parenchymal regions lacking color signal</w:t>
      </w:r>
      <w:r w:rsidR="001F45BD" w:rsidRPr="001F45BD">
        <w:rPr>
          <w:rFonts w:ascii="Book Antiqua" w:hAnsi="Book Antiqua" w:cs="Book Antiqua" w:hint="eastAsia"/>
          <w:sz w:val="24"/>
          <w:szCs w:val="24"/>
          <w:vertAlign w:val="superscript"/>
          <w:lang w:val="en-US" w:eastAsia="zh-CN"/>
        </w:rPr>
        <w:t>[</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"DOI" : "10.1148/radiographics.15.4.7569132", "ISSN" : "0271-5333", "PMID" : "7569132", "abstract" : "One hundred eighty-seven native kidneys in 96 patients were examined with color Doppler ultrasound (US) to (a) determine the color Doppler US characteristics of renovascular disorders and (b) assess the value of color Doppler US in detection of such disorders. Correlative angiography or computed tomography was performed in 94 patients. The following renovascular disorders were found: renal artery (RA) stenosis (40 cases), RA thrombosis (13 cases), RA aneurysm (four cases), renal vein thrombosis (three cases), arteriovenous fistula (three cases), peripheral infarction (one case of bilateral infarcts), and distal occlusive disease (three cases). One case of aortal coarctation was also found. Color Doppler US failed to demonstrate the proximal main RA in 25% of cases (among 193 RAs total including supernumerary RAs). The sensitivity and specificity of color Doppler US for the detection of RA stenosis or thrombosis were 89% and 99%, respectively. Color Doppler US thus appears to be effective in the diagnosis of renovascular disease in native kidneys.", "author" : [ { "dropping-particle" : "", "family" : "H\u00e9l\u00e9non", "given" : "O", "non-dropping-particle" : "", "parse-names" : false, "suffix" : "" }, { "dropping-particle" : "", "family" : "Rody", "given" : "F", "non-dropping-particle" : "el", "parse-names" : false, "suffix" : "" }, { "dropping-particle" : "", "family" : "Correas", "given" : "J M", "non-dropping-particle" : "", "parse-names" : false, "suffix" : "" }, { "dropping-particle" : "", "family" : "Melki", "given" : "P", "non-dropping-particle" : "", "parse-names" : false, "suffix" : "" }, { "dropping-particle" : "", "family" : "Chauveau", "given" : "D", "non-dropping-particle" : "", "parse-names" : false, "suffix" : "" }, { "dropping-particle" : "", "family" : "Chr\u00e9tien", "given" : "Y", "non-dropping-particle" : "", "parse-names" : false, "suffix" : "" }, { "dropping-particle" : "", "family" : "Moreau", "given" : "J F", "non-dropping-particle" : "", "parse-names" : false, "suffix" : "" } ], "container-title" : "Radiographics : a review publication of the Radiological Society of North America, Inc", "id" : "ITEM-1", "issue" : "4", "issued" : { "date-parts" : [ [ "1995", "7" ] ] }, "page" : "833-54; discussion 854-65", "title" : "Color Doppler US of renovascular disease in native kidneys.", "type" : "article-journal", "volume" : "15" }, "uris" : [ "http://www.mendeley.com/documents/?uuid=327b482e-6055-4aed-9e01-0d5f74c3241c" ] } ], "mendeley" : { "formattedCitation" : "[17]", "plainTextFormattedCitation" : "[17]", "previouslyFormattedCitation" : "[17]"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003F3043" w:rsidRPr="00B246B6">
        <w:rPr>
          <w:rFonts w:ascii="Book Antiqua" w:hAnsi="Book Antiqua" w:cs="Book Antiqua"/>
          <w:noProof/>
          <w:sz w:val="24"/>
          <w:szCs w:val="24"/>
          <w:vertAlign w:val="superscript"/>
          <w:lang w:val="en-US"/>
        </w:rPr>
        <w:t>19</w:t>
      </w:r>
      <w:r w:rsidRPr="00B246B6">
        <w:rPr>
          <w:rFonts w:ascii="Book Antiqua" w:hAnsi="Book Antiqua" w:cs="Book Antiqua"/>
          <w:noProof/>
          <w:sz w:val="24"/>
          <w:szCs w:val="24"/>
          <w:vertAlign w:val="superscript"/>
          <w:lang w:val="en-US"/>
        </w:rPr>
        <w:t>]</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 xml:space="preserve">. </w:t>
      </w:r>
      <w:r w:rsidR="00CB7228" w:rsidRPr="00B246B6">
        <w:rPr>
          <w:rFonts w:ascii="Book Antiqua" w:hAnsi="Book Antiqua" w:cs="Book Antiqua"/>
          <w:sz w:val="24"/>
          <w:szCs w:val="24"/>
          <w:lang w:val="en-US"/>
        </w:rPr>
        <w:t xml:space="preserve">Concerning CEUS, we used the following diagnostic criteria: </w:t>
      </w:r>
      <w:r w:rsidR="00A6209E" w:rsidRPr="00B246B6">
        <w:rPr>
          <w:rFonts w:ascii="Book Antiqua" w:hAnsi="Book Antiqua" w:cs="Book Antiqua"/>
          <w:sz w:val="24"/>
          <w:szCs w:val="24"/>
          <w:lang w:val="en-US" w:eastAsia="zh-CN"/>
        </w:rPr>
        <w:t>(1</w:t>
      </w:r>
      <w:r w:rsidR="00A6209E" w:rsidRPr="00B246B6">
        <w:rPr>
          <w:rFonts w:ascii="Book Antiqua" w:hAnsi="Book Antiqua" w:cs="Book Antiqua"/>
          <w:sz w:val="24"/>
          <w:szCs w:val="24"/>
          <w:lang w:val="en-US"/>
        </w:rPr>
        <w:t>)</w:t>
      </w:r>
      <w:r w:rsidR="00CB7228" w:rsidRPr="00B246B6">
        <w:rPr>
          <w:rFonts w:ascii="Book Antiqua" w:hAnsi="Book Antiqua" w:cs="Book Antiqua"/>
          <w:sz w:val="24"/>
          <w:szCs w:val="24"/>
          <w:lang w:val="en-US"/>
        </w:rPr>
        <w:t xml:space="preserve"> infarction was diagnosed</w:t>
      </w:r>
      <w:r w:rsidRPr="00B246B6">
        <w:rPr>
          <w:rFonts w:ascii="Book Antiqua" w:hAnsi="Book Antiqua" w:cs="Book Antiqua"/>
          <w:sz w:val="24"/>
          <w:szCs w:val="24"/>
          <w:lang w:val="en-US"/>
        </w:rPr>
        <w:t xml:space="preserve"> in presence of at least one well-defined, </w:t>
      </w:r>
      <w:r w:rsidRPr="00B246B6">
        <w:rPr>
          <w:rFonts w:ascii="Book Antiqua" w:hAnsi="Book Antiqua" w:cs="Book Antiqua"/>
          <w:sz w:val="24"/>
          <w:szCs w:val="24"/>
          <w:lang w:val="en-GB"/>
        </w:rPr>
        <w:t>wedge-shaped non-enhancing area within an otherwise normal-appearing kidney</w:t>
      </w:r>
      <w:r w:rsidRPr="00B246B6">
        <w:rPr>
          <w:rFonts w:ascii="Book Antiqua" w:hAnsi="Book Antiqua" w:cs="Book Antiqua"/>
          <w:sz w:val="24"/>
          <w:szCs w:val="24"/>
          <w:vertAlign w:val="superscript"/>
          <w:lang w:val="en-GB"/>
        </w:rPr>
        <w:fldChar w:fldCharType="begin" w:fldLock="1"/>
      </w:r>
      <w:r w:rsidRPr="00B246B6">
        <w:rPr>
          <w:rFonts w:ascii="Book Antiqua" w:hAnsi="Book Antiqua" w:cs="Book Antiqua"/>
          <w:sz w:val="24"/>
          <w:szCs w:val="24"/>
          <w:vertAlign w:val="superscript"/>
          <w:lang w:val="en-GB"/>
        </w:rPr>
        <w:instrText>ADDIN CSL_CITATION { "citationItems" : [ { "id" : "ITEM-1", "itemData" : { "DOI" : "10.1007/s00330-007-0747-2", "ISSN" : "0938-7994", "PMID" : "17851664", "abstract" : "The effectiveness of contrast-enhanced ultrasonography (CEUS) in the evaluation of patients with acute renal infarcts was investigated, using contrast-enhanced helical computed tomography (CT) as the reference imaging procedure. Twenty-seven consecutive patients with acute renal infarcts detected with contrast-enhanced helical CT underwent CEUS. Digital cine-clips of CEUS were evaluated by two independent readers blinded to CT findings. Image quality was rated subjectively on a four-point scale. Then, readers were asked to assign a confidence level in diagnosis of renal infarct at the upper pole, medium portion, and lower pole of each kidney according to a five-degree scale, ranging from definitely absent to definitely present. ROC curve analysis was employed to assess the overall confidence of diagnosis of infarct, and weighted kappa values were calculated to assess inter-reader agreement. The subjective image quality of CEUS was lower than the image quality of CT at the upper poles. However, the diagnostic performance of CEUS was excellent (area under receiver-operator characteristic curve 0.992 +/- 0.006 for reader 1; 0.991 +/- 0.007 for reader 2), with very good inter-reader agreement (weighted kappa value = 0.83). CEUS is a reproducible tool to detect acute renal infarcts in men, with a diagnostic performance approaching that of CT.", "author" : [ { "dropping-particle" : "", "family" : "Bertolotto", "given" : "Michele", "non-dropping-particle" : "", "parse-names" : false, "suffix" : "" }, { "dropping-particle" : "", "family" : "Martegani", "given" : "Alberto", "non-dropping-particle" : "", "parse-names" : false, "suffix" : "" }, { "dropping-particle" : "", "family" : "Aiani", "given" : "Luca", "non-dropping-particle" : "", "parse-names" : false, "suffix" : "" }, { "dropping-particle" : "", "family" : "Zappetti", "given" : "Roberta", "non-dropping-particle" : "", "parse-names" : false, "suffix" : "" }, { "dropping-particle" : "", "family" : "Cernic", "given" : "Stefano", "non-dropping-particle" : "", "parse-names" : false, "suffix" : "" }, { "dropping-particle" : "", "family" : "Cova", "given" : "Maria Assunta", "non-dropping-particle" : "", "parse-names" : false, "suffix" : "" } ], "container-title" : "European radiology", "id" : "ITEM-1", "issue" : "2", "issued" : { "date-parts" : [ [ "2008", "2" ] ] }, "page" : "376-83", "title" : "Value of contrast-enhanced ultrasonography for detecting renal infarcts proven by contrast enhanced CT. A feasibility study.", "type" : "article-journal", "volume" : "18" }, "uris" : [ "http://www.mendeley.com/documents/?uuid=4f011c5c-1858-46ce-addf-f2411a147109" ] } ], "mendeley" : { "formattedCitation" : "[12]", "plainTextFormattedCitation" : "[12]", "previouslyFormattedCitation" : "[12]" }, "properties" : { "noteIndex" : 0 }, "schema" : "https://github.com/citation-style-language/schema/raw/master/csl-citation.json" }</w:instrText>
      </w:r>
      <w:r w:rsidRPr="00B246B6">
        <w:rPr>
          <w:rFonts w:ascii="Book Antiqua" w:hAnsi="Book Antiqua" w:cs="Book Antiqua"/>
          <w:sz w:val="24"/>
          <w:szCs w:val="24"/>
          <w:vertAlign w:val="superscript"/>
          <w:lang w:val="en-GB"/>
        </w:rPr>
        <w:fldChar w:fldCharType="separate"/>
      </w:r>
      <w:r w:rsidRPr="00B246B6">
        <w:rPr>
          <w:rFonts w:ascii="Book Antiqua" w:hAnsi="Book Antiqua" w:cs="Book Antiqua"/>
          <w:noProof/>
          <w:sz w:val="24"/>
          <w:szCs w:val="24"/>
          <w:vertAlign w:val="superscript"/>
          <w:lang w:val="en-GB"/>
        </w:rPr>
        <w:t>[12]</w:t>
      </w:r>
      <w:r w:rsidRPr="00B246B6">
        <w:rPr>
          <w:rFonts w:ascii="Book Antiqua" w:hAnsi="Book Antiqua" w:cs="Book Antiqua"/>
          <w:sz w:val="24"/>
          <w:szCs w:val="24"/>
          <w:vertAlign w:val="superscript"/>
          <w:lang w:val="en-GB"/>
        </w:rPr>
        <w:fldChar w:fldCharType="end"/>
      </w:r>
      <w:r w:rsidR="00CB7228" w:rsidRPr="00B246B6">
        <w:rPr>
          <w:rFonts w:ascii="Book Antiqua" w:hAnsi="Book Antiqua" w:cs="Book Antiqua"/>
          <w:sz w:val="24"/>
          <w:szCs w:val="24"/>
          <w:lang w:val="en-GB"/>
        </w:rPr>
        <w:t xml:space="preserve">; </w:t>
      </w:r>
      <w:r w:rsidR="009C6DCA" w:rsidRPr="00B246B6">
        <w:rPr>
          <w:rFonts w:ascii="Book Antiqua" w:hAnsi="Book Antiqua" w:cs="Book Antiqua"/>
          <w:sz w:val="24"/>
          <w:szCs w:val="24"/>
          <w:lang w:val="en-US" w:eastAsia="zh-CN"/>
        </w:rPr>
        <w:t>(2</w:t>
      </w:r>
      <w:r w:rsidR="009C6DCA" w:rsidRPr="00B246B6">
        <w:rPr>
          <w:rFonts w:ascii="Book Antiqua" w:hAnsi="Book Antiqua" w:cs="Book Antiqua"/>
          <w:sz w:val="24"/>
          <w:szCs w:val="24"/>
          <w:lang w:val="en-US"/>
        </w:rPr>
        <w:t>)</w:t>
      </w:r>
      <w:r w:rsidR="00CB7228" w:rsidRPr="00B246B6">
        <w:rPr>
          <w:rFonts w:ascii="Book Antiqua" w:hAnsi="Book Antiqua" w:cs="Book Antiqua"/>
          <w:sz w:val="24"/>
          <w:szCs w:val="24"/>
          <w:lang w:val="en-GB"/>
        </w:rPr>
        <w:t xml:space="preserve"> c</w:t>
      </w:r>
      <w:r w:rsidRPr="00B246B6">
        <w:rPr>
          <w:rFonts w:ascii="Book Antiqua" w:hAnsi="Book Antiqua" w:cs="Book Antiqua"/>
          <w:sz w:val="24"/>
          <w:szCs w:val="24"/>
          <w:lang w:val="en-GB"/>
        </w:rPr>
        <w:t>ortical ischemia was diagnosed in presence of enhancing interlobar and arcuate arteries with non-enhancing portions of the cortex</w:t>
      </w:r>
      <w:r w:rsidRPr="00B246B6">
        <w:rPr>
          <w:rFonts w:ascii="Book Antiqua" w:hAnsi="Book Antiqua" w:cs="Book Antiqua"/>
          <w:sz w:val="24"/>
          <w:szCs w:val="24"/>
          <w:vertAlign w:val="superscript"/>
          <w:lang w:val="en-GB"/>
        </w:rPr>
        <w:fldChar w:fldCharType="begin" w:fldLock="1"/>
      </w:r>
      <w:r w:rsidRPr="00B246B6">
        <w:rPr>
          <w:rFonts w:ascii="Book Antiqua" w:hAnsi="Book Antiqua" w:cs="Book Antiqua"/>
          <w:sz w:val="24"/>
          <w:szCs w:val="24"/>
          <w:vertAlign w:val="superscript"/>
          <w:lang w:val="en-GB"/>
        </w:rPr>
        <w:instrText>ADDIN CSL_CITATION { "citationItems" : [ { "id" : "ITEM-1", "itemData" : { "abstract" : "Grey-scale ultrasound has an important diagnostic role in nephrology. The absence of ionizing radiations and nephrotoxicity, rapidity of execution, excellent repeatability, the possibility to perform the test at the patient's bed and the low cost represent important advantages of this technique. Paired with real-time sonography and colour-power-Doppler contrast-enhanced ultrasound (CEUS) reduces the diagnostic gap with computed tomography (CT) and magnetic resonance (MR) and represents a major step in the evolution of clinical ultrasound. Although there are several situations in which contrast-enhanced CT and MR are indicated (i.e. evaluation of cystic or ischemic lesions, traumatisms and ablative therapies of the native and transplanted kidney), the use of CT contrast media presents a high risk of contrast-induced nephropathy (i.e. in elderly people, subjects with comorbidities and those with renal dysfunction), while gadolinium-based RM contrast agents are contraindicated for the risk of nephrogenic systemic fibrosis (i.e. in patients with severe renal dysfunction). In these situations, CEUS may be a viable alternative, however, as any technique associated with the infusion of pharmacological substances, the potential advantages and risks of CEUS should be critically evaluated. In this regard, the European Federation of Societies for Ultrasound in Medicine and Biology (EFSUMB) has published the guidelines for the use of CEUS for the kidney imaging and the International Contrast Ultrasound Society (ICUS) has been recently founded. The aim of this review is to offer an updated overview of the potential applications of CEUS in nephrology, reporting some indications and possible risks associated to its use.", "author" : [ { "dropping-particle" : "", "family" : "Granata", "given" : "Antonio", "non-dropping-particle" : "", "parse-names" : false, "suffix" : "" }, { "dropping-particle" : "", "family" : "Zanoli", "given" : "L", "non-dropping-particle" : "", "parse-names" : false, "suffix" : "" }, { "dropping-particle" : "", "family" : "Insalaco", "given" : "M", "non-dropping-particle" : "", "parse-names" : false, "suffix" : "" }, { "dropping-particle" : "", "family" : "Valentino", "given" : "Massimo", "non-dropping-particle" : "", "parse-names" : false, "suffix" : "" }, { "dropping-particle" : "", "family" : "Pavlica", "given" : "Pietro", "non-dropping-particle" : "", "parse-names" : false, "suffix" : "" }, { "dropping-particle" : "", "family" : "Nicol\u00f2", "given" : "P. P.", "non-dropping-particle" : "Di", "parse-names" : false, "suffix" : "" }, { "dropping-particle" : "", "family" : "Scuderi", "given" : "M", "non-dropping-particle" : "", "parse-names" : false, "suffix" : "" }, { "dropping-particle" : "", "family" : "Fiorini", "given" : "Fulvio", "non-dropping-particle" : "", "parse-names" : false, "suffix" : "" }, { "dropping-particle" : "", "family" : "Fatuzzo", "given" : "P", "non-dropping-particle" : "", "parse-names" : false, "suffix" : "" }, { "dropping-particle" : "", "family" : "Bertolotto", "given" : "Michele", "non-dropping-particle" : "", "parse-names" : false, "suffix" : "" } ], "container-title" : "Clinical and experimental nephrology", "id" : "ITEM-1", "issue" : "4", "issued" : { "date-parts" : [ [ "2015", "8" ] ] }, "page" : "606-15", "publisher" : "Springer-Verlag Tokyo", "title" : "Contrast-enhanced ultrasound (CEUS) in nephrology: Has the time come for its widespread use?", "type" : "article-journal", "volume" : "19" }, "uris" : [ "http://www.mendeley.com/documents/?uuid=d0b9abe9-37fc-4836-b31c-adc121835d41" ] } ], "mendeley" : { "formattedCitation" : "[11]", "plainTextFormattedCitation" : "[11]", "previouslyFormattedCitation" : "[11]" }, "properties" : { "noteIndex" : 0 }, "schema" : "https://github.com/citation-style-language/schema/raw/master/csl-citation.json" }</w:instrText>
      </w:r>
      <w:r w:rsidRPr="00B246B6">
        <w:rPr>
          <w:rFonts w:ascii="Book Antiqua" w:hAnsi="Book Antiqua" w:cs="Book Antiqua"/>
          <w:sz w:val="24"/>
          <w:szCs w:val="24"/>
          <w:vertAlign w:val="superscript"/>
          <w:lang w:val="en-GB"/>
        </w:rPr>
        <w:fldChar w:fldCharType="separate"/>
      </w:r>
      <w:r w:rsidRPr="00B246B6">
        <w:rPr>
          <w:rFonts w:ascii="Book Antiqua" w:hAnsi="Book Antiqua" w:cs="Book Antiqua"/>
          <w:noProof/>
          <w:sz w:val="24"/>
          <w:szCs w:val="24"/>
          <w:vertAlign w:val="superscript"/>
          <w:lang w:val="en-GB"/>
        </w:rPr>
        <w:t>[11]</w:t>
      </w:r>
      <w:r w:rsidRPr="00B246B6">
        <w:rPr>
          <w:rFonts w:ascii="Book Antiqua" w:hAnsi="Book Antiqua" w:cs="Book Antiqua"/>
          <w:sz w:val="24"/>
          <w:szCs w:val="24"/>
          <w:vertAlign w:val="superscript"/>
          <w:lang w:val="en-GB"/>
        </w:rPr>
        <w:fldChar w:fldCharType="end"/>
      </w:r>
      <w:r w:rsidR="00CB7228" w:rsidRPr="00B246B6">
        <w:rPr>
          <w:rFonts w:ascii="Book Antiqua" w:hAnsi="Book Antiqua" w:cs="Book Antiqua"/>
          <w:sz w:val="24"/>
          <w:szCs w:val="24"/>
          <w:lang w:val="en-GB"/>
        </w:rPr>
        <w:t xml:space="preserve">; </w:t>
      </w:r>
      <w:r w:rsidR="0002003D">
        <w:rPr>
          <w:rFonts w:ascii="Book Antiqua" w:hAnsi="Book Antiqua" w:cs="Book Antiqua" w:hint="eastAsia"/>
          <w:sz w:val="24"/>
          <w:szCs w:val="24"/>
          <w:lang w:val="en-GB" w:eastAsia="zh-CN"/>
        </w:rPr>
        <w:t xml:space="preserve">and </w:t>
      </w:r>
      <w:r w:rsidR="009C6DCA" w:rsidRPr="00B246B6">
        <w:rPr>
          <w:rFonts w:ascii="Book Antiqua" w:hAnsi="Book Antiqua" w:cs="Book Antiqua"/>
          <w:sz w:val="24"/>
          <w:szCs w:val="24"/>
          <w:lang w:val="en-US" w:eastAsia="zh-CN"/>
        </w:rPr>
        <w:t>(3</w:t>
      </w:r>
      <w:r w:rsidR="009C6DCA" w:rsidRPr="00B246B6">
        <w:rPr>
          <w:rFonts w:ascii="Book Antiqua" w:hAnsi="Book Antiqua" w:cs="Book Antiqua"/>
          <w:sz w:val="24"/>
          <w:szCs w:val="24"/>
          <w:lang w:val="en-US"/>
        </w:rPr>
        <w:t>)</w:t>
      </w:r>
      <w:r w:rsidRPr="00B246B6">
        <w:rPr>
          <w:rFonts w:ascii="Book Antiqua" w:hAnsi="Book Antiqua" w:cs="Book Antiqua"/>
          <w:sz w:val="24"/>
          <w:szCs w:val="24"/>
          <w:lang w:val="en-GB"/>
        </w:rPr>
        <w:t xml:space="preserve"> </w:t>
      </w:r>
      <w:r w:rsidRPr="00B246B6">
        <w:rPr>
          <w:rFonts w:ascii="Book Antiqua" w:hAnsi="Book Antiqua" w:cs="Book Antiqua"/>
          <w:sz w:val="24"/>
          <w:szCs w:val="24"/>
          <w:lang w:val="en-US"/>
        </w:rPr>
        <w:t xml:space="preserve">a lesion was considered solid if more than half </w:t>
      </w:r>
      <w:r w:rsidR="00CB7228" w:rsidRPr="00B246B6">
        <w:rPr>
          <w:rFonts w:ascii="Book Antiqua" w:hAnsi="Book Antiqua" w:cs="Book Antiqua"/>
          <w:sz w:val="24"/>
          <w:szCs w:val="24"/>
          <w:lang w:val="en-US"/>
        </w:rPr>
        <w:t xml:space="preserve">of </w:t>
      </w:r>
      <w:r w:rsidRPr="00B246B6">
        <w:rPr>
          <w:rFonts w:ascii="Book Antiqua" w:hAnsi="Book Antiqua" w:cs="Book Antiqua"/>
          <w:sz w:val="24"/>
          <w:szCs w:val="24"/>
          <w:lang w:val="en-US"/>
        </w:rPr>
        <w:t xml:space="preserve">the volume was </w:t>
      </w:r>
      <w:r w:rsidR="00CB7228" w:rsidRPr="00B246B6">
        <w:rPr>
          <w:rFonts w:ascii="Book Antiqua" w:hAnsi="Book Antiqua" w:cs="Book Antiqua"/>
          <w:sz w:val="24"/>
          <w:szCs w:val="24"/>
          <w:lang w:val="en-US"/>
        </w:rPr>
        <w:t xml:space="preserve">represented by </w:t>
      </w:r>
      <w:r w:rsidRPr="00B246B6">
        <w:rPr>
          <w:rFonts w:ascii="Book Antiqua" w:hAnsi="Book Antiqua" w:cs="Book Antiqua"/>
          <w:sz w:val="24"/>
          <w:szCs w:val="24"/>
          <w:lang w:val="en-US"/>
        </w:rPr>
        <w:t>enhancing solid tissue, and cystic if composed predominantly of nonenhancing spaces</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"abstract" : "OBJECTIVE: The purpose of this article is to retrospectively investigate in two radiology centers the role of contrast-enhanced ultrasound in the characterization of renal masses with equivocal enhancement at CT (i.e., with a density increase of 10-20 HU between unenhanced and contrast-enhanced scans) not characterized with conventional ultrasound modes. MATERIALS AND METHODS: Forty-seven renal lesions (range, 0.8-7.7 cm; average, 2.6 cm) with equivocal enhancement at CT underwent contrast-enhanced ultrasound using sulfur hexafluoride-filled microbubbles. Examinations were digitally recorded for retrospective blinded evaluation by two radiologists with 20 and 10 years' experience in urologic imaging. Histologic results were available for 30 of 47 (64%) lesions (25 primary malignant tumors, two metastases, and three primary benign lesions). Two lesions increased in size and complexity during the follow-up and were considered malignant. One Bosniak category III and 14 category IIF cysts were stable after a follow-up of at least 3 years and were considered benign. ROC curve analysis was used to assess the capability of contrast-enhanced ultrasound to differentiate benign from malignant lesions. RESULTS: Twelve likely complex cyst</w:instrText>
      </w:r>
      <w:r w:rsidRPr="00B246B6">
        <w:rPr>
          <w:rFonts w:ascii="Book Antiqua" w:hAnsi="Book Antiqua" w:cs="Book Antiqua"/>
          <w:sz w:val="24"/>
          <w:szCs w:val="24"/>
          <w:vertAlign w:val="superscript"/>
        </w:rPr>
        <w:instrText>ic lesions at gray-scale ultrasound were cystic also on contrast-enhanced ultrasound and reference procedures. Eleven of 34 lesions that appeared solid at gray-scale ultrasound were cystic on contrast-enhanced ultrasound and reference procedures. One lesion considered likely solid by one radiologist and possibly cystic by the other was a solid tumor at contrast-enhanced ultrasound and histologic analysis. The diagnostic performance of contrast-enhanced ultrasound to characterize the lesions as benign or malignant was high for both readers (AUC, 0.958 and 0.966, respectively). CONCLUSION: Contrast-enhanced ultrasound is effective for characterizing renal lesions presenting with equivocal enhancement at CT.", "author" : [ { "dropping-particle" : "", "family" : "Berto</w:instrText>
      </w:r>
      <w:r w:rsidRPr="00B246B6">
        <w:rPr>
          <w:rFonts w:ascii="Book Antiqua" w:hAnsi="Book Antiqua" w:cs="Book Antiqua"/>
          <w:sz w:val="24"/>
          <w:szCs w:val="24"/>
          <w:vertAlign w:val="superscript"/>
          <w:lang w:val="en-US"/>
        </w:rPr>
        <w:instrText>lotto", "given" : "Michele", "non-dropping-particle" : "", "parse-names" : false, "suffix" : "" }, { "dropping-particle" : "", "family" : "Cicero", "given" : "Calogero", "non-dropping-particle" : "", "parse-names" : false, "suffix" : "" }, { "dropping-particle" : "", "family" : "Perrone", "given" : "Rosaria", "non-dropping-particle" : "", "parse-names" : false, "suffix" : "" }, { "dropping-particle" : "", "family" : "Degrassi", "given" : "Ferruccio", "non-dropping-particle" : "", "parse-names" : false, "suffix" : "" }, { "dropping-particle" : "", "family" : "Cacciato", "given" : "Francesca", "non-dropping-particle" : "", "parse-names" : false, "suffix" : "" }, { "dropping-particle" : "", "family" : "Cova", "given" : "Maria Assunta", "non-dropping-particle" : "", "parse-names" : false, "suffix" : "" } ], "container-title" : "AJR. American journal of roentgenology", "id" : "ITEM-1", "issue" : "5", "issued" : { "date-parts" : [ [ "2015", "5" ] ] }, "page" : "W557-65", "publisher" : "American Roentgen Ray Society", "title" : "Renal Masses With Equivocal Enhancement at CT: Characterization With Contrast-Enhanced Ultrasound.", "type" : "article-journal", "volume" : "204" }, "uris" : [ "http://www.mendeley.com/documents/?uuid=4d8cfa5f-68a8-4a12-9510-34c4c86ef0be" ] } ], "mendeley" : { "formattedCitation" : "[10]", "plainTextFormattedCitation" : "[10]"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[10</w:t>
      </w:r>
      <w:r w:rsidR="005C3ADC" w:rsidRPr="00B246B6">
        <w:rPr>
          <w:rFonts w:ascii="Book Antiqua" w:hAnsi="Book Antiqua" w:cs="Book Antiqua"/>
          <w:noProof/>
          <w:sz w:val="24"/>
          <w:szCs w:val="24"/>
          <w:vertAlign w:val="superscript"/>
          <w:lang w:val="en-US"/>
        </w:rPr>
        <w:t>,20</w:t>
      </w:r>
      <w:r w:rsidRPr="00B246B6">
        <w:rPr>
          <w:rFonts w:ascii="Book Antiqua" w:hAnsi="Book Antiqua" w:cs="Book Antiqua"/>
          <w:noProof/>
          <w:sz w:val="24"/>
          <w:szCs w:val="24"/>
          <w:vertAlign w:val="superscript"/>
          <w:lang w:val="en-US"/>
        </w:rPr>
        <w:t>]</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 xml:space="preserve">. </w:t>
      </w:r>
      <w:r w:rsidRPr="00B246B6">
        <w:rPr>
          <w:rFonts w:ascii="Book Antiqua" w:hAnsi="Book Antiqua" w:cs="Book Antiqua"/>
          <w:sz w:val="24"/>
          <w:szCs w:val="24"/>
          <w:lang w:val="en-GB"/>
        </w:rPr>
        <w:t>Cystic lesions were graded according to the Bosniak criteria as previously described</w:t>
      </w:r>
      <w:r w:rsidRPr="00B246B6">
        <w:rPr>
          <w:rFonts w:ascii="Book Antiqua" w:hAnsi="Book Antiqua" w:cs="Book Antiqua"/>
          <w:sz w:val="24"/>
          <w:szCs w:val="24"/>
          <w:vertAlign w:val="superscript"/>
          <w:lang w:val="en-GB"/>
        </w:rPr>
        <w:t>[13,14]</w:t>
      </w:r>
      <w:r w:rsidRPr="00B246B6">
        <w:rPr>
          <w:rFonts w:ascii="Book Antiqua" w:hAnsi="Book Antiqua" w:cs="Book Antiqua"/>
          <w:sz w:val="24"/>
          <w:szCs w:val="24"/>
          <w:lang w:val="en-GB"/>
        </w:rPr>
        <w:t>.</w:t>
      </w:r>
    </w:p>
    <w:p w14:paraId="5DE94B0B" w14:textId="77777777" w:rsidR="00D40098" w:rsidRPr="00B246B6" w:rsidRDefault="00D40098" w:rsidP="00A6209E">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US" w:eastAsia="zh-CN"/>
        </w:rPr>
      </w:pPr>
    </w:p>
    <w:p w14:paraId="796FC005"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Data analysis</w:t>
      </w:r>
    </w:p>
    <w:p w14:paraId="03BEA1B2" w14:textId="52CCDD53" w:rsidR="00462FFF" w:rsidRPr="00B246B6" w:rsidRDefault="003B6C65" w:rsidP="00C57CCC">
      <w:pPr>
        <w:widowControl w:val="0"/>
        <w:autoSpaceDE w:val="0"/>
        <w:autoSpaceDN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For the group of patients investigated to rule-out a vascular cause for renal function deterioration we calculated the detection </w:t>
      </w:r>
      <w:r w:rsidR="00EB4EA0" w:rsidRPr="00B246B6">
        <w:rPr>
          <w:rFonts w:ascii="Book Antiqua" w:hAnsi="Book Antiqua" w:cs="Book Antiqua"/>
          <w:sz w:val="24"/>
          <w:szCs w:val="24"/>
          <w:lang w:val="en-US"/>
        </w:rPr>
        <w:t xml:space="preserve">rate of vascular abnormalities </w:t>
      </w:r>
      <w:r w:rsidR="00A11EE2" w:rsidRPr="00B246B6">
        <w:rPr>
          <w:rFonts w:ascii="Book Antiqua" w:hAnsi="Book Antiqua" w:cs="Book Antiqua"/>
          <w:sz w:val="24"/>
          <w:szCs w:val="24"/>
          <w:lang w:val="en-US" w:eastAsia="zh-CN"/>
        </w:rPr>
        <w:t>[</w:t>
      </w:r>
      <w:r w:rsidRPr="00B246B6">
        <w:rPr>
          <w:rFonts w:ascii="Book Antiqua" w:hAnsi="Book Antiqua" w:cs="Book Antiqua"/>
          <w:sz w:val="24"/>
          <w:szCs w:val="24"/>
          <w:lang w:val="en-US"/>
        </w:rPr>
        <w:t xml:space="preserve">(number of positive cases/total number of cases) </w:t>
      </w:r>
      <w:bookmarkStart w:id="5" w:name="OLE_LINK137"/>
      <w:bookmarkStart w:id="6" w:name="OLE_LINK138"/>
      <w:bookmarkStart w:id="7" w:name="OLE_LINK166"/>
      <w:r w:rsidR="00E45E66" w:rsidRPr="00B246B6">
        <w:rPr>
          <w:rFonts w:ascii="Book Antiqua" w:hAnsi="Book Antiqua" w:cs="Times New Roman"/>
          <w:color w:val="000000"/>
          <w:sz w:val="24"/>
          <w:szCs w:val="24"/>
        </w:rPr>
        <w:t>×</w:t>
      </w:r>
      <w:bookmarkEnd w:id="5"/>
      <w:bookmarkEnd w:id="6"/>
      <w:bookmarkEnd w:id="7"/>
      <w:r w:rsidRPr="00B246B6">
        <w:rPr>
          <w:rFonts w:ascii="Book Antiqua" w:hAnsi="Book Antiqua" w:cs="Book Antiqua"/>
          <w:sz w:val="24"/>
          <w:szCs w:val="24"/>
          <w:lang w:val="en-US"/>
        </w:rPr>
        <w:t xml:space="preserve"> 100</w:t>
      </w:r>
      <w:r w:rsidR="00A11EE2" w:rsidRPr="00B246B6">
        <w:rPr>
          <w:rFonts w:ascii="Book Antiqua" w:hAnsi="Book Antiqua" w:cs="Book Antiqua"/>
          <w:sz w:val="24"/>
          <w:szCs w:val="24"/>
          <w:lang w:val="en-US" w:eastAsia="zh-CN"/>
        </w:rPr>
        <w:t>]</w:t>
      </w:r>
      <w:r w:rsidRPr="00B246B6">
        <w:rPr>
          <w:rFonts w:ascii="Book Antiqua" w:hAnsi="Book Antiqua" w:cs="Book Antiqua"/>
          <w:sz w:val="24"/>
          <w:szCs w:val="24"/>
          <w:lang w:val="en-US"/>
        </w:rPr>
        <w:t xml:space="preserve">. Analysis was performed on a per-patient basis by identifying at least one area of renal involvement. Significance of the difference between techniques in the detection rate of renal infarction was assessed with the McNemar test, using a reference alfa level of 0.01. Analysis was performed with a commercially available software (MedCalc v9.1, Mariakerke, Belgium). </w:t>
      </w:r>
    </w:p>
    <w:p w14:paraId="4F266B90" w14:textId="434DDC2A" w:rsidR="003B6C65" w:rsidRPr="00B246B6" w:rsidRDefault="003B6C65" w:rsidP="00134106">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lastRenderedPageBreak/>
        <w:t>For the group of patients with suspicious renal lesions we performed descriptive statistics of CEUS findings on a per-lesion basis.</w:t>
      </w:r>
    </w:p>
    <w:p w14:paraId="0FF954F3"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bCs/>
          <w:sz w:val="24"/>
          <w:szCs w:val="24"/>
          <w:lang w:val="en-US"/>
        </w:rPr>
      </w:pPr>
    </w:p>
    <w:p w14:paraId="6B3C9563" w14:textId="77777777" w:rsidR="003B6C65" w:rsidRPr="00B246B6" w:rsidRDefault="003B6C65" w:rsidP="00C57CCC">
      <w:pPr>
        <w:keepNext/>
        <w:widowControl w:val="0"/>
        <w:autoSpaceDE w:val="0"/>
        <w:autoSpaceDN w:val="0"/>
        <w:adjustRightInd w:val="0"/>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RESULTS</w:t>
      </w:r>
    </w:p>
    <w:p w14:paraId="0E3BF021" w14:textId="77777777" w:rsidR="003B6C65" w:rsidRPr="00B246B6" w:rsidRDefault="003B6C65" w:rsidP="00C57CCC">
      <w:pPr>
        <w:keepNext/>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Patients with acute RFI of suspicious vascular origin</w:t>
      </w:r>
    </w:p>
    <w:p w14:paraId="2C77CA87" w14:textId="7AF06F77"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Of fifty patients, 38 were males and 12 females (mean age: 71</w:t>
      </w:r>
      <w:r w:rsidR="0035456E"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w:t>
      </w:r>
      <w:r w:rsidR="0035456E"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 xml:space="preserve">9 years, range 40-88 years). They presented with </w:t>
      </w:r>
      <w:r w:rsidR="00C63C00" w:rsidRPr="00B246B6">
        <w:rPr>
          <w:rFonts w:ascii="Book Antiqua" w:hAnsi="Book Antiqua" w:cs="Book Antiqua"/>
          <w:sz w:val="24"/>
          <w:szCs w:val="24"/>
          <w:lang w:val="en-US"/>
        </w:rPr>
        <w:t>ARF</w:t>
      </w:r>
      <w:r w:rsidRPr="00B246B6">
        <w:rPr>
          <w:rFonts w:ascii="Book Antiqua" w:hAnsi="Book Antiqua" w:cs="Book Antiqua"/>
          <w:sz w:val="24"/>
          <w:szCs w:val="24"/>
          <w:lang w:val="en-US"/>
        </w:rPr>
        <w:t xml:space="preserve"> either in previously well-functioning kidneys (31/50, 62%;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47.2-75.0), or complicating an already known </w:t>
      </w:r>
      <w:r w:rsidR="00C63C00" w:rsidRPr="00B246B6">
        <w:rPr>
          <w:rFonts w:ascii="Book Antiqua" w:hAnsi="Book Antiqua" w:cs="Book Antiqua"/>
          <w:sz w:val="24"/>
          <w:szCs w:val="24"/>
          <w:lang w:val="en-US"/>
        </w:rPr>
        <w:t>CRF</w:t>
      </w:r>
      <w:r w:rsidRPr="00B246B6">
        <w:rPr>
          <w:rFonts w:ascii="Book Antiqua" w:hAnsi="Book Antiqua" w:cs="Book Antiqua"/>
          <w:sz w:val="24"/>
          <w:szCs w:val="24"/>
          <w:lang w:val="en-US"/>
        </w:rPr>
        <w:t xml:space="preserve"> (19/50, 38%;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25.0-32.8). Causes of ARF were established based on clinical history and imaging follow-up in 44/50 cases (88%), renal biopsy in 3/50 case</w:t>
      </w:r>
      <w:r w:rsidR="00462FFF" w:rsidRPr="00B246B6">
        <w:rPr>
          <w:rFonts w:ascii="Book Antiqua" w:hAnsi="Book Antiqua" w:cs="Book Antiqua"/>
          <w:sz w:val="24"/>
          <w:szCs w:val="24"/>
          <w:lang w:val="en-US"/>
        </w:rPr>
        <w:t>s</w:t>
      </w:r>
      <w:r w:rsidRPr="00B246B6">
        <w:rPr>
          <w:rFonts w:ascii="Book Antiqua" w:hAnsi="Book Antiqua" w:cs="Book Antiqua"/>
          <w:sz w:val="24"/>
          <w:szCs w:val="24"/>
          <w:lang w:val="en-US"/>
        </w:rPr>
        <w:t xml:space="preserve"> (6.0%) and autopsy in the remaining 3/50 cases (6.0%). </w:t>
      </w:r>
    </w:p>
    <w:p w14:paraId="0AA15ACA" w14:textId="775E4893" w:rsidR="003B6C65" w:rsidRPr="00B246B6" w:rsidRDefault="003B6C65" w:rsidP="006D7008">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Renal infarction was found in 18/50 patients (36%;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23.3-50.9) using CEUS and 5/50 (10%;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3.7-22.6) using color Doppler US, corresponding to a significant difference in detection rate (</w:t>
      </w:r>
      <w:r w:rsidR="00A9261E" w:rsidRPr="00B246B6">
        <w:rPr>
          <w:rFonts w:ascii="Book Antiqua" w:hAnsi="Book Antiqua" w:cs="Book Antiqua"/>
          <w:i/>
          <w:sz w:val="24"/>
          <w:szCs w:val="24"/>
          <w:lang w:val="en-GB"/>
        </w:rPr>
        <w:t>P</w:t>
      </w:r>
      <w:r w:rsidR="00A9261E" w:rsidRPr="00B246B6">
        <w:rPr>
          <w:rFonts w:ascii="Book Antiqua" w:hAnsi="Book Antiqua" w:cs="Book Antiqua"/>
          <w:sz w:val="24"/>
          <w:szCs w:val="24"/>
          <w:lang w:val="en-GB" w:eastAsia="zh-CN"/>
        </w:rPr>
        <w:t xml:space="preserve"> </w:t>
      </w:r>
      <w:r w:rsidR="00A9261E" w:rsidRPr="00B246B6">
        <w:rPr>
          <w:rFonts w:ascii="Book Antiqua" w:hAnsi="Book Antiqua" w:cs="Book Antiqua"/>
          <w:sz w:val="24"/>
          <w:szCs w:val="24"/>
          <w:lang w:val="en-GB"/>
        </w:rPr>
        <w:t>=</w:t>
      </w:r>
      <w:r w:rsidR="00A9261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US"/>
        </w:rPr>
        <w:t>0.0002). In particular, CEUS found infarction in 13 additional subjects compared to color Doppler US (Fig</w:t>
      </w:r>
      <w:r w:rsidR="00B96177" w:rsidRPr="00B246B6">
        <w:rPr>
          <w:rFonts w:ascii="Book Antiqua" w:hAnsi="Book Antiqua" w:cs="Book Antiqua"/>
          <w:sz w:val="24"/>
          <w:szCs w:val="24"/>
          <w:lang w:val="en-US" w:eastAsia="zh-CN"/>
        </w:rPr>
        <w:t xml:space="preserve">ure </w:t>
      </w:r>
      <w:r w:rsidRPr="00B246B6">
        <w:rPr>
          <w:rFonts w:ascii="Book Antiqua" w:hAnsi="Book Antiqua" w:cs="Book Antiqua"/>
          <w:sz w:val="24"/>
          <w:szCs w:val="24"/>
          <w:lang w:val="en-US"/>
        </w:rPr>
        <w:t xml:space="preserve">1). Moreover, CEUS identified acute cortical necrosis in one patient (2%;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0.1-12.0) presenting with non-specific hypoperfusion of the kidneys </w:t>
      </w:r>
      <w:r w:rsidR="00462FFF" w:rsidRPr="00B246B6">
        <w:rPr>
          <w:rFonts w:ascii="Book Antiqua" w:hAnsi="Book Antiqua" w:cs="Book Antiqua"/>
          <w:sz w:val="24"/>
          <w:szCs w:val="24"/>
          <w:lang w:val="en-US"/>
        </w:rPr>
        <w:t xml:space="preserve">at color Doppler interrogation </w:t>
      </w:r>
      <w:r w:rsidRPr="00B246B6">
        <w:rPr>
          <w:rFonts w:ascii="Book Antiqua" w:hAnsi="Book Antiqua" w:cs="Book Antiqua"/>
          <w:sz w:val="24"/>
          <w:szCs w:val="24"/>
          <w:lang w:val="en-US"/>
        </w:rPr>
        <w:t>(</w:t>
      </w:r>
      <w:r w:rsidR="00B96177" w:rsidRPr="00B246B6">
        <w:rPr>
          <w:rFonts w:ascii="Book Antiqua" w:hAnsi="Book Antiqua" w:cs="Book Antiqua"/>
          <w:sz w:val="24"/>
          <w:szCs w:val="24"/>
          <w:lang w:val="en-US"/>
        </w:rPr>
        <w:t>Fig</w:t>
      </w:r>
      <w:r w:rsidR="00B96177" w:rsidRPr="00B246B6">
        <w:rPr>
          <w:rFonts w:ascii="Book Antiqua" w:hAnsi="Book Antiqua" w:cs="Book Antiqua"/>
          <w:sz w:val="24"/>
          <w:szCs w:val="24"/>
          <w:lang w:val="en-US" w:eastAsia="zh-CN"/>
        </w:rPr>
        <w:t xml:space="preserve">ure </w:t>
      </w:r>
      <w:r w:rsidRPr="00B246B6">
        <w:rPr>
          <w:rFonts w:ascii="Book Antiqua" w:hAnsi="Book Antiqua" w:cs="Book Antiqua"/>
          <w:sz w:val="24"/>
          <w:szCs w:val="24"/>
          <w:lang w:val="en-US"/>
        </w:rPr>
        <w:t xml:space="preserve">2). </w:t>
      </w:r>
    </w:p>
    <w:p w14:paraId="6B249E45" w14:textId="3FD22E6D" w:rsidR="003B6C65" w:rsidRPr="00B246B6" w:rsidRDefault="003B6C65" w:rsidP="009561F7">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In the remaining 31/50 patients (62%;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47.2-75.0), there was no evidence of vascular abnormalities both on color Doppler US and CEUS. </w:t>
      </w:r>
      <w:r w:rsidR="00462FFF" w:rsidRPr="00B246B6">
        <w:rPr>
          <w:rFonts w:ascii="Book Antiqua" w:hAnsi="Book Antiqua" w:cs="Book Antiqua"/>
          <w:sz w:val="24"/>
          <w:szCs w:val="24"/>
          <w:lang w:val="en-US"/>
        </w:rPr>
        <w:t>F</w:t>
      </w:r>
      <w:r w:rsidRPr="00B246B6">
        <w:rPr>
          <w:rFonts w:ascii="Book Antiqua" w:hAnsi="Book Antiqua" w:cs="Book Antiqua"/>
          <w:sz w:val="24"/>
          <w:szCs w:val="24"/>
          <w:lang w:val="en-US"/>
        </w:rPr>
        <w:t>inal presumptive diagnosis was reached in 20/31 patients based on clinical and laboratory features, course of the disease and kidney biopsy in three subjects (two with interstitial nephritis and one with atheroembolic renal disease, respectively). Other three patients with atheroembolic renal disease had positive skin biopsy. In the remaining 12 patients, the cause of renal function deterioration remained undetermined. CEUS findings, pre-existing renal function and final diagnosis are orted in Tab</w:t>
      </w:r>
      <w:r w:rsidR="00CE7CD0" w:rsidRPr="00B246B6">
        <w:rPr>
          <w:rFonts w:ascii="Book Antiqua" w:hAnsi="Book Antiqua" w:cs="Book Antiqua"/>
          <w:sz w:val="24"/>
          <w:szCs w:val="24"/>
          <w:lang w:val="en-US" w:eastAsia="zh-CN"/>
        </w:rPr>
        <w:t>le</w:t>
      </w:r>
      <w:r w:rsidRPr="00B246B6">
        <w:rPr>
          <w:rFonts w:ascii="Book Antiqua" w:hAnsi="Book Antiqua" w:cs="Book Antiqua"/>
          <w:sz w:val="24"/>
          <w:szCs w:val="24"/>
          <w:lang w:val="en-US"/>
        </w:rPr>
        <w:t xml:space="preserve"> 2. </w:t>
      </w:r>
    </w:p>
    <w:p w14:paraId="29958CF4" w14:textId="77777777" w:rsidR="007D56E4" w:rsidRPr="00B246B6" w:rsidRDefault="007D56E4"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p>
    <w:p w14:paraId="76D8A151" w14:textId="77777777" w:rsidR="003B6C65" w:rsidRPr="00B246B6" w:rsidRDefault="003B6C65" w:rsidP="00C57CCC">
      <w:pPr>
        <w:widowControl w:val="0"/>
        <w:autoSpaceDE w:val="0"/>
        <w:autoSpaceDN w:val="0"/>
        <w:adjustRightInd w:val="0"/>
        <w:spacing w:after="0" w:line="360" w:lineRule="auto"/>
        <w:jc w:val="both"/>
        <w:rPr>
          <w:rFonts w:ascii="Book Antiqua" w:hAnsi="Book Antiqua" w:cs="Book Antiqua"/>
          <w:b/>
          <w:i/>
          <w:iCs/>
          <w:sz w:val="24"/>
          <w:szCs w:val="24"/>
          <w:lang w:val="en-US"/>
        </w:rPr>
      </w:pPr>
      <w:r w:rsidRPr="00B246B6">
        <w:rPr>
          <w:rFonts w:ascii="Book Antiqua" w:hAnsi="Book Antiqua" w:cs="Book Antiqua"/>
          <w:b/>
          <w:i/>
          <w:iCs/>
          <w:sz w:val="24"/>
          <w:szCs w:val="24"/>
          <w:lang w:val="en-US"/>
        </w:rPr>
        <w:t>Patients with renal lesions</w:t>
      </w:r>
    </w:p>
    <w:p w14:paraId="1C089BC5" w14:textId="06502AA6" w:rsidR="00222207"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Of 41 patients included in this group, 26 were male and 15 female (mean age: 70</w:t>
      </w:r>
      <w:r w:rsidR="00CE2028"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w:t>
      </w:r>
      <w:r w:rsidR="00CE2028"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 xml:space="preserve">14 years, range 41-90 years). CEUS showed a total of 41 lesions in 39 patients. </w:t>
      </w:r>
    </w:p>
    <w:p w14:paraId="6DAAAD81" w14:textId="34DCCD3A" w:rsidR="00222207" w:rsidRPr="00B246B6" w:rsidRDefault="003B6C65" w:rsidP="004B4E4F">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Twenty-one/41 lesions were solid in nature (51.2%;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35.4-66.8), </w:t>
      </w:r>
      <w:r w:rsidR="00222207" w:rsidRPr="00B246B6">
        <w:rPr>
          <w:rFonts w:ascii="Book Antiqua" w:hAnsi="Book Antiqua" w:cs="Book Antiqua"/>
          <w:sz w:val="24"/>
          <w:szCs w:val="24"/>
          <w:lang w:val="en-US"/>
        </w:rPr>
        <w:t>whereas</w:t>
      </w:r>
      <w:r w:rsidRPr="00B246B6">
        <w:rPr>
          <w:rFonts w:ascii="Book Antiqua" w:hAnsi="Book Antiqua" w:cs="Book Antiqua"/>
          <w:sz w:val="24"/>
          <w:szCs w:val="24"/>
          <w:lang w:val="en-US"/>
        </w:rPr>
        <w:t xml:space="preserve"> 20/41 lesions were assessed as complex cysts (48.8%; </w:t>
      </w:r>
      <w:r w:rsidR="003D1417" w:rsidRPr="00B246B6">
        <w:rPr>
          <w:rFonts w:ascii="Book Antiqua" w:hAnsi="Book Antiqua" w:cs="Book Antiqua"/>
          <w:sz w:val="24"/>
          <w:szCs w:val="24"/>
          <w:lang w:val="en-GB"/>
        </w:rPr>
        <w:t>95%CI</w:t>
      </w:r>
      <w:r w:rsidR="003D1417" w:rsidRPr="00B246B6">
        <w:rPr>
          <w:rFonts w:ascii="Book Antiqua" w:hAnsi="Book Antiqua" w:cs="Book Antiqua"/>
          <w:sz w:val="24"/>
          <w:szCs w:val="24"/>
          <w:lang w:val="en-GB" w:eastAsia="zh-CN"/>
        </w:rPr>
        <w:t>:</w:t>
      </w:r>
      <w:r w:rsidRPr="00B246B6">
        <w:rPr>
          <w:rFonts w:ascii="Book Antiqua" w:hAnsi="Book Antiqua" w:cs="Book Antiqua"/>
          <w:sz w:val="24"/>
          <w:szCs w:val="24"/>
          <w:lang w:val="en-US"/>
        </w:rPr>
        <w:t xml:space="preserve"> 33.2-64.6). Twelve out of 21 solid lesions were removed surgically, with final diagnosis of renal cancer, including 11 clear cell carcinomas (</w:t>
      </w:r>
      <w:r w:rsidR="00B96177" w:rsidRPr="00B246B6">
        <w:rPr>
          <w:rFonts w:ascii="Book Antiqua" w:hAnsi="Book Antiqua" w:cs="Book Antiqua"/>
          <w:sz w:val="24"/>
          <w:szCs w:val="24"/>
          <w:lang w:val="en-US"/>
        </w:rPr>
        <w:t>Fig</w:t>
      </w:r>
      <w:r w:rsidR="00B96177" w:rsidRPr="00B246B6">
        <w:rPr>
          <w:rFonts w:ascii="Book Antiqua" w:hAnsi="Book Antiqua" w:cs="Book Antiqua"/>
          <w:sz w:val="24"/>
          <w:szCs w:val="24"/>
          <w:lang w:val="en-US" w:eastAsia="zh-CN"/>
        </w:rPr>
        <w:t xml:space="preserve">ure </w:t>
      </w:r>
      <w:r w:rsidRPr="00B246B6">
        <w:rPr>
          <w:rFonts w:ascii="Book Antiqua" w:hAnsi="Book Antiqua" w:cs="Book Antiqua"/>
          <w:sz w:val="24"/>
          <w:szCs w:val="24"/>
          <w:lang w:val="en-US"/>
        </w:rPr>
        <w:t xml:space="preserve">3) and 1 urothelial carcinoma. The remaining lesions included one </w:t>
      </w:r>
      <w:r w:rsidRPr="00B246B6">
        <w:rPr>
          <w:rFonts w:ascii="Book Antiqua" w:hAnsi="Book Antiqua" w:cs="Book Antiqua"/>
          <w:sz w:val="24"/>
          <w:szCs w:val="24"/>
          <w:lang w:val="en-US"/>
        </w:rPr>
        <w:lastRenderedPageBreak/>
        <w:t xml:space="preserve">oncocytoma diagnosed on autopsy, 7 indeterminate lesions addressed to imaging follow-up because of patients’ age and comorbidities contraindicating surgery, and one inoperable lesion addressed to angiographic embolization because of acute intratumoral hemorrhage. </w:t>
      </w:r>
    </w:p>
    <w:p w14:paraId="6FB1A220" w14:textId="085B67D4" w:rsidR="003B6C65" w:rsidRPr="00B246B6" w:rsidRDefault="003B6C65" w:rsidP="0065213B">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Cysts were classified according to Bosniak categories II, IIF, III and IV in 8, 5, 4 and 3 cases, respectively. All category IIF</w:t>
      </w:r>
      <w:r w:rsidR="00222207" w:rsidRPr="00B246B6">
        <w:rPr>
          <w:rFonts w:ascii="Book Antiqua" w:hAnsi="Book Antiqua" w:cs="Book Antiqua"/>
          <w:sz w:val="24"/>
          <w:szCs w:val="24"/>
          <w:lang w:val="en-US"/>
        </w:rPr>
        <w:t xml:space="preserve"> lesions, 1/4 category III </w:t>
      </w:r>
      <w:r w:rsidRPr="00B246B6">
        <w:rPr>
          <w:rFonts w:ascii="Book Antiqua" w:hAnsi="Book Antiqua" w:cs="Book Antiqua"/>
          <w:sz w:val="24"/>
          <w:szCs w:val="24"/>
          <w:lang w:val="en-US"/>
        </w:rPr>
        <w:t>and 1/3 category IV cysts remained stable over a 3-years imaging follow-up (</w:t>
      </w:r>
      <w:r w:rsidR="00B96177" w:rsidRPr="00B246B6">
        <w:rPr>
          <w:rFonts w:ascii="Book Antiqua" w:hAnsi="Book Antiqua" w:cs="Book Antiqua"/>
          <w:sz w:val="24"/>
          <w:szCs w:val="24"/>
          <w:lang w:val="en-US"/>
        </w:rPr>
        <w:t>Fig</w:t>
      </w:r>
      <w:r w:rsidR="00B96177" w:rsidRPr="00B246B6">
        <w:rPr>
          <w:rFonts w:ascii="Book Antiqua" w:hAnsi="Book Antiqua" w:cs="Book Antiqua"/>
          <w:sz w:val="24"/>
          <w:szCs w:val="24"/>
          <w:lang w:val="en-US" w:eastAsia="zh-CN"/>
        </w:rPr>
        <w:t xml:space="preserve">ure </w:t>
      </w:r>
      <w:r w:rsidRPr="00B246B6">
        <w:rPr>
          <w:rFonts w:ascii="Book Antiqua" w:hAnsi="Book Antiqua" w:cs="Book Antiqua"/>
          <w:sz w:val="24"/>
          <w:szCs w:val="24"/>
          <w:lang w:val="en-US"/>
        </w:rPr>
        <w:t>4). Two category III cysts were a papillary and a clear cell</w:t>
      </w:r>
      <w:r w:rsidR="00640BBC" w:rsidRPr="00B246B6">
        <w:rPr>
          <w:rFonts w:ascii="Book Antiqua" w:hAnsi="Book Antiqua" w:cs="Book Antiqua"/>
          <w:sz w:val="24"/>
          <w:szCs w:val="24"/>
          <w:lang w:val="en-US" w:eastAsia="zh-CN"/>
        </w:rPr>
        <w:t xml:space="preserve"> </w:t>
      </w:r>
      <w:r w:rsidR="00640BBC" w:rsidRPr="00B246B6">
        <w:rPr>
          <w:rFonts w:ascii="Book Antiqua" w:hAnsi="Book Antiqua" w:cs="Book Antiqua"/>
          <w:sz w:val="24"/>
          <w:szCs w:val="24"/>
          <w:lang w:val="en-US"/>
        </w:rPr>
        <w:t xml:space="preserve">renal cell carcinoma </w:t>
      </w:r>
      <w:r w:rsidR="00640BBC" w:rsidRPr="00B246B6">
        <w:rPr>
          <w:rFonts w:ascii="Book Antiqua" w:hAnsi="Book Antiqua" w:cs="Book Antiqua"/>
          <w:sz w:val="24"/>
          <w:szCs w:val="24"/>
          <w:lang w:val="en-US" w:eastAsia="zh-CN"/>
        </w:rPr>
        <w:t>(RCC)</w:t>
      </w:r>
      <w:r w:rsidRPr="00B246B6">
        <w:rPr>
          <w:rFonts w:ascii="Book Antiqua" w:hAnsi="Book Antiqua" w:cs="Book Antiqua"/>
          <w:sz w:val="24"/>
          <w:szCs w:val="24"/>
          <w:lang w:val="en-US"/>
        </w:rPr>
        <w:t xml:space="preserve"> </w:t>
      </w:r>
      <w:r w:rsidR="00222207" w:rsidRPr="00B246B6">
        <w:rPr>
          <w:rFonts w:ascii="Book Antiqua" w:hAnsi="Book Antiqua" w:cs="Book Antiqua"/>
          <w:sz w:val="24"/>
          <w:szCs w:val="24"/>
          <w:lang w:val="en-US"/>
        </w:rPr>
        <w:t>on</w:t>
      </w:r>
      <w:r w:rsidRPr="00B246B6">
        <w:rPr>
          <w:rFonts w:ascii="Book Antiqua" w:hAnsi="Book Antiqua" w:cs="Book Antiqua"/>
          <w:sz w:val="24"/>
          <w:szCs w:val="24"/>
          <w:lang w:val="en-US"/>
        </w:rPr>
        <w:t xml:space="preserve"> biopsy performed before percutaneous cryoablation. One category IV lesion was a clear cell RCC at nephrectomy (</w:t>
      </w:r>
      <w:r w:rsidR="00B96177" w:rsidRPr="00B246B6">
        <w:rPr>
          <w:rFonts w:ascii="Book Antiqua" w:hAnsi="Book Antiqua" w:cs="Book Antiqua"/>
          <w:sz w:val="24"/>
          <w:szCs w:val="24"/>
          <w:lang w:val="en-US"/>
        </w:rPr>
        <w:t>Fig</w:t>
      </w:r>
      <w:r w:rsidR="00B96177" w:rsidRPr="00B246B6">
        <w:rPr>
          <w:rFonts w:ascii="Book Antiqua" w:hAnsi="Book Antiqua" w:cs="Book Antiqua"/>
          <w:sz w:val="24"/>
          <w:szCs w:val="24"/>
          <w:lang w:val="en-US" w:eastAsia="zh-CN"/>
        </w:rPr>
        <w:t xml:space="preserve">ure </w:t>
      </w:r>
      <w:r w:rsidRPr="00B246B6">
        <w:rPr>
          <w:rFonts w:ascii="Book Antiqua" w:hAnsi="Book Antiqua" w:cs="Book Antiqua"/>
          <w:sz w:val="24"/>
          <w:szCs w:val="24"/>
          <w:lang w:val="en-US"/>
        </w:rPr>
        <w:t xml:space="preserve">5). The remaining two patients (one with category III, one with category IV cysts) were not operated because of clinically relevant comorbidities. Lesions increased in size and complexity over time and were considered presumably malignant. The remaining two patients with suspicious renal tumor </w:t>
      </w:r>
      <w:r w:rsidR="00D40C0C" w:rsidRPr="00B246B6">
        <w:rPr>
          <w:rFonts w:ascii="Book Antiqua" w:hAnsi="Book Antiqua" w:cs="Book Antiqua"/>
          <w:sz w:val="24"/>
          <w:szCs w:val="24"/>
          <w:lang w:val="en-US"/>
        </w:rPr>
        <w:t>on</w:t>
      </w:r>
      <w:r w:rsidRPr="00B246B6">
        <w:rPr>
          <w:rFonts w:ascii="Book Antiqua" w:hAnsi="Book Antiqua" w:cs="Book Antiqua"/>
          <w:sz w:val="24"/>
          <w:szCs w:val="24"/>
          <w:lang w:val="en-US"/>
        </w:rPr>
        <w:t xml:space="preserve"> conventional US had a pseudotumour and a subcapsular hematoma at CEUS, respectively. </w:t>
      </w:r>
    </w:p>
    <w:p w14:paraId="0CA58FA7" w14:textId="77777777" w:rsidR="003B6C65" w:rsidRPr="00B246B6" w:rsidRDefault="003B6C65" w:rsidP="00C57CCC">
      <w:pPr>
        <w:widowControl w:val="0"/>
        <w:adjustRightInd w:val="0"/>
        <w:spacing w:after="0" w:line="360" w:lineRule="auto"/>
        <w:jc w:val="both"/>
        <w:rPr>
          <w:rFonts w:ascii="Book Antiqua" w:hAnsi="Book Antiqua" w:cs="Book Antiqua"/>
          <w:b/>
          <w:bCs/>
          <w:sz w:val="24"/>
          <w:szCs w:val="24"/>
          <w:lang w:val="en-US"/>
        </w:rPr>
      </w:pPr>
    </w:p>
    <w:p w14:paraId="4684AE0B"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bCs/>
          <w:sz w:val="24"/>
          <w:szCs w:val="24"/>
          <w:lang w:val="en-US"/>
        </w:rPr>
        <w:t>DISCUSSION</w:t>
      </w:r>
    </w:p>
    <w:p w14:paraId="6B15B48F"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Current EFSUMB guidelines recommend use of CEUS in patients with RFI</w:t>
      </w:r>
      <w:r w:rsidRPr="00B246B6">
        <w:rPr>
          <w:rFonts w:ascii="Book Antiqua" w:hAnsi="Book Antiqua" w:cs="Book Antiqua"/>
          <w:sz w:val="24"/>
          <w:szCs w:val="24"/>
          <w:vertAlign w:val="superscript"/>
          <w:lang w:val="en-US"/>
        </w:rPr>
        <w:fldChar w:fldCharType="begin" w:fldLock="1"/>
      </w:r>
      <w:r w:rsidRPr="00B246B6">
        <w:rPr>
          <w:rFonts w:ascii="Book Antiqua" w:hAnsi="Book Antiqua" w:cs="Book Antiqua"/>
          <w:sz w:val="24"/>
          <w:szCs w:val="24"/>
          <w:vertAlign w:val="superscript"/>
          <w:lang w:val="en-US"/>
        </w:rPr>
        <w:instrText>ADDIN CSL_CITATION { "citationItems" : [ { "id" : "ITEM-1", "itemData" : { "DOI" : "10.1055/s-0031-1281676", "ISSN" : "1438-8782", "PMID" : "21874631", "author" : [ { "dropping-particle" : "", "family" : "Piscaglia", "given" : "F", "non-dropping-particle" : "", "parse-names" : false, "suffix" : "" }, { "dropping-particle" : "", "family" : "Nols\u00f8e", "given" : "C", "non-dropping-particle" : "", "parse-names" : false, "suffix" : "" }, { "dropping-particle" : "", "family" : "Dietrich", "given" : "C F", "non-dropping-particle" : "", "parse-names" : false, "suffix" : "" }, { "dropping-particle" : "", "family" : "Cosgrove", "given" : "D O", "non-dropping-particle" : "", "parse-names" : false, "suffix" : "" }, { "dropping-particle" : "", "family" : "Gilja", "given" : "O H", "non-dropping-particle" : "", "parse-names" : false, "suffix" : "" }, { "dropping-particle" : "", "family" : "Bachmann Nielsen", "given" : "M", "non-dropping-particle" : "", "parse-names" : false, "suffix" : "" }, { "dropping-particle" : "", "family" : "Albrecht", "given" : "T", "non-dropping-particle" : "", "parse-names" : false, "suffix" : "" }, { "dropping-particle" : "", "family" : "Barozzi", "given" : "L", "non-dropping-particle" : "", "parse-names" : false, "suffix" : "" }, { "dropping-particle" : "", "family" : "Bertolotto", "given" : "M", "non-dropping-particle" : "", "parse-names" : false, "suffix" : "" }, { "dropping-particle" : "", "family" : "Catalano", "given" : "O", "non-dropping-particle" : "", "parse-names" : false, "suffix" : "" }, { "dropping-particle" : "", "family" : "Claudon", "given" : "M", "non-dropping-particle" : "", "parse-names" : false, "suffix" : "" }, { "dropping-particle" : "", "family" : "Clevert", "given" : "D A", "non-dropping-particle" : "", "parse-names" : false, "suffix" : "" }, { "dropping-particle" : "", "family" : "Correas", "given" : "J M", "non-dropping-particle" : "", "parse-names" : false, "suffix" : "" }, { "dropping-particle" : "", "family" : "D'Onofrio", "given" : "M", "non-dropping-particle" : "", "parse-names" : false, "suffix" : "" }, { "dropping-particle" : "", "family" : "Drudi", "given" : "F M", "non-dropping-particle" : "", "parse-names" : false, "suffix" : "" }, { "dropping-particle" : "", "family" : "Eyding", "given" : "J", "non-dropping-particle" : "", "parse-names" : false, "suffix" : "" }, { "dropping-particle" : "", "family" : "Giovannini", "given" : "M", "non-dropping-particle" : "", "parse-names" : false, "suffix" : "" }, { "dropping-particle" : "", "family" : "Hocke", "given" : "M", "non-dropping-particle" : "", "parse-names" : false, "suffix" : "" }, { "dropping-particle" : "", "family" : "Ignee", "given" : "A", "non-dropping-particle" : "", "parse-names" : false, "suffix" : "" }, { "dropping-particle" : "", "family" : "Jung", "given" : "E M", "non-dropping-particle" : "", "parse-names" : false, "suffix" : "" }, { "dropping-particle" : "", "family" : "Klauser", "given" : "A S", "non-dropping-particle" : "", "parse-names" : false, "suffix" : "" }, { "dropping-particle" : "", "family" : "Lassau", "given" : "N", "non-dropping-particle" : "", "parse-names" : false, "suffix" : "" }, { "dropping-particle" : "", "family" : "Leen", "given" : "E", "non-dropping-particle" : "", "parse-names" : false, "suffix" : "" }, { "dropping-particle" : "", "family" : "Mathis", "given" : "G", "non-dropping-particle" : "", "parse-names" : false, "suffix" : "" }, { "dropping-particle" : "", "family" : "Saftoiu", "given" : "A", "non-dropping-particle" : "", "parse-names" : false, "suffix" : "" }, { "dropping-particle" : "", "family" : "Seidel", "given" : "G", "non-dropping-particle" : "", "parse-names" : false, "suffix" : "" }, { "dropping-particle" : "", "family" : "Sidhu", "given" : "P S", "non-dropping-particle" : "", "parse-names" : false, "suffix" : "" }, { "dropping-particle" : "", "family" : "Haar", "given" : "G", "non-dropping-particle" : "ter", "parse-names" : false, "suffix" : "" }, { "dropping-particle" : "", "family" : "Timmerman", "given" : "D", "non-dropping-particle" : "", "parse-names" : false, "suffix" : "" }, { "dropping-particle" : "", "family" : "Weskott", "given" : "H P", "non-dropping-particle" : "", "parse-names" : false, "suffix" : "" } ], "container-title" : "Ultraschall in der Medizin (Stuttgart, Germany : 1980)", "id" : "ITEM-1", "issue" : "1", "issued" : { "date-parts" : [ [ "2012", "2" ] ] }, "page" : "33-59", "title" : "The EFSUMB Guidelines and Recommendations on the Clinical Practice of Contrast Enhanced Ultrasound (CEUS): update 2011 on non-hepatic applications.", "type" : "article-journal", "volume" : "33" }, "uris" : [ "http://www.mendeley.com/documents/?uuid=1f910b39-a3e8-4c8f-9877-c204b15fae2d" ] } ], "mendeley" : { "formattedCitation" : "[1]", "plainTextFormattedCitation" : "[1]", "previouslyFormattedCitation" : "[1]" }, "properties" : { "noteIndex" : 0 }, "schema" : "https://github.com/citation-style-language/schema/raw/master/csl-citation.json" }</w:instrText>
      </w:r>
      <w:r w:rsidRPr="00B246B6">
        <w:rPr>
          <w:rFonts w:ascii="Book Antiqua" w:hAnsi="Book Antiqua" w:cs="Book Antiqua"/>
          <w:sz w:val="24"/>
          <w:szCs w:val="24"/>
          <w:vertAlign w:val="superscript"/>
          <w:lang w:val="en-US"/>
        </w:rPr>
        <w:fldChar w:fldCharType="separate"/>
      </w:r>
      <w:r w:rsidRPr="00B246B6">
        <w:rPr>
          <w:rFonts w:ascii="Book Antiqua" w:hAnsi="Book Antiqua" w:cs="Book Antiqua"/>
          <w:noProof/>
          <w:sz w:val="24"/>
          <w:szCs w:val="24"/>
          <w:vertAlign w:val="superscript"/>
          <w:lang w:val="en-US"/>
        </w:rPr>
        <w:t>[1]</w:t>
      </w:r>
      <w:r w:rsidRPr="00B246B6">
        <w:rPr>
          <w:rFonts w:ascii="Book Antiqua" w:hAnsi="Book Antiqua" w:cs="Book Antiqua"/>
          <w:sz w:val="24"/>
          <w:szCs w:val="24"/>
          <w:vertAlign w:val="superscript"/>
          <w:lang w:val="en-US"/>
        </w:rPr>
        <w:fldChar w:fldCharType="end"/>
      </w:r>
      <w:r w:rsidRPr="00B246B6">
        <w:rPr>
          <w:rFonts w:ascii="Book Antiqua" w:hAnsi="Book Antiqua" w:cs="Book Antiqua"/>
          <w:sz w:val="24"/>
          <w:szCs w:val="24"/>
          <w:lang w:val="en-US"/>
        </w:rPr>
        <w:t>. Indeed, this technique can be performed during the same examination session of color Doppler US, thus acting as first-line and problem-solving imaging modality at the same time</w:t>
      </w:r>
      <w:r w:rsidRPr="00B246B6">
        <w:rPr>
          <w:rFonts w:ascii="Book Antiqua" w:hAnsi="Book Antiqua" w:cs="Book Antiqua"/>
          <w:sz w:val="24"/>
          <w:szCs w:val="24"/>
          <w:vertAlign w:val="superscript"/>
          <w:lang w:val="en-US"/>
        </w:rPr>
        <w:t>[9,11]</w:t>
      </w:r>
      <w:r w:rsidRPr="00B246B6">
        <w:rPr>
          <w:rFonts w:ascii="Book Antiqua" w:hAnsi="Book Antiqua" w:cs="Book Antiqua"/>
          <w:sz w:val="24"/>
          <w:szCs w:val="24"/>
          <w:lang w:val="en-US"/>
        </w:rPr>
        <w:t>.</w:t>
      </w:r>
    </w:p>
    <w:p w14:paraId="3ABCC69D" w14:textId="443C6552" w:rsidR="003B6C65" w:rsidRPr="00B246B6" w:rsidRDefault="003B6C65" w:rsidP="002D55AD">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However, indication to CEUS in this scenario is based more on theoretical considerations and expert opinion than on results of validation studies. Indeed, the ability of CEUS to identify renal infarction and to characterize complex cystic masses, pseudolesions, and hypovascular lesions has been mostly demonstrated in patients with well-functioning kidneys</w:t>
      </w:r>
      <w:r w:rsidR="005C3ADC" w:rsidRPr="00B246B6">
        <w:rPr>
          <w:rFonts w:ascii="Book Antiqua" w:hAnsi="Book Antiqua" w:cs="Book Antiqua"/>
          <w:sz w:val="24"/>
          <w:szCs w:val="24"/>
          <w:vertAlign w:val="superscript"/>
          <w:lang w:val="en-US"/>
        </w:rPr>
        <w:t>[10,12,13,21</w:t>
      </w:r>
      <w:r w:rsidRPr="00B246B6">
        <w:rPr>
          <w:rFonts w:ascii="Book Antiqua" w:hAnsi="Book Antiqua" w:cs="Book Antiqua"/>
          <w:sz w:val="24"/>
          <w:szCs w:val="24"/>
          <w:vertAlign w:val="superscript"/>
          <w:lang w:val="en-US"/>
        </w:rPr>
        <w:t>]</w:t>
      </w:r>
      <w:r w:rsidRPr="00B246B6">
        <w:rPr>
          <w:rFonts w:ascii="Book Antiqua" w:hAnsi="Book Antiqua" w:cs="Book Antiqua"/>
          <w:sz w:val="24"/>
          <w:szCs w:val="24"/>
          <w:lang w:val="en-US"/>
        </w:rPr>
        <w:t xml:space="preserve">. </w:t>
      </w:r>
      <w:r w:rsidR="00D40C0C" w:rsidRPr="00B246B6">
        <w:rPr>
          <w:rFonts w:ascii="Book Antiqua" w:hAnsi="Book Antiqua" w:cs="Book Antiqua"/>
          <w:sz w:val="24"/>
          <w:szCs w:val="24"/>
          <w:lang w:val="en-US"/>
        </w:rPr>
        <w:t>To our knowledge, n</w:t>
      </w:r>
      <w:r w:rsidRPr="00B246B6">
        <w:rPr>
          <w:rFonts w:ascii="Book Antiqua" w:hAnsi="Book Antiqua" w:cs="Book Antiqua"/>
          <w:sz w:val="24"/>
          <w:szCs w:val="24"/>
          <w:lang w:val="en-US"/>
        </w:rPr>
        <w:t xml:space="preserve">o specific studies </w:t>
      </w:r>
      <w:r w:rsidR="00D40C0C" w:rsidRPr="00B246B6">
        <w:rPr>
          <w:rFonts w:ascii="Book Antiqua" w:hAnsi="Book Antiqua" w:cs="Book Antiqua"/>
          <w:sz w:val="24"/>
          <w:szCs w:val="24"/>
          <w:lang w:val="en-US"/>
        </w:rPr>
        <w:t xml:space="preserve">focused on </w:t>
      </w:r>
      <w:r w:rsidRPr="00B246B6">
        <w:rPr>
          <w:rFonts w:ascii="Book Antiqua" w:hAnsi="Book Antiqua" w:cs="Book Antiqua"/>
          <w:sz w:val="24"/>
          <w:szCs w:val="24"/>
          <w:lang w:val="en-US"/>
        </w:rPr>
        <w:t xml:space="preserve">patients with renal failure. Moreover, </w:t>
      </w:r>
      <w:r w:rsidR="00F35570" w:rsidRPr="00B246B6">
        <w:rPr>
          <w:rFonts w:ascii="Book Antiqua" w:hAnsi="Book Antiqua" w:cs="Book Antiqua"/>
          <w:sz w:val="24"/>
          <w:szCs w:val="24"/>
          <w:lang w:val="en-US"/>
        </w:rPr>
        <w:t>there is lack of evidence</w:t>
      </w:r>
      <w:r w:rsidRPr="00B246B6">
        <w:rPr>
          <w:rFonts w:ascii="Book Antiqua" w:hAnsi="Book Antiqua" w:cs="Book Antiqua"/>
          <w:sz w:val="24"/>
          <w:szCs w:val="24"/>
          <w:lang w:val="en-US"/>
        </w:rPr>
        <w:t xml:space="preserve"> on whether information obtained with CEUS in patients with RFI has a clinical impact for patient management. </w:t>
      </w:r>
    </w:p>
    <w:p w14:paraId="771C47D4" w14:textId="219661D5"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Our results on a consecutive series of patients with renal failure investigated with CEUS show that this technique is effective </w:t>
      </w:r>
      <w:r w:rsidR="00F35570" w:rsidRPr="00B246B6">
        <w:rPr>
          <w:rFonts w:ascii="Book Antiqua" w:hAnsi="Book Antiqua" w:cs="Book Antiqua"/>
          <w:sz w:val="24"/>
          <w:szCs w:val="24"/>
          <w:lang w:val="en-US"/>
        </w:rPr>
        <w:t xml:space="preserve">in </w:t>
      </w:r>
      <w:r w:rsidR="00615CDF" w:rsidRPr="00B246B6">
        <w:rPr>
          <w:rFonts w:ascii="Book Antiqua" w:hAnsi="Book Antiqua" w:cs="Book Antiqua"/>
          <w:sz w:val="24"/>
          <w:szCs w:val="24"/>
          <w:lang w:val="en-US"/>
        </w:rPr>
        <w:t>identifying</w:t>
      </w:r>
      <w:r w:rsidRPr="00B246B6">
        <w:rPr>
          <w:rFonts w:ascii="Book Antiqua" w:hAnsi="Book Antiqua" w:cs="Book Antiqua"/>
          <w:sz w:val="24"/>
          <w:szCs w:val="24"/>
          <w:lang w:val="en-US"/>
        </w:rPr>
        <w:t xml:space="preserve"> renal infarction and </w:t>
      </w:r>
      <w:r w:rsidR="00615CDF" w:rsidRPr="00B246B6">
        <w:rPr>
          <w:rFonts w:ascii="Book Antiqua" w:hAnsi="Book Antiqua" w:cs="Book Antiqua"/>
          <w:sz w:val="24"/>
          <w:szCs w:val="24"/>
          <w:lang w:val="en-US"/>
        </w:rPr>
        <w:t>characterizing</w:t>
      </w:r>
      <w:r w:rsidRPr="00B246B6">
        <w:rPr>
          <w:rFonts w:ascii="Book Antiqua" w:hAnsi="Book Antiqua" w:cs="Book Antiqua"/>
          <w:sz w:val="24"/>
          <w:szCs w:val="24"/>
          <w:lang w:val="en-US"/>
        </w:rPr>
        <w:t xml:space="preserve"> renal masses. When a vascular cause for the deterioration of the renal function was suspected, CEUS either confirmed the diagnosis or, when negative, prompted further clinical workup and eventually identification of other causes of renal function deterioration. CEUS clearly outperformed US </w:t>
      </w:r>
      <w:r w:rsidR="00615CDF" w:rsidRPr="00B246B6">
        <w:rPr>
          <w:rFonts w:ascii="Book Antiqua" w:hAnsi="Book Antiqua" w:cs="Book Antiqua"/>
          <w:sz w:val="24"/>
          <w:szCs w:val="24"/>
          <w:lang w:val="en-US"/>
        </w:rPr>
        <w:t xml:space="preserve">with </w:t>
      </w:r>
      <w:r w:rsidRPr="00B246B6">
        <w:rPr>
          <w:rFonts w:ascii="Book Antiqua" w:hAnsi="Book Antiqua" w:cs="Book Antiqua"/>
          <w:sz w:val="24"/>
          <w:szCs w:val="24"/>
          <w:lang w:val="en-US"/>
        </w:rPr>
        <w:t xml:space="preserve">color Doppler, with a significantly higher detection rate of renal infarction (36% </w:t>
      </w:r>
      <w:r w:rsidR="00034F43" w:rsidRPr="00B246B6">
        <w:rPr>
          <w:rFonts w:ascii="Book Antiqua" w:hAnsi="Book Antiqua" w:cs="Book Antiqua"/>
          <w:i/>
          <w:sz w:val="24"/>
          <w:szCs w:val="24"/>
          <w:lang w:val="en-GB"/>
        </w:rPr>
        <w:t>vs</w:t>
      </w:r>
      <w:r w:rsidRPr="00B246B6">
        <w:rPr>
          <w:rFonts w:ascii="Book Antiqua" w:hAnsi="Book Antiqua" w:cs="Book Antiqua"/>
          <w:sz w:val="24"/>
          <w:szCs w:val="24"/>
          <w:lang w:val="en-US"/>
        </w:rPr>
        <w:t xml:space="preserve"> 10%) (</w:t>
      </w:r>
      <w:r w:rsidR="00A9261E" w:rsidRPr="00B246B6">
        <w:rPr>
          <w:rFonts w:ascii="Book Antiqua" w:hAnsi="Book Antiqua" w:cs="Book Antiqua"/>
          <w:i/>
          <w:sz w:val="24"/>
          <w:szCs w:val="24"/>
          <w:lang w:val="en-GB"/>
        </w:rPr>
        <w:t>P</w:t>
      </w:r>
      <w:r w:rsidR="00A9261E" w:rsidRPr="00B246B6">
        <w:rPr>
          <w:rFonts w:ascii="Book Antiqua" w:hAnsi="Book Antiqua" w:cs="Book Antiqua"/>
          <w:sz w:val="24"/>
          <w:szCs w:val="24"/>
          <w:lang w:val="en-GB" w:eastAsia="zh-CN"/>
        </w:rPr>
        <w:t xml:space="preserve"> </w:t>
      </w:r>
      <w:r w:rsidR="00A9261E" w:rsidRPr="00B246B6">
        <w:rPr>
          <w:rFonts w:ascii="Book Antiqua" w:hAnsi="Book Antiqua" w:cs="Book Antiqua"/>
          <w:sz w:val="24"/>
          <w:szCs w:val="24"/>
          <w:lang w:val="en-GB"/>
        </w:rPr>
        <w:t>=</w:t>
      </w:r>
      <w:r w:rsidR="00A9261E" w:rsidRPr="00B246B6">
        <w:rPr>
          <w:rFonts w:ascii="Book Antiqua" w:hAnsi="Book Antiqua" w:cs="Book Antiqua"/>
          <w:sz w:val="24"/>
          <w:szCs w:val="24"/>
          <w:lang w:val="en-GB" w:eastAsia="zh-CN"/>
        </w:rPr>
        <w:t xml:space="preserve"> </w:t>
      </w:r>
      <w:r w:rsidRPr="00B246B6">
        <w:rPr>
          <w:rFonts w:ascii="Book Antiqua" w:hAnsi="Book Antiqua" w:cs="Book Antiqua"/>
          <w:sz w:val="24"/>
          <w:szCs w:val="24"/>
          <w:lang w:val="en-US"/>
        </w:rPr>
        <w:t xml:space="preserve">0.0002). Moreover, CEUS was able to differentiate between </w:t>
      </w:r>
      <w:r w:rsidRPr="00B246B6">
        <w:rPr>
          <w:rFonts w:ascii="Book Antiqua" w:hAnsi="Book Antiqua" w:cs="Book Antiqua"/>
          <w:sz w:val="24"/>
          <w:szCs w:val="24"/>
          <w:lang w:val="en-US"/>
        </w:rPr>
        <w:lastRenderedPageBreak/>
        <w:t xml:space="preserve">renal infarctions and cortical ischemia, which </w:t>
      </w:r>
      <w:r w:rsidR="006377B9" w:rsidRPr="00B246B6">
        <w:rPr>
          <w:rFonts w:ascii="Book Antiqua" w:hAnsi="Book Antiqua" w:cs="Book Antiqua"/>
          <w:sz w:val="24"/>
          <w:szCs w:val="24"/>
          <w:lang w:val="en-US"/>
        </w:rPr>
        <w:t>showed</w:t>
      </w:r>
      <w:r w:rsidRPr="00B246B6">
        <w:rPr>
          <w:rFonts w:ascii="Book Antiqua" w:hAnsi="Book Antiqua" w:cs="Book Antiqua"/>
          <w:sz w:val="24"/>
          <w:szCs w:val="24"/>
          <w:lang w:val="en-US"/>
        </w:rPr>
        <w:t xml:space="preserve"> no definite correspondence on color Doppler US. Therefore, CEUS proved to be effective as problem solving technique in these patients, with the advantage of </w:t>
      </w:r>
      <w:r w:rsidR="00615CDF" w:rsidRPr="00B246B6">
        <w:rPr>
          <w:rFonts w:ascii="Book Antiqua" w:hAnsi="Book Antiqua" w:cs="Book Antiqua"/>
          <w:sz w:val="24"/>
          <w:szCs w:val="24"/>
          <w:lang w:val="en-US"/>
        </w:rPr>
        <w:t>avoiding</w:t>
      </w:r>
      <w:r w:rsidRPr="00B246B6">
        <w:rPr>
          <w:rFonts w:ascii="Book Antiqua" w:hAnsi="Book Antiqua" w:cs="Book Antiqua"/>
          <w:sz w:val="24"/>
          <w:szCs w:val="24"/>
          <w:lang w:val="en-US"/>
        </w:rPr>
        <w:t xml:space="preserve"> radiation</w:t>
      </w:r>
      <w:r w:rsidR="00615CDF" w:rsidRPr="00B246B6">
        <w:rPr>
          <w:rFonts w:ascii="Book Antiqua" w:hAnsi="Book Antiqua" w:cs="Book Antiqua"/>
          <w:sz w:val="24"/>
          <w:szCs w:val="24"/>
          <w:lang w:val="en-US"/>
        </w:rPr>
        <w:t xml:space="preserve"> exposure or the</w:t>
      </w:r>
      <w:r w:rsidRPr="00B246B6">
        <w:rPr>
          <w:rFonts w:ascii="Book Antiqua" w:hAnsi="Book Antiqua" w:cs="Book Antiqua"/>
          <w:sz w:val="24"/>
          <w:szCs w:val="24"/>
          <w:lang w:val="en-US"/>
        </w:rPr>
        <w:t xml:space="preserve"> use of nephrotoxic contrast agents. When renal lesion</w:t>
      </w:r>
      <w:r w:rsidR="00615CDF" w:rsidRPr="00B246B6">
        <w:rPr>
          <w:rFonts w:ascii="Book Antiqua" w:hAnsi="Book Antiqua" w:cs="Book Antiqua"/>
          <w:sz w:val="24"/>
          <w:szCs w:val="24"/>
          <w:lang w:val="en-US"/>
        </w:rPr>
        <w:t>s</w:t>
      </w:r>
      <w:r w:rsidRPr="00B246B6">
        <w:rPr>
          <w:rFonts w:ascii="Book Antiqua" w:hAnsi="Book Antiqua" w:cs="Book Antiqua"/>
          <w:sz w:val="24"/>
          <w:szCs w:val="24"/>
          <w:lang w:val="en-US"/>
        </w:rPr>
        <w:t xml:space="preserve"> w</w:t>
      </w:r>
      <w:r w:rsidR="00615CDF" w:rsidRPr="00B246B6">
        <w:rPr>
          <w:rFonts w:ascii="Book Antiqua" w:hAnsi="Book Antiqua" w:cs="Book Antiqua"/>
          <w:sz w:val="24"/>
          <w:szCs w:val="24"/>
          <w:lang w:val="en-US"/>
        </w:rPr>
        <w:t xml:space="preserve">ere </w:t>
      </w:r>
      <w:r w:rsidRPr="00B246B6">
        <w:rPr>
          <w:rFonts w:ascii="Book Antiqua" w:hAnsi="Book Antiqua" w:cs="Book Antiqua"/>
          <w:sz w:val="24"/>
          <w:szCs w:val="24"/>
          <w:lang w:val="en-US"/>
        </w:rPr>
        <w:t xml:space="preserve">identified in patients with renal failure, CEUS was able to </w:t>
      </w:r>
      <w:r w:rsidR="00615CDF" w:rsidRPr="00B246B6">
        <w:rPr>
          <w:rFonts w:ascii="Book Antiqua" w:hAnsi="Book Antiqua" w:cs="Book Antiqua"/>
          <w:sz w:val="24"/>
          <w:szCs w:val="24"/>
          <w:lang w:val="en-US"/>
        </w:rPr>
        <w:t>discriminate between</w:t>
      </w:r>
      <w:r w:rsidRPr="00B246B6">
        <w:rPr>
          <w:rFonts w:ascii="Book Antiqua" w:hAnsi="Book Antiqua" w:cs="Book Antiqua"/>
          <w:sz w:val="24"/>
          <w:szCs w:val="24"/>
          <w:lang w:val="en-US"/>
        </w:rPr>
        <w:t xml:space="preserve"> solid and cystic </w:t>
      </w:r>
      <w:r w:rsidR="00615CDF" w:rsidRPr="00B246B6">
        <w:rPr>
          <w:rFonts w:ascii="Book Antiqua" w:hAnsi="Book Antiqua" w:cs="Book Antiqua"/>
          <w:sz w:val="24"/>
          <w:szCs w:val="24"/>
          <w:lang w:val="en-US"/>
        </w:rPr>
        <w:t>ones</w:t>
      </w:r>
      <w:r w:rsidRPr="00B246B6">
        <w:rPr>
          <w:rFonts w:ascii="Book Antiqua" w:hAnsi="Book Antiqua" w:cs="Book Antiqua"/>
          <w:sz w:val="24"/>
          <w:szCs w:val="24"/>
          <w:lang w:val="en-US"/>
        </w:rPr>
        <w:t xml:space="preserve">, </w:t>
      </w:r>
      <w:r w:rsidR="00615CDF" w:rsidRPr="00B246B6">
        <w:rPr>
          <w:rFonts w:ascii="Book Antiqua" w:hAnsi="Book Antiqua" w:cs="Book Antiqua"/>
          <w:sz w:val="24"/>
          <w:szCs w:val="24"/>
          <w:lang w:val="en-US"/>
        </w:rPr>
        <w:t>as well as</w:t>
      </w:r>
      <w:r w:rsidRPr="00B246B6">
        <w:rPr>
          <w:rFonts w:ascii="Book Antiqua" w:hAnsi="Book Antiqua" w:cs="Book Antiqua"/>
          <w:sz w:val="24"/>
          <w:szCs w:val="24"/>
          <w:lang w:val="en-US"/>
        </w:rPr>
        <w:t xml:space="preserve"> to categorize cysts according to the Bosniak criteria. Characteri</w:t>
      </w:r>
      <w:r w:rsidR="009D0E03" w:rsidRPr="00B246B6">
        <w:rPr>
          <w:rFonts w:ascii="Book Antiqua" w:hAnsi="Book Antiqua" w:cs="Book Antiqua"/>
          <w:sz w:val="24"/>
          <w:szCs w:val="24"/>
          <w:lang w:val="en-US"/>
        </w:rPr>
        <w:t>zing</w:t>
      </w:r>
      <w:r w:rsidRPr="00B246B6">
        <w:rPr>
          <w:rFonts w:ascii="Book Antiqua" w:hAnsi="Book Antiqua" w:cs="Book Antiqua"/>
          <w:sz w:val="24"/>
          <w:szCs w:val="24"/>
          <w:lang w:val="en-US"/>
        </w:rPr>
        <w:t xml:space="preserve"> lesion</w:t>
      </w:r>
      <w:r w:rsidR="006377B9" w:rsidRPr="00B246B6">
        <w:rPr>
          <w:rFonts w:ascii="Book Antiqua" w:hAnsi="Book Antiqua" w:cs="Book Antiqua"/>
          <w:sz w:val="24"/>
          <w:szCs w:val="24"/>
          <w:lang w:val="en-US"/>
        </w:rPr>
        <w:t>s</w:t>
      </w:r>
      <w:r w:rsidRPr="00B246B6">
        <w:rPr>
          <w:rFonts w:ascii="Book Antiqua" w:hAnsi="Book Antiqua" w:cs="Book Antiqua"/>
          <w:sz w:val="24"/>
          <w:szCs w:val="24"/>
          <w:lang w:val="en-US"/>
        </w:rPr>
        <w:t xml:space="preserve"> </w:t>
      </w:r>
      <w:r w:rsidR="009D0E03" w:rsidRPr="00B246B6">
        <w:rPr>
          <w:rFonts w:ascii="Book Antiqua" w:hAnsi="Book Antiqua" w:cs="Book Antiqua"/>
          <w:sz w:val="24"/>
          <w:szCs w:val="24"/>
          <w:lang w:val="en-US"/>
        </w:rPr>
        <w:t>with</w:t>
      </w:r>
      <w:r w:rsidR="006377B9" w:rsidRPr="00B246B6">
        <w:rPr>
          <w:rFonts w:ascii="Book Antiqua" w:hAnsi="Book Antiqua" w:cs="Book Antiqua"/>
          <w:sz w:val="24"/>
          <w:szCs w:val="24"/>
          <w:lang w:val="en-US"/>
        </w:rPr>
        <w:t xml:space="preserve"> </w:t>
      </w:r>
      <w:r w:rsidRPr="00B246B6">
        <w:rPr>
          <w:rFonts w:ascii="Book Antiqua" w:hAnsi="Book Antiqua" w:cs="Book Antiqua"/>
          <w:sz w:val="24"/>
          <w:szCs w:val="24"/>
          <w:lang w:val="en-US"/>
        </w:rPr>
        <w:t xml:space="preserve">indeterminate </w:t>
      </w:r>
      <w:r w:rsidR="009D0E03" w:rsidRPr="00B246B6">
        <w:rPr>
          <w:rFonts w:ascii="Book Antiqua" w:hAnsi="Book Antiqua" w:cs="Book Antiqua"/>
          <w:sz w:val="24"/>
          <w:szCs w:val="24"/>
          <w:lang w:val="en-US"/>
        </w:rPr>
        <w:t xml:space="preserve">appearance </w:t>
      </w:r>
      <w:r w:rsidR="006377B9" w:rsidRPr="00B246B6">
        <w:rPr>
          <w:rFonts w:ascii="Book Antiqua" w:hAnsi="Book Antiqua" w:cs="Book Antiqua"/>
          <w:sz w:val="24"/>
          <w:szCs w:val="24"/>
          <w:lang w:val="en-US"/>
        </w:rPr>
        <w:t>on</w:t>
      </w:r>
      <w:r w:rsidRPr="00B246B6">
        <w:rPr>
          <w:rFonts w:ascii="Book Antiqua" w:hAnsi="Book Antiqua" w:cs="Book Antiqua"/>
          <w:sz w:val="24"/>
          <w:szCs w:val="24"/>
          <w:lang w:val="en-US"/>
        </w:rPr>
        <w:t xml:space="preserve"> conventional US modes as</w:t>
      </w:r>
      <w:r w:rsidR="008B3F60" w:rsidRPr="00B246B6">
        <w:rPr>
          <w:rFonts w:ascii="Book Antiqua" w:hAnsi="Book Antiqua" w:cs="Book Antiqua"/>
          <w:sz w:val="24"/>
          <w:szCs w:val="24"/>
          <w:lang w:val="en-US"/>
        </w:rPr>
        <w:t xml:space="preserve"> a presumably benign cysts </w:t>
      </w:r>
      <w:r w:rsidRPr="00B246B6">
        <w:rPr>
          <w:rFonts w:ascii="Book Antiqua" w:hAnsi="Book Antiqua" w:cs="Book Antiqua"/>
          <w:sz w:val="24"/>
          <w:szCs w:val="24"/>
          <w:lang w:val="en-US"/>
        </w:rPr>
        <w:t>prevented unnecessary operations in patients with renal failure</w:t>
      </w:r>
      <w:r w:rsidR="009D0E03" w:rsidRPr="00B246B6">
        <w:rPr>
          <w:rFonts w:ascii="Book Antiqua" w:hAnsi="Book Antiqua" w:cs="Book Antiqua"/>
          <w:sz w:val="24"/>
          <w:szCs w:val="24"/>
          <w:lang w:val="en-US"/>
        </w:rPr>
        <w:t xml:space="preserve"> (</w:t>
      </w:r>
      <w:r w:rsidRPr="00B246B6">
        <w:rPr>
          <w:rFonts w:ascii="Book Antiqua" w:hAnsi="Book Antiqua" w:cs="Book Antiqua"/>
          <w:sz w:val="24"/>
          <w:szCs w:val="24"/>
          <w:lang w:val="en-US"/>
        </w:rPr>
        <w:t>usually poor surgical candidates with high risk of complications</w:t>
      </w:r>
      <w:r w:rsidR="009D0E03" w:rsidRPr="00B246B6">
        <w:rPr>
          <w:rFonts w:ascii="Book Antiqua" w:hAnsi="Book Antiqua" w:cs="Book Antiqua"/>
          <w:sz w:val="24"/>
          <w:szCs w:val="24"/>
          <w:lang w:val="en-US"/>
        </w:rPr>
        <w:t>)</w:t>
      </w:r>
      <w:r w:rsidRPr="00B246B6">
        <w:rPr>
          <w:rFonts w:ascii="Book Antiqua" w:hAnsi="Book Antiqua" w:cs="Book Antiqua"/>
          <w:sz w:val="24"/>
          <w:szCs w:val="24"/>
          <w:lang w:val="en-US"/>
        </w:rPr>
        <w:t>, and further deterioration of the renal function.</w:t>
      </w:r>
    </w:p>
    <w:p w14:paraId="5E312773" w14:textId="09ED53D4" w:rsidR="00881A3B" w:rsidRPr="00B246B6" w:rsidRDefault="003B6C65" w:rsidP="00A20D26">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Though cost-effectiveness analysis was beyond the purpose of this study, one can reasonably assume that evaluating the above patients with CEUS would led to prompt diagnosis and treatment while minimizing patients’ risk and costs compared to conventional diagnostic strategy combining US and CT/MRI (including related complications). </w:t>
      </w:r>
      <w:r w:rsidR="00881A3B" w:rsidRPr="00B246B6">
        <w:rPr>
          <w:rFonts w:ascii="Book Antiqua" w:hAnsi="Book Antiqua" w:cs="Book Antiqua"/>
          <w:sz w:val="24"/>
          <w:szCs w:val="24"/>
          <w:lang w:val="en-US"/>
        </w:rPr>
        <w:t>One might argue that the use of CEUS is often limited to experienced centers, and no randomized controlled trials support the above statements.</w:t>
      </w:r>
      <w:r w:rsidR="00985325">
        <w:rPr>
          <w:rFonts w:ascii="Book Antiqua" w:hAnsi="Book Antiqua" w:cs="Book Antiqua" w:hint="eastAsia"/>
          <w:sz w:val="24"/>
          <w:szCs w:val="24"/>
          <w:lang w:val="en-US" w:eastAsia="zh-CN"/>
        </w:rPr>
        <w:t xml:space="preserve"> </w:t>
      </w:r>
      <w:r w:rsidR="00881A3B" w:rsidRPr="00B246B6">
        <w:rPr>
          <w:rFonts w:ascii="Book Antiqua" w:hAnsi="Book Antiqua" w:cs="Book Antiqua"/>
          <w:sz w:val="24"/>
          <w:szCs w:val="24"/>
          <w:lang w:val="en-GB"/>
        </w:rPr>
        <w:t>However, the experience acquired in reference centres and guidelines recommendations (</w:t>
      </w:r>
      <w:r w:rsidR="00881A3B" w:rsidRPr="0002003D">
        <w:rPr>
          <w:rFonts w:ascii="Book Antiqua" w:hAnsi="Book Antiqua" w:cs="Book Antiqua"/>
          <w:i/>
          <w:sz w:val="24"/>
          <w:szCs w:val="24"/>
          <w:lang w:val="en-GB"/>
        </w:rPr>
        <w:t>e.g</w:t>
      </w:r>
      <w:r w:rsidR="00881A3B" w:rsidRPr="00B246B6">
        <w:rPr>
          <w:rFonts w:ascii="Book Antiqua" w:hAnsi="Book Antiqua" w:cs="Book Antiqua"/>
          <w:sz w:val="24"/>
          <w:szCs w:val="24"/>
          <w:lang w:val="en-GB"/>
        </w:rPr>
        <w:t>., EFSUMB ones) are now promoting an ever-increasing and widespread use of CEUS, as exemplified by extended indications to paediatric population</w:t>
      </w:r>
      <w:r w:rsidR="00881A3B" w:rsidRPr="00B246B6">
        <w:rPr>
          <w:rFonts w:ascii="Book Antiqua" w:hAnsi="Book Antiqua" w:cs="Book Antiqua"/>
          <w:sz w:val="24"/>
          <w:szCs w:val="24"/>
          <w:vertAlign w:val="superscript"/>
          <w:lang w:val="en-GB"/>
        </w:rPr>
        <w:t>[1]</w:t>
      </w:r>
      <w:r w:rsidR="00881A3B" w:rsidRPr="00B246B6">
        <w:rPr>
          <w:rFonts w:ascii="Book Antiqua" w:hAnsi="Book Antiqua" w:cs="Book Antiqua"/>
          <w:sz w:val="24"/>
          <w:szCs w:val="24"/>
          <w:lang w:val="en-GB"/>
        </w:rPr>
        <w:t xml:space="preserve">. We also believe that our study results might contribute as a reference for the planning of future studies designed to obtain high-level evidence in </w:t>
      </w:r>
      <w:r w:rsidR="00414573" w:rsidRPr="00B246B6">
        <w:rPr>
          <w:rFonts w:ascii="Book Antiqua" w:hAnsi="Book Antiqua" w:cs="Book Antiqua"/>
          <w:sz w:val="24"/>
          <w:szCs w:val="24"/>
          <w:lang w:val="en-GB"/>
        </w:rPr>
        <w:t>large populations</w:t>
      </w:r>
      <w:r w:rsidR="00881A3B" w:rsidRPr="00B246B6">
        <w:rPr>
          <w:rFonts w:ascii="Book Antiqua" w:hAnsi="Book Antiqua" w:cs="Book Antiqua"/>
          <w:sz w:val="24"/>
          <w:szCs w:val="24"/>
          <w:lang w:val="en-GB"/>
        </w:rPr>
        <w:t xml:space="preserve"> with normal </w:t>
      </w:r>
      <w:r w:rsidR="00414573" w:rsidRPr="00B246B6">
        <w:rPr>
          <w:rFonts w:ascii="Book Antiqua" w:hAnsi="Book Antiqua" w:cs="Book Antiqua"/>
          <w:sz w:val="24"/>
          <w:szCs w:val="24"/>
          <w:lang w:val="en-GB"/>
        </w:rPr>
        <w:t>or</w:t>
      </w:r>
      <w:r w:rsidR="00881A3B" w:rsidRPr="00B246B6">
        <w:rPr>
          <w:rFonts w:ascii="Book Antiqua" w:hAnsi="Book Antiqua" w:cs="Book Antiqua"/>
          <w:sz w:val="24"/>
          <w:szCs w:val="24"/>
          <w:lang w:val="en-GB"/>
        </w:rPr>
        <w:t xml:space="preserve"> impaired renal function. Potential e</w:t>
      </w:r>
      <w:r w:rsidR="00881A3B" w:rsidRPr="00B246B6">
        <w:rPr>
          <w:rFonts w:ascii="Book Antiqua" w:hAnsi="Book Antiqua" w:cs="Book Antiqua"/>
          <w:sz w:val="24"/>
          <w:szCs w:val="24"/>
          <w:lang w:val="en-US"/>
        </w:rPr>
        <w:t>ffectiveness of CEUS diagnosis is further emphasized by the fact that this technique can be performed at patients’ bedside, which is of special advantage for critically ill ones.</w:t>
      </w:r>
    </w:p>
    <w:p w14:paraId="7C8EF906" w14:textId="49A409D8" w:rsidR="003B6C65" w:rsidRPr="00B246B6" w:rsidRDefault="003B6C65" w:rsidP="00A212F9">
      <w:pPr>
        <w:widowControl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 xml:space="preserve">This study has several limitations. The most important one is that the gold standard investigation has not been obtained for the majority of patients with renal function deterioration. </w:t>
      </w:r>
      <w:r w:rsidR="00C31492" w:rsidRPr="00B246B6">
        <w:rPr>
          <w:rFonts w:ascii="Book Antiqua" w:hAnsi="Book Antiqua" w:cs="Book Antiqua"/>
          <w:sz w:val="24"/>
          <w:szCs w:val="24"/>
          <w:lang w:val="en-US"/>
        </w:rPr>
        <w:t xml:space="preserve">Because of the concern for further deterioration of renal function, no additional </w:t>
      </w:r>
      <w:r w:rsidRPr="00B246B6">
        <w:rPr>
          <w:rFonts w:ascii="Book Antiqua" w:hAnsi="Book Antiqua" w:cs="Book Antiqua"/>
          <w:sz w:val="24"/>
          <w:szCs w:val="24"/>
          <w:lang w:val="en-US"/>
        </w:rPr>
        <w:t xml:space="preserve">imaging modalities were performed when </w:t>
      </w:r>
      <w:r w:rsidR="00C31492" w:rsidRPr="00B246B6">
        <w:rPr>
          <w:rFonts w:ascii="Book Antiqua" w:hAnsi="Book Antiqua" w:cs="Book Antiqua"/>
          <w:sz w:val="24"/>
          <w:szCs w:val="24"/>
          <w:lang w:val="en-US"/>
        </w:rPr>
        <w:t xml:space="preserve">the </w:t>
      </w:r>
      <w:r w:rsidRPr="00B246B6">
        <w:rPr>
          <w:rFonts w:ascii="Book Antiqua" w:hAnsi="Book Antiqua" w:cs="Book Antiqua"/>
          <w:sz w:val="24"/>
          <w:szCs w:val="24"/>
          <w:lang w:val="en-US"/>
        </w:rPr>
        <w:t xml:space="preserve">results of CEUS and clinical features were </w:t>
      </w:r>
      <w:r w:rsidR="00C31492" w:rsidRPr="00B246B6">
        <w:rPr>
          <w:rFonts w:ascii="Book Antiqua" w:hAnsi="Book Antiqua" w:cs="Book Antiqua"/>
          <w:sz w:val="24"/>
          <w:szCs w:val="24"/>
          <w:lang w:val="en-US"/>
        </w:rPr>
        <w:t xml:space="preserve">found </w:t>
      </w:r>
      <w:r w:rsidRPr="00B246B6">
        <w:rPr>
          <w:rFonts w:ascii="Book Antiqua" w:hAnsi="Book Antiqua" w:cs="Book Antiqua"/>
          <w:sz w:val="24"/>
          <w:szCs w:val="24"/>
          <w:lang w:val="en-US"/>
        </w:rPr>
        <w:t xml:space="preserve">sufficient for </w:t>
      </w:r>
      <w:r w:rsidR="00C31492" w:rsidRPr="00B246B6">
        <w:rPr>
          <w:rFonts w:ascii="Book Antiqua" w:hAnsi="Book Antiqua" w:cs="Book Antiqua"/>
          <w:sz w:val="24"/>
          <w:szCs w:val="24"/>
          <w:lang w:val="en-US"/>
        </w:rPr>
        <w:t xml:space="preserve">patient’s </w:t>
      </w:r>
      <w:r w:rsidRPr="00B246B6">
        <w:rPr>
          <w:rFonts w:ascii="Book Antiqua" w:hAnsi="Book Antiqua" w:cs="Book Antiqua"/>
          <w:sz w:val="24"/>
          <w:szCs w:val="24"/>
          <w:lang w:val="en-US"/>
        </w:rPr>
        <w:t xml:space="preserve">work-up. Only a limited number of patients </w:t>
      </w:r>
      <w:r w:rsidR="00C31492" w:rsidRPr="00B246B6">
        <w:rPr>
          <w:rFonts w:ascii="Book Antiqua" w:hAnsi="Book Antiqua" w:cs="Book Antiqua"/>
          <w:sz w:val="24"/>
          <w:szCs w:val="24"/>
          <w:lang w:val="en-US"/>
        </w:rPr>
        <w:t xml:space="preserve">with suspicious perfusion abnormalities </w:t>
      </w:r>
      <w:r w:rsidRPr="00B246B6">
        <w:rPr>
          <w:rFonts w:ascii="Book Antiqua" w:hAnsi="Book Antiqua" w:cs="Book Antiqua"/>
          <w:sz w:val="24"/>
          <w:szCs w:val="24"/>
          <w:lang w:val="en-US"/>
        </w:rPr>
        <w:t xml:space="preserve">had kidney biopsy (3/50 patients). As a consequence, causative diagnosis for renal function deterioration remained </w:t>
      </w:r>
      <w:r w:rsidR="00C31492" w:rsidRPr="00B246B6">
        <w:rPr>
          <w:rFonts w:ascii="Book Antiqua" w:hAnsi="Book Antiqua" w:cs="Book Antiqua"/>
          <w:sz w:val="24"/>
          <w:szCs w:val="24"/>
          <w:lang w:val="en-US"/>
        </w:rPr>
        <w:t>indeterminate</w:t>
      </w:r>
      <w:r w:rsidRPr="00B246B6">
        <w:rPr>
          <w:rFonts w:ascii="Book Antiqua" w:hAnsi="Book Antiqua" w:cs="Book Antiqua"/>
          <w:sz w:val="24"/>
          <w:szCs w:val="24"/>
          <w:lang w:val="en-US"/>
        </w:rPr>
        <w:t xml:space="preserve"> in 5 patients with CEUS </w:t>
      </w:r>
      <w:r w:rsidR="00C31492" w:rsidRPr="00B246B6">
        <w:rPr>
          <w:rFonts w:ascii="Book Antiqua" w:hAnsi="Book Antiqua" w:cs="Book Antiqua"/>
          <w:sz w:val="24"/>
          <w:szCs w:val="24"/>
          <w:lang w:val="en-US"/>
        </w:rPr>
        <w:t>findings suggestive for</w:t>
      </w:r>
      <w:r w:rsidRPr="00B246B6">
        <w:rPr>
          <w:rFonts w:ascii="Book Antiqua" w:hAnsi="Book Antiqua" w:cs="Book Antiqua"/>
          <w:sz w:val="24"/>
          <w:szCs w:val="24"/>
          <w:lang w:val="en-US"/>
        </w:rPr>
        <w:t xml:space="preserve"> renal infarction and 12 patients without CEUS evidence of vascular abnormalities. Gold standard investigation was not available also for 25/41 renal masses (19/21 solid lesions and 4 out of 7 Bosniak III and IV cysts), whereas 12 patients with presumably malignant renal lesions (7 solid indeterminate </w:t>
      </w:r>
      <w:r w:rsidRPr="00B246B6">
        <w:rPr>
          <w:rFonts w:ascii="Book Antiqua" w:hAnsi="Book Antiqua" w:cs="Book Antiqua"/>
          <w:sz w:val="24"/>
          <w:szCs w:val="24"/>
          <w:lang w:val="en-US"/>
        </w:rPr>
        <w:lastRenderedPageBreak/>
        <w:t xml:space="preserve">lesions, 1 inoperable solid lesion and 4 Bosniak III-IV cysts) were not operated because the surgical risk was considered excessive due to comorbidities. </w:t>
      </w:r>
      <w:r w:rsidR="00C31492" w:rsidRPr="00B246B6">
        <w:rPr>
          <w:rFonts w:ascii="Book Antiqua" w:hAnsi="Book Antiqua" w:cs="Book Antiqua"/>
          <w:sz w:val="24"/>
          <w:szCs w:val="24"/>
          <w:lang w:val="en-US"/>
        </w:rPr>
        <w:t>However,</w:t>
      </w:r>
      <w:r w:rsidRPr="00B246B6">
        <w:rPr>
          <w:rFonts w:ascii="Book Antiqua" w:hAnsi="Book Antiqua" w:cs="Book Antiqua"/>
          <w:sz w:val="24"/>
          <w:szCs w:val="24"/>
          <w:lang w:val="en-US"/>
        </w:rPr>
        <w:t xml:space="preserve"> all operated or ablated lesions (</w:t>
      </w:r>
      <w:r w:rsidRPr="00B246B6">
        <w:rPr>
          <w:rFonts w:ascii="Book Antiqua" w:hAnsi="Book Antiqua" w:cs="Book Antiqua"/>
          <w:i/>
          <w:sz w:val="24"/>
          <w:szCs w:val="24"/>
          <w:lang w:val="en-US"/>
        </w:rPr>
        <w:t>n</w:t>
      </w:r>
      <w:r w:rsidR="00772A1B"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w:t>
      </w:r>
      <w:r w:rsidR="00772A1B"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 xml:space="preserve">15) were found to have cancer at histological examination, thus emphasizing the effectiveness of CEUS in guiding most proper treatment. </w:t>
      </w:r>
    </w:p>
    <w:p w14:paraId="13F452EB" w14:textId="1FBFE149" w:rsidR="003B6C65" w:rsidRPr="00B246B6" w:rsidRDefault="003B6C65" w:rsidP="005A5E3C">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US"/>
        </w:rPr>
      </w:pPr>
      <w:r w:rsidRPr="00B246B6">
        <w:rPr>
          <w:rFonts w:ascii="Book Antiqua" w:hAnsi="Book Antiqua" w:cs="Book Antiqua"/>
          <w:sz w:val="24"/>
          <w:szCs w:val="24"/>
          <w:lang w:val="en-US"/>
        </w:rPr>
        <w:t>Another major limitation of the present study is its retrospective design. This might have introduced a case-selection bias</w:t>
      </w:r>
      <w:r w:rsidR="00C31492" w:rsidRPr="00B246B6">
        <w:rPr>
          <w:rFonts w:ascii="Book Antiqua" w:hAnsi="Book Antiqua" w:cs="Book Antiqua"/>
          <w:sz w:val="24"/>
          <w:szCs w:val="24"/>
          <w:lang w:val="en-US"/>
        </w:rPr>
        <w:t>,</w:t>
      </w:r>
      <w:r w:rsidRPr="00B246B6">
        <w:rPr>
          <w:rFonts w:ascii="Book Antiqua" w:hAnsi="Book Antiqua" w:cs="Book Antiqua"/>
          <w:sz w:val="24"/>
          <w:szCs w:val="24"/>
          <w:lang w:val="en-US"/>
        </w:rPr>
        <w:t xml:space="preserve"> because some cases may have not been recorded for inclusion. </w:t>
      </w:r>
      <w:r w:rsidR="00C31492" w:rsidRPr="00B246B6">
        <w:rPr>
          <w:rFonts w:ascii="Book Antiqua" w:hAnsi="Book Antiqua" w:cs="Book Antiqua"/>
          <w:sz w:val="24"/>
          <w:szCs w:val="24"/>
          <w:lang w:val="en-US"/>
        </w:rPr>
        <w:t>Additionally</w:t>
      </w:r>
      <w:r w:rsidRPr="00B246B6">
        <w:rPr>
          <w:rFonts w:ascii="Book Antiqua" w:hAnsi="Book Antiqua" w:cs="Book Antiqua"/>
          <w:sz w:val="24"/>
          <w:szCs w:val="24"/>
          <w:lang w:val="en-US"/>
        </w:rPr>
        <w:t>, a relatively small number of lesions ha</w:t>
      </w:r>
      <w:r w:rsidR="00CB2C20" w:rsidRPr="00B246B6">
        <w:rPr>
          <w:rFonts w:ascii="Book Antiqua" w:hAnsi="Book Antiqua" w:cs="Book Antiqua"/>
          <w:sz w:val="24"/>
          <w:szCs w:val="24"/>
          <w:lang w:val="en-US" w:eastAsia="zh-CN"/>
        </w:rPr>
        <w:t>ve</w:t>
      </w:r>
      <w:r w:rsidRPr="00B246B6">
        <w:rPr>
          <w:rFonts w:ascii="Book Antiqua" w:hAnsi="Book Antiqua" w:cs="Book Antiqua"/>
          <w:sz w:val="24"/>
          <w:szCs w:val="24"/>
          <w:lang w:val="en-US"/>
        </w:rPr>
        <w:t xml:space="preserve"> been evaluated, reflecting the fact that CEUS has been performed as a problem solving technique to assess very specific diagnostic questions.</w:t>
      </w:r>
    </w:p>
    <w:p w14:paraId="1F1DBF0A" w14:textId="0623D4BB" w:rsidR="003B6C65" w:rsidRPr="00B246B6" w:rsidRDefault="003B6C65" w:rsidP="00CD27AB">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GB"/>
        </w:rPr>
      </w:pPr>
      <w:r w:rsidRPr="00B246B6">
        <w:rPr>
          <w:rFonts w:ascii="Book Antiqua" w:hAnsi="Book Antiqua" w:cs="Book Antiqua"/>
          <w:sz w:val="24"/>
          <w:szCs w:val="24"/>
          <w:lang w:val="en-US"/>
        </w:rPr>
        <w:t xml:space="preserve">Finally, in our series CEUS failed to detect perfusion abnormalities in patients with atheroembolic renal disease. We can only speculate on the anatomic basis </w:t>
      </w:r>
      <w:r w:rsidR="00C31492" w:rsidRPr="00B246B6">
        <w:rPr>
          <w:rFonts w:ascii="Book Antiqua" w:hAnsi="Book Antiqua" w:cs="Book Antiqua"/>
          <w:sz w:val="24"/>
          <w:szCs w:val="24"/>
          <w:lang w:val="en-US"/>
        </w:rPr>
        <w:t>for this finding</w:t>
      </w:r>
      <w:r w:rsidRPr="00B246B6">
        <w:rPr>
          <w:rFonts w:ascii="Book Antiqua" w:hAnsi="Book Antiqua" w:cs="Book Antiqua"/>
          <w:sz w:val="24"/>
          <w:szCs w:val="24"/>
          <w:lang w:val="en-US"/>
        </w:rPr>
        <w:t xml:space="preserve">: atheroembolic renal disease consists in </w:t>
      </w:r>
      <w:r w:rsidRPr="00B246B6">
        <w:rPr>
          <w:rFonts w:ascii="Book Antiqua" w:hAnsi="Book Antiqua" w:cs="Book Antiqua"/>
          <w:sz w:val="24"/>
          <w:szCs w:val="24"/>
          <w:lang w:val="en-GB"/>
        </w:rPr>
        <w:t xml:space="preserve">patchy embolization of very small arteries (interlobular and afferent arterioles) by cholesterol crystals resulting in cortical ischemic areas </w:t>
      </w:r>
      <w:r w:rsidRPr="00B246B6">
        <w:rPr>
          <w:rFonts w:ascii="Book Antiqua" w:hAnsi="Book Antiqua" w:cs="Book Antiqua"/>
          <w:sz w:val="24"/>
          <w:szCs w:val="24"/>
          <w:lang w:val="en-US"/>
        </w:rPr>
        <w:t>which are likely too small to be detected with imaging methods.</w:t>
      </w:r>
    </w:p>
    <w:p w14:paraId="5336A8EA" w14:textId="27A4C9A0" w:rsidR="003B6C65" w:rsidRPr="00B246B6" w:rsidRDefault="003B6C65" w:rsidP="0062321F">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GB"/>
        </w:rPr>
      </w:pPr>
      <w:r w:rsidRPr="00B246B6">
        <w:rPr>
          <w:rFonts w:ascii="Book Antiqua" w:hAnsi="Book Antiqua" w:cs="Book Antiqua"/>
          <w:sz w:val="24"/>
          <w:szCs w:val="24"/>
          <w:lang w:val="en-US"/>
        </w:rPr>
        <w:t xml:space="preserve">In conclusion, our study shows </w:t>
      </w:r>
      <w:r w:rsidRPr="00B246B6">
        <w:rPr>
          <w:rFonts w:ascii="Book Antiqua" w:hAnsi="Book Antiqua" w:cs="Book Antiqua"/>
          <w:sz w:val="24"/>
          <w:szCs w:val="24"/>
          <w:lang w:val="en-GB"/>
        </w:rPr>
        <w:t>that CEUS has a significant role as a problem-solving technique</w:t>
      </w:r>
      <w:r w:rsidRPr="00B246B6">
        <w:rPr>
          <w:rFonts w:ascii="Book Antiqua" w:hAnsi="Book Antiqua" w:cs="Book Antiqua"/>
          <w:sz w:val="24"/>
          <w:szCs w:val="24"/>
          <w:lang w:val="en-US"/>
        </w:rPr>
        <w:t xml:space="preserve"> for detection of perfusion abnormalities and characterization of renal lesions in patients with renal failure. CEUS can be performed in emergency at the bedside. </w:t>
      </w:r>
      <w:r w:rsidRPr="00B246B6">
        <w:rPr>
          <w:rFonts w:ascii="Book Antiqua" w:hAnsi="Book Antiqua" w:cs="Book Antiqua"/>
          <w:sz w:val="24"/>
          <w:szCs w:val="24"/>
          <w:lang w:val="en-GB"/>
        </w:rPr>
        <w:t>In our series, it was helpful in stratifying treatment decisions</w:t>
      </w:r>
      <w:r w:rsidR="00C31492" w:rsidRPr="00B246B6">
        <w:rPr>
          <w:rFonts w:ascii="Book Antiqua" w:hAnsi="Book Antiqua" w:cs="Book Antiqua"/>
          <w:sz w:val="24"/>
          <w:szCs w:val="24"/>
          <w:lang w:val="en-GB"/>
        </w:rPr>
        <w:t>,</w:t>
      </w:r>
      <w:r w:rsidRPr="00B246B6">
        <w:rPr>
          <w:rFonts w:ascii="Book Antiqua" w:hAnsi="Book Antiqua" w:cs="Book Antiqua"/>
          <w:sz w:val="24"/>
          <w:szCs w:val="24"/>
          <w:lang w:val="en-GB"/>
        </w:rPr>
        <w:t xml:space="preserve"> as shown by the fact that all patients with suspicious renal cancer in whom surgery was not contraindicated were operated properly.</w:t>
      </w:r>
    </w:p>
    <w:p w14:paraId="776ACF82" w14:textId="77777777" w:rsidR="00E408DF" w:rsidRPr="00B246B6" w:rsidRDefault="00E408DF" w:rsidP="00C57CCC">
      <w:pPr>
        <w:widowControl w:val="0"/>
        <w:autoSpaceDE w:val="0"/>
        <w:autoSpaceDN w:val="0"/>
        <w:adjustRightInd w:val="0"/>
        <w:spacing w:after="0" w:line="360" w:lineRule="auto"/>
        <w:jc w:val="both"/>
        <w:rPr>
          <w:rFonts w:ascii="Book Antiqua" w:hAnsi="Book Antiqua" w:cs="Book Antiqua"/>
          <w:sz w:val="24"/>
          <w:szCs w:val="24"/>
          <w:lang w:val="en-GB"/>
        </w:rPr>
      </w:pPr>
    </w:p>
    <w:p w14:paraId="57A7AE5A" w14:textId="6B5BBFAE" w:rsidR="00E408DF" w:rsidRPr="00B246B6" w:rsidRDefault="00E408DF" w:rsidP="00C57CCC">
      <w:pPr>
        <w:widowControl w:val="0"/>
        <w:autoSpaceDE w:val="0"/>
        <w:autoSpaceDN w:val="0"/>
        <w:adjustRightInd w:val="0"/>
        <w:spacing w:after="0" w:line="360" w:lineRule="auto"/>
        <w:jc w:val="both"/>
        <w:rPr>
          <w:rFonts w:ascii="Book Antiqua" w:hAnsi="Book Antiqua" w:cs="Book Antiqua"/>
          <w:b/>
          <w:sz w:val="24"/>
          <w:szCs w:val="24"/>
          <w:lang w:val="en-GB"/>
        </w:rPr>
      </w:pPr>
      <w:r w:rsidRPr="00B246B6">
        <w:rPr>
          <w:rFonts w:ascii="Book Antiqua" w:hAnsi="Book Antiqua" w:cs="Book Antiqua"/>
          <w:b/>
          <w:sz w:val="24"/>
          <w:szCs w:val="24"/>
          <w:lang w:val="en-GB"/>
        </w:rPr>
        <w:t>ACKNOWLEDGMENTS</w:t>
      </w:r>
    </w:p>
    <w:p w14:paraId="56D8A3E9" w14:textId="0DA2166D" w:rsidR="00E408DF" w:rsidRPr="00B246B6" w:rsidRDefault="00E408DF" w:rsidP="00C57CCC">
      <w:pPr>
        <w:widowControl w:val="0"/>
        <w:autoSpaceDE w:val="0"/>
        <w:autoSpaceDN w:val="0"/>
        <w:adjustRightInd w:val="0"/>
        <w:spacing w:after="0" w:line="360" w:lineRule="auto"/>
        <w:jc w:val="both"/>
        <w:rPr>
          <w:rFonts w:ascii="Book Antiqua" w:hAnsi="Book Antiqua" w:cs="Book Antiqua"/>
          <w:sz w:val="24"/>
          <w:szCs w:val="24"/>
          <w:lang w:val="en-GB"/>
        </w:rPr>
      </w:pPr>
      <w:r w:rsidRPr="00B246B6">
        <w:rPr>
          <w:rFonts w:ascii="Book Antiqua" w:hAnsi="Book Antiqua" w:cs="Book Antiqua"/>
          <w:sz w:val="24"/>
          <w:szCs w:val="24"/>
          <w:lang w:val="en-GB"/>
        </w:rPr>
        <w:t xml:space="preserve">The </w:t>
      </w:r>
      <w:r w:rsidR="007D71EA" w:rsidRPr="00B246B6">
        <w:rPr>
          <w:rFonts w:ascii="Book Antiqua" w:hAnsi="Book Antiqua" w:cs="Book Antiqua"/>
          <w:sz w:val="24"/>
          <w:szCs w:val="24"/>
          <w:lang w:val="en-GB"/>
        </w:rPr>
        <w:t>a</w:t>
      </w:r>
      <w:r w:rsidRPr="00B246B6">
        <w:rPr>
          <w:rFonts w:ascii="Book Antiqua" w:hAnsi="Book Antiqua" w:cs="Book Antiqua"/>
          <w:sz w:val="24"/>
          <w:szCs w:val="24"/>
          <w:lang w:val="en-GB"/>
        </w:rPr>
        <w:t xml:space="preserve">uthors thank Dr. Iliana Bednarova from the Institute of Radiology, University of Udine, for her help in revising English language. </w:t>
      </w:r>
    </w:p>
    <w:p w14:paraId="72FB0161" w14:textId="77777777" w:rsidR="0045161C" w:rsidRPr="00B246B6" w:rsidRDefault="0045161C" w:rsidP="00C57CCC">
      <w:pPr>
        <w:widowControl w:val="0"/>
        <w:autoSpaceDE w:val="0"/>
        <w:autoSpaceDN w:val="0"/>
        <w:adjustRightInd w:val="0"/>
        <w:spacing w:after="0" w:line="360" w:lineRule="auto"/>
        <w:jc w:val="both"/>
        <w:rPr>
          <w:rFonts w:ascii="Book Antiqua" w:hAnsi="Book Antiqua" w:cs="Book Antiqua"/>
          <w:sz w:val="24"/>
          <w:szCs w:val="24"/>
          <w:lang w:val="en-GB"/>
        </w:rPr>
      </w:pPr>
    </w:p>
    <w:p w14:paraId="2270E76B" w14:textId="03126BA3" w:rsidR="0045161C" w:rsidRPr="00B246B6" w:rsidRDefault="00C94791" w:rsidP="00C57CCC">
      <w:pPr>
        <w:widowControl w:val="0"/>
        <w:autoSpaceDE w:val="0"/>
        <w:autoSpaceDN w:val="0"/>
        <w:adjustRightInd w:val="0"/>
        <w:spacing w:after="0" w:line="360" w:lineRule="auto"/>
        <w:jc w:val="both"/>
        <w:rPr>
          <w:rFonts w:ascii="Book Antiqua" w:hAnsi="Book Antiqua" w:cs="Book Antiqua"/>
          <w:b/>
          <w:sz w:val="24"/>
          <w:szCs w:val="24"/>
          <w:lang w:val="en-GB"/>
        </w:rPr>
      </w:pPr>
      <w:r w:rsidRPr="00B246B6">
        <w:rPr>
          <w:rFonts w:ascii="Book Antiqua" w:hAnsi="Book Antiqua" w:cs="Book Antiqua"/>
          <w:b/>
          <w:sz w:val="24"/>
          <w:szCs w:val="24"/>
          <w:lang w:val="en-GB"/>
        </w:rPr>
        <w:br w:type="page"/>
      </w:r>
      <w:r w:rsidR="0045161C" w:rsidRPr="00B246B6">
        <w:rPr>
          <w:rFonts w:ascii="Book Antiqua" w:hAnsi="Book Antiqua" w:cs="Book Antiqua"/>
          <w:b/>
          <w:sz w:val="24"/>
          <w:szCs w:val="24"/>
          <w:lang w:val="en-GB"/>
        </w:rPr>
        <w:lastRenderedPageBreak/>
        <w:t>COMMENTS</w:t>
      </w:r>
    </w:p>
    <w:p w14:paraId="606AAD0A" w14:textId="77777777" w:rsidR="0045161C" w:rsidRPr="00B246B6" w:rsidRDefault="0045161C" w:rsidP="00C57CCC">
      <w:pPr>
        <w:widowControl w:val="0"/>
        <w:autoSpaceDE w:val="0"/>
        <w:autoSpaceDN w:val="0"/>
        <w:adjustRightInd w:val="0"/>
        <w:spacing w:after="0" w:line="360" w:lineRule="auto"/>
        <w:jc w:val="both"/>
        <w:rPr>
          <w:rFonts w:ascii="Book Antiqua" w:hAnsi="Book Antiqua" w:cs="Book Antiqua"/>
          <w:b/>
          <w:i/>
          <w:sz w:val="24"/>
          <w:szCs w:val="24"/>
          <w:lang w:val="en-GB"/>
        </w:rPr>
      </w:pPr>
      <w:r w:rsidRPr="00B246B6">
        <w:rPr>
          <w:rFonts w:ascii="Book Antiqua" w:hAnsi="Book Antiqua" w:cs="Book Antiqua"/>
          <w:b/>
          <w:i/>
          <w:sz w:val="24"/>
          <w:szCs w:val="24"/>
          <w:lang w:val="en-GB"/>
        </w:rPr>
        <w:t>Background</w:t>
      </w:r>
    </w:p>
    <w:p w14:paraId="2002D7D3" w14:textId="041EA627" w:rsidR="0045161C" w:rsidRPr="00B246B6" w:rsidRDefault="000067F6" w:rsidP="00C57CCC">
      <w:pPr>
        <w:widowControl w:val="0"/>
        <w:autoSpaceDE w:val="0"/>
        <w:autoSpaceDN w:val="0"/>
        <w:adjustRightInd w:val="0"/>
        <w:spacing w:after="0" w:line="360" w:lineRule="auto"/>
        <w:jc w:val="both"/>
        <w:rPr>
          <w:rFonts w:ascii="Book Antiqua" w:hAnsi="Book Antiqua"/>
          <w:sz w:val="24"/>
          <w:szCs w:val="24"/>
          <w:lang w:val="en-US"/>
        </w:rPr>
      </w:pPr>
      <w:r w:rsidRPr="00B246B6">
        <w:rPr>
          <w:rFonts w:ascii="Book Antiqua" w:hAnsi="Book Antiqua"/>
          <w:sz w:val="24"/>
          <w:szCs w:val="24"/>
          <w:lang w:val="en-US"/>
        </w:rPr>
        <w:t xml:space="preserve">Imaging in patients with acute or chronic renal function impairment (RFI) is challenging </w:t>
      </w:r>
      <w:r w:rsidR="00E65F4E" w:rsidRPr="00B246B6">
        <w:rPr>
          <w:rFonts w:ascii="Book Antiqua" w:hAnsi="Book Antiqua"/>
          <w:sz w:val="24"/>
          <w:szCs w:val="24"/>
          <w:lang w:val="en-US"/>
        </w:rPr>
        <w:t>because of nephrotoxicity or the risk for</w:t>
      </w:r>
      <w:r w:rsidR="00985325">
        <w:rPr>
          <w:rFonts w:ascii="Book Antiqua" w:hAnsi="Book Antiqua" w:hint="eastAsia"/>
          <w:sz w:val="24"/>
          <w:szCs w:val="24"/>
          <w:lang w:val="en-US" w:eastAsia="zh-CN"/>
        </w:rPr>
        <w:t xml:space="preserve"> </w:t>
      </w:r>
      <w:r w:rsidR="00E65F4E" w:rsidRPr="00B246B6">
        <w:rPr>
          <w:rFonts w:ascii="Book Antiqua" w:hAnsi="Book Antiqua" w:cs="Book Antiqua"/>
          <w:sz w:val="24"/>
          <w:szCs w:val="24"/>
          <w:lang w:val="en-US"/>
        </w:rPr>
        <w:t xml:space="preserve">nephrogenic systemic fibrosis (NSF) related to the use of computed tomography (CT) and magnetic resonance imaging contrast agents, respectively. </w:t>
      </w:r>
      <w:r w:rsidRPr="00B246B6">
        <w:rPr>
          <w:rFonts w:ascii="Book Antiqua" w:hAnsi="Book Antiqua"/>
          <w:sz w:val="24"/>
          <w:szCs w:val="24"/>
          <w:lang w:val="en-US"/>
        </w:rPr>
        <w:t xml:space="preserve">Contrast-enhanced ultrasound (CEUS) </w:t>
      </w:r>
      <w:r w:rsidR="00E65F4E" w:rsidRPr="00B246B6">
        <w:rPr>
          <w:rFonts w:ascii="Book Antiqua" w:hAnsi="Book Antiqua"/>
          <w:sz w:val="24"/>
          <w:szCs w:val="24"/>
          <w:lang w:val="en-US"/>
        </w:rPr>
        <w:t>is gaining widespread acceptance as</w:t>
      </w:r>
      <w:r w:rsidRPr="00B246B6">
        <w:rPr>
          <w:rFonts w:ascii="Book Antiqua" w:hAnsi="Book Antiqua"/>
          <w:sz w:val="24"/>
          <w:szCs w:val="24"/>
          <w:lang w:val="en-US"/>
        </w:rPr>
        <w:t xml:space="preserve"> the imaging modality of choice to evaluate patients with RFI, given the absence nephrotoxicity and the ability of representing renal vascularization with excellent sensitivity and high spatial resolution. </w:t>
      </w:r>
    </w:p>
    <w:p w14:paraId="2383492C" w14:textId="6ABD429B" w:rsidR="00E65F4E" w:rsidRPr="00B246B6" w:rsidRDefault="00E65F4E" w:rsidP="004E7ED6">
      <w:pPr>
        <w:widowControl w:val="0"/>
        <w:autoSpaceDE w:val="0"/>
        <w:autoSpaceDN w:val="0"/>
        <w:adjustRightInd w:val="0"/>
        <w:spacing w:after="0" w:line="360" w:lineRule="auto"/>
        <w:ind w:firstLineChars="100" w:firstLine="240"/>
        <w:jc w:val="both"/>
        <w:rPr>
          <w:rFonts w:ascii="Book Antiqua" w:hAnsi="Book Antiqua" w:cs="Book Antiqua"/>
          <w:sz w:val="24"/>
          <w:szCs w:val="24"/>
          <w:lang w:val="en-GB"/>
        </w:rPr>
      </w:pPr>
      <w:r w:rsidRPr="00B246B6">
        <w:rPr>
          <w:rFonts w:ascii="Book Antiqua" w:hAnsi="Book Antiqua"/>
          <w:sz w:val="24"/>
          <w:szCs w:val="24"/>
          <w:lang w:val="en-US"/>
        </w:rPr>
        <w:t>However, the consensus on its use in this setting is related more to experts’ opinion and clinical practice than specifically addressed studies.</w:t>
      </w:r>
      <w:r w:rsidR="00985325">
        <w:rPr>
          <w:rFonts w:ascii="Book Antiqua" w:hAnsi="Book Antiqua" w:hint="eastAsia"/>
          <w:sz w:val="24"/>
          <w:szCs w:val="24"/>
          <w:lang w:val="en-US" w:eastAsia="zh-CN"/>
        </w:rPr>
        <w:t xml:space="preserve"> </w:t>
      </w:r>
      <w:r w:rsidRPr="00B246B6">
        <w:rPr>
          <w:rFonts w:ascii="Book Antiqua" w:hAnsi="Book Antiqua"/>
          <w:sz w:val="24"/>
          <w:szCs w:val="24"/>
          <w:lang w:val="en-US"/>
        </w:rPr>
        <w:t xml:space="preserve">Hence, evidence on this topic still </w:t>
      </w:r>
      <w:r w:rsidR="009721C4" w:rsidRPr="00B246B6">
        <w:rPr>
          <w:rFonts w:ascii="Book Antiqua" w:hAnsi="Book Antiqua"/>
          <w:sz w:val="24"/>
          <w:szCs w:val="24"/>
          <w:lang w:val="en-US"/>
        </w:rPr>
        <w:t>lacks as</w:t>
      </w:r>
      <w:r w:rsidRPr="00B246B6">
        <w:rPr>
          <w:rFonts w:ascii="Book Antiqua" w:hAnsi="Book Antiqua"/>
          <w:sz w:val="24"/>
          <w:szCs w:val="24"/>
          <w:lang w:val="en-US"/>
        </w:rPr>
        <w:t xml:space="preserve"> a basis to support clinical practice and future trials.</w:t>
      </w:r>
    </w:p>
    <w:p w14:paraId="281E8D46" w14:textId="77777777" w:rsidR="0045161C" w:rsidRPr="00B246B6" w:rsidRDefault="0045161C" w:rsidP="00C57CCC">
      <w:pPr>
        <w:widowControl w:val="0"/>
        <w:autoSpaceDE w:val="0"/>
        <w:autoSpaceDN w:val="0"/>
        <w:adjustRightInd w:val="0"/>
        <w:spacing w:after="0" w:line="360" w:lineRule="auto"/>
        <w:jc w:val="both"/>
        <w:rPr>
          <w:rFonts w:ascii="Book Antiqua" w:hAnsi="Book Antiqua" w:cs="Book Antiqua"/>
          <w:sz w:val="24"/>
          <w:szCs w:val="24"/>
          <w:lang w:val="en-GB"/>
        </w:rPr>
      </w:pPr>
    </w:p>
    <w:p w14:paraId="371E852E" w14:textId="10305759" w:rsidR="000067F6" w:rsidRPr="00B246B6" w:rsidRDefault="00E041D9" w:rsidP="00C57CCC">
      <w:pPr>
        <w:widowControl w:val="0"/>
        <w:autoSpaceDE w:val="0"/>
        <w:autoSpaceDN w:val="0"/>
        <w:adjustRightInd w:val="0"/>
        <w:spacing w:after="0" w:line="360" w:lineRule="auto"/>
        <w:jc w:val="both"/>
        <w:rPr>
          <w:rFonts w:ascii="Book Antiqua" w:hAnsi="Book Antiqua" w:cs="Book Antiqua"/>
          <w:b/>
          <w:i/>
          <w:sz w:val="24"/>
          <w:szCs w:val="24"/>
          <w:lang w:val="en-US" w:eastAsia="zh-CN"/>
        </w:rPr>
      </w:pPr>
      <w:r w:rsidRPr="00B246B6">
        <w:rPr>
          <w:rFonts w:ascii="Book Antiqua" w:hAnsi="Book Antiqua" w:cs="Book Antiqua"/>
          <w:b/>
          <w:i/>
          <w:sz w:val="24"/>
          <w:szCs w:val="24"/>
          <w:lang w:val="en-US"/>
        </w:rPr>
        <w:t>Research frontiers</w:t>
      </w:r>
    </w:p>
    <w:p w14:paraId="28E80BE1" w14:textId="77777777" w:rsidR="0045161C" w:rsidRPr="00B246B6" w:rsidRDefault="000067F6" w:rsidP="00C57CCC">
      <w:pPr>
        <w:widowControl w:val="0"/>
        <w:autoSpaceDE w:val="0"/>
        <w:autoSpaceDN w:val="0"/>
        <w:adjustRightInd w:val="0"/>
        <w:spacing w:after="0" w:line="360" w:lineRule="auto"/>
        <w:jc w:val="both"/>
        <w:rPr>
          <w:rFonts w:ascii="Book Antiqua" w:hAnsi="Book Antiqua" w:cs="Book Antiqua"/>
          <w:sz w:val="24"/>
          <w:szCs w:val="24"/>
          <w:lang w:val="en-GB"/>
        </w:rPr>
      </w:pPr>
      <w:r w:rsidRPr="00B246B6">
        <w:rPr>
          <w:rFonts w:ascii="Book Antiqua" w:hAnsi="Book Antiqua" w:cs="Book Antiqua"/>
          <w:sz w:val="24"/>
          <w:szCs w:val="24"/>
          <w:lang w:val="en-GB"/>
        </w:rPr>
        <w:t>CEUS has a pivotal role in assessing patients with RFI. However, despite the use of CEUS in this scenario, there is paucity of scientific evidence supporting it. The results of our study show that CEUS has a significant impact in managing patients with RFI and might contribute to strengthen the recommendation to use it as the imaging method of choice in this setting.</w:t>
      </w:r>
    </w:p>
    <w:p w14:paraId="691C8C3B" w14:textId="77777777" w:rsidR="0045161C" w:rsidRPr="00B246B6" w:rsidRDefault="0045161C" w:rsidP="00C57CCC">
      <w:pPr>
        <w:widowControl w:val="0"/>
        <w:autoSpaceDE w:val="0"/>
        <w:autoSpaceDN w:val="0"/>
        <w:adjustRightInd w:val="0"/>
        <w:spacing w:after="0" w:line="360" w:lineRule="auto"/>
        <w:jc w:val="both"/>
        <w:rPr>
          <w:rFonts w:ascii="Book Antiqua" w:hAnsi="Book Antiqua" w:cs="Book Antiqua"/>
          <w:sz w:val="24"/>
          <w:szCs w:val="24"/>
          <w:lang w:val="en-GB"/>
        </w:rPr>
      </w:pPr>
    </w:p>
    <w:p w14:paraId="073C96F1" w14:textId="200F6BE8" w:rsidR="000067F6" w:rsidRPr="00B246B6" w:rsidRDefault="00E041D9" w:rsidP="00C57CCC">
      <w:pPr>
        <w:widowControl w:val="0"/>
        <w:autoSpaceDE w:val="0"/>
        <w:autoSpaceDN w:val="0"/>
        <w:adjustRightInd w:val="0"/>
        <w:spacing w:after="0" w:line="360" w:lineRule="auto"/>
        <w:jc w:val="both"/>
        <w:rPr>
          <w:rFonts w:ascii="Book Antiqua" w:hAnsi="Book Antiqua" w:cs="Book Antiqua"/>
          <w:b/>
          <w:i/>
          <w:sz w:val="24"/>
          <w:szCs w:val="24"/>
          <w:lang w:val="en-US" w:eastAsia="zh-CN"/>
        </w:rPr>
      </w:pPr>
      <w:r w:rsidRPr="00B246B6">
        <w:rPr>
          <w:rFonts w:ascii="Book Antiqua" w:hAnsi="Book Antiqua" w:cs="Book Antiqua"/>
          <w:b/>
          <w:i/>
          <w:sz w:val="24"/>
          <w:szCs w:val="24"/>
          <w:lang w:val="en-US"/>
        </w:rPr>
        <w:t>Innovations and breakthroughs</w:t>
      </w:r>
    </w:p>
    <w:p w14:paraId="24AD208E" w14:textId="6C0E2F18" w:rsidR="00C6568A" w:rsidRPr="00B246B6" w:rsidRDefault="00E041D9" w:rsidP="00C57CCC">
      <w:pPr>
        <w:widowControl w:val="0"/>
        <w:autoSpaceDE w:val="0"/>
        <w:autoSpaceDN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eastAsia="zh-CN"/>
        </w:rPr>
        <w:t>The authors</w:t>
      </w:r>
      <w:r w:rsidR="00C6568A" w:rsidRPr="00B246B6">
        <w:rPr>
          <w:rFonts w:ascii="Book Antiqua" w:hAnsi="Book Antiqua" w:cs="Book Antiqua"/>
          <w:sz w:val="24"/>
          <w:szCs w:val="24"/>
          <w:lang w:val="en-US"/>
        </w:rPr>
        <w:t xml:space="preserve"> </w:t>
      </w:r>
      <w:r w:rsidR="00513BBB" w:rsidRPr="00B246B6">
        <w:rPr>
          <w:rFonts w:ascii="Book Antiqua" w:hAnsi="Book Antiqua" w:cs="Book Antiqua"/>
          <w:sz w:val="24"/>
          <w:szCs w:val="24"/>
          <w:lang w:val="en-US"/>
        </w:rPr>
        <w:t xml:space="preserve">provided an evidence-based background for supporting the use of CEUS in patients with RFI. </w:t>
      </w:r>
      <w:r w:rsidR="00C6568A" w:rsidRPr="00B246B6">
        <w:rPr>
          <w:rFonts w:ascii="Book Antiqua" w:hAnsi="Book Antiqua" w:cs="Book Antiqua"/>
          <w:sz w:val="24"/>
          <w:szCs w:val="24"/>
          <w:lang w:val="en-US"/>
        </w:rPr>
        <w:t xml:space="preserve">CEUS is safer than contrast-enhanced computed tomography and/or magnetic resonance imaging in evaluating patients with RFI. This technique can be performed on patients’ bedside, thus allowing prompt diagnosis and management. </w:t>
      </w:r>
    </w:p>
    <w:p w14:paraId="3A77576B" w14:textId="77777777" w:rsidR="000067F6" w:rsidRPr="00B246B6" w:rsidRDefault="000067F6" w:rsidP="00C57CCC">
      <w:pPr>
        <w:widowControl w:val="0"/>
        <w:autoSpaceDE w:val="0"/>
        <w:autoSpaceDN w:val="0"/>
        <w:adjustRightInd w:val="0"/>
        <w:spacing w:after="0" w:line="360" w:lineRule="auto"/>
        <w:jc w:val="both"/>
        <w:rPr>
          <w:rFonts w:ascii="Book Antiqua" w:hAnsi="Book Antiqua" w:cs="Book Antiqua"/>
          <w:sz w:val="24"/>
          <w:szCs w:val="24"/>
          <w:lang w:val="en-GB"/>
        </w:rPr>
      </w:pPr>
    </w:p>
    <w:p w14:paraId="0F6182BC" w14:textId="71C5C6E4" w:rsidR="00555966" w:rsidRPr="00B246B6" w:rsidRDefault="00555966" w:rsidP="00C57CCC">
      <w:pPr>
        <w:widowControl w:val="0"/>
        <w:autoSpaceDE w:val="0"/>
        <w:autoSpaceDN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b/>
          <w:i/>
          <w:sz w:val="24"/>
          <w:szCs w:val="24"/>
          <w:lang w:val="en-US" w:eastAsia="it-IT"/>
        </w:rPr>
        <w:t>Applications</w:t>
      </w:r>
    </w:p>
    <w:p w14:paraId="2AE11820" w14:textId="246D85FC" w:rsidR="00555966" w:rsidRPr="00B246B6" w:rsidRDefault="00CE291D" w:rsidP="00C57CCC">
      <w:pPr>
        <w:widowControl w:val="0"/>
        <w:autoSpaceDE w:val="0"/>
        <w:autoSpaceDN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eastAsia="zh-CN"/>
        </w:rPr>
        <w:t>Their</w:t>
      </w:r>
      <w:r w:rsidR="00555966" w:rsidRPr="00B246B6">
        <w:rPr>
          <w:rFonts w:ascii="Book Antiqua" w:hAnsi="Book Antiqua" w:cs="Book Antiqua"/>
          <w:sz w:val="24"/>
          <w:szCs w:val="24"/>
          <w:lang w:val="en-US" w:eastAsia="it-IT"/>
        </w:rPr>
        <w:t xml:space="preserve"> study shows </w:t>
      </w:r>
      <w:r w:rsidR="00555966" w:rsidRPr="00B246B6">
        <w:rPr>
          <w:rFonts w:ascii="Book Antiqua" w:hAnsi="Book Antiqua" w:cs="Book Antiqua"/>
          <w:sz w:val="24"/>
          <w:szCs w:val="24"/>
          <w:lang w:val="en-GB" w:eastAsia="it-IT"/>
        </w:rPr>
        <w:t xml:space="preserve">that CEUS is a problem-solving technique </w:t>
      </w:r>
      <w:r w:rsidR="00555966" w:rsidRPr="00B246B6">
        <w:rPr>
          <w:rFonts w:ascii="Book Antiqua" w:hAnsi="Book Antiqua" w:cs="Book Antiqua"/>
          <w:sz w:val="24"/>
          <w:szCs w:val="24"/>
          <w:lang w:val="en-US" w:eastAsia="it-IT"/>
        </w:rPr>
        <w:t xml:space="preserve">in detecting perfusion abnormalities and </w:t>
      </w:r>
      <w:r w:rsidR="009721C4" w:rsidRPr="00B246B6">
        <w:rPr>
          <w:rFonts w:ascii="Book Antiqua" w:hAnsi="Book Antiqua" w:cs="Book Antiqua"/>
          <w:sz w:val="24"/>
          <w:szCs w:val="24"/>
          <w:lang w:val="en-US" w:eastAsia="it-IT"/>
        </w:rPr>
        <w:t>characterizing renal</w:t>
      </w:r>
      <w:r w:rsidR="00555966" w:rsidRPr="00B246B6">
        <w:rPr>
          <w:rFonts w:ascii="Book Antiqua" w:hAnsi="Book Antiqua" w:cs="Book Antiqua"/>
          <w:sz w:val="24"/>
          <w:szCs w:val="24"/>
          <w:lang w:val="en-US" w:eastAsia="it-IT"/>
        </w:rPr>
        <w:t xml:space="preserve"> lesions in patients with renal failure.</w:t>
      </w:r>
    </w:p>
    <w:p w14:paraId="0FE710B1" w14:textId="77777777" w:rsidR="00C70561" w:rsidRPr="00B246B6" w:rsidRDefault="00C70561" w:rsidP="00C57CCC">
      <w:pPr>
        <w:widowControl w:val="0"/>
        <w:autoSpaceDE w:val="0"/>
        <w:autoSpaceDN w:val="0"/>
        <w:adjustRightInd w:val="0"/>
        <w:spacing w:after="0" w:line="360" w:lineRule="auto"/>
        <w:jc w:val="both"/>
        <w:rPr>
          <w:rFonts w:ascii="Book Antiqua" w:hAnsi="Book Antiqua" w:cs="Times"/>
          <w:sz w:val="24"/>
          <w:szCs w:val="24"/>
          <w:lang w:val="en-US" w:eastAsia="zh-CN"/>
        </w:rPr>
      </w:pPr>
    </w:p>
    <w:p w14:paraId="18675573" w14:textId="77777777" w:rsidR="00555966" w:rsidRPr="00B246B6" w:rsidRDefault="00555966" w:rsidP="00C57CCC">
      <w:pPr>
        <w:widowControl w:val="0"/>
        <w:autoSpaceDE w:val="0"/>
        <w:autoSpaceDN w:val="0"/>
        <w:adjustRightInd w:val="0"/>
        <w:spacing w:after="0" w:line="360" w:lineRule="auto"/>
        <w:jc w:val="both"/>
        <w:rPr>
          <w:rFonts w:ascii="Book Antiqua" w:hAnsi="Book Antiqua" w:cs="Book Antiqua"/>
          <w:b/>
          <w:i/>
          <w:sz w:val="24"/>
          <w:szCs w:val="24"/>
          <w:lang w:val="en-GB"/>
        </w:rPr>
      </w:pPr>
      <w:r w:rsidRPr="00B246B6">
        <w:rPr>
          <w:rFonts w:ascii="Book Antiqua" w:hAnsi="Book Antiqua" w:cs="Book Antiqua"/>
          <w:b/>
          <w:i/>
          <w:sz w:val="24"/>
          <w:szCs w:val="24"/>
          <w:lang w:val="en-GB"/>
        </w:rPr>
        <w:t>Terminology</w:t>
      </w:r>
    </w:p>
    <w:p w14:paraId="4F45DDBD" w14:textId="2A9796F6" w:rsidR="00555966" w:rsidRPr="00B246B6" w:rsidRDefault="00555966" w:rsidP="00C57CCC">
      <w:pPr>
        <w:widowControl w:val="0"/>
        <w:autoSpaceDE w:val="0"/>
        <w:autoSpaceDN w:val="0"/>
        <w:adjustRightInd w:val="0"/>
        <w:spacing w:after="0" w:line="360" w:lineRule="auto"/>
        <w:jc w:val="both"/>
        <w:rPr>
          <w:rFonts w:ascii="Book Antiqua" w:hAnsi="Book Antiqua" w:cs="Book Antiqua"/>
          <w:sz w:val="24"/>
          <w:szCs w:val="24"/>
          <w:lang w:val="en-GB"/>
        </w:rPr>
      </w:pPr>
      <w:r w:rsidRPr="00B246B6">
        <w:rPr>
          <w:rFonts w:ascii="Book Antiqua" w:hAnsi="Book Antiqua" w:cs="Book Antiqua"/>
          <w:sz w:val="24"/>
          <w:szCs w:val="24"/>
          <w:lang w:val="en-GB"/>
        </w:rPr>
        <w:t xml:space="preserve">CEUS: </w:t>
      </w:r>
      <w:r w:rsidR="00E66CE0" w:rsidRPr="00B246B6">
        <w:rPr>
          <w:rFonts w:ascii="Book Antiqua" w:hAnsi="Book Antiqua" w:cs="Book Antiqua"/>
          <w:sz w:val="24"/>
          <w:szCs w:val="24"/>
          <w:lang w:val="en-GB"/>
        </w:rPr>
        <w:t>A</w:t>
      </w:r>
      <w:r w:rsidRPr="00B246B6">
        <w:rPr>
          <w:rFonts w:ascii="Book Antiqua" w:hAnsi="Book Antiqua" w:cs="Book Antiqua"/>
          <w:sz w:val="24"/>
          <w:szCs w:val="24"/>
          <w:lang w:val="en-GB"/>
        </w:rPr>
        <w:t>n ultrasound technique using microbubble contrast agents.</w:t>
      </w:r>
    </w:p>
    <w:p w14:paraId="46588802" w14:textId="77777777" w:rsidR="00555966" w:rsidRPr="00B246B6" w:rsidRDefault="00555966" w:rsidP="00C57CCC">
      <w:pPr>
        <w:widowControl w:val="0"/>
        <w:autoSpaceDE w:val="0"/>
        <w:autoSpaceDN w:val="0"/>
        <w:adjustRightInd w:val="0"/>
        <w:spacing w:after="0" w:line="360" w:lineRule="auto"/>
        <w:jc w:val="both"/>
        <w:rPr>
          <w:rFonts w:ascii="Book Antiqua" w:hAnsi="Book Antiqua" w:cs="Book Antiqua"/>
          <w:b/>
          <w:i/>
          <w:sz w:val="24"/>
          <w:szCs w:val="24"/>
          <w:lang w:val="en-GB"/>
        </w:rPr>
      </w:pPr>
    </w:p>
    <w:p w14:paraId="4D66813A" w14:textId="18DA6130" w:rsidR="00555966" w:rsidRPr="00B246B6" w:rsidRDefault="00555966" w:rsidP="00C57CCC">
      <w:pPr>
        <w:widowControl w:val="0"/>
        <w:autoSpaceDE w:val="0"/>
        <w:autoSpaceDN w:val="0"/>
        <w:adjustRightInd w:val="0"/>
        <w:spacing w:after="0" w:line="360" w:lineRule="auto"/>
        <w:jc w:val="both"/>
        <w:rPr>
          <w:rFonts w:ascii="Book Antiqua" w:hAnsi="Book Antiqua" w:cs="Book Antiqua"/>
          <w:b/>
          <w:i/>
          <w:sz w:val="24"/>
          <w:szCs w:val="24"/>
          <w:lang w:val="en-GB"/>
        </w:rPr>
      </w:pPr>
      <w:r w:rsidRPr="00B246B6">
        <w:rPr>
          <w:rFonts w:ascii="Book Antiqua" w:hAnsi="Book Antiqua" w:cs="Book Antiqua"/>
          <w:b/>
          <w:i/>
          <w:sz w:val="24"/>
          <w:szCs w:val="24"/>
          <w:lang w:val="en-GB"/>
        </w:rPr>
        <w:lastRenderedPageBreak/>
        <w:t>Peer</w:t>
      </w:r>
      <w:r w:rsidR="00C94791" w:rsidRPr="00B246B6">
        <w:rPr>
          <w:rFonts w:ascii="Book Antiqua" w:hAnsi="Book Antiqua" w:cs="Book Antiqua"/>
          <w:b/>
          <w:i/>
          <w:sz w:val="24"/>
          <w:szCs w:val="24"/>
          <w:lang w:val="en-GB" w:eastAsia="zh-CN"/>
        </w:rPr>
        <w:t>-</w:t>
      </w:r>
      <w:r w:rsidRPr="00B246B6">
        <w:rPr>
          <w:rFonts w:ascii="Book Antiqua" w:hAnsi="Book Antiqua" w:cs="Book Antiqua"/>
          <w:b/>
          <w:i/>
          <w:sz w:val="24"/>
          <w:szCs w:val="24"/>
          <w:lang w:val="en-GB"/>
        </w:rPr>
        <w:t>review</w:t>
      </w:r>
    </w:p>
    <w:p w14:paraId="183F7540" w14:textId="25AA4D87" w:rsidR="00C6568A" w:rsidRPr="00B246B6" w:rsidRDefault="00DF4AB0" w:rsidP="00C57CCC">
      <w:pPr>
        <w:widowControl w:val="0"/>
        <w:autoSpaceDE w:val="0"/>
        <w:autoSpaceDN w:val="0"/>
        <w:adjustRightInd w:val="0"/>
        <w:spacing w:after="0" w:line="360" w:lineRule="auto"/>
        <w:jc w:val="both"/>
        <w:rPr>
          <w:rFonts w:ascii="Book Antiqua" w:hAnsi="Book Antiqua"/>
          <w:sz w:val="24"/>
          <w:szCs w:val="24"/>
          <w:lang w:val="en-GB" w:eastAsia="zh-CN"/>
        </w:rPr>
      </w:pPr>
      <w:r w:rsidRPr="00B246B6">
        <w:rPr>
          <w:rFonts w:ascii="Book Antiqua" w:hAnsi="Book Antiqua" w:cs="Book Antiqua"/>
          <w:sz w:val="24"/>
          <w:szCs w:val="24"/>
          <w:lang w:val="en-GB" w:eastAsia="zh-CN"/>
        </w:rPr>
        <w:t>This is a well-written paper.</w:t>
      </w:r>
    </w:p>
    <w:p w14:paraId="7B028869" w14:textId="05310363" w:rsidR="003B6C65" w:rsidRPr="00B246B6" w:rsidRDefault="00E7017B" w:rsidP="00E7017B">
      <w:pPr>
        <w:widowControl w:val="0"/>
        <w:adjustRightInd w:val="0"/>
        <w:spacing w:after="0" w:line="360" w:lineRule="auto"/>
        <w:jc w:val="both"/>
        <w:rPr>
          <w:rFonts w:ascii="Book Antiqua" w:hAnsi="Book Antiqua"/>
          <w:sz w:val="24"/>
          <w:szCs w:val="24"/>
          <w:lang w:val="en-US"/>
        </w:rPr>
      </w:pPr>
      <w:r w:rsidRPr="00B246B6">
        <w:rPr>
          <w:rFonts w:ascii="Book Antiqua" w:hAnsi="Book Antiqua"/>
          <w:sz w:val="24"/>
          <w:szCs w:val="24"/>
          <w:lang w:val="en-US"/>
        </w:rPr>
        <w:br w:type="page"/>
      </w:r>
      <w:r w:rsidRPr="00B246B6">
        <w:rPr>
          <w:rFonts w:ascii="Book Antiqua" w:hAnsi="Book Antiqua" w:cs="Book Antiqua"/>
          <w:b/>
          <w:bCs/>
          <w:sz w:val="24"/>
          <w:szCs w:val="24"/>
          <w:lang w:val="en-US"/>
        </w:rPr>
        <w:lastRenderedPageBreak/>
        <w:t>REFERENCES</w:t>
      </w:r>
    </w:p>
    <w:p w14:paraId="171741EC"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bookmarkStart w:id="8" w:name="OLE_LINK1"/>
      <w:bookmarkStart w:id="9" w:name="OLE_LINK2"/>
      <w:bookmarkStart w:id="10" w:name="OLE_LINK8"/>
      <w:bookmarkStart w:id="11" w:name="OLE_LINK176"/>
      <w:bookmarkStart w:id="12" w:name="OLE_LINK187"/>
      <w:bookmarkStart w:id="13" w:name="OLE_LINK188"/>
      <w:r w:rsidRPr="003B59D9">
        <w:rPr>
          <w:rFonts w:ascii="Book Antiqua" w:hAnsi="Book Antiqua" w:cs="宋体"/>
          <w:sz w:val="24"/>
          <w:szCs w:val="24"/>
          <w:lang w:val="en-US" w:eastAsia="zh-CN"/>
        </w:rPr>
        <w:t>1 </w:t>
      </w:r>
      <w:r w:rsidRPr="003B59D9">
        <w:rPr>
          <w:rFonts w:ascii="Book Antiqua" w:hAnsi="Book Antiqua" w:cs="宋体"/>
          <w:b/>
          <w:bCs/>
          <w:sz w:val="24"/>
          <w:szCs w:val="24"/>
          <w:lang w:val="en-US" w:eastAsia="zh-CN"/>
        </w:rPr>
        <w:t>Piscaglia F</w:t>
      </w:r>
      <w:r w:rsidRPr="003B59D9">
        <w:rPr>
          <w:rFonts w:ascii="Book Antiqua" w:hAnsi="Book Antiqua" w:cs="宋体"/>
          <w:sz w:val="24"/>
          <w:szCs w:val="24"/>
          <w:lang w:val="en-US" w:eastAsia="zh-CN"/>
        </w:rPr>
        <w:t>,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w:t>
      </w:r>
      <w:r w:rsidRPr="003B59D9">
        <w:rPr>
          <w:rFonts w:ascii="Book Antiqua" w:hAnsi="Book Antiqua" w:cs="宋体"/>
          <w:i/>
          <w:iCs/>
          <w:sz w:val="24"/>
          <w:szCs w:val="24"/>
          <w:lang w:val="en-US" w:eastAsia="zh-CN"/>
        </w:rPr>
        <w:t>Ultraschall Med</w:t>
      </w:r>
      <w:r w:rsidRPr="003B59D9">
        <w:rPr>
          <w:rFonts w:ascii="Book Antiqua" w:hAnsi="Book Antiqua" w:cs="宋体"/>
          <w:sz w:val="24"/>
          <w:szCs w:val="24"/>
          <w:lang w:val="en-US" w:eastAsia="zh-CN"/>
        </w:rPr>
        <w:t> 2012; </w:t>
      </w:r>
      <w:r w:rsidRPr="003B59D9">
        <w:rPr>
          <w:rFonts w:ascii="Book Antiqua" w:hAnsi="Book Antiqua" w:cs="宋体"/>
          <w:b/>
          <w:bCs/>
          <w:sz w:val="24"/>
          <w:szCs w:val="24"/>
          <w:lang w:val="en-US" w:eastAsia="zh-CN"/>
        </w:rPr>
        <w:t>33</w:t>
      </w:r>
      <w:r w:rsidRPr="003B59D9">
        <w:rPr>
          <w:rFonts w:ascii="Book Antiqua" w:hAnsi="Book Antiqua" w:cs="宋体"/>
          <w:sz w:val="24"/>
          <w:szCs w:val="24"/>
          <w:lang w:val="en-US" w:eastAsia="zh-CN"/>
        </w:rPr>
        <w:t>: 33-59 [PMID: 21874631 DOI: 10.1055/s-0031-1281676]</w:t>
      </w:r>
    </w:p>
    <w:p w14:paraId="7248B89F"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2 </w:t>
      </w:r>
      <w:r w:rsidRPr="003B59D9">
        <w:rPr>
          <w:rFonts w:ascii="Book Antiqua" w:hAnsi="Book Antiqua" w:cs="宋体"/>
          <w:b/>
          <w:bCs/>
          <w:sz w:val="24"/>
          <w:szCs w:val="24"/>
          <w:lang w:val="en-US" w:eastAsia="zh-CN"/>
        </w:rPr>
        <w:t>Thomsen HS</w:t>
      </w:r>
      <w:r w:rsidRPr="003B59D9">
        <w:rPr>
          <w:rFonts w:ascii="Book Antiqua" w:hAnsi="Book Antiqua" w:cs="宋体"/>
          <w:sz w:val="24"/>
          <w:szCs w:val="24"/>
          <w:lang w:val="en-US" w:eastAsia="zh-CN"/>
        </w:rPr>
        <w:t>. Nephrogenic systemic fibrosis: A serious late adverse reaction to gadodiamide. </w:t>
      </w:r>
      <w:r w:rsidRPr="003B59D9">
        <w:rPr>
          <w:rFonts w:ascii="Book Antiqua" w:hAnsi="Book Antiqua" w:cs="宋体"/>
          <w:i/>
          <w:iCs/>
          <w:sz w:val="24"/>
          <w:szCs w:val="24"/>
          <w:lang w:val="en-US" w:eastAsia="zh-CN"/>
        </w:rPr>
        <w:t>Eur Radiol</w:t>
      </w:r>
      <w:r w:rsidRPr="003B59D9">
        <w:rPr>
          <w:rFonts w:ascii="Book Antiqua" w:hAnsi="Book Antiqua" w:cs="宋体"/>
          <w:sz w:val="24"/>
          <w:szCs w:val="24"/>
          <w:lang w:val="en-US" w:eastAsia="zh-CN"/>
        </w:rPr>
        <w:t> 2006; </w:t>
      </w:r>
      <w:r w:rsidRPr="003B59D9">
        <w:rPr>
          <w:rFonts w:ascii="Book Antiqua" w:hAnsi="Book Antiqua" w:cs="宋体"/>
          <w:b/>
          <w:bCs/>
          <w:sz w:val="24"/>
          <w:szCs w:val="24"/>
          <w:lang w:val="en-US" w:eastAsia="zh-CN"/>
        </w:rPr>
        <w:t>16</w:t>
      </w:r>
      <w:r w:rsidRPr="003B59D9">
        <w:rPr>
          <w:rFonts w:ascii="Book Antiqua" w:hAnsi="Book Antiqua" w:cs="宋体"/>
          <w:sz w:val="24"/>
          <w:szCs w:val="24"/>
          <w:lang w:val="en-US" w:eastAsia="zh-CN"/>
        </w:rPr>
        <w:t>: 2619-2621 [PMID: 17061066 DOI: 10.1007/s00330-006-0495-8]</w:t>
      </w:r>
    </w:p>
    <w:p w14:paraId="6ADFAD4F"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3 </w:t>
      </w:r>
      <w:r w:rsidRPr="003B59D9">
        <w:rPr>
          <w:rFonts w:ascii="Book Antiqua" w:hAnsi="Book Antiqua" w:cs="宋体"/>
          <w:b/>
          <w:bCs/>
          <w:sz w:val="24"/>
          <w:szCs w:val="24"/>
          <w:lang w:val="en-US" w:eastAsia="zh-CN"/>
        </w:rPr>
        <w:t>Thomsen HS</w:t>
      </w:r>
      <w:r w:rsidRPr="003B59D9">
        <w:rPr>
          <w:rFonts w:ascii="Book Antiqua" w:hAnsi="Book Antiqua" w:cs="宋体"/>
          <w:sz w:val="24"/>
          <w:szCs w:val="24"/>
          <w:lang w:val="en-US" w:eastAsia="zh-CN"/>
        </w:rPr>
        <w:t>, Morcos SK, Almén T, Bellin MF, Bertolotto M, Bongartz G, Clement O, Leander P, Heinz-Peer G, Reimer P, Stacul F, van der Molen A, Webb JA. Nephrogenic systemic fibrosis and gadolinium-based contrast media: updated ESUR Contrast Medium Safety Committee guidelines. </w:t>
      </w:r>
      <w:r w:rsidRPr="003B59D9">
        <w:rPr>
          <w:rFonts w:ascii="Book Antiqua" w:hAnsi="Book Antiqua" w:cs="宋体"/>
          <w:i/>
          <w:iCs/>
          <w:sz w:val="24"/>
          <w:szCs w:val="24"/>
          <w:lang w:val="en-US" w:eastAsia="zh-CN"/>
        </w:rPr>
        <w:t>Eur Radiol</w:t>
      </w:r>
      <w:r w:rsidRPr="003B59D9">
        <w:rPr>
          <w:rFonts w:ascii="Book Antiqua" w:hAnsi="Book Antiqua" w:cs="宋体"/>
          <w:sz w:val="24"/>
          <w:szCs w:val="24"/>
          <w:lang w:val="en-US" w:eastAsia="zh-CN"/>
        </w:rPr>
        <w:t> 2013; </w:t>
      </w:r>
      <w:r w:rsidRPr="003B59D9">
        <w:rPr>
          <w:rFonts w:ascii="Book Antiqua" w:hAnsi="Book Antiqua" w:cs="宋体"/>
          <w:b/>
          <w:bCs/>
          <w:sz w:val="24"/>
          <w:szCs w:val="24"/>
          <w:lang w:val="en-US" w:eastAsia="zh-CN"/>
        </w:rPr>
        <w:t>23</w:t>
      </w:r>
      <w:r w:rsidRPr="003B59D9">
        <w:rPr>
          <w:rFonts w:ascii="Book Antiqua" w:hAnsi="Book Antiqua" w:cs="宋体"/>
          <w:sz w:val="24"/>
          <w:szCs w:val="24"/>
          <w:lang w:val="en-US" w:eastAsia="zh-CN"/>
        </w:rPr>
        <w:t>: 307-318 [PMID: 22865271 DOI: 10.1007/s00330-012-2597-9]</w:t>
      </w:r>
    </w:p>
    <w:p w14:paraId="2208B227"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4 </w:t>
      </w:r>
      <w:r w:rsidRPr="003B59D9">
        <w:rPr>
          <w:rFonts w:ascii="Book Antiqua" w:hAnsi="Book Antiqua" w:cs="宋体"/>
          <w:b/>
          <w:bCs/>
          <w:sz w:val="24"/>
          <w:szCs w:val="24"/>
          <w:lang w:val="en-US" w:eastAsia="zh-CN"/>
        </w:rPr>
        <w:t>Stojanov D</w:t>
      </w:r>
      <w:r w:rsidRPr="003B59D9">
        <w:rPr>
          <w:rFonts w:ascii="Book Antiqua" w:hAnsi="Book Antiqua" w:cs="宋体"/>
          <w:sz w:val="24"/>
          <w:szCs w:val="24"/>
          <w:lang w:val="en-US" w:eastAsia="zh-CN"/>
        </w:rPr>
        <w:t>, Aracki-Trenkic A, Benedeto-Stojanov D. Gadolinium deposition within the dentate nucleus and globus pallidus after repeated administrations of gadolinium-based contrast agents-current status. </w:t>
      </w:r>
      <w:r w:rsidRPr="003B59D9">
        <w:rPr>
          <w:rFonts w:ascii="Book Antiqua" w:hAnsi="Book Antiqua" w:cs="宋体"/>
          <w:i/>
          <w:iCs/>
          <w:sz w:val="24"/>
          <w:szCs w:val="24"/>
          <w:lang w:val="en-US" w:eastAsia="zh-CN"/>
        </w:rPr>
        <w:t>Neuroradiology</w:t>
      </w:r>
      <w:r w:rsidRPr="003B59D9">
        <w:rPr>
          <w:rFonts w:ascii="Book Antiqua" w:hAnsi="Book Antiqua" w:cs="宋体"/>
          <w:sz w:val="24"/>
          <w:szCs w:val="24"/>
          <w:lang w:val="en-US" w:eastAsia="zh-CN"/>
        </w:rPr>
        <w:t> 2016; </w:t>
      </w:r>
      <w:r w:rsidRPr="003B59D9">
        <w:rPr>
          <w:rFonts w:ascii="Book Antiqua" w:hAnsi="Book Antiqua" w:cs="宋体"/>
          <w:b/>
          <w:bCs/>
          <w:sz w:val="24"/>
          <w:szCs w:val="24"/>
          <w:lang w:val="en-US" w:eastAsia="zh-CN"/>
        </w:rPr>
        <w:t>58</w:t>
      </w:r>
      <w:r w:rsidRPr="003B59D9">
        <w:rPr>
          <w:rFonts w:ascii="Book Antiqua" w:hAnsi="Book Antiqua" w:cs="宋体"/>
          <w:sz w:val="24"/>
          <w:szCs w:val="24"/>
          <w:lang w:val="en-US" w:eastAsia="zh-CN"/>
        </w:rPr>
        <w:t>: 433-441 [PMID: 26873830 DOI: 10.1007/s00234-016-1658-1]</w:t>
      </w:r>
    </w:p>
    <w:p w14:paraId="42A73EC9"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5 </w:t>
      </w:r>
      <w:r w:rsidRPr="003B59D9">
        <w:rPr>
          <w:rFonts w:ascii="Book Antiqua" w:hAnsi="Book Antiqua" w:cs="宋体"/>
          <w:b/>
          <w:bCs/>
          <w:sz w:val="24"/>
          <w:szCs w:val="24"/>
          <w:lang w:val="en-US" w:eastAsia="zh-CN"/>
        </w:rPr>
        <w:t>Pozzi Mucelli R</w:t>
      </w:r>
      <w:r w:rsidRPr="003B59D9">
        <w:rPr>
          <w:rFonts w:ascii="Book Antiqua" w:hAnsi="Book Antiqua" w:cs="宋体"/>
          <w:sz w:val="24"/>
          <w:szCs w:val="24"/>
          <w:lang w:val="en-US" w:eastAsia="zh-CN"/>
        </w:rPr>
        <w:t>, Bertolotto M, Quaia E. Imaging techniques in acute renal failure. </w:t>
      </w:r>
      <w:r w:rsidRPr="003B59D9">
        <w:rPr>
          <w:rFonts w:ascii="Book Antiqua" w:hAnsi="Book Antiqua" w:cs="宋体"/>
          <w:i/>
          <w:iCs/>
          <w:sz w:val="24"/>
          <w:szCs w:val="24"/>
          <w:lang w:val="en-US" w:eastAsia="zh-CN"/>
        </w:rPr>
        <w:t>Contrib Nephrol</w:t>
      </w:r>
      <w:r w:rsidRPr="003B59D9">
        <w:rPr>
          <w:rFonts w:ascii="Book Antiqua" w:hAnsi="Book Antiqua" w:cs="宋体"/>
          <w:sz w:val="24"/>
          <w:szCs w:val="24"/>
          <w:lang w:val="en-US" w:eastAsia="zh-CN"/>
        </w:rPr>
        <w:t> 2001; </w:t>
      </w:r>
      <w:r w:rsidRPr="003B59D9">
        <w:rPr>
          <w:rFonts w:ascii="Book Antiqua" w:hAnsi="Book Antiqua" w:cs="Book Antiqua"/>
          <w:b/>
          <w:bCs/>
          <w:noProof/>
          <w:sz w:val="24"/>
          <w:szCs w:val="24"/>
          <w:lang w:val="en-US" w:eastAsia="fr-FR"/>
        </w:rPr>
        <w:t>132</w:t>
      </w:r>
      <w:r w:rsidRPr="003B59D9">
        <w:rPr>
          <w:rFonts w:ascii="Book Antiqua" w:hAnsi="Book Antiqua" w:cs="宋体"/>
          <w:sz w:val="24"/>
          <w:szCs w:val="24"/>
          <w:lang w:val="en-US" w:eastAsia="zh-CN"/>
        </w:rPr>
        <w:t>: 76-91 [PMID: 11395914]</w:t>
      </w:r>
    </w:p>
    <w:p w14:paraId="25207CD6"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6</w:t>
      </w:r>
      <w:r w:rsidRPr="003B59D9">
        <w:rPr>
          <w:rFonts w:ascii="Book Antiqua" w:hAnsi="Book Antiqua" w:cs="宋体" w:hint="eastAsia"/>
          <w:sz w:val="24"/>
          <w:szCs w:val="24"/>
          <w:lang w:val="en-US" w:eastAsia="zh-CN"/>
        </w:rPr>
        <w:t xml:space="preserve"> </w:t>
      </w:r>
      <w:r w:rsidRPr="003B59D9">
        <w:rPr>
          <w:rFonts w:ascii="Book Antiqua" w:hAnsi="Book Antiqua" w:cs="宋体"/>
          <w:b/>
          <w:sz w:val="24"/>
          <w:szCs w:val="24"/>
          <w:lang w:val="en-US" w:eastAsia="zh-CN"/>
        </w:rPr>
        <w:t>Kim SH</w:t>
      </w:r>
      <w:r w:rsidRPr="003B59D9">
        <w:rPr>
          <w:rFonts w:ascii="Book Antiqua" w:hAnsi="Book Antiqua" w:cs="宋体"/>
          <w:sz w:val="24"/>
          <w:szCs w:val="24"/>
          <w:lang w:val="en-US" w:eastAsia="zh-CN"/>
        </w:rPr>
        <w:t xml:space="preserve">, Cho JY, Kim SY, Moon KC, Kwak C, Kim HH. Ultrasound Evaluation of Renal Masses: Gray-scale, Doppler, and More. </w:t>
      </w:r>
      <w:r w:rsidRPr="003B59D9">
        <w:rPr>
          <w:rFonts w:ascii="Book Antiqua" w:hAnsi="Book Antiqua" w:cs="宋体"/>
          <w:i/>
          <w:sz w:val="24"/>
          <w:szCs w:val="24"/>
          <w:lang w:val="en-US" w:eastAsia="zh-CN"/>
        </w:rPr>
        <w:t>Ultrasound Clinics</w:t>
      </w:r>
      <w:r w:rsidRPr="003B59D9">
        <w:rPr>
          <w:rFonts w:ascii="Book Antiqua" w:hAnsi="Book Antiqua" w:cs="宋体"/>
          <w:sz w:val="24"/>
          <w:szCs w:val="24"/>
          <w:lang w:val="en-US" w:eastAsia="zh-CN"/>
        </w:rPr>
        <w:t xml:space="preserve"> 2013; </w:t>
      </w:r>
      <w:r w:rsidRPr="003B59D9">
        <w:rPr>
          <w:rFonts w:ascii="Book Antiqua" w:hAnsi="Book Antiqua" w:cs="宋体"/>
          <w:b/>
          <w:sz w:val="24"/>
          <w:szCs w:val="24"/>
          <w:lang w:val="en-US" w:eastAsia="zh-CN"/>
        </w:rPr>
        <w:t>8</w:t>
      </w:r>
      <w:r w:rsidRPr="003B59D9">
        <w:rPr>
          <w:rFonts w:ascii="Book Antiqua" w:hAnsi="Book Antiqua" w:cs="宋体"/>
          <w:sz w:val="24"/>
          <w:szCs w:val="24"/>
          <w:lang w:val="en-US" w:eastAsia="zh-CN"/>
        </w:rPr>
        <w:t>: 565–579 [DOI: 10.1016/j.cult.2013.07.002]</w:t>
      </w:r>
    </w:p>
    <w:p w14:paraId="6A61F315"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7 </w:t>
      </w:r>
      <w:r w:rsidRPr="003B59D9">
        <w:rPr>
          <w:rFonts w:ascii="Book Antiqua" w:hAnsi="Book Antiqua" w:cs="宋体"/>
          <w:b/>
          <w:bCs/>
          <w:sz w:val="24"/>
          <w:szCs w:val="24"/>
          <w:lang w:val="en-US" w:eastAsia="zh-CN"/>
        </w:rPr>
        <w:t>Cantisani V</w:t>
      </w:r>
      <w:r w:rsidRPr="003B59D9">
        <w:rPr>
          <w:rFonts w:ascii="Book Antiqua" w:hAnsi="Book Antiqua" w:cs="宋体"/>
          <w:sz w:val="24"/>
          <w:szCs w:val="24"/>
          <w:lang w:val="en-US" w:eastAsia="zh-CN"/>
        </w:rPr>
        <w:t>, Bertolotto M, Weskott HP, Romanini L, Grazhdani H, Passamonti M, Drudi FM, Malpassini F, Isidori A, Meloni FM, Calliada F, D'Ambrosio F. Growing indications for CEUS: The kidney, testis, lymph nodes, thyroid, prostate, and small bowel. </w:t>
      </w:r>
      <w:r w:rsidRPr="003B59D9">
        <w:rPr>
          <w:rFonts w:ascii="Book Antiqua" w:hAnsi="Book Antiqua" w:cs="宋体"/>
          <w:i/>
          <w:iCs/>
          <w:sz w:val="24"/>
          <w:szCs w:val="24"/>
          <w:lang w:val="en-US" w:eastAsia="zh-CN"/>
        </w:rPr>
        <w:t>Eur J Radiol</w:t>
      </w:r>
      <w:r w:rsidRPr="003B59D9">
        <w:rPr>
          <w:rFonts w:ascii="Book Antiqua" w:hAnsi="Book Antiqua" w:cs="宋体"/>
          <w:sz w:val="24"/>
          <w:szCs w:val="24"/>
          <w:lang w:val="en-US" w:eastAsia="zh-CN"/>
        </w:rPr>
        <w:t> 2015; </w:t>
      </w:r>
      <w:r w:rsidRPr="003B59D9">
        <w:rPr>
          <w:rFonts w:ascii="Book Antiqua" w:hAnsi="Book Antiqua" w:cs="宋体"/>
          <w:b/>
          <w:bCs/>
          <w:sz w:val="24"/>
          <w:szCs w:val="24"/>
          <w:lang w:val="en-US" w:eastAsia="zh-CN"/>
        </w:rPr>
        <w:t>84</w:t>
      </w:r>
      <w:r w:rsidRPr="003B59D9">
        <w:rPr>
          <w:rFonts w:ascii="Book Antiqua" w:hAnsi="Book Antiqua" w:cs="宋体"/>
          <w:sz w:val="24"/>
          <w:szCs w:val="24"/>
          <w:lang w:val="en-US" w:eastAsia="zh-CN"/>
        </w:rPr>
        <w:t>: 1675-1684 [PMID: 26014102 DOI: 10.1016/j.ejrad.2015.05.008]</w:t>
      </w:r>
    </w:p>
    <w:p w14:paraId="4AB7688F"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8</w:t>
      </w:r>
      <w:r w:rsidRPr="003B59D9">
        <w:rPr>
          <w:rFonts w:ascii="Book Antiqua" w:hAnsi="Book Antiqua" w:cs="宋体" w:hint="eastAsia"/>
          <w:sz w:val="24"/>
          <w:szCs w:val="24"/>
          <w:lang w:val="en-US" w:eastAsia="zh-CN"/>
        </w:rPr>
        <w:t xml:space="preserve"> </w:t>
      </w:r>
      <w:r w:rsidRPr="003B59D9">
        <w:rPr>
          <w:rFonts w:ascii="Book Antiqua" w:hAnsi="Book Antiqua" w:cs="宋体"/>
          <w:b/>
          <w:sz w:val="24"/>
          <w:szCs w:val="24"/>
          <w:lang w:val="en-US" w:eastAsia="zh-CN"/>
        </w:rPr>
        <w:t>Pozzi Mucelli R</w:t>
      </w:r>
      <w:r w:rsidRPr="003B59D9">
        <w:rPr>
          <w:rFonts w:ascii="Book Antiqua" w:hAnsi="Book Antiqua" w:cs="宋体"/>
          <w:sz w:val="24"/>
          <w:szCs w:val="24"/>
          <w:lang w:val="en-US" w:eastAsia="zh-CN"/>
        </w:rPr>
        <w:t xml:space="preserve">, Bertolotto M. Imaging techniques in acute renal failure. </w:t>
      </w:r>
      <w:r w:rsidRPr="003B59D9">
        <w:rPr>
          <w:rFonts w:ascii="Book Antiqua" w:hAnsi="Book Antiqua" w:cs="宋体"/>
          <w:i/>
          <w:sz w:val="24"/>
          <w:szCs w:val="24"/>
          <w:lang w:val="en-US" w:eastAsia="zh-CN"/>
        </w:rPr>
        <w:t xml:space="preserve">Kidney Int </w:t>
      </w:r>
      <w:r w:rsidRPr="003B59D9">
        <w:rPr>
          <w:rFonts w:ascii="Book Antiqua" w:hAnsi="Book Antiqua" w:cs="宋体"/>
          <w:sz w:val="24"/>
          <w:szCs w:val="24"/>
          <w:lang w:val="en-US" w:eastAsia="zh-CN"/>
        </w:rPr>
        <w:t xml:space="preserve">1998; </w:t>
      </w:r>
      <w:r w:rsidRPr="003B59D9">
        <w:rPr>
          <w:rFonts w:ascii="Book Antiqua" w:hAnsi="Book Antiqua" w:cs="宋体"/>
          <w:b/>
          <w:sz w:val="24"/>
          <w:szCs w:val="24"/>
          <w:lang w:val="en-US" w:eastAsia="zh-CN"/>
        </w:rPr>
        <w:t>66</w:t>
      </w:r>
      <w:r w:rsidRPr="003B59D9">
        <w:rPr>
          <w:rFonts w:ascii="Book Antiqua" w:hAnsi="Book Antiqua" w:cs="宋体"/>
          <w:sz w:val="24"/>
          <w:szCs w:val="24"/>
          <w:lang w:val="en-US" w:eastAsia="zh-CN"/>
        </w:rPr>
        <w:t>: S102</w:t>
      </w:r>
      <w:r w:rsidRPr="003B59D9">
        <w:rPr>
          <w:rFonts w:ascii="Book Antiqua" w:hAnsi="Book Antiqua" w:cs="宋体" w:hint="eastAsia"/>
          <w:sz w:val="24"/>
          <w:szCs w:val="24"/>
          <w:lang w:val="en-US" w:eastAsia="zh-CN"/>
        </w:rPr>
        <w:t>-</w:t>
      </w:r>
      <w:r w:rsidRPr="003B59D9">
        <w:rPr>
          <w:rFonts w:ascii="Book Antiqua" w:hAnsi="Book Antiqua" w:cs="宋体"/>
          <w:sz w:val="24"/>
          <w:szCs w:val="24"/>
          <w:lang w:val="en-US" w:eastAsia="zh-CN"/>
        </w:rPr>
        <w:t>S105</w:t>
      </w:r>
    </w:p>
    <w:p w14:paraId="7933206B"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9</w:t>
      </w:r>
      <w:r w:rsidRPr="003B59D9">
        <w:rPr>
          <w:rFonts w:ascii="Book Antiqua" w:hAnsi="Book Antiqua" w:cs="宋体" w:hint="eastAsia"/>
          <w:sz w:val="24"/>
          <w:szCs w:val="24"/>
          <w:lang w:val="en-US" w:eastAsia="zh-CN"/>
        </w:rPr>
        <w:t xml:space="preserve"> </w:t>
      </w:r>
      <w:r w:rsidRPr="003B59D9">
        <w:rPr>
          <w:rFonts w:ascii="Book Antiqua" w:hAnsi="Book Antiqua" w:cs="宋体"/>
          <w:b/>
          <w:sz w:val="24"/>
          <w:szCs w:val="24"/>
          <w:lang w:val="en-US" w:eastAsia="zh-CN"/>
        </w:rPr>
        <w:t>Bertolotto M</w:t>
      </w:r>
      <w:r w:rsidRPr="003B59D9">
        <w:rPr>
          <w:rFonts w:ascii="Book Antiqua" w:hAnsi="Book Antiqua" w:cs="宋体"/>
          <w:sz w:val="24"/>
          <w:szCs w:val="24"/>
          <w:lang w:val="en-US" w:eastAsia="zh-CN"/>
        </w:rPr>
        <w:t xml:space="preserve">, Derchi LE, Cicero C, Iannelli M. Renal Masses as Characterized by Ultrasound Contrast. </w:t>
      </w:r>
      <w:r w:rsidRPr="003B59D9">
        <w:rPr>
          <w:rFonts w:ascii="Book Antiqua" w:hAnsi="Book Antiqua" w:cs="宋体"/>
          <w:i/>
          <w:sz w:val="24"/>
          <w:szCs w:val="24"/>
          <w:lang w:val="en-US" w:eastAsia="zh-CN"/>
        </w:rPr>
        <w:t xml:space="preserve">Ultrasound Clin </w:t>
      </w:r>
      <w:r w:rsidRPr="003B59D9">
        <w:rPr>
          <w:rFonts w:ascii="Book Antiqua" w:hAnsi="Book Antiqua" w:cs="宋体"/>
          <w:sz w:val="24"/>
          <w:szCs w:val="24"/>
          <w:lang w:val="en-US" w:eastAsia="zh-CN"/>
        </w:rPr>
        <w:t xml:space="preserve">2013; </w:t>
      </w:r>
      <w:r w:rsidRPr="003B59D9">
        <w:rPr>
          <w:rFonts w:ascii="Book Antiqua" w:hAnsi="Book Antiqua" w:cs="宋体"/>
          <w:b/>
          <w:sz w:val="24"/>
          <w:szCs w:val="24"/>
          <w:lang w:val="en-US" w:eastAsia="zh-CN"/>
        </w:rPr>
        <w:t>8</w:t>
      </w:r>
      <w:r w:rsidRPr="003B59D9">
        <w:rPr>
          <w:rFonts w:ascii="Book Antiqua" w:hAnsi="Book Antiqua" w:cs="宋体"/>
          <w:sz w:val="24"/>
          <w:szCs w:val="24"/>
          <w:lang w:val="en-US" w:eastAsia="zh-CN"/>
        </w:rPr>
        <w:t>: 581–592 [DOI: 10.1016/j.cult.2013.07.003]</w:t>
      </w:r>
    </w:p>
    <w:p w14:paraId="396FAD58"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lastRenderedPageBreak/>
        <w:t>10 </w:t>
      </w:r>
      <w:r w:rsidRPr="003B59D9">
        <w:rPr>
          <w:rFonts w:ascii="Book Antiqua" w:hAnsi="Book Antiqua" w:cs="宋体"/>
          <w:b/>
          <w:bCs/>
          <w:sz w:val="24"/>
          <w:szCs w:val="24"/>
          <w:lang w:val="en-US" w:eastAsia="zh-CN"/>
        </w:rPr>
        <w:t>Bertolotto M</w:t>
      </w:r>
      <w:r w:rsidRPr="003B59D9">
        <w:rPr>
          <w:rFonts w:ascii="Book Antiqua" w:hAnsi="Book Antiqua" w:cs="宋体"/>
          <w:sz w:val="24"/>
          <w:szCs w:val="24"/>
          <w:lang w:val="en-US" w:eastAsia="zh-CN"/>
        </w:rPr>
        <w:t>, Cicero C, Perrone R, Degrassi F, Cacciato F, Cova MA. Renal Masses With Equivocal Enhancement at CT: Characterization With Contrast-Enhanced Ultrasound. </w:t>
      </w:r>
      <w:r w:rsidRPr="003B59D9">
        <w:rPr>
          <w:rFonts w:ascii="Book Antiqua" w:hAnsi="Book Antiqua" w:cs="宋体"/>
          <w:i/>
          <w:iCs/>
          <w:sz w:val="24"/>
          <w:szCs w:val="24"/>
          <w:lang w:val="en-US" w:eastAsia="zh-CN"/>
        </w:rPr>
        <w:t>AJR Am J Roentgenol</w:t>
      </w:r>
      <w:r w:rsidRPr="003B59D9">
        <w:rPr>
          <w:rFonts w:ascii="Book Antiqua" w:hAnsi="Book Antiqua" w:cs="宋体"/>
          <w:sz w:val="24"/>
          <w:szCs w:val="24"/>
          <w:lang w:val="en-US" w:eastAsia="zh-CN"/>
        </w:rPr>
        <w:t> 2015; </w:t>
      </w:r>
      <w:r w:rsidRPr="003B59D9">
        <w:rPr>
          <w:rFonts w:ascii="Book Antiqua" w:hAnsi="Book Antiqua" w:cs="宋体"/>
          <w:b/>
          <w:bCs/>
          <w:sz w:val="24"/>
          <w:szCs w:val="24"/>
          <w:lang w:val="en-US" w:eastAsia="zh-CN"/>
        </w:rPr>
        <w:t>204</w:t>
      </w:r>
      <w:r w:rsidRPr="003B59D9">
        <w:rPr>
          <w:rFonts w:ascii="Book Antiqua" w:hAnsi="Book Antiqua" w:cs="宋体"/>
          <w:sz w:val="24"/>
          <w:szCs w:val="24"/>
          <w:lang w:val="en-US" w:eastAsia="zh-CN"/>
        </w:rPr>
        <w:t>: W557-W565 [PMID: 25905962 DOI: 10.2214/AJR.14.13375]</w:t>
      </w:r>
    </w:p>
    <w:p w14:paraId="0C59E835"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11 </w:t>
      </w:r>
      <w:r w:rsidRPr="003B59D9">
        <w:rPr>
          <w:rFonts w:ascii="Book Antiqua" w:hAnsi="Book Antiqua" w:cs="宋体"/>
          <w:b/>
          <w:bCs/>
          <w:sz w:val="24"/>
          <w:szCs w:val="24"/>
          <w:lang w:val="en-US" w:eastAsia="zh-CN"/>
        </w:rPr>
        <w:t>Granata A</w:t>
      </w:r>
      <w:r w:rsidRPr="003B59D9">
        <w:rPr>
          <w:rFonts w:ascii="Book Antiqua" w:hAnsi="Book Antiqua" w:cs="宋体"/>
          <w:sz w:val="24"/>
          <w:szCs w:val="24"/>
          <w:lang w:val="en-US" w:eastAsia="zh-CN"/>
        </w:rPr>
        <w:t>, Zanoli L, Insalaco M, Valentino M, Pavlica P, Di Nicolò PP, Scuderi M, Fiorini F, Fatuzzo P, Bertolotto M. Contrast-enhanced ultrasound (CEUS) in nephrology: Has the time come for its widespread use? </w:t>
      </w:r>
      <w:r w:rsidRPr="003B59D9">
        <w:rPr>
          <w:rFonts w:ascii="Book Antiqua" w:hAnsi="Book Antiqua" w:cs="宋体"/>
          <w:i/>
          <w:iCs/>
          <w:sz w:val="24"/>
          <w:szCs w:val="24"/>
          <w:lang w:val="en-US" w:eastAsia="zh-CN"/>
        </w:rPr>
        <w:t>Clin Exp Nephrol</w:t>
      </w:r>
      <w:r w:rsidRPr="003B59D9">
        <w:rPr>
          <w:rFonts w:ascii="Book Antiqua" w:hAnsi="Book Antiqua" w:cs="宋体"/>
          <w:sz w:val="24"/>
          <w:szCs w:val="24"/>
          <w:lang w:val="en-US" w:eastAsia="zh-CN"/>
        </w:rPr>
        <w:t> 2015; </w:t>
      </w:r>
      <w:r w:rsidRPr="003B59D9">
        <w:rPr>
          <w:rFonts w:ascii="Book Antiqua" w:hAnsi="Book Antiqua" w:cs="宋体"/>
          <w:b/>
          <w:bCs/>
          <w:sz w:val="24"/>
          <w:szCs w:val="24"/>
          <w:lang w:val="en-US" w:eastAsia="zh-CN"/>
        </w:rPr>
        <w:t>19</w:t>
      </w:r>
      <w:r w:rsidRPr="003B59D9">
        <w:rPr>
          <w:rFonts w:ascii="Book Antiqua" w:hAnsi="Book Antiqua" w:cs="宋体"/>
          <w:sz w:val="24"/>
          <w:szCs w:val="24"/>
          <w:lang w:val="en-US" w:eastAsia="zh-CN"/>
        </w:rPr>
        <w:t>: 606-615 [PMID: 25351822 DOI: 10.1007/s10157-014-1040-8]</w:t>
      </w:r>
    </w:p>
    <w:p w14:paraId="702DE78F"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12 </w:t>
      </w:r>
      <w:r w:rsidRPr="003B59D9">
        <w:rPr>
          <w:rFonts w:ascii="Book Antiqua" w:hAnsi="Book Antiqua" w:cs="宋体"/>
          <w:b/>
          <w:bCs/>
          <w:sz w:val="24"/>
          <w:szCs w:val="24"/>
          <w:lang w:val="en-US" w:eastAsia="zh-CN"/>
        </w:rPr>
        <w:t>Bertolotto M</w:t>
      </w:r>
      <w:r w:rsidRPr="003B59D9">
        <w:rPr>
          <w:rFonts w:ascii="Book Antiqua" w:hAnsi="Book Antiqua" w:cs="宋体"/>
          <w:sz w:val="24"/>
          <w:szCs w:val="24"/>
          <w:lang w:val="en-US" w:eastAsia="zh-CN"/>
        </w:rPr>
        <w:t>, Martegani A, Aiani L, Zappetti R, Cernic S, Cova MA. Value of contrast-enhanced ultrasonography for detecting renal infarcts proven by contrast enhanced CT. A feasibility study. </w:t>
      </w:r>
      <w:r w:rsidRPr="003B59D9">
        <w:rPr>
          <w:rFonts w:ascii="Book Antiqua" w:hAnsi="Book Antiqua" w:cs="宋体"/>
          <w:i/>
          <w:iCs/>
          <w:sz w:val="24"/>
          <w:szCs w:val="24"/>
          <w:lang w:val="en-US" w:eastAsia="zh-CN"/>
        </w:rPr>
        <w:t>Eur Radiol</w:t>
      </w:r>
      <w:r w:rsidRPr="003B59D9">
        <w:rPr>
          <w:rFonts w:ascii="Book Antiqua" w:hAnsi="Book Antiqua" w:cs="宋体"/>
          <w:sz w:val="24"/>
          <w:szCs w:val="24"/>
          <w:lang w:val="en-US" w:eastAsia="zh-CN"/>
        </w:rPr>
        <w:t> 2008; </w:t>
      </w:r>
      <w:r w:rsidRPr="003B59D9">
        <w:rPr>
          <w:rFonts w:ascii="Book Antiqua" w:hAnsi="Book Antiqua" w:cs="宋体"/>
          <w:b/>
          <w:bCs/>
          <w:sz w:val="24"/>
          <w:szCs w:val="24"/>
          <w:lang w:val="en-US" w:eastAsia="zh-CN"/>
        </w:rPr>
        <w:t>18</w:t>
      </w:r>
      <w:r w:rsidRPr="003B59D9">
        <w:rPr>
          <w:rFonts w:ascii="Book Antiqua" w:hAnsi="Book Antiqua" w:cs="宋体"/>
          <w:sz w:val="24"/>
          <w:szCs w:val="24"/>
          <w:lang w:val="en-US" w:eastAsia="zh-CN"/>
        </w:rPr>
        <w:t>: 376-383 [PMID: 17851664 DOI: 10.1007/s00330-007-0747-2]</w:t>
      </w:r>
    </w:p>
    <w:p w14:paraId="2C193C88"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13 </w:t>
      </w:r>
      <w:r w:rsidRPr="003B59D9">
        <w:rPr>
          <w:rFonts w:ascii="Book Antiqua" w:hAnsi="Book Antiqua" w:cs="宋体"/>
          <w:b/>
          <w:bCs/>
          <w:sz w:val="24"/>
          <w:szCs w:val="24"/>
          <w:lang w:val="en-US" w:eastAsia="zh-CN"/>
        </w:rPr>
        <w:t>Ascenti G</w:t>
      </w:r>
      <w:r w:rsidRPr="003B59D9">
        <w:rPr>
          <w:rFonts w:ascii="Book Antiqua" w:hAnsi="Book Antiqua" w:cs="宋体"/>
          <w:sz w:val="24"/>
          <w:szCs w:val="24"/>
          <w:lang w:val="en-US" w:eastAsia="zh-CN"/>
        </w:rPr>
        <w:t>, Mazziotti S, Zimbaro G, Settineri N, Magno C, Melloni D, Caruso R, Scribano E. Complex cystic renal masses: characterization with contrast-enhanced US. </w:t>
      </w:r>
      <w:r w:rsidRPr="003B59D9">
        <w:rPr>
          <w:rFonts w:ascii="Book Antiqua" w:hAnsi="Book Antiqua" w:cs="宋体"/>
          <w:i/>
          <w:iCs/>
          <w:sz w:val="24"/>
          <w:szCs w:val="24"/>
          <w:lang w:val="en-US" w:eastAsia="zh-CN"/>
        </w:rPr>
        <w:t>Radiology</w:t>
      </w:r>
      <w:r w:rsidRPr="003B59D9">
        <w:rPr>
          <w:rFonts w:ascii="Book Antiqua" w:hAnsi="Book Antiqua" w:cs="宋体"/>
          <w:sz w:val="24"/>
          <w:szCs w:val="24"/>
          <w:lang w:val="en-US" w:eastAsia="zh-CN"/>
        </w:rPr>
        <w:t> 2007; </w:t>
      </w:r>
      <w:r w:rsidRPr="003B59D9">
        <w:rPr>
          <w:rFonts w:ascii="Book Antiqua" w:hAnsi="Book Antiqua" w:cs="宋体"/>
          <w:b/>
          <w:bCs/>
          <w:sz w:val="24"/>
          <w:szCs w:val="24"/>
          <w:lang w:val="en-US" w:eastAsia="zh-CN"/>
        </w:rPr>
        <w:t>243</w:t>
      </w:r>
      <w:r w:rsidRPr="003B59D9">
        <w:rPr>
          <w:rFonts w:ascii="Book Antiqua" w:hAnsi="Book Antiqua" w:cs="宋体"/>
          <w:sz w:val="24"/>
          <w:szCs w:val="24"/>
          <w:lang w:val="en-US" w:eastAsia="zh-CN"/>
        </w:rPr>
        <w:t>: 158-165 [PMID: 17392251 DOI: 10.1148/radiol.2431051924]</w:t>
      </w:r>
    </w:p>
    <w:p w14:paraId="5F33F051"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14 </w:t>
      </w:r>
      <w:r w:rsidRPr="003B59D9">
        <w:rPr>
          <w:rFonts w:ascii="Book Antiqua" w:hAnsi="Book Antiqua" w:cs="宋体"/>
          <w:b/>
          <w:bCs/>
          <w:sz w:val="24"/>
          <w:szCs w:val="24"/>
          <w:lang w:val="en-US" w:eastAsia="zh-CN"/>
        </w:rPr>
        <w:t>Quaia E</w:t>
      </w:r>
      <w:r w:rsidRPr="003B59D9">
        <w:rPr>
          <w:rFonts w:ascii="Book Antiqua" w:hAnsi="Book Antiqua" w:cs="宋体"/>
          <w:sz w:val="24"/>
          <w:szCs w:val="24"/>
          <w:lang w:val="en-US" w:eastAsia="zh-CN"/>
        </w:rPr>
        <w:t>, Bertolotto M, Cioffi V, Rossi A, Baratella E, Pizzolato R, Cov MA. Comparison of contrast-enhanced sonography with unenhanced sonography and contrast-enhanced CT in the diagnosis of malignancy in complex cystic renal masses. </w:t>
      </w:r>
      <w:r w:rsidRPr="003B59D9">
        <w:rPr>
          <w:rFonts w:ascii="Book Antiqua" w:hAnsi="Book Antiqua" w:cs="宋体"/>
          <w:i/>
          <w:iCs/>
          <w:sz w:val="24"/>
          <w:szCs w:val="24"/>
          <w:lang w:val="en-US" w:eastAsia="zh-CN"/>
        </w:rPr>
        <w:t>AJR Am J Roentgenol</w:t>
      </w:r>
      <w:r w:rsidRPr="003B59D9">
        <w:rPr>
          <w:rFonts w:ascii="Book Antiqua" w:hAnsi="Book Antiqua" w:cs="宋体"/>
          <w:sz w:val="24"/>
          <w:szCs w:val="24"/>
          <w:lang w:val="en-US" w:eastAsia="zh-CN"/>
        </w:rPr>
        <w:t> 2008; </w:t>
      </w:r>
      <w:r w:rsidRPr="003B59D9">
        <w:rPr>
          <w:rFonts w:ascii="Book Antiqua" w:hAnsi="Book Antiqua" w:cs="宋体"/>
          <w:b/>
          <w:bCs/>
          <w:sz w:val="24"/>
          <w:szCs w:val="24"/>
          <w:lang w:val="en-US" w:eastAsia="zh-CN"/>
        </w:rPr>
        <w:t>191</w:t>
      </w:r>
      <w:r w:rsidRPr="003B59D9">
        <w:rPr>
          <w:rFonts w:ascii="Book Antiqua" w:hAnsi="Book Antiqua" w:cs="宋体"/>
          <w:sz w:val="24"/>
          <w:szCs w:val="24"/>
          <w:lang w:val="en-US" w:eastAsia="zh-CN"/>
        </w:rPr>
        <w:t>: 1239-1249 [PMID: 18806171 DOI: 10.2214/AJR.07.3546]</w:t>
      </w:r>
    </w:p>
    <w:p w14:paraId="66973521"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15 </w:t>
      </w:r>
      <w:r w:rsidRPr="003B59D9">
        <w:rPr>
          <w:rFonts w:ascii="Book Antiqua" w:hAnsi="Book Antiqua" w:cs="宋体"/>
          <w:b/>
          <w:bCs/>
          <w:sz w:val="24"/>
          <w:szCs w:val="24"/>
          <w:lang w:val="en-US" w:eastAsia="zh-CN"/>
        </w:rPr>
        <w:t>Levey AS</w:t>
      </w:r>
      <w:r w:rsidRPr="003B59D9">
        <w:rPr>
          <w:rFonts w:ascii="Book Antiqua" w:hAnsi="Book Antiqua" w:cs="宋体"/>
          <w:sz w:val="24"/>
          <w:szCs w:val="24"/>
          <w:lang w:val="en-US" w:eastAsia="zh-CN"/>
        </w:rPr>
        <w:t>, Stevens LA, Schmid CH, Zhang YL, Castro AF, Feldman HI, Kusek JW, Eggers P, Van Lente F, Greene T, Coresh J. A new equation to estimate glomerular filtration rate. </w:t>
      </w:r>
      <w:r w:rsidRPr="003B59D9">
        <w:rPr>
          <w:rFonts w:ascii="Book Antiqua" w:hAnsi="Book Antiqua" w:cs="宋体"/>
          <w:i/>
          <w:iCs/>
          <w:sz w:val="24"/>
          <w:szCs w:val="24"/>
          <w:lang w:val="en-US" w:eastAsia="zh-CN"/>
        </w:rPr>
        <w:t>Ann Intern Med</w:t>
      </w:r>
      <w:r w:rsidRPr="003B59D9">
        <w:rPr>
          <w:rFonts w:ascii="Book Antiqua" w:hAnsi="Book Antiqua" w:cs="宋体"/>
          <w:sz w:val="24"/>
          <w:szCs w:val="24"/>
          <w:lang w:val="en-US" w:eastAsia="zh-CN"/>
        </w:rPr>
        <w:t> 2009; </w:t>
      </w:r>
      <w:r w:rsidRPr="003B59D9">
        <w:rPr>
          <w:rFonts w:ascii="Book Antiqua" w:hAnsi="Book Antiqua" w:cs="宋体"/>
          <w:b/>
          <w:bCs/>
          <w:sz w:val="24"/>
          <w:szCs w:val="24"/>
          <w:lang w:val="en-US" w:eastAsia="zh-CN"/>
        </w:rPr>
        <w:t>150</w:t>
      </w:r>
      <w:r w:rsidRPr="003B59D9">
        <w:rPr>
          <w:rFonts w:ascii="Book Antiqua" w:hAnsi="Book Antiqua" w:cs="宋体"/>
          <w:sz w:val="24"/>
          <w:szCs w:val="24"/>
          <w:lang w:val="en-US" w:eastAsia="zh-CN"/>
        </w:rPr>
        <w:t>: 604-612 [PMID: 19414839]</w:t>
      </w:r>
    </w:p>
    <w:p w14:paraId="51DE2DCC"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16 </w:t>
      </w:r>
      <w:r w:rsidRPr="003B59D9">
        <w:rPr>
          <w:rFonts w:ascii="Book Antiqua" w:hAnsi="Book Antiqua" w:cs="宋体"/>
          <w:b/>
          <w:bCs/>
          <w:sz w:val="24"/>
          <w:szCs w:val="24"/>
          <w:lang w:val="en-US" w:eastAsia="zh-CN"/>
        </w:rPr>
        <w:t>Levey AS</w:t>
      </w:r>
      <w:r w:rsidRPr="003B59D9">
        <w:rPr>
          <w:rFonts w:ascii="Book Antiqua" w:hAnsi="Book Antiqua" w:cs="宋体"/>
          <w:sz w:val="24"/>
          <w:szCs w:val="24"/>
          <w:lang w:val="en-US" w:eastAsia="zh-CN"/>
        </w:rPr>
        <w:t>, Eckardt KU, Tsukamoto Y, Levin A, Coresh J, Rossert J, De Zeeuw D, Hostetter TH, Lameire N, Eknoyan G. Definition and classification of chronic kidney disease: a position statement from Kidney Disease: Improving Global Outcomes (KDIGO). </w:t>
      </w:r>
      <w:r w:rsidRPr="003B59D9">
        <w:rPr>
          <w:rFonts w:ascii="Book Antiqua" w:hAnsi="Book Antiqua" w:cs="宋体"/>
          <w:i/>
          <w:iCs/>
          <w:sz w:val="24"/>
          <w:szCs w:val="24"/>
          <w:lang w:val="en-US" w:eastAsia="zh-CN"/>
        </w:rPr>
        <w:t>Kidney Int</w:t>
      </w:r>
      <w:r w:rsidRPr="003B59D9">
        <w:rPr>
          <w:rFonts w:ascii="Book Antiqua" w:hAnsi="Book Antiqua" w:cs="宋体"/>
          <w:sz w:val="24"/>
          <w:szCs w:val="24"/>
          <w:lang w:val="en-US" w:eastAsia="zh-CN"/>
        </w:rPr>
        <w:t> 2005; </w:t>
      </w:r>
      <w:r w:rsidRPr="003B59D9">
        <w:rPr>
          <w:rFonts w:ascii="Book Antiqua" w:hAnsi="Book Antiqua" w:cs="宋体"/>
          <w:b/>
          <w:bCs/>
          <w:sz w:val="24"/>
          <w:szCs w:val="24"/>
          <w:lang w:val="en-US" w:eastAsia="zh-CN"/>
        </w:rPr>
        <w:t>67</w:t>
      </w:r>
      <w:r w:rsidRPr="003B59D9">
        <w:rPr>
          <w:rFonts w:ascii="Book Antiqua" w:hAnsi="Book Antiqua" w:cs="宋体"/>
          <w:sz w:val="24"/>
          <w:szCs w:val="24"/>
          <w:lang w:val="en-US" w:eastAsia="zh-CN"/>
        </w:rPr>
        <w:t>: 2089-2100 [PMID: 15882252 DOI: 10.1111/j.1523-1755.2005.00365.x]</w:t>
      </w:r>
    </w:p>
    <w:p w14:paraId="538FB9C9"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17</w:t>
      </w:r>
      <w:r w:rsidRPr="003B59D9">
        <w:rPr>
          <w:rFonts w:ascii="Book Antiqua" w:hAnsi="Book Antiqua" w:cs="宋体" w:hint="eastAsia"/>
          <w:sz w:val="24"/>
          <w:szCs w:val="24"/>
          <w:lang w:val="en-US" w:eastAsia="zh-CN"/>
        </w:rPr>
        <w:t xml:space="preserve"> </w:t>
      </w:r>
      <w:r w:rsidRPr="003B59D9">
        <w:rPr>
          <w:rFonts w:ascii="Book Antiqua" w:hAnsi="Book Antiqua" w:cs="宋体"/>
          <w:b/>
          <w:sz w:val="24"/>
          <w:szCs w:val="24"/>
          <w:lang w:val="en-US" w:eastAsia="zh-CN"/>
        </w:rPr>
        <w:t>KDIGO Clinical Practice Guideline for Acute Kidney Injury</w:t>
      </w:r>
      <w:r w:rsidRPr="003B59D9">
        <w:rPr>
          <w:rFonts w:ascii="Book Antiqua" w:hAnsi="Book Antiqua" w:cs="宋体"/>
          <w:sz w:val="24"/>
          <w:szCs w:val="24"/>
          <w:lang w:val="en-US" w:eastAsia="zh-CN"/>
        </w:rPr>
        <w:t xml:space="preserve">. </w:t>
      </w:r>
      <w:r w:rsidRPr="003B59D9">
        <w:rPr>
          <w:rFonts w:ascii="Book Antiqua" w:hAnsi="Book Antiqua" w:cs="宋体"/>
          <w:i/>
          <w:sz w:val="24"/>
          <w:szCs w:val="24"/>
          <w:lang w:val="en-US" w:eastAsia="zh-CN"/>
        </w:rPr>
        <w:t>Kidney International Supplements</w:t>
      </w:r>
      <w:r w:rsidRPr="003B59D9">
        <w:rPr>
          <w:rFonts w:ascii="Book Antiqua" w:hAnsi="Book Antiqua" w:cs="宋体"/>
          <w:sz w:val="24"/>
          <w:szCs w:val="24"/>
          <w:lang w:val="en-US" w:eastAsia="zh-CN"/>
        </w:rPr>
        <w:t xml:space="preserve"> 2012; </w:t>
      </w:r>
      <w:r w:rsidRPr="003B59D9">
        <w:rPr>
          <w:rFonts w:ascii="Book Antiqua" w:hAnsi="Book Antiqua" w:cs="宋体"/>
          <w:b/>
          <w:sz w:val="24"/>
          <w:szCs w:val="24"/>
          <w:lang w:val="en-US" w:eastAsia="zh-CN"/>
        </w:rPr>
        <w:t>2</w:t>
      </w:r>
      <w:r w:rsidRPr="003B59D9">
        <w:rPr>
          <w:rFonts w:ascii="Book Antiqua" w:hAnsi="Book Antiqua" w:cs="宋体"/>
          <w:sz w:val="24"/>
          <w:szCs w:val="24"/>
          <w:lang w:val="en-US" w:eastAsia="zh-CN"/>
        </w:rPr>
        <w:t>: 8-12 [DOI: 10.1038/kisup.2012.7]</w:t>
      </w:r>
    </w:p>
    <w:p w14:paraId="4BD72338"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18 </w:t>
      </w:r>
      <w:r w:rsidRPr="003B59D9">
        <w:rPr>
          <w:rFonts w:ascii="Book Antiqua" w:hAnsi="Book Antiqua" w:cs="宋体"/>
          <w:b/>
          <w:bCs/>
          <w:sz w:val="24"/>
          <w:szCs w:val="24"/>
          <w:lang w:val="en-US" w:eastAsia="zh-CN"/>
        </w:rPr>
        <w:t>Levey AS</w:t>
      </w:r>
      <w:r w:rsidRPr="003B59D9">
        <w:rPr>
          <w:rFonts w:ascii="Book Antiqua" w:hAnsi="Book Antiqua" w:cs="宋体"/>
          <w:sz w:val="24"/>
          <w:szCs w:val="24"/>
          <w:lang w:val="en-US" w:eastAsia="zh-CN"/>
        </w:rPr>
        <w:t>, Coresh J, Balk E, Kausz AT, Levin A, Steffes MW, Hogg RJ, Perrone RD, Lau J, Eknoyan G. National Kidney Foundation practice guidelines for chronic kidney disease: evaluation, classification, and stratification. </w:t>
      </w:r>
      <w:r w:rsidRPr="003B59D9">
        <w:rPr>
          <w:rFonts w:ascii="Book Antiqua" w:hAnsi="Book Antiqua" w:cs="宋体"/>
          <w:i/>
          <w:iCs/>
          <w:sz w:val="24"/>
          <w:szCs w:val="24"/>
          <w:lang w:val="en-US" w:eastAsia="zh-CN"/>
        </w:rPr>
        <w:t>Ann Intern Med</w:t>
      </w:r>
      <w:r w:rsidRPr="003B59D9">
        <w:rPr>
          <w:rFonts w:ascii="Book Antiqua" w:hAnsi="Book Antiqua" w:cs="宋体"/>
          <w:sz w:val="24"/>
          <w:szCs w:val="24"/>
          <w:lang w:val="en-US" w:eastAsia="zh-CN"/>
        </w:rPr>
        <w:t> 2003; </w:t>
      </w:r>
      <w:r w:rsidRPr="003B59D9">
        <w:rPr>
          <w:rFonts w:ascii="Book Antiqua" w:hAnsi="Book Antiqua" w:cs="宋体"/>
          <w:b/>
          <w:bCs/>
          <w:sz w:val="24"/>
          <w:szCs w:val="24"/>
          <w:lang w:val="en-US" w:eastAsia="zh-CN"/>
        </w:rPr>
        <w:t>139</w:t>
      </w:r>
      <w:r w:rsidRPr="003B59D9">
        <w:rPr>
          <w:rFonts w:ascii="Book Antiqua" w:hAnsi="Book Antiqua" w:cs="宋体"/>
          <w:sz w:val="24"/>
          <w:szCs w:val="24"/>
          <w:lang w:val="en-US" w:eastAsia="zh-CN"/>
        </w:rPr>
        <w:t>: 137-147 [PMID: 12859163 DOI: 10.7326/0003-4819-139-2-200307150-00013]</w:t>
      </w:r>
    </w:p>
    <w:p w14:paraId="176EF4F6"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lastRenderedPageBreak/>
        <w:t>19 </w:t>
      </w:r>
      <w:r w:rsidRPr="003B59D9">
        <w:rPr>
          <w:rFonts w:ascii="Book Antiqua" w:hAnsi="Book Antiqua" w:cs="宋体"/>
          <w:b/>
          <w:bCs/>
          <w:sz w:val="24"/>
          <w:szCs w:val="24"/>
          <w:lang w:val="en-US" w:eastAsia="zh-CN"/>
        </w:rPr>
        <w:t>Hélénon O</w:t>
      </w:r>
      <w:r w:rsidRPr="003B59D9">
        <w:rPr>
          <w:rFonts w:ascii="Book Antiqua" w:hAnsi="Book Antiqua" w:cs="宋体"/>
          <w:sz w:val="24"/>
          <w:szCs w:val="24"/>
          <w:lang w:val="en-US" w:eastAsia="zh-CN"/>
        </w:rPr>
        <w:t>, el Rody F, Correas JM, Melki P, Chauveau D, Chrétien Y, Moreau JF. Color Doppler US of renovascular disease in native kidneys. </w:t>
      </w:r>
      <w:r w:rsidRPr="003B59D9">
        <w:rPr>
          <w:rFonts w:ascii="Book Antiqua" w:hAnsi="Book Antiqua" w:cs="宋体"/>
          <w:i/>
          <w:iCs/>
          <w:sz w:val="24"/>
          <w:szCs w:val="24"/>
          <w:lang w:val="en-US" w:eastAsia="zh-CN"/>
        </w:rPr>
        <w:t>Radiographics</w:t>
      </w:r>
      <w:r w:rsidRPr="003B59D9">
        <w:rPr>
          <w:rFonts w:ascii="Book Antiqua" w:hAnsi="Book Antiqua" w:cs="宋体"/>
          <w:sz w:val="24"/>
          <w:szCs w:val="24"/>
          <w:lang w:val="en-US" w:eastAsia="zh-CN"/>
        </w:rPr>
        <w:t> 1995; </w:t>
      </w:r>
      <w:r w:rsidRPr="003B59D9">
        <w:rPr>
          <w:rFonts w:ascii="Book Antiqua" w:hAnsi="Book Antiqua" w:cs="宋体"/>
          <w:b/>
          <w:bCs/>
          <w:sz w:val="24"/>
          <w:szCs w:val="24"/>
          <w:lang w:val="en-US" w:eastAsia="zh-CN"/>
        </w:rPr>
        <w:t>15</w:t>
      </w:r>
      <w:r w:rsidRPr="003B59D9">
        <w:rPr>
          <w:rFonts w:ascii="Book Antiqua" w:hAnsi="Book Antiqua" w:cs="宋体"/>
          <w:sz w:val="24"/>
          <w:szCs w:val="24"/>
          <w:lang w:val="en-US" w:eastAsia="zh-CN"/>
        </w:rPr>
        <w:t>: 833-54; discussion 854-65 [PMID: 7569132 DOI: 10.1148/radiographics.15.4.7569132]</w:t>
      </w:r>
    </w:p>
    <w:p w14:paraId="16B83E23"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20 </w:t>
      </w:r>
      <w:r w:rsidRPr="003B59D9">
        <w:rPr>
          <w:rFonts w:ascii="Book Antiqua" w:hAnsi="Book Antiqua" w:cs="宋体"/>
          <w:b/>
          <w:bCs/>
          <w:sz w:val="24"/>
          <w:szCs w:val="24"/>
          <w:lang w:val="en-US" w:eastAsia="zh-CN"/>
        </w:rPr>
        <w:t>Tamai H</w:t>
      </w:r>
      <w:r w:rsidRPr="003B59D9">
        <w:rPr>
          <w:rFonts w:ascii="Book Antiqua" w:hAnsi="Book Antiqua" w:cs="宋体"/>
          <w:sz w:val="24"/>
          <w:szCs w:val="24"/>
          <w:lang w:val="en-US" w:eastAsia="zh-CN"/>
        </w:rPr>
        <w:t>, Takiguchi Y, Oka M, Shingaki N, Enomoto S, Shiraki T, Furuta M, Inoue I, Iguchi M, Yanaoka K, Arii K, Shimizu Y, Nakata H, Shinka T, Sanke T, Ichinose M. Contrast-enhanced ultrasonography in the diagnosis of solid renal tumors. </w:t>
      </w:r>
      <w:r w:rsidRPr="003B59D9">
        <w:rPr>
          <w:rFonts w:ascii="Book Antiqua" w:hAnsi="Book Antiqua" w:cs="宋体"/>
          <w:i/>
          <w:iCs/>
          <w:sz w:val="24"/>
          <w:szCs w:val="24"/>
          <w:lang w:val="en-US" w:eastAsia="zh-CN"/>
        </w:rPr>
        <w:t>J Ultrasound Med</w:t>
      </w:r>
      <w:r w:rsidRPr="003B59D9">
        <w:rPr>
          <w:rFonts w:ascii="Book Antiqua" w:hAnsi="Book Antiqua" w:cs="宋体"/>
          <w:sz w:val="24"/>
          <w:szCs w:val="24"/>
          <w:lang w:val="en-US" w:eastAsia="zh-CN"/>
        </w:rPr>
        <w:t> 2005; </w:t>
      </w:r>
      <w:r w:rsidRPr="003B59D9">
        <w:rPr>
          <w:rFonts w:ascii="Book Antiqua" w:hAnsi="Book Antiqua" w:cs="宋体"/>
          <w:b/>
          <w:bCs/>
          <w:sz w:val="24"/>
          <w:szCs w:val="24"/>
          <w:lang w:val="en-US" w:eastAsia="zh-CN"/>
        </w:rPr>
        <w:t>24</w:t>
      </w:r>
      <w:r w:rsidRPr="003B59D9">
        <w:rPr>
          <w:rFonts w:ascii="Book Antiqua" w:hAnsi="Book Antiqua" w:cs="宋体"/>
          <w:sz w:val="24"/>
          <w:szCs w:val="24"/>
          <w:lang w:val="en-US" w:eastAsia="zh-CN"/>
        </w:rPr>
        <w:t>: 1635-1640 [PMID: 16301719]</w:t>
      </w:r>
    </w:p>
    <w:p w14:paraId="3534841B"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r w:rsidRPr="003B59D9">
        <w:rPr>
          <w:rFonts w:ascii="Book Antiqua" w:hAnsi="Book Antiqua" w:cs="宋体"/>
          <w:sz w:val="24"/>
          <w:szCs w:val="24"/>
          <w:lang w:val="en-US" w:eastAsia="zh-CN"/>
        </w:rPr>
        <w:t>21 </w:t>
      </w:r>
      <w:r w:rsidRPr="003B59D9">
        <w:rPr>
          <w:rFonts w:ascii="Book Antiqua" w:hAnsi="Book Antiqua" w:cs="宋体"/>
          <w:b/>
          <w:bCs/>
          <w:sz w:val="24"/>
          <w:szCs w:val="24"/>
          <w:lang w:val="en-US" w:eastAsia="zh-CN"/>
        </w:rPr>
        <w:t>Mazziotti S</w:t>
      </w:r>
      <w:r w:rsidRPr="003B59D9">
        <w:rPr>
          <w:rFonts w:ascii="Book Antiqua" w:hAnsi="Book Antiqua" w:cs="宋体"/>
          <w:sz w:val="24"/>
          <w:szCs w:val="24"/>
          <w:lang w:val="en-US" w:eastAsia="zh-CN"/>
        </w:rPr>
        <w:t>, Zimbaro F, Pandolfo A, Racchiusa S, Settineri N, Ascenti G. Usefulness of contrast-enhanced ultrasonography in the diagnosis of renal pseudotumors. </w:t>
      </w:r>
      <w:r w:rsidRPr="003B59D9">
        <w:rPr>
          <w:rFonts w:ascii="Book Antiqua" w:hAnsi="Book Antiqua" w:cs="宋体"/>
          <w:i/>
          <w:iCs/>
          <w:sz w:val="24"/>
          <w:szCs w:val="24"/>
          <w:lang w:val="en-US" w:eastAsia="zh-CN"/>
        </w:rPr>
        <w:t>Abdom Imaging</w:t>
      </w:r>
      <w:r w:rsidRPr="003B59D9">
        <w:rPr>
          <w:rFonts w:ascii="Book Antiqua" w:hAnsi="Book Antiqua" w:cs="宋体"/>
          <w:sz w:val="24"/>
          <w:szCs w:val="24"/>
          <w:lang w:val="en-US" w:eastAsia="zh-CN"/>
        </w:rPr>
        <w:t> 2010; </w:t>
      </w:r>
      <w:r w:rsidRPr="003B59D9">
        <w:rPr>
          <w:rFonts w:ascii="Book Antiqua" w:hAnsi="Book Antiqua" w:cs="宋体"/>
          <w:b/>
          <w:bCs/>
          <w:sz w:val="24"/>
          <w:szCs w:val="24"/>
          <w:lang w:val="en-US" w:eastAsia="zh-CN"/>
        </w:rPr>
        <w:t>35</w:t>
      </w:r>
      <w:r w:rsidRPr="003B59D9">
        <w:rPr>
          <w:rFonts w:ascii="Book Antiqua" w:hAnsi="Book Antiqua" w:cs="宋体"/>
          <w:sz w:val="24"/>
          <w:szCs w:val="24"/>
          <w:lang w:val="en-US" w:eastAsia="zh-CN"/>
        </w:rPr>
        <w:t>: 241-245 [PMID: 19194642 DOI: 10.1007/s00261-008-9499-y]</w:t>
      </w:r>
    </w:p>
    <w:p w14:paraId="3ABCCCE9" w14:textId="77777777" w:rsidR="003B59D9" w:rsidRPr="003B59D9" w:rsidRDefault="003B59D9" w:rsidP="003B59D9">
      <w:pPr>
        <w:tabs>
          <w:tab w:val="left" w:pos="5805"/>
        </w:tabs>
        <w:spacing w:after="0" w:line="360" w:lineRule="auto"/>
        <w:jc w:val="both"/>
        <w:rPr>
          <w:rFonts w:ascii="Book Antiqua" w:hAnsi="Book Antiqua" w:cs="宋体"/>
          <w:sz w:val="24"/>
          <w:szCs w:val="24"/>
          <w:lang w:val="en-US" w:eastAsia="zh-CN"/>
        </w:rPr>
      </w:pPr>
    </w:p>
    <w:p w14:paraId="780DDCF5" w14:textId="77777777" w:rsidR="003B59D9" w:rsidRPr="003B59D9" w:rsidRDefault="003B59D9" w:rsidP="003B59D9">
      <w:pPr>
        <w:widowControl w:val="0"/>
        <w:wordWrap w:val="0"/>
        <w:spacing w:after="0" w:line="360" w:lineRule="auto"/>
        <w:jc w:val="right"/>
        <w:rPr>
          <w:rFonts w:ascii="Book Antiqua" w:hAnsi="Book Antiqua" w:cs="Courier New"/>
          <w:b/>
          <w:kern w:val="2"/>
          <w:sz w:val="24"/>
          <w:szCs w:val="24"/>
          <w:lang w:val="en-US" w:eastAsia="zh-CN"/>
        </w:rPr>
      </w:pPr>
      <w:r w:rsidRPr="003B59D9">
        <w:rPr>
          <w:rFonts w:ascii="Book Antiqua" w:hAnsi="Book Antiqua" w:cs="Courier New"/>
          <w:b/>
          <w:kern w:val="2"/>
          <w:sz w:val="24"/>
          <w:szCs w:val="24"/>
          <w:lang w:val="en-US" w:eastAsia="zh-CN"/>
        </w:rPr>
        <w:t>P-Reviewer:</w:t>
      </w:r>
      <w:r w:rsidRPr="003B59D9">
        <w:rPr>
          <w:rFonts w:ascii="Book Antiqua" w:hAnsi="Book Antiqua" w:cs="Courier New"/>
          <w:kern w:val="2"/>
          <w:sz w:val="24"/>
          <w:szCs w:val="24"/>
          <w:lang w:val="en-US" w:eastAsia="zh-CN"/>
        </w:rPr>
        <w:t xml:space="preserve"> Abou El-Ghar</w:t>
      </w:r>
      <w:r w:rsidRPr="003B59D9">
        <w:rPr>
          <w:rFonts w:ascii="Book Antiqua" w:hAnsi="Book Antiqua" w:cs="Courier New" w:hint="eastAsia"/>
          <w:kern w:val="2"/>
          <w:sz w:val="24"/>
          <w:szCs w:val="24"/>
          <w:lang w:val="en-US" w:eastAsia="zh-CN"/>
        </w:rPr>
        <w:t xml:space="preserve"> M, </w:t>
      </w:r>
      <w:r w:rsidRPr="003B59D9">
        <w:rPr>
          <w:rFonts w:ascii="Book Antiqua" w:hAnsi="Book Antiqua" w:cs="Courier New"/>
          <w:kern w:val="2"/>
          <w:sz w:val="24"/>
          <w:szCs w:val="24"/>
          <w:lang w:val="en-US" w:eastAsia="zh-CN"/>
        </w:rPr>
        <w:t>Markic</w:t>
      </w:r>
      <w:r w:rsidRPr="003B59D9">
        <w:rPr>
          <w:rFonts w:ascii="Book Antiqua" w:hAnsi="Book Antiqua" w:cs="Courier New" w:hint="eastAsia"/>
          <w:kern w:val="2"/>
          <w:sz w:val="24"/>
          <w:szCs w:val="24"/>
          <w:lang w:val="en-US" w:eastAsia="zh-CN"/>
        </w:rPr>
        <w:t xml:space="preserve"> D, </w:t>
      </w:r>
      <w:r w:rsidRPr="003B59D9">
        <w:rPr>
          <w:rFonts w:ascii="Book Antiqua" w:hAnsi="Book Antiqua" w:cs="Courier New"/>
          <w:kern w:val="2"/>
          <w:sz w:val="24"/>
          <w:szCs w:val="24"/>
          <w:lang w:val="en-US" w:eastAsia="zh-CN"/>
        </w:rPr>
        <w:t>Salvi</w:t>
      </w:r>
      <w:r w:rsidRPr="003B59D9">
        <w:rPr>
          <w:rFonts w:ascii="Book Antiqua" w:hAnsi="Book Antiqua" w:cs="Courier New" w:hint="eastAsia"/>
          <w:kern w:val="2"/>
          <w:sz w:val="24"/>
          <w:szCs w:val="24"/>
          <w:lang w:val="en-US" w:eastAsia="zh-CN"/>
        </w:rPr>
        <w:t xml:space="preserve"> PF, </w:t>
      </w:r>
      <w:r w:rsidRPr="003B59D9">
        <w:rPr>
          <w:rFonts w:ascii="Book Antiqua" w:hAnsi="Book Antiqua" w:cs="Courier New"/>
          <w:kern w:val="2"/>
          <w:sz w:val="24"/>
          <w:szCs w:val="24"/>
          <w:lang w:val="en-US" w:eastAsia="zh-CN"/>
        </w:rPr>
        <w:t>Scarpioni</w:t>
      </w:r>
      <w:r w:rsidRPr="003B59D9">
        <w:rPr>
          <w:rFonts w:ascii="Book Antiqua" w:hAnsi="Book Antiqua" w:cs="Courier New" w:hint="eastAsia"/>
          <w:kern w:val="2"/>
          <w:sz w:val="24"/>
          <w:szCs w:val="24"/>
          <w:lang w:val="en-US" w:eastAsia="zh-CN"/>
        </w:rPr>
        <w:t xml:space="preserve"> R, </w:t>
      </w:r>
      <w:r w:rsidRPr="003B59D9">
        <w:rPr>
          <w:rFonts w:ascii="Book Antiqua" w:hAnsi="Book Antiqua" w:cs="Courier New"/>
          <w:kern w:val="2"/>
          <w:sz w:val="24"/>
          <w:szCs w:val="24"/>
          <w:lang w:val="en-US" w:eastAsia="zh-CN"/>
        </w:rPr>
        <w:t>Watanabe</w:t>
      </w:r>
      <w:r w:rsidRPr="003B59D9">
        <w:rPr>
          <w:rFonts w:ascii="Book Antiqua" w:hAnsi="Book Antiqua" w:cs="Courier New" w:hint="eastAsia"/>
          <w:kern w:val="2"/>
          <w:sz w:val="24"/>
          <w:szCs w:val="24"/>
          <w:lang w:val="en-US" w:eastAsia="zh-CN"/>
        </w:rPr>
        <w:t xml:space="preserve"> T</w:t>
      </w:r>
      <w:r w:rsidRPr="003B59D9">
        <w:rPr>
          <w:rFonts w:ascii="Book Antiqua" w:hAnsi="Book Antiqua" w:cs="Courier New"/>
          <w:kern w:val="2"/>
          <w:sz w:val="24"/>
          <w:szCs w:val="24"/>
          <w:lang w:val="en-US" w:eastAsia="zh-CN"/>
        </w:rPr>
        <w:t xml:space="preserve"> </w:t>
      </w:r>
      <w:r w:rsidRPr="003B59D9">
        <w:rPr>
          <w:rFonts w:ascii="Book Antiqua" w:hAnsi="Book Antiqua" w:cs="Courier New"/>
          <w:b/>
          <w:kern w:val="2"/>
          <w:sz w:val="24"/>
          <w:szCs w:val="24"/>
          <w:lang w:val="en-US" w:eastAsia="zh-CN"/>
        </w:rPr>
        <w:t xml:space="preserve">S-Editor: </w:t>
      </w:r>
      <w:r w:rsidRPr="003B59D9">
        <w:rPr>
          <w:rFonts w:ascii="Book Antiqua" w:hAnsi="Book Antiqua" w:cs="Courier New"/>
          <w:kern w:val="2"/>
          <w:sz w:val="24"/>
          <w:szCs w:val="24"/>
          <w:lang w:val="en-US" w:eastAsia="zh-CN"/>
        </w:rPr>
        <w:t>Qiu S</w:t>
      </w:r>
      <w:r w:rsidRPr="003B59D9">
        <w:rPr>
          <w:rFonts w:ascii="Book Antiqua" w:hAnsi="Book Antiqua" w:cs="Courier New"/>
          <w:b/>
          <w:kern w:val="2"/>
          <w:sz w:val="24"/>
          <w:szCs w:val="24"/>
          <w:lang w:val="en-US" w:eastAsia="zh-CN"/>
        </w:rPr>
        <w:t xml:space="preserve"> L-Editor: E-Editor:</w:t>
      </w:r>
      <w:bookmarkEnd w:id="8"/>
      <w:bookmarkEnd w:id="9"/>
      <w:bookmarkEnd w:id="10"/>
      <w:bookmarkEnd w:id="11"/>
      <w:bookmarkEnd w:id="12"/>
      <w:bookmarkEnd w:id="13"/>
    </w:p>
    <w:p w14:paraId="21411C67" w14:textId="0ECFEC97" w:rsidR="003B6C65" w:rsidRPr="00B246B6" w:rsidRDefault="009E6F26" w:rsidP="00C57CCC">
      <w:pPr>
        <w:widowControl w:val="0"/>
        <w:adjustRightInd w:val="0"/>
        <w:spacing w:after="0" w:line="360" w:lineRule="auto"/>
        <w:jc w:val="both"/>
        <w:rPr>
          <w:rFonts w:ascii="Book Antiqua" w:hAnsi="Book Antiqua" w:cs="Book Antiqua"/>
          <w:b/>
          <w:bCs/>
          <w:sz w:val="24"/>
          <w:szCs w:val="24"/>
          <w:lang w:val="en-US" w:eastAsia="zh-CN"/>
        </w:rPr>
      </w:pPr>
      <w:r w:rsidRPr="00B246B6">
        <w:rPr>
          <w:rFonts w:ascii="Book Antiqua" w:hAnsi="Book Antiqua" w:cs="Book Antiqua"/>
          <w:b/>
          <w:bCs/>
          <w:sz w:val="24"/>
          <w:szCs w:val="24"/>
          <w:lang w:val="en-US" w:eastAsia="zh-CN"/>
        </w:rPr>
        <w:t xml:space="preserve"> </w:t>
      </w:r>
    </w:p>
    <w:p w14:paraId="57913167" w14:textId="3694AA9A" w:rsidR="00F01DAD" w:rsidRPr="00B246B6" w:rsidRDefault="009E6F26" w:rsidP="00C57CCC">
      <w:pPr>
        <w:widowControl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rPr>
        <w:br w:type="page"/>
      </w:r>
      <w:r w:rsidR="009E396A">
        <w:rPr>
          <w:rFonts w:ascii="Book Antiqua" w:hAnsi="Book Antiqua" w:cs="Book Antiqua"/>
          <w:noProof/>
          <w:sz w:val="24"/>
          <w:szCs w:val="24"/>
          <w:lang w:val="en-US"/>
        </w:rPr>
        <w:lastRenderedPageBreak/>
        <w:drawing>
          <wp:inline distT="0" distB="0" distL="0" distR="0" wp14:anchorId="46CEABF5" wp14:editId="64A20487">
            <wp:extent cx="2767330" cy="2456815"/>
            <wp:effectExtent l="0" t="0" r="1270" b="6985"/>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30" cy="2456815"/>
                    </a:xfrm>
                    <a:prstGeom prst="rect">
                      <a:avLst/>
                    </a:prstGeom>
                    <a:noFill/>
                    <a:ln>
                      <a:noFill/>
                    </a:ln>
                  </pic:spPr>
                </pic:pic>
              </a:graphicData>
            </a:graphic>
          </wp:inline>
        </w:drawing>
      </w:r>
      <w:r w:rsidR="00F01DAD" w:rsidRPr="00B246B6">
        <w:rPr>
          <w:rFonts w:ascii="Book Antiqua" w:hAnsi="Book Antiqua" w:cs="Book Antiqua"/>
          <w:sz w:val="24"/>
          <w:szCs w:val="24"/>
          <w:lang w:val="en-US"/>
        </w:rPr>
        <w:t xml:space="preserve"> </w:t>
      </w:r>
    </w:p>
    <w:p w14:paraId="59EB4F6B" w14:textId="34376069" w:rsidR="007E7A83" w:rsidRPr="00B246B6" w:rsidRDefault="00B96177"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sz w:val="24"/>
          <w:szCs w:val="24"/>
          <w:lang w:val="en-US"/>
        </w:rPr>
        <w:t>Fig</w:t>
      </w:r>
      <w:r w:rsidRPr="00B246B6">
        <w:rPr>
          <w:rFonts w:ascii="Book Antiqua" w:hAnsi="Book Antiqua" w:cs="Book Antiqua"/>
          <w:b/>
          <w:sz w:val="24"/>
          <w:szCs w:val="24"/>
          <w:lang w:val="en-US" w:eastAsia="zh-CN"/>
        </w:rPr>
        <w:t>ure</w:t>
      </w:r>
      <w:r w:rsidR="003B6C65" w:rsidRPr="00B246B6">
        <w:rPr>
          <w:rFonts w:ascii="Book Antiqua" w:hAnsi="Book Antiqua" w:cs="Book Antiqua"/>
          <w:b/>
          <w:bCs/>
          <w:sz w:val="24"/>
          <w:szCs w:val="24"/>
          <w:lang w:val="en-US"/>
        </w:rPr>
        <w:t xml:space="preserve"> 1</w:t>
      </w:r>
      <w:r w:rsidR="001E6638" w:rsidRPr="00B246B6">
        <w:rPr>
          <w:rFonts w:ascii="Book Antiqua" w:hAnsi="Book Antiqua" w:cs="Book Antiqua"/>
          <w:b/>
          <w:bCs/>
          <w:sz w:val="24"/>
          <w:szCs w:val="24"/>
          <w:lang w:val="en-US" w:eastAsia="zh-CN"/>
        </w:rPr>
        <w:t xml:space="preserve"> </w:t>
      </w:r>
      <w:r w:rsidR="003B6C65" w:rsidRPr="00B246B6">
        <w:rPr>
          <w:rFonts w:ascii="Book Antiqua" w:hAnsi="Book Antiqua" w:cs="Book Antiqua"/>
          <w:b/>
          <w:sz w:val="24"/>
          <w:szCs w:val="24"/>
          <w:lang w:val="en-US"/>
        </w:rPr>
        <w:t xml:space="preserve">Patient with </w:t>
      </w:r>
      <w:r w:rsidR="000D4240" w:rsidRPr="00B246B6">
        <w:rPr>
          <w:rFonts w:ascii="Book Antiqua" w:hAnsi="Book Antiqua" w:cs="Book Antiqua"/>
          <w:b/>
          <w:sz w:val="24"/>
          <w:szCs w:val="24"/>
          <w:lang w:val="en-US"/>
        </w:rPr>
        <w:t>solitary</w:t>
      </w:r>
      <w:r w:rsidR="003B6C65" w:rsidRPr="00B246B6">
        <w:rPr>
          <w:rFonts w:ascii="Book Antiqua" w:hAnsi="Book Antiqua" w:cs="Book Antiqua"/>
          <w:b/>
          <w:sz w:val="24"/>
          <w:szCs w:val="24"/>
          <w:lang w:val="en-US"/>
        </w:rPr>
        <w:t xml:space="preserve"> kidney developing </w:t>
      </w:r>
      <w:r w:rsidR="00547FDE" w:rsidRPr="00B246B6">
        <w:rPr>
          <w:rFonts w:ascii="Book Antiqua" w:hAnsi="Book Antiqua" w:cs="Book Antiqua"/>
          <w:b/>
          <w:sz w:val="24"/>
          <w:szCs w:val="24"/>
          <w:lang w:val="en-GB"/>
        </w:rPr>
        <w:t>acute renal failure</w:t>
      </w:r>
      <w:r w:rsidR="003B6C65" w:rsidRPr="00B246B6">
        <w:rPr>
          <w:rFonts w:ascii="Book Antiqua" w:hAnsi="Book Antiqua" w:cs="Book Antiqua"/>
          <w:b/>
          <w:sz w:val="24"/>
          <w:szCs w:val="24"/>
          <w:lang w:val="en-US"/>
        </w:rPr>
        <w:t xml:space="preserve">. </w:t>
      </w:r>
      <w:r w:rsidR="00214654" w:rsidRPr="00B246B6">
        <w:rPr>
          <w:rFonts w:ascii="Book Antiqua" w:hAnsi="Book Antiqua" w:cs="Book Antiqua"/>
          <w:sz w:val="24"/>
          <w:szCs w:val="24"/>
          <w:lang w:val="en-GB"/>
        </w:rPr>
        <w:t>Contrast enhanced 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multiple renal infarctions (curved ar</w:t>
      </w:r>
      <w:r w:rsidR="000D4240" w:rsidRPr="00B246B6">
        <w:rPr>
          <w:rFonts w:ascii="Book Antiqua" w:hAnsi="Book Antiqua" w:cs="Book Antiqua"/>
          <w:sz w:val="24"/>
          <w:szCs w:val="24"/>
          <w:lang w:val="en-US"/>
        </w:rPr>
        <w:t>rows) involving a large portion</w:t>
      </w:r>
      <w:r w:rsidR="003B6C65" w:rsidRPr="00B246B6">
        <w:rPr>
          <w:rFonts w:ascii="Book Antiqua" w:hAnsi="Book Antiqua" w:cs="Book Antiqua"/>
          <w:sz w:val="24"/>
          <w:szCs w:val="24"/>
          <w:lang w:val="en-US"/>
        </w:rPr>
        <w:t xml:space="preserve"> of the parenchyma.</w:t>
      </w:r>
    </w:p>
    <w:p w14:paraId="43ABE32F" w14:textId="77777777" w:rsidR="003B6C65" w:rsidRPr="00B246B6" w:rsidRDefault="007E7A83" w:rsidP="00C57CCC">
      <w:pPr>
        <w:widowControl w:val="0"/>
        <w:adjustRightInd w:val="0"/>
        <w:spacing w:after="0" w:line="360" w:lineRule="auto"/>
        <w:jc w:val="both"/>
        <w:rPr>
          <w:rFonts w:ascii="Book Antiqua" w:hAnsi="Book Antiqua" w:cs="Book Antiqua"/>
          <w:b/>
          <w:sz w:val="24"/>
          <w:szCs w:val="24"/>
          <w:lang w:val="en-US"/>
        </w:rPr>
      </w:pPr>
      <w:r w:rsidRPr="00B246B6">
        <w:rPr>
          <w:rFonts w:ascii="Book Antiqua" w:hAnsi="Book Antiqua" w:cs="Book Antiqua"/>
          <w:sz w:val="24"/>
          <w:szCs w:val="24"/>
          <w:lang w:val="en-US"/>
        </w:rPr>
        <w:br w:type="page"/>
      </w:r>
    </w:p>
    <w:p w14:paraId="312FE682" w14:textId="41A57EC6" w:rsidR="00D316B6" w:rsidRPr="00B246B6" w:rsidRDefault="009E396A" w:rsidP="00C57CCC">
      <w:pPr>
        <w:widowControl w:val="0"/>
        <w:adjustRightInd w:val="0"/>
        <w:spacing w:after="0" w:line="360" w:lineRule="auto"/>
        <w:jc w:val="both"/>
        <w:rPr>
          <w:rFonts w:ascii="Book Antiqua" w:hAnsi="Book Antiqua" w:cs="Book Antiqua"/>
          <w:b/>
          <w:sz w:val="24"/>
          <w:szCs w:val="24"/>
          <w:lang w:val="en-US" w:eastAsia="zh-CN"/>
        </w:rPr>
      </w:pPr>
      <w:r>
        <w:rPr>
          <w:rFonts w:ascii="Book Antiqua" w:hAnsi="Book Antiqua" w:cs="Book Antiqua"/>
          <w:b/>
          <w:noProof/>
          <w:sz w:val="24"/>
          <w:szCs w:val="24"/>
          <w:lang w:val="en-US"/>
        </w:rPr>
        <w:drawing>
          <wp:inline distT="0" distB="0" distL="0" distR="0" wp14:anchorId="26AAAD5A" wp14:editId="414CFD7D">
            <wp:extent cx="2751455" cy="2456815"/>
            <wp:effectExtent l="0" t="0" r="0" b="6985"/>
            <wp:docPr id="2" name="Picture 2"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00D316B6" w:rsidRPr="00B246B6">
        <w:rPr>
          <w:rFonts w:ascii="Book Antiqua" w:hAnsi="Book Antiqua" w:cs="Book Antiqua"/>
          <w:b/>
          <w:sz w:val="24"/>
          <w:szCs w:val="24"/>
          <w:lang w:val="en-US" w:eastAsia="zh-CN"/>
        </w:rPr>
        <w:t>A</w:t>
      </w:r>
    </w:p>
    <w:p w14:paraId="5EC90187" w14:textId="35A69D1C" w:rsidR="00D316B6" w:rsidRPr="00B246B6" w:rsidRDefault="009E396A" w:rsidP="00C57CCC">
      <w:pPr>
        <w:widowControl w:val="0"/>
        <w:adjustRightInd w:val="0"/>
        <w:spacing w:after="0" w:line="360" w:lineRule="auto"/>
        <w:jc w:val="both"/>
        <w:rPr>
          <w:rFonts w:ascii="Book Antiqua" w:hAnsi="Book Antiqua" w:cs="Book Antiqua"/>
          <w:b/>
          <w:sz w:val="24"/>
          <w:szCs w:val="24"/>
          <w:lang w:val="en-US" w:eastAsia="zh-CN"/>
        </w:rPr>
      </w:pPr>
      <w:r>
        <w:rPr>
          <w:rFonts w:ascii="Book Antiqua" w:hAnsi="Book Antiqua" w:cs="Book Antiqua"/>
          <w:b/>
          <w:noProof/>
          <w:sz w:val="24"/>
          <w:szCs w:val="24"/>
          <w:lang w:val="en-US"/>
        </w:rPr>
        <w:drawing>
          <wp:inline distT="0" distB="0" distL="0" distR="0" wp14:anchorId="3334170A" wp14:editId="10D42546">
            <wp:extent cx="2751455" cy="2456815"/>
            <wp:effectExtent l="0" t="0" r="0" b="6985"/>
            <wp:docPr id="3" name="Picture 3"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00D316B6" w:rsidRPr="00B246B6">
        <w:rPr>
          <w:rFonts w:ascii="Book Antiqua" w:hAnsi="Book Antiqua" w:cs="Book Antiqua"/>
          <w:b/>
          <w:sz w:val="24"/>
          <w:szCs w:val="24"/>
          <w:lang w:val="en-US" w:eastAsia="zh-CN"/>
        </w:rPr>
        <w:t>B</w:t>
      </w:r>
    </w:p>
    <w:p w14:paraId="335297F6" w14:textId="560E4535" w:rsidR="003B6C65" w:rsidRPr="00B246B6" w:rsidRDefault="00B96177"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sz w:val="24"/>
          <w:szCs w:val="24"/>
          <w:lang w:val="en-US"/>
        </w:rPr>
        <w:t>Fig</w:t>
      </w:r>
      <w:r w:rsidRPr="00B246B6">
        <w:rPr>
          <w:rFonts w:ascii="Book Antiqua" w:hAnsi="Book Antiqua" w:cs="Book Antiqua"/>
          <w:b/>
          <w:sz w:val="24"/>
          <w:szCs w:val="24"/>
          <w:lang w:val="en-US" w:eastAsia="zh-CN"/>
        </w:rPr>
        <w:t>ure</w:t>
      </w:r>
      <w:r w:rsidR="003B6C65" w:rsidRPr="00B246B6">
        <w:rPr>
          <w:rFonts w:ascii="Book Antiqua" w:hAnsi="Book Antiqua" w:cs="Book Antiqua"/>
          <w:b/>
          <w:bCs/>
          <w:sz w:val="24"/>
          <w:szCs w:val="24"/>
          <w:lang w:val="en-US"/>
        </w:rPr>
        <w:t xml:space="preserve"> 2</w:t>
      </w:r>
      <w:r w:rsidR="007E7A83" w:rsidRPr="00B246B6">
        <w:rPr>
          <w:rFonts w:ascii="Book Antiqua" w:hAnsi="Book Antiqua" w:cs="Book Antiqua"/>
          <w:b/>
          <w:bCs/>
          <w:sz w:val="24"/>
          <w:szCs w:val="24"/>
          <w:lang w:val="en-US" w:eastAsia="zh-CN"/>
        </w:rPr>
        <w:t xml:space="preserve"> </w:t>
      </w:r>
      <w:r w:rsidR="003B6C65" w:rsidRPr="00B246B6">
        <w:rPr>
          <w:rFonts w:ascii="Book Antiqua" w:hAnsi="Book Antiqua" w:cs="Book Antiqua"/>
          <w:b/>
          <w:sz w:val="24"/>
          <w:szCs w:val="24"/>
          <w:lang w:val="en-US"/>
        </w:rPr>
        <w:t xml:space="preserve">Patient with grade III </w:t>
      </w:r>
      <w:r w:rsidR="003B282A" w:rsidRPr="00B246B6">
        <w:rPr>
          <w:rFonts w:ascii="Book Antiqua" w:hAnsi="Book Antiqua" w:cs="Book Antiqua"/>
          <w:b/>
          <w:sz w:val="24"/>
          <w:szCs w:val="24"/>
          <w:lang w:val="en-US"/>
        </w:rPr>
        <w:t>chronic renal failure</w:t>
      </w:r>
      <w:r w:rsidR="003B6C65" w:rsidRPr="00B246B6">
        <w:rPr>
          <w:rFonts w:ascii="Book Antiqua" w:hAnsi="Book Antiqua" w:cs="Book Antiqua"/>
          <w:b/>
          <w:sz w:val="24"/>
          <w:szCs w:val="24"/>
          <w:lang w:val="en-US"/>
        </w:rPr>
        <w:t xml:space="preserve"> developing </w:t>
      </w:r>
      <w:r w:rsidR="00547FDE" w:rsidRPr="00B246B6">
        <w:rPr>
          <w:rFonts w:ascii="Book Antiqua" w:hAnsi="Book Antiqua" w:cs="Book Antiqua"/>
          <w:b/>
          <w:sz w:val="24"/>
          <w:szCs w:val="24"/>
          <w:lang w:val="en-GB"/>
        </w:rPr>
        <w:t>acute renal failure</w:t>
      </w:r>
      <w:r w:rsidR="003B6C65" w:rsidRPr="00B246B6">
        <w:rPr>
          <w:rFonts w:ascii="Book Antiqua" w:hAnsi="Book Antiqua" w:cs="Book Antiqua"/>
          <w:b/>
          <w:sz w:val="24"/>
          <w:szCs w:val="24"/>
          <w:lang w:val="en-US"/>
        </w:rPr>
        <w:t xml:space="preserve"> after Endovascular aortic repair.</w:t>
      </w:r>
      <w:r w:rsidR="0002003D">
        <w:rPr>
          <w:rFonts w:ascii="Book Antiqua" w:hAnsi="Book Antiqua" w:cs="Book Antiqua"/>
          <w:sz w:val="24"/>
          <w:szCs w:val="24"/>
          <w:lang w:val="en-US"/>
        </w:rPr>
        <w:t xml:space="preserve"> A</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Color Doppler </w:t>
      </w:r>
      <w:r w:rsidR="009761D0" w:rsidRPr="00B246B6">
        <w:rPr>
          <w:rFonts w:ascii="Book Antiqua" w:hAnsi="Book Antiqua" w:cs="Book Antiqua"/>
          <w:sz w:val="24"/>
          <w:szCs w:val="24"/>
          <w:lang w:val="en-US"/>
        </w:rPr>
        <w:t>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avascular kidney</w:t>
      </w:r>
      <w:r w:rsidR="003C7D28" w:rsidRPr="00B246B6">
        <w:rPr>
          <w:rFonts w:ascii="Book Antiqua" w:hAnsi="Book Antiqua" w:cs="Book Antiqua"/>
          <w:sz w:val="24"/>
          <w:szCs w:val="24"/>
          <w:lang w:val="en-US" w:eastAsia="zh-CN"/>
        </w:rPr>
        <w:t xml:space="preserve">; </w:t>
      </w:r>
      <w:r w:rsidR="0002003D">
        <w:rPr>
          <w:rFonts w:ascii="Book Antiqua" w:hAnsi="Book Antiqua" w:cs="Book Antiqua"/>
          <w:sz w:val="24"/>
          <w:szCs w:val="24"/>
          <w:lang w:val="en-US"/>
        </w:rPr>
        <w:t>B</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w:t>
      </w:r>
      <w:r w:rsidR="0002003D" w:rsidRPr="00B246B6">
        <w:rPr>
          <w:rFonts w:ascii="Book Antiqua" w:hAnsi="Book Antiqua" w:cs="Book Antiqua"/>
          <w:sz w:val="24"/>
          <w:szCs w:val="24"/>
          <w:lang w:val="en-GB"/>
        </w:rPr>
        <w:t>C</w:t>
      </w:r>
      <w:r w:rsidR="00214654" w:rsidRPr="00B246B6">
        <w:rPr>
          <w:rFonts w:ascii="Book Antiqua" w:hAnsi="Book Antiqua" w:cs="Book Antiqua"/>
          <w:sz w:val="24"/>
          <w:szCs w:val="24"/>
          <w:lang w:val="en-GB"/>
        </w:rPr>
        <w:t>ontrast enhanced 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enhancing hilar vessels and lack of enhancement of large portions of the cortex (arrowheads) consistent with acute cortical necrosis. The contralateral kidney was normal (not shown).</w:t>
      </w:r>
    </w:p>
    <w:p w14:paraId="23D7D163" w14:textId="0D9DC5E8" w:rsidR="0027154F" w:rsidRPr="00B246B6" w:rsidRDefault="0027154F" w:rsidP="00C57CCC">
      <w:pPr>
        <w:widowControl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rPr>
        <w:br w:type="page"/>
      </w:r>
      <w:r w:rsidR="009E396A">
        <w:rPr>
          <w:rFonts w:ascii="Book Antiqua" w:hAnsi="Book Antiqua" w:cs="Book Antiqua"/>
          <w:noProof/>
          <w:sz w:val="24"/>
          <w:szCs w:val="24"/>
          <w:lang w:val="en-US"/>
        </w:rPr>
        <w:lastRenderedPageBreak/>
        <w:drawing>
          <wp:inline distT="0" distB="0" distL="0" distR="0" wp14:anchorId="403FEAC9" wp14:editId="2733E9D1">
            <wp:extent cx="2751455" cy="2456815"/>
            <wp:effectExtent l="0" t="0" r="0" b="6985"/>
            <wp:docPr id="4" name="Picture 4"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Pr="00B246B6">
        <w:rPr>
          <w:rFonts w:ascii="Book Antiqua" w:hAnsi="Book Antiqua" w:cs="Book Antiqua"/>
          <w:sz w:val="24"/>
          <w:szCs w:val="24"/>
          <w:lang w:val="en-US"/>
        </w:rPr>
        <w:t xml:space="preserve"> </w:t>
      </w:r>
      <w:r w:rsidRPr="00B246B6">
        <w:rPr>
          <w:rFonts w:ascii="Book Antiqua" w:hAnsi="Book Antiqua" w:cs="Book Antiqua"/>
          <w:sz w:val="24"/>
          <w:szCs w:val="24"/>
          <w:lang w:val="en-US" w:eastAsia="zh-CN"/>
        </w:rPr>
        <w:t>A</w:t>
      </w:r>
    </w:p>
    <w:p w14:paraId="43D1344C" w14:textId="4B15619D" w:rsidR="0027154F" w:rsidRPr="00B246B6" w:rsidRDefault="009E396A" w:rsidP="00C57CCC">
      <w:pPr>
        <w:widowControl w:val="0"/>
        <w:adjustRightInd w:val="0"/>
        <w:spacing w:after="0" w:line="360" w:lineRule="auto"/>
        <w:jc w:val="both"/>
        <w:rPr>
          <w:rFonts w:ascii="Book Antiqua" w:hAnsi="Book Antiqua" w:cs="Book Antiqua"/>
          <w:sz w:val="24"/>
          <w:szCs w:val="24"/>
          <w:lang w:val="en-US" w:eastAsia="zh-CN"/>
        </w:rPr>
      </w:pPr>
      <w:r>
        <w:rPr>
          <w:rFonts w:ascii="Book Antiqua" w:hAnsi="Book Antiqua" w:cs="Book Antiqua"/>
          <w:noProof/>
          <w:sz w:val="24"/>
          <w:szCs w:val="24"/>
          <w:lang w:val="en-US"/>
        </w:rPr>
        <w:drawing>
          <wp:inline distT="0" distB="0" distL="0" distR="0" wp14:anchorId="3F2D8924" wp14:editId="025D29B3">
            <wp:extent cx="2751455" cy="2456815"/>
            <wp:effectExtent l="0" t="0" r="0" b="6985"/>
            <wp:docPr id="5" name="Picture 5"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0027154F" w:rsidRPr="00B246B6">
        <w:rPr>
          <w:rFonts w:ascii="Book Antiqua" w:hAnsi="Book Antiqua" w:cs="Book Antiqua"/>
          <w:sz w:val="24"/>
          <w:szCs w:val="24"/>
          <w:lang w:val="en-US"/>
        </w:rPr>
        <w:t xml:space="preserve"> </w:t>
      </w:r>
      <w:r w:rsidR="0027154F" w:rsidRPr="00B246B6">
        <w:rPr>
          <w:rFonts w:ascii="Book Antiqua" w:hAnsi="Book Antiqua" w:cs="Book Antiqua"/>
          <w:sz w:val="24"/>
          <w:szCs w:val="24"/>
          <w:lang w:val="en-US" w:eastAsia="zh-CN"/>
        </w:rPr>
        <w:t>B</w:t>
      </w:r>
    </w:p>
    <w:p w14:paraId="029C74EA" w14:textId="5558327C" w:rsidR="00542A33" w:rsidRPr="00B246B6" w:rsidRDefault="00B96177"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sz w:val="24"/>
          <w:szCs w:val="24"/>
          <w:lang w:val="en-US"/>
        </w:rPr>
        <w:t>Fig</w:t>
      </w:r>
      <w:r w:rsidRPr="00B246B6">
        <w:rPr>
          <w:rFonts w:ascii="Book Antiqua" w:hAnsi="Book Antiqua" w:cs="Book Antiqua"/>
          <w:b/>
          <w:sz w:val="24"/>
          <w:szCs w:val="24"/>
          <w:lang w:val="en-US" w:eastAsia="zh-CN"/>
        </w:rPr>
        <w:t>ure</w:t>
      </w:r>
      <w:r w:rsidR="003B6C65" w:rsidRPr="00B246B6">
        <w:rPr>
          <w:rFonts w:ascii="Book Antiqua" w:hAnsi="Book Antiqua" w:cs="Book Antiqua"/>
          <w:b/>
          <w:bCs/>
          <w:sz w:val="24"/>
          <w:szCs w:val="24"/>
          <w:lang w:val="en-US"/>
        </w:rPr>
        <w:t xml:space="preserve"> 3</w:t>
      </w:r>
      <w:r w:rsidR="0027154F" w:rsidRPr="00B246B6">
        <w:rPr>
          <w:rFonts w:ascii="Book Antiqua" w:hAnsi="Book Antiqua" w:cs="Book Antiqua"/>
          <w:b/>
          <w:bCs/>
          <w:sz w:val="24"/>
          <w:szCs w:val="24"/>
          <w:lang w:val="en-US" w:eastAsia="zh-CN"/>
        </w:rPr>
        <w:t xml:space="preserve"> </w:t>
      </w:r>
      <w:r w:rsidR="003B6C65" w:rsidRPr="00B246B6">
        <w:rPr>
          <w:rFonts w:ascii="Book Antiqua" w:hAnsi="Book Antiqua" w:cs="Book Antiqua"/>
          <w:b/>
          <w:sz w:val="24"/>
          <w:szCs w:val="24"/>
          <w:lang w:val="en-US"/>
        </w:rPr>
        <w:t xml:space="preserve">Patient with grade III </w:t>
      </w:r>
      <w:r w:rsidR="003B282A" w:rsidRPr="00B246B6">
        <w:rPr>
          <w:rFonts w:ascii="Book Antiqua" w:hAnsi="Book Antiqua" w:cs="Book Antiqua"/>
          <w:b/>
          <w:sz w:val="24"/>
          <w:szCs w:val="24"/>
          <w:lang w:val="en-US"/>
        </w:rPr>
        <w:t>chronic renal failure</w:t>
      </w:r>
      <w:r w:rsidR="003B6C65" w:rsidRPr="00B246B6">
        <w:rPr>
          <w:rFonts w:ascii="Book Antiqua" w:hAnsi="Book Antiqua" w:cs="Book Antiqua"/>
          <w:b/>
          <w:sz w:val="24"/>
          <w:szCs w:val="24"/>
          <w:lang w:val="en-US"/>
        </w:rPr>
        <w:t xml:space="preserve">. </w:t>
      </w:r>
      <w:r w:rsidR="0002003D">
        <w:rPr>
          <w:rFonts w:ascii="Book Antiqua" w:hAnsi="Book Antiqua" w:cs="Book Antiqua"/>
          <w:sz w:val="24"/>
          <w:szCs w:val="24"/>
          <w:lang w:val="en-US"/>
        </w:rPr>
        <w:t>A</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Color Doppler </w:t>
      </w:r>
      <w:r w:rsidR="00394608" w:rsidRPr="00B246B6">
        <w:rPr>
          <w:rFonts w:ascii="Book Antiqua" w:hAnsi="Book Antiqua" w:cs="Book Antiqua"/>
          <w:sz w:val="24"/>
          <w:szCs w:val="24"/>
          <w:lang w:val="en-US"/>
        </w:rPr>
        <w:t>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markedly reduced renal parenchyma perfusion and </w:t>
      </w:r>
      <w:r w:rsidR="000D4240" w:rsidRPr="00B246B6">
        <w:rPr>
          <w:rFonts w:ascii="Book Antiqua" w:hAnsi="Book Antiqua" w:cs="Book Antiqua"/>
          <w:sz w:val="24"/>
          <w:szCs w:val="24"/>
          <w:lang w:val="en-US"/>
        </w:rPr>
        <w:t xml:space="preserve">a </w:t>
      </w:r>
      <w:r w:rsidR="003B6C65" w:rsidRPr="00B246B6">
        <w:rPr>
          <w:rFonts w:ascii="Book Antiqua" w:hAnsi="Book Antiqua" w:cs="Book Antiqua"/>
          <w:sz w:val="24"/>
          <w:szCs w:val="24"/>
          <w:lang w:val="en-US"/>
        </w:rPr>
        <w:t>hypoechoic lesion without obvious vascularity (curved arrows)</w:t>
      </w:r>
      <w:r w:rsidR="00DC053F" w:rsidRPr="00B246B6">
        <w:rPr>
          <w:rFonts w:ascii="Book Antiqua" w:hAnsi="Book Antiqua" w:cs="Book Antiqua"/>
          <w:sz w:val="24"/>
          <w:szCs w:val="24"/>
          <w:lang w:val="en-US" w:eastAsia="zh-CN"/>
        </w:rPr>
        <w:t>;</w:t>
      </w:r>
      <w:r w:rsidR="0002003D">
        <w:rPr>
          <w:rFonts w:ascii="Book Antiqua" w:hAnsi="Book Antiqua" w:cs="Book Antiqua"/>
          <w:sz w:val="24"/>
          <w:szCs w:val="24"/>
          <w:lang w:val="en-US"/>
        </w:rPr>
        <w:t xml:space="preserve"> B</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w:t>
      </w:r>
      <w:r w:rsidR="0002003D" w:rsidRPr="00B246B6">
        <w:rPr>
          <w:rFonts w:ascii="Book Antiqua" w:hAnsi="Book Antiqua" w:cs="Book Antiqua"/>
          <w:sz w:val="24"/>
          <w:szCs w:val="24"/>
          <w:lang w:val="en-GB"/>
        </w:rPr>
        <w:t>C</w:t>
      </w:r>
      <w:r w:rsidR="00214654" w:rsidRPr="00B246B6">
        <w:rPr>
          <w:rFonts w:ascii="Book Antiqua" w:hAnsi="Book Antiqua" w:cs="Book Antiqua"/>
          <w:sz w:val="24"/>
          <w:szCs w:val="24"/>
          <w:lang w:val="en-GB"/>
        </w:rPr>
        <w:t>ontrast enhanced 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a solid enhancing mass (curved arrows) with avascular central portion (asterisk). A clear cell RCC with necrotic central areas was found at surgery.</w:t>
      </w:r>
    </w:p>
    <w:p w14:paraId="42A43D37" w14:textId="179471B7" w:rsidR="003B6C65" w:rsidRPr="00B246B6" w:rsidRDefault="00542A33" w:rsidP="00C57CCC">
      <w:pPr>
        <w:widowControl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rPr>
        <w:br w:type="page"/>
      </w:r>
      <w:r w:rsidR="009E396A">
        <w:rPr>
          <w:rFonts w:ascii="Book Antiqua" w:hAnsi="Book Antiqua" w:cs="Book Antiqua"/>
          <w:noProof/>
          <w:sz w:val="24"/>
          <w:szCs w:val="24"/>
          <w:lang w:val="en-US"/>
        </w:rPr>
        <w:lastRenderedPageBreak/>
        <w:drawing>
          <wp:inline distT="0" distB="0" distL="0" distR="0" wp14:anchorId="60C4D092" wp14:editId="42DF9CF0">
            <wp:extent cx="2751455" cy="2456815"/>
            <wp:effectExtent l="0" t="0" r="0" b="6985"/>
            <wp:docPr id="6" name="Picture 6" descr="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Pr="00B246B6">
        <w:rPr>
          <w:rFonts w:ascii="Book Antiqua" w:hAnsi="Book Antiqua" w:cs="Book Antiqua"/>
          <w:sz w:val="24"/>
          <w:szCs w:val="24"/>
          <w:lang w:val="en-US" w:eastAsia="zh-CN"/>
        </w:rPr>
        <w:t>A</w:t>
      </w:r>
    </w:p>
    <w:p w14:paraId="179BFE9C" w14:textId="01D0DA48" w:rsidR="00542A33" w:rsidRPr="00B246B6" w:rsidRDefault="009E396A" w:rsidP="00C57CCC">
      <w:pPr>
        <w:widowControl w:val="0"/>
        <w:adjustRightInd w:val="0"/>
        <w:spacing w:after="0" w:line="360" w:lineRule="auto"/>
        <w:jc w:val="both"/>
        <w:rPr>
          <w:rFonts w:ascii="Book Antiqua" w:hAnsi="Book Antiqua" w:cs="Book Antiqua"/>
          <w:sz w:val="24"/>
          <w:szCs w:val="24"/>
          <w:lang w:val="en-US" w:eastAsia="zh-CN"/>
        </w:rPr>
      </w:pPr>
      <w:r>
        <w:rPr>
          <w:rFonts w:ascii="Book Antiqua" w:hAnsi="Book Antiqua" w:cs="Book Antiqua"/>
          <w:noProof/>
          <w:sz w:val="24"/>
          <w:szCs w:val="24"/>
          <w:lang w:val="en-US"/>
        </w:rPr>
        <w:drawing>
          <wp:inline distT="0" distB="0" distL="0" distR="0" wp14:anchorId="38EF4EE1" wp14:editId="3C541C5C">
            <wp:extent cx="2751455" cy="2456815"/>
            <wp:effectExtent l="0" t="0" r="0" b="6985"/>
            <wp:docPr id="7" name="Picture 7" descr="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00542A33" w:rsidRPr="00B246B6">
        <w:rPr>
          <w:rFonts w:ascii="Book Antiqua" w:hAnsi="Book Antiqua" w:cs="Book Antiqua"/>
          <w:sz w:val="24"/>
          <w:szCs w:val="24"/>
          <w:lang w:val="en-US" w:eastAsia="zh-CN"/>
        </w:rPr>
        <w:t>B</w:t>
      </w:r>
    </w:p>
    <w:p w14:paraId="473DDF7E" w14:textId="5FAD621C" w:rsidR="00F15660" w:rsidRPr="00B246B6" w:rsidRDefault="00B96177"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sz w:val="24"/>
          <w:szCs w:val="24"/>
          <w:lang w:val="en-US"/>
        </w:rPr>
        <w:t>Fig</w:t>
      </w:r>
      <w:r w:rsidRPr="00B246B6">
        <w:rPr>
          <w:rFonts w:ascii="Book Antiqua" w:hAnsi="Book Antiqua" w:cs="Book Antiqua"/>
          <w:b/>
          <w:sz w:val="24"/>
          <w:szCs w:val="24"/>
          <w:lang w:val="en-US" w:eastAsia="zh-CN"/>
        </w:rPr>
        <w:t>ure</w:t>
      </w:r>
      <w:r w:rsidR="003B6C65" w:rsidRPr="00B246B6">
        <w:rPr>
          <w:rFonts w:ascii="Book Antiqua" w:hAnsi="Book Antiqua" w:cs="Book Antiqua"/>
          <w:b/>
          <w:bCs/>
          <w:sz w:val="24"/>
          <w:szCs w:val="24"/>
          <w:lang w:val="en-US"/>
        </w:rPr>
        <w:t xml:space="preserve"> 4</w:t>
      </w:r>
      <w:r w:rsidR="00542A33" w:rsidRPr="00B246B6">
        <w:rPr>
          <w:rFonts w:ascii="Book Antiqua" w:hAnsi="Book Antiqua" w:cs="Book Antiqua"/>
          <w:b/>
          <w:bCs/>
          <w:sz w:val="24"/>
          <w:szCs w:val="24"/>
          <w:lang w:val="en-US" w:eastAsia="zh-CN"/>
        </w:rPr>
        <w:t xml:space="preserve"> </w:t>
      </w:r>
      <w:r w:rsidR="003B6C65" w:rsidRPr="00B246B6">
        <w:rPr>
          <w:rFonts w:ascii="Book Antiqua" w:hAnsi="Book Antiqua" w:cs="Book Antiqua"/>
          <w:b/>
          <w:sz w:val="24"/>
          <w:szCs w:val="24"/>
          <w:lang w:val="en-US"/>
        </w:rPr>
        <w:t xml:space="preserve">Patient with grade IV </w:t>
      </w:r>
      <w:r w:rsidR="003B282A" w:rsidRPr="00B246B6">
        <w:rPr>
          <w:rFonts w:ascii="Book Antiqua" w:hAnsi="Book Antiqua" w:cs="Book Antiqua"/>
          <w:b/>
          <w:sz w:val="24"/>
          <w:szCs w:val="24"/>
          <w:lang w:val="en-US"/>
        </w:rPr>
        <w:t>chronic renal failure</w:t>
      </w:r>
      <w:r w:rsidR="003B6C65" w:rsidRPr="00B246B6">
        <w:rPr>
          <w:rFonts w:ascii="Book Antiqua" w:hAnsi="Book Antiqua" w:cs="Book Antiqua"/>
          <w:b/>
          <w:sz w:val="24"/>
          <w:szCs w:val="24"/>
          <w:lang w:val="en-US"/>
        </w:rPr>
        <w:t xml:space="preserve">. </w:t>
      </w:r>
      <w:r w:rsidR="0002003D">
        <w:rPr>
          <w:rFonts w:ascii="Book Antiqua" w:hAnsi="Book Antiqua" w:cs="Book Antiqua"/>
          <w:sz w:val="24"/>
          <w:szCs w:val="24"/>
          <w:lang w:val="en-US"/>
        </w:rPr>
        <w:t>A</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Grey-scale </w:t>
      </w:r>
      <w:r w:rsidR="004A018C" w:rsidRPr="00B246B6">
        <w:rPr>
          <w:rFonts w:ascii="Book Antiqua" w:hAnsi="Book Antiqua" w:cs="Book Antiqua"/>
          <w:sz w:val="24"/>
          <w:szCs w:val="24"/>
          <w:lang w:val="en-US"/>
        </w:rPr>
        <w:t>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a complex renal lesion (curved arrows). </w:t>
      </w:r>
      <w:r w:rsidR="0002003D" w:rsidRPr="00B246B6">
        <w:rPr>
          <w:rFonts w:ascii="Book Antiqua" w:hAnsi="Book Antiqua" w:cs="Book Antiqua"/>
          <w:sz w:val="24"/>
          <w:szCs w:val="24"/>
          <w:lang w:val="en-GB"/>
        </w:rPr>
        <w:t>C</w:t>
      </w:r>
      <w:r w:rsidR="00214654" w:rsidRPr="00B246B6">
        <w:rPr>
          <w:rFonts w:ascii="Book Antiqua" w:hAnsi="Book Antiqua" w:cs="Book Antiqua"/>
          <w:sz w:val="24"/>
          <w:szCs w:val="24"/>
          <w:lang w:val="en-GB"/>
        </w:rPr>
        <w:t>ontrast enhanced 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no intralesional enhancement, nor vegetation</w:t>
      </w:r>
      <w:r w:rsidR="000D4240" w:rsidRPr="00B246B6">
        <w:rPr>
          <w:rFonts w:ascii="Book Antiqua" w:hAnsi="Book Antiqua" w:cs="Book Antiqua"/>
          <w:sz w:val="24"/>
          <w:szCs w:val="24"/>
          <w:lang w:val="en-US"/>
        </w:rPr>
        <w:t>s</w:t>
      </w:r>
      <w:r w:rsidR="00542A33" w:rsidRPr="00B246B6">
        <w:rPr>
          <w:rFonts w:ascii="Book Antiqua" w:hAnsi="Book Antiqua" w:cs="Book Antiqua"/>
          <w:sz w:val="24"/>
          <w:szCs w:val="24"/>
          <w:lang w:val="en-US" w:eastAsia="zh-CN"/>
        </w:rPr>
        <w:t>;</w:t>
      </w:r>
      <w:r w:rsidR="003B6C65" w:rsidRPr="00B246B6">
        <w:rPr>
          <w:rFonts w:ascii="Book Antiqua" w:hAnsi="Book Antiqua" w:cs="Book Antiqua"/>
          <w:sz w:val="24"/>
          <w:szCs w:val="24"/>
          <w:lang w:val="en-US"/>
        </w:rPr>
        <w:t xml:space="preserve"> </w:t>
      </w:r>
      <w:r w:rsidR="0002003D">
        <w:rPr>
          <w:rFonts w:ascii="Book Antiqua" w:hAnsi="Book Antiqua" w:cs="Book Antiqua"/>
          <w:sz w:val="24"/>
          <w:szCs w:val="24"/>
          <w:lang w:val="en-US"/>
        </w:rPr>
        <w:t>B</w:t>
      </w:r>
      <w:r w:rsidR="0002003D">
        <w:rPr>
          <w:rFonts w:ascii="Book Antiqua" w:hAnsi="Book Antiqua" w:cs="Book Antiqua" w:hint="eastAsia"/>
          <w:sz w:val="24"/>
          <w:szCs w:val="24"/>
          <w:lang w:val="en-US" w:eastAsia="zh-CN"/>
        </w:rPr>
        <w:t>:</w:t>
      </w:r>
      <w:r w:rsidR="00F131DC" w:rsidRPr="00B246B6">
        <w:rPr>
          <w:rFonts w:ascii="Book Antiqua" w:hAnsi="Book Antiqua" w:cs="Book Antiqua"/>
          <w:sz w:val="24"/>
          <w:szCs w:val="24"/>
          <w:lang w:val="en-US"/>
        </w:rPr>
        <w:t xml:space="preserve"> </w:t>
      </w:r>
      <w:r w:rsidR="003B6C65" w:rsidRPr="00B246B6">
        <w:rPr>
          <w:rFonts w:ascii="Book Antiqua" w:hAnsi="Book Antiqua" w:cs="Book Antiqua"/>
          <w:sz w:val="24"/>
          <w:szCs w:val="24"/>
          <w:lang w:val="en-US"/>
        </w:rPr>
        <w:t xml:space="preserve">Two thin septa </w:t>
      </w:r>
      <w:r w:rsidR="000D4240" w:rsidRPr="00B246B6">
        <w:rPr>
          <w:rFonts w:ascii="Book Antiqua" w:hAnsi="Book Antiqua" w:cs="Book Antiqua"/>
          <w:sz w:val="24"/>
          <w:szCs w:val="24"/>
          <w:lang w:val="en-US"/>
        </w:rPr>
        <w:t>were</w:t>
      </w:r>
      <w:r w:rsidR="003B6C65" w:rsidRPr="00B246B6">
        <w:rPr>
          <w:rFonts w:ascii="Book Antiqua" w:hAnsi="Book Antiqua" w:cs="Book Antiqua"/>
          <w:sz w:val="24"/>
          <w:szCs w:val="24"/>
          <w:lang w:val="en-US"/>
        </w:rPr>
        <w:t xml:space="preserve"> visible (arrowheads) with minimum enhancement (benign minimally complicated cysts, Bosniak category II).</w:t>
      </w:r>
    </w:p>
    <w:p w14:paraId="03F8583B" w14:textId="71820C0F" w:rsidR="003B6C65" w:rsidRPr="00B246B6" w:rsidRDefault="00F15660" w:rsidP="00C57CCC">
      <w:pPr>
        <w:widowControl w:val="0"/>
        <w:adjustRightInd w:val="0"/>
        <w:spacing w:after="0" w:line="360" w:lineRule="auto"/>
        <w:jc w:val="both"/>
        <w:rPr>
          <w:rFonts w:ascii="Book Antiqua" w:hAnsi="Book Antiqua" w:cs="Book Antiqua"/>
          <w:sz w:val="24"/>
          <w:szCs w:val="24"/>
          <w:lang w:val="en-US" w:eastAsia="zh-CN"/>
        </w:rPr>
      </w:pPr>
      <w:r w:rsidRPr="00B246B6">
        <w:rPr>
          <w:rFonts w:ascii="Book Antiqua" w:hAnsi="Book Antiqua" w:cs="Book Antiqua"/>
          <w:sz w:val="24"/>
          <w:szCs w:val="24"/>
          <w:lang w:val="en-US"/>
        </w:rPr>
        <w:br w:type="page"/>
      </w:r>
      <w:r w:rsidR="009E396A">
        <w:rPr>
          <w:rFonts w:ascii="Book Antiqua" w:hAnsi="Book Antiqua" w:cs="Book Antiqua"/>
          <w:noProof/>
          <w:sz w:val="24"/>
          <w:szCs w:val="24"/>
          <w:lang w:val="en-US"/>
        </w:rPr>
        <w:lastRenderedPageBreak/>
        <w:drawing>
          <wp:inline distT="0" distB="0" distL="0" distR="0" wp14:anchorId="2A9F803E" wp14:editId="1D697389">
            <wp:extent cx="2751455" cy="2456815"/>
            <wp:effectExtent l="0" t="0" r="0" b="6985"/>
            <wp:docPr id="8" name="Picture 8" descr="Figure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455" cy="2456815"/>
                    </a:xfrm>
                    <a:prstGeom prst="rect">
                      <a:avLst/>
                    </a:prstGeom>
                    <a:noFill/>
                    <a:ln>
                      <a:noFill/>
                    </a:ln>
                  </pic:spPr>
                </pic:pic>
              </a:graphicData>
            </a:graphic>
          </wp:inline>
        </w:drawing>
      </w:r>
      <w:r w:rsidRPr="00B246B6">
        <w:rPr>
          <w:rFonts w:ascii="Book Antiqua" w:hAnsi="Book Antiqua" w:cs="Book Antiqua"/>
          <w:sz w:val="24"/>
          <w:szCs w:val="24"/>
          <w:lang w:val="en-US" w:eastAsia="zh-CN"/>
        </w:rPr>
        <w:t>A</w:t>
      </w:r>
    </w:p>
    <w:p w14:paraId="7319E263" w14:textId="53D27DE1" w:rsidR="00F15660" w:rsidRPr="00B246B6" w:rsidRDefault="009E396A" w:rsidP="00C57CCC">
      <w:pPr>
        <w:widowControl w:val="0"/>
        <w:adjustRightInd w:val="0"/>
        <w:spacing w:after="0" w:line="360" w:lineRule="auto"/>
        <w:jc w:val="both"/>
        <w:rPr>
          <w:rFonts w:ascii="Book Antiqua" w:hAnsi="Book Antiqua" w:cs="Book Antiqua"/>
          <w:sz w:val="24"/>
          <w:szCs w:val="24"/>
          <w:lang w:val="en-US" w:eastAsia="zh-CN"/>
        </w:rPr>
      </w:pPr>
      <w:r>
        <w:rPr>
          <w:rFonts w:ascii="Book Antiqua" w:hAnsi="Book Antiqua" w:cs="Book Antiqua"/>
          <w:noProof/>
          <w:sz w:val="24"/>
          <w:szCs w:val="24"/>
          <w:lang w:val="en-US"/>
        </w:rPr>
        <w:drawing>
          <wp:inline distT="0" distB="0" distL="0" distR="0" wp14:anchorId="759FE615" wp14:editId="66DD5353">
            <wp:extent cx="2767330" cy="2456815"/>
            <wp:effectExtent l="0" t="0" r="1270" b="6985"/>
            <wp:docPr id="9" name="Picture 9" descr="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5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330" cy="2456815"/>
                    </a:xfrm>
                    <a:prstGeom prst="rect">
                      <a:avLst/>
                    </a:prstGeom>
                    <a:noFill/>
                    <a:ln>
                      <a:noFill/>
                    </a:ln>
                  </pic:spPr>
                </pic:pic>
              </a:graphicData>
            </a:graphic>
          </wp:inline>
        </w:drawing>
      </w:r>
      <w:r w:rsidR="00F15660" w:rsidRPr="00B246B6">
        <w:rPr>
          <w:rFonts w:ascii="Book Antiqua" w:hAnsi="Book Antiqua" w:cs="Book Antiqua"/>
          <w:sz w:val="24"/>
          <w:szCs w:val="24"/>
          <w:lang w:val="en-US" w:eastAsia="zh-CN"/>
        </w:rPr>
        <w:t>B</w:t>
      </w:r>
    </w:p>
    <w:p w14:paraId="54FED9DA" w14:textId="77777777" w:rsidR="00F15660" w:rsidRPr="00B246B6" w:rsidRDefault="00F15660" w:rsidP="00C57CCC">
      <w:pPr>
        <w:widowControl w:val="0"/>
        <w:adjustRightInd w:val="0"/>
        <w:spacing w:after="0" w:line="360" w:lineRule="auto"/>
        <w:jc w:val="both"/>
        <w:rPr>
          <w:rFonts w:ascii="Book Antiqua" w:hAnsi="Book Antiqua" w:cs="Book Antiqua"/>
          <w:b/>
          <w:sz w:val="24"/>
          <w:szCs w:val="24"/>
          <w:lang w:val="en-US" w:eastAsia="zh-CN"/>
        </w:rPr>
      </w:pPr>
    </w:p>
    <w:p w14:paraId="2BB3BE3E" w14:textId="3789E159" w:rsidR="003B6C65" w:rsidRPr="00B246B6" w:rsidRDefault="00B96177" w:rsidP="00C57CCC">
      <w:pPr>
        <w:widowControl w:val="0"/>
        <w:adjustRightInd w:val="0"/>
        <w:spacing w:after="0" w:line="360" w:lineRule="auto"/>
        <w:jc w:val="both"/>
        <w:rPr>
          <w:rFonts w:ascii="Book Antiqua" w:hAnsi="Book Antiqua" w:cs="Book Antiqua"/>
          <w:sz w:val="24"/>
          <w:szCs w:val="24"/>
          <w:lang w:val="en-US"/>
        </w:rPr>
      </w:pPr>
      <w:r w:rsidRPr="00B246B6">
        <w:rPr>
          <w:rFonts w:ascii="Book Antiqua" w:hAnsi="Book Antiqua" w:cs="Book Antiqua"/>
          <w:b/>
          <w:sz w:val="24"/>
          <w:szCs w:val="24"/>
          <w:lang w:val="en-US"/>
        </w:rPr>
        <w:t>Fig</w:t>
      </w:r>
      <w:r w:rsidRPr="00B246B6">
        <w:rPr>
          <w:rFonts w:ascii="Book Antiqua" w:hAnsi="Book Antiqua" w:cs="Book Antiqua"/>
          <w:b/>
          <w:sz w:val="24"/>
          <w:szCs w:val="24"/>
          <w:lang w:val="en-US" w:eastAsia="zh-CN"/>
        </w:rPr>
        <w:t>ure</w:t>
      </w:r>
      <w:r w:rsidR="003B6C65" w:rsidRPr="00B246B6">
        <w:rPr>
          <w:rFonts w:ascii="Book Antiqua" w:hAnsi="Book Antiqua" w:cs="Book Antiqua"/>
          <w:b/>
          <w:bCs/>
          <w:sz w:val="24"/>
          <w:szCs w:val="24"/>
          <w:lang w:val="en-US"/>
        </w:rPr>
        <w:t xml:space="preserve"> 5</w:t>
      </w:r>
      <w:r w:rsidR="00F15660" w:rsidRPr="00B246B6">
        <w:rPr>
          <w:rFonts w:ascii="Book Antiqua" w:hAnsi="Book Antiqua" w:cs="Book Antiqua"/>
          <w:b/>
          <w:bCs/>
          <w:sz w:val="24"/>
          <w:szCs w:val="24"/>
          <w:lang w:val="en-US" w:eastAsia="zh-CN"/>
        </w:rPr>
        <w:t xml:space="preserve"> </w:t>
      </w:r>
      <w:r w:rsidR="003B6C65" w:rsidRPr="00B246B6">
        <w:rPr>
          <w:rFonts w:ascii="Book Antiqua" w:hAnsi="Book Antiqua" w:cs="Book Antiqua"/>
          <w:b/>
          <w:sz w:val="24"/>
          <w:szCs w:val="24"/>
          <w:lang w:val="en-US"/>
        </w:rPr>
        <w:t xml:space="preserve">Patient with grade III </w:t>
      </w:r>
      <w:r w:rsidR="003B282A" w:rsidRPr="00B246B6">
        <w:rPr>
          <w:rFonts w:ascii="Book Antiqua" w:hAnsi="Book Antiqua" w:cs="Book Antiqua"/>
          <w:b/>
          <w:sz w:val="24"/>
          <w:szCs w:val="24"/>
          <w:lang w:val="en-US"/>
        </w:rPr>
        <w:t>chronic renal failure</w:t>
      </w:r>
      <w:r w:rsidR="00704571" w:rsidRPr="00B246B6">
        <w:rPr>
          <w:rFonts w:ascii="Book Antiqua" w:hAnsi="Book Antiqua" w:cs="Book Antiqua"/>
          <w:b/>
          <w:sz w:val="24"/>
          <w:szCs w:val="24"/>
          <w:lang w:val="en-US" w:eastAsia="zh-CN"/>
        </w:rPr>
        <w:t xml:space="preserve"> that </w:t>
      </w:r>
      <w:r w:rsidR="00704571" w:rsidRPr="00B246B6">
        <w:rPr>
          <w:rFonts w:ascii="Book Antiqua" w:hAnsi="Book Antiqua" w:cs="Book Antiqua"/>
          <w:b/>
          <w:sz w:val="24"/>
          <w:szCs w:val="24"/>
          <w:lang w:val="en-US"/>
        </w:rPr>
        <w:t xml:space="preserve">one category IV lesion was a clear cell </w:t>
      </w:r>
      <w:r w:rsidR="006845B7" w:rsidRPr="00B246B6">
        <w:rPr>
          <w:rFonts w:ascii="Book Antiqua" w:hAnsi="Book Antiqua" w:cs="Book Antiqua"/>
          <w:b/>
          <w:sz w:val="24"/>
          <w:szCs w:val="24"/>
          <w:lang w:val="en-US"/>
        </w:rPr>
        <w:t>renal cell carcinoma</w:t>
      </w:r>
      <w:r w:rsidR="00704571" w:rsidRPr="00B246B6">
        <w:rPr>
          <w:rFonts w:ascii="Book Antiqua" w:hAnsi="Book Antiqua" w:cs="Book Antiqua"/>
          <w:b/>
          <w:sz w:val="24"/>
          <w:szCs w:val="24"/>
          <w:lang w:val="en-US"/>
        </w:rPr>
        <w:t xml:space="preserve"> at nephrectomy</w:t>
      </w:r>
      <w:r w:rsidR="003B6C65" w:rsidRPr="00B246B6">
        <w:rPr>
          <w:rFonts w:ascii="Book Antiqua" w:hAnsi="Book Antiqua" w:cs="Book Antiqua"/>
          <w:b/>
          <w:sz w:val="24"/>
          <w:szCs w:val="24"/>
          <w:lang w:val="en-US"/>
        </w:rPr>
        <w:t xml:space="preserve">. </w:t>
      </w:r>
      <w:r w:rsidR="0002003D">
        <w:rPr>
          <w:rFonts w:ascii="Book Antiqua" w:hAnsi="Book Antiqua" w:cs="Book Antiqua"/>
          <w:sz w:val="24"/>
          <w:szCs w:val="24"/>
          <w:lang w:val="en-US"/>
        </w:rPr>
        <w:t>A</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Grey-scale </w:t>
      </w:r>
      <w:r w:rsidR="004A018C" w:rsidRPr="00B246B6">
        <w:rPr>
          <w:rFonts w:ascii="Book Antiqua" w:hAnsi="Book Antiqua" w:cs="Book Antiqua"/>
          <w:sz w:val="24"/>
          <w:szCs w:val="24"/>
          <w:lang w:val="en-US"/>
        </w:rPr>
        <w:t>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a complex renal lesion (curved arrow)</w:t>
      </w:r>
      <w:r w:rsidR="00704571" w:rsidRPr="00B246B6">
        <w:rPr>
          <w:rFonts w:ascii="Book Antiqua" w:hAnsi="Book Antiqua" w:cs="Book Antiqua"/>
          <w:sz w:val="24"/>
          <w:szCs w:val="24"/>
          <w:lang w:val="en-US" w:eastAsia="zh-CN"/>
        </w:rPr>
        <w:t xml:space="preserve">; </w:t>
      </w:r>
      <w:r w:rsidR="0002003D">
        <w:rPr>
          <w:rFonts w:ascii="Book Antiqua" w:hAnsi="Book Antiqua" w:cs="Book Antiqua"/>
          <w:sz w:val="24"/>
          <w:szCs w:val="24"/>
          <w:lang w:val="en-US"/>
        </w:rPr>
        <w:t>B</w:t>
      </w:r>
      <w:r w:rsidR="0002003D">
        <w:rPr>
          <w:rFonts w:ascii="Book Antiqua" w:hAnsi="Book Antiqua" w:cs="Book Antiqua" w:hint="eastAsia"/>
          <w:sz w:val="24"/>
          <w:szCs w:val="24"/>
          <w:lang w:val="en-US" w:eastAsia="zh-CN"/>
        </w:rPr>
        <w:t>:</w:t>
      </w:r>
      <w:r w:rsidR="003B6C65" w:rsidRPr="00B246B6">
        <w:rPr>
          <w:rFonts w:ascii="Book Antiqua" w:hAnsi="Book Antiqua" w:cs="Book Antiqua"/>
          <w:sz w:val="24"/>
          <w:szCs w:val="24"/>
          <w:lang w:val="en-US"/>
        </w:rPr>
        <w:t xml:space="preserve"> </w:t>
      </w:r>
      <w:r w:rsidR="0002003D" w:rsidRPr="00B246B6">
        <w:rPr>
          <w:rFonts w:ascii="Book Antiqua" w:hAnsi="Book Antiqua" w:cs="Book Antiqua"/>
          <w:sz w:val="24"/>
          <w:szCs w:val="24"/>
          <w:lang w:val="en-GB"/>
        </w:rPr>
        <w:t>C</w:t>
      </w:r>
      <w:r w:rsidR="00214654" w:rsidRPr="00B246B6">
        <w:rPr>
          <w:rFonts w:ascii="Book Antiqua" w:hAnsi="Book Antiqua" w:cs="Book Antiqua"/>
          <w:sz w:val="24"/>
          <w:szCs w:val="24"/>
          <w:lang w:val="en-GB"/>
        </w:rPr>
        <w:t>ontrast enhanced ultrasound</w:t>
      </w:r>
      <w:r w:rsidR="003B6C65" w:rsidRPr="00B246B6">
        <w:rPr>
          <w:rFonts w:ascii="Book Antiqua" w:hAnsi="Book Antiqua" w:cs="Book Antiqua"/>
          <w:sz w:val="24"/>
          <w:szCs w:val="24"/>
          <w:lang w:val="en-US"/>
        </w:rPr>
        <w:t xml:space="preserve"> show</w:t>
      </w:r>
      <w:r w:rsidR="000D4240" w:rsidRPr="00B246B6">
        <w:rPr>
          <w:rFonts w:ascii="Book Antiqua" w:hAnsi="Book Antiqua" w:cs="Book Antiqua"/>
          <w:sz w:val="24"/>
          <w:szCs w:val="24"/>
          <w:lang w:val="en-US"/>
        </w:rPr>
        <w:t>ed</w:t>
      </w:r>
      <w:r w:rsidR="003B6C65" w:rsidRPr="00B246B6">
        <w:rPr>
          <w:rFonts w:ascii="Book Antiqua" w:hAnsi="Book Antiqua" w:cs="Book Antiqua"/>
          <w:sz w:val="24"/>
          <w:szCs w:val="24"/>
          <w:lang w:val="en-US"/>
        </w:rPr>
        <w:t xml:space="preserve"> thickened wall with a vegetation (asterisk) consistent for a presumably malignant, Bosniak category IV lesion. A clear cell </w:t>
      </w:r>
      <w:r w:rsidR="006845B7" w:rsidRPr="00B246B6">
        <w:rPr>
          <w:rFonts w:ascii="Book Antiqua" w:hAnsi="Book Antiqua" w:cs="Book Antiqua"/>
          <w:sz w:val="24"/>
          <w:szCs w:val="24"/>
          <w:lang w:val="en-US"/>
        </w:rPr>
        <w:t>renal cell carcinoma</w:t>
      </w:r>
      <w:r w:rsidR="003B6C65" w:rsidRPr="00B246B6">
        <w:rPr>
          <w:rFonts w:ascii="Book Antiqua" w:hAnsi="Book Antiqua" w:cs="Book Antiqua"/>
          <w:sz w:val="24"/>
          <w:szCs w:val="24"/>
          <w:lang w:val="en-US"/>
        </w:rPr>
        <w:t xml:space="preserve"> was found at surgery.</w:t>
      </w:r>
    </w:p>
    <w:p w14:paraId="2996165C"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p>
    <w:p w14:paraId="39E01CFB" w14:textId="1935187B" w:rsidR="000F460A" w:rsidRPr="00B246B6" w:rsidRDefault="003B6C65" w:rsidP="000F460A">
      <w:pPr>
        <w:widowControl w:val="0"/>
        <w:adjustRightInd w:val="0"/>
        <w:spacing w:after="0" w:line="360" w:lineRule="auto"/>
        <w:jc w:val="both"/>
        <w:rPr>
          <w:rFonts w:ascii="Book Antiqua" w:hAnsi="Book Antiqua" w:cs="Book Antiqua"/>
          <w:b/>
          <w:sz w:val="24"/>
          <w:szCs w:val="24"/>
          <w:lang w:val="en-US" w:eastAsia="zh-CN"/>
        </w:rPr>
      </w:pPr>
      <w:r w:rsidRPr="00B246B6">
        <w:rPr>
          <w:rFonts w:ascii="Book Antiqua" w:hAnsi="Book Antiqua" w:cs="Book Antiqua"/>
          <w:sz w:val="24"/>
          <w:szCs w:val="24"/>
          <w:lang w:val="en-US"/>
        </w:rPr>
        <w:br w:type="page"/>
      </w:r>
      <w:r w:rsidR="000F460A" w:rsidRPr="00B246B6">
        <w:rPr>
          <w:rFonts w:ascii="Book Antiqua" w:hAnsi="Book Antiqua" w:cs="Book Antiqua"/>
          <w:b/>
          <w:bCs/>
          <w:sz w:val="24"/>
          <w:szCs w:val="24"/>
          <w:lang w:val="en-US"/>
        </w:rPr>
        <w:lastRenderedPageBreak/>
        <w:t>Tab</w:t>
      </w:r>
      <w:r w:rsidR="000F460A" w:rsidRPr="00B246B6">
        <w:rPr>
          <w:rFonts w:ascii="Book Antiqua" w:hAnsi="Book Antiqua" w:cs="Book Antiqua"/>
          <w:b/>
          <w:bCs/>
          <w:sz w:val="24"/>
          <w:szCs w:val="24"/>
          <w:lang w:val="en-US" w:eastAsia="zh-CN"/>
        </w:rPr>
        <w:t>le</w:t>
      </w:r>
      <w:r w:rsidR="000F460A" w:rsidRPr="00B246B6">
        <w:rPr>
          <w:rFonts w:ascii="Book Antiqua" w:hAnsi="Book Antiqua" w:cs="Book Antiqua"/>
          <w:b/>
          <w:bCs/>
          <w:sz w:val="24"/>
          <w:szCs w:val="24"/>
          <w:lang w:val="en-US"/>
        </w:rPr>
        <w:t xml:space="preserve"> 1</w:t>
      </w:r>
      <w:r w:rsidR="000F460A" w:rsidRPr="00B246B6">
        <w:rPr>
          <w:rFonts w:ascii="Book Antiqua" w:hAnsi="Book Antiqua" w:cs="Book Antiqua"/>
          <w:b/>
          <w:bCs/>
          <w:sz w:val="24"/>
          <w:szCs w:val="24"/>
          <w:lang w:val="en-US" w:eastAsia="zh-CN"/>
        </w:rPr>
        <w:t xml:space="preserve"> </w:t>
      </w:r>
      <w:r w:rsidR="000F460A" w:rsidRPr="00B246B6">
        <w:rPr>
          <w:rFonts w:ascii="Book Antiqua" w:hAnsi="Book Antiqua" w:cs="Book Antiqua"/>
          <w:b/>
          <w:sz w:val="24"/>
          <w:szCs w:val="24"/>
          <w:lang w:val="en-US"/>
        </w:rPr>
        <w:t>Sonographic equipment used in the study</w:t>
      </w:r>
    </w:p>
    <w:p w14:paraId="42F50816" w14:textId="28372D63" w:rsidR="003B6C65" w:rsidRPr="00B246B6" w:rsidRDefault="003B6C65" w:rsidP="00C57CCC">
      <w:pPr>
        <w:widowControl w:val="0"/>
        <w:adjustRightInd w:val="0"/>
        <w:spacing w:after="0" w:line="360" w:lineRule="auto"/>
        <w:jc w:val="both"/>
        <w:rPr>
          <w:rFonts w:ascii="Book Antiqua" w:hAnsi="Book Antiqua" w:cs="Book Antiqua"/>
          <w:b/>
          <w:bCs/>
          <w:sz w:val="24"/>
          <w:szCs w:val="24"/>
          <w:lang w:eastAsia="zh-CN"/>
        </w:rPr>
      </w:pPr>
    </w:p>
    <w:tbl>
      <w:tblPr>
        <w:tblW w:w="0" w:type="auto"/>
        <w:tblInd w:w="2" w:type="dxa"/>
        <w:tblBorders>
          <w:top w:val="single" w:sz="4" w:space="0" w:color="auto"/>
          <w:bottom w:val="single" w:sz="4" w:space="0" w:color="auto"/>
        </w:tblBorders>
        <w:tblLook w:val="00A0" w:firstRow="1" w:lastRow="0" w:firstColumn="1" w:lastColumn="0" w:noHBand="0" w:noVBand="0"/>
      </w:tblPr>
      <w:tblGrid>
        <w:gridCol w:w="4068"/>
        <w:gridCol w:w="4140"/>
        <w:gridCol w:w="1564"/>
      </w:tblGrid>
      <w:tr w:rsidR="001274A8" w:rsidRPr="00B246B6" w14:paraId="042DF27F" w14:textId="77777777" w:rsidTr="000F460A">
        <w:tc>
          <w:tcPr>
            <w:tcW w:w="4068" w:type="dxa"/>
            <w:tcBorders>
              <w:top w:val="single" w:sz="4" w:space="0" w:color="auto"/>
              <w:bottom w:val="single" w:sz="4" w:space="0" w:color="auto"/>
            </w:tcBorders>
          </w:tcPr>
          <w:p w14:paraId="4D44116D" w14:textId="780B6749" w:rsidR="003B6C65" w:rsidRPr="00B246B6" w:rsidRDefault="00C81F5A" w:rsidP="00C57CCC">
            <w:pPr>
              <w:widowControl w:val="0"/>
              <w:adjustRightInd w:val="0"/>
              <w:spacing w:after="0" w:line="360" w:lineRule="auto"/>
              <w:jc w:val="both"/>
              <w:rPr>
                <w:rFonts w:ascii="Book Antiqua" w:hAnsi="Book Antiqua" w:cs="Book Antiqua"/>
                <w:b/>
                <w:bCs/>
                <w:sz w:val="24"/>
                <w:szCs w:val="24"/>
              </w:rPr>
            </w:pPr>
            <w:r w:rsidRPr="00B246B6">
              <w:rPr>
                <w:rFonts w:ascii="Book Antiqua" w:hAnsi="Book Antiqua" w:cs="Book Antiqua"/>
                <w:b/>
                <w:bCs/>
                <w:sz w:val="24"/>
                <w:szCs w:val="24"/>
              </w:rPr>
              <w:t>Ultrasound</w:t>
            </w:r>
            <w:r w:rsidR="003B6C65" w:rsidRPr="00B246B6">
              <w:rPr>
                <w:rFonts w:ascii="Book Antiqua" w:hAnsi="Book Antiqua" w:cs="Book Antiqua"/>
                <w:b/>
                <w:bCs/>
                <w:sz w:val="24"/>
                <w:szCs w:val="24"/>
              </w:rPr>
              <w:t xml:space="preserve"> equipment</w:t>
            </w:r>
          </w:p>
        </w:tc>
        <w:tc>
          <w:tcPr>
            <w:tcW w:w="4140" w:type="dxa"/>
            <w:tcBorders>
              <w:top w:val="single" w:sz="4" w:space="0" w:color="auto"/>
              <w:bottom w:val="single" w:sz="4" w:space="0" w:color="auto"/>
            </w:tcBorders>
          </w:tcPr>
          <w:p w14:paraId="475D6FD8" w14:textId="77777777" w:rsidR="003B6C65" w:rsidRPr="00B246B6" w:rsidRDefault="003B6C65" w:rsidP="00C57CCC">
            <w:pPr>
              <w:widowControl w:val="0"/>
              <w:adjustRightInd w:val="0"/>
              <w:spacing w:after="0" w:line="360" w:lineRule="auto"/>
              <w:jc w:val="both"/>
              <w:rPr>
                <w:rFonts w:ascii="Book Antiqua" w:hAnsi="Book Antiqua" w:cs="Book Antiqua"/>
                <w:b/>
                <w:bCs/>
                <w:sz w:val="24"/>
                <w:szCs w:val="24"/>
              </w:rPr>
            </w:pPr>
            <w:r w:rsidRPr="00B246B6">
              <w:rPr>
                <w:rFonts w:ascii="Book Antiqua" w:hAnsi="Book Antiqua" w:cs="Book Antiqua"/>
                <w:b/>
                <w:bCs/>
                <w:sz w:val="24"/>
                <w:szCs w:val="24"/>
              </w:rPr>
              <w:t xml:space="preserve">Contrast-specific mode </w:t>
            </w:r>
          </w:p>
        </w:tc>
        <w:tc>
          <w:tcPr>
            <w:tcW w:w="1564" w:type="dxa"/>
            <w:tcBorders>
              <w:top w:val="single" w:sz="4" w:space="0" w:color="auto"/>
              <w:bottom w:val="single" w:sz="4" w:space="0" w:color="auto"/>
            </w:tcBorders>
          </w:tcPr>
          <w:p w14:paraId="669884DD" w14:textId="1C0A032D" w:rsidR="003B6C65" w:rsidRPr="00B246B6" w:rsidRDefault="003B6C65" w:rsidP="0002003D">
            <w:pPr>
              <w:widowControl w:val="0"/>
              <w:adjustRightInd w:val="0"/>
              <w:spacing w:after="0" w:line="360" w:lineRule="auto"/>
              <w:jc w:val="both"/>
              <w:rPr>
                <w:rFonts w:ascii="Book Antiqua" w:hAnsi="Book Antiqua" w:cs="Book Antiqua"/>
                <w:b/>
                <w:bCs/>
                <w:sz w:val="24"/>
                <w:szCs w:val="24"/>
              </w:rPr>
            </w:pPr>
            <w:r w:rsidRPr="00B246B6">
              <w:rPr>
                <w:rFonts w:ascii="Book Antiqua" w:hAnsi="Book Antiqua" w:cs="Book Antiqua"/>
                <w:b/>
                <w:bCs/>
                <w:sz w:val="24"/>
                <w:szCs w:val="24"/>
              </w:rPr>
              <w:t>N</w:t>
            </w:r>
            <w:r w:rsidR="0002003D">
              <w:rPr>
                <w:rFonts w:ascii="Book Antiqua" w:hAnsi="Book Antiqua" w:cs="Book Antiqua" w:hint="eastAsia"/>
                <w:b/>
                <w:bCs/>
                <w:sz w:val="24"/>
                <w:szCs w:val="24"/>
                <w:lang w:eastAsia="zh-CN"/>
              </w:rPr>
              <w:t>o.</w:t>
            </w:r>
            <w:r w:rsidRPr="00B246B6">
              <w:rPr>
                <w:rFonts w:ascii="Book Antiqua" w:hAnsi="Book Antiqua" w:cs="Book Antiqua"/>
                <w:b/>
                <w:bCs/>
                <w:sz w:val="24"/>
                <w:szCs w:val="24"/>
              </w:rPr>
              <w:t xml:space="preserve"> of patients </w:t>
            </w:r>
          </w:p>
        </w:tc>
      </w:tr>
      <w:tr w:rsidR="001274A8" w:rsidRPr="00B246B6" w14:paraId="4B403701" w14:textId="77777777" w:rsidTr="000F460A">
        <w:tc>
          <w:tcPr>
            <w:tcW w:w="4068" w:type="dxa"/>
            <w:tcBorders>
              <w:top w:val="single" w:sz="4" w:space="0" w:color="auto"/>
            </w:tcBorders>
          </w:tcPr>
          <w:p w14:paraId="71BCAE4D"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MyLab-70 (EsaOte)</w:t>
            </w:r>
          </w:p>
        </w:tc>
        <w:tc>
          <w:tcPr>
            <w:tcW w:w="4140" w:type="dxa"/>
            <w:tcBorders>
              <w:top w:val="single" w:sz="4" w:space="0" w:color="auto"/>
            </w:tcBorders>
          </w:tcPr>
          <w:p w14:paraId="6E77BAB4" w14:textId="3BB5A49C"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CnTI™ (</w:t>
            </w:r>
            <w:r w:rsidR="007454DA" w:rsidRPr="00B246B6">
              <w:rPr>
                <w:rFonts w:ascii="Book Antiqua" w:hAnsi="Book Antiqua" w:cs="Book Antiqua"/>
                <w:sz w:val="24"/>
                <w:szCs w:val="24"/>
              </w:rPr>
              <w:t>contrast tuned im</w:t>
            </w:r>
            <w:r w:rsidRPr="00B246B6">
              <w:rPr>
                <w:rFonts w:ascii="Book Antiqua" w:hAnsi="Book Antiqua" w:cs="Book Antiqua"/>
                <w:sz w:val="24"/>
                <w:szCs w:val="24"/>
              </w:rPr>
              <w:t>aging)</w:t>
            </w:r>
          </w:p>
        </w:tc>
        <w:tc>
          <w:tcPr>
            <w:tcW w:w="1564" w:type="dxa"/>
            <w:tcBorders>
              <w:top w:val="single" w:sz="4" w:space="0" w:color="auto"/>
            </w:tcBorders>
          </w:tcPr>
          <w:p w14:paraId="0242799D"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7</w:t>
            </w:r>
          </w:p>
        </w:tc>
      </w:tr>
      <w:tr w:rsidR="001274A8" w:rsidRPr="00B246B6" w14:paraId="31FDEAFB" w14:textId="77777777" w:rsidTr="000F460A">
        <w:tc>
          <w:tcPr>
            <w:tcW w:w="4068" w:type="dxa"/>
          </w:tcPr>
          <w:p w14:paraId="798AF954"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ATL HDI5000 (Philips)</w:t>
            </w:r>
          </w:p>
        </w:tc>
        <w:tc>
          <w:tcPr>
            <w:tcW w:w="4140" w:type="dxa"/>
          </w:tcPr>
          <w:p w14:paraId="638C05CC" w14:textId="2063CCDA" w:rsidR="003B6C65" w:rsidRPr="00B246B6" w:rsidRDefault="003B6C65" w:rsidP="00C57CCC">
            <w:pPr>
              <w:widowControl w:val="0"/>
              <w:adjustRightInd w:val="0"/>
              <w:spacing w:after="0" w:line="360" w:lineRule="auto"/>
              <w:jc w:val="both"/>
              <w:rPr>
                <w:rFonts w:ascii="Book Antiqua" w:hAnsi="Book Antiqua" w:cs="Book Antiqua"/>
                <w:sz w:val="24"/>
                <w:szCs w:val="24"/>
                <w:lang w:val="en-GB"/>
              </w:rPr>
            </w:pPr>
            <w:r w:rsidRPr="00B246B6">
              <w:rPr>
                <w:rFonts w:ascii="Book Antiqua" w:hAnsi="Book Antiqua" w:cs="Book Antiqua"/>
                <w:sz w:val="24"/>
                <w:szCs w:val="24"/>
                <w:lang w:val="en-GB"/>
              </w:rPr>
              <w:t>PIHI™ (</w:t>
            </w:r>
            <w:r w:rsidR="007454DA" w:rsidRPr="00B246B6">
              <w:rPr>
                <w:rFonts w:ascii="Book Antiqua" w:hAnsi="Book Antiqua" w:cs="Book Antiqua"/>
                <w:sz w:val="24"/>
                <w:szCs w:val="24"/>
                <w:lang w:val="en-GB"/>
              </w:rPr>
              <w:t>pulse inversion harmonic imagin</w:t>
            </w:r>
            <w:r w:rsidRPr="00B246B6">
              <w:rPr>
                <w:rFonts w:ascii="Book Antiqua" w:hAnsi="Book Antiqua" w:cs="Book Antiqua"/>
                <w:sz w:val="24"/>
                <w:szCs w:val="24"/>
                <w:lang w:val="en-GB"/>
              </w:rPr>
              <w:t>g)</w:t>
            </w:r>
          </w:p>
        </w:tc>
        <w:tc>
          <w:tcPr>
            <w:tcW w:w="1564" w:type="dxa"/>
          </w:tcPr>
          <w:p w14:paraId="0DC74DBC"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15</w:t>
            </w:r>
          </w:p>
        </w:tc>
      </w:tr>
      <w:tr w:rsidR="001274A8" w:rsidRPr="00B246B6" w14:paraId="69366103" w14:textId="77777777" w:rsidTr="000F460A">
        <w:tc>
          <w:tcPr>
            <w:tcW w:w="4068" w:type="dxa"/>
          </w:tcPr>
          <w:p w14:paraId="752C762C"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Sequoia 512 (Acuson Siemens)</w:t>
            </w:r>
          </w:p>
        </w:tc>
        <w:tc>
          <w:tcPr>
            <w:tcW w:w="4140" w:type="dxa"/>
          </w:tcPr>
          <w:p w14:paraId="45BE71C4" w14:textId="75863C6F"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CPS™ (</w:t>
            </w:r>
            <w:r w:rsidR="007454DA" w:rsidRPr="00B246B6">
              <w:rPr>
                <w:rFonts w:ascii="Book Antiqua" w:hAnsi="Book Antiqua" w:cs="Book Antiqua"/>
                <w:sz w:val="24"/>
                <w:szCs w:val="24"/>
              </w:rPr>
              <w:t>contrast pulse seq</w:t>
            </w:r>
            <w:r w:rsidRPr="00B246B6">
              <w:rPr>
                <w:rFonts w:ascii="Book Antiqua" w:hAnsi="Book Antiqua" w:cs="Book Antiqua"/>
                <w:sz w:val="24"/>
                <w:szCs w:val="24"/>
              </w:rPr>
              <w:t>uencing)</w:t>
            </w:r>
          </w:p>
        </w:tc>
        <w:tc>
          <w:tcPr>
            <w:tcW w:w="1564" w:type="dxa"/>
          </w:tcPr>
          <w:p w14:paraId="361F48BE"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52</w:t>
            </w:r>
          </w:p>
        </w:tc>
      </w:tr>
      <w:tr w:rsidR="001274A8" w:rsidRPr="00B246B6" w14:paraId="049B49D3" w14:textId="77777777" w:rsidTr="000F460A">
        <w:tc>
          <w:tcPr>
            <w:tcW w:w="4068" w:type="dxa"/>
          </w:tcPr>
          <w:p w14:paraId="66348E93"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iU22 (Philips)</w:t>
            </w:r>
          </w:p>
        </w:tc>
        <w:tc>
          <w:tcPr>
            <w:tcW w:w="4140" w:type="dxa"/>
          </w:tcPr>
          <w:p w14:paraId="094E791E" w14:textId="2B6338C2" w:rsidR="003B6C65" w:rsidRPr="00B246B6" w:rsidRDefault="003B6C65" w:rsidP="00C57CCC">
            <w:pPr>
              <w:widowControl w:val="0"/>
              <w:adjustRightInd w:val="0"/>
              <w:spacing w:after="0" w:line="360" w:lineRule="auto"/>
              <w:jc w:val="both"/>
              <w:rPr>
                <w:rFonts w:ascii="Book Antiqua" w:hAnsi="Book Antiqua" w:cs="Book Antiqua"/>
                <w:sz w:val="24"/>
                <w:szCs w:val="24"/>
                <w:lang w:val="en-GB"/>
              </w:rPr>
            </w:pPr>
            <w:r w:rsidRPr="00B246B6">
              <w:rPr>
                <w:rFonts w:ascii="Book Antiqua" w:hAnsi="Book Antiqua" w:cs="Book Antiqua"/>
                <w:sz w:val="24"/>
                <w:szCs w:val="24"/>
                <w:lang w:val="en-GB"/>
              </w:rPr>
              <w:t>PIHI-PM™ (</w:t>
            </w:r>
            <w:r w:rsidR="007454DA" w:rsidRPr="00B246B6">
              <w:rPr>
                <w:rFonts w:ascii="Book Antiqua" w:hAnsi="Book Antiqua" w:cs="Book Antiqua"/>
                <w:sz w:val="24"/>
                <w:szCs w:val="24"/>
                <w:lang w:val="en-GB"/>
              </w:rPr>
              <w:t>pulse inversion harmonic imaging – power modulati</w:t>
            </w:r>
            <w:r w:rsidRPr="00B246B6">
              <w:rPr>
                <w:rFonts w:ascii="Book Antiqua" w:hAnsi="Book Antiqua" w:cs="Book Antiqua"/>
                <w:sz w:val="24"/>
                <w:szCs w:val="24"/>
                <w:lang w:val="en-GB"/>
              </w:rPr>
              <w:t>on)</w:t>
            </w:r>
          </w:p>
        </w:tc>
        <w:tc>
          <w:tcPr>
            <w:tcW w:w="1564" w:type="dxa"/>
          </w:tcPr>
          <w:p w14:paraId="228933F7"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r w:rsidRPr="00B246B6">
              <w:rPr>
                <w:rFonts w:ascii="Book Antiqua" w:hAnsi="Book Antiqua" w:cs="Book Antiqua"/>
                <w:sz w:val="24"/>
                <w:szCs w:val="24"/>
              </w:rPr>
              <w:t>15</w:t>
            </w:r>
          </w:p>
        </w:tc>
      </w:tr>
    </w:tbl>
    <w:p w14:paraId="546BD4E1"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rPr>
      </w:pPr>
    </w:p>
    <w:p w14:paraId="3CAB0ADD" w14:textId="77777777" w:rsidR="00330D1B" w:rsidRPr="00B246B6" w:rsidRDefault="003B6C65" w:rsidP="00330D1B">
      <w:pPr>
        <w:widowControl w:val="0"/>
        <w:adjustRightInd w:val="0"/>
        <w:spacing w:after="0" w:line="360" w:lineRule="auto"/>
        <w:jc w:val="both"/>
        <w:rPr>
          <w:rFonts w:ascii="Book Antiqua" w:hAnsi="Book Antiqua" w:cs="Book Antiqua"/>
          <w:b/>
          <w:bCs/>
          <w:sz w:val="24"/>
          <w:szCs w:val="24"/>
          <w:lang w:val="en-US" w:eastAsia="zh-CN"/>
        </w:rPr>
      </w:pPr>
      <w:r w:rsidRPr="00B246B6">
        <w:rPr>
          <w:rFonts w:ascii="Book Antiqua" w:hAnsi="Book Antiqua" w:cs="Book Antiqua"/>
          <w:sz w:val="24"/>
          <w:szCs w:val="24"/>
          <w:lang w:val="en-GB"/>
        </w:rPr>
        <w:br w:type="page"/>
      </w:r>
      <w:r w:rsidR="00330D1B" w:rsidRPr="00B246B6">
        <w:rPr>
          <w:rFonts w:ascii="Book Antiqua" w:hAnsi="Book Antiqua" w:cs="Book Antiqua"/>
          <w:b/>
          <w:bCs/>
          <w:sz w:val="24"/>
          <w:szCs w:val="24"/>
          <w:lang w:val="en-US"/>
        </w:rPr>
        <w:lastRenderedPageBreak/>
        <w:t>Tab</w:t>
      </w:r>
      <w:r w:rsidR="00330D1B" w:rsidRPr="00B246B6">
        <w:rPr>
          <w:rFonts w:ascii="Book Antiqua" w:hAnsi="Book Antiqua" w:cs="Book Antiqua"/>
          <w:b/>
          <w:bCs/>
          <w:sz w:val="24"/>
          <w:szCs w:val="24"/>
          <w:lang w:val="en-US" w:eastAsia="zh-CN"/>
        </w:rPr>
        <w:t>le</w:t>
      </w:r>
      <w:r w:rsidR="00330D1B" w:rsidRPr="00B246B6">
        <w:rPr>
          <w:rFonts w:ascii="Book Antiqua" w:hAnsi="Book Antiqua" w:cs="Book Antiqua"/>
          <w:b/>
          <w:bCs/>
          <w:sz w:val="24"/>
          <w:szCs w:val="24"/>
          <w:lang w:val="en-US"/>
        </w:rPr>
        <w:t xml:space="preserve"> 2</w:t>
      </w:r>
      <w:r w:rsidR="00330D1B" w:rsidRPr="00B246B6">
        <w:rPr>
          <w:rFonts w:ascii="Book Antiqua" w:hAnsi="Book Antiqua" w:cs="Book Antiqua"/>
          <w:b/>
          <w:bCs/>
          <w:sz w:val="24"/>
          <w:szCs w:val="24"/>
          <w:lang w:val="en-US" w:eastAsia="zh-CN"/>
        </w:rPr>
        <w:t xml:space="preserve"> </w:t>
      </w:r>
      <w:r w:rsidR="00330D1B" w:rsidRPr="00B246B6">
        <w:rPr>
          <w:rFonts w:ascii="Book Antiqua" w:hAnsi="Book Antiqua" w:cs="Book Antiqua"/>
          <w:b/>
          <w:sz w:val="24"/>
          <w:szCs w:val="24"/>
          <w:lang w:val="en-US"/>
        </w:rPr>
        <w:t>Overview of fifty patients with acute renal failure addressed to contrast-enhanced ultrasound</w:t>
      </w:r>
      <w:r w:rsidR="00330D1B" w:rsidRPr="00B246B6">
        <w:rPr>
          <w:rFonts w:ascii="Book Antiqua" w:hAnsi="Book Antiqua" w:cs="Book Antiqua"/>
          <w:b/>
          <w:sz w:val="24"/>
          <w:szCs w:val="24"/>
          <w:lang w:val="en-US" w:eastAsia="zh-CN"/>
        </w:rPr>
        <w:t xml:space="preserve"> </w:t>
      </w:r>
      <w:r w:rsidR="00330D1B" w:rsidRPr="00B246B6">
        <w:rPr>
          <w:rFonts w:ascii="Book Antiqua" w:hAnsi="Book Antiqua" w:cs="Book Antiqua"/>
          <w:b/>
          <w:sz w:val="24"/>
          <w:szCs w:val="24"/>
          <w:lang w:val="en-US"/>
        </w:rPr>
        <w:t>to rule-out vascular causes</w:t>
      </w:r>
    </w:p>
    <w:p w14:paraId="76B26A10"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lang w:val="en-GB"/>
        </w:rPr>
      </w:pPr>
    </w:p>
    <w:tbl>
      <w:tblPr>
        <w:tblW w:w="10507" w:type="dxa"/>
        <w:tblInd w:w="2" w:type="dxa"/>
        <w:tblBorders>
          <w:top w:val="single" w:sz="4" w:space="0" w:color="auto"/>
          <w:bottom w:val="single" w:sz="4" w:space="0" w:color="auto"/>
        </w:tblBorders>
        <w:tblLayout w:type="fixed"/>
        <w:tblLook w:val="00A0" w:firstRow="1" w:lastRow="0" w:firstColumn="1" w:lastColumn="0" w:noHBand="0" w:noVBand="0"/>
      </w:tblPr>
      <w:tblGrid>
        <w:gridCol w:w="1463"/>
        <w:gridCol w:w="1995"/>
        <w:gridCol w:w="2128"/>
        <w:gridCol w:w="3192"/>
        <w:gridCol w:w="1729"/>
      </w:tblGrid>
      <w:tr w:rsidR="001274A8" w:rsidRPr="00B246B6" w14:paraId="7F38A8FA" w14:textId="77777777" w:rsidTr="00330D1B">
        <w:trPr>
          <w:trHeight w:val="1134"/>
        </w:trPr>
        <w:tc>
          <w:tcPr>
            <w:tcW w:w="1463" w:type="dxa"/>
            <w:tcBorders>
              <w:top w:val="single" w:sz="4" w:space="0" w:color="auto"/>
              <w:bottom w:val="single" w:sz="4" w:space="0" w:color="auto"/>
            </w:tcBorders>
            <w:vAlign w:val="center"/>
          </w:tcPr>
          <w:p w14:paraId="359BD12A" w14:textId="77777777" w:rsidR="003B6C65" w:rsidRPr="00B246B6" w:rsidRDefault="003B6C65" w:rsidP="00C57CCC">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Findings on CEUS</w:t>
            </w:r>
          </w:p>
        </w:tc>
        <w:tc>
          <w:tcPr>
            <w:tcW w:w="1995" w:type="dxa"/>
            <w:tcBorders>
              <w:top w:val="single" w:sz="4" w:space="0" w:color="auto"/>
              <w:bottom w:val="single" w:sz="4" w:space="0" w:color="auto"/>
            </w:tcBorders>
            <w:vAlign w:val="center"/>
          </w:tcPr>
          <w:p w14:paraId="35B3FAB8" w14:textId="77777777" w:rsidR="003B6C65" w:rsidRPr="00B246B6" w:rsidRDefault="003B6C65" w:rsidP="00C57CCC">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Side of CEUS findings</w:t>
            </w:r>
          </w:p>
        </w:tc>
        <w:tc>
          <w:tcPr>
            <w:tcW w:w="2128" w:type="dxa"/>
            <w:tcBorders>
              <w:top w:val="single" w:sz="4" w:space="0" w:color="auto"/>
              <w:bottom w:val="single" w:sz="4" w:space="0" w:color="auto"/>
            </w:tcBorders>
            <w:vAlign w:val="center"/>
          </w:tcPr>
          <w:p w14:paraId="54A6431A" w14:textId="77777777" w:rsidR="003B6C65" w:rsidRPr="00B246B6" w:rsidRDefault="003B6C65" w:rsidP="00C57CCC">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Pre-existing renal function</w:t>
            </w:r>
          </w:p>
        </w:tc>
        <w:tc>
          <w:tcPr>
            <w:tcW w:w="3192" w:type="dxa"/>
            <w:tcBorders>
              <w:top w:val="single" w:sz="4" w:space="0" w:color="auto"/>
              <w:bottom w:val="single" w:sz="4" w:space="0" w:color="auto"/>
            </w:tcBorders>
            <w:vAlign w:val="center"/>
          </w:tcPr>
          <w:p w14:paraId="0969299F" w14:textId="77777777" w:rsidR="003B6C65" w:rsidRPr="00B246B6" w:rsidRDefault="003B6C65" w:rsidP="00C57CCC">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Cause of acute renal failure</w:t>
            </w:r>
          </w:p>
        </w:tc>
        <w:tc>
          <w:tcPr>
            <w:tcW w:w="1729" w:type="dxa"/>
            <w:tcBorders>
              <w:top w:val="single" w:sz="4" w:space="0" w:color="auto"/>
              <w:bottom w:val="single" w:sz="4" w:space="0" w:color="auto"/>
            </w:tcBorders>
            <w:vAlign w:val="center"/>
          </w:tcPr>
          <w:p w14:paraId="226E5ED4" w14:textId="7B7CFCA5" w:rsidR="003B6C65" w:rsidRPr="00B246B6" w:rsidRDefault="003B6C65" w:rsidP="0002003D">
            <w:pPr>
              <w:spacing w:after="0" w:line="360" w:lineRule="auto"/>
              <w:jc w:val="both"/>
              <w:rPr>
                <w:rFonts w:ascii="Book Antiqua" w:hAnsi="Book Antiqua" w:cs="Book Antiqua"/>
                <w:b/>
                <w:bCs/>
                <w:sz w:val="24"/>
                <w:szCs w:val="24"/>
                <w:lang w:val="en-US"/>
              </w:rPr>
            </w:pPr>
            <w:r w:rsidRPr="00B246B6">
              <w:rPr>
                <w:rFonts w:ascii="Book Antiqua" w:hAnsi="Book Antiqua" w:cs="Book Antiqua"/>
                <w:b/>
                <w:bCs/>
                <w:sz w:val="24"/>
                <w:szCs w:val="24"/>
                <w:lang w:val="en-US"/>
              </w:rPr>
              <w:t>N</w:t>
            </w:r>
            <w:r w:rsidR="0002003D">
              <w:rPr>
                <w:rFonts w:ascii="Book Antiqua" w:hAnsi="Book Antiqua" w:cs="Book Antiqua" w:hint="eastAsia"/>
                <w:b/>
                <w:bCs/>
                <w:sz w:val="24"/>
                <w:szCs w:val="24"/>
                <w:lang w:val="en-US" w:eastAsia="zh-CN"/>
              </w:rPr>
              <w:t>o.</w:t>
            </w:r>
            <w:r w:rsidRPr="00B246B6">
              <w:rPr>
                <w:rFonts w:ascii="Book Antiqua" w:hAnsi="Book Antiqua" w:cs="Book Antiqua"/>
                <w:b/>
                <w:bCs/>
                <w:sz w:val="24"/>
                <w:szCs w:val="24"/>
                <w:lang w:val="en-US"/>
              </w:rPr>
              <w:t xml:space="preserve"> of patients with biopsy</w:t>
            </w:r>
          </w:p>
        </w:tc>
      </w:tr>
      <w:tr w:rsidR="001274A8" w:rsidRPr="00B246B6" w14:paraId="705F03BC" w14:textId="77777777" w:rsidTr="00330D1B">
        <w:trPr>
          <w:trHeight w:val="3491"/>
        </w:trPr>
        <w:tc>
          <w:tcPr>
            <w:tcW w:w="1463" w:type="dxa"/>
            <w:tcBorders>
              <w:top w:val="single" w:sz="4" w:space="0" w:color="auto"/>
            </w:tcBorders>
            <w:vAlign w:val="center"/>
          </w:tcPr>
          <w:p w14:paraId="3BB78757" w14:textId="18398EA9" w:rsidR="003B6C65" w:rsidRPr="00B246B6" w:rsidRDefault="003B6C65" w:rsidP="00C57CCC">
            <w:pPr>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Renal infarction (</w:t>
            </w:r>
            <w:r w:rsidR="00772A1B" w:rsidRPr="00B246B6">
              <w:rPr>
                <w:rFonts w:ascii="Book Antiqua" w:hAnsi="Book Antiqua" w:cs="Book Antiqua"/>
                <w:i/>
                <w:sz w:val="24"/>
                <w:szCs w:val="24"/>
                <w:lang w:val="en-US"/>
              </w:rPr>
              <w:t>n</w:t>
            </w:r>
            <w:r w:rsidR="00772A1B" w:rsidRPr="00B246B6">
              <w:rPr>
                <w:rFonts w:ascii="Book Antiqua" w:hAnsi="Book Antiqua" w:cs="Book Antiqua"/>
                <w:sz w:val="24"/>
                <w:szCs w:val="24"/>
                <w:lang w:val="en-US" w:eastAsia="zh-CN"/>
              </w:rPr>
              <w:t xml:space="preserve"> </w:t>
            </w:r>
            <w:r w:rsidR="00772A1B" w:rsidRPr="00B246B6">
              <w:rPr>
                <w:rFonts w:ascii="Book Antiqua" w:hAnsi="Book Antiqua" w:cs="Book Antiqua"/>
                <w:sz w:val="24"/>
                <w:szCs w:val="24"/>
                <w:lang w:val="en-US"/>
              </w:rPr>
              <w:t>=</w:t>
            </w:r>
            <w:r w:rsidR="00772A1B"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18)</w:t>
            </w:r>
          </w:p>
        </w:tc>
        <w:tc>
          <w:tcPr>
            <w:tcW w:w="1995" w:type="dxa"/>
            <w:tcBorders>
              <w:top w:val="single" w:sz="4" w:space="0" w:color="auto"/>
            </w:tcBorders>
            <w:vAlign w:val="center"/>
          </w:tcPr>
          <w:p w14:paraId="0ACFECA6" w14:textId="5090CB30"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Unilateral (</w:t>
            </w:r>
            <w:r w:rsidR="00772A1B" w:rsidRPr="00B246B6">
              <w:rPr>
                <w:rFonts w:ascii="Book Antiqua" w:hAnsi="Book Antiqua" w:cs="Book Antiqua"/>
                <w:i/>
                <w:lang w:val="en-US"/>
              </w:rPr>
              <w:t>n</w:t>
            </w:r>
            <w:r w:rsidR="00772A1B" w:rsidRPr="00B246B6">
              <w:rPr>
                <w:rFonts w:ascii="Book Antiqua" w:hAnsi="Book Antiqua" w:cs="Book Antiqua"/>
                <w:lang w:val="en-US" w:eastAsia="zh-CN"/>
              </w:rPr>
              <w:t xml:space="preserve"> </w:t>
            </w:r>
            <w:r w:rsidR="00772A1B" w:rsidRPr="00B246B6">
              <w:rPr>
                <w:rFonts w:ascii="Book Antiqua" w:hAnsi="Book Antiqua" w:cs="Book Antiqua"/>
                <w:lang w:val="en-US"/>
              </w:rPr>
              <w:t>=</w:t>
            </w:r>
            <w:r w:rsidR="00772A1B" w:rsidRPr="00B246B6">
              <w:rPr>
                <w:rFonts w:ascii="Book Antiqua" w:hAnsi="Book Antiqua" w:cs="Book Antiqua"/>
                <w:lang w:val="en-US" w:eastAsia="zh-CN"/>
              </w:rPr>
              <w:t xml:space="preserve"> </w:t>
            </w:r>
            <w:r w:rsidR="003B6C65" w:rsidRPr="00B246B6">
              <w:rPr>
                <w:rFonts w:ascii="Book Antiqua" w:hAnsi="Book Antiqua" w:cs="Book Antiqua"/>
                <w:lang w:val="en-US"/>
              </w:rPr>
              <w:t>13)</w:t>
            </w:r>
          </w:p>
          <w:p w14:paraId="65B66030" w14:textId="0889EC38"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Bilateral (</w:t>
            </w:r>
            <w:r w:rsidR="00772A1B" w:rsidRPr="00B246B6">
              <w:rPr>
                <w:rFonts w:ascii="Book Antiqua" w:hAnsi="Book Antiqua" w:cs="Book Antiqua"/>
                <w:i/>
                <w:lang w:val="en-US"/>
              </w:rPr>
              <w:t>n</w:t>
            </w:r>
            <w:r w:rsidR="00772A1B" w:rsidRPr="00B246B6">
              <w:rPr>
                <w:rFonts w:ascii="Book Antiqua" w:hAnsi="Book Antiqua" w:cs="Book Antiqua"/>
                <w:lang w:val="en-US" w:eastAsia="zh-CN"/>
              </w:rPr>
              <w:t xml:space="preserve"> </w:t>
            </w:r>
            <w:r w:rsidR="00772A1B" w:rsidRPr="00B246B6">
              <w:rPr>
                <w:rFonts w:ascii="Book Antiqua" w:hAnsi="Book Antiqua" w:cs="Book Antiqua"/>
                <w:lang w:val="en-US"/>
              </w:rPr>
              <w:t>=</w:t>
            </w:r>
            <w:r w:rsidR="00772A1B" w:rsidRPr="00B246B6">
              <w:rPr>
                <w:rFonts w:ascii="Book Antiqua" w:hAnsi="Book Antiqua" w:cs="Book Antiqua"/>
                <w:lang w:val="en-US" w:eastAsia="zh-CN"/>
              </w:rPr>
              <w:t xml:space="preserve"> </w:t>
            </w:r>
            <w:r w:rsidR="003B6C65" w:rsidRPr="00B246B6">
              <w:rPr>
                <w:rFonts w:ascii="Book Antiqua" w:hAnsi="Book Antiqua" w:cs="Book Antiqua"/>
                <w:lang w:val="en-US"/>
              </w:rPr>
              <w:t>5)</w:t>
            </w:r>
          </w:p>
        </w:tc>
        <w:tc>
          <w:tcPr>
            <w:tcW w:w="2128" w:type="dxa"/>
            <w:tcBorders>
              <w:top w:val="single" w:sz="4" w:space="0" w:color="auto"/>
            </w:tcBorders>
            <w:vAlign w:val="center"/>
          </w:tcPr>
          <w:p w14:paraId="20950102" w14:textId="14923F2D"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Chronic rfi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10)</w:t>
            </w:r>
          </w:p>
          <w:p w14:paraId="0F546EF7" w14:textId="77109506"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 previous history of rfi (n = 8)</w:t>
            </w:r>
          </w:p>
          <w:p w14:paraId="3531A6EA" w14:textId="77777777" w:rsidR="003B6C65" w:rsidRPr="00B246B6" w:rsidRDefault="003B6C65" w:rsidP="00C57CCC">
            <w:pPr>
              <w:pStyle w:val="ListParagraph"/>
              <w:spacing w:line="360" w:lineRule="auto"/>
              <w:jc w:val="both"/>
              <w:rPr>
                <w:rFonts w:ascii="Book Antiqua" w:hAnsi="Book Antiqua" w:cs="Book Antiqua"/>
                <w:lang w:val="en-US"/>
              </w:rPr>
            </w:pPr>
          </w:p>
        </w:tc>
        <w:tc>
          <w:tcPr>
            <w:tcW w:w="3192" w:type="dxa"/>
            <w:tcBorders>
              <w:top w:val="single" w:sz="4" w:space="0" w:color="auto"/>
            </w:tcBorders>
            <w:vAlign w:val="center"/>
          </w:tcPr>
          <w:p w14:paraId="4CDD26CA" w14:textId="64468CDD"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Suspicious embolization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2)</w:t>
            </w:r>
          </w:p>
          <w:p w14:paraId="5B25EDAC" w14:textId="15C71999"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Placement of aortic endoprothesis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Pr>
                <w:rFonts w:ascii="Book Antiqua" w:eastAsia="宋体" w:hAnsi="Book Antiqua" w:cs="Book Antiqua"/>
                <w:lang w:val="en-US" w:eastAsia="zh-CN"/>
              </w:rPr>
              <w:t xml:space="preserve"> </w:t>
            </w:r>
            <w:r w:rsidRPr="00B246B6">
              <w:rPr>
                <w:rFonts w:ascii="Book Antiqua" w:hAnsi="Book Antiqua" w:cs="Book Antiqua"/>
                <w:lang w:val="en-US"/>
              </w:rPr>
              <w:t>5)</w:t>
            </w:r>
          </w:p>
          <w:p w14:paraId="591BB49A" w14:textId="7EBC99F9"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Aortic dissection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2)</w:t>
            </w:r>
          </w:p>
          <w:p w14:paraId="16EC5EF9" w14:textId="59609129"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Ischemia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3)</w:t>
            </w:r>
          </w:p>
          <w:p w14:paraId="050446EF" w14:textId="6B262B82"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Drug-induced nephrotoxicity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w:t>
            </w:r>
          </w:p>
          <w:p w14:paraId="1021F573" w14:textId="28EEC1A6"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Undetermined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5)</w:t>
            </w:r>
          </w:p>
        </w:tc>
        <w:tc>
          <w:tcPr>
            <w:tcW w:w="1729" w:type="dxa"/>
            <w:tcBorders>
              <w:top w:val="single" w:sz="4" w:space="0" w:color="auto"/>
            </w:tcBorders>
            <w:vAlign w:val="center"/>
          </w:tcPr>
          <w:p w14:paraId="01D20038" w14:textId="77777777" w:rsidR="003B6C65" w:rsidRPr="00B246B6" w:rsidRDefault="003B6C65" w:rsidP="00C57CCC">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None</w:t>
            </w:r>
          </w:p>
        </w:tc>
      </w:tr>
      <w:tr w:rsidR="001274A8" w:rsidRPr="00B246B6" w14:paraId="405AF029" w14:textId="77777777" w:rsidTr="00330D1B">
        <w:trPr>
          <w:trHeight w:val="1837"/>
        </w:trPr>
        <w:tc>
          <w:tcPr>
            <w:tcW w:w="1463" w:type="dxa"/>
            <w:vAlign w:val="center"/>
          </w:tcPr>
          <w:p w14:paraId="081F47A0" w14:textId="6FE20CB2" w:rsidR="003B6C65" w:rsidRPr="00B246B6" w:rsidRDefault="003B6C65" w:rsidP="00C57CCC">
            <w:pPr>
              <w:spacing w:after="0" w:line="360" w:lineRule="auto"/>
              <w:jc w:val="both"/>
              <w:rPr>
                <w:rFonts w:ascii="Book Antiqua" w:hAnsi="Book Antiqua" w:cs="Book Antiqua"/>
                <w:sz w:val="24"/>
                <w:szCs w:val="24"/>
              </w:rPr>
            </w:pPr>
            <w:r w:rsidRPr="00B246B6">
              <w:rPr>
                <w:rFonts w:ascii="Book Antiqua" w:hAnsi="Book Antiqua" w:cs="Book Antiqua"/>
                <w:sz w:val="24"/>
                <w:szCs w:val="24"/>
              </w:rPr>
              <w:t>Acute cortical necrosis pattern (</w:t>
            </w:r>
            <w:r w:rsidR="00772A1B" w:rsidRPr="00B246B6">
              <w:rPr>
                <w:rFonts w:ascii="Book Antiqua" w:hAnsi="Book Antiqua" w:cs="Book Antiqua"/>
                <w:i/>
                <w:sz w:val="24"/>
                <w:szCs w:val="24"/>
                <w:lang w:val="en-US"/>
              </w:rPr>
              <w:t>n</w:t>
            </w:r>
            <w:r w:rsidR="00772A1B" w:rsidRPr="00B246B6">
              <w:rPr>
                <w:rFonts w:ascii="Book Antiqua" w:hAnsi="Book Antiqua" w:cs="Book Antiqua"/>
                <w:sz w:val="24"/>
                <w:szCs w:val="24"/>
                <w:lang w:val="en-US" w:eastAsia="zh-CN"/>
              </w:rPr>
              <w:t xml:space="preserve"> </w:t>
            </w:r>
            <w:r w:rsidR="00772A1B" w:rsidRPr="00B246B6">
              <w:rPr>
                <w:rFonts w:ascii="Book Antiqua" w:hAnsi="Book Antiqua" w:cs="Book Antiqua"/>
                <w:sz w:val="24"/>
                <w:szCs w:val="24"/>
                <w:lang w:val="en-US"/>
              </w:rPr>
              <w:t>=</w:t>
            </w:r>
            <w:r w:rsidR="00772A1B"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rPr>
              <w:t>1)</w:t>
            </w:r>
          </w:p>
        </w:tc>
        <w:tc>
          <w:tcPr>
            <w:tcW w:w="1995" w:type="dxa"/>
            <w:vAlign w:val="center"/>
          </w:tcPr>
          <w:p w14:paraId="330B8723" w14:textId="0E6EA1CC"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Bilateral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w:t>
            </w:r>
          </w:p>
        </w:tc>
        <w:tc>
          <w:tcPr>
            <w:tcW w:w="2128" w:type="dxa"/>
            <w:vAlign w:val="center"/>
          </w:tcPr>
          <w:p w14:paraId="5C4C2487" w14:textId="0995E65A"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 previous history of rfi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w:t>
            </w:r>
          </w:p>
        </w:tc>
        <w:tc>
          <w:tcPr>
            <w:tcW w:w="3192" w:type="dxa"/>
            <w:vAlign w:val="center"/>
          </w:tcPr>
          <w:p w14:paraId="70222E93" w14:textId="25724A6A"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Post-surgical, hypovolemic acute tubular necrosis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w:t>
            </w:r>
          </w:p>
        </w:tc>
        <w:tc>
          <w:tcPr>
            <w:tcW w:w="1729" w:type="dxa"/>
            <w:vAlign w:val="center"/>
          </w:tcPr>
          <w:p w14:paraId="6A61ADF1" w14:textId="77777777" w:rsidR="003B6C65" w:rsidRPr="00B246B6" w:rsidRDefault="003B6C65" w:rsidP="00C57CCC">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None</w:t>
            </w:r>
          </w:p>
        </w:tc>
      </w:tr>
      <w:tr w:rsidR="001274A8" w:rsidRPr="00B246B6" w14:paraId="1E0AC88F" w14:textId="77777777" w:rsidTr="00330D1B">
        <w:trPr>
          <w:trHeight w:val="472"/>
        </w:trPr>
        <w:tc>
          <w:tcPr>
            <w:tcW w:w="1463" w:type="dxa"/>
            <w:vAlign w:val="center"/>
          </w:tcPr>
          <w:p w14:paraId="7BBC272A" w14:textId="77777777" w:rsidR="003B6C65" w:rsidRPr="00B246B6" w:rsidRDefault="003B6C65" w:rsidP="00C57CCC">
            <w:pPr>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No vascular abnormalities</w:t>
            </w:r>
          </w:p>
          <w:p w14:paraId="7C376107" w14:textId="5F3B1F75" w:rsidR="003B6C65" w:rsidRPr="00B246B6" w:rsidRDefault="003B6C65" w:rsidP="00C57CCC">
            <w:pPr>
              <w:spacing w:after="0" w:line="360" w:lineRule="auto"/>
              <w:jc w:val="both"/>
              <w:rPr>
                <w:rFonts w:ascii="Book Antiqua" w:hAnsi="Book Antiqua" w:cs="Book Antiqua"/>
                <w:sz w:val="24"/>
                <w:szCs w:val="24"/>
                <w:lang w:val="en-US"/>
              </w:rPr>
            </w:pPr>
            <w:r w:rsidRPr="00B246B6">
              <w:rPr>
                <w:rFonts w:ascii="Book Antiqua" w:hAnsi="Book Antiqua" w:cs="Book Antiqua"/>
                <w:sz w:val="24"/>
                <w:szCs w:val="24"/>
                <w:lang w:val="en-US"/>
              </w:rPr>
              <w:t>(</w:t>
            </w:r>
            <w:r w:rsidR="00772A1B" w:rsidRPr="00B246B6">
              <w:rPr>
                <w:rFonts w:ascii="Book Antiqua" w:hAnsi="Book Antiqua" w:cs="Book Antiqua"/>
                <w:i/>
                <w:sz w:val="24"/>
                <w:szCs w:val="24"/>
                <w:lang w:val="en-US"/>
              </w:rPr>
              <w:t>n</w:t>
            </w:r>
            <w:r w:rsidR="00772A1B" w:rsidRPr="00B246B6">
              <w:rPr>
                <w:rFonts w:ascii="Book Antiqua" w:hAnsi="Book Antiqua" w:cs="Book Antiqua"/>
                <w:sz w:val="24"/>
                <w:szCs w:val="24"/>
                <w:lang w:val="en-US" w:eastAsia="zh-CN"/>
              </w:rPr>
              <w:t xml:space="preserve"> </w:t>
            </w:r>
            <w:r w:rsidR="00772A1B" w:rsidRPr="00B246B6">
              <w:rPr>
                <w:rFonts w:ascii="Book Antiqua" w:hAnsi="Book Antiqua" w:cs="Book Antiqua"/>
                <w:sz w:val="24"/>
                <w:szCs w:val="24"/>
                <w:lang w:val="en-US"/>
              </w:rPr>
              <w:t>=</w:t>
            </w:r>
            <w:r w:rsidR="00772A1B" w:rsidRPr="00B246B6">
              <w:rPr>
                <w:rFonts w:ascii="Book Antiqua" w:hAnsi="Book Antiqua" w:cs="Book Antiqua"/>
                <w:sz w:val="24"/>
                <w:szCs w:val="24"/>
                <w:lang w:val="en-US" w:eastAsia="zh-CN"/>
              </w:rPr>
              <w:t xml:space="preserve"> </w:t>
            </w:r>
            <w:r w:rsidRPr="00B246B6">
              <w:rPr>
                <w:rFonts w:ascii="Book Antiqua" w:hAnsi="Book Antiqua" w:cs="Book Antiqua"/>
                <w:sz w:val="24"/>
                <w:szCs w:val="24"/>
                <w:lang w:val="en-US"/>
              </w:rPr>
              <w:t>31)</w:t>
            </w:r>
          </w:p>
        </w:tc>
        <w:tc>
          <w:tcPr>
            <w:tcW w:w="1995" w:type="dxa"/>
            <w:vAlign w:val="center"/>
          </w:tcPr>
          <w:p w14:paraId="73924399" w14:textId="305B8CDC" w:rsidR="003B6C65" w:rsidRPr="00B246B6" w:rsidRDefault="0002003D" w:rsidP="00C57CCC">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None</w:t>
            </w:r>
          </w:p>
        </w:tc>
        <w:tc>
          <w:tcPr>
            <w:tcW w:w="2128" w:type="dxa"/>
            <w:vAlign w:val="center"/>
          </w:tcPr>
          <w:p w14:paraId="4D3840BD" w14:textId="457198CB"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Chronic rfi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21)</w:t>
            </w:r>
          </w:p>
          <w:p w14:paraId="02186BC1" w14:textId="32EBE4DF"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No previous history of rfi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lang w:val="en-US"/>
              </w:rPr>
              <w:t>10)</w:t>
            </w:r>
          </w:p>
          <w:p w14:paraId="7DEA7D76" w14:textId="77777777" w:rsidR="003B6C65" w:rsidRPr="00B246B6" w:rsidRDefault="003B6C65" w:rsidP="00C57CCC">
            <w:pPr>
              <w:pStyle w:val="ListParagraph"/>
              <w:spacing w:line="360" w:lineRule="auto"/>
              <w:jc w:val="both"/>
              <w:rPr>
                <w:rFonts w:ascii="Book Antiqua" w:hAnsi="Book Antiqua" w:cs="Book Antiqua"/>
                <w:lang w:val="en-US"/>
              </w:rPr>
            </w:pPr>
          </w:p>
        </w:tc>
        <w:tc>
          <w:tcPr>
            <w:tcW w:w="3192" w:type="dxa"/>
            <w:vAlign w:val="center"/>
          </w:tcPr>
          <w:p w14:paraId="27DC1A79" w14:textId="14795915"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lang w:val="en-US"/>
              </w:rPr>
              <w:t>Atheroembolic disease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Pr>
                <w:rFonts w:ascii="Book Antiqua" w:hAnsi="Book Antiqua" w:cs="Book Antiqua"/>
                <w:lang w:val="en-US"/>
              </w:rPr>
              <w:t>10)</w:t>
            </w:r>
          </w:p>
          <w:p w14:paraId="41F04F13" w14:textId="5B664F15" w:rsidR="003B6C65" w:rsidRPr="00B246B6" w:rsidRDefault="0002003D" w:rsidP="0002003D">
            <w:pPr>
              <w:pStyle w:val="ListParagraph"/>
              <w:spacing w:line="360" w:lineRule="auto"/>
              <w:jc w:val="both"/>
              <w:rPr>
                <w:rFonts w:ascii="Book Antiqua" w:hAnsi="Book Antiqua" w:cs="Book Antiqua"/>
              </w:rPr>
            </w:pPr>
            <w:r w:rsidRPr="00B246B6">
              <w:rPr>
                <w:rFonts w:ascii="Book Antiqua" w:hAnsi="Book Antiqua" w:cs="Book Antiqua"/>
              </w:rPr>
              <w:t>Acute pyelonephritis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Pr>
                <w:rFonts w:ascii="Book Antiqua" w:eastAsia="宋体" w:hAnsi="Book Antiqua" w:cs="Book Antiqua"/>
                <w:lang w:val="en-US" w:eastAsia="zh-CN"/>
              </w:rPr>
              <w:t xml:space="preserve"> </w:t>
            </w:r>
            <w:r w:rsidRPr="00B246B6">
              <w:rPr>
                <w:rFonts w:ascii="Book Antiqua" w:hAnsi="Book Antiqua" w:cs="Book Antiqua"/>
              </w:rPr>
              <w:t>4)</w:t>
            </w:r>
          </w:p>
          <w:p w14:paraId="3B1671CE" w14:textId="0E5DE106" w:rsidR="003B6C65" w:rsidRPr="00B246B6" w:rsidRDefault="0002003D" w:rsidP="0002003D">
            <w:pPr>
              <w:pStyle w:val="ListParagraph"/>
              <w:spacing w:line="360" w:lineRule="auto"/>
              <w:jc w:val="both"/>
              <w:rPr>
                <w:rFonts w:ascii="Book Antiqua" w:hAnsi="Book Antiqua" w:cs="Book Antiqua"/>
              </w:rPr>
            </w:pPr>
            <w:r w:rsidRPr="00B246B6">
              <w:rPr>
                <w:rFonts w:ascii="Book Antiqua" w:hAnsi="Book Antiqua" w:cs="Book Antiqua"/>
              </w:rPr>
              <w:t>Interstitial nephritis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rPr>
              <w:t xml:space="preserve">2) </w:t>
            </w:r>
          </w:p>
          <w:p w14:paraId="6718C6DF" w14:textId="6C905AD1" w:rsidR="003B6C65" w:rsidRPr="00B246B6" w:rsidRDefault="0002003D" w:rsidP="0002003D">
            <w:pPr>
              <w:pStyle w:val="ListParagraph"/>
              <w:spacing w:line="360" w:lineRule="auto"/>
              <w:jc w:val="both"/>
              <w:rPr>
                <w:rFonts w:ascii="Book Antiqua" w:hAnsi="Book Antiqua" w:cs="Book Antiqua"/>
              </w:rPr>
            </w:pPr>
            <w:r w:rsidRPr="00B246B6">
              <w:rPr>
                <w:rFonts w:ascii="Book Antiqua" w:hAnsi="Book Antiqua" w:cs="Book Antiqua"/>
              </w:rPr>
              <w:t>Acute papillary necrosis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rPr>
              <w:t>1)</w:t>
            </w:r>
          </w:p>
          <w:p w14:paraId="3C924D73" w14:textId="033A4216" w:rsidR="003B6C65" w:rsidRPr="00B246B6" w:rsidRDefault="0002003D" w:rsidP="0002003D">
            <w:pPr>
              <w:pStyle w:val="ListParagraph"/>
              <w:spacing w:line="360" w:lineRule="auto"/>
              <w:jc w:val="both"/>
              <w:rPr>
                <w:rFonts w:ascii="Book Antiqua" w:hAnsi="Book Antiqua" w:cs="Book Antiqua"/>
              </w:rPr>
            </w:pPr>
            <w:r w:rsidRPr="00B246B6">
              <w:rPr>
                <w:rFonts w:ascii="Book Antiqua" w:hAnsi="Book Antiqua" w:cs="Book Antiqua"/>
              </w:rPr>
              <w:t>Antiblastic drug-</w:t>
            </w:r>
            <w:r w:rsidRPr="00B246B6">
              <w:rPr>
                <w:rFonts w:ascii="Book Antiqua" w:hAnsi="Book Antiqua" w:cs="Book Antiqua"/>
              </w:rPr>
              <w:lastRenderedPageBreak/>
              <w:t>induced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rPr>
              <w:t>1)</w:t>
            </w:r>
          </w:p>
          <w:p w14:paraId="53B218F5" w14:textId="17E751CA" w:rsidR="003B6C65" w:rsidRPr="00B246B6" w:rsidRDefault="0002003D" w:rsidP="0002003D">
            <w:pPr>
              <w:pStyle w:val="ListParagraph"/>
              <w:spacing w:line="360" w:lineRule="auto"/>
              <w:jc w:val="both"/>
              <w:rPr>
                <w:rFonts w:ascii="Book Antiqua" w:hAnsi="Book Antiqua" w:cs="Book Antiqua"/>
              </w:rPr>
            </w:pPr>
            <w:r w:rsidRPr="00B246B6">
              <w:rPr>
                <w:rFonts w:ascii="Book Antiqua" w:hAnsi="Book Antiqua" w:cs="Book Antiqua"/>
              </w:rPr>
              <w:t>Dehydration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rPr>
              <w:t>1)</w:t>
            </w:r>
          </w:p>
          <w:p w14:paraId="72744338" w14:textId="57C2DB09" w:rsidR="003B6C65" w:rsidRPr="00B246B6" w:rsidRDefault="0002003D" w:rsidP="0002003D">
            <w:pPr>
              <w:pStyle w:val="ListParagraph"/>
              <w:spacing w:line="360" w:lineRule="auto"/>
              <w:jc w:val="both"/>
              <w:rPr>
                <w:rFonts w:ascii="Book Antiqua" w:hAnsi="Book Antiqua" w:cs="Book Antiqua"/>
                <w:lang w:val="en-US"/>
              </w:rPr>
            </w:pPr>
            <w:r w:rsidRPr="00B246B6">
              <w:rPr>
                <w:rFonts w:ascii="Book Antiqua" w:hAnsi="Book Antiqua" w:cs="Book Antiqua"/>
              </w:rPr>
              <w:t>Undetermined (</w:t>
            </w:r>
            <w:r w:rsidRPr="00B246B6">
              <w:rPr>
                <w:rFonts w:ascii="Book Antiqua" w:hAnsi="Book Antiqua" w:cs="Book Antiqua"/>
                <w:i/>
                <w:lang w:val="en-US"/>
              </w:rPr>
              <w:t>n</w:t>
            </w:r>
            <w:r w:rsidRPr="00B246B6">
              <w:rPr>
                <w:rFonts w:ascii="Book Antiqua" w:hAnsi="Book Antiqua" w:cs="Book Antiqua"/>
                <w:lang w:val="en-US" w:eastAsia="zh-CN"/>
              </w:rPr>
              <w:t xml:space="preserve"> </w:t>
            </w:r>
            <w:r w:rsidRPr="00B246B6">
              <w:rPr>
                <w:rFonts w:ascii="Book Antiqua" w:hAnsi="Book Antiqua" w:cs="Book Antiqua"/>
                <w:lang w:val="en-US"/>
              </w:rPr>
              <w:t>=</w:t>
            </w:r>
            <w:r w:rsidRPr="00B246B6">
              <w:rPr>
                <w:rFonts w:ascii="Book Antiqua" w:hAnsi="Book Antiqua" w:cs="Book Antiqua"/>
                <w:lang w:val="en-US" w:eastAsia="zh-CN"/>
              </w:rPr>
              <w:t xml:space="preserve"> </w:t>
            </w:r>
            <w:r w:rsidRPr="00B246B6">
              <w:rPr>
                <w:rFonts w:ascii="Book Antiqua" w:hAnsi="Book Antiqua" w:cs="Book Antiqua"/>
              </w:rPr>
              <w:t>12)</w:t>
            </w:r>
          </w:p>
        </w:tc>
        <w:tc>
          <w:tcPr>
            <w:tcW w:w="1729" w:type="dxa"/>
            <w:vAlign w:val="center"/>
          </w:tcPr>
          <w:p w14:paraId="7143C1D6" w14:textId="4CCF3CE0" w:rsidR="003B6C65" w:rsidRPr="00B246B6" w:rsidRDefault="003B6C65" w:rsidP="00C57CCC">
            <w:pPr>
              <w:pStyle w:val="ListParagraph"/>
              <w:spacing w:line="360" w:lineRule="auto"/>
              <w:jc w:val="both"/>
              <w:rPr>
                <w:rFonts w:ascii="Book Antiqua" w:hAnsi="Book Antiqua" w:cs="Book Antiqua"/>
                <w:lang w:val="en-US"/>
              </w:rPr>
            </w:pPr>
            <w:r w:rsidRPr="00B246B6">
              <w:rPr>
                <w:rFonts w:ascii="Book Antiqua" w:hAnsi="Book Antiqua" w:cs="Book Antiqua"/>
                <w:lang w:val="en-US"/>
              </w:rPr>
              <w:lastRenderedPageBreak/>
              <w:t>2 kidney biopsy, 3 skin biopsy</w:t>
            </w:r>
          </w:p>
          <w:p w14:paraId="4F7030BE" w14:textId="6F5A9BB9" w:rsidR="003B6C65" w:rsidRPr="00B246B6" w:rsidRDefault="003B6C65" w:rsidP="00C57CCC">
            <w:pPr>
              <w:pStyle w:val="ListParagraph"/>
              <w:spacing w:line="360" w:lineRule="auto"/>
              <w:jc w:val="both"/>
              <w:rPr>
                <w:rFonts w:ascii="Book Antiqua" w:hAnsi="Book Antiqua" w:cs="Book Antiqua"/>
                <w:lang w:val="en-US"/>
              </w:rPr>
            </w:pPr>
            <w:r w:rsidRPr="00B246B6">
              <w:rPr>
                <w:rFonts w:ascii="Book Antiqua" w:hAnsi="Book Antiqua" w:cs="Book Antiqua"/>
                <w:lang w:val="en-US"/>
              </w:rPr>
              <w:t>2 kidney biopsy</w:t>
            </w:r>
          </w:p>
        </w:tc>
      </w:tr>
    </w:tbl>
    <w:p w14:paraId="72B2F3CF" w14:textId="0389B671" w:rsidR="00B246B6" w:rsidRPr="00B246B6" w:rsidRDefault="00B246B6" w:rsidP="00B246B6">
      <w:pPr>
        <w:rPr>
          <w:rFonts w:ascii="Book Antiqua" w:hAnsi="Book Antiqua"/>
          <w:sz w:val="24"/>
          <w:szCs w:val="24"/>
          <w:lang w:eastAsia="zh-CN"/>
        </w:rPr>
      </w:pPr>
      <w:r w:rsidRPr="00B246B6">
        <w:rPr>
          <w:rFonts w:ascii="Book Antiqua" w:hAnsi="Book Antiqua" w:cs="Book Antiqua"/>
          <w:bCs/>
          <w:sz w:val="24"/>
          <w:szCs w:val="24"/>
          <w:lang w:val="en-US"/>
        </w:rPr>
        <w:lastRenderedPageBreak/>
        <w:t>CEUS</w:t>
      </w:r>
      <w:r w:rsidRPr="00B246B6">
        <w:rPr>
          <w:rFonts w:ascii="Book Antiqua" w:hAnsi="Book Antiqua" w:cs="Book Antiqua"/>
          <w:bCs/>
          <w:sz w:val="24"/>
          <w:szCs w:val="24"/>
          <w:lang w:val="en-US" w:eastAsia="zh-CN"/>
        </w:rPr>
        <w:t>:</w:t>
      </w:r>
      <w:r w:rsidRPr="00B246B6">
        <w:rPr>
          <w:rFonts w:ascii="Book Antiqua" w:hAnsi="Book Antiqua" w:cs="Book Antiqua"/>
          <w:sz w:val="24"/>
          <w:szCs w:val="24"/>
          <w:lang w:val="en-GB"/>
        </w:rPr>
        <w:t xml:space="preserve"> Contrast enhanced ultrasound</w:t>
      </w:r>
      <w:r w:rsidRPr="00B246B6">
        <w:rPr>
          <w:rFonts w:ascii="Book Antiqua" w:hAnsi="Book Antiqua"/>
          <w:sz w:val="24"/>
          <w:szCs w:val="24"/>
          <w:lang w:eastAsia="zh-CN"/>
        </w:rPr>
        <w:t xml:space="preserve">; </w:t>
      </w:r>
      <w:r w:rsidRPr="00B246B6">
        <w:rPr>
          <w:rFonts w:ascii="Book Antiqua" w:hAnsi="Book Antiqua" w:cs="Book Antiqua"/>
          <w:sz w:val="24"/>
          <w:szCs w:val="24"/>
          <w:lang w:val="en-US"/>
        </w:rPr>
        <w:t>RFI</w:t>
      </w:r>
      <w:r w:rsidRPr="00B246B6">
        <w:rPr>
          <w:rFonts w:ascii="Book Antiqua" w:hAnsi="Book Antiqua" w:cs="Book Antiqua" w:hint="eastAsia"/>
          <w:sz w:val="24"/>
          <w:szCs w:val="24"/>
          <w:lang w:val="en-US" w:eastAsia="zh-CN"/>
        </w:rPr>
        <w:t>:</w:t>
      </w:r>
      <w:r w:rsidRPr="00B246B6">
        <w:rPr>
          <w:rFonts w:ascii="Book Antiqua" w:hAnsi="Book Antiqua" w:cs="Book Antiqua"/>
          <w:sz w:val="24"/>
          <w:szCs w:val="24"/>
          <w:lang w:val="en-GB"/>
        </w:rPr>
        <w:t xml:space="preserve"> Renal function impairment</w:t>
      </w:r>
      <w:r w:rsidRPr="00B246B6">
        <w:rPr>
          <w:rFonts w:ascii="Book Antiqua" w:hAnsi="Book Antiqua" w:cs="Book Antiqua" w:hint="eastAsia"/>
          <w:sz w:val="24"/>
          <w:szCs w:val="24"/>
          <w:lang w:val="en-GB" w:eastAsia="zh-CN"/>
        </w:rPr>
        <w:t>.</w:t>
      </w:r>
    </w:p>
    <w:p w14:paraId="1EBCE021" w14:textId="77777777" w:rsidR="003B6C65" w:rsidRPr="00B246B6" w:rsidRDefault="003B6C65" w:rsidP="00C57CCC">
      <w:pPr>
        <w:widowControl w:val="0"/>
        <w:adjustRightInd w:val="0"/>
        <w:spacing w:after="0" w:line="360" w:lineRule="auto"/>
        <w:jc w:val="both"/>
        <w:rPr>
          <w:rFonts w:ascii="Book Antiqua" w:hAnsi="Book Antiqua" w:cs="Book Antiqua"/>
          <w:sz w:val="24"/>
          <w:szCs w:val="24"/>
          <w:lang w:val="en-US"/>
        </w:rPr>
      </w:pPr>
    </w:p>
    <w:sectPr w:rsidR="003B6C65" w:rsidRPr="00B246B6" w:rsidSect="00010E3E">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FF70A" w14:textId="77777777" w:rsidR="00426A04" w:rsidRDefault="00426A04" w:rsidP="005C6677">
      <w:pPr>
        <w:spacing w:after="0" w:line="240" w:lineRule="auto"/>
      </w:pPr>
      <w:r>
        <w:separator/>
      </w:r>
    </w:p>
  </w:endnote>
  <w:endnote w:type="continuationSeparator" w:id="0">
    <w:p w14:paraId="4DFEFB91" w14:textId="77777777" w:rsidR="00426A04" w:rsidRDefault="00426A04" w:rsidP="005C6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Segoe UI">
    <w:altName w:val="Courier New"/>
    <w:charset w:val="00"/>
    <w:family w:val="swiss"/>
    <w:pitch w:val="variable"/>
    <w:sig w:usb0="E4002EFF" w:usb1="C000E47F"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BF2A9" w14:textId="77777777" w:rsidR="000420F5" w:rsidRDefault="000420F5" w:rsidP="000317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396A">
      <w:rPr>
        <w:rStyle w:val="PageNumber"/>
        <w:noProof/>
      </w:rPr>
      <w:t>24</w:t>
    </w:r>
    <w:r>
      <w:rPr>
        <w:rStyle w:val="PageNumber"/>
      </w:rPr>
      <w:fldChar w:fldCharType="end"/>
    </w:r>
  </w:p>
  <w:p w14:paraId="3668F691" w14:textId="77777777" w:rsidR="000420F5" w:rsidRDefault="000420F5" w:rsidP="005C66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F5A66" w14:textId="77777777" w:rsidR="00426A04" w:rsidRDefault="00426A04" w:rsidP="005C6677">
      <w:pPr>
        <w:spacing w:after="0" w:line="240" w:lineRule="auto"/>
      </w:pPr>
      <w:r>
        <w:separator/>
      </w:r>
    </w:p>
  </w:footnote>
  <w:footnote w:type="continuationSeparator" w:id="0">
    <w:p w14:paraId="1D0175AA" w14:textId="77777777" w:rsidR="00426A04" w:rsidRDefault="00426A04" w:rsidP="005C667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11F"/>
    <w:multiLevelType w:val="hybridMultilevel"/>
    <w:tmpl w:val="085AA7D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12BD0339"/>
    <w:multiLevelType w:val="hybridMultilevel"/>
    <w:tmpl w:val="C742E9D8"/>
    <w:lvl w:ilvl="0" w:tplc="BF92D9F2">
      <w:start w:val="1"/>
      <w:numFmt w:val="bullet"/>
      <w:lvlText w:val=""/>
      <w:lvlJc w:val="left"/>
      <w:pPr>
        <w:tabs>
          <w:tab w:val="num" w:pos="720"/>
        </w:tabs>
        <w:ind w:left="720" w:hanging="360"/>
      </w:pPr>
      <w:rPr>
        <w:rFonts w:ascii="Wingdings" w:hAnsi="Wingdings" w:cs="Wingdings" w:hint="default"/>
      </w:rPr>
    </w:lvl>
    <w:lvl w:ilvl="1" w:tplc="A0683108">
      <w:start w:val="1"/>
      <w:numFmt w:val="bullet"/>
      <w:lvlText w:val=""/>
      <w:lvlJc w:val="left"/>
      <w:pPr>
        <w:tabs>
          <w:tab w:val="num" w:pos="1440"/>
        </w:tabs>
        <w:ind w:left="1440" w:hanging="360"/>
      </w:pPr>
      <w:rPr>
        <w:rFonts w:ascii="Wingdings" w:hAnsi="Wingdings" w:cs="Wingdings" w:hint="default"/>
      </w:rPr>
    </w:lvl>
    <w:lvl w:ilvl="2" w:tplc="4A3C58E4">
      <w:start w:val="1"/>
      <w:numFmt w:val="bullet"/>
      <w:lvlText w:val=""/>
      <w:lvlJc w:val="left"/>
      <w:pPr>
        <w:tabs>
          <w:tab w:val="num" w:pos="2160"/>
        </w:tabs>
        <w:ind w:left="2160" w:hanging="360"/>
      </w:pPr>
      <w:rPr>
        <w:rFonts w:ascii="Wingdings" w:hAnsi="Wingdings" w:cs="Wingdings" w:hint="default"/>
      </w:rPr>
    </w:lvl>
    <w:lvl w:ilvl="3" w:tplc="892CFC02">
      <w:start w:val="1"/>
      <w:numFmt w:val="bullet"/>
      <w:lvlText w:val=""/>
      <w:lvlJc w:val="left"/>
      <w:pPr>
        <w:tabs>
          <w:tab w:val="num" w:pos="2880"/>
        </w:tabs>
        <w:ind w:left="2880" w:hanging="360"/>
      </w:pPr>
      <w:rPr>
        <w:rFonts w:ascii="Wingdings" w:hAnsi="Wingdings" w:cs="Wingdings" w:hint="default"/>
      </w:rPr>
    </w:lvl>
    <w:lvl w:ilvl="4" w:tplc="63B6A030">
      <w:start w:val="1"/>
      <w:numFmt w:val="bullet"/>
      <w:lvlText w:val=""/>
      <w:lvlJc w:val="left"/>
      <w:pPr>
        <w:tabs>
          <w:tab w:val="num" w:pos="3600"/>
        </w:tabs>
        <w:ind w:left="3600" w:hanging="360"/>
      </w:pPr>
      <w:rPr>
        <w:rFonts w:ascii="Wingdings" w:hAnsi="Wingdings" w:cs="Wingdings" w:hint="default"/>
      </w:rPr>
    </w:lvl>
    <w:lvl w:ilvl="5" w:tplc="EA52D354">
      <w:start w:val="1"/>
      <w:numFmt w:val="bullet"/>
      <w:lvlText w:val=""/>
      <w:lvlJc w:val="left"/>
      <w:pPr>
        <w:tabs>
          <w:tab w:val="num" w:pos="4320"/>
        </w:tabs>
        <w:ind w:left="4320" w:hanging="360"/>
      </w:pPr>
      <w:rPr>
        <w:rFonts w:ascii="Wingdings" w:hAnsi="Wingdings" w:cs="Wingdings" w:hint="default"/>
      </w:rPr>
    </w:lvl>
    <w:lvl w:ilvl="6" w:tplc="E0A00DB6">
      <w:start w:val="1"/>
      <w:numFmt w:val="bullet"/>
      <w:lvlText w:val=""/>
      <w:lvlJc w:val="left"/>
      <w:pPr>
        <w:tabs>
          <w:tab w:val="num" w:pos="5040"/>
        </w:tabs>
        <w:ind w:left="5040" w:hanging="360"/>
      </w:pPr>
      <w:rPr>
        <w:rFonts w:ascii="Wingdings" w:hAnsi="Wingdings" w:cs="Wingdings" w:hint="default"/>
      </w:rPr>
    </w:lvl>
    <w:lvl w:ilvl="7" w:tplc="6D04A59C">
      <w:start w:val="1"/>
      <w:numFmt w:val="bullet"/>
      <w:lvlText w:val=""/>
      <w:lvlJc w:val="left"/>
      <w:pPr>
        <w:tabs>
          <w:tab w:val="num" w:pos="5760"/>
        </w:tabs>
        <w:ind w:left="5760" w:hanging="360"/>
      </w:pPr>
      <w:rPr>
        <w:rFonts w:ascii="Wingdings" w:hAnsi="Wingdings" w:cs="Wingdings" w:hint="default"/>
      </w:rPr>
    </w:lvl>
    <w:lvl w:ilvl="8" w:tplc="BC00C7E0">
      <w:start w:val="1"/>
      <w:numFmt w:val="bullet"/>
      <w:lvlText w:val=""/>
      <w:lvlJc w:val="left"/>
      <w:pPr>
        <w:tabs>
          <w:tab w:val="num" w:pos="6480"/>
        </w:tabs>
        <w:ind w:left="6480" w:hanging="360"/>
      </w:pPr>
      <w:rPr>
        <w:rFonts w:ascii="Wingdings" w:hAnsi="Wingdings" w:cs="Wingdings" w:hint="default"/>
      </w:rPr>
    </w:lvl>
  </w:abstractNum>
  <w:abstractNum w:abstractNumId="2">
    <w:nsid w:val="15D71C2B"/>
    <w:multiLevelType w:val="hybridMultilevel"/>
    <w:tmpl w:val="DD56E428"/>
    <w:lvl w:ilvl="0" w:tplc="085E6700">
      <w:numFmt w:val="bullet"/>
      <w:lvlText w:val="-"/>
      <w:lvlJc w:val="left"/>
      <w:pPr>
        <w:ind w:left="1776" w:hanging="360"/>
      </w:pPr>
      <w:rPr>
        <w:rFonts w:ascii="Arial" w:eastAsia="Times New Roman" w:hAnsi="Arial" w:hint="default"/>
      </w:rPr>
    </w:lvl>
    <w:lvl w:ilvl="1" w:tplc="04100003">
      <w:start w:val="1"/>
      <w:numFmt w:val="bullet"/>
      <w:lvlText w:val="o"/>
      <w:lvlJc w:val="left"/>
      <w:pPr>
        <w:ind w:left="2496" w:hanging="360"/>
      </w:pPr>
      <w:rPr>
        <w:rFonts w:ascii="Courier New" w:hAnsi="Courier New" w:cs="Courier New" w:hint="default"/>
      </w:rPr>
    </w:lvl>
    <w:lvl w:ilvl="2" w:tplc="04100005">
      <w:start w:val="1"/>
      <w:numFmt w:val="bullet"/>
      <w:lvlText w:val=""/>
      <w:lvlJc w:val="left"/>
      <w:pPr>
        <w:ind w:left="3216" w:hanging="360"/>
      </w:pPr>
      <w:rPr>
        <w:rFonts w:ascii="Wingdings" w:hAnsi="Wingdings" w:cs="Wingdings" w:hint="default"/>
      </w:rPr>
    </w:lvl>
    <w:lvl w:ilvl="3" w:tplc="04100001">
      <w:start w:val="1"/>
      <w:numFmt w:val="bullet"/>
      <w:lvlText w:val=""/>
      <w:lvlJc w:val="left"/>
      <w:pPr>
        <w:ind w:left="3936" w:hanging="360"/>
      </w:pPr>
      <w:rPr>
        <w:rFonts w:ascii="Symbol" w:hAnsi="Symbol" w:cs="Symbol" w:hint="default"/>
      </w:rPr>
    </w:lvl>
    <w:lvl w:ilvl="4" w:tplc="04100003">
      <w:start w:val="1"/>
      <w:numFmt w:val="bullet"/>
      <w:lvlText w:val="o"/>
      <w:lvlJc w:val="left"/>
      <w:pPr>
        <w:ind w:left="4656" w:hanging="360"/>
      </w:pPr>
      <w:rPr>
        <w:rFonts w:ascii="Courier New" w:hAnsi="Courier New" w:cs="Courier New" w:hint="default"/>
      </w:rPr>
    </w:lvl>
    <w:lvl w:ilvl="5" w:tplc="04100005">
      <w:start w:val="1"/>
      <w:numFmt w:val="bullet"/>
      <w:lvlText w:val=""/>
      <w:lvlJc w:val="left"/>
      <w:pPr>
        <w:ind w:left="5376" w:hanging="360"/>
      </w:pPr>
      <w:rPr>
        <w:rFonts w:ascii="Wingdings" w:hAnsi="Wingdings" w:cs="Wingdings" w:hint="default"/>
      </w:rPr>
    </w:lvl>
    <w:lvl w:ilvl="6" w:tplc="04100001">
      <w:start w:val="1"/>
      <w:numFmt w:val="bullet"/>
      <w:lvlText w:val=""/>
      <w:lvlJc w:val="left"/>
      <w:pPr>
        <w:ind w:left="6096" w:hanging="360"/>
      </w:pPr>
      <w:rPr>
        <w:rFonts w:ascii="Symbol" w:hAnsi="Symbol" w:cs="Symbol" w:hint="default"/>
      </w:rPr>
    </w:lvl>
    <w:lvl w:ilvl="7" w:tplc="04100003">
      <w:start w:val="1"/>
      <w:numFmt w:val="bullet"/>
      <w:lvlText w:val="o"/>
      <w:lvlJc w:val="left"/>
      <w:pPr>
        <w:ind w:left="6816" w:hanging="360"/>
      </w:pPr>
      <w:rPr>
        <w:rFonts w:ascii="Courier New" w:hAnsi="Courier New" w:cs="Courier New" w:hint="default"/>
      </w:rPr>
    </w:lvl>
    <w:lvl w:ilvl="8" w:tplc="04100005">
      <w:start w:val="1"/>
      <w:numFmt w:val="bullet"/>
      <w:lvlText w:val=""/>
      <w:lvlJc w:val="left"/>
      <w:pPr>
        <w:ind w:left="7536" w:hanging="360"/>
      </w:pPr>
      <w:rPr>
        <w:rFonts w:ascii="Wingdings" w:hAnsi="Wingdings" w:cs="Wingdings" w:hint="default"/>
      </w:rPr>
    </w:lvl>
  </w:abstractNum>
  <w:abstractNum w:abstractNumId="3">
    <w:nsid w:val="1DF15EEA"/>
    <w:multiLevelType w:val="hybridMultilevel"/>
    <w:tmpl w:val="FC94633E"/>
    <w:lvl w:ilvl="0" w:tplc="C04EF190">
      <w:start w:val="1"/>
      <w:numFmt w:val="bullet"/>
      <w:lvlText w:val=""/>
      <w:lvlJc w:val="left"/>
      <w:pPr>
        <w:tabs>
          <w:tab w:val="num" w:pos="720"/>
        </w:tabs>
        <w:ind w:left="720" w:hanging="360"/>
      </w:pPr>
      <w:rPr>
        <w:rFonts w:ascii="Wingdings" w:hAnsi="Wingdings" w:cs="Wingdings" w:hint="default"/>
      </w:rPr>
    </w:lvl>
    <w:lvl w:ilvl="1" w:tplc="A33CD352">
      <w:start w:val="1"/>
      <w:numFmt w:val="bullet"/>
      <w:lvlText w:val=""/>
      <w:lvlJc w:val="left"/>
      <w:pPr>
        <w:tabs>
          <w:tab w:val="num" w:pos="1440"/>
        </w:tabs>
        <w:ind w:left="1440" w:hanging="360"/>
      </w:pPr>
      <w:rPr>
        <w:rFonts w:ascii="Wingdings" w:hAnsi="Wingdings" w:cs="Wingdings" w:hint="default"/>
      </w:rPr>
    </w:lvl>
    <w:lvl w:ilvl="2" w:tplc="8536F226">
      <w:start w:val="1"/>
      <w:numFmt w:val="bullet"/>
      <w:lvlText w:val=""/>
      <w:lvlJc w:val="left"/>
      <w:pPr>
        <w:tabs>
          <w:tab w:val="num" w:pos="2160"/>
        </w:tabs>
        <w:ind w:left="2160" w:hanging="360"/>
      </w:pPr>
      <w:rPr>
        <w:rFonts w:ascii="Wingdings" w:hAnsi="Wingdings" w:cs="Wingdings" w:hint="default"/>
      </w:rPr>
    </w:lvl>
    <w:lvl w:ilvl="3" w:tplc="51FCA624">
      <w:start w:val="1"/>
      <w:numFmt w:val="bullet"/>
      <w:lvlText w:val=""/>
      <w:lvlJc w:val="left"/>
      <w:pPr>
        <w:tabs>
          <w:tab w:val="num" w:pos="2880"/>
        </w:tabs>
        <w:ind w:left="2880" w:hanging="360"/>
      </w:pPr>
      <w:rPr>
        <w:rFonts w:ascii="Wingdings" w:hAnsi="Wingdings" w:cs="Wingdings" w:hint="default"/>
      </w:rPr>
    </w:lvl>
    <w:lvl w:ilvl="4" w:tplc="29D89F7C">
      <w:start w:val="1"/>
      <w:numFmt w:val="bullet"/>
      <w:lvlText w:val=""/>
      <w:lvlJc w:val="left"/>
      <w:pPr>
        <w:tabs>
          <w:tab w:val="num" w:pos="3600"/>
        </w:tabs>
        <w:ind w:left="3600" w:hanging="360"/>
      </w:pPr>
      <w:rPr>
        <w:rFonts w:ascii="Wingdings" w:hAnsi="Wingdings" w:cs="Wingdings" w:hint="default"/>
      </w:rPr>
    </w:lvl>
    <w:lvl w:ilvl="5" w:tplc="CD2EEF12">
      <w:start w:val="1"/>
      <w:numFmt w:val="bullet"/>
      <w:lvlText w:val=""/>
      <w:lvlJc w:val="left"/>
      <w:pPr>
        <w:tabs>
          <w:tab w:val="num" w:pos="4320"/>
        </w:tabs>
        <w:ind w:left="4320" w:hanging="360"/>
      </w:pPr>
      <w:rPr>
        <w:rFonts w:ascii="Wingdings" w:hAnsi="Wingdings" w:cs="Wingdings" w:hint="default"/>
      </w:rPr>
    </w:lvl>
    <w:lvl w:ilvl="6" w:tplc="10641DAA">
      <w:start w:val="1"/>
      <w:numFmt w:val="bullet"/>
      <w:lvlText w:val=""/>
      <w:lvlJc w:val="left"/>
      <w:pPr>
        <w:tabs>
          <w:tab w:val="num" w:pos="5040"/>
        </w:tabs>
        <w:ind w:left="5040" w:hanging="360"/>
      </w:pPr>
      <w:rPr>
        <w:rFonts w:ascii="Wingdings" w:hAnsi="Wingdings" w:cs="Wingdings" w:hint="default"/>
      </w:rPr>
    </w:lvl>
    <w:lvl w:ilvl="7" w:tplc="87C2C80C">
      <w:start w:val="1"/>
      <w:numFmt w:val="bullet"/>
      <w:lvlText w:val=""/>
      <w:lvlJc w:val="left"/>
      <w:pPr>
        <w:tabs>
          <w:tab w:val="num" w:pos="5760"/>
        </w:tabs>
        <w:ind w:left="5760" w:hanging="360"/>
      </w:pPr>
      <w:rPr>
        <w:rFonts w:ascii="Wingdings" w:hAnsi="Wingdings" w:cs="Wingdings" w:hint="default"/>
      </w:rPr>
    </w:lvl>
    <w:lvl w:ilvl="8" w:tplc="0D82906A">
      <w:start w:val="1"/>
      <w:numFmt w:val="bullet"/>
      <w:lvlText w:val=""/>
      <w:lvlJc w:val="left"/>
      <w:pPr>
        <w:tabs>
          <w:tab w:val="num" w:pos="6480"/>
        </w:tabs>
        <w:ind w:left="6480" w:hanging="360"/>
      </w:pPr>
      <w:rPr>
        <w:rFonts w:ascii="Wingdings" w:hAnsi="Wingdings" w:cs="Wingdings" w:hint="default"/>
      </w:rPr>
    </w:lvl>
  </w:abstractNum>
  <w:abstractNum w:abstractNumId="4">
    <w:nsid w:val="311F3DCF"/>
    <w:multiLevelType w:val="hybridMultilevel"/>
    <w:tmpl w:val="10F87E7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34AD7F38"/>
    <w:multiLevelType w:val="hybridMultilevel"/>
    <w:tmpl w:val="B29476F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444B2BA2"/>
    <w:multiLevelType w:val="hybridMultilevel"/>
    <w:tmpl w:val="2F16DAE2"/>
    <w:lvl w:ilvl="0" w:tplc="04100001">
      <w:start w:val="1"/>
      <w:numFmt w:val="bullet"/>
      <w:lvlText w:val=""/>
      <w:lvlJc w:val="left"/>
      <w:pPr>
        <w:ind w:left="1440" w:hanging="360"/>
      </w:pPr>
      <w:rPr>
        <w:rFonts w:ascii="Symbol" w:hAnsi="Symbol" w:cs="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cs="Wingdings" w:hint="default"/>
      </w:rPr>
    </w:lvl>
    <w:lvl w:ilvl="3" w:tplc="04100001">
      <w:start w:val="1"/>
      <w:numFmt w:val="bullet"/>
      <w:lvlText w:val=""/>
      <w:lvlJc w:val="left"/>
      <w:pPr>
        <w:ind w:left="3600" w:hanging="360"/>
      </w:pPr>
      <w:rPr>
        <w:rFonts w:ascii="Symbol" w:hAnsi="Symbol" w:cs="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cs="Wingdings" w:hint="default"/>
      </w:rPr>
    </w:lvl>
    <w:lvl w:ilvl="6" w:tplc="04100001">
      <w:start w:val="1"/>
      <w:numFmt w:val="bullet"/>
      <w:lvlText w:val=""/>
      <w:lvlJc w:val="left"/>
      <w:pPr>
        <w:ind w:left="5760" w:hanging="360"/>
      </w:pPr>
      <w:rPr>
        <w:rFonts w:ascii="Symbol" w:hAnsi="Symbol" w:cs="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cs="Wingdings" w:hint="default"/>
      </w:rPr>
    </w:lvl>
  </w:abstractNum>
  <w:abstractNum w:abstractNumId="7">
    <w:nsid w:val="4E2F372F"/>
    <w:multiLevelType w:val="hybridMultilevel"/>
    <w:tmpl w:val="A3CC400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nsid w:val="51B54371"/>
    <w:multiLevelType w:val="hybridMultilevel"/>
    <w:tmpl w:val="6E30A81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7C040B4A"/>
    <w:multiLevelType w:val="hybridMultilevel"/>
    <w:tmpl w:val="31C6C6E2"/>
    <w:lvl w:ilvl="0" w:tplc="B35EA366">
      <w:start w:val="2"/>
      <w:numFmt w:val="bullet"/>
      <w:lvlText w:val="-"/>
      <w:lvlJc w:val="left"/>
      <w:pPr>
        <w:ind w:left="1776" w:hanging="360"/>
      </w:pPr>
      <w:rPr>
        <w:rFonts w:ascii="Arial" w:eastAsia="Times New Roman" w:hAnsi="Arial" w:hint="default"/>
      </w:rPr>
    </w:lvl>
    <w:lvl w:ilvl="1" w:tplc="04100003">
      <w:start w:val="1"/>
      <w:numFmt w:val="bullet"/>
      <w:lvlText w:val="o"/>
      <w:lvlJc w:val="left"/>
      <w:pPr>
        <w:ind w:left="2496" w:hanging="360"/>
      </w:pPr>
      <w:rPr>
        <w:rFonts w:ascii="Courier New" w:hAnsi="Courier New" w:cs="Courier New" w:hint="default"/>
      </w:rPr>
    </w:lvl>
    <w:lvl w:ilvl="2" w:tplc="04100005">
      <w:start w:val="1"/>
      <w:numFmt w:val="bullet"/>
      <w:lvlText w:val=""/>
      <w:lvlJc w:val="left"/>
      <w:pPr>
        <w:ind w:left="3216" w:hanging="360"/>
      </w:pPr>
      <w:rPr>
        <w:rFonts w:ascii="Wingdings" w:hAnsi="Wingdings" w:cs="Wingdings" w:hint="default"/>
      </w:rPr>
    </w:lvl>
    <w:lvl w:ilvl="3" w:tplc="04100001">
      <w:start w:val="1"/>
      <w:numFmt w:val="bullet"/>
      <w:lvlText w:val=""/>
      <w:lvlJc w:val="left"/>
      <w:pPr>
        <w:ind w:left="3936" w:hanging="360"/>
      </w:pPr>
      <w:rPr>
        <w:rFonts w:ascii="Symbol" w:hAnsi="Symbol" w:cs="Symbol" w:hint="default"/>
      </w:rPr>
    </w:lvl>
    <w:lvl w:ilvl="4" w:tplc="04100003">
      <w:start w:val="1"/>
      <w:numFmt w:val="bullet"/>
      <w:lvlText w:val="o"/>
      <w:lvlJc w:val="left"/>
      <w:pPr>
        <w:ind w:left="4656" w:hanging="360"/>
      </w:pPr>
      <w:rPr>
        <w:rFonts w:ascii="Courier New" w:hAnsi="Courier New" w:cs="Courier New" w:hint="default"/>
      </w:rPr>
    </w:lvl>
    <w:lvl w:ilvl="5" w:tplc="04100005">
      <w:start w:val="1"/>
      <w:numFmt w:val="bullet"/>
      <w:lvlText w:val=""/>
      <w:lvlJc w:val="left"/>
      <w:pPr>
        <w:ind w:left="5376" w:hanging="360"/>
      </w:pPr>
      <w:rPr>
        <w:rFonts w:ascii="Wingdings" w:hAnsi="Wingdings" w:cs="Wingdings" w:hint="default"/>
      </w:rPr>
    </w:lvl>
    <w:lvl w:ilvl="6" w:tplc="04100001">
      <w:start w:val="1"/>
      <w:numFmt w:val="bullet"/>
      <w:lvlText w:val=""/>
      <w:lvlJc w:val="left"/>
      <w:pPr>
        <w:ind w:left="6096" w:hanging="360"/>
      </w:pPr>
      <w:rPr>
        <w:rFonts w:ascii="Symbol" w:hAnsi="Symbol" w:cs="Symbol" w:hint="default"/>
      </w:rPr>
    </w:lvl>
    <w:lvl w:ilvl="7" w:tplc="04100003">
      <w:start w:val="1"/>
      <w:numFmt w:val="bullet"/>
      <w:lvlText w:val="o"/>
      <w:lvlJc w:val="left"/>
      <w:pPr>
        <w:ind w:left="6816" w:hanging="360"/>
      </w:pPr>
      <w:rPr>
        <w:rFonts w:ascii="Courier New" w:hAnsi="Courier New" w:cs="Courier New" w:hint="default"/>
      </w:rPr>
    </w:lvl>
    <w:lvl w:ilvl="8" w:tplc="04100005">
      <w:start w:val="1"/>
      <w:numFmt w:val="bullet"/>
      <w:lvlText w:val=""/>
      <w:lvlJc w:val="left"/>
      <w:pPr>
        <w:ind w:left="7536" w:hanging="360"/>
      </w:pPr>
      <w:rPr>
        <w:rFonts w:ascii="Wingdings" w:hAnsi="Wingdings" w:cs="Wingdings" w:hint="default"/>
      </w:rPr>
    </w:lvl>
  </w:abstractNum>
  <w:num w:numId="1">
    <w:abstractNumId w:val="1"/>
  </w:num>
  <w:num w:numId="2">
    <w:abstractNumId w:val="9"/>
  </w:num>
  <w:num w:numId="3">
    <w:abstractNumId w:val="2"/>
  </w:num>
  <w:num w:numId="4">
    <w:abstractNumId w:val="0"/>
  </w:num>
  <w:num w:numId="5">
    <w:abstractNumId w:val="4"/>
  </w:num>
  <w:num w:numId="6">
    <w:abstractNumId w:val="6"/>
  </w:num>
  <w:num w:numId="7">
    <w:abstractNumId w:val="8"/>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2D1"/>
    <w:rsid w:val="0000064E"/>
    <w:rsid w:val="00000A6D"/>
    <w:rsid w:val="00003CFE"/>
    <w:rsid w:val="00004944"/>
    <w:rsid w:val="000051AF"/>
    <w:rsid w:val="000067F6"/>
    <w:rsid w:val="00010E3E"/>
    <w:rsid w:val="0001454A"/>
    <w:rsid w:val="0001799F"/>
    <w:rsid w:val="0002003D"/>
    <w:rsid w:val="00021551"/>
    <w:rsid w:val="000317C5"/>
    <w:rsid w:val="00034F43"/>
    <w:rsid w:val="000420F5"/>
    <w:rsid w:val="00057B1F"/>
    <w:rsid w:val="00061100"/>
    <w:rsid w:val="00072937"/>
    <w:rsid w:val="00073D9F"/>
    <w:rsid w:val="00074E6D"/>
    <w:rsid w:val="000944E0"/>
    <w:rsid w:val="00094682"/>
    <w:rsid w:val="000964A4"/>
    <w:rsid w:val="000C4A7D"/>
    <w:rsid w:val="000C753B"/>
    <w:rsid w:val="000C7A02"/>
    <w:rsid w:val="000D4240"/>
    <w:rsid w:val="000D6EE9"/>
    <w:rsid w:val="000E1175"/>
    <w:rsid w:val="000E1AA9"/>
    <w:rsid w:val="000E43D6"/>
    <w:rsid w:val="000E565D"/>
    <w:rsid w:val="000F0DDA"/>
    <w:rsid w:val="000F2DB0"/>
    <w:rsid w:val="000F460A"/>
    <w:rsid w:val="00102467"/>
    <w:rsid w:val="00106513"/>
    <w:rsid w:val="00114425"/>
    <w:rsid w:val="001154A5"/>
    <w:rsid w:val="00115726"/>
    <w:rsid w:val="00121F20"/>
    <w:rsid w:val="001232BD"/>
    <w:rsid w:val="00126303"/>
    <w:rsid w:val="001274A8"/>
    <w:rsid w:val="00130822"/>
    <w:rsid w:val="001332B0"/>
    <w:rsid w:val="00134106"/>
    <w:rsid w:val="00134A9E"/>
    <w:rsid w:val="00135ED1"/>
    <w:rsid w:val="00135FA4"/>
    <w:rsid w:val="001401C0"/>
    <w:rsid w:val="001411A2"/>
    <w:rsid w:val="00141D1D"/>
    <w:rsid w:val="001440ED"/>
    <w:rsid w:val="00147EBF"/>
    <w:rsid w:val="00147F67"/>
    <w:rsid w:val="00150035"/>
    <w:rsid w:val="00152BA1"/>
    <w:rsid w:val="00153DA2"/>
    <w:rsid w:val="00161F8F"/>
    <w:rsid w:val="0016445F"/>
    <w:rsid w:val="00166144"/>
    <w:rsid w:val="001725CB"/>
    <w:rsid w:val="001775E4"/>
    <w:rsid w:val="00180D4B"/>
    <w:rsid w:val="001815D0"/>
    <w:rsid w:val="00182582"/>
    <w:rsid w:val="0018390A"/>
    <w:rsid w:val="00190085"/>
    <w:rsid w:val="00190BB4"/>
    <w:rsid w:val="00194E22"/>
    <w:rsid w:val="00195599"/>
    <w:rsid w:val="001A0BC6"/>
    <w:rsid w:val="001B5CE5"/>
    <w:rsid w:val="001B7892"/>
    <w:rsid w:val="001C014B"/>
    <w:rsid w:val="001C3360"/>
    <w:rsid w:val="001C424C"/>
    <w:rsid w:val="001C6459"/>
    <w:rsid w:val="001C7CD4"/>
    <w:rsid w:val="001D0154"/>
    <w:rsid w:val="001D0DA6"/>
    <w:rsid w:val="001D2C85"/>
    <w:rsid w:val="001D4A5D"/>
    <w:rsid w:val="001D700F"/>
    <w:rsid w:val="001E3FC8"/>
    <w:rsid w:val="001E4D0A"/>
    <w:rsid w:val="001E6638"/>
    <w:rsid w:val="001F45BD"/>
    <w:rsid w:val="001F4CD9"/>
    <w:rsid w:val="001F6948"/>
    <w:rsid w:val="00201483"/>
    <w:rsid w:val="00204404"/>
    <w:rsid w:val="00206B36"/>
    <w:rsid w:val="002106A5"/>
    <w:rsid w:val="00214654"/>
    <w:rsid w:val="00222207"/>
    <w:rsid w:val="00226C0A"/>
    <w:rsid w:val="00230F0B"/>
    <w:rsid w:val="00235F3A"/>
    <w:rsid w:val="0024145E"/>
    <w:rsid w:val="002416D9"/>
    <w:rsid w:val="00242219"/>
    <w:rsid w:val="00245C4E"/>
    <w:rsid w:val="00250AF1"/>
    <w:rsid w:val="0027009A"/>
    <w:rsid w:val="0027154F"/>
    <w:rsid w:val="00273364"/>
    <w:rsid w:val="00273E29"/>
    <w:rsid w:val="002763A6"/>
    <w:rsid w:val="00282594"/>
    <w:rsid w:val="00285220"/>
    <w:rsid w:val="00285334"/>
    <w:rsid w:val="002856E7"/>
    <w:rsid w:val="00291237"/>
    <w:rsid w:val="002946EE"/>
    <w:rsid w:val="00295C96"/>
    <w:rsid w:val="002A0CB3"/>
    <w:rsid w:val="002A7223"/>
    <w:rsid w:val="002B0E89"/>
    <w:rsid w:val="002B6967"/>
    <w:rsid w:val="002B6ABB"/>
    <w:rsid w:val="002B6B4E"/>
    <w:rsid w:val="002B7A0B"/>
    <w:rsid w:val="002D55AD"/>
    <w:rsid w:val="002F0C18"/>
    <w:rsid w:val="002F5E19"/>
    <w:rsid w:val="003021D6"/>
    <w:rsid w:val="00305440"/>
    <w:rsid w:val="003069EB"/>
    <w:rsid w:val="00306C07"/>
    <w:rsid w:val="0031131D"/>
    <w:rsid w:val="003127FD"/>
    <w:rsid w:val="00326819"/>
    <w:rsid w:val="00330D1B"/>
    <w:rsid w:val="003372B6"/>
    <w:rsid w:val="00337C88"/>
    <w:rsid w:val="00341867"/>
    <w:rsid w:val="00341A4F"/>
    <w:rsid w:val="003456D8"/>
    <w:rsid w:val="00346DFB"/>
    <w:rsid w:val="003504FF"/>
    <w:rsid w:val="00350FEB"/>
    <w:rsid w:val="003532B6"/>
    <w:rsid w:val="0035456E"/>
    <w:rsid w:val="003545D8"/>
    <w:rsid w:val="003604AC"/>
    <w:rsid w:val="00365AA2"/>
    <w:rsid w:val="003675AB"/>
    <w:rsid w:val="0037143B"/>
    <w:rsid w:val="00374DCA"/>
    <w:rsid w:val="00376BC7"/>
    <w:rsid w:val="00381668"/>
    <w:rsid w:val="00381C8A"/>
    <w:rsid w:val="00383811"/>
    <w:rsid w:val="0038462B"/>
    <w:rsid w:val="00385A45"/>
    <w:rsid w:val="00387C4C"/>
    <w:rsid w:val="003937CC"/>
    <w:rsid w:val="00394608"/>
    <w:rsid w:val="0039750C"/>
    <w:rsid w:val="003A03CA"/>
    <w:rsid w:val="003A4377"/>
    <w:rsid w:val="003A4DDD"/>
    <w:rsid w:val="003A4EA7"/>
    <w:rsid w:val="003A6961"/>
    <w:rsid w:val="003B00BD"/>
    <w:rsid w:val="003B1405"/>
    <w:rsid w:val="003B282A"/>
    <w:rsid w:val="003B359E"/>
    <w:rsid w:val="003B3D2E"/>
    <w:rsid w:val="003B59D9"/>
    <w:rsid w:val="003B6C65"/>
    <w:rsid w:val="003C070B"/>
    <w:rsid w:val="003C422D"/>
    <w:rsid w:val="003C4495"/>
    <w:rsid w:val="003C4565"/>
    <w:rsid w:val="003C55AF"/>
    <w:rsid w:val="003C71D0"/>
    <w:rsid w:val="003C7B2C"/>
    <w:rsid w:val="003C7D28"/>
    <w:rsid w:val="003D1417"/>
    <w:rsid w:val="003D24EF"/>
    <w:rsid w:val="003D38A1"/>
    <w:rsid w:val="003D54BB"/>
    <w:rsid w:val="003D7334"/>
    <w:rsid w:val="003E18A2"/>
    <w:rsid w:val="003E1B16"/>
    <w:rsid w:val="003E2EBA"/>
    <w:rsid w:val="003E6E94"/>
    <w:rsid w:val="003F07AA"/>
    <w:rsid w:val="003F3043"/>
    <w:rsid w:val="003F3783"/>
    <w:rsid w:val="003F6467"/>
    <w:rsid w:val="004021D1"/>
    <w:rsid w:val="004038AE"/>
    <w:rsid w:val="00407014"/>
    <w:rsid w:val="004072D1"/>
    <w:rsid w:val="00411E4A"/>
    <w:rsid w:val="00414573"/>
    <w:rsid w:val="00414A51"/>
    <w:rsid w:val="00415134"/>
    <w:rsid w:val="004207C4"/>
    <w:rsid w:val="00421959"/>
    <w:rsid w:val="00425B86"/>
    <w:rsid w:val="00426A04"/>
    <w:rsid w:val="00427585"/>
    <w:rsid w:val="0043072B"/>
    <w:rsid w:val="00440FE0"/>
    <w:rsid w:val="00441FD8"/>
    <w:rsid w:val="0045121D"/>
    <w:rsid w:val="0045161C"/>
    <w:rsid w:val="00456A4E"/>
    <w:rsid w:val="004610FD"/>
    <w:rsid w:val="00462FFF"/>
    <w:rsid w:val="00465145"/>
    <w:rsid w:val="004651E7"/>
    <w:rsid w:val="00467B18"/>
    <w:rsid w:val="00476DE8"/>
    <w:rsid w:val="004778B2"/>
    <w:rsid w:val="00480334"/>
    <w:rsid w:val="00481021"/>
    <w:rsid w:val="00484664"/>
    <w:rsid w:val="00486E44"/>
    <w:rsid w:val="00490C72"/>
    <w:rsid w:val="00491D94"/>
    <w:rsid w:val="00495882"/>
    <w:rsid w:val="004A018C"/>
    <w:rsid w:val="004A3B7F"/>
    <w:rsid w:val="004A4A58"/>
    <w:rsid w:val="004A5B4C"/>
    <w:rsid w:val="004A6649"/>
    <w:rsid w:val="004A71C9"/>
    <w:rsid w:val="004A7492"/>
    <w:rsid w:val="004B4E4F"/>
    <w:rsid w:val="004C4C27"/>
    <w:rsid w:val="004C62F4"/>
    <w:rsid w:val="004C6FF5"/>
    <w:rsid w:val="004C7A45"/>
    <w:rsid w:val="004D023C"/>
    <w:rsid w:val="004D3E95"/>
    <w:rsid w:val="004D4451"/>
    <w:rsid w:val="004E0BF0"/>
    <w:rsid w:val="004E1AB7"/>
    <w:rsid w:val="004E2B48"/>
    <w:rsid w:val="004E3D85"/>
    <w:rsid w:val="004E6FA5"/>
    <w:rsid w:val="004E7ED6"/>
    <w:rsid w:val="004F2912"/>
    <w:rsid w:val="004F5C6D"/>
    <w:rsid w:val="00500219"/>
    <w:rsid w:val="00504893"/>
    <w:rsid w:val="0050661C"/>
    <w:rsid w:val="00510834"/>
    <w:rsid w:val="00512422"/>
    <w:rsid w:val="00513BBB"/>
    <w:rsid w:val="005140D9"/>
    <w:rsid w:val="00522797"/>
    <w:rsid w:val="00523864"/>
    <w:rsid w:val="0053275A"/>
    <w:rsid w:val="00535330"/>
    <w:rsid w:val="00536AA3"/>
    <w:rsid w:val="005401A9"/>
    <w:rsid w:val="00542A33"/>
    <w:rsid w:val="00543EDF"/>
    <w:rsid w:val="005452FA"/>
    <w:rsid w:val="00547FDE"/>
    <w:rsid w:val="00553688"/>
    <w:rsid w:val="00555966"/>
    <w:rsid w:val="00561B9C"/>
    <w:rsid w:val="0056532F"/>
    <w:rsid w:val="00566006"/>
    <w:rsid w:val="00566043"/>
    <w:rsid w:val="00566156"/>
    <w:rsid w:val="00567A6C"/>
    <w:rsid w:val="005703ED"/>
    <w:rsid w:val="005705B1"/>
    <w:rsid w:val="005827F8"/>
    <w:rsid w:val="00585B62"/>
    <w:rsid w:val="005907EA"/>
    <w:rsid w:val="0059159C"/>
    <w:rsid w:val="0059694E"/>
    <w:rsid w:val="00597CBF"/>
    <w:rsid w:val="005A11A7"/>
    <w:rsid w:val="005A17EB"/>
    <w:rsid w:val="005A1BBF"/>
    <w:rsid w:val="005A2F39"/>
    <w:rsid w:val="005A387B"/>
    <w:rsid w:val="005A3B72"/>
    <w:rsid w:val="005A3BFB"/>
    <w:rsid w:val="005A55CA"/>
    <w:rsid w:val="005A5E3C"/>
    <w:rsid w:val="005B2272"/>
    <w:rsid w:val="005B4EF8"/>
    <w:rsid w:val="005C04C7"/>
    <w:rsid w:val="005C202C"/>
    <w:rsid w:val="005C3ADC"/>
    <w:rsid w:val="005C467C"/>
    <w:rsid w:val="005C4D79"/>
    <w:rsid w:val="005C5C1B"/>
    <w:rsid w:val="005C6610"/>
    <w:rsid w:val="005C6677"/>
    <w:rsid w:val="005C7073"/>
    <w:rsid w:val="005D2AB7"/>
    <w:rsid w:val="005D36C5"/>
    <w:rsid w:val="005D5425"/>
    <w:rsid w:val="005E24EC"/>
    <w:rsid w:val="005E560B"/>
    <w:rsid w:val="005F56F9"/>
    <w:rsid w:val="005F7F67"/>
    <w:rsid w:val="00615CDF"/>
    <w:rsid w:val="00617B0C"/>
    <w:rsid w:val="0062053E"/>
    <w:rsid w:val="00621EBD"/>
    <w:rsid w:val="00622706"/>
    <w:rsid w:val="0062321F"/>
    <w:rsid w:val="0062689B"/>
    <w:rsid w:val="0062726F"/>
    <w:rsid w:val="00634803"/>
    <w:rsid w:val="00635E00"/>
    <w:rsid w:val="00637610"/>
    <w:rsid w:val="006377B9"/>
    <w:rsid w:val="00640BBC"/>
    <w:rsid w:val="006416BC"/>
    <w:rsid w:val="00641AF9"/>
    <w:rsid w:val="0064408A"/>
    <w:rsid w:val="0065213B"/>
    <w:rsid w:val="00653706"/>
    <w:rsid w:val="00660BB6"/>
    <w:rsid w:val="006700BD"/>
    <w:rsid w:val="006711DA"/>
    <w:rsid w:val="00673985"/>
    <w:rsid w:val="006813EA"/>
    <w:rsid w:val="0068244D"/>
    <w:rsid w:val="00682991"/>
    <w:rsid w:val="006845B7"/>
    <w:rsid w:val="006918B2"/>
    <w:rsid w:val="006A0537"/>
    <w:rsid w:val="006A0C6C"/>
    <w:rsid w:val="006A1506"/>
    <w:rsid w:val="006A39D0"/>
    <w:rsid w:val="006A419F"/>
    <w:rsid w:val="006A6840"/>
    <w:rsid w:val="006B1B13"/>
    <w:rsid w:val="006B65C5"/>
    <w:rsid w:val="006B76BF"/>
    <w:rsid w:val="006C0BC9"/>
    <w:rsid w:val="006C387F"/>
    <w:rsid w:val="006C3E28"/>
    <w:rsid w:val="006D0587"/>
    <w:rsid w:val="006D1DDC"/>
    <w:rsid w:val="006D2EA0"/>
    <w:rsid w:val="006D7008"/>
    <w:rsid w:val="006E7C1A"/>
    <w:rsid w:val="006E7C32"/>
    <w:rsid w:val="006F27EB"/>
    <w:rsid w:val="00704571"/>
    <w:rsid w:val="0070669B"/>
    <w:rsid w:val="00707491"/>
    <w:rsid w:val="00714ECD"/>
    <w:rsid w:val="00721CF8"/>
    <w:rsid w:val="007247F6"/>
    <w:rsid w:val="00725360"/>
    <w:rsid w:val="00727388"/>
    <w:rsid w:val="00727A0A"/>
    <w:rsid w:val="00732D88"/>
    <w:rsid w:val="00734CC3"/>
    <w:rsid w:val="00744CDE"/>
    <w:rsid w:val="007454DA"/>
    <w:rsid w:val="007536CF"/>
    <w:rsid w:val="007575C9"/>
    <w:rsid w:val="0076212F"/>
    <w:rsid w:val="007623C8"/>
    <w:rsid w:val="007649B7"/>
    <w:rsid w:val="007650F3"/>
    <w:rsid w:val="007663C5"/>
    <w:rsid w:val="00771F61"/>
    <w:rsid w:val="00772A1B"/>
    <w:rsid w:val="00773979"/>
    <w:rsid w:val="0077793F"/>
    <w:rsid w:val="00790306"/>
    <w:rsid w:val="00796356"/>
    <w:rsid w:val="007A0054"/>
    <w:rsid w:val="007B1828"/>
    <w:rsid w:val="007B7AF6"/>
    <w:rsid w:val="007C11DC"/>
    <w:rsid w:val="007C7C16"/>
    <w:rsid w:val="007D02C5"/>
    <w:rsid w:val="007D0BED"/>
    <w:rsid w:val="007D2B91"/>
    <w:rsid w:val="007D45C1"/>
    <w:rsid w:val="007D56E4"/>
    <w:rsid w:val="007D71EA"/>
    <w:rsid w:val="007D783F"/>
    <w:rsid w:val="007E1984"/>
    <w:rsid w:val="007E3829"/>
    <w:rsid w:val="007E4F4E"/>
    <w:rsid w:val="007E53D5"/>
    <w:rsid w:val="007E5B88"/>
    <w:rsid w:val="007E5CDC"/>
    <w:rsid w:val="007E61D0"/>
    <w:rsid w:val="007E7A83"/>
    <w:rsid w:val="007F2698"/>
    <w:rsid w:val="007F39B0"/>
    <w:rsid w:val="007F3CB3"/>
    <w:rsid w:val="007F6257"/>
    <w:rsid w:val="008003C1"/>
    <w:rsid w:val="00802352"/>
    <w:rsid w:val="00802788"/>
    <w:rsid w:val="00804FBE"/>
    <w:rsid w:val="00806F48"/>
    <w:rsid w:val="00811023"/>
    <w:rsid w:val="00813EA9"/>
    <w:rsid w:val="00817937"/>
    <w:rsid w:val="008301F6"/>
    <w:rsid w:val="00831253"/>
    <w:rsid w:val="00834915"/>
    <w:rsid w:val="008371FA"/>
    <w:rsid w:val="00844909"/>
    <w:rsid w:val="00844A2F"/>
    <w:rsid w:val="008454CE"/>
    <w:rsid w:val="00847448"/>
    <w:rsid w:val="00861B25"/>
    <w:rsid w:val="00866CB6"/>
    <w:rsid w:val="00867F0A"/>
    <w:rsid w:val="00874450"/>
    <w:rsid w:val="008817DD"/>
    <w:rsid w:val="00881A3B"/>
    <w:rsid w:val="0089249D"/>
    <w:rsid w:val="00894217"/>
    <w:rsid w:val="008A0EC7"/>
    <w:rsid w:val="008A3CA5"/>
    <w:rsid w:val="008A5C7F"/>
    <w:rsid w:val="008A785A"/>
    <w:rsid w:val="008B10BE"/>
    <w:rsid w:val="008B1363"/>
    <w:rsid w:val="008B265E"/>
    <w:rsid w:val="008B3F60"/>
    <w:rsid w:val="008B51C6"/>
    <w:rsid w:val="008B56F2"/>
    <w:rsid w:val="008C1538"/>
    <w:rsid w:val="008C680D"/>
    <w:rsid w:val="008D16A6"/>
    <w:rsid w:val="008D3625"/>
    <w:rsid w:val="008D4167"/>
    <w:rsid w:val="008D4F78"/>
    <w:rsid w:val="008E6A17"/>
    <w:rsid w:val="008E7302"/>
    <w:rsid w:val="008E7883"/>
    <w:rsid w:val="008F1005"/>
    <w:rsid w:val="008F20CC"/>
    <w:rsid w:val="008F3115"/>
    <w:rsid w:val="008F3227"/>
    <w:rsid w:val="008F5383"/>
    <w:rsid w:val="008F54A9"/>
    <w:rsid w:val="00917298"/>
    <w:rsid w:val="00935470"/>
    <w:rsid w:val="00936F29"/>
    <w:rsid w:val="0093787E"/>
    <w:rsid w:val="0094024E"/>
    <w:rsid w:val="00941CB0"/>
    <w:rsid w:val="00944645"/>
    <w:rsid w:val="009451C5"/>
    <w:rsid w:val="00946654"/>
    <w:rsid w:val="00947434"/>
    <w:rsid w:val="0095145D"/>
    <w:rsid w:val="00953AA9"/>
    <w:rsid w:val="009561F7"/>
    <w:rsid w:val="0095666D"/>
    <w:rsid w:val="00961877"/>
    <w:rsid w:val="00967F15"/>
    <w:rsid w:val="00971912"/>
    <w:rsid w:val="009721C4"/>
    <w:rsid w:val="009761D0"/>
    <w:rsid w:val="00976E88"/>
    <w:rsid w:val="00981560"/>
    <w:rsid w:val="009834D6"/>
    <w:rsid w:val="00984E27"/>
    <w:rsid w:val="00985161"/>
    <w:rsid w:val="00985325"/>
    <w:rsid w:val="00985CBF"/>
    <w:rsid w:val="00994EBB"/>
    <w:rsid w:val="0099641B"/>
    <w:rsid w:val="00997DB0"/>
    <w:rsid w:val="009A1EC4"/>
    <w:rsid w:val="009A5E63"/>
    <w:rsid w:val="009B50A0"/>
    <w:rsid w:val="009C1ECB"/>
    <w:rsid w:val="009C5769"/>
    <w:rsid w:val="009C6177"/>
    <w:rsid w:val="009C6DCA"/>
    <w:rsid w:val="009D0E03"/>
    <w:rsid w:val="009D15ED"/>
    <w:rsid w:val="009D1AAB"/>
    <w:rsid w:val="009E2DA5"/>
    <w:rsid w:val="009E323A"/>
    <w:rsid w:val="009E396A"/>
    <w:rsid w:val="009E43EB"/>
    <w:rsid w:val="009E476A"/>
    <w:rsid w:val="009E6F26"/>
    <w:rsid w:val="009E718B"/>
    <w:rsid w:val="009F2A14"/>
    <w:rsid w:val="009F2D84"/>
    <w:rsid w:val="009F6214"/>
    <w:rsid w:val="00A0000D"/>
    <w:rsid w:val="00A06AA9"/>
    <w:rsid w:val="00A07DAC"/>
    <w:rsid w:val="00A108FE"/>
    <w:rsid w:val="00A11EE2"/>
    <w:rsid w:val="00A13522"/>
    <w:rsid w:val="00A20D26"/>
    <w:rsid w:val="00A212F9"/>
    <w:rsid w:val="00A21C33"/>
    <w:rsid w:val="00A26851"/>
    <w:rsid w:val="00A27139"/>
    <w:rsid w:val="00A27A5C"/>
    <w:rsid w:val="00A361BC"/>
    <w:rsid w:val="00A42C51"/>
    <w:rsid w:val="00A4321D"/>
    <w:rsid w:val="00A56B17"/>
    <w:rsid w:val="00A6050B"/>
    <w:rsid w:val="00A6209E"/>
    <w:rsid w:val="00A62F56"/>
    <w:rsid w:val="00A65720"/>
    <w:rsid w:val="00A72133"/>
    <w:rsid w:val="00A74042"/>
    <w:rsid w:val="00A74937"/>
    <w:rsid w:val="00A767B8"/>
    <w:rsid w:val="00A827F4"/>
    <w:rsid w:val="00A84602"/>
    <w:rsid w:val="00A87C5C"/>
    <w:rsid w:val="00A9261E"/>
    <w:rsid w:val="00A92AA2"/>
    <w:rsid w:val="00A94CAE"/>
    <w:rsid w:val="00AA4DEA"/>
    <w:rsid w:val="00AA6B6F"/>
    <w:rsid w:val="00AB4102"/>
    <w:rsid w:val="00AB76FA"/>
    <w:rsid w:val="00AC0DDE"/>
    <w:rsid w:val="00AC62E4"/>
    <w:rsid w:val="00AD0B5A"/>
    <w:rsid w:val="00AD0F92"/>
    <w:rsid w:val="00AD39D6"/>
    <w:rsid w:val="00AD73E8"/>
    <w:rsid w:val="00AE1144"/>
    <w:rsid w:val="00AE232D"/>
    <w:rsid w:val="00AE42FC"/>
    <w:rsid w:val="00AE699D"/>
    <w:rsid w:val="00AE714C"/>
    <w:rsid w:val="00AF5819"/>
    <w:rsid w:val="00B0183F"/>
    <w:rsid w:val="00B13E42"/>
    <w:rsid w:val="00B21FB1"/>
    <w:rsid w:val="00B246B6"/>
    <w:rsid w:val="00B25BB6"/>
    <w:rsid w:val="00B25D74"/>
    <w:rsid w:val="00B268F7"/>
    <w:rsid w:val="00B26B61"/>
    <w:rsid w:val="00B30A87"/>
    <w:rsid w:val="00B31596"/>
    <w:rsid w:val="00B32780"/>
    <w:rsid w:val="00B32FBA"/>
    <w:rsid w:val="00B34FEC"/>
    <w:rsid w:val="00B35EF6"/>
    <w:rsid w:val="00B37BA7"/>
    <w:rsid w:val="00B4146F"/>
    <w:rsid w:val="00B5286B"/>
    <w:rsid w:val="00B54094"/>
    <w:rsid w:val="00B54828"/>
    <w:rsid w:val="00B54902"/>
    <w:rsid w:val="00B67B13"/>
    <w:rsid w:val="00B80307"/>
    <w:rsid w:val="00B84508"/>
    <w:rsid w:val="00B92F40"/>
    <w:rsid w:val="00B95239"/>
    <w:rsid w:val="00B95CB0"/>
    <w:rsid w:val="00B96177"/>
    <w:rsid w:val="00BA44BA"/>
    <w:rsid w:val="00BA4C8C"/>
    <w:rsid w:val="00BA5240"/>
    <w:rsid w:val="00BA7198"/>
    <w:rsid w:val="00BB090C"/>
    <w:rsid w:val="00BB370C"/>
    <w:rsid w:val="00BB4472"/>
    <w:rsid w:val="00BB4E83"/>
    <w:rsid w:val="00BC4FCF"/>
    <w:rsid w:val="00BC55B0"/>
    <w:rsid w:val="00BC6244"/>
    <w:rsid w:val="00BD2E8C"/>
    <w:rsid w:val="00BD5522"/>
    <w:rsid w:val="00BE2298"/>
    <w:rsid w:val="00BE6A61"/>
    <w:rsid w:val="00BE7083"/>
    <w:rsid w:val="00BF2257"/>
    <w:rsid w:val="00BF2301"/>
    <w:rsid w:val="00BF487A"/>
    <w:rsid w:val="00BF7A4F"/>
    <w:rsid w:val="00BF7D49"/>
    <w:rsid w:val="00C01DBF"/>
    <w:rsid w:val="00C12F77"/>
    <w:rsid w:val="00C1563E"/>
    <w:rsid w:val="00C15771"/>
    <w:rsid w:val="00C23FEE"/>
    <w:rsid w:val="00C2545E"/>
    <w:rsid w:val="00C31492"/>
    <w:rsid w:val="00C32679"/>
    <w:rsid w:val="00C33410"/>
    <w:rsid w:val="00C36F74"/>
    <w:rsid w:val="00C42CC9"/>
    <w:rsid w:val="00C5085A"/>
    <w:rsid w:val="00C55C57"/>
    <w:rsid w:val="00C5698B"/>
    <w:rsid w:val="00C57CCC"/>
    <w:rsid w:val="00C63C00"/>
    <w:rsid w:val="00C6568A"/>
    <w:rsid w:val="00C65E39"/>
    <w:rsid w:val="00C70561"/>
    <w:rsid w:val="00C76F23"/>
    <w:rsid w:val="00C81713"/>
    <w:rsid w:val="00C81F5A"/>
    <w:rsid w:val="00C872B4"/>
    <w:rsid w:val="00C907DB"/>
    <w:rsid w:val="00C9170B"/>
    <w:rsid w:val="00C94791"/>
    <w:rsid w:val="00CA06CD"/>
    <w:rsid w:val="00CA125F"/>
    <w:rsid w:val="00CA3695"/>
    <w:rsid w:val="00CA4221"/>
    <w:rsid w:val="00CA61A0"/>
    <w:rsid w:val="00CB2C20"/>
    <w:rsid w:val="00CB7228"/>
    <w:rsid w:val="00CC116E"/>
    <w:rsid w:val="00CC4090"/>
    <w:rsid w:val="00CC49A8"/>
    <w:rsid w:val="00CC6B5A"/>
    <w:rsid w:val="00CC7333"/>
    <w:rsid w:val="00CC7742"/>
    <w:rsid w:val="00CD1E4F"/>
    <w:rsid w:val="00CD27AB"/>
    <w:rsid w:val="00CE1EAC"/>
    <w:rsid w:val="00CE2028"/>
    <w:rsid w:val="00CE291D"/>
    <w:rsid w:val="00CE44C9"/>
    <w:rsid w:val="00CE7CD0"/>
    <w:rsid w:val="00CF3750"/>
    <w:rsid w:val="00CF4D6B"/>
    <w:rsid w:val="00CF4E2F"/>
    <w:rsid w:val="00CF6B77"/>
    <w:rsid w:val="00D01FE6"/>
    <w:rsid w:val="00D03049"/>
    <w:rsid w:val="00D0338E"/>
    <w:rsid w:val="00D136CC"/>
    <w:rsid w:val="00D152BC"/>
    <w:rsid w:val="00D1650B"/>
    <w:rsid w:val="00D24411"/>
    <w:rsid w:val="00D27C2C"/>
    <w:rsid w:val="00D305EE"/>
    <w:rsid w:val="00D312AD"/>
    <w:rsid w:val="00D316B6"/>
    <w:rsid w:val="00D32F28"/>
    <w:rsid w:val="00D333E7"/>
    <w:rsid w:val="00D3652F"/>
    <w:rsid w:val="00D37A9E"/>
    <w:rsid w:val="00D40098"/>
    <w:rsid w:val="00D40C0C"/>
    <w:rsid w:val="00D4187C"/>
    <w:rsid w:val="00D45B3E"/>
    <w:rsid w:val="00D477FD"/>
    <w:rsid w:val="00D55728"/>
    <w:rsid w:val="00D57B72"/>
    <w:rsid w:val="00D613C4"/>
    <w:rsid w:val="00D635B2"/>
    <w:rsid w:val="00D6501C"/>
    <w:rsid w:val="00D70AE9"/>
    <w:rsid w:val="00D7569B"/>
    <w:rsid w:val="00D831F6"/>
    <w:rsid w:val="00D838A0"/>
    <w:rsid w:val="00D849C4"/>
    <w:rsid w:val="00D92C5F"/>
    <w:rsid w:val="00D93295"/>
    <w:rsid w:val="00D97F17"/>
    <w:rsid w:val="00DA63E1"/>
    <w:rsid w:val="00DA74B0"/>
    <w:rsid w:val="00DB220D"/>
    <w:rsid w:val="00DB24D6"/>
    <w:rsid w:val="00DB5031"/>
    <w:rsid w:val="00DB593A"/>
    <w:rsid w:val="00DB5D13"/>
    <w:rsid w:val="00DB6165"/>
    <w:rsid w:val="00DC053F"/>
    <w:rsid w:val="00DC2668"/>
    <w:rsid w:val="00DC5AF8"/>
    <w:rsid w:val="00DC6B41"/>
    <w:rsid w:val="00DD51C4"/>
    <w:rsid w:val="00DE5C62"/>
    <w:rsid w:val="00DF4AB0"/>
    <w:rsid w:val="00DF6D74"/>
    <w:rsid w:val="00E00246"/>
    <w:rsid w:val="00E00511"/>
    <w:rsid w:val="00E01C47"/>
    <w:rsid w:val="00E041D9"/>
    <w:rsid w:val="00E07DB8"/>
    <w:rsid w:val="00E11E5B"/>
    <w:rsid w:val="00E13220"/>
    <w:rsid w:val="00E276A3"/>
    <w:rsid w:val="00E317BF"/>
    <w:rsid w:val="00E331BB"/>
    <w:rsid w:val="00E408DF"/>
    <w:rsid w:val="00E43709"/>
    <w:rsid w:val="00E43835"/>
    <w:rsid w:val="00E44756"/>
    <w:rsid w:val="00E45E66"/>
    <w:rsid w:val="00E52911"/>
    <w:rsid w:val="00E52F5F"/>
    <w:rsid w:val="00E5557A"/>
    <w:rsid w:val="00E55884"/>
    <w:rsid w:val="00E55ACD"/>
    <w:rsid w:val="00E57E0A"/>
    <w:rsid w:val="00E625E2"/>
    <w:rsid w:val="00E64C3A"/>
    <w:rsid w:val="00E65F4E"/>
    <w:rsid w:val="00E66A76"/>
    <w:rsid w:val="00E66CE0"/>
    <w:rsid w:val="00E7017B"/>
    <w:rsid w:val="00E77B2A"/>
    <w:rsid w:val="00E81576"/>
    <w:rsid w:val="00E84A0E"/>
    <w:rsid w:val="00E90619"/>
    <w:rsid w:val="00E93302"/>
    <w:rsid w:val="00E97615"/>
    <w:rsid w:val="00EA0A9D"/>
    <w:rsid w:val="00EA4201"/>
    <w:rsid w:val="00EA6B05"/>
    <w:rsid w:val="00EB12A4"/>
    <w:rsid w:val="00EB3796"/>
    <w:rsid w:val="00EB4A35"/>
    <w:rsid w:val="00EB4EA0"/>
    <w:rsid w:val="00EB5931"/>
    <w:rsid w:val="00EB59E0"/>
    <w:rsid w:val="00EC2087"/>
    <w:rsid w:val="00EC4610"/>
    <w:rsid w:val="00ED29A6"/>
    <w:rsid w:val="00ED2B80"/>
    <w:rsid w:val="00EE49BF"/>
    <w:rsid w:val="00EE6761"/>
    <w:rsid w:val="00EE69B5"/>
    <w:rsid w:val="00EF09B3"/>
    <w:rsid w:val="00EF27B5"/>
    <w:rsid w:val="00F01601"/>
    <w:rsid w:val="00F01DAD"/>
    <w:rsid w:val="00F028CF"/>
    <w:rsid w:val="00F02929"/>
    <w:rsid w:val="00F034F7"/>
    <w:rsid w:val="00F0436B"/>
    <w:rsid w:val="00F10D3F"/>
    <w:rsid w:val="00F131DC"/>
    <w:rsid w:val="00F146DA"/>
    <w:rsid w:val="00F14D50"/>
    <w:rsid w:val="00F15660"/>
    <w:rsid w:val="00F23433"/>
    <w:rsid w:val="00F25E2A"/>
    <w:rsid w:val="00F32725"/>
    <w:rsid w:val="00F35570"/>
    <w:rsid w:val="00F504C9"/>
    <w:rsid w:val="00F67154"/>
    <w:rsid w:val="00F71FB9"/>
    <w:rsid w:val="00F72628"/>
    <w:rsid w:val="00F807F2"/>
    <w:rsid w:val="00F81D1E"/>
    <w:rsid w:val="00F8421B"/>
    <w:rsid w:val="00F85675"/>
    <w:rsid w:val="00F873FF"/>
    <w:rsid w:val="00F90725"/>
    <w:rsid w:val="00F911F4"/>
    <w:rsid w:val="00FA04DB"/>
    <w:rsid w:val="00FA3301"/>
    <w:rsid w:val="00FA4524"/>
    <w:rsid w:val="00FA7568"/>
    <w:rsid w:val="00FB1AB4"/>
    <w:rsid w:val="00FC0114"/>
    <w:rsid w:val="00FD782E"/>
    <w:rsid w:val="00FD7F58"/>
    <w:rsid w:val="00FF0B50"/>
    <w:rsid w:val="00FF3E1C"/>
    <w:rsid w:val="00FF4171"/>
    <w:rsid w:val="00FF531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300D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B6"/>
    <w:pPr>
      <w:spacing w:after="200" w:line="276" w:lineRule="auto"/>
    </w:pPr>
    <w:rPr>
      <w:rFonts w:cs="Calibri"/>
      <w:sz w:val="22"/>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332B0"/>
    <w:rPr>
      <w:color w:val="0000FF"/>
      <w:u w:val="single"/>
    </w:rPr>
  </w:style>
  <w:style w:type="paragraph" w:styleId="ListParagraph">
    <w:name w:val="List Paragraph"/>
    <w:basedOn w:val="Normal"/>
    <w:uiPriority w:val="99"/>
    <w:qFormat/>
    <w:rsid w:val="00385A45"/>
    <w:pPr>
      <w:spacing w:after="0" w:line="240" w:lineRule="auto"/>
      <w:ind w:left="720"/>
    </w:pPr>
    <w:rPr>
      <w:rFonts w:ascii="Times New Roman" w:eastAsia="Times New Roman" w:hAnsi="Times New Roman" w:cs="Times New Roman"/>
      <w:sz w:val="24"/>
      <w:szCs w:val="24"/>
      <w:lang w:eastAsia="it-IT"/>
    </w:rPr>
  </w:style>
  <w:style w:type="paragraph" w:customStyle="1" w:styleId="Default">
    <w:name w:val="Default"/>
    <w:uiPriority w:val="99"/>
    <w:rsid w:val="00660BB6"/>
    <w:pPr>
      <w:autoSpaceDE w:val="0"/>
      <w:autoSpaceDN w:val="0"/>
      <w:adjustRightInd w:val="0"/>
    </w:pPr>
    <w:rPr>
      <w:rFonts w:eastAsia="Times New Roman" w:cs="Calibri"/>
      <w:color w:val="000000"/>
      <w:sz w:val="24"/>
      <w:szCs w:val="24"/>
      <w:lang w:val="it-IT" w:eastAsia="it-IT"/>
    </w:rPr>
  </w:style>
  <w:style w:type="paragraph" w:customStyle="1" w:styleId="Stefanotesi1">
    <w:name w:val="Stefanotesi1"/>
    <w:basedOn w:val="PlainText"/>
    <w:uiPriority w:val="99"/>
    <w:rsid w:val="00B54902"/>
    <w:pPr>
      <w:spacing w:line="480" w:lineRule="auto"/>
      <w:jc w:val="both"/>
    </w:pPr>
    <w:rPr>
      <w:rFonts w:ascii="Times New Roman" w:eastAsia="Times New Roman" w:hAnsi="Times New Roman" w:cs="Times New Roman"/>
      <w:spacing w:val="20"/>
      <w:sz w:val="26"/>
      <w:szCs w:val="26"/>
      <w:lang w:eastAsia="it-IT"/>
    </w:rPr>
  </w:style>
  <w:style w:type="paragraph" w:customStyle="1" w:styleId="sidetable">
    <w:name w:val="sidetable"/>
    <w:basedOn w:val="Normal"/>
    <w:uiPriority w:val="99"/>
    <w:rsid w:val="00B54902"/>
    <w:pPr>
      <w:spacing w:after="55" w:line="300" w:lineRule="atLeast"/>
    </w:pPr>
    <w:rPr>
      <w:rFonts w:ascii="Verdana" w:eastAsia="Times New Roman" w:hAnsi="Verdana" w:cs="Verdana"/>
      <w:color w:val="666666"/>
      <w:sz w:val="15"/>
      <w:szCs w:val="15"/>
      <w:lang w:eastAsia="it-IT"/>
    </w:rPr>
  </w:style>
  <w:style w:type="paragraph" w:styleId="PlainText">
    <w:name w:val="Plain Text"/>
    <w:basedOn w:val="Normal"/>
    <w:link w:val="PlainTextChar"/>
    <w:rsid w:val="00B54902"/>
    <w:pPr>
      <w:spacing w:after="0" w:line="240" w:lineRule="auto"/>
    </w:pPr>
    <w:rPr>
      <w:rFonts w:ascii="Consolas" w:hAnsi="Consolas" w:cs="Consolas"/>
      <w:sz w:val="21"/>
      <w:szCs w:val="21"/>
    </w:rPr>
  </w:style>
  <w:style w:type="character" w:customStyle="1" w:styleId="PlainTextChar">
    <w:name w:val="Plain Text Char"/>
    <w:link w:val="PlainText"/>
    <w:locked/>
    <w:rsid w:val="00B54902"/>
    <w:rPr>
      <w:rFonts w:ascii="Consolas" w:hAnsi="Consolas" w:cs="Consolas"/>
      <w:sz w:val="21"/>
      <w:szCs w:val="21"/>
    </w:rPr>
  </w:style>
  <w:style w:type="table" w:styleId="TableGrid">
    <w:name w:val="Table Grid"/>
    <w:basedOn w:val="TableNormal"/>
    <w:uiPriority w:val="99"/>
    <w:rsid w:val="00D4187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1454A"/>
    <w:rPr>
      <w:color w:val="808080"/>
    </w:rPr>
  </w:style>
  <w:style w:type="character" w:customStyle="1" w:styleId="kagi-longdescriptionlayout">
    <w:name w:val="kagi-longdescription_layout"/>
    <w:basedOn w:val="DefaultParagraphFont"/>
    <w:uiPriority w:val="99"/>
    <w:rsid w:val="00AB76FA"/>
  </w:style>
  <w:style w:type="paragraph" w:styleId="NormalWeb">
    <w:name w:val="Normal (Web)"/>
    <w:basedOn w:val="Normal"/>
    <w:uiPriority w:val="99"/>
    <w:rsid w:val="0030544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Footer">
    <w:name w:val="footer"/>
    <w:basedOn w:val="Normal"/>
    <w:link w:val="FooterChar"/>
    <w:uiPriority w:val="99"/>
    <w:rsid w:val="005C6677"/>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5C6677"/>
  </w:style>
  <w:style w:type="character" w:styleId="PageNumber">
    <w:name w:val="page number"/>
    <w:basedOn w:val="DefaultParagraphFont"/>
    <w:uiPriority w:val="99"/>
    <w:semiHidden/>
    <w:rsid w:val="005C6677"/>
  </w:style>
  <w:style w:type="paragraph" w:styleId="BalloonText">
    <w:name w:val="Balloon Text"/>
    <w:basedOn w:val="Normal"/>
    <w:link w:val="BalloonTextChar"/>
    <w:uiPriority w:val="99"/>
    <w:semiHidden/>
    <w:rsid w:val="007F3CB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7F3CB3"/>
    <w:rPr>
      <w:rFonts w:ascii="Segoe UI" w:hAnsi="Segoe UI" w:cs="Segoe UI"/>
      <w:sz w:val="18"/>
      <w:szCs w:val="18"/>
    </w:rPr>
  </w:style>
  <w:style w:type="character" w:styleId="FollowedHyperlink">
    <w:name w:val="FollowedHyperlink"/>
    <w:uiPriority w:val="99"/>
    <w:semiHidden/>
    <w:rsid w:val="00456A4E"/>
    <w:rPr>
      <w:color w:val="800080"/>
      <w:u w:val="single"/>
    </w:rPr>
  </w:style>
  <w:style w:type="character" w:customStyle="1" w:styleId="highlight2">
    <w:name w:val="highlight2"/>
    <w:basedOn w:val="DefaultParagraphFont"/>
    <w:uiPriority w:val="99"/>
    <w:rsid w:val="004C7A45"/>
  </w:style>
  <w:style w:type="character" w:styleId="Emphasis">
    <w:name w:val="Emphasis"/>
    <w:qFormat/>
    <w:locked/>
    <w:rsid w:val="009E396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B6"/>
    <w:pPr>
      <w:spacing w:after="200" w:line="276" w:lineRule="auto"/>
    </w:pPr>
    <w:rPr>
      <w:rFonts w:cs="Calibri"/>
      <w:sz w:val="22"/>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332B0"/>
    <w:rPr>
      <w:color w:val="0000FF"/>
      <w:u w:val="single"/>
    </w:rPr>
  </w:style>
  <w:style w:type="paragraph" w:styleId="ListParagraph">
    <w:name w:val="List Paragraph"/>
    <w:basedOn w:val="Normal"/>
    <w:uiPriority w:val="99"/>
    <w:qFormat/>
    <w:rsid w:val="00385A45"/>
    <w:pPr>
      <w:spacing w:after="0" w:line="240" w:lineRule="auto"/>
      <w:ind w:left="720"/>
    </w:pPr>
    <w:rPr>
      <w:rFonts w:ascii="Times New Roman" w:eastAsia="Times New Roman" w:hAnsi="Times New Roman" w:cs="Times New Roman"/>
      <w:sz w:val="24"/>
      <w:szCs w:val="24"/>
      <w:lang w:eastAsia="it-IT"/>
    </w:rPr>
  </w:style>
  <w:style w:type="paragraph" w:customStyle="1" w:styleId="Default">
    <w:name w:val="Default"/>
    <w:uiPriority w:val="99"/>
    <w:rsid w:val="00660BB6"/>
    <w:pPr>
      <w:autoSpaceDE w:val="0"/>
      <w:autoSpaceDN w:val="0"/>
      <w:adjustRightInd w:val="0"/>
    </w:pPr>
    <w:rPr>
      <w:rFonts w:eastAsia="Times New Roman" w:cs="Calibri"/>
      <w:color w:val="000000"/>
      <w:sz w:val="24"/>
      <w:szCs w:val="24"/>
      <w:lang w:val="it-IT" w:eastAsia="it-IT"/>
    </w:rPr>
  </w:style>
  <w:style w:type="paragraph" w:customStyle="1" w:styleId="Stefanotesi1">
    <w:name w:val="Stefanotesi1"/>
    <w:basedOn w:val="PlainText"/>
    <w:uiPriority w:val="99"/>
    <w:rsid w:val="00B54902"/>
    <w:pPr>
      <w:spacing w:line="480" w:lineRule="auto"/>
      <w:jc w:val="both"/>
    </w:pPr>
    <w:rPr>
      <w:rFonts w:ascii="Times New Roman" w:eastAsia="Times New Roman" w:hAnsi="Times New Roman" w:cs="Times New Roman"/>
      <w:spacing w:val="20"/>
      <w:sz w:val="26"/>
      <w:szCs w:val="26"/>
      <w:lang w:eastAsia="it-IT"/>
    </w:rPr>
  </w:style>
  <w:style w:type="paragraph" w:customStyle="1" w:styleId="sidetable">
    <w:name w:val="sidetable"/>
    <w:basedOn w:val="Normal"/>
    <w:uiPriority w:val="99"/>
    <w:rsid w:val="00B54902"/>
    <w:pPr>
      <w:spacing w:after="55" w:line="300" w:lineRule="atLeast"/>
    </w:pPr>
    <w:rPr>
      <w:rFonts w:ascii="Verdana" w:eastAsia="Times New Roman" w:hAnsi="Verdana" w:cs="Verdana"/>
      <w:color w:val="666666"/>
      <w:sz w:val="15"/>
      <w:szCs w:val="15"/>
      <w:lang w:eastAsia="it-IT"/>
    </w:rPr>
  </w:style>
  <w:style w:type="paragraph" w:styleId="PlainText">
    <w:name w:val="Plain Text"/>
    <w:basedOn w:val="Normal"/>
    <w:link w:val="PlainTextChar"/>
    <w:rsid w:val="00B54902"/>
    <w:pPr>
      <w:spacing w:after="0" w:line="240" w:lineRule="auto"/>
    </w:pPr>
    <w:rPr>
      <w:rFonts w:ascii="Consolas" w:hAnsi="Consolas" w:cs="Consolas"/>
      <w:sz w:val="21"/>
      <w:szCs w:val="21"/>
    </w:rPr>
  </w:style>
  <w:style w:type="character" w:customStyle="1" w:styleId="PlainTextChar">
    <w:name w:val="Plain Text Char"/>
    <w:link w:val="PlainText"/>
    <w:locked/>
    <w:rsid w:val="00B54902"/>
    <w:rPr>
      <w:rFonts w:ascii="Consolas" w:hAnsi="Consolas" w:cs="Consolas"/>
      <w:sz w:val="21"/>
      <w:szCs w:val="21"/>
    </w:rPr>
  </w:style>
  <w:style w:type="table" w:styleId="TableGrid">
    <w:name w:val="Table Grid"/>
    <w:basedOn w:val="TableNormal"/>
    <w:uiPriority w:val="99"/>
    <w:rsid w:val="00D4187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1454A"/>
    <w:rPr>
      <w:color w:val="808080"/>
    </w:rPr>
  </w:style>
  <w:style w:type="character" w:customStyle="1" w:styleId="kagi-longdescriptionlayout">
    <w:name w:val="kagi-longdescription_layout"/>
    <w:basedOn w:val="DefaultParagraphFont"/>
    <w:uiPriority w:val="99"/>
    <w:rsid w:val="00AB76FA"/>
  </w:style>
  <w:style w:type="paragraph" w:styleId="NormalWeb">
    <w:name w:val="Normal (Web)"/>
    <w:basedOn w:val="Normal"/>
    <w:uiPriority w:val="99"/>
    <w:rsid w:val="0030544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Footer">
    <w:name w:val="footer"/>
    <w:basedOn w:val="Normal"/>
    <w:link w:val="FooterChar"/>
    <w:uiPriority w:val="99"/>
    <w:rsid w:val="005C6677"/>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5C6677"/>
  </w:style>
  <w:style w:type="character" w:styleId="PageNumber">
    <w:name w:val="page number"/>
    <w:basedOn w:val="DefaultParagraphFont"/>
    <w:uiPriority w:val="99"/>
    <w:semiHidden/>
    <w:rsid w:val="005C6677"/>
  </w:style>
  <w:style w:type="paragraph" w:styleId="BalloonText">
    <w:name w:val="Balloon Text"/>
    <w:basedOn w:val="Normal"/>
    <w:link w:val="BalloonTextChar"/>
    <w:uiPriority w:val="99"/>
    <w:semiHidden/>
    <w:rsid w:val="007F3CB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7F3CB3"/>
    <w:rPr>
      <w:rFonts w:ascii="Segoe UI" w:hAnsi="Segoe UI" w:cs="Segoe UI"/>
      <w:sz w:val="18"/>
      <w:szCs w:val="18"/>
    </w:rPr>
  </w:style>
  <w:style w:type="character" w:styleId="FollowedHyperlink">
    <w:name w:val="FollowedHyperlink"/>
    <w:uiPriority w:val="99"/>
    <w:semiHidden/>
    <w:rsid w:val="00456A4E"/>
    <w:rPr>
      <w:color w:val="800080"/>
      <w:u w:val="single"/>
    </w:rPr>
  </w:style>
  <w:style w:type="character" w:customStyle="1" w:styleId="highlight2">
    <w:name w:val="highlight2"/>
    <w:basedOn w:val="DefaultParagraphFont"/>
    <w:uiPriority w:val="99"/>
    <w:rsid w:val="004C7A45"/>
  </w:style>
  <w:style w:type="character" w:styleId="Emphasis">
    <w:name w:val="Emphasis"/>
    <w:qFormat/>
    <w:locked/>
    <w:rsid w:val="009E396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29479">
      <w:bodyDiv w:val="1"/>
      <w:marLeft w:val="0"/>
      <w:marRight w:val="0"/>
      <w:marTop w:val="0"/>
      <w:marBottom w:val="0"/>
      <w:divBdr>
        <w:top w:val="none" w:sz="0" w:space="0" w:color="auto"/>
        <w:left w:val="none" w:sz="0" w:space="0" w:color="auto"/>
        <w:bottom w:val="none" w:sz="0" w:space="0" w:color="auto"/>
        <w:right w:val="none" w:sz="0" w:space="0" w:color="auto"/>
      </w:divBdr>
      <w:divsChild>
        <w:div w:id="1455519159">
          <w:marLeft w:val="0"/>
          <w:marRight w:val="1"/>
          <w:marTop w:val="0"/>
          <w:marBottom w:val="0"/>
          <w:divBdr>
            <w:top w:val="none" w:sz="0" w:space="0" w:color="auto"/>
            <w:left w:val="none" w:sz="0" w:space="0" w:color="auto"/>
            <w:bottom w:val="none" w:sz="0" w:space="0" w:color="auto"/>
            <w:right w:val="none" w:sz="0" w:space="0" w:color="auto"/>
          </w:divBdr>
          <w:divsChild>
            <w:div w:id="1553662465">
              <w:marLeft w:val="0"/>
              <w:marRight w:val="0"/>
              <w:marTop w:val="0"/>
              <w:marBottom w:val="0"/>
              <w:divBdr>
                <w:top w:val="none" w:sz="0" w:space="0" w:color="auto"/>
                <w:left w:val="none" w:sz="0" w:space="0" w:color="auto"/>
                <w:bottom w:val="none" w:sz="0" w:space="0" w:color="auto"/>
                <w:right w:val="none" w:sz="0" w:space="0" w:color="auto"/>
              </w:divBdr>
              <w:divsChild>
                <w:div w:id="1590696454">
                  <w:marLeft w:val="0"/>
                  <w:marRight w:val="1"/>
                  <w:marTop w:val="0"/>
                  <w:marBottom w:val="0"/>
                  <w:divBdr>
                    <w:top w:val="none" w:sz="0" w:space="0" w:color="auto"/>
                    <w:left w:val="none" w:sz="0" w:space="0" w:color="auto"/>
                    <w:bottom w:val="none" w:sz="0" w:space="0" w:color="auto"/>
                    <w:right w:val="none" w:sz="0" w:space="0" w:color="auto"/>
                  </w:divBdr>
                  <w:divsChild>
                    <w:div w:id="891695857">
                      <w:marLeft w:val="0"/>
                      <w:marRight w:val="0"/>
                      <w:marTop w:val="0"/>
                      <w:marBottom w:val="0"/>
                      <w:divBdr>
                        <w:top w:val="none" w:sz="0" w:space="0" w:color="auto"/>
                        <w:left w:val="none" w:sz="0" w:space="0" w:color="auto"/>
                        <w:bottom w:val="none" w:sz="0" w:space="0" w:color="auto"/>
                        <w:right w:val="none" w:sz="0" w:space="0" w:color="auto"/>
                      </w:divBdr>
                      <w:divsChild>
                        <w:div w:id="132872619">
                          <w:marLeft w:val="0"/>
                          <w:marRight w:val="0"/>
                          <w:marTop w:val="0"/>
                          <w:marBottom w:val="0"/>
                          <w:divBdr>
                            <w:top w:val="none" w:sz="0" w:space="0" w:color="auto"/>
                            <w:left w:val="none" w:sz="0" w:space="0" w:color="auto"/>
                            <w:bottom w:val="none" w:sz="0" w:space="0" w:color="auto"/>
                            <w:right w:val="none" w:sz="0" w:space="0" w:color="auto"/>
                          </w:divBdr>
                          <w:divsChild>
                            <w:div w:id="237791139">
                              <w:marLeft w:val="0"/>
                              <w:marRight w:val="0"/>
                              <w:marTop w:val="120"/>
                              <w:marBottom w:val="360"/>
                              <w:divBdr>
                                <w:top w:val="none" w:sz="0" w:space="0" w:color="auto"/>
                                <w:left w:val="none" w:sz="0" w:space="0" w:color="auto"/>
                                <w:bottom w:val="none" w:sz="0" w:space="0" w:color="auto"/>
                                <w:right w:val="none" w:sz="0" w:space="0" w:color="auto"/>
                              </w:divBdr>
                              <w:divsChild>
                                <w:div w:id="373386742">
                                  <w:marLeft w:val="420"/>
                                  <w:marRight w:val="0"/>
                                  <w:marTop w:val="0"/>
                                  <w:marBottom w:val="0"/>
                                  <w:divBdr>
                                    <w:top w:val="none" w:sz="0" w:space="0" w:color="auto"/>
                                    <w:left w:val="none" w:sz="0" w:space="0" w:color="auto"/>
                                    <w:bottom w:val="none" w:sz="0" w:space="0" w:color="auto"/>
                                    <w:right w:val="none" w:sz="0" w:space="0" w:color="auto"/>
                                  </w:divBdr>
                                  <w:divsChild>
                                    <w:div w:id="1814715145">
                                      <w:marLeft w:val="0"/>
                                      <w:marRight w:val="0"/>
                                      <w:marTop w:val="0"/>
                                      <w:marBottom w:val="0"/>
                                      <w:divBdr>
                                        <w:top w:val="none" w:sz="0" w:space="0" w:color="auto"/>
                                        <w:left w:val="none" w:sz="0" w:space="0" w:color="auto"/>
                                        <w:bottom w:val="none" w:sz="0" w:space="0" w:color="auto"/>
                                        <w:right w:val="none" w:sz="0" w:space="0" w:color="auto"/>
                                      </w:divBdr>
                                      <w:divsChild>
                                        <w:div w:id="11562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788813">
      <w:bodyDiv w:val="1"/>
      <w:marLeft w:val="0"/>
      <w:marRight w:val="0"/>
      <w:marTop w:val="0"/>
      <w:marBottom w:val="0"/>
      <w:divBdr>
        <w:top w:val="none" w:sz="0" w:space="0" w:color="auto"/>
        <w:left w:val="none" w:sz="0" w:space="0" w:color="auto"/>
        <w:bottom w:val="none" w:sz="0" w:space="0" w:color="auto"/>
        <w:right w:val="none" w:sz="0" w:space="0" w:color="auto"/>
      </w:divBdr>
      <w:divsChild>
        <w:div w:id="2110007026">
          <w:marLeft w:val="0"/>
          <w:marRight w:val="0"/>
          <w:marTop w:val="0"/>
          <w:marBottom w:val="0"/>
          <w:divBdr>
            <w:top w:val="none" w:sz="0" w:space="0" w:color="auto"/>
            <w:left w:val="none" w:sz="0" w:space="0" w:color="auto"/>
            <w:bottom w:val="none" w:sz="0" w:space="0" w:color="auto"/>
            <w:right w:val="none" w:sz="0" w:space="0" w:color="auto"/>
          </w:divBdr>
          <w:divsChild>
            <w:div w:id="1185821803">
              <w:marLeft w:val="0"/>
              <w:marRight w:val="0"/>
              <w:marTop w:val="0"/>
              <w:marBottom w:val="0"/>
              <w:divBdr>
                <w:top w:val="none" w:sz="0" w:space="0" w:color="auto"/>
                <w:left w:val="none" w:sz="0" w:space="0" w:color="auto"/>
                <w:bottom w:val="none" w:sz="0" w:space="0" w:color="auto"/>
                <w:right w:val="none" w:sz="0" w:space="0" w:color="auto"/>
              </w:divBdr>
              <w:divsChild>
                <w:div w:id="68503475">
                  <w:marLeft w:val="0"/>
                  <w:marRight w:val="0"/>
                  <w:marTop w:val="0"/>
                  <w:marBottom w:val="0"/>
                  <w:divBdr>
                    <w:top w:val="none" w:sz="0" w:space="0" w:color="auto"/>
                    <w:left w:val="none" w:sz="0" w:space="0" w:color="auto"/>
                    <w:bottom w:val="none" w:sz="0" w:space="0" w:color="auto"/>
                    <w:right w:val="none" w:sz="0" w:space="0" w:color="auto"/>
                  </w:divBdr>
                  <w:divsChild>
                    <w:div w:id="1011840148">
                      <w:marLeft w:val="0"/>
                      <w:marRight w:val="0"/>
                      <w:marTop w:val="0"/>
                      <w:marBottom w:val="0"/>
                      <w:divBdr>
                        <w:top w:val="none" w:sz="0" w:space="0" w:color="auto"/>
                        <w:left w:val="none" w:sz="0" w:space="0" w:color="auto"/>
                        <w:bottom w:val="none" w:sz="0" w:space="0" w:color="auto"/>
                        <w:right w:val="none" w:sz="0" w:space="0" w:color="auto"/>
                      </w:divBdr>
                      <w:divsChild>
                        <w:div w:id="1937863516">
                          <w:marLeft w:val="0"/>
                          <w:marRight w:val="0"/>
                          <w:marTop w:val="0"/>
                          <w:marBottom w:val="0"/>
                          <w:divBdr>
                            <w:top w:val="none" w:sz="0" w:space="0" w:color="auto"/>
                            <w:left w:val="none" w:sz="0" w:space="0" w:color="auto"/>
                            <w:bottom w:val="none" w:sz="0" w:space="0" w:color="auto"/>
                            <w:right w:val="none" w:sz="0" w:space="0" w:color="auto"/>
                          </w:divBdr>
                          <w:divsChild>
                            <w:div w:id="539174881">
                              <w:marLeft w:val="0"/>
                              <w:marRight w:val="0"/>
                              <w:marTop w:val="0"/>
                              <w:marBottom w:val="225"/>
                              <w:divBdr>
                                <w:top w:val="none" w:sz="0" w:space="0" w:color="auto"/>
                                <w:left w:val="none" w:sz="0" w:space="0" w:color="auto"/>
                                <w:bottom w:val="none" w:sz="0" w:space="0" w:color="auto"/>
                                <w:right w:val="none" w:sz="0" w:space="0" w:color="auto"/>
                              </w:divBdr>
                              <w:divsChild>
                                <w:div w:id="20879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062360">
      <w:marLeft w:val="0"/>
      <w:marRight w:val="0"/>
      <w:marTop w:val="0"/>
      <w:marBottom w:val="0"/>
      <w:divBdr>
        <w:top w:val="none" w:sz="0" w:space="0" w:color="auto"/>
        <w:left w:val="none" w:sz="0" w:space="0" w:color="auto"/>
        <w:bottom w:val="none" w:sz="0" w:space="0" w:color="auto"/>
        <w:right w:val="none" w:sz="0" w:space="0" w:color="auto"/>
      </w:divBdr>
    </w:div>
    <w:div w:id="1059062361">
      <w:marLeft w:val="0"/>
      <w:marRight w:val="0"/>
      <w:marTop w:val="0"/>
      <w:marBottom w:val="0"/>
      <w:divBdr>
        <w:top w:val="none" w:sz="0" w:space="0" w:color="auto"/>
        <w:left w:val="none" w:sz="0" w:space="0" w:color="auto"/>
        <w:bottom w:val="none" w:sz="0" w:space="0" w:color="auto"/>
        <w:right w:val="none" w:sz="0" w:space="0" w:color="auto"/>
      </w:divBdr>
    </w:div>
    <w:div w:id="1059062362">
      <w:marLeft w:val="0"/>
      <w:marRight w:val="0"/>
      <w:marTop w:val="0"/>
      <w:marBottom w:val="0"/>
      <w:divBdr>
        <w:top w:val="none" w:sz="0" w:space="0" w:color="auto"/>
        <w:left w:val="none" w:sz="0" w:space="0" w:color="auto"/>
        <w:bottom w:val="none" w:sz="0" w:space="0" w:color="auto"/>
        <w:right w:val="none" w:sz="0" w:space="0" w:color="auto"/>
      </w:divBdr>
      <w:divsChild>
        <w:div w:id="1059062480">
          <w:marLeft w:val="0"/>
          <w:marRight w:val="1"/>
          <w:marTop w:val="0"/>
          <w:marBottom w:val="0"/>
          <w:divBdr>
            <w:top w:val="none" w:sz="0" w:space="0" w:color="auto"/>
            <w:left w:val="none" w:sz="0" w:space="0" w:color="auto"/>
            <w:bottom w:val="none" w:sz="0" w:space="0" w:color="auto"/>
            <w:right w:val="none" w:sz="0" w:space="0" w:color="auto"/>
          </w:divBdr>
          <w:divsChild>
            <w:div w:id="1059062640">
              <w:marLeft w:val="0"/>
              <w:marRight w:val="0"/>
              <w:marTop w:val="0"/>
              <w:marBottom w:val="0"/>
              <w:divBdr>
                <w:top w:val="none" w:sz="0" w:space="0" w:color="auto"/>
                <w:left w:val="none" w:sz="0" w:space="0" w:color="auto"/>
                <w:bottom w:val="none" w:sz="0" w:space="0" w:color="auto"/>
                <w:right w:val="none" w:sz="0" w:space="0" w:color="auto"/>
              </w:divBdr>
              <w:divsChild>
                <w:div w:id="1059062491">
                  <w:marLeft w:val="0"/>
                  <w:marRight w:val="1"/>
                  <w:marTop w:val="0"/>
                  <w:marBottom w:val="0"/>
                  <w:divBdr>
                    <w:top w:val="none" w:sz="0" w:space="0" w:color="auto"/>
                    <w:left w:val="none" w:sz="0" w:space="0" w:color="auto"/>
                    <w:bottom w:val="none" w:sz="0" w:space="0" w:color="auto"/>
                    <w:right w:val="none" w:sz="0" w:space="0" w:color="auto"/>
                  </w:divBdr>
                  <w:divsChild>
                    <w:div w:id="1059062659">
                      <w:marLeft w:val="0"/>
                      <w:marRight w:val="0"/>
                      <w:marTop w:val="0"/>
                      <w:marBottom w:val="0"/>
                      <w:divBdr>
                        <w:top w:val="none" w:sz="0" w:space="0" w:color="auto"/>
                        <w:left w:val="none" w:sz="0" w:space="0" w:color="auto"/>
                        <w:bottom w:val="none" w:sz="0" w:space="0" w:color="auto"/>
                        <w:right w:val="none" w:sz="0" w:space="0" w:color="auto"/>
                      </w:divBdr>
                      <w:divsChild>
                        <w:div w:id="1059062409">
                          <w:marLeft w:val="0"/>
                          <w:marRight w:val="0"/>
                          <w:marTop w:val="0"/>
                          <w:marBottom w:val="0"/>
                          <w:divBdr>
                            <w:top w:val="none" w:sz="0" w:space="0" w:color="auto"/>
                            <w:left w:val="none" w:sz="0" w:space="0" w:color="auto"/>
                            <w:bottom w:val="none" w:sz="0" w:space="0" w:color="auto"/>
                            <w:right w:val="none" w:sz="0" w:space="0" w:color="auto"/>
                          </w:divBdr>
                          <w:divsChild>
                            <w:div w:id="1059062502">
                              <w:marLeft w:val="0"/>
                              <w:marRight w:val="0"/>
                              <w:marTop w:val="120"/>
                              <w:marBottom w:val="360"/>
                              <w:divBdr>
                                <w:top w:val="none" w:sz="0" w:space="0" w:color="auto"/>
                                <w:left w:val="none" w:sz="0" w:space="0" w:color="auto"/>
                                <w:bottom w:val="none" w:sz="0" w:space="0" w:color="auto"/>
                                <w:right w:val="none" w:sz="0" w:space="0" w:color="auto"/>
                              </w:divBdr>
                              <w:divsChild>
                                <w:div w:id="1059062426">
                                  <w:marLeft w:val="0"/>
                                  <w:marRight w:val="0"/>
                                  <w:marTop w:val="0"/>
                                  <w:marBottom w:val="0"/>
                                  <w:divBdr>
                                    <w:top w:val="none" w:sz="0" w:space="0" w:color="auto"/>
                                    <w:left w:val="none" w:sz="0" w:space="0" w:color="auto"/>
                                    <w:bottom w:val="none" w:sz="0" w:space="0" w:color="auto"/>
                                    <w:right w:val="none" w:sz="0" w:space="0" w:color="auto"/>
                                  </w:divBdr>
                                  <w:divsChild>
                                    <w:div w:id="1059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363">
      <w:marLeft w:val="0"/>
      <w:marRight w:val="0"/>
      <w:marTop w:val="0"/>
      <w:marBottom w:val="0"/>
      <w:divBdr>
        <w:top w:val="none" w:sz="0" w:space="0" w:color="auto"/>
        <w:left w:val="none" w:sz="0" w:space="0" w:color="auto"/>
        <w:bottom w:val="none" w:sz="0" w:space="0" w:color="auto"/>
        <w:right w:val="none" w:sz="0" w:space="0" w:color="auto"/>
      </w:divBdr>
      <w:divsChild>
        <w:div w:id="1059062673">
          <w:marLeft w:val="0"/>
          <w:marRight w:val="1"/>
          <w:marTop w:val="0"/>
          <w:marBottom w:val="0"/>
          <w:divBdr>
            <w:top w:val="none" w:sz="0" w:space="0" w:color="auto"/>
            <w:left w:val="none" w:sz="0" w:space="0" w:color="auto"/>
            <w:bottom w:val="none" w:sz="0" w:space="0" w:color="auto"/>
            <w:right w:val="none" w:sz="0" w:space="0" w:color="auto"/>
          </w:divBdr>
          <w:divsChild>
            <w:div w:id="1059062498">
              <w:marLeft w:val="0"/>
              <w:marRight w:val="0"/>
              <w:marTop w:val="0"/>
              <w:marBottom w:val="0"/>
              <w:divBdr>
                <w:top w:val="none" w:sz="0" w:space="0" w:color="auto"/>
                <w:left w:val="none" w:sz="0" w:space="0" w:color="auto"/>
                <w:bottom w:val="none" w:sz="0" w:space="0" w:color="auto"/>
                <w:right w:val="none" w:sz="0" w:space="0" w:color="auto"/>
              </w:divBdr>
              <w:divsChild>
                <w:div w:id="1059062489">
                  <w:marLeft w:val="0"/>
                  <w:marRight w:val="1"/>
                  <w:marTop w:val="0"/>
                  <w:marBottom w:val="0"/>
                  <w:divBdr>
                    <w:top w:val="none" w:sz="0" w:space="0" w:color="auto"/>
                    <w:left w:val="none" w:sz="0" w:space="0" w:color="auto"/>
                    <w:bottom w:val="none" w:sz="0" w:space="0" w:color="auto"/>
                    <w:right w:val="none" w:sz="0" w:space="0" w:color="auto"/>
                  </w:divBdr>
                  <w:divsChild>
                    <w:div w:id="1059062567">
                      <w:marLeft w:val="0"/>
                      <w:marRight w:val="0"/>
                      <w:marTop w:val="0"/>
                      <w:marBottom w:val="0"/>
                      <w:divBdr>
                        <w:top w:val="none" w:sz="0" w:space="0" w:color="auto"/>
                        <w:left w:val="none" w:sz="0" w:space="0" w:color="auto"/>
                        <w:bottom w:val="none" w:sz="0" w:space="0" w:color="auto"/>
                        <w:right w:val="none" w:sz="0" w:space="0" w:color="auto"/>
                      </w:divBdr>
                      <w:divsChild>
                        <w:div w:id="1059062388">
                          <w:marLeft w:val="0"/>
                          <w:marRight w:val="0"/>
                          <w:marTop w:val="0"/>
                          <w:marBottom w:val="0"/>
                          <w:divBdr>
                            <w:top w:val="none" w:sz="0" w:space="0" w:color="auto"/>
                            <w:left w:val="none" w:sz="0" w:space="0" w:color="auto"/>
                            <w:bottom w:val="none" w:sz="0" w:space="0" w:color="auto"/>
                            <w:right w:val="none" w:sz="0" w:space="0" w:color="auto"/>
                          </w:divBdr>
                          <w:divsChild>
                            <w:div w:id="1059062606">
                              <w:marLeft w:val="0"/>
                              <w:marRight w:val="0"/>
                              <w:marTop w:val="120"/>
                              <w:marBottom w:val="360"/>
                              <w:divBdr>
                                <w:top w:val="none" w:sz="0" w:space="0" w:color="auto"/>
                                <w:left w:val="none" w:sz="0" w:space="0" w:color="auto"/>
                                <w:bottom w:val="none" w:sz="0" w:space="0" w:color="auto"/>
                                <w:right w:val="none" w:sz="0" w:space="0" w:color="auto"/>
                              </w:divBdr>
                              <w:divsChild>
                                <w:div w:id="1059062474">
                                  <w:marLeft w:val="0"/>
                                  <w:marRight w:val="0"/>
                                  <w:marTop w:val="0"/>
                                  <w:marBottom w:val="0"/>
                                  <w:divBdr>
                                    <w:top w:val="none" w:sz="0" w:space="0" w:color="auto"/>
                                    <w:left w:val="none" w:sz="0" w:space="0" w:color="auto"/>
                                    <w:bottom w:val="none" w:sz="0" w:space="0" w:color="auto"/>
                                    <w:right w:val="none" w:sz="0" w:space="0" w:color="auto"/>
                                  </w:divBdr>
                                  <w:divsChild>
                                    <w:div w:id="1059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372">
      <w:marLeft w:val="0"/>
      <w:marRight w:val="0"/>
      <w:marTop w:val="0"/>
      <w:marBottom w:val="0"/>
      <w:divBdr>
        <w:top w:val="none" w:sz="0" w:space="0" w:color="auto"/>
        <w:left w:val="none" w:sz="0" w:space="0" w:color="auto"/>
        <w:bottom w:val="none" w:sz="0" w:space="0" w:color="auto"/>
        <w:right w:val="none" w:sz="0" w:space="0" w:color="auto"/>
      </w:divBdr>
    </w:div>
    <w:div w:id="1059062375">
      <w:marLeft w:val="0"/>
      <w:marRight w:val="0"/>
      <w:marTop w:val="0"/>
      <w:marBottom w:val="0"/>
      <w:divBdr>
        <w:top w:val="none" w:sz="0" w:space="0" w:color="auto"/>
        <w:left w:val="none" w:sz="0" w:space="0" w:color="auto"/>
        <w:bottom w:val="none" w:sz="0" w:space="0" w:color="auto"/>
        <w:right w:val="none" w:sz="0" w:space="0" w:color="auto"/>
      </w:divBdr>
      <w:divsChild>
        <w:div w:id="1059062460">
          <w:marLeft w:val="0"/>
          <w:marRight w:val="1"/>
          <w:marTop w:val="0"/>
          <w:marBottom w:val="0"/>
          <w:divBdr>
            <w:top w:val="none" w:sz="0" w:space="0" w:color="auto"/>
            <w:left w:val="none" w:sz="0" w:space="0" w:color="auto"/>
            <w:bottom w:val="none" w:sz="0" w:space="0" w:color="auto"/>
            <w:right w:val="none" w:sz="0" w:space="0" w:color="auto"/>
          </w:divBdr>
          <w:divsChild>
            <w:div w:id="1059062639">
              <w:marLeft w:val="0"/>
              <w:marRight w:val="0"/>
              <w:marTop w:val="0"/>
              <w:marBottom w:val="0"/>
              <w:divBdr>
                <w:top w:val="none" w:sz="0" w:space="0" w:color="auto"/>
                <w:left w:val="none" w:sz="0" w:space="0" w:color="auto"/>
                <w:bottom w:val="none" w:sz="0" w:space="0" w:color="auto"/>
                <w:right w:val="none" w:sz="0" w:space="0" w:color="auto"/>
              </w:divBdr>
              <w:divsChild>
                <w:div w:id="1059062416">
                  <w:marLeft w:val="0"/>
                  <w:marRight w:val="1"/>
                  <w:marTop w:val="0"/>
                  <w:marBottom w:val="0"/>
                  <w:divBdr>
                    <w:top w:val="none" w:sz="0" w:space="0" w:color="auto"/>
                    <w:left w:val="none" w:sz="0" w:space="0" w:color="auto"/>
                    <w:bottom w:val="none" w:sz="0" w:space="0" w:color="auto"/>
                    <w:right w:val="none" w:sz="0" w:space="0" w:color="auto"/>
                  </w:divBdr>
                  <w:divsChild>
                    <w:div w:id="1059062553">
                      <w:marLeft w:val="0"/>
                      <w:marRight w:val="0"/>
                      <w:marTop w:val="0"/>
                      <w:marBottom w:val="0"/>
                      <w:divBdr>
                        <w:top w:val="none" w:sz="0" w:space="0" w:color="auto"/>
                        <w:left w:val="none" w:sz="0" w:space="0" w:color="auto"/>
                        <w:bottom w:val="none" w:sz="0" w:space="0" w:color="auto"/>
                        <w:right w:val="none" w:sz="0" w:space="0" w:color="auto"/>
                      </w:divBdr>
                      <w:divsChild>
                        <w:div w:id="1059062430">
                          <w:marLeft w:val="0"/>
                          <w:marRight w:val="0"/>
                          <w:marTop w:val="0"/>
                          <w:marBottom w:val="0"/>
                          <w:divBdr>
                            <w:top w:val="none" w:sz="0" w:space="0" w:color="auto"/>
                            <w:left w:val="none" w:sz="0" w:space="0" w:color="auto"/>
                            <w:bottom w:val="none" w:sz="0" w:space="0" w:color="auto"/>
                            <w:right w:val="none" w:sz="0" w:space="0" w:color="auto"/>
                          </w:divBdr>
                          <w:divsChild>
                            <w:div w:id="1059062650">
                              <w:marLeft w:val="0"/>
                              <w:marRight w:val="0"/>
                              <w:marTop w:val="120"/>
                              <w:marBottom w:val="360"/>
                              <w:divBdr>
                                <w:top w:val="none" w:sz="0" w:space="0" w:color="auto"/>
                                <w:left w:val="none" w:sz="0" w:space="0" w:color="auto"/>
                                <w:bottom w:val="none" w:sz="0" w:space="0" w:color="auto"/>
                                <w:right w:val="none" w:sz="0" w:space="0" w:color="auto"/>
                              </w:divBdr>
                              <w:divsChild>
                                <w:div w:id="1059062599">
                                  <w:marLeft w:val="0"/>
                                  <w:marRight w:val="0"/>
                                  <w:marTop w:val="0"/>
                                  <w:marBottom w:val="0"/>
                                  <w:divBdr>
                                    <w:top w:val="none" w:sz="0" w:space="0" w:color="auto"/>
                                    <w:left w:val="none" w:sz="0" w:space="0" w:color="auto"/>
                                    <w:bottom w:val="none" w:sz="0" w:space="0" w:color="auto"/>
                                    <w:right w:val="none" w:sz="0" w:space="0" w:color="auto"/>
                                  </w:divBdr>
                                  <w:divsChild>
                                    <w:div w:id="10590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377">
      <w:marLeft w:val="0"/>
      <w:marRight w:val="0"/>
      <w:marTop w:val="0"/>
      <w:marBottom w:val="0"/>
      <w:divBdr>
        <w:top w:val="none" w:sz="0" w:space="0" w:color="auto"/>
        <w:left w:val="none" w:sz="0" w:space="0" w:color="auto"/>
        <w:bottom w:val="none" w:sz="0" w:space="0" w:color="auto"/>
        <w:right w:val="none" w:sz="0" w:space="0" w:color="auto"/>
      </w:divBdr>
    </w:div>
    <w:div w:id="1059062380">
      <w:marLeft w:val="0"/>
      <w:marRight w:val="0"/>
      <w:marTop w:val="0"/>
      <w:marBottom w:val="0"/>
      <w:divBdr>
        <w:top w:val="none" w:sz="0" w:space="0" w:color="auto"/>
        <w:left w:val="none" w:sz="0" w:space="0" w:color="auto"/>
        <w:bottom w:val="none" w:sz="0" w:space="0" w:color="auto"/>
        <w:right w:val="none" w:sz="0" w:space="0" w:color="auto"/>
      </w:divBdr>
      <w:divsChild>
        <w:div w:id="1059062357">
          <w:marLeft w:val="0"/>
          <w:marRight w:val="1"/>
          <w:marTop w:val="0"/>
          <w:marBottom w:val="0"/>
          <w:divBdr>
            <w:top w:val="none" w:sz="0" w:space="0" w:color="auto"/>
            <w:left w:val="none" w:sz="0" w:space="0" w:color="auto"/>
            <w:bottom w:val="none" w:sz="0" w:space="0" w:color="auto"/>
            <w:right w:val="none" w:sz="0" w:space="0" w:color="auto"/>
          </w:divBdr>
          <w:divsChild>
            <w:div w:id="1059062391">
              <w:marLeft w:val="0"/>
              <w:marRight w:val="0"/>
              <w:marTop w:val="0"/>
              <w:marBottom w:val="0"/>
              <w:divBdr>
                <w:top w:val="none" w:sz="0" w:space="0" w:color="auto"/>
                <w:left w:val="none" w:sz="0" w:space="0" w:color="auto"/>
                <w:bottom w:val="none" w:sz="0" w:space="0" w:color="auto"/>
                <w:right w:val="none" w:sz="0" w:space="0" w:color="auto"/>
              </w:divBdr>
              <w:divsChild>
                <w:div w:id="1059062584">
                  <w:marLeft w:val="0"/>
                  <w:marRight w:val="1"/>
                  <w:marTop w:val="0"/>
                  <w:marBottom w:val="0"/>
                  <w:divBdr>
                    <w:top w:val="none" w:sz="0" w:space="0" w:color="auto"/>
                    <w:left w:val="none" w:sz="0" w:space="0" w:color="auto"/>
                    <w:bottom w:val="none" w:sz="0" w:space="0" w:color="auto"/>
                    <w:right w:val="none" w:sz="0" w:space="0" w:color="auto"/>
                  </w:divBdr>
                  <w:divsChild>
                    <w:div w:id="1059062510">
                      <w:marLeft w:val="0"/>
                      <w:marRight w:val="0"/>
                      <w:marTop w:val="0"/>
                      <w:marBottom w:val="0"/>
                      <w:divBdr>
                        <w:top w:val="none" w:sz="0" w:space="0" w:color="auto"/>
                        <w:left w:val="none" w:sz="0" w:space="0" w:color="auto"/>
                        <w:bottom w:val="none" w:sz="0" w:space="0" w:color="auto"/>
                        <w:right w:val="none" w:sz="0" w:space="0" w:color="auto"/>
                      </w:divBdr>
                      <w:divsChild>
                        <w:div w:id="1059062648">
                          <w:marLeft w:val="0"/>
                          <w:marRight w:val="0"/>
                          <w:marTop w:val="0"/>
                          <w:marBottom w:val="0"/>
                          <w:divBdr>
                            <w:top w:val="none" w:sz="0" w:space="0" w:color="auto"/>
                            <w:left w:val="none" w:sz="0" w:space="0" w:color="auto"/>
                            <w:bottom w:val="none" w:sz="0" w:space="0" w:color="auto"/>
                            <w:right w:val="none" w:sz="0" w:space="0" w:color="auto"/>
                          </w:divBdr>
                          <w:divsChild>
                            <w:div w:id="1059062690">
                              <w:marLeft w:val="0"/>
                              <w:marRight w:val="0"/>
                              <w:marTop w:val="120"/>
                              <w:marBottom w:val="360"/>
                              <w:divBdr>
                                <w:top w:val="none" w:sz="0" w:space="0" w:color="auto"/>
                                <w:left w:val="none" w:sz="0" w:space="0" w:color="auto"/>
                                <w:bottom w:val="none" w:sz="0" w:space="0" w:color="auto"/>
                                <w:right w:val="none" w:sz="0" w:space="0" w:color="auto"/>
                              </w:divBdr>
                              <w:divsChild>
                                <w:div w:id="1059062549">
                                  <w:marLeft w:val="0"/>
                                  <w:marRight w:val="0"/>
                                  <w:marTop w:val="0"/>
                                  <w:marBottom w:val="0"/>
                                  <w:divBdr>
                                    <w:top w:val="none" w:sz="0" w:space="0" w:color="auto"/>
                                    <w:left w:val="none" w:sz="0" w:space="0" w:color="auto"/>
                                    <w:bottom w:val="none" w:sz="0" w:space="0" w:color="auto"/>
                                    <w:right w:val="none" w:sz="0" w:space="0" w:color="auto"/>
                                  </w:divBdr>
                                  <w:divsChild>
                                    <w:div w:id="10590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383">
      <w:marLeft w:val="0"/>
      <w:marRight w:val="0"/>
      <w:marTop w:val="0"/>
      <w:marBottom w:val="0"/>
      <w:divBdr>
        <w:top w:val="none" w:sz="0" w:space="0" w:color="auto"/>
        <w:left w:val="none" w:sz="0" w:space="0" w:color="auto"/>
        <w:bottom w:val="none" w:sz="0" w:space="0" w:color="auto"/>
        <w:right w:val="none" w:sz="0" w:space="0" w:color="auto"/>
      </w:divBdr>
    </w:div>
    <w:div w:id="1059062386">
      <w:marLeft w:val="0"/>
      <w:marRight w:val="0"/>
      <w:marTop w:val="0"/>
      <w:marBottom w:val="0"/>
      <w:divBdr>
        <w:top w:val="none" w:sz="0" w:space="0" w:color="auto"/>
        <w:left w:val="none" w:sz="0" w:space="0" w:color="auto"/>
        <w:bottom w:val="none" w:sz="0" w:space="0" w:color="auto"/>
        <w:right w:val="none" w:sz="0" w:space="0" w:color="auto"/>
      </w:divBdr>
    </w:div>
    <w:div w:id="1059062389">
      <w:marLeft w:val="0"/>
      <w:marRight w:val="0"/>
      <w:marTop w:val="0"/>
      <w:marBottom w:val="0"/>
      <w:divBdr>
        <w:top w:val="none" w:sz="0" w:space="0" w:color="auto"/>
        <w:left w:val="none" w:sz="0" w:space="0" w:color="auto"/>
        <w:bottom w:val="none" w:sz="0" w:space="0" w:color="auto"/>
        <w:right w:val="none" w:sz="0" w:space="0" w:color="auto"/>
      </w:divBdr>
      <w:divsChild>
        <w:div w:id="1059062602">
          <w:marLeft w:val="0"/>
          <w:marRight w:val="1"/>
          <w:marTop w:val="0"/>
          <w:marBottom w:val="0"/>
          <w:divBdr>
            <w:top w:val="none" w:sz="0" w:space="0" w:color="auto"/>
            <w:left w:val="none" w:sz="0" w:space="0" w:color="auto"/>
            <w:bottom w:val="none" w:sz="0" w:space="0" w:color="auto"/>
            <w:right w:val="none" w:sz="0" w:space="0" w:color="auto"/>
          </w:divBdr>
          <w:divsChild>
            <w:div w:id="1059062438">
              <w:marLeft w:val="0"/>
              <w:marRight w:val="0"/>
              <w:marTop w:val="0"/>
              <w:marBottom w:val="0"/>
              <w:divBdr>
                <w:top w:val="none" w:sz="0" w:space="0" w:color="auto"/>
                <w:left w:val="none" w:sz="0" w:space="0" w:color="auto"/>
                <w:bottom w:val="none" w:sz="0" w:space="0" w:color="auto"/>
                <w:right w:val="none" w:sz="0" w:space="0" w:color="auto"/>
              </w:divBdr>
              <w:divsChild>
                <w:div w:id="1059062436">
                  <w:marLeft w:val="0"/>
                  <w:marRight w:val="1"/>
                  <w:marTop w:val="0"/>
                  <w:marBottom w:val="0"/>
                  <w:divBdr>
                    <w:top w:val="none" w:sz="0" w:space="0" w:color="auto"/>
                    <w:left w:val="none" w:sz="0" w:space="0" w:color="auto"/>
                    <w:bottom w:val="none" w:sz="0" w:space="0" w:color="auto"/>
                    <w:right w:val="none" w:sz="0" w:space="0" w:color="auto"/>
                  </w:divBdr>
                  <w:divsChild>
                    <w:div w:id="1059062396">
                      <w:marLeft w:val="0"/>
                      <w:marRight w:val="0"/>
                      <w:marTop w:val="0"/>
                      <w:marBottom w:val="0"/>
                      <w:divBdr>
                        <w:top w:val="none" w:sz="0" w:space="0" w:color="auto"/>
                        <w:left w:val="none" w:sz="0" w:space="0" w:color="auto"/>
                        <w:bottom w:val="none" w:sz="0" w:space="0" w:color="auto"/>
                        <w:right w:val="none" w:sz="0" w:space="0" w:color="auto"/>
                      </w:divBdr>
                      <w:divsChild>
                        <w:div w:id="1059062656">
                          <w:marLeft w:val="0"/>
                          <w:marRight w:val="0"/>
                          <w:marTop w:val="0"/>
                          <w:marBottom w:val="0"/>
                          <w:divBdr>
                            <w:top w:val="none" w:sz="0" w:space="0" w:color="auto"/>
                            <w:left w:val="none" w:sz="0" w:space="0" w:color="auto"/>
                            <w:bottom w:val="none" w:sz="0" w:space="0" w:color="auto"/>
                            <w:right w:val="none" w:sz="0" w:space="0" w:color="auto"/>
                          </w:divBdr>
                          <w:divsChild>
                            <w:div w:id="1059062556">
                              <w:marLeft w:val="0"/>
                              <w:marRight w:val="0"/>
                              <w:marTop w:val="120"/>
                              <w:marBottom w:val="360"/>
                              <w:divBdr>
                                <w:top w:val="none" w:sz="0" w:space="0" w:color="auto"/>
                                <w:left w:val="none" w:sz="0" w:space="0" w:color="auto"/>
                                <w:bottom w:val="none" w:sz="0" w:space="0" w:color="auto"/>
                                <w:right w:val="none" w:sz="0" w:space="0" w:color="auto"/>
                              </w:divBdr>
                              <w:divsChild>
                                <w:div w:id="1059062677">
                                  <w:marLeft w:val="0"/>
                                  <w:marRight w:val="0"/>
                                  <w:marTop w:val="0"/>
                                  <w:marBottom w:val="0"/>
                                  <w:divBdr>
                                    <w:top w:val="none" w:sz="0" w:space="0" w:color="auto"/>
                                    <w:left w:val="none" w:sz="0" w:space="0" w:color="auto"/>
                                    <w:bottom w:val="none" w:sz="0" w:space="0" w:color="auto"/>
                                    <w:right w:val="none" w:sz="0" w:space="0" w:color="auto"/>
                                  </w:divBdr>
                                  <w:divsChild>
                                    <w:div w:id="10590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393">
      <w:marLeft w:val="0"/>
      <w:marRight w:val="0"/>
      <w:marTop w:val="0"/>
      <w:marBottom w:val="0"/>
      <w:divBdr>
        <w:top w:val="none" w:sz="0" w:space="0" w:color="auto"/>
        <w:left w:val="none" w:sz="0" w:space="0" w:color="auto"/>
        <w:bottom w:val="none" w:sz="0" w:space="0" w:color="auto"/>
        <w:right w:val="none" w:sz="0" w:space="0" w:color="auto"/>
      </w:divBdr>
      <w:divsChild>
        <w:div w:id="1059062578">
          <w:marLeft w:val="0"/>
          <w:marRight w:val="1"/>
          <w:marTop w:val="0"/>
          <w:marBottom w:val="0"/>
          <w:divBdr>
            <w:top w:val="none" w:sz="0" w:space="0" w:color="auto"/>
            <w:left w:val="none" w:sz="0" w:space="0" w:color="auto"/>
            <w:bottom w:val="none" w:sz="0" w:space="0" w:color="auto"/>
            <w:right w:val="none" w:sz="0" w:space="0" w:color="auto"/>
          </w:divBdr>
          <w:divsChild>
            <w:div w:id="1059062643">
              <w:marLeft w:val="0"/>
              <w:marRight w:val="0"/>
              <w:marTop w:val="0"/>
              <w:marBottom w:val="0"/>
              <w:divBdr>
                <w:top w:val="none" w:sz="0" w:space="0" w:color="auto"/>
                <w:left w:val="none" w:sz="0" w:space="0" w:color="auto"/>
                <w:bottom w:val="none" w:sz="0" w:space="0" w:color="auto"/>
                <w:right w:val="none" w:sz="0" w:space="0" w:color="auto"/>
              </w:divBdr>
              <w:divsChild>
                <w:div w:id="1059062364">
                  <w:marLeft w:val="0"/>
                  <w:marRight w:val="1"/>
                  <w:marTop w:val="0"/>
                  <w:marBottom w:val="0"/>
                  <w:divBdr>
                    <w:top w:val="none" w:sz="0" w:space="0" w:color="auto"/>
                    <w:left w:val="none" w:sz="0" w:space="0" w:color="auto"/>
                    <w:bottom w:val="none" w:sz="0" w:space="0" w:color="auto"/>
                    <w:right w:val="none" w:sz="0" w:space="0" w:color="auto"/>
                  </w:divBdr>
                  <w:divsChild>
                    <w:div w:id="1059062410">
                      <w:marLeft w:val="0"/>
                      <w:marRight w:val="0"/>
                      <w:marTop w:val="0"/>
                      <w:marBottom w:val="0"/>
                      <w:divBdr>
                        <w:top w:val="none" w:sz="0" w:space="0" w:color="auto"/>
                        <w:left w:val="none" w:sz="0" w:space="0" w:color="auto"/>
                        <w:bottom w:val="none" w:sz="0" w:space="0" w:color="auto"/>
                        <w:right w:val="none" w:sz="0" w:space="0" w:color="auto"/>
                      </w:divBdr>
                      <w:divsChild>
                        <w:div w:id="1059062459">
                          <w:marLeft w:val="0"/>
                          <w:marRight w:val="0"/>
                          <w:marTop w:val="0"/>
                          <w:marBottom w:val="0"/>
                          <w:divBdr>
                            <w:top w:val="none" w:sz="0" w:space="0" w:color="auto"/>
                            <w:left w:val="none" w:sz="0" w:space="0" w:color="auto"/>
                            <w:bottom w:val="none" w:sz="0" w:space="0" w:color="auto"/>
                            <w:right w:val="none" w:sz="0" w:space="0" w:color="auto"/>
                          </w:divBdr>
                          <w:divsChild>
                            <w:div w:id="1059062398">
                              <w:marLeft w:val="0"/>
                              <w:marRight w:val="0"/>
                              <w:marTop w:val="120"/>
                              <w:marBottom w:val="360"/>
                              <w:divBdr>
                                <w:top w:val="none" w:sz="0" w:space="0" w:color="auto"/>
                                <w:left w:val="none" w:sz="0" w:space="0" w:color="auto"/>
                                <w:bottom w:val="none" w:sz="0" w:space="0" w:color="auto"/>
                                <w:right w:val="none" w:sz="0" w:space="0" w:color="auto"/>
                              </w:divBdr>
                              <w:divsChild>
                                <w:div w:id="1059062453">
                                  <w:marLeft w:val="0"/>
                                  <w:marRight w:val="0"/>
                                  <w:marTop w:val="0"/>
                                  <w:marBottom w:val="0"/>
                                  <w:divBdr>
                                    <w:top w:val="none" w:sz="0" w:space="0" w:color="auto"/>
                                    <w:left w:val="none" w:sz="0" w:space="0" w:color="auto"/>
                                    <w:bottom w:val="none" w:sz="0" w:space="0" w:color="auto"/>
                                    <w:right w:val="none" w:sz="0" w:space="0" w:color="auto"/>
                                  </w:divBdr>
                                  <w:divsChild>
                                    <w:div w:id="10590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03">
      <w:marLeft w:val="0"/>
      <w:marRight w:val="0"/>
      <w:marTop w:val="0"/>
      <w:marBottom w:val="0"/>
      <w:divBdr>
        <w:top w:val="none" w:sz="0" w:space="0" w:color="auto"/>
        <w:left w:val="none" w:sz="0" w:space="0" w:color="auto"/>
        <w:bottom w:val="none" w:sz="0" w:space="0" w:color="auto"/>
        <w:right w:val="none" w:sz="0" w:space="0" w:color="auto"/>
      </w:divBdr>
    </w:div>
    <w:div w:id="1059062408">
      <w:marLeft w:val="0"/>
      <w:marRight w:val="0"/>
      <w:marTop w:val="0"/>
      <w:marBottom w:val="0"/>
      <w:divBdr>
        <w:top w:val="none" w:sz="0" w:space="0" w:color="auto"/>
        <w:left w:val="none" w:sz="0" w:space="0" w:color="auto"/>
        <w:bottom w:val="none" w:sz="0" w:space="0" w:color="auto"/>
        <w:right w:val="none" w:sz="0" w:space="0" w:color="auto"/>
      </w:divBdr>
      <w:divsChild>
        <w:div w:id="1059062585">
          <w:marLeft w:val="0"/>
          <w:marRight w:val="1"/>
          <w:marTop w:val="0"/>
          <w:marBottom w:val="0"/>
          <w:divBdr>
            <w:top w:val="none" w:sz="0" w:space="0" w:color="auto"/>
            <w:left w:val="none" w:sz="0" w:space="0" w:color="auto"/>
            <w:bottom w:val="none" w:sz="0" w:space="0" w:color="auto"/>
            <w:right w:val="none" w:sz="0" w:space="0" w:color="auto"/>
          </w:divBdr>
          <w:divsChild>
            <w:div w:id="1059062385">
              <w:marLeft w:val="0"/>
              <w:marRight w:val="0"/>
              <w:marTop w:val="0"/>
              <w:marBottom w:val="0"/>
              <w:divBdr>
                <w:top w:val="none" w:sz="0" w:space="0" w:color="auto"/>
                <w:left w:val="none" w:sz="0" w:space="0" w:color="auto"/>
                <w:bottom w:val="none" w:sz="0" w:space="0" w:color="auto"/>
                <w:right w:val="none" w:sz="0" w:space="0" w:color="auto"/>
              </w:divBdr>
              <w:divsChild>
                <w:div w:id="1059062533">
                  <w:marLeft w:val="0"/>
                  <w:marRight w:val="1"/>
                  <w:marTop w:val="0"/>
                  <w:marBottom w:val="0"/>
                  <w:divBdr>
                    <w:top w:val="none" w:sz="0" w:space="0" w:color="auto"/>
                    <w:left w:val="none" w:sz="0" w:space="0" w:color="auto"/>
                    <w:bottom w:val="none" w:sz="0" w:space="0" w:color="auto"/>
                    <w:right w:val="none" w:sz="0" w:space="0" w:color="auto"/>
                  </w:divBdr>
                  <w:divsChild>
                    <w:div w:id="1059062660">
                      <w:marLeft w:val="0"/>
                      <w:marRight w:val="0"/>
                      <w:marTop w:val="0"/>
                      <w:marBottom w:val="0"/>
                      <w:divBdr>
                        <w:top w:val="none" w:sz="0" w:space="0" w:color="auto"/>
                        <w:left w:val="none" w:sz="0" w:space="0" w:color="auto"/>
                        <w:bottom w:val="none" w:sz="0" w:space="0" w:color="auto"/>
                        <w:right w:val="none" w:sz="0" w:space="0" w:color="auto"/>
                      </w:divBdr>
                      <w:divsChild>
                        <w:div w:id="1059062400">
                          <w:marLeft w:val="0"/>
                          <w:marRight w:val="0"/>
                          <w:marTop w:val="0"/>
                          <w:marBottom w:val="0"/>
                          <w:divBdr>
                            <w:top w:val="none" w:sz="0" w:space="0" w:color="auto"/>
                            <w:left w:val="none" w:sz="0" w:space="0" w:color="auto"/>
                            <w:bottom w:val="none" w:sz="0" w:space="0" w:color="auto"/>
                            <w:right w:val="none" w:sz="0" w:space="0" w:color="auto"/>
                          </w:divBdr>
                          <w:divsChild>
                            <w:div w:id="1059062519">
                              <w:marLeft w:val="0"/>
                              <w:marRight w:val="0"/>
                              <w:marTop w:val="120"/>
                              <w:marBottom w:val="360"/>
                              <w:divBdr>
                                <w:top w:val="none" w:sz="0" w:space="0" w:color="auto"/>
                                <w:left w:val="none" w:sz="0" w:space="0" w:color="auto"/>
                                <w:bottom w:val="none" w:sz="0" w:space="0" w:color="auto"/>
                                <w:right w:val="none" w:sz="0" w:space="0" w:color="auto"/>
                              </w:divBdr>
                              <w:divsChild>
                                <w:div w:id="1059062664">
                                  <w:marLeft w:val="0"/>
                                  <w:marRight w:val="0"/>
                                  <w:marTop w:val="0"/>
                                  <w:marBottom w:val="0"/>
                                  <w:divBdr>
                                    <w:top w:val="none" w:sz="0" w:space="0" w:color="auto"/>
                                    <w:left w:val="none" w:sz="0" w:space="0" w:color="auto"/>
                                    <w:bottom w:val="none" w:sz="0" w:space="0" w:color="auto"/>
                                    <w:right w:val="none" w:sz="0" w:space="0" w:color="auto"/>
                                  </w:divBdr>
                                  <w:divsChild>
                                    <w:div w:id="10590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11">
      <w:marLeft w:val="0"/>
      <w:marRight w:val="0"/>
      <w:marTop w:val="0"/>
      <w:marBottom w:val="0"/>
      <w:divBdr>
        <w:top w:val="none" w:sz="0" w:space="0" w:color="auto"/>
        <w:left w:val="none" w:sz="0" w:space="0" w:color="auto"/>
        <w:bottom w:val="none" w:sz="0" w:space="0" w:color="auto"/>
        <w:right w:val="none" w:sz="0" w:space="0" w:color="auto"/>
      </w:divBdr>
    </w:div>
    <w:div w:id="1059062414">
      <w:marLeft w:val="0"/>
      <w:marRight w:val="0"/>
      <w:marTop w:val="0"/>
      <w:marBottom w:val="0"/>
      <w:divBdr>
        <w:top w:val="none" w:sz="0" w:space="0" w:color="auto"/>
        <w:left w:val="none" w:sz="0" w:space="0" w:color="auto"/>
        <w:bottom w:val="none" w:sz="0" w:space="0" w:color="auto"/>
        <w:right w:val="none" w:sz="0" w:space="0" w:color="auto"/>
      </w:divBdr>
      <w:divsChild>
        <w:div w:id="1059062546">
          <w:marLeft w:val="0"/>
          <w:marRight w:val="1"/>
          <w:marTop w:val="0"/>
          <w:marBottom w:val="0"/>
          <w:divBdr>
            <w:top w:val="none" w:sz="0" w:space="0" w:color="auto"/>
            <w:left w:val="none" w:sz="0" w:space="0" w:color="auto"/>
            <w:bottom w:val="none" w:sz="0" w:space="0" w:color="auto"/>
            <w:right w:val="none" w:sz="0" w:space="0" w:color="auto"/>
          </w:divBdr>
          <w:divsChild>
            <w:div w:id="1059062457">
              <w:marLeft w:val="0"/>
              <w:marRight w:val="0"/>
              <w:marTop w:val="0"/>
              <w:marBottom w:val="0"/>
              <w:divBdr>
                <w:top w:val="none" w:sz="0" w:space="0" w:color="auto"/>
                <w:left w:val="none" w:sz="0" w:space="0" w:color="auto"/>
                <w:bottom w:val="none" w:sz="0" w:space="0" w:color="auto"/>
                <w:right w:val="none" w:sz="0" w:space="0" w:color="auto"/>
              </w:divBdr>
              <w:divsChild>
                <w:div w:id="1059062572">
                  <w:marLeft w:val="0"/>
                  <w:marRight w:val="1"/>
                  <w:marTop w:val="0"/>
                  <w:marBottom w:val="0"/>
                  <w:divBdr>
                    <w:top w:val="none" w:sz="0" w:space="0" w:color="auto"/>
                    <w:left w:val="none" w:sz="0" w:space="0" w:color="auto"/>
                    <w:bottom w:val="none" w:sz="0" w:space="0" w:color="auto"/>
                    <w:right w:val="none" w:sz="0" w:space="0" w:color="auto"/>
                  </w:divBdr>
                  <w:divsChild>
                    <w:div w:id="1059062515">
                      <w:marLeft w:val="0"/>
                      <w:marRight w:val="0"/>
                      <w:marTop w:val="0"/>
                      <w:marBottom w:val="0"/>
                      <w:divBdr>
                        <w:top w:val="none" w:sz="0" w:space="0" w:color="auto"/>
                        <w:left w:val="none" w:sz="0" w:space="0" w:color="auto"/>
                        <w:bottom w:val="none" w:sz="0" w:space="0" w:color="auto"/>
                        <w:right w:val="none" w:sz="0" w:space="0" w:color="auto"/>
                      </w:divBdr>
                      <w:divsChild>
                        <w:div w:id="1059062633">
                          <w:marLeft w:val="0"/>
                          <w:marRight w:val="0"/>
                          <w:marTop w:val="0"/>
                          <w:marBottom w:val="0"/>
                          <w:divBdr>
                            <w:top w:val="none" w:sz="0" w:space="0" w:color="auto"/>
                            <w:left w:val="none" w:sz="0" w:space="0" w:color="auto"/>
                            <w:bottom w:val="none" w:sz="0" w:space="0" w:color="auto"/>
                            <w:right w:val="none" w:sz="0" w:space="0" w:color="auto"/>
                          </w:divBdr>
                          <w:divsChild>
                            <w:div w:id="1059062482">
                              <w:marLeft w:val="0"/>
                              <w:marRight w:val="0"/>
                              <w:marTop w:val="120"/>
                              <w:marBottom w:val="360"/>
                              <w:divBdr>
                                <w:top w:val="none" w:sz="0" w:space="0" w:color="auto"/>
                                <w:left w:val="none" w:sz="0" w:space="0" w:color="auto"/>
                                <w:bottom w:val="none" w:sz="0" w:space="0" w:color="auto"/>
                                <w:right w:val="none" w:sz="0" w:space="0" w:color="auto"/>
                              </w:divBdr>
                              <w:divsChild>
                                <w:div w:id="1059062638">
                                  <w:marLeft w:val="0"/>
                                  <w:marRight w:val="0"/>
                                  <w:marTop w:val="0"/>
                                  <w:marBottom w:val="0"/>
                                  <w:divBdr>
                                    <w:top w:val="none" w:sz="0" w:space="0" w:color="auto"/>
                                    <w:left w:val="none" w:sz="0" w:space="0" w:color="auto"/>
                                    <w:bottom w:val="none" w:sz="0" w:space="0" w:color="auto"/>
                                    <w:right w:val="none" w:sz="0" w:space="0" w:color="auto"/>
                                  </w:divBdr>
                                  <w:divsChild>
                                    <w:div w:id="105906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15">
      <w:marLeft w:val="0"/>
      <w:marRight w:val="0"/>
      <w:marTop w:val="0"/>
      <w:marBottom w:val="0"/>
      <w:divBdr>
        <w:top w:val="none" w:sz="0" w:space="0" w:color="auto"/>
        <w:left w:val="none" w:sz="0" w:space="0" w:color="auto"/>
        <w:bottom w:val="none" w:sz="0" w:space="0" w:color="auto"/>
        <w:right w:val="none" w:sz="0" w:space="0" w:color="auto"/>
      </w:divBdr>
      <w:divsChild>
        <w:div w:id="1059062547">
          <w:marLeft w:val="0"/>
          <w:marRight w:val="1"/>
          <w:marTop w:val="0"/>
          <w:marBottom w:val="0"/>
          <w:divBdr>
            <w:top w:val="none" w:sz="0" w:space="0" w:color="auto"/>
            <w:left w:val="none" w:sz="0" w:space="0" w:color="auto"/>
            <w:bottom w:val="none" w:sz="0" w:space="0" w:color="auto"/>
            <w:right w:val="none" w:sz="0" w:space="0" w:color="auto"/>
          </w:divBdr>
          <w:divsChild>
            <w:div w:id="1059062407">
              <w:marLeft w:val="0"/>
              <w:marRight w:val="0"/>
              <w:marTop w:val="0"/>
              <w:marBottom w:val="0"/>
              <w:divBdr>
                <w:top w:val="none" w:sz="0" w:space="0" w:color="auto"/>
                <w:left w:val="none" w:sz="0" w:space="0" w:color="auto"/>
                <w:bottom w:val="none" w:sz="0" w:space="0" w:color="auto"/>
                <w:right w:val="none" w:sz="0" w:space="0" w:color="auto"/>
              </w:divBdr>
              <w:divsChild>
                <w:div w:id="1059062616">
                  <w:marLeft w:val="0"/>
                  <w:marRight w:val="1"/>
                  <w:marTop w:val="0"/>
                  <w:marBottom w:val="0"/>
                  <w:divBdr>
                    <w:top w:val="none" w:sz="0" w:space="0" w:color="auto"/>
                    <w:left w:val="none" w:sz="0" w:space="0" w:color="auto"/>
                    <w:bottom w:val="none" w:sz="0" w:space="0" w:color="auto"/>
                    <w:right w:val="none" w:sz="0" w:space="0" w:color="auto"/>
                  </w:divBdr>
                  <w:divsChild>
                    <w:div w:id="1059062421">
                      <w:marLeft w:val="0"/>
                      <w:marRight w:val="0"/>
                      <w:marTop w:val="0"/>
                      <w:marBottom w:val="0"/>
                      <w:divBdr>
                        <w:top w:val="none" w:sz="0" w:space="0" w:color="auto"/>
                        <w:left w:val="none" w:sz="0" w:space="0" w:color="auto"/>
                        <w:bottom w:val="none" w:sz="0" w:space="0" w:color="auto"/>
                        <w:right w:val="none" w:sz="0" w:space="0" w:color="auto"/>
                      </w:divBdr>
                      <w:divsChild>
                        <w:div w:id="1059062371">
                          <w:marLeft w:val="0"/>
                          <w:marRight w:val="0"/>
                          <w:marTop w:val="0"/>
                          <w:marBottom w:val="0"/>
                          <w:divBdr>
                            <w:top w:val="none" w:sz="0" w:space="0" w:color="auto"/>
                            <w:left w:val="none" w:sz="0" w:space="0" w:color="auto"/>
                            <w:bottom w:val="none" w:sz="0" w:space="0" w:color="auto"/>
                            <w:right w:val="none" w:sz="0" w:space="0" w:color="auto"/>
                          </w:divBdr>
                          <w:divsChild>
                            <w:div w:id="1059062665">
                              <w:marLeft w:val="0"/>
                              <w:marRight w:val="0"/>
                              <w:marTop w:val="120"/>
                              <w:marBottom w:val="360"/>
                              <w:divBdr>
                                <w:top w:val="none" w:sz="0" w:space="0" w:color="auto"/>
                                <w:left w:val="none" w:sz="0" w:space="0" w:color="auto"/>
                                <w:bottom w:val="none" w:sz="0" w:space="0" w:color="auto"/>
                                <w:right w:val="none" w:sz="0" w:space="0" w:color="auto"/>
                              </w:divBdr>
                              <w:divsChild>
                                <w:div w:id="1059062419">
                                  <w:marLeft w:val="0"/>
                                  <w:marRight w:val="0"/>
                                  <w:marTop w:val="0"/>
                                  <w:marBottom w:val="0"/>
                                  <w:divBdr>
                                    <w:top w:val="none" w:sz="0" w:space="0" w:color="auto"/>
                                    <w:left w:val="none" w:sz="0" w:space="0" w:color="auto"/>
                                    <w:bottom w:val="none" w:sz="0" w:space="0" w:color="auto"/>
                                    <w:right w:val="none" w:sz="0" w:space="0" w:color="auto"/>
                                  </w:divBdr>
                                  <w:divsChild>
                                    <w:div w:id="10590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23">
      <w:marLeft w:val="0"/>
      <w:marRight w:val="0"/>
      <w:marTop w:val="0"/>
      <w:marBottom w:val="0"/>
      <w:divBdr>
        <w:top w:val="none" w:sz="0" w:space="0" w:color="auto"/>
        <w:left w:val="none" w:sz="0" w:space="0" w:color="auto"/>
        <w:bottom w:val="none" w:sz="0" w:space="0" w:color="auto"/>
        <w:right w:val="none" w:sz="0" w:space="0" w:color="auto"/>
      </w:divBdr>
      <w:divsChild>
        <w:div w:id="1059062603">
          <w:marLeft w:val="0"/>
          <w:marRight w:val="1"/>
          <w:marTop w:val="0"/>
          <w:marBottom w:val="0"/>
          <w:divBdr>
            <w:top w:val="none" w:sz="0" w:space="0" w:color="auto"/>
            <w:left w:val="none" w:sz="0" w:space="0" w:color="auto"/>
            <w:bottom w:val="none" w:sz="0" w:space="0" w:color="auto"/>
            <w:right w:val="none" w:sz="0" w:space="0" w:color="auto"/>
          </w:divBdr>
          <w:divsChild>
            <w:div w:id="1059062672">
              <w:marLeft w:val="0"/>
              <w:marRight w:val="0"/>
              <w:marTop w:val="0"/>
              <w:marBottom w:val="0"/>
              <w:divBdr>
                <w:top w:val="none" w:sz="0" w:space="0" w:color="auto"/>
                <w:left w:val="none" w:sz="0" w:space="0" w:color="auto"/>
                <w:bottom w:val="none" w:sz="0" w:space="0" w:color="auto"/>
                <w:right w:val="none" w:sz="0" w:space="0" w:color="auto"/>
              </w:divBdr>
              <w:divsChild>
                <w:div w:id="1059062582">
                  <w:marLeft w:val="0"/>
                  <w:marRight w:val="1"/>
                  <w:marTop w:val="0"/>
                  <w:marBottom w:val="0"/>
                  <w:divBdr>
                    <w:top w:val="none" w:sz="0" w:space="0" w:color="auto"/>
                    <w:left w:val="none" w:sz="0" w:space="0" w:color="auto"/>
                    <w:bottom w:val="none" w:sz="0" w:space="0" w:color="auto"/>
                    <w:right w:val="none" w:sz="0" w:space="0" w:color="auto"/>
                  </w:divBdr>
                  <w:divsChild>
                    <w:div w:id="1059062508">
                      <w:marLeft w:val="0"/>
                      <w:marRight w:val="0"/>
                      <w:marTop w:val="0"/>
                      <w:marBottom w:val="0"/>
                      <w:divBdr>
                        <w:top w:val="none" w:sz="0" w:space="0" w:color="auto"/>
                        <w:left w:val="none" w:sz="0" w:space="0" w:color="auto"/>
                        <w:bottom w:val="none" w:sz="0" w:space="0" w:color="auto"/>
                        <w:right w:val="none" w:sz="0" w:space="0" w:color="auto"/>
                      </w:divBdr>
                      <w:divsChild>
                        <w:div w:id="1059062497">
                          <w:marLeft w:val="0"/>
                          <w:marRight w:val="0"/>
                          <w:marTop w:val="0"/>
                          <w:marBottom w:val="0"/>
                          <w:divBdr>
                            <w:top w:val="none" w:sz="0" w:space="0" w:color="auto"/>
                            <w:left w:val="none" w:sz="0" w:space="0" w:color="auto"/>
                            <w:bottom w:val="none" w:sz="0" w:space="0" w:color="auto"/>
                            <w:right w:val="none" w:sz="0" w:space="0" w:color="auto"/>
                          </w:divBdr>
                          <w:divsChild>
                            <w:div w:id="1059062433">
                              <w:marLeft w:val="0"/>
                              <w:marRight w:val="0"/>
                              <w:marTop w:val="120"/>
                              <w:marBottom w:val="360"/>
                              <w:divBdr>
                                <w:top w:val="none" w:sz="0" w:space="0" w:color="auto"/>
                                <w:left w:val="none" w:sz="0" w:space="0" w:color="auto"/>
                                <w:bottom w:val="none" w:sz="0" w:space="0" w:color="auto"/>
                                <w:right w:val="none" w:sz="0" w:space="0" w:color="auto"/>
                              </w:divBdr>
                              <w:divsChild>
                                <w:div w:id="1059062448">
                                  <w:marLeft w:val="0"/>
                                  <w:marRight w:val="0"/>
                                  <w:marTop w:val="0"/>
                                  <w:marBottom w:val="0"/>
                                  <w:divBdr>
                                    <w:top w:val="none" w:sz="0" w:space="0" w:color="auto"/>
                                    <w:left w:val="none" w:sz="0" w:space="0" w:color="auto"/>
                                    <w:bottom w:val="none" w:sz="0" w:space="0" w:color="auto"/>
                                    <w:right w:val="none" w:sz="0" w:space="0" w:color="auto"/>
                                  </w:divBdr>
                                  <w:divsChild>
                                    <w:div w:id="10590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28">
      <w:marLeft w:val="0"/>
      <w:marRight w:val="0"/>
      <w:marTop w:val="0"/>
      <w:marBottom w:val="0"/>
      <w:divBdr>
        <w:top w:val="none" w:sz="0" w:space="0" w:color="auto"/>
        <w:left w:val="none" w:sz="0" w:space="0" w:color="auto"/>
        <w:bottom w:val="none" w:sz="0" w:space="0" w:color="auto"/>
        <w:right w:val="none" w:sz="0" w:space="0" w:color="auto"/>
      </w:divBdr>
    </w:div>
    <w:div w:id="1059062429">
      <w:marLeft w:val="0"/>
      <w:marRight w:val="0"/>
      <w:marTop w:val="0"/>
      <w:marBottom w:val="0"/>
      <w:divBdr>
        <w:top w:val="none" w:sz="0" w:space="0" w:color="auto"/>
        <w:left w:val="none" w:sz="0" w:space="0" w:color="auto"/>
        <w:bottom w:val="none" w:sz="0" w:space="0" w:color="auto"/>
        <w:right w:val="none" w:sz="0" w:space="0" w:color="auto"/>
      </w:divBdr>
      <w:divsChild>
        <w:div w:id="1059062523">
          <w:marLeft w:val="0"/>
          <w:marRight w:val="1"/>
          <w:marTop w:val="0"/>
          <w:marBottom w:val="0"/>
          <w:divBdr>
            <w:top w:val="none" w:sz="0" w:space="0" w:color="auto"/>
            <w:left w:val="none" w:sz="0" w:space="0" w:color="auto"/>
            <w:bottom w:val="none" w:sz="0" w:space="0" w:color="auto"/>
            <w:right w:val="none" w:sz="0" w:space="0" w:color="auto"/>
          </w:divBdr>
          <w:divsChild>
            <w:div w:id="1059062645">
              <w:marLeft w:val="0"/>
              <w:marRight w:val="0"/>
              <w:marTop w:val="0"/>
              <w:marBottom w:val="0"/>
              <w:divBdr>
                <w:top w:val="none" w:sz="0" w:space="0" w:color="auto"/>
                <w:left w:val="none" w:sz="0" w:space="0" w:color="auto"/>
                <w:bottom w:val="none" w:sz="0" w:space="0" w:color="auto"/>
                <w:right w:val="none" w:sz="0" w:space="0" w:color="auto"/>
              </w:divBdr>
              <w:divsChild>
                <w:div w:id="1059062681">
                  <w:marLeft w:val="0"/>
                  <w:marRight w:val="1"/>
                  <w:marTop w:val="0"/>
                  <w:marBottom w:val="0"/>
                  <w:divBdr>
                    <w:top w:val="none" w:sz="0" w:space="0" w:color="auto"/>
                    <w:left w:val="none" w:sz="0" w:space="0" w:color="auto"/>
                    <w:bottom w:val="none" w:sz="0" w:space="0" w:color="auto"/>
                    <w:right w:val="none" w:sz="0" w:space="0" w:color="auto"/>
                  </w:divBdr>
                  <w:divsChild>
                    <w:div w:id="1059062476">
                      <w:marLeft w:val="0"/>
                      <w:marRight w:val="0"/>
                      <w:marTop w:val="0"/>
                      <w:marBottom w:val="0"/>
                      <w:divBdr>
                        <w:top w:val="none" w:sz="0" w:space="0" w:color="auto"/>
                        <w:left w:val="none" w:sz="0" w:space="0" w:color="auto"/>
                        <w:bottom w:val="none" w:sz="0" w:space="0" w:color="auto"/>
                        <w:right w:val="none" w:sz="0" w:space="0" w:color="auto"/>
                      </w:divBdr>
                      <w:divsChild>
                        <w:div w:id="1059062594">
                          <w:marLeft w:val="0"/>
                          <w:marRight w:val="0"/>
                          <w:marTop w:val="0"/>
                          <w:marBottom w:val="0"/>
                          <w:divBdr>
                            <w:top w:val="none" w:sz="0" w:space="0" w:color="auto"/>
                            <w:left w:val="none" w:sz="0" w:space="0" w:color="auto"/>
                            <w:bottom w:val="none" w:sz="0" w:space="0" w:color="auto"/>
                            <w:right w:val="none" w:sz="0" w:space="0" w:color="auto"/>
                          </w:divBdr>
                          <w:divsChild>
                            <w:div w:id="1059062446">
                              <w:marLeft w:val="0"/>
                              <w:marRight w:val="0"/>
                              <w:marTop w:val="120"/>
                              <w:marBottom w:val="360"/>
                              <w:divBdr>
                                <w:top w:val="none" w:sz="0" w:space="0" w:color="auto"/>
                                <w:left w:val="none" w:sz="0" w:space="0" w:color="auto"/>
                                <w:bottom w:val="none" w:sz="0" w:space="0" w:color="auto"/>
                                <w:right w:val="none" w:sz="0" w:space="0" w:color="auto"/>
                              </w:divBdr>
                              <w:divsChild>
                                <w:div w:id="1059062466">
                                  <w:marLeft w:val="0"/>
                                  <w:marRight w:val="0"/>
                                  <w:marTop w:val="0"/>
                                  <w:marBottom w:val="0"/>
                                  <w:divBdr>
                                    <w:top w:val="none" w:sz="0" w:space="0" w:color="auto"/>
                                    <w:left w:val="none" w:sz="0" w:space="0" w:color="auto"/>
                                    <w:bottom w:val="none" w:sz="0" w:space="0" w:color="auto"/>
                                    <w:right w:val="none" w:sz="0" w:space="0" w:color="auto"/>
                                  </w:divBdr>
                                  <w:divsChild>
                                    <w:div w:id="10590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39">
      <w:marLeft w:val="0"/>
      <w:marRight w:val="0"/>
      <w:marTop w:val="0"/>
      <w:marBottom w:val="0"/>
      <w:divBdr>
        <w:top w:val="none" w:sz="0" w:space="0" w:color="auto"/>
        <w:left w:val="none" w:sz="0" w:space="0" w:color="auto"/>
        <w:bottom w:val="none" w:sz="0" w:space="0" w:color="auto"/>
        <w:right w:val="none" w:sz="0" w:space="0" w:color="auto"/>
      </w:divBdr>
    </w:div>
    <w:div w:id="1059062444">
      <w:marLeft w:val="0"/>
      <w:marRight w:val="0"/>
      <w:marTop w:val="0"/>
      <w:marBottom w:val="0"/>
      <w:divBdr>
        <w:top w:val="none" w:sz="0" w:space="0" w:color="auto"/>
        <w:left w:val="none" w:sz="0" w:space="0" w:color="auto"/>
        <w:bottom w:val="none" w:sz="0" w:space="0" w:color="auto"/>
        <w:right w:val="none" w:sz="0" w:space="0" w:color="auto"/>
      </w:divBdr>
    </w:div>
    <w:div w:id="1059062452">
      <w:marLeft w:val="0"/>
      <w:marRight w:val="0"/>
      <w:marTop w:val="0"/>
      <w:marBottom w:val="0"/>
      <w:divBdr>
        <w:top w:val="none" w:sz="0" w:space="0" w:color="auto"/>
        <w:left w:val="none" w:sz="0" w:space="0" w:color="auto"/>
        <w:bottom w:val="none" w:sz="0" w:space="0" w:color="auto"/>
        <w:right w:val="none" w:sz="0" w:space="0" w:color="auto"/>
      </w:divBdr>
      <w:divsChild>
        <w:div w:id="1059062535">
          <w:marLeft w:val="0"/>
          <w:marRight w:val="1"/>
          <w:marTop w:val="0"/>
          <w:marBottom w:val="0"/>
          <w:divBdr>
            <w:top w:val="none" w:sz="0" w:space="0" w:color="auto"/>
            <w:left w:val="none" w:sz="0" w:space="0" w:color="auto"/>
            <w:bottom w:val="none" w:sz="0" w:space="0" w:color="auto"/>
            <w:right w:val="none" w:sz="0" w:space="0" w:color="auto"/>
          </w:divBdr>
          <w:divsChild>
            <w:div w:id="1059062577">
              <w:marLeft w:val="0"/>
              <w:marRight w:val="0"/>
              <w:marTop w:val="0"/>
              <w:marBottom w:val="0"/>
              <w:divBdr>
                <w:top w:val="none" w:sz="0" w:space="0" w:color="auto"/>
                <w:left w:val="none" w:sz="0" w:space="0" w:color="auto"/>
                <w:bottom w:val="none" w:sz="0" w:space="0" w:color="auto"/>
                <w:right w:val="none" w:sz="0" w:space="0" w:color="auto"/>
              </w:divBdr>
              <w:divsChild>
                <w:div w:id="1059062384">
                  <w:marLeft w:val="0"/>
                  <w:marRight w:val="1"/>
                  <w:marTop w:val="0"/>
                  <w:marBottom w:val="0"/>
                  <w:divBdr>
                    <w:top w:val="none" w:sz="0" w:space="0" w:color="auto"/>
                    <w:left w:val="none" w:sz="0" w:space="0" w:color="auto"/>
                    <w:bottom w:val="none" w:sz="0" w:space="0" w:color="auto"/>
                    <w:right w:val="none" w:sz="0" w:space="0" w:color="auto"/>
                  </w:divBdr>
                  <w:divsChild>
                    <w:div w:id="1059062378">
                      <w:marLeft w:val="0"/>
                      <w:marRight w:val="0"/>
                      <w:marTop w:val="0"/>
                      <w:marBottom w:val="0"/>
                      <w:divBdr>
                        <w:top w:val="none" w:sz="0" w:space="0" w:color="auto"/>
                        <w:left w:val="none" w:sz="0" w:space="0" w:color="auto"/>
                        <w:bottom w:val="none" w:sz="0" w:space="0" w:color="auto"/>
                        <w:right w:val="none" w:sz="0" w:space="0" w:color="auto"/>
                      </w:divBdr>
                      <w:divsChild>
                        <w:div w:id="1059062359">
                          <w:marLeft w:val="0"/>
                          <w:marRight w:val="0"/>
                          <w:marTop w:val="0"/>
                          <w:marBottom w:val="0"/>
                          <w:divBdr>
                            <w:top w:val="none" w:sz="0" w:space="0" w:color="auto"/>
                            <w:left w:val="none" w:sz="0" w:space="0" w:color="auto"/>
                            <w:bottom w:val="none" w:sz="0" w:space="0" w:color="auto"/>
                            <w:right w:val="none" w:sz="0" w:space="0" w:color="auto"/>
                          </w:divBdr>
                          <w:divsChild>
                            <w:div w:id="1059062559">
                              <w:marLeft w:val="0"/>
                              <w:marRight w:val="0"/>
                              <w:marTop w:val="120"/>
                              <w:marBottom w:val="360"/>
                              <w:divBdr>
                                <w:top w:val="none" w:sz="0" w:space="0" w:color="auto"/>
                                <w:left w:val="none" w:sz="0" w:space="0" w:color="auto"/>
                                <w:bottom w:val="none" w:sz="0" w:space="0" w:color="auto"/>
                                <w:right w:val="none" w:sz="0" w:space="0" w:color="auto"/>
                              </w:divBdr>
                              <w:divsChild>
                                <w:div w:id="1059062503">
                                  <w:marLeft w:val="0"/>
                                  <w:marRight w:val="0"/>
                                  <w:marTop w:val="0"/>
                                  <w:marBottom w:val="0"/>
                                  <w:divBdr>
                                    <w:top w:val="none" w:sz="0" w:space="0" w:color="auto"/>
                                    <w:left w:val="none" w:sz="0" w:space="0" w:color="auto"/>
                                    <w:bottom w:val="none" w:sz="0" w:space="0" w:color="auto"/>
                                    <w:right w:val="none" w:sz="0" w:space="0" w:color="auto"/>
                                  </w:divBdr>
                                  <w:divsChild>
                                    <w:div w:id="1059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58">
      <w:marLeft w:val="0"/>
      <w:marRight w:val="0"/>
      <w:marTop w:val="0"/>
      <w:marBottom w:val="0"/>
      <w:divBdr>
        <w:top w:val="none" w:sz="0" w:space="0" w:color="auto"/>
        <w:left w:val="none" w:sz="0" w:space="0" w:color="auto"/>
        <w:bottom w:val="none" w:sz="0" w:space="0" w:color="auto"/>
        <w:right w:val="none" w:sz="0" w:space="0" w:color="auto"/>
      </w:divBdr>
      <w:divsChild>
        <w:div w:id="1059062678">
          <w:marLeft w:val="0"/>
          <w:marRight w:val="1"/>
          <w:marTop w:val="0"/>
          <w:marBottom w:val="0"/>
          <w:divBdr>
            <w:top w:val="none" w:sz="0" w:space="0" w:color="auto"/>
            <w:left w:val="none" w:sz="0" w:space="0" w:color="auto"/>
            <w:bottom w:val="none" w:sz="0" w:space="0" w:color="auto"/>
            <w:right w:val="none" w:sz="0" w:space="0" w:color="auto"/>
          </w:divBdr>
          <w:divsChild>
            <w:div w:id="1059062427">
              <w:marLeft w:val="0"/>
              <w:marRight w:val="0"/>
              <w:marTop w:val="0"/>
              <w:marBottom w:val="0"/>
              <w:divBdr>
                <w:top w:val="none" w:sz="0" w:space="0" w:color="auto"/>
                <w:left w:val="none" w:sz="0" w:space="0" w:color="auto"/>
                <w:bottom w:val="none" w:sz="0" w:space="0" w:color="auto"/>
                <w:right w:val="none" w:sz="0" w:space="0" w:color="auto"/>
              </w:divBdr>
              <w:divsChild>
                <w:div w:id="1059062492">
                  <w:marLeft w:val="0"/>
                  <w:marRight w:val="1"/>
                  <w:marTop w:val="0"/>
                  <w:marBottom w:val="0"/>
                  <w:divBdr>
                    <w:top w:val="none" w:sz="0" w:space="0" w:color="auto"/>
                    <w:left w:val="none" w:sz="0" w:space="0" w:color="auto"/>
                    <w:bottom w:val="none" w:sz="0" w:space="0" w:color="auto"/>
                    <w:right w:val="none" w:sz="0" w:space="0" w:color="auto"/>
                  </w:divBdr>
                  <w:divsChild>
                    <w:div w:id="1059062420">
                      <w:marLeft w:val="0"/>
                      <w:marRight w:val="0"/>
                      <w:marTop w:val="0"/>
                      <w:marBottom w:val="0"/>
                      <w:divBdr>
                        <w:top w:val="none" w:sz="0" w:space="0" w:color="auto"/>
                        <w:left w:val="none" w:sz="0" w:space="0" w:color="auto"/>
                        <w:bottom w:val="none" w:sz="0" w:space="0" w:color="auto"/>
                        <w:right w:val="none" w:sz="0" w:space="0" w:color="auto"/>
                      </w:divBdr>
                      <w:divsChild>
                        <w:div w:id="1059062548">
                          <w:marLeft w:val="0"/>
                          <w:marRight w:val="0"/>
                          <w:marTop w:val="0"/>
                          <w:marBottom w:val="0"/>
                          <w:divBdr>
                            <w:top w:val="none" w:sz="0" w:space="0" w:color="auto"/>
                            <w:left w:val="none" w:sz="0" w:space="0" w:color="auto"/>
                            <w:bottom w:val="none" w:sz="0" w:space="0" w:color="auto"/>
                            <w:right w:val="none" w:sz="0" w:space="0" w:color="auto"/>
                          </w:divBdr>
                          <w:divsChild>
                            <w:div w:id="1059062593">
                              <w:marLeft w:val="0"/>
                              <w:marRight w:val="0"/>
                              <w:marTop w:val="120"/>
                              <w:marBottom w:val="360"/>
                              <w:divBdr>
                                <w:top w:val="none" w:sz="0" w:space="0" w:color="auto"/>
                                <w:left w:val="none" w:sz="0" w:space="0" w:color="auto"/>
                                <w:bottom w:val="none" w:sz="0" w:space="0" w:color="auto"/>
                                <w:right w:val="none" w:sz="0" w:space="0" w:color="auto"/>
                              </w:divBdr>
                              <w:divsChild>
                                <w:div w:id="1059062669">
                                  <w:marLeft w:val="0"/>
                                  <w:marRight w:val="0"/>
                                  <w:marTop w:val="0"/>
                                  <w:marBottom w:val="0"/>
                                  <w:divBdr>
                                    <w:top w:val="none" w:sz="0" w:space="0" w:color="auto"/>
                                    <w:left w:val="none" w:sz="0" w:space="0" w:color="auto"/>
                                    <w:bottom w:val="none" w:sz="0" w:space="0" w:color="auto"/>
                                    <w:right w:val="none" w:sz="0" w:space="0" w:color="auto"/>
                                  </w:divBdr>
                                  <w:divsChild>
                                    <w:div w:id="10590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62">
      <w:marLeft w:val="0"/>
      <w:marRight w:val="0"/>
      <w:marTop w:val="0"/>
      <w:marBottom w:val="0"/>
      <w:divBdr>
        <w:top w:val="none" w:sz="0" w:space="0" w:color="auto"/>
        <w:left w:val="none" w:sz="0" w:space="0" w:color="auto"/>
        <w:bottom w:val="none" w:sz="0" w:space="0" w:color="auto"/>
        <w:right w:val="none" w:sz="0" w:space="0" w:color="auto"/>
      </w:divBdr>
      <w:divsChild>
        <w:div w:id="1059062402">
          <w:marLeft w:val="0"/>
          <w:marRight w:val="1"/>
          <w:marTop w:val="0"/>
          <w:marBottom w:val="0"/>
          <w:divBdr>
            <w:top w:val="none" w:sz="0" w:space="0" w:color="auto"/>
            <w:left w:val="none" w:sz="0" w:space="0" w:color="auto"/>
            <w:bottom w:val="none" w:sz="0" w:space="0" w:color="auto"/>
            <w:right w:val="none" w:sz="0" w:space="0" w:color="auto"/>
          </w:divBdr>
          <w:divsChild>
            <w:div w:id="1059062443">
              <w:marLeft w:val="0"/>
              <w:marRight w:val="0"/>
              <w:marTop w:val="0"/>
              <w:marBottom w:val="0"/>
              <w:divBdr>
                <w:top w:val="none" w:sz="0" w:space="0" w:color="auto"/>
                <w:left w:val="none" w:sz="0" w:space="0" w:color="auto"/>
                <w:bottom w:val="none" w:sz="0" w:space="0" w:color="auto"/>
                <w:right w:val="none" w:sz="0" w:space="0" w:color="auto"/>
              </w:divBdr>
              <w:divsChild>
                <w:div w:id="1059062487">
                  <w:marLeft w:val="0"/>
                  <w:marRight w:val="1"/>
                  <w:marTop w:val="0"/>
                  <w:marBottom w:val="0"/>
                  <w:divBdr>
                    <w:top w:val="none" w:sz="0" w:space="0" w:color="auto"/>
                    <w:left w:val="none" w:sz="0" w:space="0" w:color="auto"/>
                    <w:bottom w:val="none" w:sz="0" w:space="0" w:color="auto"/>
                    <w:right w:val="none" w:sz="0" w:space="0" w:color="auto"/>
                  </w:divBdr>
                  <w:divsChild>
                    <w:div w:id="1059062442">
                      <w:marLeft w:val="0"/>
                      <w:marRight w:val="0"/>
                      <w:marTop w:val="0"/>
                      <w:marBottom w:val="0"/>
                      <w:divBdr>
                        <w:top w:val="none" w:sz="0" w:space="0" w:color="auto"/>
                        <w:left w:val="none" w:sz="0" w:space="0" w:color="auto"/>
                        <w:bottom w:val="none" w:sz="0" w:space="0" w:color="auto"/>
                        <w:right w:val="none" w:sz="0" w:space="0" w:color="auto"/>
                      </w:divBdr>
                      <w:divsChild>
                        <w:div w:id="1059062632">
                          <w:marLeft w:val="0"/>
                          <w:marRight w:val="0"/>
                          <w:marTop w:val="0"/>
                          <w:marBottom w:val="0"/>
                          <w:divBdr>
                            <w:top w:val="none" w:sz="0" w:space="0" w:color="auto"/>
                            <w:left w:val="none" w:sz="0" w:space="0" w:color="auto"/>
                            <w:bottom w:val="none" w:sz="0" w:space="0" w:color="auto"/>
                            <w:right w:val="none" w:sz="0" w:space="0" w:color="auto"/>
                          </w:divBdr>
                          <w:divsChild>
                            <w:div w:id="1059062626">
                              <w:marLeft w:val="0"/>
                              <w:marRight w:val="0"/>
                              <w:marTop w:val="120"/>
                              <w:marBottom w:val="360"/>
                              <w:divBdr>
                                <w:top w:val="none" w:sz="0" w:space="0" w:color="auto"/>
                                <w:left w:val="none" w:sz="0" w:space="0" w:color="auto"/>
                                <w:bottom w:val="none" w:sz="0" w:space="0" w:color="auto"/>
                                <w:right w:val="none" w:sz="0" w:space="0" w:color="auto"/>
                              </w:divBdr>
                              <w:divsChild>
                                <w:div w:id="1059062381">
                                  <w:marLeft w:val="0"/>
                                  <w:marRight w:val="0"/>
                                  <w:marTop w:val="0"/>
                                  <w:marBottom w:val="0"/>
                                  <w:divBdr>
                                    <w:top w:val="none" w:sz="0" w:space="0" w:color="auto"/>
                                    <w:left w:val="none" w:sz="0" w:space="0" w:color="auto"/>
                                    <w:bottom w:val="none" w:sz="0" w:space="0" w:color="auto"/>
                                    <w:right w:val="none" w:sz="0" w:space="0" w:color="auto"/>
                                  </w:divBdr>
                                  <w:divsChild>
                                    <w:div w:id="10590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63">
      <w:marLeft w:val="0"/>
      <w:marRight w:val="0"/>
      <w:marTop w:val="0"/>
      <w:marBottom w:val="0"/>
      <w:divBdr>
        <w:top w:val="none" w:sz="0" w:space="0" w:color="auto"/>
        <w:left w:val="none" w:sz="0" w:space="0" w:color="auto"/>
        <w:bottom w:val="none" w:sz="0" w:space="0" w:color="auto"/>
        <w:right w:val="none" w:sz="0" w:space="0" w:color="auto"/>
      </w:divBdr>
      <w:divsChild>
        <w:div w:id="1059062437">
          <w:marLeft w:val="0"/>
          <w:marRight w:val="1"/>
          <w:marTop w:val="0"/>
          <w:marBottom w:val="0"/>
          <w:divBdr>
            <w:top w:val="none" w:sz="0" w:space="0" w:color="auto"/>
            <w:left w:val="none" w:sz="0" w:space="0" w:color="auto"/>
            <w:bottom w:val="none" w:sz="0" w:space="0" w:color="auto"/>
            <w:right w:val="none" w:sz="0" w:space="0" w:color="auto"/>
          </w:divBdr>
          <w:divsChild>
            <w:div w:id="1059062644">
              <w:marLeft w:val="0"/>
              <w:marRight w:val="0"/>
              <w:marTop w:val="0"/>
              <w:marBottom w:val="0"/>
              <w:divBdr>
                <w:top w:val="none" w:sz="0" w:space="0" w:color="auto"/>
                <w:left w:val="none" w:sz="0" w:space="0" w:color="auto"/>
                <w:bottom w:val="none" w:sz="0" w:space="0" w:color="auto"/>
                <w:right w:val="none" w:sz="0" w:space="0" w:color="auto"/>
              </w:divBdr>
              <w:divsChild>
                <w:div w:id="1059062562">
                  <w:marLeft w:val="0"/>
                  <w:marRight w:val="1"/>
                  <w:marTop w:val="0"/>
                  <w:marBottom w:val="0"/>
                  <w:divBdr>
                    <w:top w:val="none" w:sz="0" w:space="0" w:color="auto"/>
                    <w:left w:val="none" w:sz="0" w:space="0" w:color="auto"/>
                    <w:bottom w:val="none" w:sz="0" w:space="0" w:color="auto"/>
                    <w:right w:val="none" w:sz="0" w:space="0" w:color="auto"/>
                  </w:divBdr>
                  <w:divsChild>
                    <w:div w:id="1059062576">
                      <w:marLeft w:val="0"/>
                      <w:marRight w:val="0"/>
                      <w:marTop w:val="0"/>
                      <w:marBottom w:val="0"/>
                      <w:divBdr>
                        <w:top w:val="none" w:sz="0" w:space="0" w:color="auto"/>
                        <w:left w:val="none" w:sz="0" w:space="0" w:color="auto"/>
                        <w:bottom w:val="none" w:sz="0" w:space="0" w:color="auto"/>
                        <w:right w:val="none" w:sz="0" w:space="0" w:color="auto"/>
                      </w:divBdr>
                      <w:divsChild>
                        <w:div w:id="1059062634">
                          <w:marLeft w:val="0"/>
                          <w:marRight w:val="0"/>
                          <w:marTop w:val="0"/>
                          <w:marBottom w:val="0"/>
                          <w:divBdr>
                            <w:top w:val="none" w:sz="0" w:space="0" w:color="auto"/>
                            <w:left w:val="none" w:sz="0" w:space="0" w:color="auto"/>
                            <w:bottom w:val="none" w:sz="0" w:space="0" w:color="auto"/>
                            <w:right w:val="none" w:sz="0" w:space="0" w:color="auto"/>
                          </w:divBdr>
                          <w:divsChild>
                            <w:div w:id="1059062538">
                              <w:marLeft w:val="0"/>
                              <w:marRight w:val="0"/>
                              <w:marTop w:val="120"/>
                              <w:marBottom w:val="360"/>
                              <w:divBdr>
                                <w:top w:val="none" w:sz="0" w:space="0" w:color="auto"/>
                                <w:left w:val="none" w:sz="0" w:space="0" w:color="auto"/>
                                <w:bottom w:val="none" w:sz="0" w:space="0" w:color="auto"/>
                                <w:right w:val="none" w:sz="0" w:space="0" w:color="auto"/>
                              </w:divBdr>
                              <w:divsChild>
                                <w:div w:id="1059062406">
                                  <w:marLeft w:val="0"/>
                                  <w:marRight w:val="0"/>
                                  <w:marTop w:val="0"/>
                                  <w:marBottom w:val="0"/>
                                  <w:divBdr>
                                    <w:top w:val="none" w:sz="0" w:space="0" w:color="auto"/>
                                    <w:left w:val="none" w:sz="0" w:space="0" w:color="auto"/>
                                    <w:bottom w:val="none" w:sz="0" w:space="0" w:color="auto"/>
                                    <w:right w:val="none" w:sz="0" w:space="0" w:color="auto"/>
                                  </w:divBdr>
                                  <w:divsChild>
                                    <w:div w:id="10590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69">
      <w:marLeft w:val="0"/>
      <w:marRight w:val="0"/>
      <w:marTop w:val="0"/>
      <w:marBottom w:val="0"/>
      <w:divBdr>
        <w:top w:val="none" w:sz="0" w:space="0" w:color="auto"/>
        <w:left w:val="none" w:sz="0" w:space="0" w:color="auto"/>
        <w:bottom w:val="none" w:sz="0" w:space="0" w:color="auto"/>
        <w:right w:val="none" w:sz="0" w:space="0" w:color="auto"/>
      </w:divBdr>
    </w:div>
    <w:div w:id="1059062471">
      <w:marLeft w:val="0"/>
      <w:marRight w:val="0"/>
      <w:marTop w:val="0"/>
      <w:marBottom w:val="0"/>
      <w:divBdr>
        <w:top w:val="none" w:sz="0" w:space="0" w:color="auto"/>
        <w:left w:val="none" w:sz="0" w:space="0" w:color="auto"/>
        <w:bottom w:val="none" w:sz="0" w:space="0" w:color="auto"/>
        <w:right w:val="none" w:sz="0" w:space="0" w:color="auto"/>
      </w:divBdr>
    </w:div>
    <w:div w:id="1059062479">
      <w:marLeft w:val="0"/>
      <w:marRight w:val="0"/>
      <w:marTop w:val="0"/>
      <w:marBottom w:val="0"/>
      <w:divBdr>
        <w:top w:val="none" w:sz="0" w:space="0" w:color="auto"/>
        <w:left w:val="none" w:sz="0" w:space="0" w:color="auto"/>
        <w:bottom w:val="none" w:sz="0" w:space="0" w:color="auto"/>
        <w:right w:val="none" w:sz="0" w:space="0" w:color="auto"/>
      </w:divBdr>
    </w:div>
    <w:div w:id="1059062488">
      <w:marLeft w:val="0"/>
      <w:marRight w:val="0"/>
      <w:marTop w:val="0"/>
      <w:marBottom w:val="0"/>
      <w:divBdr>
        <w:top w:val="none" w:sz="0" w:space="0" w:color="auto"/>
        <w:left w:val="none" w:sz="0" w:space="0" w:color="auto"/>
        <w:bottom w:val="none" w:sz="0" w:space="0" w:color="auto"/>
        <w:right w:val="none" w:sz="0" w:space="0" w:color="auto"/>
      </w:divBdr>
      <w:divsChild>
        <w:div w:id="1059062573">
          <w:marLeft w:val="0"/>
          <w:marRight w:val="1"/>
          <w:marTop w:val="0"/>
          <w:marBottom w:val="0"/>
          <w:divBdr>
            <w:top w:val="none" w:sz="0" w:space="0" w:color="auto"/>
            <w:left w:val="none" w:sz="0" w:space="0" w:color="auto"/>
            <w:bottom w:val="none" w:sz="0" w:space="0" w:color="auto"/>
            <w:right w:val="none" w:sz="0" w:space="0" w:color="auto"/>
          </w:divBdr>
          <w:divsChild>
            <w:div w:id="1059062390">
              <w:marLeft w:val="0"/>
              <w:marRight w:val="0"/>
              <w:marTop w:val="0"/>
              <w:marBottom w:val="0"/>
              <w:divBdr>
                <w:top w:val="none" w:sz="0" w:space="0" w:color="auto"/>
                <w:left w:val="none" w:sz="0" w:space="0" w:color="auto"/>
                <w:bottom w:val="none" w:sz="0" w:space="0" w:color="auto"/>
                <w:right w:val="none" w:sz="0" w:space="0" w:color="auto"/>
              </w:divBdr>
              <w:divsChild>
                <w:div w:id="1059062666">
                  <w:marLeft w:val="0"/>
                  <w:marRight w:val="1"/>
                  <w:marTop w:val="0"/>
                  <w:marBottom w:val="0"/>
                  <w:divBdr>
                    <w:top w:val="none" w:sz="0" w:space="0" w:color="auto"/>
                    <w:left w:val="none" w:sz="0" w:space="0" w:color="auto"/>
                    <w:bottom w:val="none" w:sz="0" w:space="0" w:color="auto"/>
                    <w:right w:val="none" w:sz="0" w:space="0" w:color="auto"/>
                  </w:divBdr>
                  <w:divsChild>
                    <w:div w:id="1059062682">
                      <w:marLeft w:val="0"/>
                      <w:marRight w:val="0"/>
                      <w:marTop w:val="0"/>
                      <w:marBottom w:val="0"/>
                      <w:divBdr>
                        <w:top w:val="none" w:sz="0" w:space="0" w:color="auto"/>
                        <w:left w:val="none" w:sz="0" w:space="0" w:color="auto"/>
                        <w:bottom w:val="none" w:sz="0" w:space="0" w:color="auto"/>
                        <w:right w:val="none" w:sz="0" w:space="0" w:color="auto"/>
                      </w:divBdr>
                      <w:divsChild>
                        <w:div w:id="1059062517">
                          <w:marLeft w:val="0"/>
                          <w:marRight w:val="0"/>
                          <w:marTop w:val="0"/>
                          <w:marBottom w:val="0"/>
                          <w:divBdr>
                            <w:top w:val="none" w:sz="0" w:space="0" w:color="auto"/>
                            <w:left w:val="none" w:sz="0" w:space="0" w:color="auto"/>
                            <w:bottom w:val="none" w:sz="0" w:space="0" w:color="auto"/>
                            <w:right w:val="none" w:sz="0" w:space="0" w:color="auto"/>
                          </w:divBdr>
                          <w:divsChild>
                            <w:div w:id="1059062539">
                              <w:marLeft w:val="0"/>
                              <w:marRight w:val="0"/>
                              <w:marTop w:val="120"/>
                              <w:marBottom w:val="360"/>
                              <w:divBdr>
                                <w:top w:val="none" w:sz="0" w:space="0" w:color="auto"/>
                                <w:left w:val="none" w:sz="0" w:space="0" w:color="auto"/>
                                <w:bottom w:val="none" w:sz="0" w:space="0" w:color="auto"/>
                                <w:right w:val="none" w:sz="0" w:space="0" w:color="auto"/>
                              </w:divBdr>
                              <w:divsChild>
                                <w:div w:id="1059062608">
                                  <w:marLeft w:val="0"/>
                                  <w:marRight w:val="0"/>
                                  <w:marTop w:val="0"/>
                                  <w:marBottom w:val="0"/>
                                  <w:divBdr>
                                    <w:top w:val="none" w:sz="0" w:space="0" w:color="auto"/>
                                    <w:left w:val="none" w:sz="0" w:space="0" w:color="auto"/>
                                    <w:bottom w:val="none" w:sz="0" w:space="0" w:color="auto"/>
                                    <w:right w:val="none" w:sz="0" w:space="0" w:color="auto"/>
                                  </w:divBdr>
                                  <w:divsChild>
                                    <w:div w:id="10590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90">
      <w:marLeft w:val="0"/>
      <w:marRight w:val="0"/>
      <w:marTop w:val="0"/>
      <w:marBottom w:val="0"/>
      <w:divBdr>
        <w:top w:val="none" w:sz="0" w:space="0" w:color="auto"/>
        <w:left w:val="none" w:sz="0" w:space="0" w:color="auto"/>
        <w:bottom w:val="none" w:sz="0" w:space="0" w:color="auto"/>
        <w:right w:val="none" w:sz="0" w:space="0" w:color="auto"/>
      </w:divBdr>
    </w:div>
    <w:div w:id="1059062493">
      <w:marLeft w:val="0"/>
      <w:marRight w:val="0"/>
      <w:marTop w:val="0"/>
      <w:marBottom w:val="0"/>
      <w:divBdr>
        <w:top w:val="none" w:sz="0" w:space="0" w:color="auto"/>
        <w:left w:val="none" w:sz="0" w:space="0" w:color="auto"/>
        <w:bottom w:val="none" w:sz="0" w:space="0" w:color="auto"/>
        <w:right w:val="none" w:sz="0" w:space="0" w:color="auto"/>
      </w:divBdr>
      <w:divsChild>
        <w:div w:id="1059062588">
          <w:marLeft w:val="0"/>
          <w:marRight w:val="1"/>
          <w:marTop w:val="0"/>
          <w:marBottom w:val="0"/>
          <w:divBdr>
            <w:top w:val="none" w:sz="0" w:space="0" w:color="auto"/>
            <w:left w:val="none" w:sz="0" w:space="0" w:color="auto"/>
            <w:bottom w:val="none" w:sz="0" w:space="0" w:color="auto"/>
            <w:right w:val="none" w:sz="0" w:space="0" w:color="auto"/>
          </w:divBdr>
          <w:divsChild>
            <w:div w:id="1059062537">
              <w:marLeft w:val="0"/>
              <w:marRight w:val="0"/>
              <w:marTop w:val="0"/>
              <w:marBottom w:val="0"/>
              <w:divBdr>
                <w:top w:val="none" w:sz="0" w:space="0" w:color="auto"/>
                <w:left w:val="none" w:sz="0" w:space="0" w:color="auto"/>
                <w:bottom w:val="none" w:sz="0" w:space="0" w:color="auto"/>
                <w:right w:val="none" w:sz="0" w:space="0" w:color="auto"/>
              </w:divBdr>
              <w:divsChild>
                <w:div w:id="1059062486">
                  <w:marLeft w:val="0"/>
                  <w:marRight w:val="1"/>
                  <w:marTop w:val="0"/>
                  <w:marBottom w:val="0"/>
                  <w:divBdr>
                    <w:top w:val="none" w:sz="0" w:space="0" w:color="auto"/>
                    <w:left w:val="none" w:sz="0" w:space="0" w:color="auto"/>
                    <w:bottom w:val="none" w:sz="0" w:space="0" w:color="auto"/>
                    <w:right w:val="none" w:sz="0" w:space="0" w:color="auto"/>
                  </w:divBdr>
                  <w:divsChild>
                    <w:div w:id="1059062367">
                      <w:marLeft w:val="0"/>
                      <w:marRight w:val="0"/>
                      <w:marTop w:val="0"/>
                      <w:marBottom w:val="0"/>
                      <w:divBdr>
                        <w:top w:val="none" w:sz="0" w:space="0" w:color="auto"/>
                        <w:left w:val="none" w:sz="0" w:space="0" w:color="auto"/>
                        <w:bottom w:val="none" w:sz="0" w:space="0" w:color="auto"/>
                        <w:right w:val="none" w:sz="0" w:space="0" w:color="auto"/>
                      </w:divBdr>
                      <w:divsChild>
                        <w:div w:id="1059062580">
                          <w:marLeft w:val="0"/>
                          <w:marRight w:val="0"/>
                          <w:marTop w:val="0"/>
                          <w:marBottom w:val="0"/>
                          <w:divBdr>
                            <w:top w:val="none" w:sz="0" w:space="0" w:color="auto"/>
                            <w:left w:val="none" w:sz="0" w:space="0" w:color="auto"/>
                            <w:bottom w:val="none" w:sz="0" w:space="0" w:color="auto"/>
                            <w:right w:val="none" w:sz="0" w:space="0" w:color="auto"/>
                          </w:divBdr>
                          <w:divsChild>
                            <w:div w:id="1059062528">
                              <w:marLeft w:val="0"/>
                              <w:marRight w:val="0"/>
                              <w:marTop w:val="120"/>
                              <w:marBottom w:val="360"/>
                              <w:divBdr>
                                <w:top w:val="none" w:sz="0" w:space="0" w:color="auto"/>
                                <w:left w:val="none" w:sz="0" w:space="0" w:color="auto"/>
                                <w:bottom w:val="none" w:sz="0" w:space="0" w:color="auto"/>
                                <w:right w:val="none" w:sz="0" w:space="0" w:color="auto"/>
                              </w:divBdr>
                              <w:divsChild>
                                <w:div w:id="1059062545">
                                  <w:marLeft w:val="0"/>
                                  <w:marRight w:val="0"/>
                                  <w:marTop w:val="0"/>
                                  <w:marBottom w:val="0"/>
                                  <w:divBdr>
                                    <w:top w:val="none" w:sz="0" w:space="0" w:color="auto"/>
                                    <w:left w:val="none" w:sz="0" w:space="0" w:color="auto"/>
                                    <w:bottom w:val="none" w:sz="0" w:space="0" w:color="auto"/>
                                    <w:right w:val="none" w:sz="0" w:space="0" w:color="auto"/>
                                  </w:divBdr>
                                  <w:divsChild>
                                    <w:div w:id="10590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94">
      <w:marLeft w:val="0"/>
      <w:marRight w:val="0"/>
      <w:marTop w:val="0"/>
      <w:marBottom w:val="0"/>
      <w:divBdr>
        <w:top w:val="none" w:sz="0" w:space="0" w:color="auto"/>
        <w:left w:val="none" w:sz="0" w:space="0" w:color="auto"/>
        <w:bottom w:val="none" w:sz="0" w:space="0" w:color="auto"/>
        <w:right w:val="none" w:sz="0" w:space="0" w:color="auto"/>
      </w:divBdr>
      <w:divsChild>
        <w:div w:id="1059062473">
          <w:marLeft w:val="0"/>
          <w:marRight w:val="1"/>
          <w:marTop w:val="0"/>
          <w:marBottom w:val="0"/>
          <w:divBdr>
            <w:top w:val="none" w:sz="0" w:space="0" w:color="auto"/>
            <w:left w:val="none" w:sz="0" w:space="0" w:color="auto"/>
            <w:bottom w:val="none" w:sz="0" w:space="0" w:color="auto"/>
            <w:right w:val="none" w:sz="0" w:space="0" w:color="auto"/>
          </w:divBdr>
          <w:divsChild>
            <w:div w:id="1059062569">
              <w:marLeft w:val="0"/>
              <w:marRight w:val="0"/>
              <w:marTop w:val="0"/>
              <w:marBottom w:val="0"/>
              <w:divBdr>
                <w:top w:val="none" w:sz="0" w:space="0" w:color="auto"/>
                <w:left w:val="none" w:sz="0" w:space="0" w:color="auto"/>
                <w:bottom w:val="none" w:sz="0" w:space="0" w:color="auto"/>
                <w:right w:val="none" w:sz="0" w:space="0" w:color="auto"/>
              </w:divBdr>
              <w:divsChild>
                <w:div w:id="1059062592">
                  <w:marLeft w:val="0"/>
                  <w:marRight w:val="1"/>
                  <w:marTop w:val="0"/>
                  <w:marBottom w:val="0"/>
                  <w:divBdr>
                    <w:top w:val="none" w:sz="0" w:space="0" w:color="auto"/>
                    <w:left w:val="none" w:sz="0" w:space="0" w:color="auto"/>
                    <w:bottom w:val="none" w:sz="0" w:space="0" w:color="auto"/>
                    <w:right w:val="none" w:sz="0" w:space="0" w:color="auto"/>
                  </w:divBdr>
                  <w:divsChild>
                    <w:div w:id="1059062581">
                      <w:marLeft w:val="0"/>
                      <w:marRight w:val="0"/>
                      <w:marTop w:val="0"/>
                      <w:marBottom w:val="0"/>
                      <w:divBdr>
                        <w:top w:val="none" w:sz="0" w:space="0" w:color="auto"/>
                        <w:left w:val="none" w:sz="0" w:space="0" w:color="auto"/>
                        <w:bottom w:val="none" w:sz="0" w:space="0" w:color="auto"/>
                        <w:right w:val="none" w:sz="0" w:space="0" w:color="auto"/>
                      </w:divBdr>
                      <w:divsChild>
                        <w:div w:id="1059062394">
                          <w:marLeft w:val="0"/>
                          <w:marRight w:val="0"/>
                          <w:marTop w:val="0"/>
                          <w:marBottom w:val="0"/>
                          <w:divBdr>
                            <w:top w:val="none" w:sz="0" w:space="0" w:color="auto"/>
                            <w:left w:val="none" w:sz="0" w:space="0" w:color="auto"/>
                            <w:bottom w:val="none" w:sz="0" w:space="0" w:color="auto"/>
                            <w:right w:val="none" w:sz="0" w:space="0" w:color="auto"/>
                          </w:divBdr>
                          <w:divsChild>
                            <w:div w:id="1059062441">
                              <w:marLeft w:val="0"/>
                              <w:marRight w:val="0"/>
                              <w:marTop w:val="120"/>
                              <w:marBottom w:val="360"/>
                              <w:divBdr>
                                <w:top w:val="none" w:sz="0" w:space="0" w:color="auto"/>
                                <w:left w:val="none" w:sz="0" w:space="0" w:color="auto"/>
                                <w:bottom w:val="none" w:sz="0" w:space="0" w:color="auto"/>
                                <w:right w:val="none" w:sz="0" w:space="0" w:color="auto"/>
                              </w:divBdr>
                              <w:divsChild>
                                <w:div w:id="1059062369">
                                  <w:marLeft w:val="0"/>
                                  <w:marRight w:val="0"/>
                                  <w:marTop w:val="0"/>
                                  <w:marBottom w:val="0"/>
                                  <w:divBdr>
                                    <w:top w:val="none" w:sz="0" w:space="0" w:color="auto"/>
                                    <w:left w:val="none" w:sz="0" w:space="0" w:color="auto"/>
                                    <w:bottom w:val="none" w:sz="0" w:space="0" w:color="auto"/>
                                    <w:right w:val="none" w:sz="0" w:space="0" w:color="auto"/>
                                  </w:divBdr>
                                  <w:divsChild>
                                    <w:div w:id="10590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496">
      <w:marLeft w:val="0"/>
      <w:marRight w:val="0"/>
      <w:marTop w:val="0"/>
      <w:marBottom w:val="0"/>
      <w:divBdr>
        <w:top w:val="none" w:sz="0" w:space="0" w:color="auto"/>
        <w:left w:val="none" w:sz="0" w:space="0" w:color="auto"/>
        <w:bottom w:val="none" w:sz="0" w:space="0" w:color="auto"/>
        <w:right w:val="none" w:sz="0" w:space="0" w:color="auto"/>
      </w:divBdr>
      <w:divsChild>
        <w:div w:id="1059062511">
          <w:marLeft w:val="0"/>
          <w:marRight w:val="1"/>
          <w:marTop w:val="0"/>
          <w:marBottom w:val="0"/>
          <w:divBdr>
            <w:top w:val="none" w:sz="0" w:space="0" w:color="auto"/>
            <w:left w:val="none" w:sz="0" w:space="0" w:color="auto"/>
            <w:bottom w:val="none" w:sz="0" w:space="0" w:color="auto"/>
            <w:right w:val="none" w:sz="0" w:space="0" w:color="auto"/>
          </w:divBdr>
          <w:divsChild>
            <w:div w:id="1059062368">
              <w:marLeft w:val="0"/>
              <w:marRight w:val="0"/>
              <w:marTop w:val="0"/>
              <w:marBottom w:val="0"/>
              <w:divBdr>
                <w:top w:val="none" w:sz="0" w:space="0" w:color="auto"/>
                <w:left w:val="none" w:sz="0" w:space="0" w:color="auto"/>
                <w:bottom w:val="none" w:sz="0" w:space="0" w:color="auto"/>
                <w:right w:val="none" w:sz="0" w:space="0" w:color="auto"/>
              </w:divBdr>
              <w:divsChild>
                <w:div w:id="1059062641">
                  <w:marLeft w:val="0"/>
                  <w:marRight w:val="1"/>
                  <w:marTop w:val="0"/>
                  <w:marBottom w:val="0"/>
                  <w:divBdr>
                    <w:top w:val="none" w:sz="0" w:space="0" w:color="auto"/>
                    <w:left w:val="none" w:sz="0" w:space="0" w:color="auto"/>
                    <w:bottom w:val="none" w:sz="0" w:space="0" w:color="auto"/>
                    <w:right w:val="none" w:sz="0" w:space="0" w:color="auto"/>
                  </w:divBdr>
                  <w:divsChild>
                    <w:div w:id="1059062465">
                      <w:marLeft w:val="0"/>
                      <w:marRight w:val="0"/>
                      <w:marTop w:val="0"/>
                      <w:marBottom w:val="0"/>
                      <w:divBdr>
                        <w:top w:val="none" w:sz="0" w:space="0" w:color="auto"/>
                        <w:left w:val="none" w:sz="0" w:space="0" w:color="auto"/>
                        <w:bottom w:val="none" w:sz="0" w:space="0" w:color="auto"/>
                        <w:right w:val="none" w:sz="0" w:space="0" w:color="auto"/>
                      </w:divBdr>
                      <w:divsChild>
                        <w:div w:id="1059062413">
                          <w:marLeft w:val="0"/>
                          <w:marRight w:val="0"/>
                          <w:marTop w:val="0"/>
                          <w:marBottom w:val="0"/>
                          <w:divBdr>
                            <w:top w:val="none" w:sz="0" w:space="0" w:color="auto"/>
                            <w:left w:val="none" w:sz="0" w:space="0" w:color="auto"/>
                            <w:bottom w:val="none" w:sz="0" w:space="0" w:color="auto"/>
                            <w:right w:val="none" w:sz="0" w:space="0" w:color="auto"/>
                          </w:divBdr>
                          <w:divsChild>
                            <w:div w:id="1059062399">
                              <w:marLeft w:val="0"/>
                              <w:marRight w:val="0"/>
                              <w:marTop w:val="120"/>
                              <w:marBottom w:val="360"/>
                              <w:divBdr>
                                <w:top w:val="none" w:sz="0" w:space="0" w:color="auto"/>
                                <w:left w:val="none" w:sz="0" w:space="0" w:color="auto"/>
                                <w:bottom w:val="none" w:sz="0" w:space="0" w:color="auto"/>
                                <w:right w:val="none" w:sz="0" w:space="0" w:color="auto"/>
                              </w:divBdr>
                              <w:divsChild>
                                <w:div w:id="1059062475">
                                  <w:marLeft w:val="0"/>
                                  <w:marRight w:val="0"/>
                                  <w:marTop w:val="0"/>
                                  <w:marBottom w:val="0"/>
                                  <w:divBdr>
                                    <w:top w:val="none" w:sz="0" w:space="0" w:color="auto"/>
                                    <w:left w:val="none" w:sz="0" w:space="0" w:color="auto"/>
                                    <w:bottom w:val="none" w:sz="0" w:space="0" w:color="auto"/>
                                    <w:right w:val="none" w:sz="0" w:space="0" w:color="auto"/>
                                  </w:divBdr>
                                  <w:divsChild>
                                    <w:div w:id="10590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00">
      <w:marLeft w:val="0"/>
      <w:marRight w:val="0"/>
      <w:marTop w:val="0"/>
      <w:marBottom w:val="0"/>
      <w:divBdr>
        <w:top w:val="none" w:sz="0" w:space="0" w:color="auto"/>
        <w:left w:val="none" w:sz="0" w:space="0" w:color="auto"/>
        <w:bottom w:val="none" w:sz="0" w:space="0" w:color="auto"/>
        <w:right w:val="none" w:sz="0" w:space="0" w:color="auto"/>
      </w:divBdr>
      <w:divsChild>
        <w:div w:id="1059062583">
          <w:marLeft w:val="0"/>
          <w:marRight w:val="1"/>
          <w:marTop w:val="0"/>
          <w:marBottom w:val="0"/>
          <w:divBdr>
            <w:top w:val="none" w:sz="0" w:space="0" w:color="auto"/>
            <w:left w:val="none" w:sz="0" w:space="0" w:color="auto"/>
            <w:bottom w:val="none" w:sz="0" w:space="0" w:color="auto"/>
            <w:right w:val="none" w:sz="0" w:space="0" w:color="auto"/>
          </w:divBdr>
          <w:divsChild>
            <w:div w:id="1059062554">
              <w:marLeft w:val="0"/>
              <w:marRight w:val="0"/>
              <w:marTop w:val="0"/>
              <w:marBottom w:val="0"/>
              <w:divBdr>
                <w:top w:val="none" w:sz="0" w:space="0" w:color="auto"/>
                <w:left w:val="none" w:sz="0" w:space="0" w:color="auto"/>
                <w:bottom w:val="none" w:sz="0" w:space="0" w:color="auto"/>
                <w:right w:val="none" w:sz="0" w:space="0" w:color="auto"/>
              </w:divBdr>
              <w:divsChild>
                <w:div w:id="1059062472">
                  <w:marLeft w:val="0"/>
                  <w:marRight w:val="1"/>
                  <w:marTop w:val="0"/>
                  <w:marBottom w:val="0"/>
                  <w:divBdr>
                    <w:top w:val="none" w:sz="0" w:space="0" w:color="auto"/>
                    <w:left w:val="none" w:sz="0" w:space="0" w:color="auto"/>
                    <w:bottom w:val="none" w:sz="0" w:space="0" w:color="auto"/>
                    <w:right w:val="none" w:sz="0" w:space="0" w:color="auto"/>
                  </w:divBdr>
                  <w:divsChild>
                    <w:div w:id="1059062404">
                      <w:marLeft w:val="0"/>
                      <w:marRight w:val="0"/>
                      <w:marTop w:val="0"/>
                      <w:marBottom w:val="0"/>
                      <w:divBdr>
                        <w:top w:val="none" w:sz="0" w:space="0" w:color="auto"/>
                        <w:left w:val="none" w:sz="0" w:space="0" w:color="auto"/>
                        <w:bottom w:val="none" w:sz="0" w:space="0" w:color="auto"/>
                        <w:right w:val="none" w:sz="0" w:space="0" w:color="auto"/>
                      </w:divBdr>
                      <w:divsChild>
                        <w:div w:id="1059062485">
                          <w:marLeft w:val="0"/>
                          <w:marRight w:val="0"/>
                          <w:marTop w:val="0"/>
                          <w:marBottom w:val="0"/>
                          <w:divBdr>
                            <w:top w:val="none" w:sz="0" w:space="0" w:color="auto"/>
                            <w:left w:val="none" w:sz="0" w:space="0" w:color="auto"/>
                            <w:bottom w:val="none" w:sz="0" w:space="0" w:color="auto"/>
                            <w:right w:val="none" w:sz="0" w:space="0" w:color="auto"/>
                          </w:divBdr>
                          <w:divsChild>
                            <w:div w:id="1059062536">
                              <w:marLeft w:val="0"/>
                              <w:marRight w:val="0"/>
                              <w:marTop w:val="120"/>
                              <w:marBottom w:val="360"/>
                              <w:divBdr>
                                <w:top w:val="none" w:sz="0" w:space="0" w:color="auto"/>
                                <w:left w:val="none" w:sz="0" w:space="0" w:color="auto"/>
                                <w:bottom w:val="none" w:sz="0" w:space="0" w:color="auto"/>
                                <w:right w:val="none" w:sz="0" w:space="0" w:color="auto"/>
                              </w:divBdr>
                              <w:divsChild>
                                <w:div w:id="1059062468">
                                  <w:marLeft w:val="0"/>
                                  <w:marRight w:val="0"/>
                                  <w:marTop w:val="0"/>
                                  <w:marBottom w:val="0"/>
                                  <w:divBdr>
                                    <w:top w:val="none" w:sz="0" w:space="0" w:color="auto"/>
                                    <w:left w:val="none" w:sz="0" w:space="0" w:color="auto"/>
                                    <w:bottom w:val="none" w:sz="0" w:space="0" w:color="auto"/>
                                    <w:right w:val="none" w:sz="0" w:space="0" w:color="auto"/>
                                  </w:divBdr>
                                  <w:divsChild>
                                    <w:div w:id="10590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18">
      <w:marLeft w:val="0"/>
      <w:marRight w:val="0"/>
      <w:marTop w:val="0"/>
      <w:marBottom w:val="0"/>
      <w:divBdr>
        <w:top w:val="none" w:sz="0" w:space="0" w:color="auto"/>
        <w:left w:val="none" w:sz="0" w:space="0" w:color="auto"/>
        <w:bottom w:val="none" w:sz="0" w:space="0" w:color="auto"/>
        <w:right w:val="none" w:sz="0" w:space="0" w:color="auto"/>
      </w:divBdr>
    </w:div>
    <w:div w:id="1059062524">
      <w:marLeft w:val="0"/>
      <w:marRight w:val="0"/>
      <w:marTop w:val="0"/>
      <w:marBottom w:val="0"/>
      <w:divBdr>
        <w:top w:val="none" w:sz="0" w:space="0" w:color="auto"/>
        <w:left w:val="none" w:sz="0" w:space="0" w:color="auto"/>
        <w:bottom w:val="none" w:sz="0" w:space="0" w:color="auto"/>
        <w:right w:val="none" w:sz="0" w:space="0" w:color="auto"/>
      </w:divBdr>
    </w:div>
    <w:div w:id="1059062525">
      <w:marLeft w:val="0"/>
      <w:marRight w:val="0"/>
      <w:marTop w:val="0"/>
      <w:marBottom w:val="0"/>
      <w:divBdr>
        <w:top w:val="none" w:sz="0" w:space="0" w:color="auto"/>
        <w:left w:val="none" w:sz="0" w:space="0" w:color="auto"/>
        <w:bottom w:val="none" w:sz="0" w:space="0" w:color="auto"/>
        <w:right w:val="none" w:sz="0" w:space="0" w:color="auto"/>
      </w:divBdr>
      <w:divsChild>
        <w:div w:id="1059062564">
          <w:marLeft w:val="0"/>
          <w:marRight w:val="1"/>
          <w:marTop w:val="0"/>
          <w:marBottom w:val="0"/>
          <w:divBdr>
            <w:top w:val="none" w:sz="0" w:space="0" w:color="auto"/>
            <w:left w:val="none" w:sz="0" w:space="0" w:color="auto"/>
            <w:bottom w:val="none" w:sz="0" w:space="0" w:color="auto"/>
            <w:right w:val="none" w:sz="0" w:space="0" w:color="auto"/>
          </w:divBdr>
          <w:divsChild>
            <w:div w:id="1059062434">
              <w:marLeft w:val="0"/>
              <w:marRight w:val="0"/>
              <w:marTop w:val="0"/>
              <w:marBottom w:val="0"/>
              <w:divBdr>
                <w:top w:val="none" w:sz="0" w:space="0" w:color="auto"/>
                <w:left w:val="none" w:sz="0" w:space="0" w:color="auto"/>
                <w:bottom w:val="none" w:sz="0" w:space="0" w:color="auto"/>
                <w:right w:val="none" w:sz="0" w:space="0" w:color="auto"/>
              </w:divBdr>
              <w:divsChild>
                <w:div w:id="1059062674">
                  <w:marLeft w:val="0"/>
                  <w:marRight w:val="1"/>
                  <w:marTop w:val="0"/>
                  <w:marBottom w:val="0"/>
                  <w:divBdr>
                    <w:top w:val="none" w:sz="0" w:space="0" w:color="auto"/>
                    <w:left w:val="none" w:sz="0" w:space="0" w:color="auto"/>
                    <w:bottom w:val="none" w:sz="0" w:space="0" w:color="auto"/>
                    <w:right w:val="none" w:sz="0" w:space="0" w:color="auto"/>
                  </w:divBdr>
                  <w:divsChild>
                    <w:div w:id="1059062657">
                      <w:marLeft w:val="0"/>
                      <w:marRight w:val="0"/>
                      <w:marTop w:val="0"/>
                      <w:marBottom w:val="0"/>
                      <w:divBdr>
                        <w:top w:val="none" w:sz="0" w:space="0" w:color="auto"/>
                        <w:left w:val="none" w:sz="0" w:space="0" w:color="auto"/>
                        <w:bottom w:val="none" w:sz="0" w:space="0" w:color="auto"/>
                        <w:right w:val="none" w:sz="0" w:space="0" w:color="auto"/>
                      </w:divBdr>
                      <w:divsChild>
                        <w:div w:id="1059062514">
                          <w:marLeft w:val="0"/>
                          <w:marRight w:val="0"/>
                          <w:marTop w:val="0"/>
                          <w:marBottom w:val="0"/>
                          <w:divBdr>
                            <w:top w:val="none" w:sz="0" w:space="0" w:color="auto"/>
                            <w:left w:val="none" w:sz="0" w:space="0" w:color="auto"/>
                            <w:bottom w:val="none" w:sz="0" w:space="0" w:color="auto"/>
                            <w:right w:val="none" w:sz="0" w:space="0" w:color="auto"/>
                          </w:divBdr>
                          <w:divsChild>
                            <w:div w:id="1059062615">
                              <w:marLeft w:val="0"/>
                              <w:marRight w:val="0"/>
                              <w:marTop w:val="120"/>
                              <w:marBottom w:val="360"/>
                              <w:divBdr>
                                <w:top w:val="none" w:sz="0" w:space="0" w:color="auto"/>
                                <w:left w:val="none" w:sz="0" w:space="0" w:color="auto"/>
                                <w:bottom w:val="none" w:sz="0" w:space="0" w:color="auto"/>
                                <w:right w:val="none" w:sz="0" w:space="0" w:color="auto"/>
                              </w:divBdr>
                              <w:divsChild>
                                <w:div w:id="1059062516">
                                  <w:marLeft w:val="0"/>
                                  <w:marRight w:val="0"/>
                                  <w:marTop w:val="0"/>
                                  <w:marBottom w:val="0"/>
                                  <w:divBdr>
                                    <w:top w:val="none" w:sz="0" w:space="0" w:color="auto"/>
                                    <w:left w:val="none" w:sz="0" w:space="0" w:color="auto"/>
                                    <w:bottom w:val="none" w:sz="0" w:space="0" w:color="auto"/>
                                    <w:right w:val="none" w:sz="0" w:space="0" w:color="auto"/>
                                  </w:divBdr>
                                  <w:divsChild>
                                    <w:div w:id="10590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26">
      <w:marLeft w:val="0"/>
      <w:marRight w:val="0"/>
      <w:marTop w:val="0"/>
      <w:marBottom w:val="0"/>
      <w:divBdr>
        <w:top w:val="none" w:sz="0" w:space="0" w:color="auto"/>
        <w:left w:val="none" w:sz="0" w:space="0" w:color="auto"/>
        <w:bottom w:val="none" w:sz="0" w:space="0" w:color="auto"/>
        <w:right w:val="none" w:sz="0" w:space="0" w:color="auto"/>
      </w:divBdr>
    </w:div>
    <w:div w:id="1059062529">
      <w:marLeft w:val="0"/>
      <w:marRight w:val="0"/>
      <w:marTop w:val="0"/>
      <w:marBottom w:val="0"/>
      <w:divBdr>
        <w:top w:val="none" w:sz="0" w:space="0" w:color="auto"/>
        <w:left w:val="none" w:sz="0" w:space="0" w:color="auto"/>
        <w:bottom w:val="none" w:sz="0" w:space="0" w:color="auto"/>
        <w:right w:val="none" w:sz="0" w:space="0" w:color="auto"/>
      </w:divBdr>
      <w:divsChild>
        <w:div w:id="1059062587">
          <w:marLeft w:val="0"/>
          <w:marRight w:val="1"/>
          <w:marTop w:val="0"/>
          <w:marBottom w:val="0"/>
          <w:divBdr>
            <w:top w:val="none" w:sz="0" w:space="0" w:color="auto"/>
            <w:left w:val="none" w:sz="0" w:space="0" w:color="auto"/>
            <w:bottom w:val="none" w:sz="0" w:space="0" w:color="auto"/>
            <w:right w:val="none" w:sz="0" w:space="0" w:color="auto"/>
          </w:divBdr>
          <w:divsChild>
            <w:div w:id="1059062676">
              <w:marLeft w:val="0"/>
              <w:marRight w:val="0"/>
              <w:marTop w:val="0"/>
              <w:marBottom w:val="0"/>
              <w:divBdr>
                <w:top w:val="none" w:sz="0" w:space="0" w:color="auto"/>
                <w:left w:val="none" w:sz="0" w:space="0" w:color="auto"/>
                <w:bottom w:val="none" w:sz="0" w:space="0" w:color="auto"/>
                <w:right w:val="none" w:sz="0" w:space="0" w:color="auto"/>
              </w:divBdr>
              <w:divsChild>
                <w:div w:id="1059062530">
                  <w:marLeft w:val="0"/>
                  <w:marRight w:val="1"/>
                  <w:marTop w:val="0"/>
                  <w:marBottom w:val="0"/>
                  <w:divBdr>
                    <w:top w:val="none" w:sz="0" w:space="0" w:color="auto"/>
                    <w:left w:val="none" w:sz="0" w:space="0" w:color="auto"/>
                    <w:bottom w:val="none" w:sz="0" w:space="0" w:color="auto"/>
                    <w:right w:val="none" w:sz="0" w:space="0" w:color="auto"/>
                  </w:divBdr>
                  <w:divsChild>
                    <w:div w:id="1059062417">
                      <w:marLeft w:val="0"/>
                      <w:marRight w:val="0"/>
                      <w:marTop w:val="0"/>
                      <w:marBottom w:val="0"/>
                      <w:divBdr>
                        <w:top w:val="none" w:sz="0" w:space="0" w:color="auto"/>
                        <w:left w:val="none" w:sz="0" w:space="0" w:color="auto"/>
                        <w:bottom w:val="none" w:sz="0" w:space="0" w:color="auto"/>
                        <w:right w:val="none" w:sz="0" w:space="0" w:color="auto"/>
                      </w:divBdr>
                      <w:divsChild>
                        <w:div w:id="1059062687">
                          <w:marLeft w:val="0"/>
                          <w:marRight w:val="0"/>
                          <w:marTop w:val="0"/>
                          <w:marBottom w:val="0"/>
                          <w:divBdr>
                            <w:top w:val="none" w:sz="0" w:space="0" w:color="auto"/>
                            <w:left w:val="none" w:sz="0" w:space="0" w:color="auto"/>
                            <w:bottom w:val="none" w:sz="0" w:space="0" w:color="auto"/>
                            <w:right w:val="none" w:sz="0" w:space="0" w:color="auto"/>
                          </w:divBdr>
                          <w:divsChild>
                            <w:div w:id="1059062374">
                              <w:marLeft w:val="0"/>
                              <w:marRight w:val="0"/>
                              <w:marTop w:val="120"/>
                              <w:marBottom w:val="360"/>
                              <w:divBdr>
                                <w:top w:val="none" w:sz="0" w:space="0" w:color="auto"/>
                                <w:left w:val="none" w:sz="0" w:space="0" w:color="auto"/>
                                <w:bottom w:val="none" w:sz="0" w:space="0" w:color="auto"/>
                                <w:right w:val="none" w:sz="0" w:space="0" w:color="auto"/>
                              </w:divBdr>
                              <w:divsChild>
                                <w:div w:id="1059062520">
                                  <w:marLeft w:val="0"/>
                                  <w:marRight w:val="0"/>
                                  <w:marTop w:val="0"/>
                                  <w:marBottom w:val="0"/>
                                  <w:divBdr>
                                    <w:top w:val="none" w:sz="0" w:space="0" w:color="auto"/>
                                    <w:left w:val="none" w:sz="0" w:space="0" w:color="auto"/>
                                    <w:bottom w:val="none" w:sz="0" w:space="0" w:color="auto"/>
                                    <w:right w:val="none" w:sz="0" w:space="0" w:color="auto"/>
                                  </w:divBdr>
                                  <w:divsChild>
                                    <w:div w:id="10590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34">
      <w:marLeft w:val="0"/>
      <w:marRight w:val="0"/>
      <w:marTop w:val="0"/>
      <w:marBottom w:val="0"/>
      <w:divBdr>
        <w:top w:val="none" w:sz="0" w:space="0" w:color="auto"/>
        <w:left w:val="none" w:sz="0" w:space="0" w:color="auto"/>
        <w:bottom w:val="none" w:sz="0" w:space="0" w:color="auto"/>
        <w:right w:val="none" w:sz="0" w:space="0" w:color="auto"/>
      </w:divBdr>
      <w:divsChild>
        <w:div w:id="1059062501">
          <w:marLeft w:val="0"/>
          <w:marRight w:val="1"/>
          <w:marTop w:val="0"/>
          <w:marBottom w:val="0"/>
          <w:divBdr>
            <w:top w:val="none" w:sz="0" w:space="0" w:color="auto"/>
            <w:left w:val="none" w:sz="0" w:space="0" w:color="auto"/>
            <w:bottom w:val="none" w:sz="0" w:space="0" w:color="auto"/>
            <w:right w:val="none" w:sz="0" w:space="0" w:color="auto"/>
          </w:divBdr>
          <w:divsChild>
            <w:div w:id="1059062456">
              <w:marLeft w:val="0"/>
              <w:marRight w:val="0"/>
              <w:marTop w:val="0"/>
              <w:marBottom w:val="0"/>
              <w:divBdr>
                <w:top w:val="none" w:sz="0" w:space="0" w:color="auto"/>
                <w:left w:val="none" w:sz="0" w:space="0" w:color="auto"/>
                <w:bottom w:val="none" w:sz="0" w:space="0" w:color="auto"/>
                <w:right w:val="none" w:sz="0" w:space="0" w:color="auto"/>
              </w:divBdr>
              <w:divsChild>
                <w:div w:id="1059062432">
                  <w:marLeft w:val="0"/>
                  <w:marRight w:val="1"/>
                  <w:marTop w:val="0"/>
                  <w:marBottom w:val="0"/>
                  <w:divBdr>
                    <w:top w:val="none" w:sz="0" w:space="0" w:color="auto"/>
                    <w:left w:val="none" w:sz="0" w:space="0" w:color="auto"/>
                    <w:bottom w:val="none" w:sz="0" w:space="0" w:color="auto"/>
                    <w:right w:val="none" w:sz="0" w:space="0" w:color="auto"/>
                  </w:divBdr>
                  <w:divsChild>
                    <w:div w:id="1059062620">
                      <w:marLeft w:val="0"/>
                      <w:marRight w:val="0"/>
                      <w:marTop w:val="0"/>
                      <w:marBottom w:val="0"/>
                      <w:divBdr>
                        <w:top w:val="none" w:sz="0" w:space="0" w:color="auto"/>
                        <w:left w:val="none" w:sz="0" w:space="0" w:color="auto"/>
                        <w:bottom w:val="none" w:sz="0" w:space="0" w:color="auto"/>
                        <w:right w:val="none" w:sz="0" w:space="0" w:color="auto"/>
                      </w:divBdr>
                      <w:divsChild>
                        <w:div w:id="1059062365">
                          <w:marLeft w:val="0"/>
                          <w:marRight w:val="0"/>
                          <w:marTop w:val="0"/>
                          <w:marBottom w:val="0"/>
                          <w:divBdr>
                            <w:top w:val="none" w:sz="0" w:space="0" w:color="auto"/>
                            <w:left w:val="none" w:sz="0" w:space="0" w:color="auto"/>
                            <w:bottom w:val="none" w:sz="0" w:space="0" w:color="auto"/>
                            <w:right w:val="none" w:sz="0" w:space="0" w:color="auto"/>
                          </w:divBdr>
                          <w:divsChild>
                            <w:div w:id="1059062607">
                              <w:marLeft w:val="0"/>
                              <w:marRight w:val="0"/>
                              <w:marTop w:val="120"/>
                              <w:marBottom w:val="360"/>
                              <w:divBdr>
                                <w:top w:val="none" w:sz="0" w:space="0" w:color="auto"/>
                                <w:left w:val="none" w:sz="0" w:space="0" w:color="auto"/>
                                <w:bottom w:val="none" w:sz="0" w:space="0" w:color="auto"/>
                                <w:right w:val="none" w:sz="0" w:space="0" w:color="auto"/>
                              </w:divBdr>
                              <w:divsChild>
                                <w:div w:id="1059062671">
                                  <w:marLeft w:val="0"/>
                                  <w:marRight w:val="0"/>
                                  <w:marTop w:val="0"/>
                                  <w:marBottom w:val="0"/>
                                  <w:divBdr>
                                    <w:top w:val="none" w:sz="0" w:space="0" w:color="auto"/>
                                    <w:left w:val="none" w:sz="0" w:space="0" w:color="auto"/>
                                    <w:bottom w:val="none" w:sz="0" w:space="0" w:color="auto"/>
                                    <w:right w:val="none" w:sz="0" w:space="0" w:color="auto"/>
                                  </w:divBdr>
                                  <w:divsChild>
                                    <w:div w:id="10590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40">
      <w:marLeft w:val="0"/>
      <w:marRight w:val="0"/>
      <w:marTop w:val="0"/>
      <w:marBottom w:val="0"/>
      <w:divBdr>
        <w:top w:val="none" w:sz="0" w:space="0" w:color="auto"/>
        <w:left w:val="none" w:sz="0" w:space="0" w:color="auto"/>
        <w:bottom w:val="none" w:sz="0" w:space="0" w:color="auto"/>
        <w:right w:val="none" w:sz="0" w:space="0" w:color="auto"/>
      </w:divBdr>
      <w:divsChild>
        <w:div w:id="1059062495">
          <w:marLeft w:val="0"/>
          <w:marRight w:val="1"/>
          <w:marTop w:val="0"/>
          <w:marBottom w:val="0"/>
          <w:divBdr>
            <w:top w:val="none" w:sz="0" w:space="0" w:color="auto"/>
            <w:left w:val="none" w:sz="0" w:space="0" w:color="auto"/>
            <w:bottom w:val="none" w:sz="0" w:space="0" w:color="auto"/>
            <w:right w:val="none" w:sz="0" w:space="0" w:color="auto"/>
          </w:divBdr>
          <w:divsChild>
            <w:div w:id="1059062507">
              <w:marLeft w:val="0"/>
              <w:marRight w:val="0"/>
              <w:marTop w:val="0"/>
              <w:marBottom w:val="0"/>
              <w:divBdr>
                <w:top w:val="none" w:sz="0" w:space="0" w:color="auto"/>
                <w:left w:val="none" w:sz="0" w:space="0" w:color="auto"/>
                <w:bottom w:val="none" w:sz="0" w:space="0" w:color="auto"/>
                <w:right w:val="none" w:sz="0" w:space="0" w:color="auto"/>
              </w:divBdr>
              <w:divsChild>
                <w:div w:id="1059062531">
                  <w:marLeft w:val="0"/>
                  <w:marRight w:val="1"/>
                  <w:marTop w:val="0"/>
                  <w:marBottom w:val="0"/>
                  <w:divBdr>
                    <w:top w:val="none" w:sz="0" w:space="0" w:color="auto"/>
                    <w:left w:val="none" w:sz="0" w:space="0" w:color="auto"/>
                    <w:bottom w:val="none" w:sz="0" w:space="0" w:color="auto"/>
                    <w:right w:val="none" w:sz="0" w:space="0" w:color="auto"/>
                  </w:divBdr>
                  <w:divsChild>
                    <w:div w:id="1059062451">
                      <w:marLeft w:val="0"/>
                      <w:marRight w:val="0"/>
                      <w:marTop w:val="0"/>
                      <w:marBottom w:val="0"/>
                      <w:divBdr>
                        <w:top w:val="none" w:sz="0" w:space="0" w:color="auto"/>
                        <w:left w:val="none" w:sz="0" w:space="0" w:color="auto"/>
                        <w:bottom w:val="none" w:sz="0" w:space="0" w:color="auto"/>
                        <w:right w:val="none" w:sz="0" w:space="0" w:color="auto"/>
                      </w:divBdr>
                      <w:divsChild>
                        <w:div w:id="1059062435">
                          <w:marLeft w:val="0"/>
                          <w:marRight w:val="0"/>
                          <w:marTop w:val="0"/>
                          <w:marBottom w:val="0"/>
                          <w:divBdr>
                            <w:top w:val="none" w:sz="0" w:space="0" w:color="auto"/>
                            <w:left w:val="none" w:sz="0" w:space="0" w:color="auto"/>
                            <w:bottom w:val="none" w:sz="0" w:space="0" w:color="auto"/>
                            <w:right w:val="none" w:sz="0" w:space="0" w:color="auto"/>
                          </w:divBdr>
                          <w:divsChild>
                            <w:div w:id="1059062392">
                              <w:marLeft w:val="0"/>
                              <w:marRight w:val="0"/>
                              <w:marTop w:val="120"/>
                              <w:marBottom w:val="360"/>
                              <w:divBdr>
                                <w:top w:val="none" w:sz="0" w:space="0" w:color="auto"/>
                                <w:left w:val="none" w:sz="0" w:space="0" w:color="auto"/>
                                <w:bottom w:val="none" w:sz="0" w:space="0" w:color="auto"/>
                                <w:right w:val="none" w:sz="0" w:space="0" w:color="auto"/>
                              </w:divBdr>
                              <w:divsChild>
                                <w:div w:id="1059062579">
                                  <w:marLeft w:val="0"/>
                                  <w:marRight w:val="0"/>
                                  <w:marTop w:val="0"/>
                                  <w:marBottom w:val="0"/>
                                  <w:divBdr>
                                    <w:top w:val="none" w:sz="0" w:space="0" w:color="auto"/>
                                    <w:left w:val="none" w:sz="0" w:space="0" w:color="auto"/>
                                    <w:bottom w:val="none" w:sz="0" w:space="0" w:color="auto"/>
                                    <w:right w:val="none" w:sz="0" w:space="0" w:color="auto"/>
                                  </w:divBdr>
                                  <w:divsChild>
                                    <w:div w:id="10590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43">
      <w:marLeft w:val="0"/>
      <w:marRight w:val="0"/>
      <w:marTop w:val="0"/>
      <w:marBottom w:val="0"/>
      <w:divBdr>
        <w:top w:val="none" w:sz="0" w:space="0" w:color="auto"/>
        <w:left w:val="none" w:sz="0" w:space="0" w:color="auto"/>
        <w:bottom w:val="none" w:sz="0" w:space="0" w:color="auto"/>
        <w:right w:val="none" w:sz="0" w:space="0" w:color="auto"/>
      </w:divBdr>
      <w:divsChild>
        <w:div w:id="1059062431">
          <w:marLeft w:val="0"/>
          <w:marRight w:val="1"/>
          <w:marTop w:val="0"/>
          <w:marBottom w:val="0"/>
          <w:divBdr>
            <w:top w:val="none" w:sz="0" w:space="0" w:color="auto"/>
            <w:left w:val="none" w:sz="0" w:space="0" w:color="auto"/>
            <w:bottom w:val="none" w:sz="0" w:space="0" w:color="auto"/>
            <w:right w:val="none" w:sz="0" w:space="0" w:color="auto"/>
          </w:divBdr>
          <w:divsChild>
            <w:div w:id="1059062505">
              <w:marLeft w:val="0"/>
              <w:marRight w:val="0"/>
              <w:marTop w:val="0"/>
              <w:marBottom w:val="0"/>
              <w:divBdr>
                <w:top w:val="none" w:sz="0" w:space="0" w:color="auto"/>
                <w:left w:val="none" w:sz="0" w:space="0" w:color="auto"/>
                <w:bottom w:val="none" w:sz="0" w:space="0" w:color="auto"/>
                <w:right w:val="none" w:sz="0" w:space="0" w:color="auto"/>
              </w:divBdr>
              <w:divsChild>
                <w:div w:id="1059062353">
                  <w:marLeft w:val="0"/>
                  <w:marRight w:val="1"/>
                  <w:marTop w:val="0"/>
                  <w:marBottom w:val="0"/>
                  <w:divBdr>
                    <w:top w:val="none" w:sz="0" w:space="0" w:color="auto"/>
                    <w:left w:val="none" w:sz="0" w:space="0" w:color="auto"/>
                    <w:bottom w:val="none" w:sz="0" w:space="0" w:color="auto"/>
                    <w:right w:val="none" w:sz="0" w:space="0" w:color="auto"/>
                  </w:divBdr>
                  <w:divsChild>
                    <w:div w:id="1059062509">
                      <w:marLeft w:val="0"/>
                      <w:marRight w:val="0"/>
                      <w:marTop w:val="0"/>
                      <w:marBottom w:val="0"/>
                      <w:divBdr>
                        <w:top w:val="none" w:sz="0" w:space="0" w:color="auto"/>
                        <w:left w:val="none" w:sz="0" w:space="0" w:color="auto"/>
                        <w:bottom w:val="none" w:sz="0" w:space="0" w:color="auto"/>
                        <w:right w:val="none" w:sz="0" w:space="0" w:color="auto"/>
                      </w:divBdr>
                      <w:divsChild>
                        <w:div w:id="1059062395">
                          <w:marLeft w:val="0"/>
                          <w:marRight w:val="0"/>
                          <w:marTop w:val="0"/>
                          <w:marBottom w:val="0"/>
                          <w:divBdr>
                            <w:top w:val="none" w:sz="0" w:space="0" w:color="auto"/>
                            <w:left w:val="none" w:sz="0" w:space="0" w:color="auto"/>
                            <w:bottom w:val="none" w:sz="0" w:space="0" w:color="auto"/>
                            <w:right w:val="none" w:sz="0" w:space="0" w:color="auto"/>
                          </w:divBdr>
                          <w:divsChild>
                            <w:div w:id="1059062668">
                              <w:marLeft w:val="0"/>
                              <w:marRight w:val="0"/>
                              <w:marTop w:val="120"/>
                              <w:marBottom w:val="360"/>
                              <w:divBdr>
                                <w:top w:val="none" w:sz="0" w:space="0" w:color="auto"/>
                                <w:left w:val="none" w:sz="0" w:space="0" w:color="auto"/>
                                <w:bottom w:val="none" w:sz="0" w:space="0" w:color="auto"/>
                                <w:right w:val="none" w:sz="0" w:space="0" w:color="auto"/>
                              </w:divBdr>
                              <w:divsChild>
                                <w:div w:id="1059062679">
                                  <w:marLeft w:val="0"/>
                                  <w:marRight w:val="0"/>
                                  <w:marTop w:val="0"/>
                                  <w:marBottom w:val="0"/>
                                  <w:divBdr>
                                    <w:top w:val="none" w:sz="0" w:space="0" w:color="auto"/>
                                    <w:left w:val="none" w:sz="0" w:space="0" w:color="auto"/>
                                    <w:bottom w:val="none" w:sz="0" w:space="0" w:color="auto"/>
                                    <w:right w:val="none" w:sz="0" w:space="0" w:color="auto"/>
                                  </w:divBdr>
                                  <w:divsChild>
                                    <w:div w:id="10590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44">
      <w:marLeft w:val="0"/>
      <w:marRight w:val="0"/>
      <w:marTop w:val="0"/>
      <w:marBottom w:val="0"/>
      <w:divBdr>
        <w:top w:val="none" w:sz="0" w:space="0" w:color="auto"/>
        <w:left w:val="none" w:sz="0" w:space="0" w:color="auto"/>
        <w:bottom w:val="none" w:sz="0" w:space="0" w:color="auto"/>
        <w:right w:val="none" w:sz="0" w:space="0" w:color="auto"/>
      </w:divBdr>
    </w:div>
    <w:div w:id="1059062552">
      <w:marLeft w:val="0"/>
      <w:marRight w:val="0"/>
      <w:marTop w:val="0"/>
      <w:marBottom w:val="0"/>
      <w:divBdr>
        <w:top w:val="none" w:sz="0" w:space="0" w:color="auto"/>
        <w:left w:val="none" w:sz="0" w:space="0" w:color="auto"/>
        <w:bottom w:val="none" w:sz="0" w:space="0" w:color="auto"/>
        <w:right w:val="none" w:sz="0" w:space="0" w:color="auto"/>
      </w:divBdr>
    </w:div>
    <w:div w:id="1059062563">
      <w:marLeft w:val="0"/>
      <w:marRight w:val="0"/>
      <w:marTop w:val="0"/>
      <w:marBottom w:val="0"/>
      <w:divBdr>
        <w:top w:val="none" w:sz="0" w:space="0" w:color="auto"/>
        <w:left w:val="none" w:sz="0" w:space="0" w:color="auto"/>
        <w:bottom w:val="none" w:sz="0" w:space="0" w:color="auto"/>
        <w:right w:val="none" w:sz="0" w:space="0" w:color="auto"/>
      </w:divBdr>
      <w:divsChild>
        <w:div w:id="1059062424">
          <w:marLeft w:val="0"/>
          <w:marRight w:val="1"/>
          <w:marTop w:val="0"/>
          <w:marBottom w:val="0"/>
          <w:divBdr>
            <w:top w:val="none" w:sz="0" w:space="0" w:color="auto"/>
            <w:left w:val="none" w:sz="0" w:space="0" w:color="auto"/>
            <w:bottom w:val="none" w:sz="0" w:space="0" w:color="auto"/>
            <w:right w:val="none" w:sz="0" w:space="0" w:color="auto"/>
          </w:divBdr>
          <w:divsChild>
            <w:div w:id="1059062405">
              <w:marLeft w:val="0"/>
              <w:marRight w:val="0"/>
              <w:marTop w:val="0"/>
              <w:marBottom w:val="0"/>
              <w:divBdr>
                <w:top w:val="none" w:sz="0" w:space="0" w:color="auto"/>
                <w:left w:val="none" w:sz="0" w:space="0" w:color="auto"/>
                <w:bottom w:val="none" w:sz="0" w:space="0" w:color="auto"/>
                <w:right w:val="none" w:sz="0" w:space="0" w:color="auto"/>
              </w:divBdr>
              <w:divsChild>
                <w:div w:id="1059062382">
                  <w:marLeft w:val="0"/>
                  <w:marRight w:val="1"/>
                  <w:marTop w:val="0"/>
                  <w:marBottom w:val="0"/>
                  <w:divBdr>
                    <w:top w:val="none" w:sz="0" w:space="0" w:color="auto"/>
                    <w:left w:val="none" w:sz="0" w:space="0" w:color="auto"/>
                    <w:bottom w:val="none" w:sz="0" w:space="0" w:color="auto"/>
                    <w:right w:val="none" w:sz="0" w:space="0" w:color="auto"/>
                  </w:divBdr>
                  <w:divsChild>
                    <w:div w:id="1059062586">
                      <w:marLeft w:val="0"/>
                      <w:marRight w:val="0"/>
                      <w:marTop w:val="0"/>
                      <w:marBottom w:val="0"/>
                      <w:divBdr>
                        <w:top w:val="none" w:sz="0" w:space="0" w:color="auto"/>
                        <w:left w:val="none" w:sz="0" w:space="0" w:color="auto"/>
                        <w:bottom w:val="none" w:sz="0" w:space="0" w:color="auto"/>
                        <w:right w:val="none" w:sz="0" w:space="0" w:color="auto"/>
                      </w:divBdr>
                      <w:divsChild>
                        <w:div w:id="1059062637">
                          <w:marLeft w:val="0"/>
                          <w:marRight w:val="0"/>
                          <w:marTop w:val="0"/>
                          <w:marBottom w:val="0"/>
                          <w:divBdr>
                            <w:top w:val="none" w:sz="0" w:space="0" w:color="auto"/>
                            <w:left w:val="none" w:sz="0" w:space="0" w:color="auto"/>
                            <w:bottom w:val="none" w:sz="0" w:space="0" w:color="auto"/>
                            <w:right w:val="none" w:sz="0" w:space="0" w:color="auto"/>
                          </w:divBdr>
                          <w:divsChild>
                            <w:div w:id="1059062661">
                              <w:marLeft w:val="0"/>
                              <w:marRight w:val="0"/>
                              <w:marTop w:val="120"/>
                              <w:marBottom w:val="360"/>
                              <w:divBdr>
                                <w:top w:val="none" w:sz="0" w:space="0" w:color="auto"/>
                                <w:left w:val="none" w:sz="0" w:space="0" w:color="auto"/>
                                <w:bottom w:val="none" w:sz="0" w:space="0" w:color="auto"/>
                                <w:right w:val="none" w:sz="0" w:space="0" w:color="auto"/>
                              </w:divBdr>
                              <w:divsChild>
                                <w:div w:id="1059062684">
                                  <w:marLeft w:val="0"/>
                                  <w:marRight w:val="0"/>
                                  <w:marTop w:val="0"/>
                                  <w:marBottom w:val="0"/>
                                  <w:divBdr>
                                    <w:top w:val="none" w:sz="0" w:space="0" w:color="auto"/>
                                    <w:left w:val="none" w:sz="0" w:space="0" w:color="auto"/>
                                    <w:bottom w:val="none" w:sz="0" w:space="0" w:color="auto"/>
                                    <w:right w:val="none" w:sz="0" w:space="0" w:color="auto"/>
                                  </w:divBdr>
                                  <w:divsChild>
                                    <w:div w:id="10590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66">
      <w:marLeft w:val="0"/>
      <w:marRight w:val="0"/>
      <w:marTop w:val="0"/>
      <w:marBottom w:val="0"/>
      <w:divBdr>
        <w:top w:val="none" w:sz="0" w:space="0" w:color="auto"/>
        <w:left w:val="none" w:sz="0" w:space="0" w:color="auto"/>
        <w:bottom w:val="none" w:sz="0" w:space="0" w:color="auto"/>
        <w:right w:val="none" w:sz="0" w:space="0" w:color="auto"/>
      </w:divBdr>
      <w:divsChild>
        <w:div w:id="1059062373">
          <w:marLeft w:val="0"/>
          <w:marRight w:val="1"/>
          <w:marTop w:val="0"/>
          <w:marBottom w:val="0"/>
          <w:divBdr>
            <w:top w:val="none" w:sz="0" w:space="0" w:color="auto"/>
            <w:left w:val="none" w:sz="0" w:space="0" w:color="auto"/>
            <w:bottom w:val="none" w:sz="0" w:space="0" w:color="auto"/>
            <w:right w:val="none" w:sz="0" w:space="0" w:color="auto"/>
          </w:divBdr>
          <w:divsChild>
            <w:div w:id="1059062422">
              <w:marLeft w:val="0"/>
              <w:marRight w:val="0"/>
              <w:marTop w:val="0"/>
              <w:marBottom w:val="0"/>
              <w:divBdr>
                <w:top w:val="none" w:sz="0" w:space="0" w:color="auto"/>
                <w:left w:val="none" w:sz="0" w:space="0" w:color="auto"/>
                <w:bottom w:val="none" w:sz="0" w:space="0" w:color="auto"/>
                <w:right w:val="none" w:sz="0" w:space="0" w:color="auto"/>
              </w:divBdr>
              <w:divsChild>
                <w:div w:id="1059062652">
                  <w:marLeft w:val="0"/>
                  <w:marRight w:val="1"/>
                  <w:marTop w:val="0"/>
                  <w:marBottom w:val="0"/>
                  <w:divBdr>
                    <w:top w:val="none" w:sz="0" w:space="0" w:color="auto"/>
                    <w:left w:val="none" w:sz="0" w:space="0" w:color="auto"/>
                    <w:bottom w:val="none" w:sz="0" w:space="0" w:color="auto"/>
                    <w:right w:val="none" w:sz="0" w:space="0" w:color="auto"/>
                  </w:divBdr>
                  <w:divsChild>
                    <w:div w:id="1059062653">
                      <w:marLeft w:val="0"/>
                      <w:marRight w:val="0"/>
                      <w:marTop w:val="0"/>
                      <w:marBottom w:val="0"/>
                      <w:divBdr>
                        <w:top w:val="none" w:sz="0" w:space="0" w:color="auto"/>
                        <w:left w:val="none" w:sz="0" w:space="0" w:color="auto"/>
                        <w:bottom w:val="none" w:sz="0" w:space="0" w:color="auto"/>
                        <w:right w:val="none" w:sz="0" w:space="0" w:color="auto"/>
                      </w:divBdr>
                      <w:divsChild>
                        <w:div w:id="1059062629">
                          <w:marLeft w:val="0"/>
                          <w:marRight w:val="0"/>
                          <w:marTop w:val="0"/>
                          <w:marBottom w:val="0"/>
                          <w:divBdr>
                            <w:top w:val="none" w:sz="0" w:space="0" w:color="auto"/>
                            <w:left w:val="none" w:sz="0" w:space="0" w:color="auto"/>
                            <w:bottom w:val="none" w:sz="0" w:space="0" w:color="auto"/>
                            <w:right w:val="none" w:sz="0" w:space="0" w:color="auto"/>
                          </w:divBdr>
                          <w:divsChild>
                            <w:div w:id="1059062412">
                              <w:marLeft w:val="0"/>
                              <w:marRight w:val="0"/>
                              <w:marTop w:val="120"/>
                              <w:marBottom w:val="360"/>
                              <w:divBdr>
                                <w:top w:val="none" w:sz="0" w:space="0" w:color="auto"/>
                                <w:left w:val="none" w:sz="0" w:space="0" w:color="auto"/>
                                <w:bottom w:val="none" w:sz="0" w:space="0" w:color="auto"/>
                                <w:right w:val="none" w:sz="0" w:space="0" w:color="auto"/>
                              </w:divBdr>
                              <w:divsChild>
                                <w:div w:id="1059062636">
                                  <w:marLeft w:val="0"/>
                                  <w:marRight w:val="0"/>
                                  <w:marTop w:val="0"/>
                                  <w:marBottom w:val="0"/>
                                  <w:divBdr>
                                    <w:top w:val="none" w:sz="0" w:space="0" w:color="auto"/>
                                    <w:left w:val="none" w:sz="0" w:space="0" w:color="auto"/>
                                    <w:bottom w:val="none" w:sz="0" w:space="0" w:color="auto"/>
                                    <w:right w:val="none" w:sz="0" w:space="0" w:color="auto"/>
                                  </w:divBdr>
                                  <w:divsChild>
                                    <w:div w:id="10590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571">
      <w:marLeft w:val="0"/>
      <w:marRight w:val="0"/>
      <w:marTop w:val="0"/>
      <w:marBottom w:val="0"/>
      <w:divBdr>
        <w:top w:val="none" w:sz="0" w:space="0" w:color="auto"/>
        <w:left w:val="none" w:sz="0" w:space="0" w:color="auto"/>
        <w:bottom w:val="none" w:sz="0" w:space="0" w:color="auto"/>
        <w:right w:val="none" w:sz="0" w:space="0" w:color="auto"/>
      </w:divBdr>
    </w:div>
    <w:div w:id="1059062596">
      <w:marLeft w:val="0"/>
      <w:marRight w:val="0"/>
      <w:marTop w:val="0"/>
      <w:marBottom w:val="0"/>
      <w:divBdr>
        <w:top w:val="none" w:sz="0" w:space="0" w:color="auto"/>
        <w:left w:val="none" w:sz="0" w:space="0" w:color="auto"/>
        <w:bottom w:val="none" w:sz="0" w:space="0" w:color="auto"/>
        <w:right w:val="none" w:sz="0" w:space="0" w:color="auto"/>
      </w:divBdr>
    </w:div>
    <w:div w:id="1059062600">
      <w:marLeft w:val="0"/>
      <w:marRight w:val="0"/>
      <w:marTop w:val="0"/>
      <w:marBottom w:val="0"/>
      <w:divBdr>
        <w:top w:val="none" w:sz="0" w:space="0" w:color="auto"/>
        <w:left w:val="none" w:sz="0" w:space="0" w:color="auto"/>
        <w:bottom w:val="none" w:sz="0" w:space="0" w:color="auto"/>
        <w:right w:val="none" w:sz="0" w:space="0" w:color="auto"/>
      </w:divBdr>
    </w:div>
    <w:div w:id="1059062601">
      <w:marLeft w:val="0"/>
      <w:marRight w:val="0"/>
      <w:marTop w:val="0"/>
      <w:marBottom w:val="0"/>
      <w:divBdr>
        <w:top w:val="none" w:sz="0" w:space="0" w:color="auto"/>
        <w:left w:val="none" w:sz="0" w:space="0" w:color="auto"/>
        <w:bottom w:val="none" w:sz="0" w:space="0" w:color="auto"/>
        <w:right w:val="none" w:sz="0" w:space="0" w:color="auto"/>
      </w:divBdr>
    </w:div>
    <w:div w:id="1059062605">
      <w:marLeft w:val="0"/>
      <w:marRight w:val="0"/>
      <w:marTop w:val="0"/>
      <w:marBottom w:val="0"/>
      <w:divBdr>
        <w:top w:val="none" w:sz="0" w:space="0" w:color="auto"/>
        <w:left w:val="none" w:sz="0" w:space="0" w:color="auto"/>
        <w:bottom w:val="none" w:sz="0" w:space="0" w:color="auto"/>
        <w:right w:val="none" w:sz="0" w:space="0" w:color="auto"/>
      </w:divBdr>
      <w:divsChild>
        <w:div w:id="1059062558">
          <w:marLeft w:val="0"/>
          <w:marRight w:val="1"/>
          <w:marTop w:val="0"/>
          <w:marBottom w:val="0"/>
          <w:divBdr>
            <w:top w:val="none" w:sz="0" w:space="0" w:color="auto"/>
            <w:left w:val="none" w:sz="0" w:space="0" w:color="auto"/>
            <w:bottom w:val="none" w:sz="0" w:space="0" w:color="auto"/>
            <w:right w:val="none" w:sz="0" w:space="0" w:color="auto"/>
          </w:divBdr>
          <w:divsChild>
            <w:div w:id="1059062557">
              <w:marLeft w:val="0"/>
              <w:marRight w:val="0"/>
              <w:marTop w:val="0"/>
              <w:marBottom w:val="0"/>
              <w:divBdr>
                <w:top w:val="none" w:sz="0" w:space="0" w:color="auto"/>
                <w:left w:val="none" w:sz="0" w:space="0" w:color="auto"/>
                <w:bottom w:val="none" w:sz="0" w:space="0" w:color="auto"/>
                <w:right w:val="none" w:sz="0" w:space="0" w:color="auto"/>
              </w:divBdr>
              <w:divsChild>
                <w:div w:id="1059062358">
                  <w:marLeft w:val="0"/>
                  <w:marRight w:val="1"/>
                  <w:marTop w:val="0"/>
                  <w:marBottom w:val="0"/>
                  <w:divBdr>
                    <w:top w:val="none" w:sz="0" w:space="0" w:color="auto"/>
                    <w:left w:val="none" w:sz="0" w:space="0" w:color="auto"/>
                    <w:bottom w:val="none" w:sz="0" w:space="0" w:color="auto"/>
                    <w:right w:val="none" w:sz="0" w:space="0" w:color="auto"/>
                  </w:divBdr>
                  <w:divsChild>
                    <w:div w:id="1059062461">
                      <w:marLeft w:val="0"/>
                      <w:marRight w:val="0"/>
                      <w:marTop w:val="0"/>
                      <w:marBottom w:val="0"/>
                      <w:divBdr>
                        <w:top w:val="none" w:sz="0" w:space="0" w:color="auto"/>
                        <w:left w:val="none" w:sz="0" w:space="0" w:color="auto"/>
                        <w:bottom w:val="none" w:sz="0" w:space="0" w:color="auto"/>
                        <w:right w:val="none" w:sz="0" w:space="0" w:color="auto"/>
                      </w:divBdr>
                      <w:divsChild>
                        <w:div w:id="1059062613">
                          <w:marLeft w:val="0"/>
                          <w:marRight w:val="0"/>
                          <w:marTop w:val="0"/>
                          <w:marBottom w:val="0"/>
                          <w:divBdr>
                            <w:top w:val="none" w:sz="0" w:space="0" w:color="auto"/>
                            <w:left w:val="none" w:sz="0" w:space="0" w:color="auto"/>
                            <w:bottom w:val="none" w:sz="0" w:space="0" w:color="auto"/>
                            <w:right w:val="none" w:sz="0" w:space="0" w:color="auto"/>
                          </w:divBdr>
                          <w:divsChild>
                            <w:div w:id="1059062642">
                              <w:marLeft w:val="0"/>
                              <w:marRight w:val="0"/>
                              <w:marTop w:val="120"/>
                              <w:marBottom w:val="360"/>
                              <w:divBdr>
                                <w:top w:val="none" w:sz="0" w:space="0" w:color="auto"/>
                                <w:left w:val="none" w:sz="0" w:space="0" w:color="auto"/>
                                <w:bottom w:val="none" w:sz="0" w:space="0" w:color="auto"/>
                                <w:right w:val="none" w:sz="0" w:space="0" w:color="auto"/>
                              </w:divBdr>
                              <w:divsChild>
                                <w:div w:id="1059062625">
                                  <w:marLeft w:val="0"/>
                                  <w:marRight w:val="0"/>
                                  <w:marTop w:val="0"/>
                                  <w:marBottom w:val="0"/>
                                  <w:divBdr>
                                    <w:top w:val="none" w:sz="0" w:space="0" w:color="auto"/>
                                    <w:left w:val="none" w:sz="0" w:space="0" w:color="auto"/>
                                    <w:bottom w:val="none" w:sz="0" w:space="0" w:color="auto"/>
                                    <w:right w:val="none" w:sz="0" w:space="0" w:color="auto"/>
                                  </w:divBdr>
                                  <w:divsChild>
                                    <w:div w:id="10590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12">
      <w:marLeft w:val="0"/>
      <w:marRight w:val="0"/>
      <w:marTop w:val="0"/>
      <w:marBottom w:val="0"/>
      <w:divBdr>
        <w:top w:val="none" w:sz="0" w:space="0" w:color="auto"/>
        <w:left w:val="none" w:sz="0" w:space="0" w:color="auto"/>
        <w:bottom w:val="none" w:sz="0" w:space="0" w:color="auto"/>
        <w:right w:val="none" w:sz="0" w:space="0" w:color="auto"/>
      </w:divBdr>
    </w:div>
    <w:div w:id="1059062614">
      <w:marLeft w:val="0"/>
      <w:marRight w:val="0"/>
      <w:marTop w:val="0"/>
      <w:marBottom w:val="0"/>
      <w:divBdr>
        <w:top w:val="none" w:sz="0" w:space="0" w:color="auto"/>
        <w:left w:val="none" w:sz="0" w:space="0" w:color="auto"/>
        <w:bottom w:val="none" w:sz="0" w:space="0" w:color="auto"/>
        <w:right w:val="none" w:sz="0" w:space="0" w:color="auto"/>
      </w:divBdr>
    </w:div>
    <w:div w:id="1059062621">
      <w:marLeft w:val="0"/>
      <w:marRight w:val="0"/>
      <w:marTop w:val="0"/>
      <w:marBottom w:val="0"/>
      <w:divBdr>
        <w:top w:val="none" w:sz="0" w:space="0" w:color="auto"/>
        <w:left w:val="none" w:sz="0" w:space="0" w:color="auto"/>
        <w:bottom w:val="none" w:sz="0" w:space="0" w:color="auto"/>
        <w:right w:val="none" w:sz="0" w:space="0" w:color="auto"/>
      </w:divBdr>
      <w:divsChild>
        <w:div w:id="1059062481">
          <w:marLeft w:val="547"/>
          <w:marRight w:val="0"/>
          <w:marTop w:val="0"/>
          <w:marBottom w:val="269"/>
          <w:divBdr>
            <w:top w:val="none" w:sz="0" w:space="0" w:color="auto"/>
            <w:left w:val="none" w:sz="0" w:space="0" w:color="auto"/>
            <w:bottom w:val="none" w:sz="0" w:space="0" w:color="auto"/>
            <w:right w:val="none" w:sz="0" w:space="0" w:color="auto"/>
          </w:divBdr>
        </w:div>
        <w:div w:id="1059062617">
          <w:marLeft w:val="547"/>
          <w:marRight w:val="0"/>
          <w:marTop w:val="0"/>
          <w:marBottom w:val="269"/>
          <w:divBdr>
            <w:top w:val="none" w:sz="0" w:space="0" w:color="auto"/>
            <w:left w:val="none" w:sz="0" w:space="0" w:color="auto"/>
            <w:bottom w:val="none" w:sz="0" w:space="0" w:color="auto"/>
            <w:right w:val="none" w:sz="0" w:space="0" w:color="auto"/>
          </w:divBdr>
        </w:div>
      </w:divsChild>
    </w:div>
    <w:div w:id="1059062622">
      <w:marLeft w:val="0"/>
      <w:marRight w:val="0"/>
      <w:marTop w:val="0"/>
      <w:marBottom w:val="0"/>
      <w:divBdr>
        <w:top w:val="none" w:sz="0" w:space="0" w:color="auto"/>
        <w:left w:val="none" w:sz="0" w:space="0" w:color="auto"/>
        <w:bottom w:val="none" w:sz="0" w:space="0" w:color="auto"/>
        <w:right w:val="none" w:sz="0" w:space="0" w:color="auto"/>
      </w:divBdr>
      <w:divsChild>
        <w:div w:id="1059062532">
          <w:marLeft w:val="0"/>
          <w:marRight w:val="1"/>
          <w:marTop w:val="0"/>
          <w:marBottom w:val="0"/>
          <w:divBdr>
            <w:top w:val="none" w:sz="0" w:space="0" w:color="auto"/>
            <w:left w:val="none" w:sz="0" w:space="0" w:color="auto"/>
            <w:bottom w:val="none" w:sz="0" w:space="0" w:color="auto"/>
            <w:right w:val="none" w:sz="0" w:space="0" w:color="auto"/>
          </w:divBdr>
          <w:divsChild>
            <w:div w:id="1059062464">
              <w:marLeft w:val="0"/>
              <w:marRight w:val="0"/>
              <w:marTop w:val="0"/>
              <w:marBottom w:val="0"/>
              <w:divBdr>
                <w:top w:val="none" w:sz="0" w:space="0" w:color="auto"/>
                <w:left w:val="none" w:sz="0" w:space="0" w:color="auto"/>
                <w:bottom w:val="none" w:sz="0" w:space="0" w:color="auto"/>
                <w:right w:val="none" w:sz="0" w:space="0" w:color="auto"/>
              </w:divBdr>
              <w:divsChild>
                <w:div w:id="1059062504">
                  <w:marLeft w:val="0"/>
                  <w:marRight w:val="1"/>
                  <w:marTop w:val="0"/>
                  <w:marBottom w:val="0"/>
                  <w:divBdr>
                    <w:top w:val="none" w:sz="0" w:space="0" w:color="auto"/>
                    <w:left w:val="none" w:sz="0" w:space="0" w:color="auto"/>
                    <w:bottom w:val="none" w:sz="0" w:space="0" w:color="auto"/>
                    <w:right w:val="none" w:sz="0" w:space="0" w:color="auto"/>
                  </w:divBdr>
                  <w:divsChild>
                    <w:div w:id="1059062686">
                      <w:marLeft w:val="0"/>
                      <w:marRight w:val="0"/>
                      <w:marTop w:val="0"/>
                      <w:marBottom w:val="0"/>
                      <w:divBdr>
                        <w:top w:val="none" w:sz="0" w:space="0" w:color="auto"/>
                        <w:left w:val="none" w:sz="0" w:space="0" w:color="auto"/>
                        <w:bottom w:val="none" w:sz="0" w:space="0" w:color="auto"/>
                        <w:right w:val="none" w:sz="0" w:space="0" w:color="auto"/>
                      </w:divBdr>
                      <w:divsChild>
                        <w:div w:id="1059062624">
                          <w:marLeft w:val="0"/>
                          <w:marRight w:val="0"/>
                          <w:marTop w:val="0"/>
                          <w:marBottom w:val="0"/>
                          <w:divBdr>
                            <w:top w:val="none" w:sz="0" w:space="0" w:color="auto"/>
                            <w:left w:val="none" w:sz="0" w:space="0" w:color="auto"/>
                            <w:bottom w:val="none" w:sz="0" w:space="0" w:color="auto"/>
                            <w:right w:val="none" w:sz="0" w:space="0" w:color="auto"/>
                          </w:divBdr>
                          <w:divsChild>
                            <w:div w:id="1059062565">
                              <w:marLeft w:val="0"/>
                              <w:marRight w:val="0"/>
                              <w:marTop w:val="120"/>
                              <w:marBottom w:val="360"/>
                              <w:divBdr>
                                <w:top w:val="none" w:sz="0" w:space="0" w:color="auto"/>
                                <w:left w:val="none" w:sz="0" w:space="0" w:color="auto"/>
                                <w:bottom w:val="none" w:sz="0" w:space="0" w:color="auto"/>
                                <w:right w:val="none" w:sz="0" w:space="0" w:color="auto"/>
                              </w:divBdr>
                              <w:divsChild>
                                <w:div w:id="1059062619">
                                  <w:marLeft w:val="0"/>
                                  <w:marRight w:val="0"/>
                                  <w:marTop w:val="0"/>
                                  <w:marBottom w:val="0"/>
                                  <w:divBdr>
                                    <w:top w:val="none" w:sz="0" w:space="0" w:color="auto"/>
                                    <w:left w:val="none" w:sz="0" w:space="0" w:color="auto"/>
                                    <w:bottom w:val="none" w:sz="0" w:space="0" w:color="auto"/>
                                    <w:right w:val="none" w:sz="0" w:space="0" w:color="auto"/>
                                  </w:divBdr>
                                  <w:divsChild>
                                    <w:div w:id="10590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27">
      <w:marLeft w:val="0"/>
      <w:marRight w:val="0"/>
      <w:marTop w:val="0"/>
      <w:marBottom w:val="0"/>
      <w:divBdr>
        <w:top w:val="none" w:sz="0" w:space="0" w:color="auto"/>
        <w:left w:val="none" w:sz="0" w:space="0" w:color="auto"/>
        <w:bottom w:val="none" w:sz="0" w:space="0" w:color="auto"/>
        <w:right w:val="none" w:sz="0" w:space="0" w:color="auto"/>
      </w:divBdr>
      <w:divsChild>
        <w:div w:id="1059062366">
          <w:marLeft w:val="0"/>
          <w:marRight w:val="1"/>
          <w:marTop w:val="0"/>
          <w:marBottom w:val="0"/>
          <w:divBdr>
            <w:top w:val="none" w:sz="0" w:space="0" w:color="auto"/>
            <w:left w:val="none" w:sz="0" w:space="0" w:color="auto"/>
            <w:bottom w:val="none" w:sz="0" w:space="0" w:color="auto"/>
            <w:right w:val="none" w:sz="0" w:space="0" w:color="auto"/>
          </w:divBdr>
          <w:divsChild>
            <w:div w:id="1059062470">
              <w:marLeft w:val="0"/>
              <w:marRight w:val="0"/>
              <w:marTop w:val="0"/>
              <w:marBottom w:val="0"/>
              <w:divBdr>
                <w:top w:val="none" w:sz="0" w:space="0" w:color="auto"/>
                <w:left w:val="none" w:sz="0" w:space="0" w:color="auto"/>
                <w:bottom w:val="none" w:sz="0" w:space="0" w:color="auto"/>
                <w:right w:val="none" w:sz="0" w:space="0" w:color="auto"/>
              </w:divBdr>
              <w:divsChild>
                <w:div w:id="1059062591">
                  <w:marLeft w:val="0"/>
                  <w:marRight w:val="1"/>
                  <w:marTop w:val="0"/>
                  <w:marBottom w:val="0"/>
                  <w:divBdr>
                    <w:top w:val="none" w:sz="0" w:space="0" w:color="auto"/>
                    <w:left w:val="none" w:sz="0" w:space="0" w:color="auto"/>
                    <w:bottom w:val="none" w:sz="0" w:space="0" w:color="auto"/>
                    <w:right w:val="none" w:sz="0" w:space="0" w:color="auto"/>
                  </w:divBdr>
                  <w:divsChild>
                    <w:div w:id="1059062623">
                      <w:marLeft w:val="0"/>
                      <w:marRight w:val="0"/>
                      <w:marTop w:val="0"/>
                      <w:marBottom w:val="0"/>
                      <w:divBdr>
                        <w:top w:val="none" w:sz="0" w:space="0" w:color="auto"/>
                        <w:left w:val="none" w:sz="0" w:space="0" w:color="auto"/>
                        <w:bottom w:val="none" w:sz="0" w:space="0" w:color="auto"/>
                        <w:right w:val="none" w:sz="0" w:space="0" w:color="auto"/>
                      </w:divBdr>
                      <w:divsChild>
                        <w:div w:id="1059062555">
                          <w:marLeft w:val="0"/>
                          <w:marRight w:val="0"/>
                          <w:marTop w:val="0"/>
                          <w:marBottom w:val="0"/>
                          <w:divBdr>
                            <w:top w:val="none" w:sz="0" w:space="0" w:color="auto"/>
                            <w:left w:val="none" w:sz="0" w:space="0" w:color="auto"/>
                            <w:bottom w:val="none" w:sz="0" w:space="0" w:color="auto"/>
                            <w:right w:val="none" w:sz="0" w:space="0" w:color="auto"/>
                          </w:divBdr>
                          <w:divsChild>
                            <w:div w:id="1059062425">
                              <w:marLeft w:val="0"/>
                              <w:marRight w:val="0"/>
                              <w:marTop w:val="120"/>
                              <w:marBottom w:val="360"/>
                              <w:divBdr>
                                <w:top w:val="none" w:sz="0" w:space="0" w:color="auto"/>
                                <w:left w:val="none" w:sz="0" w:space="0" w:color="auto"/>
                                <w:bottom w:val="none" w:sz="0" w:space="0" w:color="auto"/>
                                <w:right w:val="none" w:sz="0" w:space="0" w:color="auto"/>
                              </w:divBdr>
                              <w:divsChild>
                                <w:div w:id="1059062597">
                                  <w:marLeft w:val="0"/>
                                  <w:marRight w:val="0"/>
                                  <w:marTop w:val="0"/>
                                  <w:marBottom w:val="0"/>
                                  <w:divBdr>
                                    <w:top w:val="none" w:sz="0" w:space="0" w:color="auto"/>
                                    <w:left w:val="none" w:sz="0" w:space="0" w:color="auto"/>
                                    <w:bottom w:val="none" w:sz="0" w:space="0" w:color="auto"/>
                                    <w:right w:val="none" w:sz="0" w:space="0" w:color="auto"/>
                                  </w:divBdr>
                                  <w:divsChild>
                                    <w:div w:id="10590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28">
      <w:marLeft w:val="0"/>
      <w:marRight w:val="0"/>
      <w:marTop w:val="0"/>
      <w:marBottom w:val="0"/>
      <w:divBdr>
        <w:top w:val="none" w:sz="0" w:space="0" w:color="auto"/>
        <w:left w:val="none" w:sz="0" w:space="0" w:color="auto"/>
        <w:bottom w:val="none" w:sz="0" w:space="0" w:color="auto"/>
        <w:right w:val="none" w:sz="0" w:space="0" w:color="auto"/>
      </w:divBdr>
    </w:div>
    <w:div w:id="1059062635">
      <w:marLeft w:val="0"/>
      <w:marRight w:val="0"/>
      <w:marTop w:val="0"/>
      <w:marBottom w:val="0"/>
      <w:divBdr>
        <w:top w:val="none" w:sz="0" w:space="0" w:color="auto"/>
        <w:left w:val="none" w:sz="0" w:space="0" w:color="auto"/>
        <w:bottom w:val="none" w:sz="0" w:space="0" w:color="auto"/>
        <w:right w:val="none" w:sz="0" w:space="0" w:color="auto"/>
      </w:divBdr>
      <w:divsChild>
        <w:div w:id="1059062589">
          <w:marLeft w:val="0"/>
          <w:marRight w:val="1"/>
          <w:marTop w:val="0"/>
          <w:marBottom w:val="0"/>
          <w:divBdr>
            <w:top w:val="none" w:sz="0" w:space="0" w:color="auto"/>
            <w:left w:val="none" w:sz="0" w:space="0" w:color="auto"/>
            <w:bottom w:val="none" w:sz="0" w:space="0" w:color="auto"/>
            <w:right w:val="none" w:sz="0" w:space="0" w:color="auto"/>
          </w:divBdr>
          <w:divsChild>
            <w:div w:id="1059062522">
              <w:marLeft w:val="0"/>
              <w:marRight w:val="0"/>
              <w:marTop w:val="0"/>
              <w:marBottom w:val="0"/>
              <w:divBdr>
                <w:top w:val="none" w:sz="0" w:space="0" w:color="auto"/>
                <w:left w:val="none" w:sz="0" w:space="0" w:color="auto"/>
                <w:bottom w:val="none" w:sz="0" w:space="0" w:color="auto"/>
                <w:right w:val="none" w:sz="0" w:space="0" w:color="auto"/>
              </w:divBdr>
              <w:divsChild>
                <w:div w:id="1059062521">
                  <w:marLeft w:val="0"/>
                  <w:marRight w:val="1"/>
                  <w:marTop w:val="0"/>
                  <w:marBottom w:val="0"/>
                  <w:divBdr>
                    <w:top w:val="none" w:sz="0" w:space="0" w:color="auto"/>
                    <w:left w:val="none" w:sz="0" w:space="0" w:color="auto"/>
                    <w:bottom w:val="none" w:sz="0" w:space="0" w:color="auto"/>
                    <w:right w:val="none" w:sz="0" w:space="0" w:color="auto"/>
                  </w:divBdr>
                  <w:divsChild>
                    <w:div w:id="1059062570">
                      <w:marLeft w:val="0"/>
                      <w:marRight w:val="0"/>
                      <w:marTop w:val="0"/>
                      <w:marBottom w:val="0"/>
                      <w:divBdr>
                        <w:top w:val="none" w:sz="0" w:space="0" w:color="auto"/>
                        <w:left w:val="none" w:sz="0" w:space="0" w:color="auto"/>
                        <w:bottom w:val="none" w:sz="0" w:space="0" w:color="auto"/>
                        <w:right w:val="none" w:sz="0" w:space="0" w:color="auto"/>
                      </w:divBdr>
                      <w:divsChild>
                        <w:div w:id="1059062352">
                          <w:marLeft w:val="0"/>
                          <w:marRight w:val="0"/>
                          <w:marTop w:val="0"/>
                          <w:marBottom w:val="0"/>
                          <w:divBdr>
                            <w:top w:val="none" w:sz="0" w:space="0" w:color="auto"/>
                            <w:left w:val="none" w:sz="0" w:space="0" w:color="auto"/>
                            <w:bottom w:val="none" w:sz="0" w:space="0" w:color="auto"/>
                            <w:right w:val="none" w:sz="0" w:space="0" w:color="auto"/>
                          </w:divBdr>
                          <w:divsChild>
                            <w:div w:id="1059062670">
                              <w:marLeft w:val="0"/>
                              <w:marRight w:val="0"/>
                              <w:marTop w:val="120"/>
                              <w:marBottom w:val="360"/>
                              <w:divBdr>
                                <w:top w:val="none" w:sz="0" w:space="0" w:color="auto"/>
                                <w:left w:val="none" w:sz="0" w:space="0" w:color="auto"/>
                                <w:bottom w:val="none" w:sz="0" w:space="0" w:color="auto"/>
                                <w:right w:val="none" w:sz="0" w:space="0" w:color="auto"/>
                              </w:divBdr>
                              <w:divsChild>
                                <w:div w:id="1059062598">
                                  <w:marLeft w:val="0"/>
                                  <w:marRight w:val="0"/>
                                  <w:marTop w:val="0"/>
                                  <w:marBottom w:val="0"/>
                                  <w:divBdr>
                                    <w:top w:val="none" w:sz="0" w:space="0" w:color="auto"/>
                                    <w:left w:val="none" w:sz="0" w:space="0" w:color="auto"/>
                                    <w:bottom w:val="none" w:sz="0" w:space="0" w:color="auto"/>
                                    <w:right w:val="none" w:sz="0" w:space="0" w:color="auto"/>
                                  </w:divBdr>
                                  <w:divsChild>
                                    <w:div w:id="10590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54">
      <w:marLeft w:val="0"/>
      <w:marRight w:val="0"/>
      <w:marTop w:val="0"/>
      <w:marBottom w:val="0"/>
      <w:divBdr>
        <w:top w:val="none" w:sz="0" w:space="0" w:color="auto"/>
        <w:left w:val="none" w:sz="0" w:space="0" w:color="auto"/>
        <w:bottom w:val="none" w:sz="0" w:space="0" w:color="auto"/>
        <w:right w:val="none" w:sz="0" w:space="0" w:color="auto"/>
      </w:divBdr>
    </w:div>
    <w:div w:id="1059062658">
      <w:marLeft w:val="0"/>
      <w:marRight w:val="0"/>
      <w:marTop w:val="0"/>
      <w:marBottom w:val="0"/>
      <w:divBdr>
        <w:top w:val="none" w:sz="0" w:space="0" w:color="auto"/>
        <w:left w:val="none" w:sz="0" w:space="0" w:color="auto"/>
        <w:bottom w:val="none" w:sz="0" w:space="0" w:color="auto"/>
        <w:right w:val="none" w:sz="0" w:space="0" w:color="auto"/>
      </w:divBdr>
    </w:div>
    <w:div w:id="1059062675">
      <w:marLeft w:val="0"/>
      <w:marRight w:val="0"/>
      <w:marTop w:val="0"/>
      <w:marBottom w:val="0"/>
      <w:divBdr>
        <w:top w:val="none" w:sz="0" w:space="0" w:color="auto"/>
        <w:left w:val="none" w:sz="0" w:space="0" w:color="auto"/>
        <w:bottom w:val="none" w:sz="0" w:space="0" w:color="auto"/>
        <w:right w:val="none" w:sz="0" w:space="0" w:color="auto"/>
      </w:divBdr>
      <w:divsChild>
        <w:div w:id="1059062379">
          <w:marLeft w:val="0"/>
          <w:marRight w:val="1"/>
          <w:marTop w:val="0"/>
          <w:marBottom w:val="0"/>
          <w:divBdr>
            <w:top w:val="none" w:sz="0" w:space="0" w:color="auto"/>
            <w:left w:val="none" w:sz="0" w:space="0" w:color="auto"/>
            <w:bottom w:val="none" w:sz="0" w:space="0" w:color="auto"/>
            <w:right w:val="none" w:sz="0" w:space="0" w:color="auto"/>
          </w:divBdr>
          <w:divsChild>
            <w:div w:id="1059062631">
              <w:marLeft w:val="0"/>
              <w:marRight w:val="0"/>
              <w:marTop w:val="0"/>
              <w:marBottom w:val="0"/>
              <w:divBdr>
                <w:top w:val="none" w:sz="0" w:space="0" w:color="auto"/>
                <w:left w:val="none" w:sz="0" w:space="0" w:color="auto"/>
                <w:bottom w:val="none" w:sz="0" w:space="0" w:color="auto"/>
                <w:right w:val="none" w:sz="0" w:space="0" w:color="auto"/>
              </w:divBdr>
              <w:divsChild>
                <w:div w:id="1059062449">
                  <w:marLeft w:val="0"/>
                  <w:marRight w:val="1"/>
                  <w:marTop w:val="0"/>
                  <w:marBottom w:val="0"/>
                  <w:divBdr>
                    <w:top w:val="none" w:sz="0" w:space="0" w:color="auto"/>
                    <w:left w:val="none" w:sz="0" w:space="0" w:color="auto"/>
                    <w:bottom w:val="none" w:sz="0" w:space="0" w:color="auto"/>
                    <w:right w:val="none" w:sz="0" w:space="0" w:color="auto"/>
                  </w:divBdr>
                  <w:divsChild>
                    <w:div w:id="1059062527">
                      <w:marLeft w:val="0"/>
                      <w:marRight w:val="0"/>
                      <w:marTop w:val="0"/>
                      <w:marBottom w:val="0"/>
                      <w:divBdr>
                        <w:top w:val="none" w:sz="0" w:space="0" w:color="auto"/>
                        <w:left w:val="none" w:sz="0" w:space="0" w:color="auto"/>
                        <w:bottom w:val="none" w:sz="0" w:space="0" w:color="auto"/>
                        <w:right w:val="none" w:sz="0" w:space="0" w:color="auto"/>
                      </w:divBdr>
                      <w:divsChild>
                        <w:div w:id="1059062541">
                          <w:marLeft w:val="0"/>
                          <w:marRight w:val="0"/>
                          <w:marTop w:val="0"/>
                          <w:marBottom w:val="0"/>
                          <w:divBdr>
                            <w:top w:val="none" w:sz="0" w:space="0" w:color="auto"/>
                            <w:left w:val="none" w:sz="0" w:space="0" w:color="auto"/>
                            <w:bottom w:val="none" w:sz="0" w:space="0" w:color="auto"/>
                            <w:right w:val="none" w:sz="0" w:space="0" w:color="auto"/>
                          </w:divBdr>
                          <w:divsChild>
                            <w:div w:id="1059062561">
                              <w:marLeft w:val="0"/>
                              <w:marRight w:val="0"/>
                              <w:marTop w:val="120"/>
                              <w:marBottom w:val="360"/>
                              <w:divBdr>
                                <w:top w:val="none" w:sz="0" w:space="0" w:color="auto"/>
                                <w:left w:val="none" w:sz="0" w:space="0" w:color="auto"/>
                                <w:bottom w:val="none" w:sz="0" w:space="0" w:color="auto"/>
                                <w:right w:val="none" w:sz="0" w:space="0" w:color="auto"/>
                              </w:divBdr>
                              <w:divsChild>
                                <w:div w:id="1059062568">
                                  <w:marLeft w:val="0"/>
                                  <w:marRight w:val="0"/>
                                  <w:marTop w:val="0"/>
                                  <w:marBottom w:val="0"/>
                                  <w:divBdr>
                                    <w:top w:val="none" w:sz="0" w:space="0" w:color="auto"/>
                                    <w:left w:val="none" w:sz="0" w:space="0" w:color="auto"/>
                                    <w:bottom w:val="none" w:sz="0" w:space="0" w:color="auto"/>
                                    <w:right w:val="none" w:sz="0" w:space="0" w:color="auto"/>
                                  </w:divBdr>
                                  <w:divsChild>
                                    <w:div w:id="10590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80">
      <w:marLeft w:val="0"/>
      <w:marRight w:val="0"/>
      <w:marTop w:val="0"/>
      <w:marBottom w:val="0"/>
      <w:divBdr>
        <w:top w:val="none" w:sz="0" w:space="0" w:color="auto"/>
        <w:left w:val="none" w:sz="0" w:space="0" w:color="auto"/>
        <w:bottom w:val="none" w:sz="0" w:space="0" w:color="auto"/>
        <w:right w:val="none" w:sz="0" w:space="0" w:color="auto"/>
      </w:divBdr>
      <w:divsChild>
        <w:div w:id="1059062542">
          <w:marLeft w:val="965"/>
          <w:marRight w:val="0"/>
          <w:marTop w:val="163"/>
          <w:marBottom w:val="0"/>
          <w:divBdr>
            <w:top w:val="none" w:sz="0" w:space="0" w:color="auto"/>
            <w:left w:val="none" w:sz="0" w:space="0" w:color="auto"/>
            <w:bottom w:val="none" w:sz="0" w:space="0" w:color="auto"/>
            <w:right w:val="none" w:sz="0" w:space="0" w:color="auto"/>
          </w:divBdr>
        </w:div>
        <w:div w:id="1059062646">
          <w:marLeft w:val="965"/>
          <w:marRight w:val="0"/>
          <w:marTop w:val="163"/>
          <w:marBottom w:val="0"/>
          <w:divBdr>
            <w:top w:val="none" w:sz="0" w:space="0" w:color="auto"/>
            <w:left w:val="none" w:sz="0" w:space="0" w:color="auto"/>
            <w:bottom w:val="none" w:sz="0" w:space="0" w:color="auto"/>
            <w:right w:val="none" w:sz="0" w:space="0" w:color="auto"/>
          </w:divBdr>
        </w:div>
      </w:divsChild>
    </w:div>
    <w:div w:id="1059062683">
      <w:marLeft w:val="0"/>
      <w:marRight w:val="0"/>
      <w:marTop w:val="0"/>
      <w:marBottom w:val="0"/>
      <w:divBdr>
        <w:top w:val="none" w:sz="0" w:space="0" w:color="auto"/>
        <w:left w:val="none" w:sz="0" w:space="0" w:color="auto"/>
        <w:bottom w:val="none" w:sz="0" w:space="0" w:color="auto"/>
        <w:right w:val="none" w:sz="0" w:space="0" w:color="auto"/>
      </w:divBdr>
      <w:divsChild>
        <w:div w:id="1059062595">
          <w:marLeft w:val="0"/>
          <w:marRight w:val="1"/>
          <w:marTop w:val="0"/>
          <w:marBottom w:val="0"/>
          <w:divBdr>
            <w:top w:val="none" w:sz="0" w:space="0" w:color="auto"/>
            <w:left w:val="none" w:sz="0" w:space="0" w:color="auto"/>
            <w:bottom w:val="none" w:sz="0" w:space="0" w:color="auto"/>
            <w:right w:val="none" w:sz="0" w:space="0" w:color="auto"/>
          </w:divBdr>
          <w:divsChild>
            <w:div w:id="1059062610">
              <w:marLeft w:val="0"/>
              <w:marRight w:val="0"/>
              <w:marTop w:val="0"/>
              <w:marBottom w:val="0"/>
              <w:divBdr>
                <w:top w:val="none" w:sz="0" w:space="0" w:color="auto"/>
                <w:left w:val="none" w:sz="0" w:space="0" w:color="auto"/>
                <w:bottom w:val="none" w:sz="0" w:space="0" w:color="auto"/>
                <w:right w:val="none" w:sz="0" w:space="0" w:color="auto"/>
              </w:divBdr>
              <w:divsChild>
                <w:div w:id="1059062397">
                  <w:marLeft w:val="0"/>
                  <w:marRight w:val="1"/>
                  <w:marTop w:val="0"/>
                  <w:marBottom w:val="0"/>
                  <w:divBdr>
                    <w:top w:val="none" w:sz="0" w:space="0" w:color="auto"/>
                    <w:left w:val="none" w:sz="0" w:space="0" w:color="auto"/>
                    <w:bottom w:val="none" w:sz="0" w:space="0" w:color="auto"/>
                    <w:right w:val="none" w:sz="0" w:space="0" w:color="auto"/>
                  </w:divBdr>
                  <w:divsChild>
                    <w:div w:id="1059062590">
                      <w:marLeft w:val="0"/>
                      <w:marRight w:val="0"/>
                      <w:marTop w:val="0"/>
                      <w:marBottom w:val="0"/>
                      <w:divBdr>
                        <w:top w:val="none" w:sz="0" w:space="0" w:color="auto"/>
                        <w:left w:val="none" w:sz="0" w:space="0" w:color="auto"/>
                        <w:bottom w:val="none" w:sz="0" w:space="0" w:color="auto"/>
                        <w:right w:val="none" w:sz="0" w:space="0" w:color="auto"/>
                      </w:divBdr>
                      <w:divsChild>
                        <w:div w:id="1059062478">
                          <w:marLeft w:val="0"/>
                          <w:marRight w:val="0"/>
                          <w:marTop w:val="0"/>
                          <w:marBottom w:val="0"/>
                          <w:divBdr>
                            <w:top w:val="none" w:sz="0" w:space="0" w:color="auto"/>
                            <w:left w:val="none" w:sz="0" w:space="0" w:color="auto"/>
                            <w:bottom w:val="none" w:sz="0" w:space="0" w:color="auto"/>
                            <w:right w:val="none" w:sz="0" w:space="0" w:color="auto"/>
                          </w:divBdr>
                          <w:divsChild>
                            <w:div w:id="1059062484">
                              <w:marLeft w:val="0"/>
                              <w:marRight w:val="0"/>
                              <w:marTop w:val="120"/>
                              <w:marBottom w:val="360"/>
                              <w:divBdr>
                                <w:top w:val="none" w:sz="0" w:space="0" w:color="auto"/>
                                <w:left w:val="none" w:sz="0" w:space="0" w:color="auto"/>
                                <w:bottom w:val="none" w:sz="0" w:space="0" w:color="auto"/>
                                <w:right w:val="none" w:sz="0" w:space="0" w:color="auto"/>
                              </w:divBdr>
                              <w:divsChild>
                                <w:div w:id="1059062483">
                                  <w:marLeft w:val="0"/>
                                  <w:marRight w:val="0"/>
                                  <w:marTop w:val="0"/>
                                  <w:marBottom w:val="0"/>
                                  <w:divBdr>
                                    <w:top w:val="none" w:sz="0" w:space="0" w:color="auto"/>
                                    <w:left w:val="none" w:sz="0" w:space="0" w:color="auto"/>
                                    <w:bottom w:val="none" w:sz="0" w:space="0" w:color="auto"/>
                                    <w:right w:val="none" w:sz="0" w:space="0" w:color="auto"/>
                                  </w:divBdr>
                                  <w:divsChild>
                                    <w:div w:id="10590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062692">
      <w:marLeft w:val="0"/>
      <w:marRight w:val="0"/>
      <w:marTop w:val="0"/>
      <w:marBottom w:val="0"/>
      <w:divBdr>
        <w:top w:val="none" w:sz="0" w:space="0" w:color="auto"/>
        <w:left w:val="none" w:sz="0" w:space="0" w:color="auto"/>
        <w:bottom w:val="none" w:sz="0" w:space="0" w:color="auto"/>
        <w:right w:val="none" w:sz="0" w:space="0" w:color="auto"/>
      </w:divBdr>
      <w:divsChild>
        <w:div w:id="1059062356">
          <w:marLeft w:val="0"/>
          <w:marRight w:val="1"/>
          <w:marTop w:val="0"/>
          <w:marBottom w:val="0"/>
          <w:divBdr>
            <w:top w:val="none" w:sz="0" w:space="0" w:color="auto"/>
            <w:left w:val="none" w:sz="0" w:space="0" w:color="auto"/>
            <w:bottom w:val="none" w:sz="0" w:space="0" w:color="auto"/>
            <w:right w:val="none" w:sz="0" w:space="0" w:color="auto"/>
          </w:divBdr>
          <w:divsChild>
            <w:div w:id="1059062355">
              <w:marLeft w:val="0"/>
              <w:marRight w:val="0"/>
              <w:marTop w:val="0"/>
              <w:marBottom w:val="0"/>
              <w:divBdr>
                <w:top w:val="none" w:sz="0" w:space="0" w:color="auto"/>
                <w:left w:val="none" w:sz="0" w:space="0" w:color="auto"/>
                <w:bottom w:val="none" w:sz="0" w:space="0" w:color="auto"/>
                <w:right w:val="none" w:sz="0" w:space="0" w:color="auto"/>
              </w:divBdr>
              <w:divsChild>
                <w:div w:id="1059062574">
                  <w:marLeft w:val="0"/>
                  <w:marRight w:val="1"/>
                  <w:marTop w:val="0"/>
                  <w:marBottom w:val="0"/>
                  <w:divBdr>
                    <w:top w:val="none" w:sz="0" w:space="0" w:color="auto"/>
                    <w:left w:val="none" w:sz="0" w:space="0" w:color="auto"/>
                    <w:bottom w:val="none" w:sz="0" w:space="0" w:color="auto"/>
                    <w:right w:val="none" w:sz="0" w:space="0" w:color="auto"/>
                  </w:divBdr>
                  <w:divsChild>
                    <w:div w:id="1059062418">
                      <w:marLeft w:val="0"/>
                      <w:marRight w:val="0"/>
                      <w:marTop w:val="0"/>
                      <w:marBottom w:val="0"/>
                      <w:divBdr>
                        <w:top w:val="none" w:sz="0" w:space="0" w:color="auto"/>
                        <w:left w:val="none" w:sz="0" w:space="0" w:color="auto"/>
                        <w:bottom w:val="none" w:sz="0" w:space="0" w:color="auto"/>
                        <w:right w:val="none" w:sz="0" w:space="0" w:color="auto"/>
                      </w:divBdr>
                      <w:divsChild>
                        <w:div w:id="1059062354">
                          <w:marLeft w:val="0"/>
                          <w:marRight w:val="0"/>
                          <w:marTop w:val="0"/>
                          <w:marBottom w:val="0"/>
                          <w:divBdr>
                            <w:top w:val="none" w:sz="0" w:space="0" w:color="auto"/>
                            <w:left w:val="none" w:sz="0" w:space="0" w:color="auto"/>
                            <w:bottom w:val="none" w:sz="0" w:space="0" w:color="auto"/>
                            <w:right w:val="none" w:sz="0" w:space="0" w:color="auto"/>
                          </w:divBdr>
                          <w:divsChild>
                            <w:div w:id="1059062667">
                              <w:marLeft w:val="0"/>
                              <w:marRight w:val="0"/>
                              <w:marTop w:val="120"/>
                              <w:marBottom w:val="360"/>
                              <w:divBdr>
                                <w:top w:val="none" w:sz="0" w:space="0" w:color="auto"/>
                                <w:left w:val="none" w:sz="0" w:space="0" w:color="auto"/>
                                <w:bottom w:val="none" w:sz="0" w:space="0" w:color="auto"/>
                                <w:right w:val="none" w:sz="0" w:space="0" w:color="auto"/>
                              </w:divBdr>
                              <w:divsChild>
                                <w:div w:id="1059062445">
                                  <w:marLeft w:val="0"/>
                                  <w:marRight w:val="0"/>
                                  <w:marTop w:val="0"/>
                                  <w:marBottom w:val="0"/>
                                  <w:divBdr>
                                    <w:top w:val="none" w:sz="0" w:space="0" w:color="auto"/>
                                    <w:left w:val="none" w:sz="0" w:space="0" w:color="auto"/>
                                    <w:bottom w:val="none" w:sz="0" w:space="0" w:color="auto"/>
                                    <w:right w:val="none" w:sz="0" w:space="0" w:color="auto"/>
                                  </w:divBdr>
                                  <w:divsChild>
                                    <w:div w:id="10590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715235">
      <w:bodyDiv w:val="1"/>
      <w:marLeft w:val="0"/>
      <w:marRight w:val="0"/>
      <w:marTop w:val="0"/>
      <w:marBottom w:val="0"/>
      <w:divBdr>
        <w:top w:val="none" w:sz="0" w:space="0" w:color="auto"/>
        <w:left w:val="none" w:sz="0" w:space="0" w:color="auto"/>
        <w:bottom w:val="none" w:sz="0" w:space="0" w:color="auto"/>
        <w:right w:val="none" w:sz="0" w:space="0" w:color="auto"/>
      </w:divBdr>
      <w:divsChild>
        <w:div w:id="163936885">
          <w:marLeft w:val="0"/>
          <w:marRight w:val="1"/>
          <w:marTop w:val="0"/>
          <w:marBottom w:val="0"/>
          <w:divBdr>
            <w:top w:val="none" w:sz="0" w:space="0" w:color="auto"/>
            <w:left w:val="none" w:sz="0" w:space="0" w:color="auto"/>
            <w:bottom w:val="none" w:sz="0" w:space="0" w:color="auto"/>
            <w:right w:val="none" w:sz="0" w:space="0" w:color="auto"/>
          </w:divBdr>
          <w:divsChild>
            <w:div w:id="1772432611">
              <w:marLeft w:val="0"/>
              <w:marRight w:val="0"/>
              <w:marTop w:val="0"/>
              <w:marBottom w:val="0"/>
              <w:divBdr>
                <w:top w:val="none" w:sz="0" w:space="0" w:color="auto"/>
                <w:left w:val="none" w:sz="0" w:space="0" w:color="auto"/>
                <w:bottom w:val="none" w:sz="0" w:space="0" w:color="auto"/>
                <w:right w:val="none" w:sz="0" w:space="0" w:color="auto"/>
              </w:divBdr>
              <w:divsChild>
                <w:div w:id="1355157928">
                  <w:marLeft w:val="0"/>
                  <w:marRight w:val="1"/>
                  <w:marTop w:val="0"/>
                  <w:marBottom w:val="0"/>
                  <w:divBdr>
                    <w:top w:val="none" w:sz="0" w:space="0" w:color="auto"/>
                    <w:left w:val="none" w:sz="0" w:space="0" w:color="auto"/>
                    <w:bottom w:val="none" w:sz="0" w:space="0" w:color="auto"/>
                    <w:right w:val="none" w:sz="0" w:space="0" w:color="auto"/>
                  </w:divBdr>
                  <w:divsChild>
                    <w:div w:id="2050836067">
                      <w:marLeft w:val="0"/>
                      <w:marRight w:val="0"/>
                      <w:marTop w:val="0"/>
                      <w:marBottom w:val="0"/>
                      <w:divBdr>
                        <w:top w:val="none" w:sz="0" w:space="0" w:color="auto"/>
                        <w:left w:val="none" w:sz="0" w:space="0" w:color="auto"/>
                        <w:bottom w:val="none" w:sz="0" w:space="0" w:color="auto"/>
                        <w:right w:val="none" w:sz="0" w:space="0" w:color="auto"/>
                      </w:divBdr>
                      <w:divsChild>
                        <w:div w:id="1591423389">
                          <w:marLeft w:val="0"/>
                          <w:marRight w:val="0"/>
                          <w:marTop w:val="0"/>
                          <w:marBottom w:val="0"/>
                          <w:divBdr>
                            <w:top w:val="none" w:sz="0" w:space="0" w:color="auto"/>
                            <w:left w:val="none" w:sz="0" w:space="0" w:color="auto"/>
                            <w:bottom w:val="none" w:sz="0" w:space="0" w:color="auto"/>
                            <w:right w:val="none" w:sz="0" w:space="0" w:color="auto"/>
                          </w:divBdr>
                          <w:divsChild>
                            <w:div w:id="365521963">
                              <w:marLeft w:val="0"/>
                              <w:marRight w:val="0"/>
                              <w:marTop w:val="120"/>
                              <w:marBottom w:val="360"/>
                              <w:divBdr>
                                <w:top w:val="none" w:sz="0" w:space="0" w:color="auto"/>
                                <w:left w:val="none" w:sz="0" w:space="0" w:color="auto"/>
                                <w:bottom w:val="none" w:sz="0" w:space="0" w:color="auto"/>
                                <w:right w:val="none" w:sz="0" w:space="0" w:color="auto"/>
                              </w:divBdr>
                              <w:divsChild>
                                <w:div w:id="1650591525">
                                  <w:marLeft w:val="420"/>
                                  <w:marRight w:val="0"/>
                                  <w:marTop w:val="0"/>
                                  <w:marBottom w:val="0"/>
                                  <w:divBdr>
                                    <w:top w:val="none" w:sz="0" w:space="0" w:color="auto"/>
                                    <w:left w:val="none" w:sz="0" w:space="0" w:color="auto"/>
                                    <w:bottom w:val="none" w:sz="0" w:space="0" w:color="auto"/>
                                    <w:right w:val="none" w:sz="0" w:space="0" w:color="auto"/>
                                  </w:divBdr>
                                  <w:divsChild>
                                    <w:div w:id="1991136695">
                                      <w:marLeft w:val="0"/>
                                      <w:marRight w:val="0"/>
                                      <w:marTop w:val="0"/>
                                      <w:marBottom w:val="0"/>
                                      <w:divBdr>
                                        <w:top w:val="none" w:sz="0" w:space="0" w:color="auto"/>
                                        <w:left w:val="none" w:sz="0" w:space="0" w:color="auto"/>
                                        <w:bottom w:val="none" w:sz="0" w:space="0" w:color="auto"/>
                                        <w:right w:val="none" w:sz="0" w:space="0" w:color="auto"/>
                                      </w:divBdr>
                                      <w:divsChild>
                                        <w:div w:id="7677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876721">
      <w:bodyDiv w:val="1"/>
      <w:marLeft w:val="0"/>
      <w:marRight w:val="0"/>
      <w:marTop w:val="0"/>
      <w:marBottom w:val="0"/>
      <w:divBdr>
        <w:top w:val="none" w:sz="0" w:space="0" w:color="auto"/>
        <w:left w:val="none" w:sz="0" w:space="0" w:color="auto"/>
        <w:bottom w:val="none" w:sz="0" w:space="0" w:color="auto"/>
        <w:right w:val="none" w:sz="0" w:space="0" w:color="auto"/>
      </w:divBdr>
      <w:divsChild>
        <w:div w:id="961426222">
          <w:marLeft w:val="0"/>
          <w:marRight w:val="0"/>
          <w:marTop w:val="0"/>
          <w:marBottom w:val="0"/>
          <w:divBdr>
            <w:top w:val="none" w:sz="0" w:space="0" w:color="auto"/>
            <w:left w:val="none" w:sz="0" w:space="0" w:color="auto"/>
            <w:bottom w:val="none" w:sz="0" w:space="0" w:color="auto"/>
            <w:right w:val="none" w:sz="0" w:space="0" w:color="auto"/>
          </w:divBdr>
          <w:divsChild>
            <w:div w:id="1897886309">
              <w:marLeft w:val="0"/>
              <w:marRight w:val="0"/>
              <w:marTop w:val="0"/>
              <w:marBottom w:val="0"/>
              <w:divBdr>
                <w:top w:val="none" w:sz="0" w:space="0" w:color="auto"/>
                <w:left w:val="none" w:sz="0" w:space="0" w:color="auto"/>
                <w:bottom w:val="none" w:sz="0" w:space="0" w:color="auto"/>
                <w:right w:val="none" w:sz="0" w:space="0" w:color="auto"/>
              </w:divBdr>
              <w:divsChild>
                <w:div w:id="1951087299">
                  <w:marLeft w:val="0"/>
                  <w:marRight w:val="0"/>
                  <w:marTop w:val="0"/>
                  <w:marBottom w:val="0"/>
                  <w:divBdr>
                    <w:top w:val="none" w:sz="0" w:space="0" w:color="auto"/>
                    <w:left w:val="none" w:sz="0" w:space="0" w:color="auto"/>
                    <w:bottom w:val="none" w:sz="0" w:space="0" w:color="auto"/>
                    <w:right w:val="none" w:sz="0" w:space="0" w:color="auto"/>
                  </w:divBdr>
                  <w:divsChild>
                    <w:div w:id="929511784">
                      <w:marLeft w:val="0"/>
                      <w:marRight w:val="0"/>
                      <w:marTop w:val="0"/>
                      <w:marBottom w:val="0"/>
                      <w:divBdr>
                        <w:top w:val="none" w:sz="0" w:space="0" w:color="auto"/>
                        <w:left w:val="none" w:sz="0" w:space="0" w:color="auto"/>
                        <w:bottom w:val="none" w:sz="0" w:space="0" w:color="auto"/>
                        <w:right w:val="none" w:sz="0" w:space="0" w:color="auto"/>
                      </w:divBdr>
                      <w:divsChild>
                        <w:div w:id="521432457">
                          <w:marLeft w:val="0"/>
                          <w:marRight w:val="0"/>
                          <w:marTop w:val="0"/>
                          <w:marBottom w:val="0"/>
                          <w:divBdr>
                            <w:top w:val="none" w:sz="0" w:space="0" w:color="auto"/>
                            <w:left w:val="none" w:sz="0" w:space="0" w:color="auto"/>
                            <w:bottom w:val="none" w:sz="0" w:space="0" w:color="auto"/>
                            <w:right w:val="none" w:sz="0" w:space="0" w:color="auto"/>
                          </w:divBdr>
                          <w:divsChild>
                            <w:div w:id="1859538673">
                              <w:marLeft w:val="0"/>
                              <w:marRight w:val="0"/>
                              <w:marTop w:val="0"/>
                              <w:marBottom w:val="225"/>
                              <w:divBdr>
                                <w:top w:val="none" w:sz="0" w:space="0" w:color="auto"/>
                                <w:left w:val="none" w:sz="0" w:space="0" w:color="auto"/>
                                <w:bottom w:val="none" w:sz="0" w:space="0" w:color="auto"/>
                                <w:right w:val="none" w:sz="0" w:space="0" w:color="auto"/>
                              </w:divBdr>
                              <w:divsChild>
                                <w:div w:id="5950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rgirometti@sirm.org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EA733-9B66-0144-8C06-9670EF5E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10828</Words>
  <Characters>61721</Characters>
  <Application>Microsoft Macintosh Word</Application>
  <DocSecurity>0</DocSecurity>
  <Lines>514</Lines>
  <Paragraphs>144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dc:creator>
  <cp:keywords/>
  <dc:description/>
  <cp:lastModifiedBy>Na Ma</cp:lastModifiedBy>
  <cp:revision>2</cp:revision>
  <cp:lastPrinted>2016-06-03T16:10:00Z</cp:lastPrinted>
  <dcterms:created xsi:type="dcterms:W3CDTF">2016-11-01T21:26:00Z</dcterms:created>
  <dcterms:modified xsi:type="dcterms:W3CDTF">2016-11-01T21:26:00Z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michele.bertolotto@gmail.com@www.mendeley.com</vt:lpwstr>
  </property>
  <property fmtid="{D5CDD505-2E9C-101B-9397-08002B2CF9AE}" pid="4" name="Mendeley Citation Style_1">
    <vt:lpwstr>http://www.zotero.org/styles/european-radiology</vt:lpwstr>
  </property>
</Properties>
</file>