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DB2" w:rsidRDefault="00295C5F" w:rsidP="00F50781">
      <w:pPr>
        <w:rPr>
          <w:rFonts w:ascii="Book Antiqua" w:hAnsi="Book Antiqua"/>
          <w:b/>
          <w:noProof/>
          <w:color w:val="0000FF"/>
          <w:sz w:val="28"/>
          <w:szCs w:val="28"/>
          <w:shd w:val="clear" w:color="auto" w:fill="FFFFFF"/>
        </w:rPr>
      </w:pPr>
      <w:r w:rsidRPr="007E3B2C">
        <w:rPr>
          <w:rFonts w:ascii="Book Antiqua" w:hAnsi="Book Antiqua"/>
          <w:b/>
          <w:noProof/>
          <w:color w:val="0000FF"/>
          <w:sz w:val="28"/>
          <w:szCs w:val="28"/>
          <w:shd w:val="clear" w:color="auto" w:fill="FFFFFF"/>
        </w:rPr>
        <w:drawing>
          <wp:inline distT="0" distB="0" distL="0" distR="0">
            <wp:extent cx="6000750" cy="1438275"/>
            <wp:effectExtent l="0" t="0" r="0" b="9525"/>
            <wp:docPr id="1" name="图片 3" descr="C:\Users\WangJL\Desktop\BPG-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WangJL\Desktop\BPG-页眉.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1438275"/>
                    </a:xfrm>
                    <a:prstGeom prst="rect">
                      <a:avLst/>
                    </a:prstGeom>
                    <a:noFill/>
                    <a:ln>
                      <a:noFill/>
                    </a:ln>
                  </pic:spPr>
                </pic:pic>
              </a:graphicData>
            </a:graphic>
          </wp:inline>
        </w:drawing>
      </w:r>
    </w:p>
    <w:p w:rsidR="00C846FE" w:rsidRPr="00C846FE" w:rsidRDefault="00C846FE" w:rsidP="00C846FE">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3577BA" w:rsidRPr="000B0D85" w:rsidTr="00455B0F">
        <w:trPr>
          <w:trHeight w:val="720"/>
        </w:trPr>
        <w:tc>
          <w:tcPr>
            <w:tcW w:w="2808" w:type="dxa"/>
            <w:vAlign w:val="center"/>
          </w:tcPr>
          <w:p w:rsidR="003577BA" w:rsidRPr="00CB42A6" w:rsidRDefault="003577BA" w:rsidP="003577BA">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D52C1C" w:rsidRPr="00345D80" w:rsidRDefault="00345D80">
            <w:pPr>
              <w:spacing w:line="360" w:lineRule="auto"/>
              <w:rPr>
                <w:rFonts w:ascii="Book Antiqua" w:hAnsi="Book Antiqua"/>
                <w:bCs/>
                <w:color w:val="000000"/>
                <w:sz w:val="24"/>
                <w:szCs w:val="24"/>
              </w:rPr>
            </w:pPr>
            <w:r w:rsidRPr="00345D80">
              <w:rPr>
                <w:rFonts w:ascii="Book Antiqua" w:hAnsi="Book Antiqua"/>
                <w:bCs/>
                <w:color w:val="000000"/>
                <w:sz w:val="24"/>
                <w:szCs w:val="24"/>
              </w:rPr>
              <w:t>Novel non-invasive biological predictive index for liver fibrosis in hepatitis C virus genotype 4 patients</w:t>
            </w:r>
          </w:p>
        </w:tc>
      </w:tr>
      <w:tr w:rsidR="003577BA" w:rsidRPr="000B0D85" w:rsidTr="00455B0F">
        <w:trPr>
          <w:trHeight w:val="720"/>
        </w:trPr>
        <w:tc>
          <w:tcPr>
            <w:tcW w:w="2808" w:type="dxa"/>
            <w:vAlign w:val="center"/>
          </w:tcPr>
          <w:p w:rsidR="003577BA" w:rsidRPr="00CB42A6" w:rsidRDefault="003577BA" w:rsidP="003577BA">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D52C1C" w:rsidRPr="00345D80" w:rsidRDefault="00345D80">
            <w:pPr>
              <w:tabs>
                <w:tab w:val="left" w:pos="360"/>
              </w:tabs>
              <w:suppressAutoHyphens/>
              <w:autoSpaceDE w:val="0"/>
              <w:autoSpaceDN w:val="0"/>
              <w:adjustRightInd w:val="0"/>
              <w:spacing w:line="360" w:lineRule="auto"/>
              <w:textAlignment w:val="center"/>
              <w:rPr>
                <w:rFonts w:ascii="Book Antiqua" w:hAnsi="Book Antiqua"/>
                <w:color w:val="000000"/>
                <w:sz w:val="24"/>
                <w:szCs w:val="24"/>
              </w:rPr>
            </w:pPr>
            <w:r w:rsidRPr="00345D80">
              <w:rPr>
                <w:rFonts w:ascii="Book Antiqua" w:hAnsi="Book Antiqua"/>
                <w:color w:val="000000"/>
                <w:sz w:val="24"/>
                <w:szCs w:val="24"/>
              </w:rPr>
              <w:t>Mahmoud Khattab, Mohamed Amin Sakr, Mohamed Abdel Fattah, Youssef Mousa, Elwy Soliman, Ashraf Breedy, Mona Fathi, Salwa Gaber, Ahmed Altaweil, Ashraf Osman, Ahmed Hassouna, Ibrahim Motawea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3577BA" w:rsidRPr="00345D80" w:rsidRDefault="00345D80" w:rsidP="003577BA">
            <w:pPr>
              <w:pStyle w:val="a9"/>
              <w:spacing w:line="360" w:lineRule="auto"/>
              <w:rPr>
                <w:rFonts w:ascii="Book Antiqua" w:hAnsi="Book Antiqua"/>
                <w:sz w:val="24"/>
                <w:szCs w:val="24"/>
              </w:rPr>
            </w:pPr>
            <w:r w:rsidRPr="00345D80">
              <w:rPr>
                <w:rFonts w:ascii="Book Antiqua" w:hAnsi="Book Antiqua"/>
                <w:sz w:val="24"/>
                <w:szCs w:val="24"/>
              </w:rPr>
              <w:t>Khattab M, Sakr MA, Fattah MA, Mousa Y, Soliman E, Breedy A, Fathi M, Gaber S, Altaweil A, Osman A, Hassouna A, Motawea I. Novel non-invasive biological predictive index for liver fibrosis in hepatitis C virus genotype 4 patients.</w:t>
            </w:r>
            <w:r w:rsidRPr="00345D80">
              <w:rPr>
                <w:rFonts w:ascii="Book Antiqua" w:hAnsi="Book Antiqua"/>
                <w:i/>
                <w:iCs/>
                <w:sz w:val="24"/>
                <w:szCs w:val="24"/>
              </w:rPr>
              <w:t xml:space="preserve"> World J Hepatol</w:t>
            </w:r>
            <w:r w:rsidRPr="00345D80">
              <w:rPr>
                <w:rFonts w:ascii="Book Antiqua" w:hAnsi="Book Antiqua"/>
                <w:sz w:val="24"/>
                <w:szCs w:val="24"/>
              </w:rPr>
              <w:t xml:space="preserve"> 2016; 8(3</w:t>
            </w:r>
            <w:r>
              <w:rPr>
                <w:rFonts w:ascii="Book Antiqua" w:hAnsi="Book Antiqua"/>
                <w:sz w:val="24"/>
                <w:szCs w:val="24"/>
              </w:rPr>
              <w:t>2): 1392-1401</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3577BA" w:rsidRPr="00345D80" w:rsidRDefault="00345D80" w:rsidP="003577BA">
            <w:pPr>
              <w:pStyle w:val="a8"/>
              <w:spacing w:line="360" w:lineRule="auto"/>
              <w:rPr>
                <w:rFonts w:ascii="Book Antiqua" w:hAnsi="Book Antiqua"/>
                <w:b w:val="0"/>
                <w:sz w:val="24"/>
                <w:szCs w:val="24"/>
                <w:lang w:val="en-US"/>
              </w:rPr>
            </w:pPr>
            <w:r w:rsidRPr="00345D80">
              <w:rPr>
                <w:rFonts w:ascii="Book Antiqua" w:hAnsi="Book Antiqua"/>
                <w:b w:val="0"/>
                <w:sz w:val="24"/>
                <w:szCs w:val="24"/>
                <w:lang w:val="en-US"/>
              </w:rPr>
              <w:t>http://www.wjgnet.com/1948-5182/full/v8/i32/1392.htm</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3577BA" w:rsidRPr="00345D80" w:rsidRDefault="00345D80" w:rsidP="003577BA">
            <w:pPr>
              <w:pStyle w:val="a8"/>
              <w:spacing w:line="360" w:lineRule="auto"/>
              <w:rPr>
                <w:rFonts w:ascii="Book Antiqua" w:hAnsi="Book Antiqua"/>
                <w:b w:val="0"/>
                <w:sz w:val="24"/>
                <w:szCs w:val="24"/>
                <w:lang w:val="en-US"/>
              </w:rPr>
            </w:pPr>
            <w:r w:rsidRPr="00345D80">
              <w:rPr>
                <w:rFonts w:ascii="Book Antiqua" w:hAnsi="Book Antiqua"/>
                <w:b w:val="0"/>
                <w:sz w:val="24"/>
                <w:szCs w:val="24"/>
                <w:lang w:val="en-US"/>
              </w:rPr>
              <w:t>http://dx.doi.org/10.4254/wjh.v8.i32.1392</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3577BA" w:rsidRPr="00345D80" w:rsidRDefault="00345D80" w:rsidP="003577BA">
            <w:pPr>
              <w:pStyle w:val="aa"/>
              <w:spacing w:line="360" w:lineRule="auto"/>
              <w:rPr>
                <w:rFonts w:ascii="Book Antiqua" w:hAnsi="Book Antiqua"/>
                <w:color w:val="000000"/>
                <w:sz w:val="24"/>
                <w:szCs w:val="24"/>
                <w:lang w:val="it-IT"/>
              </w:rPr>
            </w:pPr>
            <w:r w:rsidRPr="00345D80">
              <w:rPr>
                <w:rFonts w:ascii="Book Antiqua" w:hAnsi="Book Antiqua"/>
                <w:color w:val="000000"/>
                <w:sz w:val="24"/>
                <w:szCs w:val="24"/>
                <w:lang w:val="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w:t>
            </w:r>
            <w:r>
              <w:rPr>
                <w:rFonts w:ascii="Book Antiqua" w:hAnsi="Book Antiqua"/>
                <w:color w:val="000000"/>
                <w:sz w:val="24"/>
                <w:szCs w:val="24"/>
                <w:lang w:val="it-IT"/>
              </w:rPr>
              <w:t>commons.org/licenses/by-nc/4.0/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D52C1C" w:rsidRPr="00345D80" w:rsidRDefault="00345D80">
            <w:pPr>
              <w:pStyle w:val="E-1"/>
              <w:spacing w:line="360" w:lineRule="auto"/>
              <w:rPr>
                <w:rFonts w:ascii="Book Antiqua" w:hAnsi="Book Antiqua"/>
                <w:sz w:val="24"/>
                <w:szCs w:val="24"/>
              </w:rPr>
            </w:pPr>
            <w:r w:rsidRPr="00345D80">
              <w:rPr>
                <w:rFonts w:ascii="Book Antiqua" w:hAnsi="Book Antiqua"/>
                <w:sz w:val="24"/>
                <w:szCs w:val="24"/>
              </w:rPr>
              <w:t xml:space="preserve">This observational study included a cohort of 332 recruited patients with hepatitis C virus (HCV) genotype 4 infections. </w:t>
            </w:r>
            <w:r w:rsidRPr="00345D80">
              <w:rPr>
                <w:rFonts w:ascii="Book Antiqua" w:hAnsi="Book Antiqua"/>
                <w:sz w:val="24"/>
                <w:szCs w:val="24"/>
              </w:rPr>
              <w:lastRenderedPageBreak/>
              <w:t>The study assessed the status of demographic and biological variables at different stages of liver fibrosis. Liver biopsy with Metavir scoring was the reference standard used to classify patients into five stages of liver fibrosis (F0-F4). Patient regrouping to include three levels of fibrosis, mild (F0-F1), moderate (F2), and advanced (F3-F4), was performed to conform with practical guidelines for the management and follow-up of HCV patients. Age, aspartate transaminase enzyme (AST), insulin resistance (HOMA-IR), and platelet count were significant predictors of liver fibrosis as shown on univariate analysis. Log AST, log HOMA-IR, log platelet count and age were introduced into stepwise multivariate discriminative analysis, and a model for the prediction of liver fibrosis level was derived. Our pre</w:t>
            </w:r>
            <w:r w:rsidRPr="00345D80">
              <w:rPr>
                <w:rFonts w:ascii="Book Antiqua" w:hAnsi="Book Antiqua"/>
                <w:sz w:val="24"/>
                <w:szCs w:val="24"/>
              </w:rPr>
              <w:softHyphen/>
              <w:t xml:space="preserve">dictive index exhibited an area under the curve (AUC) of 0.91 for the diagnosis of advanced stages of fibrosis and an AUC of 0.88 for the diagnosis of mild stages of fibrosis. The index exhibited a lower AUC of 0.64 in the diagnosis </w:t>
            </w:r>
            <w:r>
              <w:rPr>
                <w:rFonts w:ascii="Book Antiqua" w:hAnsi="Book Antiqua"/>
                <w:sz w:val="24"/>
                <w:szCs w:val="24"/>
              </w:rPr>
              <w:t>of moderate stages of fibrosis.</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D52C1C" w:rsidRPr="00345D80" w:rsidRDefault="00345D80">
            <w:pPr>
              <w:pStyle w:val="E-1"/>
              <w:spacing w:line="360" w:lineRule="auto"/>
              <w:rPr>
                <w:rFonts w:ascii="Book Antiqua" w:hAnsi="Book Antiqua"/>
                <w:sz w:val="24"/>
                <w:szCs w:val="24"/>
              </w:rPr>
            </w:pPr>
            <w:r w:rsidRPr="00345D80">
              <w:rPr>
                <w:rFonts w:ascii="Book Antiqua" w:hAnsi="Book Antiqua"/>
                <w:sz w:val="24"/>
                <w:szCs w:val="24"/>
              </w:rPr>
              <w:t>Liver fibrosis; Insulin resistance; Aspartate ami</w:t>
            </w:r>
            <w:r>
              <w:rPr>
                <w:rFonts w:ascii="Book Antiqua" w:hAnsi="Book Antiqua"/>
                <w:sz w:val="24"/>
                <w:szCs w:val="24"/>
              </w:rPr>
              <w:t>no transaminase; Platelets; Age</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3577BA" w:rsidRPr="00345D80" w:rsidRDefault="00345D80" w:rsidP="003577BA">
            <w:pPr>
              <w:pStyle w:val="a8"/>
              <w:spacing w:line="360" w:lineRule="auto"/>
              <w:rPr>
                <w:rFonts w:ascii="Book Antiqua" w:hAnsi="Book Antiqua"/>
                <w:sz w:val="24"/>
                <w:szCs w:val="24"/>
                <w:lang w:val="en-US"/>
              </w:rPr>
            </w:pPr>
            <w:r w:rsidRPr="00345D80">
              <w:rPr>
                <w:rFonts w:ascii="Book Antiqua" w:hAnsi="Book Antiqua"/>
                <w:sz w:val="24"/>
                <w:szCs w:val="24"/>
                <w:lang w:val="en-US"/>
              </w:rPr>
              <w:t xml:space="preserve">© The Author(s) 2016. </w:t>
            </w:r>
            <w:r w:rsidRPr="00345D80">
              <w:rPr>
                <w:rFonts w:ascii="Book Antiqua" w:hAnsi="Book Antiqua"/>
                <w:b w:val="0"/>
                <w:sz w:val="24"/>
                <w:szCs w:val="24"/>
                <w:lang w:val="en-US"/>
              </w:rPr>
              <w:t>Published by Baishideng Publishing Group Inc. All rights reserved.</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D52C1C" w:rsidRDefault="00DA2F06">
            <w:pPr>
              <w:pStyle w:val="a8"/>
              <w:spacing w:line="360" w:lineRule="auto"/>
              <w:rPr>
                <w:rFonts w:ascii="Book Antiqua" w:hAnsi="Book Antiqua"/>
                <w:b w:val="0"/>
                <w:i/>
                <w:sz w:val="24"/>
                <w:szCs w:val="24"/>
                <w:lang w:val="en-US"/>
              </w:rPr>
            </w:pPr>
            <w:r w:rsidRPr="00345D80">
              <w:rPr>
                <w:rFonts w:ascii="Book Antiqua" w:hAnsi="Book Antiqua"/>
                <w:b w:val="0"/>
                <w:sz w:val="24"/>
                <w:szCs w:val="24"/>
                <w:lang w:val="en-US"/>
              </w:rPr>
              <w:t>World Journal of Hepatology</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D52C1C" w:rsidRDefault="00DA2F06">
            <w:pPr>
              <w:pStyle w:val="a8"/>
              <w:spacing w:line="360" w:lineRule="auto"/>
              <w:rPr>
                <w:rFonts w:ascii="Book Antiqua" w:hAnsi="Book Antiqua"/>
                <w:b w:val="0"/>
                <w:sz w:val="24"/>
                <w:szCs w:val="24"/>
                <w:lang w:val="en-US"/>
              </w:rPr>
            </w:pPr>
            <w:r w:rsidRPr="00345D80">
              <w:rPr>
                <w:rFonts w:ascii="Book Antiqua" w:hAnsi="Book Antiqua"/>
                <w:b w:val="0"/>
                <w:sz w:val="24"/>
                <w:szCs w:val="24"/>
                <w:lang w:val="en-US"/>
              </w:rPr>
              <w:t>1948-5182 (online)</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D52C1C" w:rsidRDefault="00DA2F06">
            <w:pPr>
              <w:spacing w:line="360" w:lineRule="auto"/>
              <w:rPr>
                <w:rFonts w:ascii="Book Antiqua" w:hAnsi="Book Antiqua"/>
                <w:color w:val="000000"/>
                <w:sz w:val="24"/>
                <w:szCs w:val="24"/>
              </w:rPr>
            </w:pPr>
            <w:r>
              <w:rPr>
                <w:rFonts w:ascii="Book Antiqua" w:hAnsi="Book Antiqua"/>
                <w:color w:val="000000"/>
                <w:sz w:val="24"/>
                <w:szCs w:val="24"/>
              </w:rPr>
              <w:t>Baishideng Publishing Group Inc, 8226 Regency Drive, Pleasanton, CA 94588, USA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D52C1C" w:rsidRDefault="00DA2F06">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F50781" w:rsidRDefault="00F50781" w:rsidP="00F50781">
      <w:pPr>
        <w:rPr>
          <w:rFonts w:hint="eastAsia"/>
        </w:rPr>
      </w:pPr>
    </w:p>
    <w:p w:rsidR="00345D80" w:rsidRDefault="00345D80" w:rsidP="00F50781">
      <w:pPr>
        <w:rPr>
          <w:rFonts w:hint="eastAsia"/>
        </w:rPr>
      </w:pPr>
    </w:p>
    <w:p w:rsidR="00345D80" w:rsidRDefault="00345D80" w:rsidP="00F50781">
      <w:pPr>
        <w:rPr>
          <w:rFonts w:hint="eastAsia"/>
        </w:rPr>
      </w:pPr>
    </w:p>
    <w:p w:rsidR="00345D80" w:rsidRDefault="00345D80" w:rsidP="00345D80">
      <w:pPr>
        <w:pStyle w:val="8BF4"/>
        <w:ind w:firstLineChars="4400" w:firstLine="9718"/>
        <w:rPr>
          <w:rFonts w:ascii="Tw Cen MT" w:hAnsi="Tw Cen MT" w:cs="Tw Cen MT"/>
          <w:b/>
          <w:bCs/>
          <w:sz w:val="22"/>
          <w:szCs w:val="22"/>
        </w:rPr>
      </w:pPr>
      <w:bookmarkStart w:id="0" w:name="_GoBack"/>
      <w:bookmarkEnd w:id="0"/>
      <w:r>
        <w:rPr>
          <w:rFonts w:ascii="Tw Cen MT" w:hAnsi="Tw Cen MT" w:cs="Tw Cen MT"/>
          <w:b/>
          <w:bCs/>
          <w:sz w:val="22"/>
          <w:szCs w:val="22"/>
        </w:rPr>
        <w:lastRenderedPageBreak/>
        <w:t>Observational Study</w:t>
      </w:r>
    </w:p>
    <w:p w:rsidR="00345D80" w:rsidRDefault="00345D80" w:rsidP="00345D80"/>
    <w:p w:rsidR="00345D80" w:rsidRPr="00E448B1" w:rsidRDefault="00345D80" w:rsidP="00345D80">
      <w:pPr>
        <w:pStyle w:val="a8"/>
        <w:rPr>
          <w:lang w:val="en-US"/>
        </w:rPr>
      </w:pPr>
      <w:r w:rsidRPr="00E448B1">
        <w:rPr>
          <w:lang w:val="en-US"/>
        </w:rPr>
        <w:t>Novel non-invasive biological predictive index for liver fibrosis in hepatitis C virus genotype 4 patients</w:t>
      </w:r>
    </w:p>
    <w:p w:rsidR="00345D80" w:rsidRDefault="00345D80" w:rsidP="00345D80">
      <w:pPr>
        <w:rPr>
          <w:rFonts w:hint="eastAsia"/>
        </w:rPr>
      </w:pPr>
    </w:p>
    <w:p w:rsidR="00345D80" w:rsidRPr="00E448B1" w:rsidRDefault="00345D80" w:rsidP="00345D80">
      <w:pPr>
        <w:pStyle w:val="ae"/>
        <w:rPr>
          <w:lang w:val="en-US"/>
        </w:rPr>
      </w:pPr>
      <w:r w:rsidRPr="00E448B1">
        <w:rPr>
          <w:lang w:val="en-US"/>
        </w:rPr>
        <w:t>Mahmoud Khattab, Mohamed Amin Sakr, Mohamed Abdel Fattah, Youssef Mousa, Elwy Soliman, Ashraf Breedy, Mona Fathi, Salwa Gaber, Ahmed Altaweil, Ashraf Osman, Ahmed Hassouna, Ibrahim Motawea</w:t>
      </w:r>
    </w:p>
    <w:p w:rsidR="00345D80" w:rsidRDefault="00345D80" w:rsidP="00345D80">
      <w:pPr>
        <w:pStyle w:val="af"/>
        <w:rPr>
          <w:rFonts w:ascii="Tahoma" w:hAnsi="Tahoma" w:cs="Tahoma" w:hint="eastAsia"/>
        </w:rPr>
      </w:pPr>
    </w:p>
    <w:p w:rsidR="00345D80" w:rsidRDefault="00345D80" w:rsidP="00345D80">
      <w:pPr>
        <w:pStyle w:val="af"/>
        <w:rPr>
          <w:b/>
          <w:bCs/>
        </w:rPr>
      </w:pPr>
      <w:r>
        <w:rPr>
          <w:rFonts w:ascii="Tahoma" w:hAnsi="Tahoma" w:cs="Tahoma"/>
        </w:rPr>
        <w:t>Mahmoud Khattab, Mohamed Abdel Fattah, Youssef Mousa, Elwy Soliman, Ibrahim Motawea,</w:t>
      </w:r>
      <w:r>
        <w:rPr>
          <w:b/>
          <w:bCs/>
        </w:rPr>
        <w:t xml:space="preserve"> </w:t>
      </w:r>
      <w:r>
        <w:t>Department of Internal Medicine, Minia University, Minia 61111, Egypt</w:t>
      </w:r>
    </w:p>
    <w:p w:rsidR="00345D80" w:rsidRDefault="00345D80" w:rsidP="00345D80">
      <w:pPr>
        <w:pStyle w:val="af"/>
      </w:pPr>
      <w:r>
        <w:rPr>
          <w:rFonts w:ascii="Tahoma" w:hAnsi="Tahoma" w:cs="Tahoma"/>
        </w:rPr>
        <w:t>Mohamed Amin Sakr, Ashraf Breedy,</w:t>
      </w:r>
      <w:r>
        <w:rPr>
          <w:b/>
          <w:bCs/>
        </w:rPr>
        <w:t xml:space="preserve"> </w:t>
      </w:r>
      <w:r>
        <w:t>Department of Tropical Medicine, Ain Shams University, Cairo 11566, Egypt</w:t>
      </w:r>
    </w:p>
    <w:p w:rsidR="00345D80" w:rsidRDefault="00345D80" w:rsidP="00345D80">
      <w:pPr>
        <w:pStyle w:val="af"/>
      </w:pPr>
      <w:r>
        <w:rPr>
          <w:rFonts w:ascii="Tahoma" w:hAnsi="Tahoma" w:cs="Tahoma"/>
        </w:rPr>
        <w:t>Mona Fathi,</w:t>
      </w:r>
      <w:r>
        <w:t xml:space="preserve"> Department of</w:t>
      </w:r>
      <w:r>
        <w:rPr>
          <w:b/>
          <w:bCs/>
        </w:rPr>
        <w:t xml:space="preserve"> </w:t>
      </w:r>
      <w:r>
        <w:t>Clinical Pathology, Ain Shams University, Cairo 11566, Egypt</w:t>
      </w:r>
    </w:p>
    <w:p w:rsidR="00345D80" w:rsidRDefault="00345D80" w:rsidP="00345D80">
      <w:pPr>
        <w:pStyle w:val="af"/>
      </w:pPr>
      <w:r>
        <w:rPr>
          <w:rFonts w:ascii="Tahoma" w:hAnsi="Tahoma" w:cs="Tahoma"/>
        </w:rPr>
        <w:t>Salwa Gaber,</w:t>
      </w:r>
      <w:r>
        <w:rPr>
          <w:b/>
          <w:bCs/>
        </w:rPr>
        <w:t xml:space="preserve"> </w:t>
      </w:r>
      <w:r>
        <w:t>Department of Pathology, Minia University, Minia 61111, Egypt</w:t>
      </w:r>
    </w:p>
    <w:p w:rsidR="00345D80" w:rsidRDefault="00345D80" w:rsidP="00345D80">
      <w:pPr>
        <w:pStyle w:val="af"/>
        <w:rPr>
          <w:spacing w:val="-4"/>
        </w:rPr>
      </w:pPr>
      <w:r>
        <w:rPr>
          <w:rFonts w:ascii="Tahoma" w:hAnsi="Tahoma" w:cs="Tahoma"/>
          <w:spacing w:val="-4"/>
        </w:rPr>
        <w:t>Ahmed Altaweil,</w:t>
      </w:r>
      <w:r>
        <w:rPr>
          <w:spacing w:val="-4"/>
        </w:rPr>
        <w:t xml:space="preserve"> Department of</w:t>
      </w:r>
      <w:r>
        <w:rPr>
          <w:b/>
          <w:bCs/>
          <w:spacing w:val="-4"/>
        </w:rPr>
        <w:t xml:space="preserve"> </w:t>
      </w:r>
      <w:r>
        <w:rPr>
          <w:spacing w:val="-4"/>
        </w:rPr>
        <w:t>Pathology, Ain Shams University, Cairo 11566, Egypt</w:t>
      </w:r>
    </w:p>
    <w:p w:rsidR="00345D80" w:rsidRDefault="00345D80" w:rsidP="00345D80">
      <w:pPr>
        <w:pStyle w:val="af"/>
        <w:rPr>
          <w:spacing w:val="-4"/>
        </w:rPr>
      </w:pPr>
      <w:r>
        <w:rPr>
          <w:rFonts w:ascii="Tahoma" w:hAnsi="Tahoma" w:cs="Tahoma"/>
          <w:spacing w:val="-4"/>
        </w:rPr>
        <w:t>Ashraf Osman,</w:t>
      </w:r>
      <w:r>
        <w:rPr>
          <w:spacing w:val="-4"/>
        </w:rPr>
        <w:t xml:space="preserve"> Department of</w:t>
      </w:r>
      <w:r>
        <w:rPr>
          <w:b/>
          <w:bCs/>
          <w:spacing w:val="-4"/>
        </w:rPr>
        <w:t xml:space="preserve"> </w:t>
      </w:r>
      <w:r>
        <w:rPr>
          <w:spacing w:val="-4"/>
        </w:rPr>
        <w:t>Clinical Pathology, Minia University, Minia 61111, Egypt</w:t>
      </w:r>
    </w:p>
    <w:p w:rsidR="00345D80" w:rsidRDefault="00345D80" w:rsidP="00345D80">
      <w:pPr>
        <w:pStyle w:val="af"/>
        <w:rPr>
          <w:b/>
          <w:bCs/>
        </w:rPr>
      </w:pPr>
      <w:r>
        <w:rPr>
          <w:rFonts w:ascii="Tahoma" w:hAnsi="Tahoma" w:cs="Tahoma"/>
        </w:rPr>
        <w:t>Ahmed Hassouna,</w:t>
      </w:r>
      <w:r>
        <w:t xml:space="preserve"> Department of</w:t>
      </w:r>
      <w:r>
        <w:rPr>
          <w:b/>
          <w:bCs/>
        </w:rPr>
        <w:t xml:space="preserve"> </w:t>
      </w:r>
      <w:r>
        <w:t>Cardiothoracic Surgery, Ain Shams University, Cairo 11566, Egypt</w:t>
      </w:r>
    </w:p>
    <w:p w:rsidR="00345D80" w:rsidRDefault="00345D80" w:rsidP="00345D80">
      <w:pPr>
        <w:pStyle w:val="af"/>
        <w:rPr>
          <w:b/>
          <w:bCs/>
        </w:rPr>
      </w:pPr>
      <w:r w:rsidRPr="00E448B1">
        <w:rPr>
          <w:rFonts w:ascii="Tahoma" w:hAnsi="Tahoma" w:cs="Tahoma"/>
          <w:spacing w:val="0"/>
        </w:rPr>
        <w:t>Author contributions:</w:t>
      </w:r>
      <w:r>
        <w:rPr>
          <w:b/>
          <w:bCs/>
        </w:rPr>
        <w:t xml:space="preserve"> </w:t>
      </w:r>
      <w:r>
        <w:t>Khattab M proposed study design and supervised all stages of the research; Saker MA, Fattah MA, Mousa Y, Soliman E, Breedy A and Motawea I shared patient recruitment, physical assessments and data interpretation; Fathi M and Osman A performed the laboratory investigations; Gaber S and Altaweil A assessed histopathological specimens of liver biopsies; Hassouna A processed the statistical analysis of our data.</w:t>
      </w:r>
    </w:p>
    <w:p w:rsidR="00345D80" w:rsidRDefault="00345D80" w:rsidP="00345D80">
      <w:pPr>
        <w:pStyle w:val="af"/>
      </w:pPr>
      <w:r w:rsidRPr="00E448B1">
        <w:rPr>
          <w:rFonts w:ascii="Tahoma" w:hAnsi="Tahoma" w:cs="Tahoma"/>
          <w:spacing w:val="0"/>
        </w:rPr>
        <w:t>Supported by</w:t>
      </w:r>
      <w:r>
        <w:t xml:space="preserve"> The Governmental Foundation Scientific and Technology Development Foundation (STDF), Egypt, Project ID: 1538. </w:t>
      </w:r>
    </w:p>
    <w:p w:rsidR="00345D80" w:rsidRDefault="00345D80" w:rsidP="00345D80">
      <w:pPr>
        <w:pStyle w:val="af"/>
      </w:pPr>
      <w:r w:rsidRPr="00E448B1">
        <w:rPr>
          <w:rFonts w:ascii="Tahoma" w:hAnsi="Tahoma" w:cs="Tahoma"/>
          <w:spacing w:val="0"/>
        </w:rPr>
        <w:t>Correspondence to:</w:t>
      </w:r>
      <w:r>
        <w:rPr>
          <w:b/>
          <w:bCs/>
        </w:rPr>
        <w:t xml:space="preserve"> </w:t>
      </w:r>
      <w:r>
        <w:rPr>
          <w:rFonts w:ascii="Tahoma" w:hAnsi="Tahoma" w:cs="Tahoma"/>
        </w:rPr>
        <w:t>Mahmoud Khattab, MD, PhD, Professor</w:t>
      </w:r>
      <w:r>
        <w:rPr>
          <w:b/>
          <w:bCs/>
        </w:rPr>
        <w:t xml:space="preserve"> </w:t>
      </w:r>
      <w:r>
        <w:t xml:space="preserve">of Medicine, </w:t>
      </w:r>
      <w:r>
        <w:rPr>
          <w:rFonts w:ascii="Tahoma" w:hAnsi="Tahoma" w:cs="Tahoma"/>
        </w:rPr>
        <w:t>Head</w:t>
      </w:r>
      <w:r>
        <w:t xml:space="preserve"> of Liver Unit, Department of Internal Medicine, Minia University, Cornish Al Nile Road, Minia 61111, Egypt. mkhattabmed@hotmail.com</w:t>
      </w:r>
    </w:p>
    <w:p w:rsidR="00345D80" w:rsidRDefault="00345D80" w:rsidP="00345D80">
      <w:pPr>
        <w:pStyle w:val="af"/>
      </w:pPr>
      <w:r w:rsidRPr="00E448B1">
        <w:rPr>
          <w:rFonts w:ascii="Tahoma" w:hAnsi="Tahoma" w:cs="Tahoma"/>
          <w:spacing w:val="0"/>
        </w:rPr>
        <w:t>Telephone:</w:t>
      </w:r>
      <w:r>
        <w:rPr>
          <w:b/>
          <w:bCs/>
        </w:rPr>
        <w:t xml:space="preserve"> </w:t>
      </w:r>
      <w:r>
        <w:t>+20-25-197818</w:t>
      </w:r>
      <w:r>
        <w:rPr>
          <w:rFonts w:hint="eastAsia"/>
        </w:rPr>
        <w:t xml:space="preserve">   </w:t>
      </w:r>
      <w:r w:rsidRPr="00E448B1">
        <w:rPr>
          <w:rFonts w:ascii="Tahoma" w:hAnsi="Tahoma" w:cs="Tahoma"/>
          <w:spacing w:val="0"/>
        </w:rPr>
        <w:t>Fax:</w:t>
      </w:r>
      <w:r>
        <w:t xml:space="preserve"> +20-86-2156056</w:t>
      </w:r>
    </w:p>
    <w:p w:rsidR="00345D80" w:rsidRPr="00E448B1" w:rsidRDefault="00345D80" w:rsidP="00345D80">
      <w:pPr>
        <w:pStyle w:val="af"/>
        <w:rPr>
          <w:b/>
          <w:bCs/>
        </w:rPr>
      </w:pPr>
      <w:r>
        <w:rPr>
          <w:rFonts w:ascii="Tahoma" w:hAnsi="Tahoma" w:cs="Tahoma"/>
        </w:rPr>
        <w:t>Received:</w:t>
      </w:r>
      <w:r>
        <w:rPr>
          <w:b/>
          <w:bCs/>
        </w:rPr>
        <w:t xml:space="preserve"> </w:t>
      </w:r>
      <w:r>
        <w:t xml:space="preserve">June 26, 2016 </w:t>
      </w:r>
      <w:r>
        <w:rPr>
          <w:rFonts w:hint="eastAsia"/>
          <w:b/>
          <w:bCs/>
        </w:rPr>
        <w:t xml:space="preserve">   </w:t>
      </w:r>
      <w:r>
        <w:rPr>
          <w:rFonts w:ascii="Tahoma" w:hAnsi="Tahoma" w:cs="Tahoma"/>
        </w:rPr>
        <w:t>Revised:</w:t>
      </w:r>
      <w:r>
        <w:t xml:space="preserve"> September 9, 2016</w:t>
      </w:r>
      <w:r>
        <w:rPr>
          <w:b/>
          <w:bCs/>
        </w:rPr>
        <w:t xml:space="preserve"> </w:t>
      </w:r>
      <w:r>
        <w:rPr>
          <w:rFonts w:hint="eastAsia"/>
          <w:b/>
          <w:bCs/>
        </w:rPr>
        <w:t xml:space="preserve">   </w:t>
      </w:r>
      <w:r>
        <w:rPr>
          <w:rFonts w:ascii="Tahoma" w:hAnsi="Tahoma" w:cs="Tahoma"/>
        </w:rPr>
        <w:t>Accepted:</w:t>
      </w:r>
      <w:r>
        <w:rPr>
          <w:b/>
          <w:bCs/>
        </w:rPr>
        <w:t xml:space="preserve"> </w:t>
      </w:r>
      <w:r>
        <w:rPr>
          <w:rStyle w:val="5F3A8C03"/>
          <w:i w:val="0"/>
          <w:iCs w:val="0"/>
        </w:rPr>
        <w:t>October 5, 2016</w:t>
      </w:r>
    </w:p>
    <w:p w:rsidR="00345D80" w:rsidRDefault="00345D80" w:rsidP="00345D80">
      <w:pPr>
        <w:pStyle w:val="af"/>
        <w:rPr>
          <w:b/>
          <w:bCs/>
        </w:rPr>
      </w:pPr>
      <w:r>
        <w:rPr>
          <w:rFonts w:ascii="Tahoma" w:hAnsi="Tahoma" w:cs="Tahoma"/>
        </w:rPr>
        <w:t>Published online:</w:t>
      </w:r>
      <w:r>
        <w:t xml:space="preserve"> November 18, 2016</w:t>
      </w:r>
    </w:p>
    <w:p w:rsidR="00345D80" w:rsidRPr="00E448B1" w:rsidRDefault="00345D80" w:rsidP="00345D80">
      <w:pPr>
        <w:pStyle w:val="NormalParagraphStyle"/>
        <w:rPr>
          <w:rFonts w:ascii="Century Gothic" w:hAnsi="Century Gothic" w:cs="Century Gothic"/>
          <w:b/>
          <w:bCs/>
          <w:spacing w:val="12"/>
          <w:lang w:val="en-US"/>
        </w:rPr>
      </w:pPr>
    </w:p>
    <w:p w:rsidR="00345D80" w:rsidRPr="00E448B1" w:rsidRDefault="00345D80" w:rsidP="00345D80">
      <w:pPr>
        <w:pStyle w:val="NormalParagraphStyle"/>
        <w:rPr>
          <w:rFonts w:ascii="Century Gothic" w:hAnsi="Century Gothic" w:cs="Century Gothic"/>
          <w:b/>
          <w:bCs/>
          <w:spacing w:val="12"/>
          <w:lang w:val="en-US"/>
        </w:rPr>
      </w:pPr>
      <w:r w:rsidRPr="00E448B1">
        <w:rPr>
          <w:rFonts w:ascii="Century Gothic" w:hAnsi="Century Gothic" w:cs="Century Gothic"/>
          <w:b/>
          <w:bCs/>
          <w:spacing w:val="12"/>
          <w:lang w:val="en-US"/>
        </w:rPr>
        <w:t>Abstract</w:t>
      </w:r>
    </w:p>
    <w:p w:rsidR="00345D80" w:rsidRPr="00E448B1" w:rsidRDefault="00345D80" w:rsidP="00345D80">
      <w:pPr>
        <w:pStyle w:val="E-1"/>
        <w:rPr>
          <w:rFonts w:ascii="Tahoma Bold Italic" w:hAnsi="Tahoma Bold Italic" w:cs="Tahoma Bold Italic"/>
          <w:b/>
          <w:bCs/>
          <w:iCs/>
        </w:rPr>
      </w:pPr>
      <w:r w:rsidRPr="00E448B1">
        <w:rPr>
          <w:rFonts w:ascii="Times New Roman" w:hAnsi="Times New Roman" w:cs="Times New Roman"/>
          <w:b/>
          <w:bCs/>
          <w:iCs/>
        </w:rPr>
        <w:t>AIM</w:t>
      </w:r>
    </w:p>
    <w:p w:rsidR="00345D80" w:rsidRDefault="00345D80" w:rsidP="00345D80">
      <w:pPr>
        <w:pStyle w:val="E-1"/>
      </w:pPr>
      <w:r>
        <w:t>To investigate the diagnostic ability of a non-invasive biological marker to predict liver fibrosis in hepatitis C genotype 4 patients with high accuracy.</w:t>
      </w:r>
    </w:p>
    <w:p w:rsidR="00345D80" w:rsidRPr="00E448B1" w:rsidRDefault="00345D80" w:rsidP="00345D80">
      <w:pPr>
        <w:pStyle w:val="E-1"/>
        <w:rPr>
          <w:rFonts w:ascii="Tahoma Bold Italic" w:hAnsi="Tahoma Bold Italic" w:cs="Tahoma Bold Italic"/>
          <w:b/>
          <w:bCs/>
          <w:iCs/>
        </w:rPr>
      </w:pPr>
      <w:r w:rsidRPr="00E448B1">
        <w:rPr>
          <w:rFonts w:ascii="Times New Roman" w:hAnsi="Times New Roman" w:cs="Times New Roman"/>
          <w:b/>
          <w:bCs/>
          <w:iCs/>
        </w:rPr>
        <w:t>METHODS</w:t>
      </w:r>
    </w:p>
    <w:p w:rsidR="00345D80" w:rsidRDefault="00345D80" w:rsidP="00345D80">
      <w:pPr>
        <w:pStyle w:val="E-1"/>
        <w:rPr>
          <w:spacing w:val="-2"/>
        </w:rPr>
      </w:pPr>
      <w:r>
        <w:rPr>
          <w:spacing w:val="-2"/>
        </w:rPr>
        <w:t>A cohort of 332 patients infected with hepatitis C geno</w:t>
      </w:r>
      <w:r>
        <w:rPr>
          <w:spacing w:val="-2"/>
        </w:rPr>
        <w:softHyphen/>
        <w:t>type 4 was included in this cross-sectional study. Fasting plasma glucose, insulin, C-peptide, and angiotensin-converting enzyme serum levels were measured. Insulin resistance was mathematically calculated using the homeostasis model of insulin resistance (HOMA-IR).</w:t>
      </w:r>
    </w:p>
    <w:p w:rsidR="00345D80" w:rsidRPr="00E448B1" w:rsidRDefault="00345D80" w:rsidP="00345D80">
      <w:pPr>
        <w:pStyle w:val="E-1"/>
        <w:rPr>
          <w:rFonts w:ascii="Tahoma Bold Italic" w:hAnsi="Tahoma Bold Italic" w:cs="Tahoma Bold Italic"/>
          <w:b/>
          <w:bCs/>
          <w:iCs/>
        </w:rPr>
      </w:pPr>
      <w:r w:rsidRPr="00E448B1">
        <w:rPr>
          <w:rFonts w:ascii="Times New Roman" w:hAnsi="Times New Roman" w:cs="Times New Roman"/>
          <w:b/>
          <w:bCs/>
          <w:iCs/>
        </w:rPr>
        <w:t>RESULTS</w:t>
      </w:r>
    </w:p>
    <w:p w:rsidR="00345D80" w:rsidRDefault="00345D80" w:rsidP="00345D80">
      <w:pPr>
        <w:pStyle w:val="E-1"/>
        <w:rPr>
          <w:spacing w:val="-2"/>
        </w:rPr>
      </w:pPr>
      <w:r>
        <w:rPr>
          <w:spacing w:val="-2"/>
        </w:rPr>
        <w:t>Fibrosis stages were distributed based on Metavir score as follows: F0 = 43, F1 = 136, F2 = 64, F3 = 45 and F4 = 44. Statistical analysis relied upon reclassification of fibrosis stages into mild fibrosis (F0-F) = 179, moderate fibrosis (F2) = 64, and advanced fibrosis (F3-F4) = 89. Univariate analysis indicated that age, log aspartate amino transaminase, log HOMA-IR and log platelet count were independent predictors of liver fibrosis stage (</w:t>
      </w:r>
      <w:r>
        <w:rPr>
          <w:rFonts w:ascii="Tahoma Italic" w:hAnsi="Tahoma Italic" w:cs="Tahoma Italic"/>
          <w:i/>
          <w:iCs/>
          <w:spacing w:val="-2"/>
        </w:rPr>
        <w:t>P</w:t>
      </w:r>
      <w:r>
        <w:rPr>
          <w:spacing w:val="-2"/>
        </w:rPr>
        <w:t xml:space="preserve"> &lt; 0.0001). A stepwise multivariate discriminant functional analysis was used to drive a discriminative model for liver fibrosis. Our index used cut-off values of </w:t>
      </w:r>
      <w:r>
        <w:rPr>
          <w:rFonts w:ascii="宋体" w:cs="宋体" w:hint="eastAsia"/>
          <w:spacing w:val="-2"/>
        </w:rPr>
        <w:t>≥</w:t>
      </w:r>
      <w:r>
        <w:rPr>
          <w:spacing w:val="-2"/>
        </w:rPr>
        <w:t xml:space="preserve"> 0.86 and </w:t>
      </w:r>
      <w:r>
        <w:rPr>
          <w:rFonts w:ascii="宋体" w:cs="宋体" w:hint="eastAsia"/>
          <w:spacing w:val="-2"/>
        </w:rPr>
        <w:t>≤</w:t>
      </w:r>
      <w:r>
        <w:rPr>
          <w:spacing w:val="-2"/>
        </w:rPr>
        <w:t xml:space="preserve"> -0.31 to diagnose advanced and mild fibrosis, respectively, with receiving operating characteristics of 0.91 and 0.88, respectively. The sensitivity, specificity, positive predictive </w:t>
      </w:r>
      <w:r>
        <w:rPr>
          <w:spacing w:val="-2"/>
        </w:rPr>
        <w:lastRenderedPageBreak/>
        <w:t>value, negative predictive value and positive likelihood ratio were: 73%, 91%, 75%, 90% and 8.0 respectively for advanced fibrosis, and 67%, 88%, 84%, 70% and 4.9, respectively, for mild fibrosis.</w:t>
      </w:r>
    </w:p>
    <w:p w:rsidR="00345D80" w:rsidRPr="00E448B1" w:rsidRDefault="00345D80" w:rsidP="00345D80">
      <w:pPr>
        <w:pStyle w:val="E-1"/>
        <w:rPr>
          <w:rFonts w:ascii="Tahoma Bold Italic" w:hAnsi="Tahoma Bold Italic" w:cs="Tahoma Bold Italic"/>
          <w:b/>
          <w:bCs/>
          <w:iCs/>
        </w:rPr>
      </w:pPr>
      <w:r w:rsidRPr="00E448B1">
        <w:rPr>
          <w:rFonts w:ascii="Times New Roman" w:hAnsi="Times New Roman" w:cs="Times New Roman"/>
          <w:b/>
          <w:bCs/>
          <w:iCs/>
        </w:rPr>
        <w:t>CONCLUSION</w:t>
      </w:r>
    </w:p>
    <w:p w:rsidR="00345D80" w:rsidRDefault="00345D80" w:rsidP="00345D80">
      <w:pPr>
        <w:pStyle w:val="E-1"/>
        <w:rPr>
          <w:spacing w:val="-2"/>
        </w:rPr>
      </w:pPr>
      <w:r>
        <w:rPr>
          <w:spacing w:val="-2"/>
        </w:rPr>
        <w:t>Our predictive model is easily available and reproducible, and predicted liver fibrosis with acceptable accuracy.</w:t>
      </w:r>
    </w:p>
    <w:p w:rsidR="00345D80" w:rsidRDefault="00345D80" w:rsidP="00345D80">
      <w:pPr>
        <w:pStyle w:val="E-1"/>
        <w:rPr>
          <w:rFonts w:ascii="Times New Roman" w:hAnsi="Times New Roman" w:cs="Times New Roman"/>
          <w:b/>
          <w:bCs/>
        </w:rPr>
      </w:pPr>
    </w:p>
    <w:p w:rsidR="00345D80" w:rsidRDefault="00345D80" w:rsidP="00345D80">
      <w:pPr>
        <w:pStyle w:val="E-1"/>
      </w:pPr>
      <w:r>
        <w:rPr>
          <w:rFonts w:ascii="Times New Roman" w:hAnsi="Times New Roman" w:cs="Times New Roman"/>
          <w:b/>
          <w:bCs/>
        </w:rPr>
        <w:t>Key words:</w:t>
      </w:r>
      <w:r>
        <w:t xml:space="preserve"> Liver fibrosis; Insulin resistance; Aspartate amino transaminase; Platelets; Age</w:t>
      </w:r>
    </w:p>
    <w:p w:rsidR="00345D80" w:rsidRDefault="00345D80" w:rsidP="00345D80">
      <w:pPr>
        <w:pStyle w:val="E-1"/>
        <w:rPr>
          <w:b/>
          <w:bCs/>
          <w:sz w:val="17"/>
          <w:szCs w:val="17"/>
        </w:rPr>
      </w:pPr>
    </w:p>
    <w:p w:rsidR="00345D80" w:rsidRPr="00B65761" w:rsidRDefault="00345D80" w:rsidP="00345D80">
      <w:pPr>
        <w:suppressAutoHyphens/>
        <w:autoSpaceDE w:val="0"/>
        <w:autoSpaceDN w:val="0"/>
        <w:adjustRightInd w:val="0"/>
        <w:spacing w:line="230" w:lineRule="atLeast"/>
        <w:textAlignment w:val="center"/>
        <w:rPr>
          <w:rFonts w:ascii="Tahoma" w:hAnsi="Tahoma" w:cs="Tahoma"/>
          <w:color w:val="000000"/>
          <w:spacing w:val="-1"/>
          <w:kern w:val="0"/>
          <w:sz w:val="17"/>
          <w:szCs w:val="17"/>
        </w:rPr>
      </w:pPr>
      <w:r w:rsidRPr="00B65761">
        <w:rPr>
          <w:rFonts w:ascii="Tahoma" w:hAnsi="Tahoma" w:cs="Tahoma"/>
          <w:b/>
          <w:bCs/>
          <w:color w:val="000000"/>
          <w:spacing w:val="-1"/>
          <w:kern w:val="0"/>
          <w:sz w:val="17"/>
          <w:szCs w:val="17"/>
        </w:rPr>
        <w:t>© The Author(s) 2016.</w:t>
      </w:r>
      <w:r w:rsidRPr="00B65761">
        <w:rPr>
          <w:rFonts w:ascii="Tahoma" w:hAnsi="Tahoma" w:cs="Tahoma"/>
          <w:color w:val="000000"/>
          <w:spacing w:val="-1"/>
          <w:kern w:val="0"/>
          <w:sz w:val="17"/>
          <w:szCs w:val="17"/>
        </w:rPr>
        <w:t xml:space="preserve"> Published by Baishideng Publishing Group Inc. All rights reserved.</w:t>
      </w:r>
    </w:p>
    <w:p w:rsidR="00345D80" w:rsidRDefault="00345D80" w:rsidP="00345D80">
      <w:pPr>
        <w:pStyle w:val="a9"/>
        <w:rPr>
          <w:rFonts w:hint="eastAsia"/>
          <w:spacing w:val="-4"/>
        </w:rPr>
      </w:pPr>
    </w:p>
    <w:p w:rsidR="00345D80" w:rsidRDefault="00345D80" w:rsidP="00345D80">
      <w:pPr>
        <w:pStyle w:val="a9"/>
        <w:rPr>
          <w:b/>
          <w:bCs/>
          <w:spacing w:val="-4"/>
          <w:lang w:val="zh-TW"/>
        </w:rPr>
      </w:pPr>
      <w:r>
        <w:rPr>
          <w:spacing w:val="-4"/>
        </w:rPr>
        <w:t xml:space="preserve">Khattab M, Sakr MA, Fattah MA, Mousa Y, Soliman E, Breedy A, </w:t>
      </w:r>
      <w:r>
        <w:rPr>
          <w:spacing w:val="-5"/>
        </w:rPr>
        <w:t xml:space="preserve">Fathi M, Gaber S, Altaweil A, Osman A, Hassouna A, Motawea I. Novel non-invasive biological predictive index for liver </w:t>
      </w:r>
      <w:r>
        <w:rPr>
          <w:spacing w:val="-4"/>
        </w:rPr>
        <w:t>fibrosis in hepatitis C virus genotype 4 patients.</w:t>
      </w:r>
      <w:r>
        <w:rPr>
          <w:i/>
          <w:iCs/>
          <w:spacing w:val="-4"/>
        </w:rPr>
        <w:t xml:space="preserve"> World J Hepatol</w:t>
      </w:r>
      <w:r>
        <w:rPr>
          <w:spacing w:val="-4"/>
        </w:rPr>
        <w:t xml:space="preserve"> 2016; 8(32): 1392-1401 Available from: URL: http://www.wjgnet.com/1948-5182/full/v8/i32/1392.htm DOI: http://dx.doi.org/10.4254/wjh.v8.i32.1392</w:t>
      </w:r>
    </w:p>
    <w:p w:rsidR="00345D80" w:rsidRPr="00E448B1" w:rsidRDefault="00345D80" w:rsidP="00345D80">
      <w:pPr>
        <w:pStyle w:val="af0"/>
        <w:rPr>
          <w:lang w:val="en-US"/>
        </w:rPr>
      </w:pPr>
    </w:p>
    <w:p w:rsidR="00345D80" w:rsidRDefault="00345D80" w:rsidP="00345D80">
      <w:pPr>
        <w:pStyle w:val="E-1"/>
        <w:rPr>
          <w:spacing w:val="-2"/>
        </w:rPr>
      </w:pPr>
      <w:r>
        <w:rPr>
          <w:rFonts w:ascii="Times New Roman" w:hAnsi="Times New Roman" w:cs="Times New Roman"/>
          <w:b/>
          <w:bCs/>
          <w:spacing w:val="-3"/>
        </w:rPr>
        <w:t>Core tip:</w:t>
      </w:r>
      <w:r>
        <w:rPr>
          <w:b/>
          <w:bCs/>
        </w:rPr>
        <w:t xml:space="preserve"> </w:t>
      </w:r>
      <w:r>
        <w:rPr>
          <w:spacing w:val="-2"/>
        </w:rPr>
        <w:t>This observational study included a cohort of 332 recruited patients with hepatitis C virus (HCV) genotype 4 infections. The study assessed the status of demographic and biological variables at different stages of liver fibrosis. Liver biopsy with Metavir scoring was the reference standard used to classify patients into five stages of liver fibrosis (F0-F4). Patient regrouping to include three levels of fibrosis, mild (F0-F1), moderate (F2), and advanced (F3-F4), was performed to conform with practical guidelines for the management and follow-up of HCV patients. Age, aspartate transaminase enzyme (AST), insulin resistance (HOMA-IR), and platelet count were significant predictors of liver fibrosis as shown on univariate analysis. Log AST, log HOMA-IR, log platelet count and age were introduced into stepwise multivariate discriminative analysis, and a model for the prediction of liver fibrosis level was derived. Our pre</w:t>
      </w:r>
      <w:r>
        <w:rPr>
          <w:spacing w:val="-2"/>
        </w:rPr>
        <w:softHyphen/>
        <w:t xml:space="preserve">dictive index exhibited an area under the curve (AUC) of 0.91 for the diagnosis of advanced stages of fibrosis and an AUC of 0.88 for the diagnosis of mild stages of fibrosis. The index exhibited a lower AUC of 0.64 in the diagnosis of moderate stages of fibrosis. </w:t>
      </w:r>
    </w:p>
    <w:p w:rsidR="00345D80" w:rsidRPr="00E448B1" w:rsidRDefault="00345D80" w:rsidP="00345D80">
      <w:pPr>
        <w:pStyle w:val="af0"/>
        <w:rPr>
          <w:lang w:val="en-US"/>
        </w:rPr>
      </w:pPr>
    </w:p>
    <w:p w:rsidR="00345D80" w:rsidRPr="00E448B1" w:rsidRDefault="00345D80" w:rsidP="00345D80">
      <w:pPr>
        <w:pStyle w:val="af0"/>
        <w:rPr>
          <w:u w:val="single"/>
          <w:lang w:val="en-US"/>
        </w:rPr>
      </w:pPr>
      <w:r w:rsidRPr="00E448B1">
        <w:rPr>
          <w:u w:val="single"/>
          <w:lang w:val="en-US"/>
        </w:rPr>
        <w:t>INTRODUCTION</w:t>
      </w:r>
    </w:p>
    <w:p w:rsidR="00345D80" w:rsidRDefault="00345D80" w:rsidP="00345D80">
      <w:pPr>
        <w:pStyle w:val="af1"/>
        <w:rPr>
          <w:spacing w:val="-11"/>
        </w:rPr>
      </w:pPr>
      <w:r>
        <w:rPr>
          <w:spacing w:val="-11"/>
        </w:rPr>
        <w:t>Hepatitis C virus (HCV) infection exhibits worldwide distribution with a global prevalence of 2.35%, and it affects 160-170 millions of chronically infected individuals</w:t>
      </w:r>
      <w:r>
        <w:rPr>
          <w:spacing w:val="-11"/>
          <w:vertAlign w:val="superscript"/>
        </w:rPr>
        <w:t>[1]</w:t>
      </w:r>
      <w:r>
        <w:rPr>
          <w:spacing w:val="-11"/>
        </w:rPr>
        <w:t>. Approximately three to four million peoples are infected annually</w:t>
      </w:r>
      <w:r>
        <w:rPr>
          <w:spacing w:val="-11"/>
          <w:vertAlign w:val="superscript"/>
        </w:rPr>
        <w:t>[2]</w:t>
      </w:r>
      <w:r>
        <w:rPr>
          <w:spacing w:val="-11"/>
        </w:rPr>
        <w:t>. Egypt has one of the highest prevalence rates worldwide, 14.9%, as estimated by the Egypt Demographic and Health Survey. HCV genotype 4 is the most common genotype in Egypt</w:t>
      </w:r>
      <w:r>
        <w:rPr>
          <w:spacing w:val="-11"/>
          <w:vertAlign w:val="superscript"/>
        </w:rPr>
        <w:t>[3]</w:t>
      </w:r>
      <w:r>
        <w:rPr>
          <w:spacing w:val="-11"/>
        </w:rPr>
        <w:t>. Liver fibrosis is the essential pathophysiological consequence of chronic liver injury regardless of injurious agent because it is the pathological outcome of chronic HCV infections</w:t>
      </w:r>
      <w:r>
        <w:rPr>
          <w:spacing w:val="-11"/>
          <w:vertAlign w:val="superscript"/>
        </w:rPr>
        <w:t>[4]</w:t>
      </w:r>
      <w:r>
        <w:rPr>
          <w:spacing w:val="-11"/>
        </w:rPr>
        <w:t>.</w:t>
      </w:r>
    </w:p>
    <w:p w:rsidR="00345D80" w:rsidRDefault="00345D80" w:rsidP="00345D80">
      <w:pPr>
        <w:pStyle w:val="1"/>
        <w:rPr>
          <w:spacing w:val="-11"/>
        </w:rPr>
      </w:pPr>
      <w:r>
        <w:rPr>
          <w:spacing w:val="-11"/>
        </w:rPr>
        <w:t>Hepatic stellate cells (HSCs) are the major fibro</w:t>
      </w:r>
      <w:r>
        <w:rPr>
          <w:spacing w:val="-11"/>
        </w:rPr>
        <w:softHyphen/>
        <w:t>genic cells in the liver. Apoptotic HSCs regulate the balance between the synthesis and degradation of the extracellular matrix</w:t>
      </w:r>
      <w:r>
        <w:rPr>
          <w:spacing w:val="-11"/>
          <w:vertAlign w:val="superscript"/>
        </w:rPr>
        <w:t>[5]</w:t>
      </w:r>
      <w:r>
        <w:rPr>
          <w:spacing w:val="-11"/>
        </w:rPr>
        <w:t>. HCV-induced bioactive trans</w:t>
      </w:r>
      <w:r>
        <w:rPr>
          <w:spacing w:val="-11"/>
        </w:rPr>
        <w:softHyphen/>
        <w:t xml:space="preserve">forming growth beta 1 is critical for the induction of </w:t>
      </w:r>
      <w:r>
        <w:rPr>
          <w:rFonts w:ascii="Symbol" w:hAnsi="Symbol" w:cs="Symbol"/>
          <w:spacing w:val="-11"/>
        </w:rPr>
        <w:t></w:t>
      </w:r>
      <w:r>
        <w:rPr>
          <w:spacing w:val="-11"/>
        </w:rPr>
        <w:t>-smooth muscle actin and type-1 collagen, which are markers for HSC activation and proliferation</w:t>
      </w:r>
      <w:r>
        <w:rPr>
          <w:spacing w:val="-11"/>
          <w:vertAlign w:val="superscript"/>
        </w:rPr>
        <w:t>[6]</w:t>
      </w:r>
      <w:r>
        <w:rPr>
          <w:spacing w:val="-11"/>
        </w:rPr>
        <w:t>.</w:t>
      </w:r>
    </w:p>
    <w:p w:rsidR="00345D80" w:rsidRDefault="00345D80" w:rsidP="00345D80">
      <w:pPr>
        <w:pStyle w:val="1"/>
      </w:pPr>
      <w:r>
        <w:t>The assessment of liver fibrosis level (stage) is a major issue for the management and follows-up of patients with chronic hepatitis C infection. Liver biopsy is the gold standard for the assessment of fibrosis and grade of necro-inflammation and histological staging is based on semi-quantitative scoring systems (</w:t>
      </w:r>
      <w:r>
        <w:rPr>
          <w:i/>
          <w:iCs/>
        </w:rPr>
        <w:t>e.g.</w:t>
      </w:r>
      <w:r>
        <w:t>, Metavir and Ishak Scores)</w:t>
      </w:r>
      <w:r>
        <w:rPr>
          <w:vertAlign w:val="superscript"/>
        </w:rPr>
        <w:t>[7]</w:t>
      </w:r>
      <w:r>
        <w:t xml:space="preserve">. </w:t>
      </w:r>
    </w:p>
    <w:p w:rsidR="00345D80" w:rsidRDefault="00345D80" w:rsidP="00345D80">
      <w:pPr>
        <w:pStyle w:val="1"/>
        <w:rPr>
          <w:spacing w:val="-11"/>
        </w:rPr>
      </w:pPr>
      <w:r>
        <w:rPr>
          <w:spacing w:val="-11"/>
        </w:rPr>
        <w:t xml:space="preserve">However, liver biopsy exhibits certain drawbacks, including sampling error, invasiveness with potentiality adverse effects, complications, such as haemorrhage in 0.3% of cases, pain in 30% of cases and mortality in 0.01% of cases, </w:t>
      </w:r>
      <w:r>
        <w:rPr>
          <w:spacing w:val="-11"/>
        </w:rPr>
        <w:lastRenderedPageBreak/>
        <w:t>and inter and intra observer variability in the reading of biopsy specimens</w:t>
      </w:r>
      <w:r>
        <w:rPr>
          <w:spacing w:val="-11"/>
          <w:vertAlign w:val="superscript"/>
        </w:rPr>
        <w:t>[8]</w:t>
      </w:r>
      <w:r>
        <w:rPr>
          <w:spacing w:val="-11"/>
        </w:rPr>
        <w:t>. Therefore, liver biopsy is not a perfect assessment of liver fibrosis and there is a growing need to identify surrogate non-invasive markers of liver injury with its clinical consequences and future events.</w:t>
      </w:r>
    </w:p>
    <w:p w:rsidR="00345D80" w:rsidRDefault="00345D80" w:rsidP="00345D80">
      <w:pPr>
        <w:pStyle w:val="1"/>
      </w:pPr>
      <w:r>
        <w:rPr>
          <w:spacing w:val="-11"/>
        </w:rPr>
        <w:t xml:space="preserve">HCV chronic infections are associated with insulin resistance and type 2 diabetes mellitus, which are more frequently observed in HCV infections compared with healthy controls and liver diseases of other aetiology. HCV infection promotes insulin resistance primarily </w:t>
      </w:r>
      <w:r>
        <w:rPr>
          <w:i/>
          <w:iCs/>
          <w:spacing w:val="-11"/>
        </w:rPr>
        <w:t>via</w:t>
      </w:r>
      <w:r>
        <w:rPr>
          <w:spacing w:val="-11"/>
        </w:rPr>
        <w:t xml:space="preserve"> increased TNF-</w:t>
      </w:r>
      <w:r>
        <w:rPr>
          <w:rFonts w:ascii="Symbol" w:hAnsi="Symbol" w:cs="Symbol"/>
          <w:spacing w:val="-11"/>
        </w:rPr>
        <w:t></w:t>
      </w:r>
      <w:r>
        <w:rPr>
          <w:spacing w:val="-11"/>
        </w:rPr>
        <w:t xml:space="preserve"> production and enhanced suppressor of cytokine, which block PI</w:t>
      </w:r>
      <w:r>
        <w:rPr>
          <w:spacing w:val="-11"/>
          <w:vertAlign w:val="subscript"/>
        </w:rPr>
        <w:t>3</w:t>
      </w:r>
      <w:r>
        <w:rPr>
          <w:spacing w:val="-11"/>
        </w:rPr>
        <w:t>K and Akt phosphorylation</w:t>
      </w:r>
      <w:r>
        <w:rPr>
          <w:spacing w:val="-11"/>
          <w:vertAlign w:val="superscript"/>
        </w:rPr>
        <w:t>[9]</w:t>
      </w:r>
      <w:r>
        <w:rPr>
          <w:spacing w:val="-11"/>
        </w:rPr>
        <w:t>. Insulin resistance and geographical origin (Egyptian) are the major predictors of liver fibrosis and response to therapy in HCV-genotype 4</w:t>
      </w:r>
      <w:r>
        <w:rPr>
          <w:spacing w:val="-11"/>
          <w:vertAlign w:val="superscript"/>
        </w:rPr>
        <w:t>[10]</w:t>
      </w:r>
      <w:r>
        <w:rPr>
          <w:spacing w:val="-11"/>
        </w:rPr>
        <w:t xml:space="preserve">. </w:t>
      </w:r>
    </w:p>
    <w:p w:rsidR="00345D80" w:rsidRDefault="00345D80" w:rsidP="00345D80">
      <w:pPr>
        <w:pStyle w:val="1"/>
        <w:rPr>
          <w:spacing w:val="-11"/>
        </w:rPr>
      </w:pPr>
      <w:r>
        <w:rPr>
          <w:spacing w:val="-11"/>
        </w:rPr>
        <w:t>Physiological hepatic angiogenesis occurs during liver regeneration and leads to the formation of new functional sinusoids. However pathological angiogenesis occurs in fibrosis, and it is characterized by the appearance of capillaries vascular structures</w:t>
      </w:r>
      <w:r>
        <w:rPr>
          <w:spacing w:val="-11"/>
          <w:vertAlign w:val="superscript"/>
        </w:rPr>
        <w:t>[11]</w:t>
      </w:r>
      <w:r>
        <w:rPr>
          <w:spacing w:val="-11"/>
        </w:rPr>
        <w:t>. The resulting hypoxia in liver injury induces activation of the renin-angiotensin system (RAS), which plays a role in the pathogenesis of fibrosis in the heart, kidney, lung and liver</w:t>
      </w:r>
      <w:r>
        <w:rPr>
          <w:spacing w:val="-11"/>
          <w:vertAlign w:val="superscript"/>
        </w:rPr>
        <w:t>[12]</w:t>
      </w:r>
      <w:r>
        <w:rPr>
          <w:spacing w:val="-11"/>
        </w:rPr>
        <w:t>.</w:t>
      </w:r>
    </w:p>
    <w:p w:rsidR="00345D80" w:rsidRDefault="00345D80" w:rsidP="00345D80">
      <w:pPr>
        <w:pStyle w:val="1"/>
      </w:pPr>
      <w:r>
        <w:t>Multiple markers using non-invasive methods to determine liver fibrosis are available. No single non-invasive test or model can match the information obtained from actual perfect histology, and there is a need to develop further tests or models that alleviate or that reduce the need for invasive liver biopsy.</w:t>
      </w:r>
    </w:p>
    <w:p w:rsidR="00345D80" w:rsidRDefault="00345D80" w:rsidP="00345D80">
      <w:pPr>
        <w:pStyle w:val="1"/>
      </w:pPr>
      <w:r>
        <w:t>We used simple biological parameters that are related to the development and progression of liver fibrosis, to obtain a model of acceptable accuracy that predicted levels of liver fibrosis in HCV-genotype 4 patients.</w:t>
      </w:r>
    </w:p>
    <w:p w:rsidR="00345D80" w:rsidRPr="00E448B1" w:rsidRDefault="00345D80" w:rsidP="00345D80">
      <w:pPr>
        <w:pStyle w:val="af0"/>
        <w:rPr>
          <w:lang w:val="en-US"/>
        </w:rPr>
      </w:pPr>
    </w:p>
    <w:p w:rsidR="00345D80" w:rsidRPr="00E448B1" w:rsidRDefault="00345D80" w:rsidP="00345D80">
      <w:pPr>
        <w:pStyle w:val="af0"/>
        <w:rPr>
          <w:w w:val="90"/>
          <w:u w:val="single"/>
          <w:lang w:val="en-US"/>
        </w:rPr>
      </w:pPr>
      <w:r w:rsidRPr="00E448B1">
        <w:rPr>
          <w:u w:val="single"/>
          <w:lang w:val="en-US"/>
        </w:rPr>
        <w:t>MATERIALS AND METHODS</w:t>
      </w:r>
    </w:p>
    <w:p w:rsidR="00345D80" w:rsidRDefault="00345D80" w:rsidP="00345D80">
      <w:pPr>
        <w:pStyle w:val="af1"/>
        <w:rPr>
          <w:spacing w:val="-11"/>
        </w:rPr>
      </w:pPr>
      <w:r>
        <w:rPr>
          <w:spacing w:val="-11"/>
        </w:rPr>
        <w:t xml:space="preserve">This cross-sectional observational study included a cohort of 352 recruited patients with chronic hepatitis C infection. Patients were attending liver clinics at Minia University, Egypt, from June 2011 to July 2013. Data from twenty patients were excluded because eight patients were not genotype 4, five patients had a small core of liver biopsy that required correct assessment, four patients were diabetic, and three patients failed to follow-up. Only data of 332 patients were subjected to statistical analyses. Included patients had HCV-genotype 4 infection. HCV infection was defined as positive second generation anti-HCV antibodies and detection of HCV RNA in serum using quantitative reverse transcription polymerase chain reaction during the study period (Abbott </w:t>
      </w:r>
      <w:r>
        <w:rPr>
          <w:spacing w:val="-14"/>
        </w:rPr>
        <w:t>M 2000, United States; -lower limit of detection 12 IU/</w:t>
      </w:r>
      <w:r>
        <w:rPr>
          <w:spacing w:val="-11"/>
        </w:rPr>
        <w:t>mL). HCV genotyping was performed using line probe assay or reverse hybridisation and commercially available kits (Innolipa, Innogenetic, and Genetics, Belgium).</w:t>
      </w:r>
    </w:p>
    <w:p w:rsidR="00345D80" w:rsidRDefault="00345D80" w:rsidP="00345D80">
      <w:pPr>
        <w:pStyle w:val="1"/>
        <w:rPr>
          <w:spacing w:val="-11"/>
        </w:rPr>
      </w:pPr>
      <w:r>
        <w:rPr>
          <w:spacing w:val="-11"/>
        </w:rPr>
        <w:t>Exclusion criteria included co-infection with hepatitis B virus, human immunodeficiency virus or schi</w:t>
      </w:r>
      <w:r>
        <w:rPr>
          <w:spacing w:val="-11"/>
        </w:rPr>
        <w:softHyphen/>
        <w:t>stosomal infections, regular alcohol intake greater than 10 g/d, previous interferon therapy, other aetiologies of liver disease such as immune-mediated liver diseases, clinical evidence of liver decompensation and use of drugs that may alter insulin resistance, such as insulin sensitizers. Obesity determined as body mass index &gt; 30 [body mass index (BMI) &gt; 30] and frank diabetes mellitus diagnosed according to the American Diabetes Association diagnosis criteria</w:t>
      </w:r>
      <w:r>
        <w:rPr>
          <w:spacing w:val="-11"/>
          <w:vertAlign w:val="superscript"/>
        </w:rPr>
        <w:t>[13]</w:t>
      </w:r>
      <w:r>
        <w:rPr>
          <w:spacing w:val="-11"/>
        </w:rPr>
        <w:t xml:space="preserve"> were exclusion </w:t>
      </w:r>
      <w:r>
        <w:rPr>
          <w:spacing w:val="-13"/>
        </w:rPr>
        <w:t xml:space="preserve">criteria from the study because these conditions may confound the results. Associated lung disease was </w:t>
      </w:r>
      <w:r>
        <w:rPr>
          <w:spacing w:val="-11"/>
        </w:rPr>
        <w:t>also excluded because it may confound angiotensin converting enzyme (ACE) levels.</w:t>
      </w:r>
    </w:p>
    <w:p w:rsidR="00345D80" w:rsidRPr="00E448B1" w:rsidRDefault="00345D80" w:rsidP="00345D80">
      <w:pPr>
        <w:pStyle w:val="af2"/>
        <w:rPr>
          <w:lang w:val="en-US"/>
        </w:rPr>
      </w:pPr>
    </w:p>
    <w:p w:rsidR="00345D80" w:rsidRPr="00E448B1" w:rsidRDefault="00345D80" w:rsidP="00345D80">
      <w:pPr>
        <w:pStyle w:val="af2"/>
        <w:rPr>
          <w:lang w:val="en-US"/>
        </w:rPr>
      </w:pPr>
      <w:r w:rsidRPr="00E448B1">
        <w:rPr>
          <w:lang w:val="en-US"/>
        </w:rPr>
        <w:t>Informed consent</w:t>
      </w:r>
    </w:p>
    <w:p w:rsidR="00345D80" w:rsidRDefault="00345D80" w:rsidP="00345D80">
      <w:pPr>
        <w:pStyle w:val="af1"/>
      </w:pPr>
      <w:r>
        <w:t xml:space="preserve">The Institutional Ethics Committee of participating units approved the study protocol, and all patients signed informed consent. The study was conducted in accordance with the ethical guidelines of the 1975 Helsinki </w:t>
      </w:r>
      <w:r>
        <w:lastRenderedPageBreak/>
        <w:t>Declaration.</w:t>
      </w:r>
    </w:p>
    <w:p w:rsidR="00345D80" w:rsidRPr="00E448B1" w:rsidRDefault="00345D80" w:rsidP="00345D80">
      <w:pPr>
        <w:pStyle w:val="af2"/>
        <w:rPr>
          <w:lang w:val="en-US"/>
        </w:rPr>
      </w:pPr>
    </w:p>
    <w:p w:rsidR="00345D80" w:rsidRPr="00E448B1" w:rsidRDefault="00345D80" w:rsidP="00345D80">
      <w:pPr>
        <w:pStyle w:val="af2"/>
        <w:rPr>
          <w:lang w:val="en-US"/>
        </w:rPr>
      </w:pPr>
      <w:r w:rsidRPr="00E448B1">
        <w:rPr>
          <w:lang w:val="en-US"/>
        </w:rPr>
        <w:t>Liver histopathology</w:t>
      </w:r>
    </w:p>
    <w:p w:rsidR="00345D80" w:rsidRDefault="00345D80" w:rsidP="00345D80">
      <w:pPr>
        <w:pStyle w:val="af1"/>
      </w:pPr>
      <w:r>
        <w:t>Sonographic-guided liver biopsy was performed on the second day of blood withdrawal for tests using disposable true cut needles (14 gauge) to obtain a sufficient liver tissue core. Liver biopsy specimens not less than 15 mm in length or the presence of at least 10 complete portal tracts were required for data inclusion.</w:t>
      </w:r>
    </w:p>
    <w:p w:rsidR="00345D80" w:rsidRDefault="00345D80" w:rsidP="00345D80">
      <w:pPr>
        <w:pStyle w:val="1"/>
        <w:rPr>
          <w:spacing w:val="-11"/>
        </w:rPr>
      </w:pPr>
      <w:r>
        <w:rPr>
          <w:spacing w:val="-11"/>
        </w:rPr>
        <w:t>Liver biopsy specimens were fixed and paraffin embedded, stained with the routinary haematoxylin and eosin (H and E) and mason trichrome stain to define fibrosis in combination with Prussian blue for iron staining. A single experienced pathologist who was blinded to clinical and laboratory data examined liver biopsy specimens.</w:t>
      </w:r>
    </w:p>
    <w:p w:rsidR="00345D80" w:rsidRDefault="00345D80" w:rsidP="00345D80">
      <w:pPr>
        <w:pStyle w:val="1"/>
        <w:rPr>
          <w:spacing w:val="-11"/>
        </w:rPr>
      </w:pPr>
      <w:r>
        <w:rPr>
          <w:spacing w:val="-11"/>
        </w:rPr>
        <w:t>Fibrosis staging and necroinflammatory grading were scored according to Metavir scores, which scores fibrosis as F0 (absent), F1 (portal fibrosis), F2 (portal fibrosis with few septa), F3 (septal fibrosis) and F4 (cirrhosis). Necroinflammatory activity was graded as A0 (absent), A1 (mild), A2 (moderate) and A3 (severe)</w:t>
      </w:r>
      <w:r>
        <w:rPr>
          <w:spacing w:val="-11"/>
          <w:vertAlign w:val="superscript"/>
        </w:rPr>
        <w:t>[14]</w:t>
      </w:r>
      <w:r>
        <w:rPr>
          <w:spacing w:val="-11"/>
        </w:rPr>
        <w:t>.</w:t>
      </w:r>
    </w:p>
    <w:p w:rsidR="00345D80" w:rsidRPr="00E448B1" w:rsidRDefault="00345D80" w:rsidP="00345D80">
      <w:pPr>
        <w:pStyle w:val="af2"/>
        <w:rPr>
          <w:lang w:val="en-US"/>
        </w:rPr>
      </w:pPr>
    </w:p>
    <w:p w:rsidR="00345D80" w:rsidRPr="00E448B1" w:rsidRDefault="00345D80" w:rsidP="00345D80">
      <w:pPr>
        <w:pStyle w:val="af2"/>
        <w:rPr>
          <w:lang w:val="en-US"/>
        </w:rPr>
      </w:pPr>
      <w:r w:rsidRPr="00E448B1">
        <w:rPr>
          <w:lang w:val="en-US"/>
        </w:rPr>
        <w:t>Demographic and laboratory assessment</w:t>
      </w:r>
    </w:p>
    <w:p w:rsidR="00345D80" w:rsidRDefault="00345D80" w:rsidP="00345D80">
      <w:pPr>
        <w:pStyle w:val="af1"/>
        <w:rPr>
          <w:spacing w:val="-11"/>
        </w:rPr>
      </w:pPr>
      <w:r>
        <w:rPr>
          <w:spacing w:val="-11"/>
        </w:rPr>
        <w:t>The following data were collected from all patients at baseline: Age, sex, weight (W) in kilograms, height (H) in meteres, waist and hip circumferences in centimeteres, and BMI calculated as W/H2, and Waist/Hip ratio. Venous blood was withdrawn after an 8-h overnight fast and was analysed for fasting plasma glucose.</w:t>
      </w:r>
    </w:p>
    <w:p w:rsidR="00345D80" w:rsidRDefault="00345D80" w:rsidP="00345D80">
      <w:pPr>
        <w:pStyle w:val="1"/>
        <w:rPr>
          <w:spacing w:val="-11"/>
        </w:rPr>
      </w:pPr>
      <w:r>
        <w:rPr>
          <w:spacing w:val="-11"/>
        </w:rPr>
        <w:t>Other sample of venous blood was withdrawn after a 12-h overnight fast and collected in three tubes, one of which contained EDTA-K3 for haemogram assessment. Serum from the other two tubes was distributed as follows: One sample was frozen in a -70</w:t>
      </w:r>
      <w:r>
        <w:rPr>
          <w:rFonts w:ascii="Arial" w:hAnsi="Arial" w:cs="Arial"/>
          <w:spacing w:val="-11"/>
        </w:rPr>
        <w:t> </w:t>
      </w:r>
      <w:r>
        <w:rPr>
          <w:rFonts w:ascii="宋体" w:cs="宋体" w:hint="eastAsia"/>
          <w:spacing w:val="-11"/>
          <w:sz w:val="19"/>
          <w:szCs w:val="19"/>
        </w:rPr>
        <w:t>℃</w:t>
      </w:r>
      <w:r>
        <w:rPr>
          <w:spacing w:val="-11"/>
        </w:rPr>
        <w:t xml:space="preserve"> refrigerator for later assessments of insulin, C-peptide and ACE. Serum from the third tube was analysed on the same day for, cholesterol, triglycerides, and liver biochemical and renal profiles.</w:t>
      </w:r>
    </w:p>
    <w:p w:rsidR="00345D80" w:rsidRPr="00E448B1" w:rsidRDefault="00345D80" w:rsidP="00345D80">
      <w:pPr>
        <w:pStyle w:val="af2"/>
        <w:rPr>
          <w:lang w:val="en-US"/>
        </w:rPr>
      </w:pPr>
    </w:p>
    <w:p w:rsidR="00345D80" w:rsidRPr="00E448B1" w:rsidRDefault="00345D80" w:rsidP="00345D80">
      <w:pPr>
        <w:pStyle w:val="af2"/>
        <w:rPr>
          <w:lang w:val="en-US"/>
        </w:rPr>
      </w:pPr>
      <w:r w:rsidRPr="00E448B1">
        <w:rPr>
          <w:lang w:val="en-US"/>
        </w:rPr>
        <w:t>Laboratory methods</w:t>
      </w:r>
    </w:p>
    <w:p w:rsidR="00345D80" w:rsidRDefault="00345D80" w:rsidP="00345D80">
      <w:pPr>
        <w:pStyle w:val="af1"/>
        <w:rPr>
          <w:spacing w:val="-11"/>
        </w:rPr>
      </w:pPr>
      <w:r>
        <w:rPr>
          <w:spacing w:val="-11"/>
        </w:rPr>
        <w:t>Serum insulin and C-peptide were assayed using a sandwich ELISA technique and kits from Monobind Inc (Lake Forest, CA, United States); Serum ACE was assayed using kits from R and D systems (R and D Systems, Inc. United States and Canada) that employ a quantitative sandwich immunoassay technique; Liver function tests [serum total and conjugated bilirubin, alanine amino transferase (ALT), aspartate amino trans</w:t>
      </w:r>
      <w:r>
        <w:rPr>
          <w:spacing w:val="-11"/>
        </w:rPr>
        <w:softHyphen/>
        <w:t>ferase (AST), alkaline phosphates, total proteins and albumin], kidney function tests (urea and creatinine), and total cholesterol and triglycerides were performed using a Synchron CX</w:t>
      </w:r>
      <w:r>
        <w:rPr>
          <w:spacing w:val="-11"/>
          <w:vertAlign w:val="superscript"/>
        </w:rPr>
        <w:t>-9</w:t>
      </w:r>
      <w:r>
        <w:rPr>
          <w:spacing w:val="-11"/>
        </w:rPr>
        <w:t xml:space="preserve"> auto-analyser using Beckman reagents (Beackman Instruments; Scientific Instruments Division, Fullerton, CA, United States); Complete blood count was performed on using Coulter Counter T 660 (Beckman Coulter, Inc., Harbor Blvd., Fullerton, CA, United States); Prothrombin time was assessed on an STA-Stago Compact CT autoanalyser (Diagnostic Stago, Inc., Parsippany, NJ, United States) using reagents from Dade Behring (Dade Behring Holdings Inc., IL, United States); hepatitis B surface antigen and C-antibody were measured using Roche Cobase 411 (Roche Diagnostic Gmblt); insulin resistance (IR) was determined using the homeostasis model assessment for insulin resistance (HOMA-IR) method and the following equation: HOMA-IR = Fasting insulin (mU/mL) × Fasting plasma glucose (mmol/L)/22.5. Insulin resistance as calculated using this method correlates closely with the gold standard hyperinsulinemic/euglycemic clamp method in diabetic and non-diabetic subjects</w:t>
      </w:r>
      <w:r>
        <w:rPr>
          <w:spacing w:val="-11"/>
          <w:vertAlign w:val="superscript"/>
        </w:rPr>
        <w:t>[15,16]</w:t>
      </w:r>
      <w:r>
        <w:rPr>
          <w:spacing w:val="-11"/>
        </w:rPr>
        <w:t xml:space="preserve">. </w:t>
      </w:r>
    </w:p>
    <w:p w:rsidR="00345D80" w:rsidRPr="00E448B1" w:rsidRDefault="00345D80" w:rsidP="00345D80">
      <w:pPr>
        <w:pStyle w:val="af2"/>
        <w:rPr>
          <w:lang w:val="en-US"/>
        </w:rPr>
      </w:pPr>
    </w:p>
    <w:p w:rsidR="00345D80" w:rsidRPr="00E448B1" w:rsidRDefault="00345D80" w:rsidP="00345D80">
      <w:pPr>
        <w:pStyle w:val="af2"/>
        <w:rPr>
          <w:lang w:val="en-US"/>
        </w:rPr>
      </w:pPr>
      <w:r w:rsidRPr="00E448B1">
        <w:rPr>
          <w:lang w:val="en-US"/>
        </w:rPr>
        <w:t>Statistical analysis</w:t>
      </w:r>
    </w:p>
    <w:p w:rsidR="00345D80" w:rsidRDefault="00345D80" w:rsidP="00345D80">
      <w:pPr>
        <w:pStyle w:val="af1"/>
        <w:rPr>
          <w:spacing w:val="-11"/>
        </w:rPr>
      </w:pPr>
      <w:r>
        <w:rPr>
          <w:spacing w:val="-11"/>
        </w:rPr>
        <w:t xml:space="preserve">Qualitative data are presented as numbers, (%). Normally distributed variables are presented as the means ± SD </w:t>
      </w:r>
      <w:r>
        <w:rPr>
          <w:spacing w:val="-11"/>
        </w:rPr>
        <w:lastRenderedPageBreak/>
        <w:t xml:space="preserve">and non-parametric data are presented as the medians and interquartile range. The distribution of qualitative variables was evaluated using the </w:t>
      </w:r>
      <w:r>
        <w:rPr>
          <w:rFonts w:ascii="Symbol" w:hAnsi="Symbol" w:cs="Symbol"/>
          <w:spacing w:val="-11"/>
        </w:rPr>
        <w:t></w:t>
      </w:r>
      <w:r>
        <w:rPr>
          <w:spacing w:val="-11"/>
          <w:vertAlign w:val="superscript"/>
        </w:rPr>
        <w:t>2</w:t>
      </w:r>
      <w:r>
        <w:rPr>
          <w:spacing w:val="-11"/>
        </w:rPr>
        <w:t xml:space="preserve"> test or Fisher’s exact test, as indicated. The means were compared between groups using the non-parametric independent-samples Kruskal-Wallis test, and the level of significance following pairwise comparisons was adjusted for the number of comparisons made.</w:t>
      </w:r>
    </w:p>
    <w:p w:rsidR="00345D80" w:rsidRDefault="00345D80" w:rsidP="00345D80">
      <w:pPr>
        <w:pStyle w:val="1"/>
        <w:rPr>
          <w:spacing w:val="-11"/>
        </w:rPr>
      </w:pPr>
      <w:r>
        <w:rPr>
          <w:spacing w:val="-11"/>
        </w:rPr>
        <w:t>Fibrosis stages based on Metavir scores were dis</w:t>
      </w:r>
      <w:r>
        <w:rPr>
          <w:spacing w:val="-11"/>
        </w:rPr>
        <w:softHyphen/>
        <w:t xml:space="preserve">tributed into 5 classes: F0, F1, F2, F3 and F4. Patients were further regrouped into 3 stages of mild (F0-F1), </w:t>
      </w:r>
      <w:r>
        <w:rPr>
          <w:spacing w:val="-13"/>
        </w:rPr>
        <w:t xml:space="preserve">moderate (F2) and advanced fibrosis (F3-F4) for statistical analyses. Univariate analyses identified </w:t>
      </w:r>
      <w:r>
        <w:rPr>
          <w:spacing w:val="-11"/>
        </w:rPr>
        <w:t>patient’ age, AST and platelet count added to HOMA-IR as significantly different between the 3 levels of fibrosis in overall and pairwise comparisons. All variable were introduced in a stepwise discriminative functional analysis model for the three levels of fibrosis after normalising HOMA-IR, AST and platelet count into their log</w:t>
      </w:r>
      <w:r>
        <w:rPr>
          <w:spacing w:val="-11"/>
          <w:vertAlign w:val="superscript"/>
        </w:rPr>
        <w:t>10</w:t>
      </w:r>
      <w:r>
        <w:rPr>
          <w:spacing w:val="-11"/>
        </w:rPr>
        <w:t xml:space="preserve"> values. Diag</w:t>
      </w:r>
      <w:r>
        <w:rPr>
          <w:spacing w:val="-11"/>
        </w:rPr>
        <w:softHyphen/>
        <w:t>nostic accuracy is expressed as area under the curve of receiving operating characteristic (AUROC) (asym</w:t>
      </w:r>
      <w:r>
        <w:rPr>
          <w:spacing w:val="-11"/>
        </w:rPr>
        <w:softHyphen/>
        <w:t xml:space="preserve">ptomatic 95%CI), sensitivity, specificity, positive and negative predictive values, and positive and negative likelihood ratios. All tests were bilateral, and a </w:t>
      </w:r>
      <w:r>
        <w:rPr>
          <w:i/>
          <w:iCs/>
          <w:spacing w:val="-11"/>
        </w:rPr>
        <w:t xml:space="preserve">P </w:t>
      </w:r>
      <w:r>
        <w:rPr>
          <w:spacing w:val="-11"/>
        </w:rPr>
        <w:t xml:space="preserve">value of 0.05 was the limit of statistical significance. Statistical analyses were performed using the IBM SPSS statistical software package for MAC version 22.   </w:t>
      </w:r>
    </w:p>
    <w:p w:rsidR="00345D80" w:rsidRPr="00E448B1" w:rsidRDefault="00345D80" w:rsidP="00345D80">
      <w:pPr>
        <w:pStyle w:val="af0"/>
        <w:rPr>
          <w:lang w:val="en-US"/>
        </w:rPr>
      </w:pPr>
    </w:p>
    <w:p w:rsidR="00345D80" w:rsidRPr="00E448B1" w:rsidRDefault="00345D80" w:rsidP="00345D80">
      <w:pPr>
        <w:pStyle w:val="af0"/>
        <w:rPr>
          <w:u w:val="single"/>
          <w:lang w:val="en-US"/>
        </w:rPr>
      </w:pPr>
      <w:r w:rsidRPr="00E448B1">
        <w:rPr>
          <w:u w:val="single"/>
          <w:lang w:val="en-US"/>
        </w:rPr>
        <w:t>RESULTS</w:t>
      </w:r>
    </w:p>
    <w:p w:rsidR="00345D80" w:rsidRDefault="00345D80" w:rsidP="00345D80">
      <w:pPr>
        <w:pStyle w:val="af1"/>
        <w:rPr>
          <w:spacing w:val="-11"/>
        </w:rPr>
      </w:pPr>
      <w:r>
        <w:rPr>
          <w:spacing w:val="-11"/>
        </w:rPr>
        <w:t>A total of 332 HCV-genotype 4 Egyptian patients were included to statistical analysis. Patients exhibited a mean age of 42 ± 10.7 years and male to female ratio of 180/146 (65/44%). Gender showed no statistically significant difference between levels of liver fibrosis. Mean BMI and Waist/Hip ratio were 26.7 ± 4.4 and 0.89 ± 0.08, respectively, which indicates that none of our patients was obese. None of the study patients consumed alcohol or had history of drug abuse. A total of 69.6% were non-smokers, 19% were moderate smokers and 11.4% were heavy smokers. The Metavir scoring system identified F0 = 43, F1= 136, F2 = 64, F3 = 45 and F4 = 44 patients.</w:t>
      </w:r>
    </w:p>
    <w:p w:rsidR="00345D80" w:rsidRDefault="00345D80" w:rsidP="00345D80">
      <w:pPr>
        <w:pStyle w:val="1"/>
        <w:rPr>
          <w:spacing w:val="-11"/>
        </w:rPr>
      </w:pPr>
      <w:r>
        <w:rPr>
          <w:spacing w:val="-11"/>
        </w:rPr>
        <w:t>Table 1 presents quantitative variables such as the mean, SD, median and quartile range in the five stages of liver fibrosis. Table 2 presents pairwise comparisons of significant variables between the three levels of fibrosis. Table 3 presents the overall significant variables using independent - samples Kruskal-Wallis tests which indicated that age, ACE, blood glucose, ALT, AST, platelet count, fasting serum insulin, serum creatinine, total and direct bilirubin, and serum albumin were significant predictors of liver fibrosis stage. Viral load showed no statistically significant difference among stages and levels of liver fibrosis.</w:t>
      </w:r>
    </w:p>
    <w:p w:rsidR="00345D80" w:rsidRDefault="00345D80" w:rsidP="00345D80">
      <w:pPr>
        <w:pStyle w:val="1"/>
        <w:rPr>
          <w:spacing w:val="-11"/>
        </w:rPr>
      </w:pPr>
      <w:r>
        <w:rPr>
          <w:spacing w:val="-11"/>
        </w:rPr>
        <w:t>Statistically significant variables that discriminated between the 3 levels of fibrosis on univariate analysis, namely AST, platelet count and age and HOMA-IR were introduced to a stepwise multivariate discriminant analysis. This analysis requires a normal distribution of the dependent variables and equality of variance. There</w:t>
      </w:r>
      <w:r>
        <w:rPr>
          <w:spacing w:val="-11"/>
        </w:rPr>
        <w:softHyphen/>
        <w:t>fore; HOMA-IR, AST and platelet count were transformed into log</w:t>
      </w:r>
      <w:r>
        <w:rPr>
          <w:spacing w:val="-11"/>
          <w:vertAlign w:val="superscript"/>
        </w:rPr>
        <w:t>10</w:t>
      </w:r>
      <w:r>
        <w:rPr>
          <w:spacing w:val="-11"/>
        </w:rPr>
        <w:t xml:space="preserve"> values. </w:t>
      </w:r>
    </w:p>
    <w:p w:rsidR="00345D80" w:rsidRDefault="00345D80" w:rsidP="00345D80">
      <w:pPr>
        <w:pStyle w:val="1"/>
      </w:pPr>
      <w:r>
        <w:t xml:space="preserve">Table 4 indicates that all variables were statistically significant before being introduced in the model. These variables were introduced into a model that significantly predicted liver fibrosis. Stepwise analysis derived the following equation. </w:t>
      </w:r>
    </w:p>
    <w:p w:rsidR="00345D80" w:rsidRDefault="00345D80" w:rsidP="00345D80">
      <w:pPr>
        <w:pStyle w:val="1"/>
      </w:pPr>
      <w:r>
        <w:t>Outcome = 0.514 (age) + 0.373 (Log HOMA-IR) + 0.49 (Log AST) + (-0.532) Log platelet count.</w:t>
      </w:r>
    </w:p>
    <w:p w:rsidR="00345D80" w:rsidRDefault="00345D80" w:rsidP="00345D80">
      <w:pPr>
        <w:pStyle w:val="1"/>
        <w:rPr>
          <w:spacing w:val="-11"/>
        </w:rPr>
      </w:pPr>
      <w:r>
        <w:rPr>
          <w:spacing w:val="-11"/>
        </w:rPr>
        <w:t xml:space="preserve">The interpretation of outcome is dependent on the functions of group centroids as: (1) mild fibrosis if outcome is </w:t>
      </w:r>
      <w:r>
        <w:rPr>
          <w:rFonts w:ascii="宋体" w:cs="宋体" w:hint="eastAsia"/>
          <w:spacing w:val="-11"/>
          <w:sz w:val="19"/>
          <w:szCs w:val="19"/>
        </w:rPr>
        <w:t>≤</w:t>
      </w:r>
      <w:r>
        <w:rPr>
          <w:spacing w:val="-11"/>
        </w:rPr>
        <w:t xml:space="preserve"> -0.31 or more negative; (2) moderate fibrosis if outcome is &gt; -0.31 (more positive) and up to +0.86; and (3) advance fibrosis if outcome is &gt; 0.86.</w:t>
      </w:r>
    </w:p>
    <w:p w:rsidR="00345D80" w:rsidRDefault="00345D80" w:rsidP="00345D80">
      <w:pPr>
        <w:pStyle w:val="1"/>
        <w:rPr>
          <w:spacing w:val="-13"/>
        </w:rPr>
      </w:pPr>
      <w:r>
        <w:rPr>
          <w:spacing w:val="-13"/>
        </w:rPr>
        <w:t xml:space="preserve">Table 5 presents accuracy indices of the model in the discrimination of fibrosis stages. In mild fibrosis and at a cut-off </w:t>
      </w:r>
      <w:r>
        <w:rPr>
          <w:spacing w:val="-13"/>
        </w:rPr>
        <w:lastRenderedPageBreak/>
        <w:t>value -0.31 or more negative, AUC was 0.88 with sensitivity, specificity, positive predictive value, negative predictive value, positive likelihood ratios and negative likelihood ratios were 67.2%, 86.3%, 83.6%, 69.5%, 4.9 and 0.38, respectively, Figure 1. In advanced fibrosis and at a cut-off value &gt; 0.86, AUC was 0.91 with sensitivity, specificity, positive predictive value, negative predictive value, positive likelihood ratios and negative likelihood ratios were 73%, 90.9%, 74.4%, 90.1%, 8.0 and 0.3, respectively (Figure 2). While, in moderate fibrosis and at a cut-off value &gt; -0.31 up to +0.86, AUC was 0.64 with sensitivity, specificity, positive predictive value, negative predictive value, positive likelihood ratios and negative likelihood ratios were 53.1%, 74.1%, 33%, 86.8%, 2.0 and 0.63, respectively, Figure 3.</w:t>
      </w:r>
    </w:p>
    <w:p w:rsidR="00345D80" w:rsidRDefault="00345D80" w:rsidP="00345D80">
      <w:pPr>
        <w:pStyle w:val="1"/>
      </w:pPr>
      <w:r>
        <w:t>The obtained model was validated by applying the model to the selected studied groups. Table 6 shows the results of this validation which indicated that two-thirds of the cases were correctly classified by the model (66.1%). This sensitivity increased to 67.2% and 73% in mild and advanced fibrosis, respectively, but dropped to 53.1% in moderate fibrosis.</w:t>
      </w:r>
    </w:p>
    <w:p w:rsidR="00345D80" w:rsidRPr="00E448B1" w:rsidRDefault="00345D80" w:rsidP="00345D80">
      <w:pPr>
        <w:pStyle w:val="af0"/>
        <w:rPr>
          <w:lang w:val="en-US"/>
        </w:rPr>
      </w:pPr>
    </w:p>
    <w:p w:rsidR="00345D80" w:rsidRPr="00E448B1" w:rsidRDefault="00345D80" w:rsidP="00345D80">
      <w:pPr>
        <w:pStyle w:val="af0"/>
        <w:rPr>
          <w:u w:val="single"/>
          <w:lang w:val="en-US"/>
        </w:rPr>
      </w:pPr>
      <w:r w:rsidRPr="00E448B1">
        <w:rPr>
          <w:u w:val="single"/>
          <w:lang w:val="en-US"/>
        </w:rPr>
        <w:t>DISCUSSION</w:t>
      </w:r>
    </w:p>
    <w:p w:rsidR="00345D80" w:rsidRDefault="00345D80" w:rsidP="00345D80">
      <w:pPr>
        <w:pStyle w:val="af1"/>
        <w:rPr>
          <w:spacing w:val="-11"/>
        </w:rPr>
      </w:pPr>
      <w:r>
        <w:rPr>
          <w:spacing w:val="-11"/>
        </w:rPr>
        <w:t>The prediction of liver fibrosis is a major issue for management and follow-up of patients with chronic hepatitis C. Liver biopsy provides the best for evaluation of liver fibrosis stages</w:t>
      </w:r>
      <w:r>
        <w:rPr>
          <w:spacing w:val="-11"/>
          <w:vertAlign w:val="superscript"/>
        </w:rPr>
        <w:t>[17]</w:t>
      </w:r>
      <w:r>
        <w:rPr>
          <w:spacing w:val="-11"/>
        </w:rPr>
        <w:t>, but this technique has its drawbacks. Liver biopsy is not the perfect tool for follow up assessments of fibrosis in patients with chronic hepatitis C with or without virological cure</w:t>
      </w:r>
      <w:r>
        <w:rPr>
          <w:spacing w:val="-11"/>
          <w:vertAlign w:val="superscript"/>
        </w:rPr>
        <w:t>[18]</w:t>
      </w:r>
      <w:r>
        <w:rPr>
          <w:spacing w:val="-11"/>
        </w:rPr>
        <w:t xml:space="preserve">. </w:t>
      </w:r>
    </w:p>
    <w:p w:rsidR="00345D80" w:rsidRDefault="00345D80" w:rsidP="00345D80">
      <w:pPr>
        <w:pStyle w:val="1"/>
        <w:rPr>
          <w:spacing w:val="-11"/>
        </w:rPr>
      </w:pPr>
      <w:r>
        <w:rPr>
          <w:spacing w:val="-11"/>
        </w:rPr>
        <w:t>The limitations of liver biopsy disclosed the need for the development of non-invasive tests to assess liver fibrosis. Currently available methods to predict liver fibrosis rely on two different but complementary approaches: (1) a biological approach based on mea</w:t>
      </w:r>
      <w:r>
        <w:rPr>
          <w:spacing w:val="-11"/>
        </w:rPr>
        <w:softHyphen/>
        <w:t>surements of serum levels of biological markers that are independent predictors of liver fibrosis</w:t>
      </w:r>
      <w:r>
        <w:rPr>
          <w:spacing w:val="-11"/>
          <w:vertAlign w:val="superscript"/>
        </w:rPr>
        <w:t>[19]</w:t>
      </w:r>
      <w:r>
        <w:rPr>
          <w:spacing w:val="-11"/>
        </w:rPr>
        <w:t>; and (2) a “physical” approach based on the measurement of liver stiffness using transient elastography or other recent radiological tools</w:t>
      </w:r>
      <w:r>
        <w:rPr>
          <w:spacing w:val="-11"/>
          <w:vertAlign w:val="superscript"/>
        </w:rPr>
        <w:t>[20]</w:t>
      </w:r>
      <w:r>
        <w:rPr>
          <w:spacing w:val="-11"/>
        </w:rPr>
        <w:t xml:space="preserve">. </w:t>
      </w:r>
    </w:p>
    <w:p w:rsidR="00345D80" w:rsidRDefault="00345D80" w:rsidP="00345D80">
      <w:pPr>
        <w:pStyle w:val="1"/>
        <w:rPr>
          <w:spacing w:val="-11"/>
        </w:rPr>
      </w:pPr>
      <w:r>
        <w:rPr>
          <w:spacing w:val="-11"/>
        </w:rPr>
        <w:t>Many biomarkers have been developed and validated, but none of these markers provide the perfect test. This result may be due to the relatively reduced accuracy of otherwise the sophisticated techniques and the high costs of these tests</w:t>
      </w:r>
      <w:r>
        <w:rPr>
          <w:spacing w:val="-11"/>
          <w:vertAlign w:val="superscript"/>
        </w:rPr>
        <w:t>[21]</w:t>
      </w:r>
      <w:r>
        <w:rPr>
          <w:spacing w:val="-11"/>
        </w:rPr>
        <w:t>. We developed a non-invasive biomarker using variables that are biologically relevant to the development and progression of liver fibrosis, because of limitations of the available methods of non-invasive markers for assessment of liver fibrosis</w:t>
      </w:r>
      <w:r>
        <w:rPr>
          <w:spacing w:val="-11"/>
          <w:vertAlign w:val="superscript"/>
        </w:rPr>
        <w:t>[22]</w:t>
      </w:r>
      <w:r>
        <w:rPr>
          <w:spacing w:val="-11"/>
        </w:rPr>
        <w:t>.</w:t>
      </w:r>
    </w:p>
    <w:p w:rsidR="00345D80" w:rsidRDefault="00345D80" w:rsidP="00345D80">
      <w:pPr>
        <w:pStyle w:val="1"/>
      </w:pPr>
      <w:r>
        <w:t>Our study demonstrated on univariate analysis that age significantly (</w:t>
      </w:r>
      <w:r>
        <w:rPr>
          <w:i/>
          <w:iCs/>
        </w:rPr>
        <w:t>P</w:t>
      </w:r>
      <w:r>
        <w:t xml:space="preserve"> &lt; 0.001) correlated with the stage of liver fibrosis. Age is used with some of the current biomarkers as an independent determinant of liver fibrosis, such as Forn’s Index</w:t>
      </w:r>
      <w:r>
        <w:rPr>
          <w:vertAlign w:val="superscript"/>
        </w:rPr>
        <w:t>[23]</w:t>
      </w:r>
      <w:r>
        <w:t xml:space="preserve"> and Fib 4</w:t>
      </w:r>
      <w:r>
        <w:rPr>
          <w:vertAlign w:val="superscript"/>
        </w:rPr>
        <w:t>[24]</w:t>
      </w:r>
      <w:r>
        <w:t xml:space="preserve">. </w:t>
      </w:r>
    </w:p>
    <w:p w:rsidR="00345D80" w:rsidRDefault="00345D80" w:rsidP="00345D80">
      <w:pPr>
        <w:pStyle w:val="1"/>
      </w:pPr>
      <w:r>
        <w:t>The results of univariate and multivariate analyses demonstrated that AST was a highly significant (</w:t>
      </w:r>
      <w:r>
        <w:rPr>
          <w:i/>
          <w:iCs/>
        </w:rPr>
        <w:t>P</w:t>
      </w:r>
      <w:r>
        <w:t xml:space="preserve"> &lt; 0.0001) independent predictor of liver fibrosis stage. AST is used in many available biomarker tests as an independent predictor for liver fibrosis, such as Fib-4</w:t>
      </w:r>
      <w:r>
        <w:rPr>
          <w:vertAlign w:val="superscript"/>
        </w:rPr>
        <w:t>[24]</w:t>
      </w:r>
      <w:r>
        <w:t>, APRI test</w:t>
      </w:r>
      <w:r>
        <w:rPr>
          <w:vertAlign w:val="superscript"/>
        </w:rPr>
        <w:t>[25]</w:t>
      </w:r>
      <w:r>
        <w:t>, Fibro index</w:t>
      </w:r>
      <w:r>
        <w:rPr>
          <w:vertAlign w:val="superscript"/>
        </w:rPr>
        <w:t>[26]</w:t>
      </w:r>
      <w:r>
        <w:t>, and Fibrometere</w:t>
      </w:r>
      <w:r>
        <w:rPr>
          <w:vertAlign w:val="superscript"/>
        </w:rPr>
        <w:t>[27]</w:t>
      </w:r>
      <w:r>
        <w:t>.</w:t>
      </w:r>
    </w:p>
    <w:p w:rsidR="00345D80" w:rsidRDefault="00345D80" w:rsidP="00345D80">
      <w:pPr>
        <w:pStyle w:val="1"/>
        <w:rPr>
          <w:spacing w:val="-11"/>
        </w:rPr>
      </w:pPr>
      <w:r>
        <w:rPr>
          <w:spacing w:val="-11"/>
        </w:rPr>
        <w:t>Our results indicated that platelets were significantly negatively correlated with the advancement of liver fibrosis stage (</w:t>
      </w:r>
      <w:r>
        <w:rPr>
          <w:i/>
          <w:iCs/>
          <w:spacing w:val="-11"/>
        </w:rPr>
        <w:t>P</w:t>
      </w:r>
      <w:r>
        <w:rPr>
          <w:spacing w:val="-11"/>
        </w:rPr>
        <w:t xml:space="preserve"> &lt; 0.0001). Platelet count was reported previously to progressively decrease with the progression of liver fibrosis</w:t>
      </w:r>
      <w:r>
        <w:rPr>
          <w:spacing w:val="-11"/>
          <w:vertAlign w:val="superscript"/>
        </w:rPr>
        <w:t>[28]</w:t>
      </w:r>
      <w:r>
        <w:rPr>
          <w:spacing w:val="-11"/>
        </w:rPr>
        <w:t>, which makes it to be included in some currently available biomarker evaluations of liver fibrosis stage including Forn’s index</w:t>
      </w:r>
      <w:r>
        <w:rPr>
          <w:spacing w:val="-11"/>
          <w:vertAlign w:val="superscript"/>
        </w:rPr>
        <w:t>[23]</w:t>
      </w:r>
      <w:r>
        <w:rPr>
          <w:spacing w:val="-11"/>
        </w:rPr>
        <w:t>, and Fib-4</w:t>
      </w:r>
      <w:r>
        <w:rPr>
          <w:spacing w:val="-11"/>
          <w:vertAlign w:val="superscript"/>
        </w:rPr>
        <w:t>[24]</w:t>
      </w:r>
      <w:r>
        <w:rPr>
          <w:spacing w:val="-11"/>
        </w:rPr>
        <w:t>, APRI test</w:t>
      </w:r>
      <w:r>
        <w:rPr>
          <w:spacing w:val="-11"/>
          <w:vertAlign w:val="superscript"/>
        </w:rPr>
        <w:t>[25]</w:t>
      </w:r>
      <w:r>
        <w:rPr>
          <w:spacing w:val="-11"/>
        </w:rPr>
        <w:t>, and Fibro index</w:t>
      </w:r>
      <w:r>
        <w:rPr>
          <w:spacing w:val="-11"/>
          <w:vertAlign w:val="superscript"/>
        </w:rPr>
        <w:t>[26]</w:t>
      </w:r>
      <w:r>
        <w:rPr>
          <w:spacing w:val="-11"/>
        </w:rPr>
        <w:t>.</w:t>
      </w:r>
    </w:p>
    <w:p w:rsidR="00345D80" w:rsidRDefault="00345D80" w:rsidP="00345D80">
      <w:pPr>
        <w:pStyle w:val="1"/>
        <w:rPr>
          <w:spacing w:val="-11"/>
        </w:rPr>
      </w:pPr>
      <w:r>
        <w:rPr>
          <w:spacing w:val="-11"/>
        </w:rPr>
        <w:t>Our univariate analysis results demonstrated a signi</w:t>
      </w:r>
      <w:r>
        <w:rPr>
          <w:spacing w:val="-11"/>
        </w:rPr>
        <w:softHyphen/>
        <w:t>ficantly increasing level of HOMA-IR with the pro</w:t>
      </w:r>
      <w:r>
        <w:rPr>
          <w:spacing w:val="-11"/>
        </w:rPr>
        <w:softHyphen/>
        <w:t>gression of liver fibrosis stage (</w:t>
      </w:r>
      <w:r>
        <w:rPr>
          <w:i/>
          <w:iCs/>
          <w:spacing w:val="-11"/>
        </w:rPr>
        <w:t>P</w:t>
      </w:r>
      <w:r>
        <w:rPr>
          <w:spacing w:val="-11"/>
        </w:rPr>
        <w:t xml:space="preserve"> &lt; 0.0001). Insulin resistance is a powerful promoter of fibrogenesis </w:t>
      </w:r>
      <w:r>
        <w:rPr>
          <w:i/>
          <w:iCs/>
          <w:spacing w:val="-11"/>
        </w:rPr>
        <w:t>via</w:t>
      </w:r>
      <w:r>
        <w:rPr>
          <w:spacing w:val="-11"/>
        </w:rPr>
        <w:t xml:space="preserve"> direct HSC stimulation, </w:t>
      </w:r>
      <w:r>
        <w:rPr>
          <w:spacing w:val="-11"/>
        </w:rPr>
        <w:lastRenderedPageBreak/>
        <w:t>TNF-</w:t>
      </w:r>
      <w:r>
        <w:rPr>
          <w:rFonts w:ascii="Symbol" w:hAnsi="Symbol" w:cs="Symbol"/>
          <w:spacing w:val="-11"/>
        </w:rPr>
        <w:t></w:t>
      </w:r>
      <w:r>
        <w:rPr>
          <w:spacing w:val="-11"/>
        </w:rPr>
        <w:t>, connective growth factor production and ductular reaction induction</w:t>
      </w:r>
      <w:r>
        <w:rPr>
          <w:spacing w:val="-11"/>
          <w:vertAlign w:val="superscript"/>
        </w:rPr>
        <w:t>[29]</w:t>
      </w:r>
      <w:r>
        <w:rPr>
          <w:spacing w:val="-11"/>
        </w:rPr>
        <w:t>. However, only the Sud index</w:t>
      </w:r>
      <w:r>
        <w:rPr>
          <w:b/>
          <w:bCs/>
          <w:spacing w:val="-11"/>
        </w:rPr>
        <w:t xml:space="preserve"> </w:t>
      </w:r>
      <w:r>
        <w:rPr>
          <w:spacing w:val="-11"/>
        </w:rPr>
        <w:t>included insulin resistance as a variable to evaluate liver fibrosis</w:t>
      </w:r>
      <w:r>
        <w:rPr>
          <w:spacing w:val="-11"/>
          <w:vertAlign w:val="superscript"/>
        </w:rPr>
        <w:t>[30]</w:t>
      </w:r>
      <w:r>
        <w:rPr>
          <w:spacing w:val="-11"/>
        </w:rPr>
        <w:t>.</w:t>
      </w:r>
    </w:p>
    <w:p w:rsidR="00345D80" w:rsidRDefault="00345D80" w:rsidP="00345D80">
      <w:pPr>
        <w:pStyle w:val="1"/>
        <w:rPr>
          <w:spacing w:val="-11"/>
        </w:rPr>
      </w:pPr>
      <w:r>
        <w:rPr>
          <w:spacing w:val="-11"/>
        </w:rPr>
        <w:t>Our study is the first report of the correlation of the progressive rise of serum ACE levels with the advance</w:t>
      </w:r>
      <w:r>
        <w:rPr>
          <w:spacing w:val="-11"/>
        </w:rPr>
        <w:softHyphen/>
        <w:t>ment of liver fibrosis stage (</w:t>
      </w:r>
      <w:r>
        <w:rPr>
          <w:i/>
          <w:iCs/>
          <w:spacing w:val="-11"/>
        </w:rPr>
        <w:t xml:space="preserve">P </w:t>
      </w:r>
      <w:r>
        <w:rPr>
          <w:spacing w:val="-11"/>
        </w:rPr>
        <w:t>&lt; 0.0001). Multivariate analysis of ACE serum level significantly predicted the stage of liver fibrosis (</w:t>
      </w:r>
      <w:r>
        <w:rPr>
          <w:i/>
          <w:iCs/>
          <w:spacing w:val="-11"/>
        </w:rPr>
        <w:t xml:space="preserve">P </w:t>
      </w:r>
      <w:r>
        <w:rPr>
          <w:spacing w:val="-11"/>
        </w:rPr>
        <w:t>&lt; 0.001).</w:t>
      </w:r>
    </w:p>
    <w:p w:rsidR="00345D80" w:rsidRDefault="00345D80" w:rsidP="00345D80">
      <w:pPr>
        <w:pStyle w:val="1"/>
        <w:rPr>
          <w:spacing w:val="-11"/>
        </w:rPr>
      </w:pPr>
      <w:r>
        <w:rPr>
          <w:spacing w:val="-11"/>
        </w:rPr>
        <w:t xml:space="preserve">ACE is the key rate-limiting enzyme for activation of the RAS, which results in the production of angiotensin </w:t>
      </w:r>
      <w:r>
        <w:rPr>
          <w:rFonts w:ascii="KozMinPro-Regular" w:eastAsia="KozMinPro-Regular" w:cs="KozMinPro-Regular" w:hint="eastAsia"/>
          <w:spacing w:val="-11"/>
          <w:sz w:val="19"/>
          <w:szCs w:val="19"/>
        </w:rPr>
        <w:t>Ⅱ</w:t>
      </w:r>
      <w:r>
        <w:rPr>
          <w:spacing w:val="-11"/>
        </w:rPr>
        <w:t xml:space="preserve">. Angiotensin </w:t>
      </w:r>
      <w:r>
        <w:rPr>
          <w:rFonts w:ascii="KozMinPro-Regular" w:eastAsia="KozMinPro-Regular" w:cs="KozMinPro-Regular" w:hint="eastAsia"/>
          <w:spacing w:val="-11"/>
          <w:sz w:val="19"/>
          <w:szCs w:val="19"/>
        </w:rPr>
        <w:t>Ⅱ</w:t>
      </w:r>
      <w:r>
        <w:rPr>
          <w:spacing w:val="-11"/>
        </w:rPr>
        <w:t xml:space="preserve"> induces the contraction and proliferation of the human HSCs that are responsible for hepatic fibrogenesis</w:t>
      </w:r>
      <w:r>
        <w:rPr>
          <w:spacing w:val="-11"/>
          <w:vertAlign w:val="superscript"/>
        </w:rPr>
        <w:t>[31]</w:t>
      </w:r>
      <w:r>
        <w:rPr>
          <w:spacing w:val="-11"/>
        </w:rPr>
        <w:t>. However, it was excluded from our discriminating analysis to avoid the possible confounding effect of some disease states that may alter ACE serum level.</w:t>
      </w:r>
    </w:p>
    <w:p w:rsidR="00345D80" w:rsidRDefault="00345D80" w:rsidP="00345D80">
      <w:pPr>
        <w:pStyle w:val="1"/>
        <w:rPr>
          <w:spacing w:val="-13"/>
        </w:rPr>
      </w:pPr>
      <w:r>
        <w:rPr>
          <w:spacing w:val="-13"/>
        </w:rPr>
        <w:t>Stepwise multiple discriminative functional analysis indicated that platelets, age, AST, and HOMA-IR variables, in this order of frequency, were independent predictors of liver fibrosis with highly significant values (</w:t>
      </w:r>
      <w:r>
        <w:rPr>
          <w:i/>
          <w:iCs/>
          <w:spacing w:val="-13"/>
        </w:rPr>
        <w:t xml:space="preserve">P </w:t>
      </w:r>
      <w:r>
        <w:rPr>
          <w:spacing w:val="-13"/>
        </w:rPr>
        <w:t>&lt; 0.0001).</w:t>
      </w:r>
    </w:p>
    <w:p w:rsidR="00345D80" w:rsidRDefault="00345D80" w:rsidP="00345D80">
      <w:pPr>
        <w:pStyle w:val="1"/>
        <w:rPr>
          <w:spacing w:val="-11"/>
        </w:rPr>
      </w:pPr>
      <w:r>
        <w:rPr>
          <w:spacing w:val="-11"/>
        </w:rPr>
        <w:t xml:space="preserve">Log AST, log platelet count, log HOMA-IR and age were introduced in a stepwise discriminant analysis model. Our discriminating index for the prediction of liver fibrosis was processed into three levels based on 2014 EASL recommendations for the management of HCV patients to discriminate fibrosis in chronic hepatitis C: 1-No to Mild Fibrosis = F0-F1. 2-Moderate fibrosis = F2 3-Advanced fibrosis = F3-F4 according to Metavir staging score. </w:t>
      </w:r>
    </w:p>
    <w:p w:rsidR="00345D80" w:rsidRDefault="00345D80" w:rsidP="00345D80">
      <w:pPr>
        <w:pStyle w:val="1"/>
      </w:pPr>
      <w:r>
        <w:t>All variables were statistically significant before introduction into the model. The following discriminative outcome was obtained using multiple stepwise analysis: Outcome = 0.514 (age) + 0.373 (Log HOMA-IR) + 0.49 (Log AST) + (-0.532) Log platelet count.</w:t>
      </w:r>
    </w:p>
    <w:p w:rsidR="00345D80" w:rsidRDefault="00345D80" w:rsidP="00345D80">
      <w:pPr>
        <w:pStyle w:val="1"/>
        <w:rPr>
          <w:spacing w:val="-11"/>
        </w:rPr>
      </w:pPr>
      <w:r>
        <w:rPr>
          <w:spacing w:val="-11"/>
        </w:rPr>
        <w:t>Where the level of fibrosis was predicted using the following cut-off values: (1) mild fibrosis = -0.31 or more negative; (2) moderate fibrosis if outcome &gt; -0.31 (more positive) and up to +0.86; and (3) advance fibrosis if outcome &gt; 0.86.</w:t>
      </w:r>
    </w:p>
    <w:p w:rsidR="00345D80" w:rsidRDefault="00345D80" w:rsidP="00345D80">
      <w:pPr>
        <w:pStyle w:val="1"/>
      </w:pPr>
      <w:r>
        <w:t xml:space="preserve">Our index with a cut-off value </w:t>
      </w:r>
      <w:r>
        <w:rPr>
          <w:rFonts w:ascii="宋体" w:cs="宋体" w:hint="eastAsia"/>
          <w:spacing w:val="0"/>
          <w:sz w:val="19"/>
          <w:szCs w:val="19"/>
        </w:rPr>
        <w:t>≥</w:t>
      </w:r>
      <w:r>
        <w:t xml:space="preserve"> 0.86 exhibited an AUROC of 0.91 for predicting advanced stages of liver fibrosis (F3-F4) with a sensitivity, specificity, positive predictive value, negative predictive value and positive likelihood ratio of 73%, 90.9%, 74.7%, 90.0% and 8.0, respectively. The diagnostic accuracy of our index for the predicting of advanced liver fibrosis (F3-F4) was more effective than other scores such as the Fibrotest, APRI, Fibrometere, Hepascore. Degos </w:t>
      </w:r>
      <w:r>
        <w:rPr>
          <w:i/>
          <w:iCs/>
        </w:rPr>
        <w:t>et al</w:t>
      </w:r>
      <w:r>
        <w:rPr>
          <w:vertAlign w:val="superscript"/>
        </w:rPr>
        <w:t>[32]</w:t>
      </w:r>
      <w:r>
        <w:t xml:space="preserve"> performed</w:t>
      </w:r>
      <w:r>
        <w:rPr>
          <w:b/>
          <w:bCs/>
        </w:rPr>
        <w:t xml:space="preserve"> </w:t>
      </w:r>
      <w:r>
        <w:t>a large study (</w:t>
      </w:r>
      <w:r>
        <w:rPr>
          <w:i/>
          <w:iCs/>
        </w:rPr>
        <w:t>n</w:t>
      </w:r>
      <w:r>
        <w:t xml:space="preserve"> = 1307) that compared transient elastography with patented and non-patented biomarkers (</w:t>
      </w:r>
      <w:r>
        <w:rPr>
          <w:i/>
          <w:iCs/>
        </w:rPr>
        <w:t>e.g.</w:t>
      </w:r>
      <w:r>
        <w:t>, Fibrotest, Fibrometere, Hepascore and APRI) compared to liver biopsy. They reported an AUROCs of 0.76 for transient elastography, which did not differ from the AUROCs of the serum markers (0.72-0.78) for the diagnosing of significant fibrosis (F2-F3). However, they reported an AUROC of 0.90 for transient elastography compared to 0.82, 0.86, 0.77 and 0.86 for the Fibrotest, Fibrometere, APRI and Hepascore respectively, for the diagnosing of F4.</w:t>
      </w:r>
    </w:p>
    <w:p w:rsidR="00345D80" w:rsidRDefault="00345D80" w:rsidP="00345D80">
      <w:pPr>
        <w:pStyle w:val="1"/>
        <w:rPr>
          <w:spacing w:val="-11"/>
        </w:rPr>
      </w:pPr>
      <w:r>
        <w:rPr>
          <w:spacing w:val="-11"/>
        </w:rPr>
        <w:t xml:space="preserve">Our discriminating index using a cut-off value &lt; 0.31 exhibited an AUROC of 0.88 in the diagnosing of no or mild fibrosis (F0-F2) with a sensitivity, specificity, positive predictive value, negative predictive value, positive likelihood ratio of 67.2%, 86.3%, 83.6%, 69.5% and 4.9, respectively, which indicates high diagnostic performance in the diagnosing of this group of patients. Most currently available scores did not diagnose this group of patients. Poynard </w:t>
      </w:r>
      <w:r>
        <w:rPr>
          <w:i/>
          <w:iCs/>
          <w:spacing w:val="-11"/>
        </w:rPr>
        <w:t>et al</w:t>
      </w:r>
      <w:r>
        <w:rPr>
          <w:spacing w:val="-11"/>
          <w:vertAlign w:val="superscript"/>
        </w:rPr>
        <w:t>[33]</w:t>
      </w:r>
      <w:r>
        <w:rPr>
          <w:spacing w:val="-11"/>
        </w:rPr>
        <w:t xml:space="preserve"> performed a meta-analysis of 30 studies that assessed the diagnostic value of the Fibrotest compared to liver biopsy and found that the AUROC for Fibrotest in the diagnosing of adjacent stages of fibrosis (F1 </w:t>
      </w:r>
      <w:r>
        <w:rPr>
          <w:i/>
          <w:iCs/>
          <w:spacing w:val="-11"/>
        </w:rPr>
        <w:t>vs</w:t>
      </w:r>
      <w:r>
        <w:rPr>
          <w:spacing w:val="-11"/>
        </w:rPr>
        <w:t xml:space="preserve"> F2) was 0.77 (0.75-0.79), and the AUROC was 0.83 (0.81-0.85) for advanced fibrosis (F3-F4). These figures for Fibrotest in the diagnosing of mild and advanced fibrosis are lower in performance than in our index.</w:t>
      </w:r>
    </w:p>
    <w:p w:rsidR="00345D80" w:rsidRDefault="00345D80" w:rsidP="00345D80">
      <w:pPr>
        <w:pStyle w:val="1"/>
        <w:rPr>
          <w:spacing w:val="-11"/>
        </w:rPr>
      </w:pPr>
      <w:r>
        <w:rPr>
          <w:spacing w:val="-11"/>
        </w:rPr>
        <w:lastRenderedPageBreak/>
        <w:t xml:space="preserve">Koda </w:t>
      </w:r>
      <w:r>
        <w:rPr>
          <w:i/>
          <w:iCs/>
          <w:spacing w:val="-11"/>
        </w:rPr>
        <w:t>et al</w:t>
      </w:r>
      <w:r>
        <w:rPr>
          <w:spacing w:val="-11"/>
          <w:vertAlign w:val="superscript"/>
        </w:rPr>
        <w:t>[26]</w:t>
      </w:r>
      <w:r>
        <w:rPr>
          <w:spacing w:val="-11"/>
        </w:rPr>
        <w:t xml:space="preserve"> formulated their Fibroindex and reported its accuracy compared to APRI and Forns indices. Their data indicated that the AUROCs of APRI, Forns index, and Fibronectin were 0.78, 0.78 and 0.83, respectively, in discriminating mild degrees of fibrosis (F0-F1)</w:t>
      </w:r>
      <w:r>
        <w:rPr>
          <w:i/>
          <w:iCs/>
          <w:spacing w:val="-11"/>
        </w:rPr>
        <w:t xml:space="preserve"> vs</w:t>
      </w:r>
      <w:r>
        <w:rPr>
          <w:spacing w:val="-11"/>
        </w:rPr>
        <w:t xml:space="preserve"> significant stages of fibrosis (F2-F3), but the AUROCs were 0.81, 0.83 and 0.85, respectively, for discriminating F3-F4.</w:t>
      </w:r>
    </w:p>
    <w:p w:rsidR="00345D80" w:rsidRDefault="00345D80" w:rsidP="00345D80">
      <w:pPr>
        <w:pStyle w:val="1"/>
      </w:pPr>
      <w:r>
        <w:t>These data indicate that our index exhibited higher AUROCs for predicting advanced and mild stages of fibrosis than the currently available scores with higher performance accuracy.</w:t>
      </w:r>
    </w:p>
    <w:p w:rsidR="00345D80" w:rsidRDefault="00345D80" w:rsidP="00345D80">
      <w:pPr>
        <w:pStyle w:val="1"/>
      </w:pPr>
      <w:r>
        <w:t xml:space="preserve">Attallah </w:t>
      </w:r>
      <w:r>
        <w:rPr>
          <w:i/>
          <w:iCs/>
        </w:rPr>
        <w:t>et al</w:t>
      </w:r>
      <w:r>
        <w:rPr>
          <w:vertAlign w:val="superscript"/>
        </w:rPr>
        <w:t>[34]</w:t>
      </w:r>
      <w:r>
        <w:t xml:space="preserve"> reported the Fibronectin discriminant score (FDS), using fibronectin, APRI and albumin. FDS exhibited an AUROC of 0.91 in discriminating F0-F1 </w:t>
      </w:r>
      <w:r>
        <w:rPr>
          <w:i/>
          <w:iCs/>
        </w:rPr>
        <w:t>vs</w:t>
      </w:r>
      <w:r>
        <w:t xml:space="preserve"> F2-F4 and an AUROC of 0.86 in discriminating F0-F2 </w:t>
      </w:r>
      <w:r>
        <w:rPr>
          <w:i/>
          <w:iCs/>
        </w:rPr>
        <w:t>vs</w:t>
      </w:r>
      <w:r>
        <w:t xml:space="preserve"> F3-F4. These data are nearly equal to the values of our discriminating index.  </w:t>
      </w:r>
    </w:p>
    <w:p w:rsidR="00345D80" w:rsidRDefault="00345D80" w:rsidP="00345D80">
      <w:pPr>
        <w:pStyle w:val="1"/>
        <w:rPr>
          <w:spacing w:val="-11"/>
        </w:rPr>
      </w:pPr>
      <w:r>
        <w:rPr>
          <w:spacing w:val="-11"/>
        </w:rPr>
        <w:t>However, one limitation of our index is the low per</w:t>
      </w:r>
      <w:r>
        <w:rPr>
          <w:spacing w:val="-11"/>
        </w:rPr>
        <w:softHyphen/>
        <w:t xml:space="preserve">formance in the diagnosing of F2. The AUROCs for the diagnosing of F2 was 0.64 with cut-off values of </w:t>
      </w:r>
      <w:r>
        <w:rPr>
          <w:rFonts w:ascii="宋体" w:cs="宋体" w:hint="eastAsia"/>
          <w:spacing w:val="-11"/>
          <w:sz w:val="19"/>
          <w:szCs w:val="19"/>
        </w:rPr>
        <w:t>≥</w:t>
      </w:r>
      <w:r>
        <w:rPr>
          <w:spacing w:val="-11"/>
        </w:rPr>
        <w:t xml:space="preserve"> -0.31 up to +0.86 with a sensitivity, specificity, positive predictive value, negative predictive value, and a positive likelihood ratio of 53.1%, 74.1%, 33.0%, 86.8% and 2.0, respectively.</w:t>
      </w:r>
    </w:p>
    <w:p w:rsidR="00345D80" w:rsidRDefault="00345D80" w:rsidP="00345D80">
      <w:pPr>
        <w:pStyle w:val="1"/>
        <w:rPr>
          <w:spacing w:val="-11"/>
        </w:rPr>
      </w:pPr>
      <w:r>
        <w:rPr>
          <w:spacing w:val="-11"/>
        </w:rPr>
        <w:t xml:space="preserve">Crisan </w:t>
      </w:r>
      <w:r>
        <w:rPr>
          <w:i/>
          <w:iCs/>
          <w:spacing w:val="-11"/>
        </w:rPr>
        <w:t>et al</w:t>
      </w:r>
      <w:r>
        <w:rPr>
          <w:spacing w:val="-11"/>
          <w:vertAlign w:val="superscript"/>
        </w:rPr>
        <w:t>[35]</w:t>
      </w:r>
      <w:r>
        <w:rPr>
          <w:spacing w:val="-11"/>
        </w:rPr>
        <w:t xml:space="preserve"> validated the performance of six blood scores (APRI, Forns, Fib-4, Hepascore, Fibrotest and Fibrometere) using transient elastography compared to liver biopsy. Their data indicated that significant fibrosis F &gt; 2 was predicted with AUROCs of 0.727, 0.680, 0.714, 0.778, 0.688, 0.797 and 0.751 for APRI, Forns, Fib-4, Fibrotest, Hepascore, Fibrometere and transient elastography, respectively, and AUROCs were 0741, 0.737, 0.767, 0.705, 0.811, 0.782 and 0.809 in the diagnosis of severe fibrosis (F3-F4). These data provide further support to the higher performance of our index compared to these six serum scores.</w:t>
      </w:r>
    </w:p>
    <w:p w:rsidR="00345D80" w:rsidRDefault="00345D80" w:rsidP="00345D80">
      <w:pPr>
        <w:pStyle w:val="1"/>
        <w:rPr>
          <w:spacing w:val="-11"/>
        </w:rPr>
      </w:pPr>
      <w:r>
        <w:rPr>
          <w:spacing w:val="-11"/>
        </w:rPr>
        <w:t xml:space="preserve">Chisti </w:t>
      </w:r>
      <w:r>
        <w:rPr>
          <w:i/>
          <w:iCs/>
          <w:spacing w:val="-11"/>
        </w:rPr>
        <w:t>et al</w:t>
      </w:r>
      <w:r>
        <w:rPr>
          <w:spacing w:val="-11"/>
          <w:vertAlign w:val="superscript"/>
        </w:rPr>
        <w:t>[36]</w:t>
      </w:r>
      <w:r>
        <w:rPr>
          <w:b/>
          <w:bCs/>
          <w:spacing w:val="-11"/>
        </w:rPr>
        <w:t xml:space="preserve"> </w:t>
      </w:r>
      <w:r>
        <w:rPr>
          <w:spacing w:val="-11"/>
        </w:rPr>
        <w:t>performed a</w:t>
      </w:r>
      <w:r>
        <w:rPr>
          <w:b/>
          <w:bCs/>
          <w:spacing w:val="-11"/>
        </w:rPr>
        <w:t xml:space="preserve"> </w:t>
      </w:r>
      <w:r>
        <w:rPr>
          <w:spacing w:val="-11"/>
        </w:rPr>
        <w:t>prospective study to validate three biological scores (Fibrotest, Fibrometere and Hepascore) and reported AUROCs for the predicting of mild to moderate fibrosis of 0.81, 0.85, and 0.77, respectively and AUROCs for the diagnosing of F4 of 0.84, 0.92 and 0.88 respectively. These figures approximate our discriminating scores in the predicting of mild and advanced stages of fibrosis.</w:t>
      </w:r>
    </w:p>
    <w:p w:rsidR="00345D80" w:rsidRDefault="00345D80" w:rsidP="00345D80">
      <w:pPr>
        <w:pStyle w:val="1"/>
        <w:rPr>
          <w:spacing w:val="-11"/>
        </w:rPr>
      </w:pPr>
      <w:r>
        <w:rPr>
          <w:spacing w:val="-11"/>
        </w:rPr>
        <w:t xml:space="preserve">Our discriminating index was validated </w:t>
      </w:r>
      <w:r>
        <w:rPr>
          <w:i/>
          <w:iCs/>
          <w:spacing w:val="-11"/>
        </w:rPr>
        <w:t>via</w:t>
      </w:r>
      <w:r>
        <w:rPr>
          <w:spacing w:val="-11"/>
        </w:rPr>
        <w:t xml:space="preserve"> application to originally selected patients. The results indicated that the model correctly classified two-thirds of the cases (66.1%). This sensitivity increased to 67.2% and 73% in mild and advanced fibrosis, respectively, but dropped to 53.1% in moderate fibrosis.</w:t>
      </w:r>
    </w:p>
    <w:p w:rsidR="00345D80" w:rsidRDefault="00345D80" w:rsidP="00345D80">
      <w:pPr>
        <w:pStyle w:val="1"/>
        <w:rPr>
          <w:spacing w:val="-11"/>
        </w:rPr>
      </w:pPr>
      <w:r>
        <w:rPr>
          <w:spacing w:val="-11"/>
        </w:rPr>
        <w:t>Our discriminating score exhibited higher performance in the diagnosing of mild or no fibrosis and advanced stages of liver fibrosis than the currently available blood tests, but our study and others</w:t>
      </w:r>
      <w:r>
        <w:rPr>
          <w:b/>
          <w:bCs/>
          <w:spacing w:val="-11"/>
        </w:rPr>
        <w:t xml:space="preserve"> </w:t>
      </w:r>
      <w:r>
        <w:rPr>
          <w:spacing w:val="-11"/>
        </w:rPr>
        <w:t>evaluations of biological scores used liver biopsy as the reference standard.</w:t>
      </w:r>
    </w:p>
    <w:p w:rsidR="00345D80" w:rsidRDefault="00345D80" w:rsidP="00345D80">
      <w:pPr>
        <w:pStyle w:val="1"/>
        <w:rPr>
          <w:spacing w:val="-11"/>
        </w:rPr>
      </w:pPr>
      <w:r>
        <w:rPr>
          <w:spacing w:val="-11"/>
        </w:rPr>
        <w:t xml:space="preserve">Pyonard </w:t>
      </w:r>
      <w:r>
        <w:rPr>
          <w:i/>
          <w:iCs/>
          <w:spacing w:val="-11"/>
        </w:rPr>
        <w:t>et al</w:t>
      </w:r>
      <w:r>
        <w:rPr>
          <w:spacing w:val="-11"/>
          <w:vertAlign w:val="superscript"/>
        </w:rPr>
        <w:t>[37]</w:t>
      </w:r>
      <w:r>
        <w:rPr>
          <w:spacing w:val="-11"/>
        </w:rPr>
        <w:t xml:space="preserve"> investigated the performance of liver biopsy itself compared to two non-invasive tests (Fibrotest and Fibroscan) in the absence of the gold standard. The authors reported a relatively lower level of performance for liver biopsy even with the use of 20 mm length for the diagnosis of significant fibrosis (F2-F3). The specificity and sensitivity were 0.67 and 0.63, respectively, for liver biopsy compared to 0.93 and 70 and 0.95 and 0.50 for the Fibrotest and Fibroscan, respectively. These reported data suggested that the discordance between a non-invasive blood test and liver biopsy may be due to the lower diagnostic efficiency of the liver biopsy itself.</w:t>
      </w:r>
    </w:p>
    <w:p w:rsidR="00345D80" w:rsidRDefault="00345D80" w:rsidP="00345D80">
      <w:pPr>
        <w:pStyle w:val="1"/>
        <w:rPr>
          <w:spacing w:val="-11"/>
        </w:rPr>
      </w:pPr>
      <w:r>
        <w:rPr>
          <w:spacing w:val="-13"/>
        </w:rPr>
        <w:t xml:space="preserve">The end point of treatment of patients with HCV infections is virus eradication, improvements in liver histology and prevention of the development of </w:t>
      </w:r>
      <w:r>
        <w:rPr>
          <w:spacing w:val="-11"/>
        </w:rPr>
        <w:t xml:space="preserve">complications. Lee </w:t>
      </w:r>
      <w:r>
        <w:rPr>
          <w:i/>
          <w:iCs/>
          <w:spacing w:val="-11"/>
        </w:rPr>
        <w:t>et al</w:t>
      </w:r>
      <w:r>
        <w:rPr>
          <w:spacing w:val="-11"/>
          <w:vertAlign w:val="superscript"/>
        </w:rPr>
        <w:t>[38]</w:t>
      </w:r>
      <w:r>
        <w:rPr>
          <w:spacing w:val="-11"/>
        </w:rPr>
        <w:t xml:space="preserve"> recently reported on the regression, maintenance and progression of liver fibrosis after virological cure. Pyonard </w:t>
      </w:r>
      <w:r>
        <w:rPr>
          <w:i/>
          <w:iCs/>
          <w:spacing w:val="-11"/>
        </w:rPr>
        <w:t>et al</w:t>
      </w:r>
      <w:r>
        <w:rPr>
          <w:spacing w:val="-11"/>
          <w:vertAlign w:val="superscript"/>
        </w:rPr>
        <w:t>[39]</w:t>
      </w:r>
      <w:r>
        <w:rPr>
          <w:spacing w:val="-11"/>
        </w:rPr>
        <w:t xml:space="preserve"> validated the use of non-invasive markers (Fibrotest and Fibroscan) in a prospective longitudinal study for the prediction of fibrosis regression and development of </w:t>
      </w:r>
      <w:r>
        <w:rPr>
          <w:spacing w:val="-11"/>
        </w:rPr>
        <w:lastRenderedPageBreak/>
        <w:t xml:space="preserve">complications. </w:t>
      </w:r>
    </w:p>
    <w:p w:rsidR="00345D80" w:rsidRDefault="00345D80" w:rsidP="00345D80">
      <w:pPr>
        <w:pStyle w:val="1"/>
        <w:rPr>
          <w:spacing w:val="-11"/>
        </w:rPr>
      </w:pPr>
      <w:r>
        <w:rPr>
          <w:spacing w:val="-11"/>
        </w:rPr>
        <w:t>The current policy is to follow-up with hepatitis C patients even if these patients are cured virologically. Here, the availability of an easily assessed, less ex</w:t>
      </w:r>
      <w:r>
        <w:rPr>
          <w:spacing w:val="-11"/>
        </w:rPr>
        <w:softHyphen/>
        <w:t>pensive, reproducible blood test with high performance may alleviate or reduce the need for liver biopsy.</w:t>
      </w:r>
    </w:p>
    <w:p w:rsidR="00345D80" w:rsidRDefault="00345D80" w:rsidP="00345D80">
      <w:pPr>
        <w:pStyle w:val="1"/>
        <w:rPr>
          <w:spacing w:val="-11"/>
        </w:rPr>
      </w:pPr>
      <w:r>
        <w:rPr>
          <w:spacing w:val="-11"/>
        </w:rPr>
        <w:t>In conclusion, our discriminating index for liver fib</w:t>
      </w:r>
      <w:r>
        <w:rPr>
          <w:spacing w:val="-11"/>
        </w:rPr>
        <w:softHyphen/>
        <w:t>rosis in hepatitis C genotype 4 patients is a simple, easily reproducible test with accepted accuracy. The index is based on biomarkers that are related to the development and progression of liver fibrosis.</w:t>
      </w:r>
    </w:p>
    <w:p w:rsidR="00345D80" w:rsidRPr="00E448B1" w:rsidRDefault="00345D80" w:rsidP="00345D80">
      <w:pPr>
        <w:pStyle w:val="af2"/>
        <w:rPr>
          <w:lang w:val="en-US"/>
        </w:rPr>
      </w:pPr>
    </w:p>
    <w:p w:rsidR="00345D80" w:rsidRPr="00E448B1" w:rsidRDefault="00345D80" w:rsidP="00345D80">
      <w:pPr>
        <w:pStyle w:val="af2"/>
        <w:rPr>
          <w:lang w:val="en-US"/>
        </w:rPr>
      </w:pPr>
      <w:r w:rsidRPr="00E448B1">
        <w:rPr>
          <w:lang w:val="en-US"/>
        </w:rPr>
        <w:t>Limitation of the study</w:t>
      </w:r>
    </w:p>
    <w:p w:rsidR="00345D80" w:rsidRDefault="00345D80" w:rsidP="00345D80">
      <w:pPr>
        <w:pStyle w:val="af1"/>
        <w:rPr>
          <w:spacing w:val="-11"/>
        </w:rPr>
      </w:pPr>
      <w:r>
        <w:rPr>
          <w:spacing w:val="-11"/>
        </w:rPr>
        <w:t>The lack of external validation of the obtained dis</w:t>
      </w:r>
      <w:r>
        <w:rPr>
          <w:spacing w:val="-11"/>
        </w:rPr>
        <w:softHyphen/>
        <w:t xml:space="preserve">criminating index is a limitation of this study. Our index is a candidate for multicenter external validation. This index may also be subjected to longitudinal studies to validate its prediction of future complications in HCV patients. Other limitations are the lack of two pathological observers for each specimen and the lack of determination of elastin connective tissue added to collagens. </w:t>
      </w:r>
    </w:p>
    <w:p w:rsidR="00345D80" w:rsidRPr="00E448B1" w:rsidRDefault="00345D80" w:rsidP="00345D80">
      <w:pPr>
        <w:pStyle w:val="af0"/>
        <w:rPr>
          <w:lang w:val="en-US"/>
        </w:rPr>
      </w:pPr>
    </w:p>
    <w:p w:rsidR="00345D80" w:rsidRPr="00E448B1" w:rsidRDefault="00345D80" w:rsidP="00345D80">
      <w:pPr>
        <w:pStyle w:val="af0"/>
        <w:rPr>
          <w:u w:val="single"/>
          <w:lang w:val="en-US"/>
        </w:rPr>
      </w:pPr>
      <w:r w:rsidRPr="00E448B1">
        <w:rPr>
          <w:u w:val="single"/>
          <w:lang w:val="en-US"/>
        </w:rPr>
        <w:t>COMMENTS</w:t>
      </w:r>
    </w:p>
    <w:p w:rsidR="00345D80" w:rsidRPr="00E448B1" w:rsidRDefault="00345D80" w:rsidP="00345D80">
      <w:pPr>
        <w:pStyle w:val="af2"/>
        <w:rPr>
          <w:lang w:val="en-US"/>
        </w:rPr>
      </w:pPr>
      <w:r w:rsidRPr="00E448B1">
        <w:rPr>
          <w:lang w:val="en-US"/>
        </w:rPr>
        <w:t>Background</w:t>
      </w:r>
    </w:p>
    <w:p w:rsidR="00345D80" w:rsidRDefault="00345D80" w:rsidP="00345D80">
      <w:pPr>
        <w:pStyle w:val="8BF4"/>
        <w:rPr>
          <w:spacing w:val="-2"/>
        </w:rPr>
      </w:pPr>
      <w:r>
        <w:rPr>
          <w:spacing w:val="-2"/>
        </w:rPr>
        <w:t>Hepatitis C virus (HCV) induces liver fibrosis through transforming hepatic stellate cells and other intrahepatic cells to fibrous tissue laying cells. The severity of liver fibrosis is related to multiple host and viral factors. These factors are reflected on changes on biological variables. Studying levels of serum levels of some of these biological markers may provide a non-invasive test that can predict the liver fibrosis stage.</w:t>
      </w:r>
    </w:p>
    <w:p w:rsidR="00345D80" w:rsidRPr="00E448B1" w:rsidRDefault="00345D80" w:rsidP="00345D80">
      <w:pPr>
        <w:pStyle w:val="af2"/>
        <w:rPr>
          <w:lang w:val="en-US"/>
        </w:rPr>
      </w:pPr>
      <w:r w:rsidRPr="00E448B1">
        <w:rPr>
          <w:lang w:val="en-US"/>
        </w:rPr>
        <w:t>Research frontiers</w:t>
      </w:r>
    </w:p>
    <w:p w:rsidR="00345D80" w:rsidRDefault="00345D80" w:rsidP="00345D80">
      <w:pPr>
        <w:pStyle w:val="8BF4"/>
      </w:pPr>
      <w:r>
        <w:t>Multiple studies have reported about the increased insulin resistance in HCV infections, possibly as a part of HCV-induced metabolic syndrome. Also, there are available data about the impact of increased activity of hepatitis on the development and progression of liver fibrosis. The authors studied multiple biological and host factors in a cohort of genotype 4 Egyptian patients to assess the predictive ability of these variables in diagnosis of liver fibrosis stage.</w:t>
      </w:r>
    </w:p>
    <w:p w:rsidR="00345D80" w:rsidRPr="00E448B1" w:rsidRDefault="00345D80" w:rsidP="00345D80">
      <w:pPr>
        <w:pStyle w:val="af2"/>
        <w:rPr>
          <w:lang w:val="en-US"/>
        </w:rPr>
      </w:pPr>
      <w:r w:rsidRPr="00E448B1">
        <w:rPr>
          <w:lang w:val="en-US"/>
        </w:rPr>
        <w:t>Innovations and breakthroughs</w:t>
      </w:r>
    </w:p>
    <w:p w:rsidR="00345D80" w:rsidRDefault="00345D80" w:rsidP="00345D80">
      <w:pPr>
        <w:pStyle w:val="8BF4"/>
        <w:rPr>
          <w:b/>
          <w:bCs/>
        </w:rPr>
      </w:pPr>
      <w:r>
        <w:t>This study identified insulin resistance as estimated by homeostasis model of insulin resistance, aspartate transaminase enzyme, platelet count, and age as significant predictors of liver fibrosis stage. A model could be obtained utilizing these markers that could predict liver fibrosis stage with accuracy performance higher than available biological tests. The index is easily applicable and with low expenses.</w:t>
      </w:r>
    </w:p>
    <w:p w:rsidR="00345D80" w:rsidRPr="00E448B1" w:rsidRDefault="00345D80" w:rsidP="00345D80">
      <w:pPr>
        <w:pStyle w:val="af2"/>
        <w:rPr>
          <w:lang w:val="en-US"/>
        </w:rPr>
      </w:pPr>
      <w:r w:rsidRPr="00E448B1">
        <w:rPr>
          <w:lang w:val="en-US"/>
        </w:rPr>
        <w:t>Applications</w:t>
      </w:r>
    </w:p>
    <w:p w:rsidR="00345D80" w:rsidRDefault="00345D80" w:rsidP="00345D80">
      <w:pPr>
        <w:pStyle w:val="8BF4"/>
      </w:pPr>
      <w:r>
        <w:t>The non-invasive test for diagnosis of liver fibrosis stage can alleviate or reduce the need of the invasive liver biopsy to determine the level of liver fibrosis at basal level before starting antiviral treatment. Because liver biopsy cannot be done sequentially to follow-up HCV patients with or without virus cure, the non-invasive test may provide acceptable tool to do this task.</w:t>
      </w:r>
    </w:p>
    <w:p w:rsidR="00345D80" w:rsidRPr="00E448B1" w:rsidRDefault="00345D80" w:rsidP="00345D80">
      <w:pPr>
        <w:pStyle w:val="af2"/>
        <w:rPr>
          <w:lang w:val="en-US"/>
        </w:rPr>
      </w:pPr>
      <w:r w:rsidRPr="00E448B1">
        <w:rPr>
          <w:lang w:val="en-US"/>
        </w:rPr>
        <w:t>Terminology</w:t>
      </w:r>
    </w:p>
    <w:p w:rsidR="00345D80" w:rsidRDefault="00345D80" w:rsidP="00345D80">
      <w:pPr>
        <w:pStyle w:val="8BF4"/>
        <w:rPr>
          <w:spacing w:val="-2"/>
        </w:rPr>
      </w:pPr>
      <w:r>
        <w:rPr>
          <w:spacing w:val="-2"/>
        </w:rPr>
        <w:t>HOMA-IR: Homeostasis model for insulin resistance, a mathematically calculated formula; ACE: Angiotensin converting enzyme; AST: Aspartate transaminase enzyme; BMI: Body mass index; W/H: Waist/hip ratio.</w:t>
      </w:r>
    </w:p>
    <w:p w:rsidR="00345D80" w:rsidRPr="00E448B1" w:rsidRDefault="00345D80" w:rsidP="00345D80">
      <w:pPr>
        <w:pStyle w:val="af2"/>
        <w:rPr>
          <w:lang w:val="en-US"/>
        </w:rPr>
      </w:pPr>
      <w:r w:rsidRPr="00E448B1">
        <w:rPr>
          <w:lang w:val="en-US"/>
        </w:rPr>
        <w:t>Peer-review</w:t>
      </w:r>
    </w:p>
    <w:p w:rsidR="00345D80" w:rsidRDefault="00345D80" w:rsidP="00345D80">
      <w:pPr>
        <w:pStyle w:val="8BF4"/>
      </w:pPr>
      <w:r>
        <w:t>The study is interesting and shows a good bibliographic study.</w:t>
      </w:r>
    </w:p>
    <w:p w:rsidR="00345D80" w:rsidRPr="00E448B1" w:rsidRDefault="00345D80" w:rsidP="00345D80">
      <w:pPr>
        <w:pStyle w:val="af0"/>
        <w:rPr>
          <w:lang w:val="en-US"/>
        </w:rPr>
      </w:pPr>
    </w:p>
    <w:p w:rsidR="00345D80" w:rsidRPr="00E448B1" w:rsidRDefault="00345D80" w:rsidP="00345D80">
      <w:pPr>
        <w:pStyle w:val="af0"/>
        <w:rPr>
          <w:lang w:val="en-US"/>
        </w:rPr>
      </w:pPr>
      <w:r w:rsidRPr="00E448B1">
        <w:rPr>
          <w:lang w:val="en-US"/>
        </w:rPr>
        <w:t>REFERENCES</w:t>
      </w:r>
    </w:p>
    <w:p w:rsidR="00345D80" w:rsidRDefault="00345D80" w:rsidP="00345D80">
      <w:pPr>
        <w:pStyle w:val="-1"/>
        <w:rPr>
          <w:spacing w:val="-3"/>
        </w:rPr>
      </w:pPr>
      <w:r>
        <w:t>1</w:t>
      </w:r>
      <w:r>
        <w:rPr>
          <w:b/>
          <w:bCs/>
        </w:rPr>
        <w:tab/>
      </w:r>
      <w:r>
        <w:rPr>
          <w:b/>
          <w:bCs/>
          <w:spacing w:val="-3"/>
        </w:rPr>
        <w:t>Lavanchy D</w:t>
      </w:r>
      <w:r>
        <w:rPr>
          <w:spacing w:val="-3"/>
        </w:rPr>
        <w:t xml:space="preserve">. Evolving epidemiology of hepatitis C virus. </w:t>
      </w:r>
      <w:r>
        <w:rPr>
          <w:i/>
          <w:iCs/>
          <w:spacing w:val="-3"/>
        </w:rPr>
        <w:t>Clin Microbiol Infect</w:t>
      </w:r>
      <w:r>
        <w:rPr>
          <w:spacing w:val="-3"/>
        </w:rPr>
        <w:t xml:space="preserve"> 2011; </w:t>
      </w:r>
      <w:r>
        <w:rPr>
          <w:b/>
          <w:bCs/>
          <w:spacing w:val="-3"/>
        </w:rPr>
        <w:t>17</w:t>
      </w:r>
      <w:r>
        <w:rPr>
          <w:spacing w:val="-3"/>
        </w:rPr>
        <w:t>: 107-115 [PMID: 21091831 DOI: 10.1111/j.1469-0691.2010.03432.x]</w:t>
      </w:r>
    </w:p>
    <w:p w:rsidR="00345D80" w:rsidRDefault="00345D80" w:rsidP="00345D80">
      <w:pPr>
        <w:pStyle w:val="-1"/>
      </w:pPr>
      <w:r>
        <w:t>2</w:t>
      </w:r>
      <w:r>
        <w:rPr>
          <w:b/>
          <w:bCs/>
        </w:rPr>
        <w:tab/>
        <w:t>Mohd Hanafiah K</w:t>
      </w:r>
      <w:r>
        <w:t xml:space="preserve">, Groeger J, Flaxman AD, Wiersma ST. Global epidemiology of hepatitis C virus infection: new estimates of age-specific antibody to HCV seroprevalence. </w:t>
      </w:r>
      <w:r>
        <w:rPr>
          <w:i/>
          <w:iCs/>
        </w:rPr>
        <w:t>Hepatology</w:t>
      </w:r>
      <w:r>
        <w:t xml:space="preserve"> 2013; </w:t>
      </w:r>
      <w:r>
        <w:rPr>
          <w:b/>
          <w:bCs/>
        </w:rPr>
        <w:t>57</w:t>
      </w:r>
      <w:r>
        <w:t>: 1333-1342 [PMID: 23172780 DOI: 10.1002/hep.26141]</w:t>
      </w:r>
    </w:p>
    <w:p w:rsidR="00345D80" w:rsidRDefault="00345D80" w:rsidP="00345D80">
      <w:pPr>
        <w:pStyle w:val="-1"/>
        <w:rPr>
          <w:spacing w:val="-2"/>
        </w:rPr>
      </w:pPr>
      <w:r>
        <w:t>3</w:t>
      </w:r>
      <w:r>
        <w:rPr>
          <w:b/>
          <w:bCs/>
        </w:rPr>
        <w:tab/>
      </w:r>
      <w:r>
        <w:rPr>
          <w:b/>
          <w:bCs/>
          <w:spacing w:val="-2"/>
        </w:rPr>
        <w:t>Sievert W</w:t>
      </w:r>
      <w:r>
        <w:rPr>
          <w:spacing w:val="-2"/>
        </w:rPr>
        <w:t xml:space="preserve">, Altraif I, Razavi HA, Abdo A, Ahmed EA, Alomair A, Amarapurkar D, Chen CH, Dou X, El Khayat H, Elshazly M, Esmat G, Guan R, Han KH, Koike K, Largen A, McCaughan G, Mogawer S, Monis A, Nawaz A, Piratvisuth T, Sanai FM, Sharara AI, Sibbel S, Sood A, Suh DJ, </w:t>
      </w:r>
      <w:r>
        <w:rPr>
          <w:spacing w:val="-2"/>
        </w:rPr>
        <w:lastRenderedPageBreak/>
        <w:t xml:space="preserve">Wallace C, Young K, Negro F. A systematic review of hepatitis C virus epidemiology in Asia, Australia and Egypt. </w:t>
      </w:r>
      <w:r>
        <w:rPr>
          <w:i/>
          <w:iCs/>
          <w:spacing w:val="-2"/>
        </w:rPr>
        <w:t>Liver Int</w:t>
      </w:r>
      <w:r>
        <w:rPr>
          <w:spacing w:val="-2"/>
        </w:rPr>
        <w:t xml:space="preserve"> 2011; </w:t>
      </w:r>
      <w:r>
        <w:rPr>
          <w:b/>
          <w:bCs/>
          <w:spacing w:val="-2"/>
        </w:rPr>
        <w:t xml:space="preserve">31 </w:t>
      </w:r>
      <w:r>
        <w:rPr>
          <w:spacing w:val="-2"/>
        </w:rPr>
        <w:t>Suppl 2: 61-80 [PMID: 21651703 DOI: 10.1111/j.1478-3231.2011.02540.x]</w:t>
      </w:r>
    </w:p>
    <w:p w:rsidR="00345D80" w:rsidRDefault="00345D80" w:rsidP="00345D80">
      <w:pPr>
        <w:pStyle w:val="-1"/>
      </w:pPr>
      <w:r>
        <w:t>4</w:t>
      </w:r>
      <w:r>
        <w:rPr>
          <w:b/>
          <w:bCs/>
        </w:rPr>
        <w:tab/>
        <w:t>Moreira RK</w:t>
      </w:r>
      <w:r>
        <w:t xml:space="preserve">. Hepatic stellate cells and liver fibrosis. </w:t>
      </w:r>
      <w:r>
        <w:rPr>
          <w:i/>
          <w:iCs/>
        </w:rPr>
        <w:t>Arch Pathol Lab Med</w:t>
      </w:r>
      <w:r>
        <w:t xml:space="preserve"> 2007; </w:t>
      </w:r>
      <w:r>
        <w:rPr>
          <w:b/>
          <w:bCs/>
        </w:rPr>
        <w:t>131</w:t>
      </w:r>
      <w:r>
        <w:t>: 1728-1734 [PMID: 17979495]</w:t>
      </w:r>
    </w:p>
    <w:p w:rsidR="00345D80" w:rsidRDefault="00345D80" w:rsidP="00345D80">
      <w:pPr>
        <w:pStyle w:val="-1"/>
        <w:rPr>
          <w:spacing w:val="-2"/>
        </w:rPr>
      </w:pPr>
      <w:r>
        <w:t>5</w:t>
      </w:r>
      <w:r>
        <w:rPr>
          <w:b/>
          <w:bCs/>
        </w:rPr>
        <w:tab/>
      </w:r>
      <w:r>
        <w:rPr>
          <w:b/>
          <w:bCs/>
          <w:spacing w:val="-2"/>
        </w:rPr>
        <w:t>Friedman SL</w:t>
      </w:r>
      <w:r>
        <w:rPr>
          <w:spacing w:val="-2"/>
        </w:rPr>
        <w:t xml:space="preserve">. Mechanisms of hepatic fibrogenesis. </w:t>
      </w:r>
      <w:r>
        <w:rPr>
          <w:i/>
          <w:iCs/>
          <w:spacing w:val="-2"/>
        </w:rPr>
        <w:t>Gastro</w:t>
      </w:r>
      <w:r>
        <w:rPr>
          <w:i/>
          <w:iCs/>
          <w:spacing w:val="-2"/>
        </w:rPr>
        <w:softHyphen/>
        <w:t>enterology</w:t>
      </w:r>
      <w:r>
        <w:rPr>
          <w:spacing w:val="-2"/>
        </w:rPr>
        <w:t xml:space="preserve"> 2008; </w:t>
      </w:r>
      <w:r>
        <w:rPr>
          <w:b/>
          <w:bCs/>
          <w:spacing w:val="-2"/>
        </w:rPr>
        <w:t>134</w:t>
      </w:r>
      <w:r>
        <w:rPr>
          <w:spacing w:val="-2"/>
        </w:rPr>
        <w:t>: 1655-1669 [PMID: 18471545 DOI: 10.1053/j.gastro.2008.03.003]</w:t>
      </w:r>
    </w:p>
    <w:p w:rsidR="00345D80" w:rsidRDefault="00345D80" w:rsidP="00345D80">
      <w:pPr>
        <w:pStyle w:val="-1"/>
        <w:rPr>
          <w:spacing w:val="-2"/>
        </w:rPr>
      </w:pPr>
      <w:r>
        <w:t>6</w:t>
      </w:r>
      <w:r>
        <w:rPr>
          <w:b/>
          <w:bCs/>
        </w:rPr>
        <w:tab/>
      </w:r>
      <w:r>
        <w:rPr>
          <w:b/>
          <w:bCs/>
          <w:spacing w:val="-2"/>
        </w:rPr>
        <w:t>Presser LD</w:t>
      </w:r>
      <w:r>
        <w:rPr>
          <w:spacing w:val="-2"/>
        </w:rPr>
        <w:t xml:space="preserve">, McRae S, Waris G. Activation of TGF-β1 promoter by hepatitis C virus-induced AP-1 and Sp1: role of TGF-β1 in hepatic stellate cell activation and invasion. </w:t>
      </w:r>
      <w:r>
        <w:rPr>
          <w:i/>
          <w:iCs/>
          <w:spacing w:val="-2"/>
        </w:rPr>
        <w:t>PLoS One</w:t>
      </w:r>
      <w:r>
        <w:rPr>
          <w:spacing w:val="-2"/>
        </w:rPr>
        <w:t xml:space="preserve"> 2013; </w:t>
      </w:r>
      <w:r>
        <w:rPr>
          <w:b/>
          <w:bCs/>
          <w:spacing w:val="-2"/>
        </w:rPr>
        <w:t>8</w:t>
      </w:r>
      <w:r>
        <w:rPr>
          <w:spacing w:val="-2"/>
        </w:rPr>
        <w:t>: e56367 [PMID: 23437118 DOI: 10.1371/journal.pone.0056367]</w:t>
      </w:r>
    </w:p>
    <w:p w:rsidR="00345D80" w:rsidRDefault="00345D80" w:rsidP="00345D80">
      <w:pPr>
        <w:pStyle w:val="-1"/>
      </w:pPr>
      <w:r>
        <w:t>7</w:t>
      </w:r>
      <w:r>
        <w:rPr>
          <w:b/>
          <w:bCs/>
        </w:rPr>
        <w:tab/>
        <w:t>Franciscus A</w:t>
      </w:r>
      <w:r>
        <w:t>. HCV diagnostic tools: grading and staging a liver biopsy. 2010</w:t>
      </w:r>
    </w:p>
    <w:p w:rsidR="00345D80" w:rsidRDefault="00345D80" w:rsidP="00345D80">
      <w:pPr>
        <w:pStyle w:val="-1"/>
      </w:pPr>
      <w:r>
        <w:t>8</w:t>
      </w:r>
      <w:r>
        <w:rPr>
          <w:b/>
          <w:bCs/>
        </w:rPr>
        <w:tab/>
        <w:t>Seeff LB</w:t>
      </w:r>
      <w:r>
        <w:t xml:space="preserve">, Everson GT, Morgan TR, Curto TM, Lee WM, Ghany MG, Shiffman ML, Fontana RJ, Di Bisceglie AM, Bonkovsky HL, Dienstag JL. Complication rate of percutaneous liver biopsies among persons with advanced chronic liver disease in the HALT-C trial. </w:t>
      </w:r>
      <w:r>
        <w:rPr>
          <w:i/>
          <w:iCs/>
        </w:rPr>
        <w:t>Clin Gastroenterol Hepatol</w:t>
      </w:r>
      <w:r>
        <w:t xml:space="preserve"> 2010; </w:t>
      </w:r>
      <w:r>
        <w:rPr>
          <w:b/>
          <w:bCs/>
        </w:rPr>
        <w:t>8</w:t>
      </w:r>
      <w:r>
        <w:t>: 877-883 [PMID: 20362695 DOI: 10.1016/j.cgh.2010.03.025]</w:t>
      </w:r>
    </w:p>
    <w:p w:rsidR="00345D80" w:rsidRDefault="00345D80" w:rsidP="00345D80">
      <w:pPr>
        <w:pStyle w:val="-1"/>
      </w:pPr>
      <w:r>
        <w:t>9</w:t>
      </w:r>
      <w:r>
        <w:rPr>
          <w:b/>
          <w:bCs/>
        </w:rPr>
        <w:tab/>
        <w:t>Basaranoglu M</w:t>
      </w:r>
      <w:r>
        <w:t xml:space="preserve">, Basaranoglu G. Pathophysiology of insulin resistance and steatosis in patients with chronic viral hepatitis. </w:t>
      </w:r>
      <w:r>
        <w:rPr>
          <w:i/>
          <w:iCs/>
        </w:rPr>
        <w:t>World J Gastroenterol</w:t>
      </w:r>
      <w:r>
        <w:t xml:space="preserve"> 2011; </w:t>
      </w:r>
      <w:r>
        <w:rPr>
          <w:b/>
          <w:bCs/>
        </w:rPr>
        <w:t>17</w:t>
      </w:r>
      <w:r>
        <w:t>: 4055-4062 [PMID: 22039318 DOI: 10.3748/wjg.v17.i36.4055]</w:t>
      </w:r>
    </w:p>
    <w:p w:rsidR="00345D80" w:rsidRDefault="00345D80" w:rsidP="00345D80">
      <w:pPr>
        <w:pStyle w:val="-1"/>
      </w:pPr>
      <w:r>
        <w:t>10</w:t>
      </w:r>
      <w:r>
        <w:rPr>
          <w:b/>
          <w:bCs/>
        </w:rPr>
        <w:tab/>
        <w:t>Moucari R</w:t>
      </w:r>
      <w:r>
        <w:t xml:space="preserve">, Ripault MP, Martinot-Peignoux M, Voitot H, Cardoso AC, Stern C, Boyer N, Maylin S, Nicolas-Chanoine MH, Vidaud M, Valla D, Bedossa P, Marcellin P. Insulin resistance and geographical origin: major predictors of liver fibrosis and response to peginterferon and ribavirin in HCV-4. </w:t>
      </w:r>
      <w:r>
        <w:rPr>
          <w:i/>
          <w:iCs/>
        </w:rPr>
        <w:t>Gut</w:t>
      </w:r>
      <w:r>
        <w:t xml:space="preserve"> 2009; </w:t>
      </w:r>
      <w:r>
        <w:rPr>
          <w:b/>
          <w:bCs/>
        </w:rPr>
        <w:t>58</w:t>
      </w:r>
      <w:r>
        <w:t>: 1662-1669 [PMID: 19671541 DOI: 10.1136/gut.2009.185074]</w:t>
      </w:r>
    </w:p>
    <w:p w:rsidR="00345D80" w:rsidRDefault="00345D80" w:rsidP="00345D80">
      <w:pPr>
        <w:pStyle w:val="-1"/>
      </w:pPr>
      <w:r>
        <w:t>11</w:t>
      </w:r>
      <w:r>
        <w:rPr>
          <w:b/>
          <w:bCs/>
        </w:rPr>
        <w:tab/>
        <w:t>Medina J</w:t>
      </w:r>
      <w:r>
        <w:t xml:space="preserve">, Arroyo AG, Sánchez-Madrid F, Moreno-Otero R. Angiogenesis in chronic inflammatory liver disease. </w:t>
      </w:r>
      <w:r>
        <w:rPr>
          <w:i/>
          <w:iCs/>
        </w:rPr>
        <w:t>Hepatology</w:t>
      </w:r>
      <w:r>
        <w:t xml:space="preserve"> 2004; </w:t>
      </w:r>
      <w:r>
        <w:rPr>
          <w:b/>
          <w:bCs/>
        </w:rPr>
        <w:t>39</w:t>
      </w:r>
      <w:r>
        <w:t>: 1185-1195 [PMID: 15122744 DOI: 10.1002/hep.20193]</w:t>
      </w:r>
    </w:p>
    <w:p w:rsidR="00345D80" w:rsidRDefault="00345D80" w:rsidP="00345D80">
      <w:pPr>
        <w:pStyle w:val="-1"/>
      </w:pPr>
      <w:r>
        <w:t>12</w:t>
      </w:r>
      <w:r>
        <w:rPr>
          <w:b/>
          <w:bCs/>
        </w:rPr>
        <w:tab/>
        <w:t>Oruç N</w:t>
      </w:r>
      <w:r>
        <w:t xml:space="preserve">, Lamb J, Whitcomb DJ, Sass DA. The ACE gene I/D polymorphism does not affect the susceptibility to or prognosis of PBC. </w:t>
      </w:r>
      <w:r>
        <w:rPr>
          <w:i/>
          <w:iCs/>
        </w:rPr>
        <w:t>Turk J Gastroenterol</w:t>
      </w:r>
      <w:r>
        <w:t xml:space="preserve"> 2008; </w:t>
      </w:r>
      <w:r>
        <w:rPr>
          <w:b/>
          <w:bCs/>
        </w:rPr>
        <w:t>19</w:t>
      </w:r>
      <w:r>
        <w:t>: 250-253 [PMID: 19119484]</w:t>
      </w:r>
    </w:p>
    <w:p w:rsidR="00345D80" w:rsidRDefault="00345D80" w:rsidP="00345D80">
      <w:pPr>
        <w:pStyle w:val="-1"/>
      </w:pPr>
      <w:r>
        <w:t>13</w:t>
      </w:r>
      <w:r>
        <w:rPr>
          <w:b/>
          <w:bCs/>
        </w:rPr>
        <w:tab/>
        <w:t>American Diabetes Association</w:t>
      </w:r>
      <w:r>
        <w:t xml:space="preserve">. Diagnosis and classification of diabetes mellitus. </w:t>
      </w:r>
      <w:r>
        <w:rPr>
          <w:i/>
          <w:iCs/>
        </w:rPr>
        <w:t>Diabetes Care</w:t>
      </w:r>
      <w:r>
        <w:t xml:space="preserve"> 2004; </w:t>
      </w:r>
      <w:r>
        <w:rPr>
          <w:b/>
          <w:bCs/>
        </w:rPr>
        <w:t xml:space="preserve">27 </w:t>
      </w:r>
      <w:r>
        <w:t>Suppl 1: S5-S10 [PMID: 14693921 DOI: 10.2337/diacare.27.2007.S5]</w:t>
      </w:r>
    </w:p>
    <w:p w:rsidR="00345D80" w:rsidRDefault="00345D80" w:rsidP="00345D80">
      <w:pPr>
        <w:pStyle w:val="-1"/>
        <w:rPr>
          <w:spacing w:val="-2"/>
        </w:rPr>
      </w:pPr>
      <w:r>
        <w:t>14</w:t>
      </w:r>
      <w:r>
        <w:rPr>
          <w:b/>
          <w:bCs/>
        </w:rPr>
        <w:tab/>
      </w:r>
      <w:r>
        <w:rPr>
          <w:b/>
          <w:bCs/>
          <w:spacing w:val="-2"/>
        </w:rPr>
        <w:t>Bedossa P</w:t>
      </w:r>
      <w:r>
        <w:rPr>
          <w:spacing w:val="-2"/>
        </w:rPr>
        <w:t xml:space="preserve">, Poynard T. An algorithm for the grading of activity in chronic hepatitis C. The METAVIR Cooperative Study Group. </w:t>
      </w:r>
      <w:r>
        <w:rPr>
          <w:i/>
          <w:iCs/>
          <w:spacing w:val="-2"/>
        </w:rPr>
        <w:t>Hepatology</w:t>
      </w:r>
      <w:r>
        <w:rPr>
          <w:spacing w:val="-2"/>
        </w:rPr>
        <w:t xml:space="preserve"> 1996; </w:t>
      </w:r>
      <w:r>
        <w:rPr>
          <w:b/>
          <w:bCs/>
          <w:spacing w:val="-2"/>
        </w:rPr>
        <w:t>24</w:t>
      </w:r>
      <w:r>
        <w:rPr>
          <w:spacing w:val="-2"/>
        </w:rPr>
        <w:t>: 289-293 [PMID: 8690394 DOI: 10.1002/hep.510240201]</w:t>
      </w:r>
    </w:p>
    <w:p w:rsidR="00345D80" w:rsidRDefault="00345D80" w:rsidP="00345D80">
      <w:pPr>
        <w:pStyle w:val="-1"/>
        <w:rPr>
          <w:spacing w:val="-3"/>
        </w:rPr>
      </w:pPr>
      <w:r>
        <w:t>15</w:t>
      </w:r>
      <w:r>
        <w:rPr>
          <w:b/>
          <w:bCs/>
        </w:rPr>
        <w:tab/>
      </w:r>
      <w:r>
        <w:rPr>
          <w:b/>
          <w:bCs/>
          <w:spacing w:val="-3"/>
        </w:rPr>
        <w:t>Bonora E</w:t>
      </w:r>
      <w:r>
        <w:rPr>
          <w:spacing w:val="-3"/>
        </w:rPr>
        <w:t xml:space="preserve">, Targher G, Alberiche M, Bonadonna RC, Saggiani F, Zenere MB, Monauni T, Muggeo M. Homeostasis model assessment closely mirrors the glucose clamp technique in the assessment of insulin sensitivity: studies in subjects with various degrees of glucose tolerance and insulin sensitivity. </w:t>
      </w:r>
      <w:r>
        <w:rPr>
          <w:i/>
          <w:iCs/>
          <w:spacing w:val="-3"/>
        </w:rPr>
        <w:t>Diabetes Care</w:t>
      </w:r>
      <w:r>
        <w:rPr>
          <w:spacing w:val="-3"/>
        </w:rPr>
        <w:t xml:space="preserve"> 2000; </w:t>
      </w:r>
      <w:r>
        <w:rPr>
          <w:b/>
          <w:bCs/>
          <w:spacing w:val="-3"/>
        </w:rPr>
        <w:t>23</w:t>
      </w:r>
      <w:r>
        <w:rPr>
          <w:spacing w:val="-3"/>
        </w:rPr>
        <w:t>: 57-63 [PMID: 10857969 DOI: 10.2337/diacare.23.1.57]</w:t>
      </w:r>
    </w:p>
    <w:p w:rsidR="00345D80" w:rsidRDefault="00345D80" w:rsidP="00345D80">
      <w:pPr>
        <w:pStyle w:val="-1"/>
        <w:rPr>
          <w:spacing w:val="-2"/>
        </w:rPr>
      </w:pPr>
      <w:r>
        <w:t>16</w:t>
      </w:r>
      <w:r>
        <w:rPr>
          <w:b/>
          <w:bCs/>
        </w:rPr>
        <w:tab/>
      </w:r>
      <w:r>
        <w:rPr>
          <w:b/>
          <w:bCs/>
          <w:spacing w:val="-2"/>
        </w:rPr>
        <w:t>Eslam M</w:t>
      </w:r>
      <w:r>
        <w:rPr>
          <w:spacing w:val="-2"/>
        </w:rPr>
        <w:t xml:space="preserve">, Kawaguchi T, Del Campo JA, Sata M, Khattab MA, Romero-Gomez M. Use of HOMA-IR in hepatitis C. </w:t>
      </w:r>
      <w:r>
        <w:rPr>
          <w:i/>
          <w:iCs/>
          <w:spacing w:val="-2"/>
        </w:rPr>
        <w:t>J Viral Hepat</w:t>
      </w:r>
      <w:r>
        <w:rPr>
          <w:spacing w:val="-2"/>
        </w:rPr>
        <w:t xml:space="preserve"> 2011; </w:t>
      </w:r>
      <w:r>
        <w:rPr>
          <w:b/>
          <w:bCs/>
          <w:spacing w:val="-2"/>
        </w:rPr>
        <w:t>18</w:t>
      </w:r>
      <w:r>
        <w:rPr>
          <w:spacing w:val="-2"/>
        </w:rPr>
        <w:t>: 675-684 [PMID: 21914084 DOI: 10.1111/j.1365-2893. 2011.01474.x]</w:t>
      </w:r>
    </w:p>
    <w:p w:rsidR="00345D80" w:rsidRDefault="00345D80" w:rsidP="00345D80">
      <w:pPr>
        <w:pStyle w:val="-1"/>
        <w:rPr>
          <w:spacing w:val="-2"/>
        </w:rPr>
      </w:pPr>
      <w:r>
        <w:t>17</w:t>
      </w:r>
      <w:r>
        <w:rPr>
          <w:b/>
          <w:bCs/>
        </w:rPr>
        <w:tab/>
      </w:r>
      <w:r>
        <w:rPr>
          <w:b/>
          <w:bCs/>
          <w:spacing w:val="-2"/>
        </w:rPr>
        <w:t>Bedossa P</w:t>
      </w:r>
      <w:r>
        <w:rPr>
          <w:spacing w:val="-2"/>
        </w:rPr>
        <w:t xml:space="preserve">, Carrat F. Liver biopsy: the best, not the gold standard. </w:t>
      </w:r>
      <w:r>
        <w:rPr>
          <w:i/>
          <w:iCs/>
          <w:spacing w:val="-2"/>
        </w:rPr>
        <w:t>J Hepatol</w:t>
      </w:r>
      <w:r>
        <w:rPr>
          <w:spacing w:val="-2"/>
        </w:rPr>
        <w:t xml:space="preserve"> 2009; </w:t>
      </w:r>
      <w:r>
        <w:rPr>
          <w:b/>
          <w:bCs/>
          <w:spacing w:val="-2"/>
        </w:rPr>
        <w:t>50</w:t>
      </w:r>
      <w:r>
        <w:rPr>
          <w:spacing w:val="-2"/>
        </w:rPr>
        <w:t>: 1-3 [PMID: 19017551 DOI: 10.1016/j.jhep.2008.10.014]</w:t>
      </w:r>
    </w:p>
    <w:p w:rsidR="00345D80" w:rsidRDefault="00345D80" w:rsidP="00345D80">
      <w:pPr>
        <w:pStyle w:val="-1"/>
        <w:rPr>
          <w:spacing w:val="-3"/>
        </w:rPr>
      </w:pPr>
      <w:r>
        <w:t>18</w:t>
      </w:r>
      <w:r>
        <w:rPr>
          <w:b/>
          <w:bCs/>
        </w:rPr>
        <w:tab/>
      </w:r>
      <w:r>
        <w:rPr>
          <w:b/>
          <w:bCs/>
          <w:spacing w:val="-3"/>
        </w:rPr>
        <w:t>Castera L</w:t>
      </w:r>
      <w:r>
        <w:rPr>
          <w:spacing w:val="-3"/>
        </w:rPr>
        <w:t xml:space="preserve">, Bedossa P. How to assess liver fibrosis in chronic hepatitis C: serum markers or transient elastography vs. liver biopsy? </w:t>
      </w:r>
      <w:r>
        <w:rPr>
          <w:i/>
          <w:iCs/>
          <w:spacing w:val="-3"/>
        </w:rPr>
        <w:t>Liver Int</w:t>
      </w:r>
      <w:r>
        <w:rPr>
          <w:spacing w:val="-3"/>
        </w:rPr>
        <w:t xml:space="preserve"> 2011; </w:t>
      </w:r>
      <w:r>
        <w:rPr>
          <w:b/>
          <w:bCs/>
          <w:spacing w:val="-3"/>
        </w:rPr>
        <w:t xml:space="preserve">31 </w:t>
      </w:r>
      <w:r>
        <w:rPr>
          <w:spacing w:val="-3"/>
        </w:rPr>
        <w:t>Suppl 1: 13-17 [PMID: 21205132 DOI: 10.1111/j.1478-3231.2010.02380.x]</w:t>
      </w:r>
    </w:p>
    <w:p w:rsidR="00345D80" w:rsidRDefault="00345D80" w:rsidP="00345D80">
      <w:pPr>
        <w:pStyle w:val="-1"/>
        <w:rPr>
          <w:spacing w:val="-2"/>
        </w:rPr>
      </w:pPr>
      <w:r>
        <w:t>19</w:t>
      </w:r>
      <w:r>
        <w:rPr>
          <w:b/>
          <w:bCs/>
        </w:rPr>
        <w:tab/>
      </w:r>
      <w:r>
        <w:rPr>
          <w:b/>
          <w:bCs/>
          <w:spacing w:val="-2"/>
        </w:rPr>
        <w:t>Pinzani M</w:t>
      </w:r>
      <w:r>
        <w:rPr>
          <w:spacing w:val="-2"/>
        </w:rPr>
        <w:t>, Vizzutti F, Arena U, Marra F. Technology Insight: non</w:t>
      </w:r>
      <w:r>
        <w:rPr>
          <w:spacing w:val="-2"/>
        </w:rPr>
        <w:softHyphen/>
        <w:t xml:space="preserve">invasive assessment of liver fibrosis by biochemical scores and elastography. </w:t>
      </w:r>
      <w:r>
        <w:rPr>
          <w:i/>
          <w:iCs/>
          <w:spacing w:val="-2"/>
        </w:rPr>
        <w:t>Nat Clin Pract Gastroenterol Hepatol</w:t>
      </w:r>
      <w:r>
        <w:rPr>
          <w:spacing w:val="-2"/>
        </w:rPr>
        <w:t xml:space="preserve"> 2008; </w:t>
      </w:r>
      <w:r>
        <w:rPr>
          <w:b/>
          <w:bCs/>
          <w:spacing w:val="-2"/>
        </w:rPr>
        <w:t>5</w:t>
      </w:r>
      <w:r>
        <w:rPr>
          <w:spacing w:val="-2"/>
        </w:rPr>
        <w:t>: 95-106 [PMID: 18253138 DOI: 10.1038/ncpgasthep1025]</w:t>
      </w:r>
    </w:p>
    <w:p w:rsidR="00345D80" w:rsidRDefault="00345D80" w:rsidP="00345D80">
      <w:pPr>
        <w:pStyle w:val="-1"/>
      </w:pPr>
      <w:r>
        <w:t>20</w:t>
      </w:r>
      <w:r>
        <w:rPr>
          <w:b/>
          <w:bCs/>
        </w:rPr>
        <w:tab/>
        <w:t>Lupsor Platon M</w:t>
      </w:r>
      <w:r>
        <w:t xml:space="preserve">, Stefanescu H, Feier D, Maniu A, Badea R. Performance of unidimensional transient elastography in staging chronic hepatitis C. Results from a cohort of 1,202 biopsied patients from one single center. </w:t>
      </w:r>
      <w:r>
        <w:rPr>
          <w:i/>
          <w:iCs/>
        </w:rPr>
        <w:t>J Gastrointestin Liver Dis</w:t>
      </w:r>
      <w:r>
        <w:t xml:space="preserve"> 2013; </w:t>
      </w:r>
      <w:r>
        <w:rPr>
          <w:b/>
          <w:bCs/>
        </w:rPr>
        <w:t>22</w:t>
      </w:r>
      <w:r>
        <w:t>: 157-166 [PMID: 23799214]</w:t>
      </w:r>
    </w:p>
    <w:p w:rsidR="00345D80" w:rsidRDefault="00345D80" w:rsidP="00345D80">
      <w:pPr>
        <w:pStyle w:val="-1"/>
      </w:pPr>
      <w:r>
        <w:t>21</w:t>
      </w:r>
      <w:r>
        <w:rPr>
          <w:b/>
          <w:bCs/>
        </w:rPr>
        <w:tab/>
        <w:t>Poynard T</w:t>
      </w:r>
      <w:r>
        <w:t xml:space="preserve">, Ngo Y, Munteanu M, Thabut D, Massard J, Moussalli J, Varaud A, Benhamou Y, Ratziu V. Biomarkers of liver injury for hepatitis clinical trials: a meta-analysis of longitudinal studies. </w:t>
      </w:r>
      <w:r>
        <w:rPr>
          <w:i/>
          <w:iCs/>
        </w:rPr>
        <w:t>Antivir Ther</w:t>
      </w:r>
      <w:r>
        <w:t xml:space="preserve"> 2010; </w:t>
      </w:r>
      <w:r>
        <w:rPr>
          <w:b/>
          <w:bCs/>
        </w:rPr>
        <w:t>15</w:t>
      </w:r>
      <w:r>
        <w:t>: 617-631 [PMID: 20587855 DOI: 10.3851/IMP1570]</w:t>
      </w:r>
    </w:p>
    <w:p w:rsidR="00345D80" w:rsidRDefault="00345D80" w:rsidP="00345D80">
      <w:pPr>
        <w:pStyle w:val="-1"/>
      </w:pPr>
      <w:r>
        <w:t>22</w:t>
      </w:r>
      <w:r>
        <w:rPr>
          <w:b/>
          <w:bCs/>
        </w:rPr>
        <w:tab/>
        <w:t>Castera L</w:t>
      </w:r>
      <w:r>
        <w:t xml:space="preserve">. Non-invasive assessment of liver fibrosis in chronic hepatitis C. </w:t>
      </w:r>
      <w:r>
        <w:rPr>
          <w:i/>
          <w:iCs/>
        </w:rPr>
        <w:t>Hepatol Int</w:t>
      </w:r>
      <w:r>
        <w:t xml:space="preserve"> 2011; </w:t>
      </w:r>
      <w:r>
        <w:rPr>
          <w:b/>
          <w:bCs/>
        </w:rPr>
        <w:t>5</w:t>
      </w:r>
      <w:r>
        <w:t>: 625-634 [PMID: 21484142 DOI: 10.1007/s12072-010-9240-0]</w:t>
      </w:r>
    </w:p>
    <w:p w:rsidR="00345D80" w:rsidRDefault="00345D80" w:rsidP="00345D80">
      <w:pPr>
        <w:pStyle w:val="-1"/>
      </w:pPr>
      <w:r>
        <w:t>23</w:t>
      </w:r>
      <w:r>
        <w:rPr>
          <w:b/>
          <w:bCs/>
        </w:rPr>
        <w:tab/>
        <w:t>Forns X</w:t>
      </w:r>
      <w:r>
        <w:t xml:space="preserve">, Ampurdanès S, Llovet JM, Aponte J, Quintó L, Martínez-Bauer E, Bruguera M, Sánchez-Tapias JM, Rodés J. Identification of chronic hepatitis C patients without hepatic fibrosis by a simple predictive model. </w:t>
      </w:r>
      <w:r>
        <w:rPr>
          <w:i/>
          <w:iCs/>
        </w:rPr>
        <w:t>Hepatology</w:t>
      </w:r>
      <w:r>
        <w:t xml:space="preserve"> 2002; </w:t>
      </w:r>
      <w:r>
        <w:rPr>
          <w:b/>
          <w:bCs/>
        </w:rPr>
        <w:t>36</w:t>
      </w:r>
      <w:r>
        <w:t>: 986-992 [PMID: 12297848 DOI: 10.1053/jhep.2002.36128]</w:t>
      </w:r>
    </w:p>
    <w:p w:rsidR="00345D80" w:rsidRDefault="00345D80" w:rsidP="00345D80">
      <w:pPr>
        <w:pStyle w:val="-1"/>
        <w:rPr>
          <w:spacing w:val="-2"/>
        </w:rPr>
      </w:pPr>
      <w:r>
        <w:t>24</w:t>
      </w:r>
      <w:r>
        <w:rPr>
          <w:b/>
          <w:bCs/>
        </w:rPr>
        <w:tab/>
      </w:r>
      <w:r>
        <w:rPr>
          <w:b/>
          <w:bCs/>
          <w:spacing w:val="-2"/>
        </w:rPr>
        <w:t>Sterling RK</w:t>
      </w:r>
      <w:r>
        <w:rPr>
          <w:spacing w:val="-2"/>
        </w:rPr>
        <w:t xml:space="preserve">, Lissen E, Clumeck N, Sola R, Correa MC, Montaner J, S Sulkowski M, Torriani FJ, Dieterich DT, Thomas DL, Messinger D, Nelson M. Development of a simple noninvasive index to predict significant fibrosis in patients with HIV/HCV coinfection. </w:t>
      </w:r>
      <w:r>
        <w:rPr>
          <w:i/>
          <w:iCs/>
          <w:spacing w:val="-2"/>
        </w:rPr>
        <w:t>Hepatology</w:t>
      </w:r>
      <w:r>
        <w:rPr>
          <w:spacing w:val="-2"/>
        </w:rPr>
        <w:t xml:space="preserve"> 2006; </w:t>
      </w:r>
      <w:r>
        <w:rPr>
          <w:b/>
          <w:bCs/>
          <w:spacing w:val="-2"/>
        </w:rPr>
        <w:t>43</w:t>
      </w:r>
      <w:r>
        <w:rPr>
          <w:spacing w:val="-2"/>
        </w:rPr>
        <w:t xml:space="preserve">: </w:t>
      </w:r>
      <w:r>
        <w:rPr>
          <w:spacing w:val="-2"/>
        </w:rPr>
        <w:lastRenderedPageBreak/>
        <w:t>1317-1325 [PMID: 16729309 DOI: 10.1002/hep.21178]</w:t>
      </w:r>
    </w:p>
    <w:p w:rsidR="00345D80" w:rsidRDefault="00345D80" w:rsidP="00345D80">
      <w:pPr>
        <w:pStyle w:val="-1"/>
      </w:pPr>
      <w:r>
        <w:t>25</w:t>
      </w:r>
      <w:r>
        <w:rPr>
          <w:b/>
          <w:bCs/>
        </w:rPr>
        <w:tab/>
        <w:t>Wai CT</w:t>
      </w:r>
      <w:r>
        <w:t xml:space="preserve">, Greenson JK, Fontana RJ, Kalbfleisch JD, Marrero JA, Conjeevaram HS, Lok AS. A simple noninvasive index can predict both significant fibrosis and cirrhosis in patients with chronic hepatitis C. </w:t>
      </w:r>
      <w:r>
        <w:rPr>
          <w:i/>
          <w:iCs/>
        </w:rPr>
        <w:t>Hepatology</w:t>
      </w:r>
      <w:r>
        <w:t xml:space="preserve"> 2003; </w:t>
      </w:r>
      <w:r>
        <w:rPr>
          <w:b/>
          <w:bCs/>
        </w:rPr>
        <w:t>38</w:t>
      </w:r>
      <w:r>
        <w:t>: 518-526 [PMID: 12883497 DOI: 10.1053/jhep.2003.50346]</w:t>
      </w:r>
    </w:p>
    <w:p w:rsidR="00345D80" w:rsidRDefault="00345D80" w:rsidP="00345D80">
      <w:pPr>
        <w:pStyle w:val="-1"/>
      </w:pPr>
      <w:r>
        <w:t>26</w:t>
      </w:r>
      <w:r>
        <w:rPr>
          <w:b/>
          <w:bCs/>
        </w:rPr>
        <w:tab/>
        <w:t>Koda M</w:t>
      </w:r>
      <w:r>
        <w:t xml:space="preserve">, Matunaga Y, Kawakami M, Kishimoto Y, Suou T, Murawaki Y. FibroIndex, a practical index for predicting significant fibrosis in patients with chronic hepatitis C. </w:t>
      </w:r>
      <w:r>
        <w:rPr>
          <w:i/>
          <w:iCs/>
        </w:rPr>
        <w:t>Hepatology</w:t>
      </w:r>
      <w:r>
        <w:t xml:space="preserve"> 2007; </w:t>
      </w:r>
      <w:r>
        <w:rPr>
          <w:b/>
          <w:bCs/>
        </w:rPr>
        <w:t>45</w:t>
      </w:r>
      <w:r>
        <w:t>: 297-306 [PMID: 17256741 DOI: 10.1002/hep.21520]</w:t>
      </w:r>
    </w:p>
    <w:p w:rsidR="00345D80" w:rsidRDefault="00345D80" w:rsidP="00345D80">
      <w:pPr>
        <w:pStyle w:val="-1"/>
      </w:pPr>
      <w:r>
        <w:t>27</w:t>
      </w:r>
      <w:r>
        <w:rPr>
          <w:b/>
          <w:bCs/>
        </w:rPr>
        <w:tab/>
        <w:t>Halfon P</w:t>
      </w:r>
      <w:r>
        <w:t xml:space="preserve">, Bacq Y, De Muret A, Penaranda G, Bourliere M, Ouzan D, Tran A, Botta D, Renou C, Bréchot MC, Degott C, Paradis V. Comparison of test performance profile for blood tests of liver fibrosis in chronic hepatitis C. </w:t>
      </w:r>
      <w:r>
        <w:rPr>
          <w:i/>
          <w:iCs/>
        </w:rPr>
        <w:t>J Hepatol</w:t>
      </w:r>
      <w:r>
        <w:t xml:space="preserve"> 2007; </w:t>
      </w:r>
      <w:r>
        <w:rPr>
          <w:b/>
          <w:bCs/>
        </w:rPr>
        <w:t>46</w:t>
      </w:r>
      <w:r>
        <w:t>: 395-402 [PMID: 17156890 DOI: 10.1016/j.jhep.2006.09.020]</w:t>
      </w:r>
    </w:p>
    <w:p w:rsidR="00345D80" w:rsidRDefault="00345D80" w:rsidP="00345D80">
      <w:pPr>
        <w:pStyle w:val="-1"/>
      </w:pPr>
      <w:r>
        <w:t>28</w:t>
      </w:r>
      <w:r>
        <w:rPr>
          <w:b/>
          <w:bCs/>
        </w:rPr>
        <w:tab/>
        <w:t>Kawasaki T</w:t>
      </w:r>
      <w:r>
        <w:t xml:space="preserve">, Takeshita A, Souda K, Kobayashi Y, Kikuyama M, Suzuki F, Kageyama F, Sasada Y, Shimizu E, Murohisa G, Koide S, Yoshimi T, Nakamura H, Ohno R. Serum thrombopoietin levels in patients with chronic hepatitis and liver cirrhosis. </w:t>
      </w:r>
      <w:r>
        <w:rPr>
          <w:i/>
          <w:iCs/>
        </w:rPr>
        <w:t>Am J Gastroenterol</w:t>
      </w:r>
      <w:r>
        <w:t xml:space="preserve"> 1999; </w:t>
      </w:r>
      <w:r>
        <w:rPr>
          <w:b/>
          <w:bCs/>
        </w:rPr>
        <w:t>94</w:t>
      </w:r>
      <w:r>
        <w:t>: 1918-1922 [PMID: 10406260 DOI: 10.1111/j.1572-0241.1999.01231.x]</w:t>
      </w:r>
    </w:p>
    <w:p w:rsidR="00345D80" w:rsidRDefault="00345D80" w:rsidP="00345D80">
      <w:pPr>
        <w:pStyle w:val="-1"/>
      </w:pPr>
      <w:r>
        <w:t>29</w:t>
      </w:r>
      <w:r>
        <w:rPr>
          <w:b/>
          <w:bCs/>
        </w:rPr>
        <w:tab/>
        <w:t>Macaluso FS</w:t>
      </w:r>
      <w:r>
        <w:t xml:space="preserve">, Maida M, Minissale MG, Li Vigni T, Attardo S, Orlando E, Petta S. Metabolic factors and chronic hepatitis C: a complex interplay. </w:t>
      </w:r>
      <w:r>
        <w:rPr>
          <w:i/>
          <w:iCs/>
        </w:rPr>
        <w:t>Biomed Res Int</w:t>
      </w:r>
      <w:r>
        <w:t xml:space="preserve"> 2013; </w:t>
      </w:r>
      <w:r>
        <w:rPr>
          <w:b/>
          <w:bCs/>
        </w:rPr>
        <w:t>2013</w:t>
      </w:r>
      <w:r>
        <w:t>: 564645 [PMID: 23956991 DOI: 10.1155/2013/564645]</w:t>
      </w:r>
    </w:p>
    <w:p w:rsidR="00345D80" w:rsidRDefault="00345D80" w:rsidP="00345D80">
      <w:pPr>
        <w:pStyle w:val="-1"/>
      </w:pPr>
      <w:r>
        <w:t>30</w:t>
      </w:r>
      <w:r>
        <w:rPr>
          <w:b/>
          <w:bCs/>
        </w:rPr>
        <w:tab/>
        <w:t>Sud A</w:t>
      </w:r>
      <w:r>
        <w:t xml:space="preserve">, Hui JM, Farrell GC, Bandara P, Kench JG, Fung C, Lin R, Samarasinghe D, Liddle C, McCaughan GW, George J. Improved prediction of fibrosis in chronic hepatitis C using measures of insulin resistance in a probability index. </w:t>
      </w:r>
      <w:r>
        <w:rPr>
          <w:i/>
          <w:iCs/>
        </w:rPr>
        <w:t>Hepatology</w:t>
      </w:r>
      <w:r>
        <w:t xml:space="preserve"> 2004; </w:t>
      </w:r>
      <w:r>
        <w:rPr>
          <w:b/>
          <w:bCs/>
        </w:rPr>
        <w:t>39</w:t>
      </w:r>
      <w:r>
        <w:t>: 1239-1247 [PMID: 15122752 DOI: 10.1002/hep.20207]</w:t>
      </w:r>
    </w:p>
    <w:p w:rsidR="00345D80" w:rsidRDefault="00345D80" w:rsidP="00345D80">
      <w:pPr>
        <w:pStyle w:val="-1"/>
        <w:rPr>
          <w:spacing w:val="-2"/>
        </w:rPr>
      </w:pPr>
      <w:r>
        <w:t>31</w:t>
      </w:r>
      <w:r>
        <w:rPr>
          <w:b/>
          <w:bCs/>
        </w:rPr>
        <w:tab/>
      </w:r>
      <w:r>
        <w:rPr>
          <w:b/>
          <w:bCs/>
          <w:spacing w:val="-2"/>
        </w:rPr>
        <w:t>Bataller R</w:t>
      </w:r>
      <w:r>
        <w:rPr>
          <w:spacing w:val="-2"/>
        </w:rPr>
        <w:t xml:space="preserve">, Ginès P, Nicolás JM, Görbig MN, Garcia-Ramallo E, Gasull X, Bosch J, Arroyo V, Rodés J. Angiotensin II induces contraction and proliferation of human hepatic stellate cells. </w:t>
      </w:r>
      <w:r>
        <w:rPr>
          <w:i/>
          <w:iCs/>
          <w:spacing w:val="-2"/>
        </w:rPr>
        <w:t>Gastroenterology</w:t>
      </w:r>
      <w:r>
        <w:rPr>
          <w:spacing w:val="-2"/>
        </w:rPr>
        <w:t xml:space="preserve"> 2000; </w:t>
      </w:r>
      <w:r>
        <w:rPr>
          <w:b/>
          <w:bCs/>
          <w:spacing w:val="-2"/>
        </w:rPr>
        <w:t>118</w:t>
      </w:r>
      <w:r>
        <w:rPr>
          <w:spacing w:val="-2"/>
        </w:rPr>
        <w:t>: 1149-1156 [PMID: 10833490 DOI: 10.1016/S0016-5085(00)70368-4]</w:t>
      </w:r>
    </w:p>
    <w:p w:rsidR="00345D80" w:rsidRDefault="00345D80" w:rsidP="00345D80">
      <w:pPr>
        <w:pStyle w:val="-1"/>
      </w:pPr>
      <w:r>
        <w:t>32</w:t>
      </w:r>
      <w:r>
        <w:rPr>
          <w:b/>
          <w:bCs/>
        </w:rPr>
        <w:tab/>
        <w:t>Degos F</w:t>
      </w:r>
      <w:r>
        <w:t xml:space="preserve">, Perez P, Roche B, Mahmoudi A, Asselineau J, Voitot H, Bedossa P. Diagnostic accuracy of FibroScan and comparison to liver fibrosis biomarkers in chronic viral hepatitis: a multicenter prospective study (the FIBROSTIC study). </w:t>
      </w:r>
      <w:r>
        <w:rPr>
          <w:i/>
          <w:iCs/>
        </w:rPr>
        <w:t>J Hepatol</w:t>
      </w:r>
      <w:r>
        <w:t xml:space="preserve"> 2010; </w:t>
      </w:r>
      <w:r>
        <w:rPr>
          <w:b/>
          <w:bCs/>
        </w:rPr>
        <w:t>53</w:t>
      </w:r>
      <w:r>
        <w:t>: 1013-1021 [PMID: 20850886 DOI: 10.1016/j.jhep.2010.05.035]</w:t>
      </w:r>
    </w:p>
    <w:p w:rsidR="00345D80" w:rsidRDefault="00345D80" w:rsidP="00345D80">
      <w:pPr>
        <w:pStyle w:val="-1"/>
        <w:rPr>
          <w:spacing w:val="-2"/>
        </w:rPr>
      </w:pPr>
      <w:r>
        <w:t>33</w:t>
      </w:r>
      <w:r>
        <w:rPr>
          <w:b/>
          <w:bCs/>
        </w:rPr>
        <w:tab/>
      </w:r>
      <w:r>
        <w:rPr>
          <w:b/>
          <w:bCs/>
          <w:spacing w:val="-2"/>
        </w:rPr>
        <w:t>Poynard T</w:t>
      </w:r>
      <w:r>
        <w:rPr>
          <w:spacing w:val="-2"/>
        </w:rPr>
        <w:t xml:space="preserve">, Morra R, Halfon P, Castera L, Ratziu V, Imbert-Bismut F, Naveau S, Thabut D, Lebrec D, Zoulim F, Bourliere M, Cacoub P, Messous D, Munteanu M, de Ledinghen V. Meta-analyses of FibroTest diagnostic value in chronic liver disease. </w:t>
      </w:r>
      <w:r>
        <w:rPr>
          <w:i/>
          <w:iCs/>
          <w:spacing w:val="-2"/>
        </w:rPr>
        <w:t>BMC Gastroenterol</w:t>
      </w:r>
      <w:r>
        <w:rPr>
          <w:spacing w:val="-2"/>
        </w:rPr>
        <w:t xml:space="preserve"> 2007; </w:t>
      </w:r>
      <w:r>
        <w:rPr>
          <w:b/>
          <w:bCs/>
          <w:spacing w:val="-2"/>
        </w:rPr>
        <w:t>7</w:t>
      </w:r>
      <w:r>
        <w:rPr>
          <w:spacing w:val="-2"/>
        </w:rPr>
        <w:t>: 40 [PMID: 17937811 DOI: 10.1186/1471- 230X-7-40]</w:t>
      </w:r>
    </w:p>
    <w:p w:rsidR="00345D80" w:rsidRDefault="00345D80" w:rsidP="00345D80">
      <w:pPr>
        <w:pStyle w:val="-1"/>
      </w:pPr>
      <w:r>
        <w:t>34</w:t>
      </w:r>
      <w:r>
        <w:rPr>
          <w:b/>
          <w:bCs/>
        </w:rPr>
        <w:tab/>
        <w:t>Attallah AM</w:t>
      </w:r>
      <w:r>
        <w:t xml:space="preserve">, Abdallah SO, Attallah AA, Omran MM, Farid K, Nasif WA, Shiha GE, Abdel-Aziz AA, Rasafy N, Shaker YM. Diagnostic value of fibronectin discriminant score for predicting liver fibrosis stages in chronic hepatitis C virus patients. </w:t>
      </w:r>
      <w:r>
        <w:rPr>
          <w:i/>
          <w:iCs/>
        </w:rPr>
        <w:t>Ann Hepatol</w:t>
      </w:r>
      <w:r>
        <w:t xml:space="preserve"> 2013; </w:t>
      </w:r>
      <w:r>
        <w:rPr>
          <w:b/>
          <w:bCs/>
        </w:rPr>
        <w:t>12</w:t>
      </w:r>
      <w:r>
        <w:t>: 44-53 [PMID: 23293193]</w:t>
      </w:r>
    </w:p>
    <w:p w:rsidR="00345D80" w:rsidRDefault="00345D80" w:rsidP="00345D80">
      <w:pPr>
        <w:pStyle w:val="-1"/>
      </w:pPr>
      <w:r>
        <w:t>35</w:t>
      </w:r>
      <w:r>
        <w:rPr>
          <w:b/>
          <w:bCs/>
        </w:rPr>
        <w:tab/>
        <w:t>Crisan D</w:t>
      </w:r>
      <w:r>
        <w:t>, Radu C, Lupsor M, Sparchez Z, Grigorescu MD, Grigorescu M. Two or more synchronous combination of non</w:t>
      </w:r>
      <w:r>
        <w:softHyphen/>
        <w:t xml:space="preserve">invasive tests to increase accuracy of liver fibrosis assessement in chronic hepatitis C; results from a cohort of 446 patients. </w:t>
      </w:r>
      <w:r>
        <w:rPr>
          <w:i/>
          <w:iCs/>
        </w:rPr>
        <w:t>Hepat Mon</w:t>
      </w:r>
      <w:r>
        <w:t xml:space="preserve"> 2012; </w:t>
      </w:r>
      <w:r>
        <w:rPr>
          <w:b/>
          <w:bCs/>
        </w:rPr>
        <w:t>12</w:t>
      </w:r>
      <w:r>
        <w:t>: 177-184 [PMID: 22550525 DOI: 10.5812/hepatmon.853]</w:t>
      </w:r>
    </w:p>
    <w:p w:rsidR="00345D80" w:rsidRDefault="00345D80" w:rsidP="00345D80">
      <w:pPr>
        <w:pStyle w:val="-1"/>
      </w:pPr>
      <w:r>
        <w:t>36</w:t>
      </w:r>
      <w:r>
        <w:rPr>
          <w:b/>
          <w:bCs/>
        </w:rPr>
        <w:tab/>
        <w:t>Chisti MJ</w:t>
      </w:r>
      <w:r>
        <w:t xml:space="preserve">, Graham SM, Duke T, Ahmed T, Ashraf H, Faruque AS, La Vincente S, Banu S, Raqib R, Salam MA. A prospective study of the prevalence of tuberculosis and bacteraemia in Bangladeshi children with severe malnutrition and pneumonia including an evaluation of Xpert MTB/RIF assay. </w:t>
      </w:r>
      <w:r>
        <w:rPr>
          <w:i/>
          <w:iCs/>
        </w:rPr>
        <w:t>PLoS One</w:t>
      </w:r>
      <w:r>
        <w:t xml:space="preserve"> 2014; </w:t>
      </w:r>
      <w:r>
        <w:rPr>
          <w:b/>
          <w:bCs/>
        </w:rPr>
        <w:t>9</w:t>
      </w:r>
      <w:r>
        <w:t>: e93776 [PMID: 24695758 DOI: 10.1371/journal.pone.0093776]</w:t>
      </w:r>
    </w:p>
    <w:p w:rsidR="00345D80" w:rsidRDefault="00345D80" w:rsidP="00345D80">
      <w:pPr>
        <w:pStyle w:val="-1"/>
      </w:pPr>
      <w:r>
        <w:t>37</w:t>
      </w:r>
      <w:r>
        <w:rPr>
          <w:b/>
          <w:bCs/>
        </w:rPr>
        <w:tab/>
        <w:t>Poynard T</w:t>
      </w:r>
      <w:r>
        <w:t xml:space="preserve">, de Ledinghen V, Zarski JP, Stanciu C, Munteanu M, Vergniol J, France J, Trifan A, Le Naour G, Vaillant JC, Ratziu V, Charlotte F. Relative performances of FibroTest, Fibroscan, and biopsy for the assessment of the stage of liver fibrosis in patients with chronic hepatitis C: a step toward the truth in the absence of a gold standard. </w:t>
      </w:r>
      <w:r>
        <w:rPr>
          <w:i/>
          <w:iCs/>
        </w:rPr>
        <w:t>J Hepatol</w:t>
      </w:r>
      <w:r>
        <w:t xml:space="preserve"> 2012; </w:t>
      </w:r>
      <w:r>
        <w:rPr>
          <w:b/>
          <w:bCs/>
        </w:rPr>
        <w:t>56</w:t>
      </w:r>
      <w:r>
        <w:t>: 541-548 [PMID: 21889468 DOI: 10.1016/j.jhep.2011.08.007]</w:t>
      </w:r>
    </w:p>
    <w:p w:rsidR="00345D80" w:rsidRDefault="00345D80" w:rsidP="00345D80">
      <w:pPr>
        <w:pStyle w:val="-1"/>
      </w:pPr>
      <w:r>
        <w:t>38</w:t>
      </w:r>
      <w:r>
        <w:rPr>
          <w:b/>
          <w:bCs/>
        </w:rPr>
        <w:tab/>
        <w:t>Lee YA</w:t>
      </w:r>
      <w:r>
        <w:t xml:space="preserve">, Friedman SL. Reversal, maintenance or progression: what happens to the liver after a virologic cure of hepatitis C? </w:t>
      </w:r>
      <w:r>
        <w:rPr>
          <w:i/>
          <w:iCs/>
        </w:rPr>
        <w:t>Antiviral Res</w:t>
      </w:r>
      <w:r>
        <w:t xml:space="preserve"> 2014; </w:t>
      </w:r>
      <w:r>
        <w:rPr>
          <w:b/>
          <w:bCs/>
        </w:rPr>
        <w:t>107</w:t>
      </w:r>
      <w:r>
        <w:t>: 23-30 [PMID: 24726738 DOI: 10.1016/j.antiviral.2014.03.012]</w:t>
      </w:r>
    </w:p>
    <w:p w:rsidR="00345D80" w:rsidRDefault="00345D80" w:rsidP="00345D80">
      <w:pPr>
        <w:pStyle w:val="-1"/>
        <w:rPr>
          <w:spacing w:val="-2"/>
        </w:rPr>
      </w:pPr>
      <w:r>
        <w:t>39</w:t>
      </w:r>
      <w:r>
        <w:rPr>
          <w:b/>
          <w:bCs/>
        </w:rPr>
        <w:tab/>
      </w:r>
      <w:r>
        <w:rPr>
          <w:b/>
          <w:bCs/>
          <w:spacing w:val="-2"/>
        </w:rPr>
        <w:t>Poynard T</w:t>
      </w:r>
      <w:r>
        <w:rPr>
          <w:spacing w:val="-2"/>
        </w:rPr>
        <w:t xml:space="preserve">, Vergniol J, Ngo Y, Foucher J, Munteanu M, Merrouche W, Colombo M, Thibault V, Schiff E, Brass CA, Albrecht JK, Rudler M, Deckmyn O, Lebray P, Thabut D, Ratziu V, de Ledinghen V. Staging chronic hepatitis C in seven categories using fibrosis </w:t>
      </w:r>
      <w:r>
        <w:rPr>
          <w:spacing w:val="-3"/>
        </w:rPr>
        <w:t>biomarker (FibroTest™) and transient elastography (FibroScan</w:t>
      </w:r>
      <w:r>
        <w:rPr>
          <w:spacing w:val="-2"/>
        </w:rPr>
        <w:t xml:space="preserve">®). </w:t>
      </w:r>
      <w:r>
        <w:rPr>
          <w:i/>
          <w:iCs/>
          <w:spacing w:val="-2"/>
        </w:rPr>
        <w:t>J Hepatol</w:t>
      </w:r>
      <w:r>
        <w:rPr>
          <w:spacing w:val="-2"/>
        </w:rPr>
        <w:t xml:space="preserve"> 2014; </w:t>
      </w:r>
      <w:r>
        <w:rPr>
          <w:b/>
          <w:bCs/>
          <w:spacing w:val="-2"/>
        </w:rPr>
        <w:t>60</w:t>
      </w:r>
      <w:r>
        <w:rPr>
          <w:spacing w:val="-2"/>
        </w:rPr>
        <w:t>: 706-714 [PMID: 24291240 DOI: 10.1016/j.jhep.2013.11.016]</w:t>
      </w:r>
    </w:p>
    <w:p w:rsidR="00345D80" w:rsidRDefault="00345D80" w:rsidP="00345D80">
      <w:pPr>
        <w:pStyle w:val="-1"/>
        <w:rPr>
          <w:b/>
          <w:bCs/>
        </w:rPr>
      </w:pPr>
    </w:p>
    <w:p w:rsidR="00345D80" w:rsidRDefault="00345D80" w:rsidP="00345D80">
      <w:r>
        <w:t>Figure Legends</w:t>
      </w:r>
    </w:p>
    <w:p w:rsidR="00345D80" w:rsidRDefault="00345D80" w:rsidP="00345D80">
      <w:pPr>
        <w:pStyle w:val="8BF4"/>
        <w:rPr>
          <w:rFonts w:hint="eastAsia"/>
          <w:b/>
          <w:bCs/>
        </w:rPr>
      </w:pPr>
      <w:r>
        <w:rPr>
          <w:b/>
          <w:bCs/>
          <w:noProof/>
        </w:rPr>
        <w:lastRenderedPageBreak/>
        <w:drawing>
          <wp:inline distT="0" distB="0" distL="0" distR="0">
            <wp:extent cx="2148560" cy="2114874"/>
            <wp:effectExtent l="0" t="0" r="4445" b="0"/>
            <wp:docPr id="8" name="图片 8" descr="D:\排版、组版\WJH\WJHv8i32\pmc-32\fig\WJH-8-1392-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排版、组版\WJH\WJHv8i32\pmc-32\fig\WJH-8-1392-g00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7688" cy="2114016"/>
                    </a:xfrm>
                    <a:prstGeom prst="rect">
                      <a:avLst/>
                    </a:prstGeom>
                    <a:noFill/>
                    <a:ln>
                      <a:noFill/>
                    </a:ln>
                  </pic:spPr>
                </pic:pic>
              </a:graphicData>
            </a:graphic>
          </wp:inline>
        </w:drawing>
      </w:r>
    </w:p>
    <w:p w:rsidR="00345D80" w:rsidRDefault="00345D80" w:rsidP="00345D80">
      <w:pPr>
        <w:pStyle w:val="8BF4"/>
      </w:pPr>
      <w:r>
        <w:rPr>
          <w:b/>
          <w:bCs/>
        </w:rPr>
        <w:t>Figure 1  Receiving operating characteristic curve for discriminating mild fibrosis.</w:t>
      </w:r>
      <w:r>
        <w:t xml:space="preserve"> At cut off value: -0.31 or more negative: AUC 0.88, 95%CI: 0.84 -0.91, sensitivity 67.2%, specificity 6.3%, PPV 83.6%, NPV 69.5%, PLR 4.9 and NLR 0.38. AUC: Area under the curve; PPV: Positive predictive value; NPV: Negative predictive value; PLR: Positive likelihood ratio; NLR: Negative likelihood ratio; ROC: Receiving operating characteristic.</w:t>
      </w:r>
    </w:p>
    <w:p w:rsidR="00345D80" w:rsidRDefault="00345D80" w:rsidP="00345D80">
      <w:pPr>
        <w:pStyle w:val="8BF4"/>
        <w:rPr>
          <w:rFonts w:hint="eastAsia"/>
          <w:b/>
          <w:bCs/>
        </w:rPr>
      </w:pPr>
      <w:r>
        <w:rPr>
          <w:b/>
          <w:bCs/>
          <w:noProof/>
        </w:rPr>
        <w:drawing>
          <wp:inline distT="0" distB="0" distL="0" distR="0">
            <wp:extent cx="2429051" cy="2390967"/>
            <wp:effectExtent l="0" t="0" r="0" b="9525"/>
            <wp:docPr id="9" name="图片 9" descr="D:\排版、组版\WJH\WJHv8i32\pmc-32\fig\WJH-8-1392-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排版、组版\WJH\WJHv8i32\pmc-32\fig\WJH-8-1392-g00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8065" cy="2389997"/>
                    </a:xfrm>
                    <a:prstGeom prst="rect">
                      <a:avLst/>
                    </a:prstGeom>
                    <a:noFill/>
                    <a:ln>
                      <a:noFill/>
                    </a:ln>
                  </pic:spPr>
                </pic:pic>
              </a:graphicData>
            </a:graphic>
          </wp:inline>
        </w:drawing>
      </w:r>
    </w:p>
    <w:p w:rsidR="00345D80" w:rsidRDefault="00345D80" w:rsidP="00345D80">
      <w:pPr>
        <w:pStyle w:val="8BF4"/>
      </w:pPr>
      <w:r>
        <w:rPr>
          <w:b/>
          <w:bCs/>
        </w:rPr>
        <w:t>Figure 2  Receiving operating characteristic curve for discriminating advanced fibrosis.</w:t>
      </w:r>
      <w:r>
        <w:t xml:space="preserve"> At cut off value &gt; 0.86: AUC 0.91, 95%CI: 0.88-0.94, sensitivity 73%, specificity 90.9%, PPV 74.4%, NPV 90.1%, PLR 8.0 and NLR 0.3. PPV: Positive predictive value; NPV: Negative predictive value; PLR: Positive likelihood ratio; NLR: Negative likelihood ratio; ROC: Receiving operating characteristic.</w:t>
      </w:r>
    </w:p>
    <w:p w:rsidR="00345D80" w:rsidRDefault="00345D80" w:rsidP="00345D80">
      <w:pPr>
        <w:pStyle w:val="8BF4"/>
        <w:rPr>
          <w:rFonts w:hint="eastAsia"/>
          <w:b/>
          <w:bCs/>
        </w:rPr>
      </w:pPr>
      <w:r>
        <w:rPr>
          <w:b/>
          <w:bCs/>
          <w:noProof/>
        </w:rPr>
        <w:drawing>
          <wp:inline distT="0" distB="0" distL="0" distR="0">
            <wp:extent cx="2389782" cy="2213486"/>
            <wp:effectExtent l="0" t="0" r="0" b="0"/>
            <wp:docPr id="10" name="图片 10" descr="D:\排版、组版\WJH\WJHv8i32\pmc-32\fig\WJH-8-1392-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排版、组版\WJH\WJHv8i32\pmc-32\fig\WJH-8-1392-g003.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1461" cy="2215041"/>
                    </a:xfrm>
                    <a:prstGeom prst="rect">
                      <a:avLst/>
                    </a:prstGeom>
                    <a:noFill/>
                    <a:ln>
                      <a:noFill/>
                    </a:ln>
                  </pic:spPr>
                </pic:pic>
              </a:graphicData>
            </a:graphic>
          </wp:inline>
        </w:drawing>
      </w:r>
    </w:p>
    <w:p w:rsidR="00345D80" w:rsidRDefault="00345D80" w:rsidP="00345D80">
      <w:pPr>
        <w:pStyle w:val="8BF4"/>
      </w:pPr>
      <w:r>
        <w:rPr>
          <w:b/>
          <w:bCs/>
        </w:rPr>
        <w:t xml:space="preserve">Figure 3  Receiving operating characteristic curve for discriminating moderate fibrosis. </w:t>
      </w:r>
      <w:r>
        <w:t>At cut off value &gt; -0.31 up to +0.86: AUC 0.64, 95%CI: 0.61-0.74, sensitivity 53.1%, specificity 74.1%, PPV 33%, NPV 86.8%, PLR 2.0 and NLR 0.63. AUC: Area under the curve; PPV: Positive predictive value; NPV: Negative predictive value; PLR: Positive likelihood ratio; NLR: Negative likelihood ratio; ROC: Receiving operating characteristic.</w:t>
      </w:r>
    </w:p>
    <w:p w:rsidR="00345D80" w:rsidRPr="00E448B1" w:rsidRDefault="00345D80" w:rsidP="00345D80"/>
    <w:p w:rsidR="00345D80" w:rsidRDefault="00345D80" w:rsidP="00345D80">
      <w:pPr>
        <w:rPr>
          <w:rFonts w:hint="eastAsia"/>
        </w:rPr>
      </w:pPr>
      <w:r>
        <w:lastRenderedPageBreak/>
        <w:t>Footnotes</w:t>
      </w:r>
    </w:p>
    <w:p w:rsidR="00345D80" w:rsidRDefault="00345D80" w:rsidP="00345D80">
      <w:pPr>
        <w:pStyle w:val="af"/>
        <w:rPr>
          <w:b/>
          <w:bCs/>
        </w:rPr>
      </w:pPr>
      <w:r>
        <w:rPr>
          <w:rFonts w:ascii="Tahoma" w:hAnsi="Tahoma" w:cs="Tahoma"/>
          <w:lang w:val="it-IT"/>
        </w:rPr>
        <w:t>Institutional review board statement:</w:t>
      </w:r>
      <w:r>
        <w:rPr>
          <w:b/>
          <w:bCs/>
        </w:rPr>
        <w:t xml:space="preserve"> </w:t>
      </w:r>
      <w:r>
        <w:t>The study protocol was approved by the Institutional ethics committee of Minia School of medicine in Egypt. The study was conducted in accordance with the ethical guidelines of the 1975 Helsinki declaration.</w:t>
      </w:r>
    </w:p>
    <w:p w:rsidR="00345D80" w:rsidRDefault="00345D80" w:rsidP="00345D80">
      <w:pPr>
        <w:pStyle w:val="af"/>
        <w:rPr>
          <w:b/>
          <w:bCs/>
        </w:rPr>
      </w:pPr>
      <w:r>
        <w:rPr>
          <w:rFonts w:ascii="Tahoma" w:hAnsi="Tahoma" w:cs="Tahoma"/>
          <w:lang w:val="it-IT"/>
        </w:rPr>
        <w:t>Informed consent statement:</w:t>
      </w:r>
      <w:r>
        <w:rPr>
          <w:b/>
          <w:bCs/>
        </w:rPr>
        <w:t xml:space="preserve"> </w:t>
      </w:r>
      <w:r>
        <w:t>All patients signed informed consent to participate in the study.</w:t>
      </w:r>
    </w:p>
    <w:p w:rsidR="00345D80" w:rsidRDefault="00345D80" w:rsidP="00345D80">
      <w:pPr>
        <w:pStyle w:val="af"/>
        <w:rPr>
          <w:b/>
          <w:bCs/>
        </w:rPr>
      </w:pPr>
      <w:r>
        <w:rPr>
          <w:rFonts w:ascii="Tahoma" w:hAnsi="Tahoma" w:cs="Tahoma"/>
          <w:lang w:val="it-IT"/>
        </w:rPr>
        <w:t>Conflict-of-interest statement</w:t>
      </w:r>
      <w:r w:rsidRPr="00E448B1">
        <w:rPr>
          <w:rFonts w:ascii="Tahoma" w:hAnsi="Tahoma" w:cs="Tahoma"/>
        </w:rPr>
        <w:t>:</w:t>
      </w:r>
      <w:r>
        <w:rPr>
          <w:b/>
          <w:bCs/>
        </w:rPr>
        <w:t xml:space="preserve"> </w:t>
      </w:r>
      <w:r>
        <w:t>The authors declare that they have no competing interests.</w:t>
      </w:r>
    </w:p>
    <w:p w:rsidR="00345D80" w:rsidRDefault="00345D80" w:rsidP="00345D80">
      <w:pPr>
        <w:pStyle w:val="af"/>
      </w:pPr>
      <w:r>
        <w:rPr>
          <w:rFonts w:ascii="Tahoma" w:hAnsi="Tahoma" w:cs="Tahoma"/>
          <w:lang w:val="it-IT"/>
        </w:rPr>
        <w:t>Data sharing statement</w:t>
      </w:r>
      <w:r w:rsidRPr="00E448B1">
        <w:rPr>
          <w:rFonts w:ascii="Tahoma" w:hAnsi="Tahoma" w:cs="Tahoma"/>
        </w:rPr>
        <w:t>:</w:t>
      </w:r>
      <w:r>
        <w:rPr>
          <w:b/>
          <w:bCs/>
        </w:rPr>
        <w:t xml:space="preserve"> </w:t>
      </w:r>
      <w:r>
        <w:t>Participants gave informed consent to share in the study anonymously and risk of identification is low.</w:t>
      </w:r>
    </w:p>
    <w:p w:rsidR="00345D80" w:rsidRPr="00E448B1" w:rsidRDefault="00345D80" w:rsidP="00345D80">
      <w:pPr>
        <w:pStyle w:val="af"/>
        <w:rPr>
          <w:rFonts w:ascii="Tahoma" w:hAnsi="Tahoma" w:cs="Tahoma"/>
          <w:spacing w:val="0"/>
        </w:rPr>
      </w:pPr>
      <w:r>
        <w:rPr>
          <w:rFonts w:ascii="Tahoma" w:hAnsi="Tahoma" w:cs="Tahoma"/>
          <w:lang w:val="it-IT"/>
        </w:rPr>
        <w:t>Open-Access:</w:t>
      </w:r>
      <w:r>
        <w:rPr>
          <w:lang w:val="it-IT"/>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345D80" w:rsidRDefault="00345D80" w:rsidP="00345D80">
      <w:pPr>
        <w:pStyle w:val="af"/>
      </w:pPr>
      <w:r>
        <w:rPr>
          <w:rFonts w:ascii="Tahoma" w:hAnsi="Tahoma" w:cs="Tahoma"/>
        </w:rPr>
        <w:t>Manuscript source:</w:t>
      </w:r>
      <w:r>
        <w:t xml:space="preserve"> Invited manuscript</w:t>
      </w:r>
    </w:p>
    <w:p w:rsidR="00345D80" w:rsidRDefault="00345D80" w:rsidP="00345D80">
      <w:pPr>
        <w:pStyle w:val="af"/>
        <w:rPr>
          <w:b/>
          <w:bCs/>
        </w:rPr>
      </w:pPr>
      <w:r>
        <w:rPr>
          <w:rFonts w:ascii="Tahoma" w:hAnsi="Tahoma" w:cs="Tahoma"/>
        </w:rPr>
        <w:t>Peer-review started:</w:t>
      </w:r>
      <w:r>
        <w:t xml:space="preserve"> June 26, 2016 </w:t>
      </w:r>
    </w:p>
    <w:p w:rsidR="00345D80" w:rsidRDefault="00345D80" w:rsidP="00345D80">
      <w:pPr>
        <w:pStyle w:val="af"/>
        <w:rPr>
          <w:b/>
          <w:bCs/>
        </w:rPr>
      </w:pPr>
      <w:r>
        <w:rPr>
          <w:rFonts w:ascii="Tahoma" w:hAnsi="Tahoma" w:cs="Tahoma"/>
        </w:rPr>
        <w:t>First decision:</w:t>
      </w:r>
      <w:r>
        <w:rPr>
          <w:b/>
          <w:bCs/>
        </w:rPr>
        <w:t xml:space="preserve"> </w:t>
      </w:r>
      <w:r>
        <w:t>September 2, 2016</w:t>
      </w:r>
    </w:p>
    <w:p w:rsidR="00345D80" w:rsidRDefault="00345D80" w:rsidP="00345D80">
      <w:pPr>
        <w:pStyle w:val="af"/>
      </w:pPr>
      <w:r>
        <w:rPr>
          <w:rFonts w:ascii="Tahoma" w:hAnsi="Tahoma" w:cs="Tahoma"/>
        </w:rPr>
        <w:t>Article in press:</w:t>
      </w:r>
      <w:r>
        <w:t xml:space="preserve"> </w:t>
      </w:r>
      <w:r>
        <w:rPr>
          <w:rStyle w:val="5F3A8C03"/>
          <w:i w:val="0"/>
          <w:iCs w:val="0"/>
        </w:rPr>
        <w:t>October 9</w:t>
      </w:r>
      <w:r>
        <w:t>, 2016</w:t>
      </w:r>
    </w:p>
    <w:p w:rsidR="00345D80" w:rsidRPr="00E448B1" w:rsidRDefault="00345D80" w:rsidP="00345D80">
      <w:pPr>
        <w:pStyle w:val="af3"/>
        <w:rPr>
          <w:rFonts w:ascii="Times New Roman" w:hAnsi="Times New Roman" w:cs="Times New Roman"/>
        </w:rPr>
      </w:pPr>
      <w:r>
        <w:rPr>
          <w:rFonts w:ascii="Times New Roman" w:hAnsi="Times New Roman" w:cs="Times New Roman"/>
          <w:b/>
          <w:bCs/>
          <w:spacing w:val="-1"/>
        </w:rPr>
        <w:t>P- Reviewer</w:t>
      </w:r>
      <w:r>
        <w:rPr>
          <w:rFonts w:ascii="Times New Roman" w:hAnsi="Times New Roman" w:cs="Times New Roman"/>
          <w:spacing w:val="-1"/>
        </w:rPr>
        <w:t xml:space="preserve">: Cabibi D, Wang Y  </w:t>
      </w:r>
      <w:r>
        <w:rPr>
          <w:rFonts w:ascii="Times New Roman" w:hAnsi="Times New Roman" w:cs="Times New Roman"/>
          <w:b/>
          <w:bCs/>
        </w:rPr>
        <w:t>S- Editor</w:t>
      </w:r>
      <w:r>
        <w:rPr>
          <w:rFonts w:ascii="Times New Roman" w:hAnsi="Times New Roman" w:cs="Times New Roman"/>
          <w:spacing w:val="-1"/>
        </w:rPr>
        <w:t>:</w:t>
      </w:r>
      <w:r>
        <w:rPr>
          <w:rFonts w:ascii="Times New Roman" w:hAnsi="Times New Roman" w:cs="Times New Roman"/>
          <w:b/>
          <w:bCs/>
        </w:rPr>
        <w:t xml:space="preserve"> </w:t>
      </w:r>
      <w:r>
        <w:rPr>
          <w:rFonts w:ascii="Times New Roman" w:hAnsi="Times New Roman" w:cs="Times New Roman"/>
        </w:rPr>
        <w:t xml:space="preserve">Ji FF  </w:t>
      </w:r>
      <w:r>
        <w:rPr>
          <w:rFonts w:ascii="Times New Roman" w:hAnsi="Times New Roman" w:cs="Times New Roman"/>
          <w:b/>
          <w:bCs/>
        </w:rPr>
        <w:t>L- Editor</w:t>
      </w:r>
      <w:r>
        <w:rPr>
          <w:rFonts w:ascii="Times New Roman" w:hAnsi="Times New Roman" w:cs="Times New Roman"/>
          <w:spacing w:val="-1"/>
        </w:rPr>
        <w:t>:</w:t>
      </w:r>
      <w:r>
        <w:rPr>
          <w:rFonts w:ascii="Times New Roman" w:hAnsi="Times New Roman" w:cs="Times New Roman"/>
        </w:rPr>
        <w:t xml:space="preserve"> A  </w:t>
      </w:r>
      <w:r>
        <w:rPr>
          <w:rFonts w:ascii="Times New Roman" w:hAnsi="Times New Roman" w:cs="Times New Roman"/>
          <w:b/>
          <w:bCs/>
        </w:rPr>
        <w:t>E- Editor</w:t>
      </w:r>
      <w:r>
        <w:rPr>
          <w:rFonts w:ascii="Times New Roman" w:hAnsi="Times New Roman" w:cs="Times New Roman"/>
          <w:spacing w:val="-1"/>
        </w:rPr>
        <w:t>:</w:t>
      </w:r>
      <w:r>
        <w:rPr>
          <w:rFonts w:ascii="Times New Roman" w:hAnsi="Times New Roman" w:cs="Times New Roman"/>
          <w:b/>
          <w:bCs/>
        </w:rPr>
        <w:t xml:space="preserve"> </w:t>
      </w:r>
      <w:r>
        <w:rPr>
          <w:rFonts w:ascii="Times New Roman" w:hAnsi="Times New Roman" w:cs="Times New Roman"/>
        </w:rPr>
        <w:t>Li D</w:t>
      </w:r>
      <w:r>
        <w:rPr>
          <w:rFonts w:ascii="Times New Roman" w:hAnsi="Times New Roman" w:cs="Times New Roman"/>
          <w:b/>
          <w:bCs/>
        </w:rPr>
        <w:t xml:space="preserve"> </w:t>
      </w:r>
    </w:p>
    <w:p w:rsidR="00345D80" w:rsidRDefault="00345D80" w:rsidP="00345D80">
      <w:pPr>
        <w:rPr>
          <w:rFonts w:hint="eastAsia"/>
        </w:rPr>
      </w:pPr>
    </w:p>
    <w:p w:rsidR="00345D80" w:rsidRDefault="00345D80" w:rsidP="00345D80">
      <w:pPr>
        <w:rPr>
          <w:rFonts w:hint="eastAsia"/>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43525" cy="18749010"/>
                <wp:effectExtent l="8255" t="9525" r="10795" b="5715"/>
                <wp:wrapSquare wrapText="bothSides"/>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8749010"/>
                        </a:xfrm>
                        <a:prstGeom prst="rect">
                          <a:avLst/>
                        </a:prstGeom>
                        <a:solidFill>
                          <a:srgbClr val="FFFFFF"/>
                        </a:solidFill>
                        <a:ln w="9525">
                          <a:solidFill>
                            <a:srgbClr val="000000"/>
                          </a:solidFill>
                          <a:miter lim="800000"/>
                          <a:headEnd/>
                          <a:tailEnd/>
                        </a:ln>
                      </wps:spPr>
                      <wps:txbx>
                        <w:txbxContent>
                          <w:p w:rsidR="00345D80" w:rsidRPr="00E448B1" w:rsidRDefault="00345D80" w:rsidP="00345D80">
                            <w:pPr>
                              <w:rPr>
                                <w:b/>
                                <w:bCs/>
                              </w:rPr>
                            </w:pPr>
                            <w:r w:rsidRPr="00E448B1">
                              <w:rPr>
                                <w:b/>
                                <w:bCs/>
                              </w:rPr>
                              <w:t>Table 1  Presentation of quantitative variable as means, standard deviation, median and quartile range by stages of fibrosis</w:t>
                            </w:r>
                          </w:p>
                          <w:tbl>
                            <w:tblPr>
                              <w:tblW w:w="9570"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246"/>
                              <w:gridCol w:w="1441"/>
                              <w:gridCol w:w="1355"/>
                              <w:gridCol w:w="1364"/>
                              <w:gridCol w:w="1448"/>
                              <w:gridCol w:w="1363"/>
                              <w:gridCol w:w="1353"/>
                            </w:tblGrid>
                            <w:tr w:rsidR="00345D80" w:rsidRPr="00E448B1" w:rsidTr="00E448B1">
                              <w:tblPrEx>
                                <w:tblCellMar>
                                  <w:top w:w="0" w:type="dxa"/>
                                  <w:left w:w="0" w:type="dxa"/>
                                  <w:bottom w:w="0" w:type="dxa"/>
                                  <w:right w:w="0" w:type="dxa"/>
                                </w:tblCellMar>
                              </w:tblPrEx>
                              <w:trPr>
                                <w:trHeight w:hRule="exact" w:val="973"/>
                              </w:trPr>
                              <w:tc>
                                <w:tcPr>
                                  <w:tcW w:w="1246" w:type="dxa"/>
                                  <w:tcBorders>
                                    <w:top w:val="single" w:sz="6" w:space="0" w:color="000000"/>
                                    <w:bottom w:val="single" w:sz="6" w:space="0" w:color="000000"/>
                                  </w:tcBorders>
                                  <w:tcMar>
                                    <w:top w:w="28" w:type="dxa"/>
                                    <w:left w:w="28" w:type="dxa"/>
                                    <w:bottom w:w="28" w:type="dxa"/>
                                    <w:right w:w="28" w:type="dxa"/>
                                  </w:tcMar>
                                </w:tcPr>
                                <w:p w:rsidR="00345D80" w:rsidRPr="00E448B1" w:rsidRDefault="00345D80">
                                  <w:pPr>
                                    <w:pStyle w:val="af4"/>
                                  </w:pPr>
                                  <w:r w:rsidRPr="00E448B1">
                                    <w:t>Variant</w:t>
                                  </w:r>
                                </w:p>
                                <w:p w:rsidR="00345D80" w:rsidRPr="00E448B1" w:rsidRDefault="00345D80">
                                  <w:pPr>
                                    <w:pStyle w:val="af4"/>
                                  </w:pPr>
                                </w:p>
                              </w:tc>
                              <w:tc>
                                <w:tcPr>
                                  <w:tcW w:w="1441" w:type="dxa"/>
                                  <w:tcBorders>
                                    <w:top w:val="single" w:sz="6" w:space="0" w:color="000000"/>
                                    <w:bottom w:val="single" w:sz="6" w:space="0" w:color="000000"/>
                                  </w:tcBorders>
                                  <w:tcMar>
                                    <w:top w:w="28" w:type="dxa"/>
                                    <w:left w:w="28" w:type="dxa"/>
                                    <w:bottom w:w="28" w:type="dxa"/>
                                    <w:right w:w="28" w:type="dxa"/>
                                  </w:tcMar>
                                </w:tcPr>
                                <w:p w:rsidR="00345D80" w:rsidRPr="00E448B1" w:rsidRDefault="00345D80">
                                  <w:pPr>
                                    <w:pStyle w:val="af4"/>
                                    <w:jc w:val="center"/>
                                  </w:pPr>
                                  <w:r w:rsidRPr="00E448B1">
                                    <w:t>Total (</w:t>
                                  </w:r>
                                  <w:r w:rsidRPr="00E448B1">
                                    <w:rPr>
                                      <w:rFonts w:ascii="Albertus Italic" w:hAnsi="Albertus Italic" w:cs="Albertus Italic"/>
                                      <w:bCs w:val="0"/>
                                      <w:i/>
                                      <w:iCs/>
                                    </w:rPr>
                                    <w:t>n</w:t>
                                  </w:r>
                                  <w:r w:rsidRPr="00E448B1">
                                    <w:t xml:space="preserve"> = 332)</w:t>
                                  </w:r>
                                </w:p>
                                <w:p w:rsidR="00345D80" w:rsidRPr="00E448B1" w:rsidRDefault="00345D80">
                                  <w:pPr>
                                    <w:pStyle w:val="af4"/>
                                    <w:jc w:val="center"/>
                                  </w:pPr>
                                </w:p>
                              </w:tc>
                              <w:tc>
                                <w:tcPr>
                                  <w:tcW w:w="1355" w:type="dxa"/>
                                  <w:tcBorders>
                                    <w:top w:val="single" w:sz="6" w:space="0" w:color="000000"/>
                                    <w:bottom w:val="single" w:sz="6" w:space="0" w:color="000000"/>
                                  </w:tcBorders>
                                  <w:tcMar>
                                    <w:top w:w="28" w:type="dxa"/>
                                    <w:left w:w="28" w:type="dxa"/>
                                    <w:bottom w:w="28" w:type="dxa"/>
                                    <w:right w:w="28" w:type="dxa"/>
                                  </w:tcMar>
                                </w:tcPr>
                                <w:p w:rsidR="00345D80" w:rsidRPr="00E448B1" w:rsidRDefault="00345D80">
                                  <w:pPr>
                                    <w:pStyle w:val="af4"/>
                                    <w:jc w:val="center"/>
                                  </w:pPr>
                                  <w:r w:rsidRPr="00E448B1">
                                    <w:t>F0 (</w:t>
                                  </w:r>
                                  <w:r w:rsidRPr="00E448B1">
                                    <w:rPr>
                                      <w:rFonts w:ascii="Albertus Italic" w:hAnsi="Albertus Italic" w:cs="Albertus Italic"/>
                                      <w:bCs w:val="0"/>
                                      <w:i/>
                                      <w:iCs/>
                                    </w:rPr>
                                    <w:t>n</w:t>
                                  </w:r>
                                  <w:r w:rsidRPr="00E448B1">
                                    <w:t xml:space="preserve"> = 43)</w:t>
                                  </w:r>
                                </w:p>
                                <w:p w:rsidR="00345D80" w:rsidRPr="00E448B1" w:rsidRDefault="00345D80">
                                  <w:pPr>
                                    <w:pStyle w:val="af4"/>
                                    <w:jc w:val="center"/>
                                  </w:pPr>
                                </w:p>
                              </w:tc>
                              <w:tc>
                                <w:tcPr>
                                  <w:tcW w:w="1364" w:type="dxa"/>
                                  <w:tcBorders>
                                    <w:top w:val="single" w:sz="6" w:space="0" w:color="000000"/>
                                    <w:bottom w:val="single" w:sz="6" w:space="0" w:color="000000"/>
                                  </w:tcBorders>
                                  <w:tcMar>
                                    <w:top w:w="28" w:type="dxa"/>
                                    <w:left w:w="28" w:type="dxa"/>
                                    <w:bottom w:w="28" w:type="dxa"/>
                                    <w:right w:w="28" w:type="dxa"/>
                                  </w:tcMar>
                                </w:tcPr>
                                <w:p w:rsidR="00345D80" w:rsidRPr="00E448B1" w:rsidRDefault="00345D80">
                                  <w:pPr>
                                    <w:pStyle w:val="af4"/>
                                    <w:jc w:val="center"/>
                                  </w:pPr>
                                  <w:r w:rsidRPr="00E448B1">
                                    <w:t>F1 (</w:t>
                                  </w:r>
                                  <w:r w:rsidRPr="00E448B1">
                                    <w:rPr>
                                      <w:rFonts w:ascii="Albertus Italic" w:hAnsi="Albertus Italic" w:cs="Albertus Italic"/>
                                      <w:bCs w:val="0"/>
                                      <w:i/>
                                      <w:iCs/>
                                    </w:rPr>
                                    <w:t>n</w:t>
                                  </w:r>
                                  <w:r w:rsidRPr="00E448B1">
                                    <w:t xml:space="preserve"> = 136)</w:t>
                                  </w:r>
                                </w:p>
                                <w:p w:rsidR="00345D80" w:rsidRPr="00E448B1" w:rsidRDefault="00345D80">
                                  <w:pPr>
                                    <w:pStyle w:val="af4"/>
                                    <w:jc w:val="center"/>
                                  </w:pPr>
                                </w:p>
                              </w:tc>
                              <w:tc>
                                <w:tcPr>
                                  <w:tcW w:w="1448" w:type="dxa"/>
                                  <w:tcBorders>
                                    <w:top w:val="single" w:sz="6" w:space="0" w:color="000000"/>
                                    <w:bottom w:val="single" w:sz="6" w:space="0" w:color="000000"/>
                                  </w:tcBorders>
                                  <w:tcMar>
                                    <w:top w:w="28" w:type="dxa"/>
                                    <w:left w:w="28" w:type="dxa"/>
                                    <w:bottom w:w="28" w:type="dxa"/>
                                    <w:right w:w="28" w:type="dxa"/>
                                  </w:tcMar>
                                </w:tcPr>
                                <w:p w:rsidR="00345D80" w:rsidRPr="00E448B1" w:rsidRDefault="00345D80">
                                  <w:pPr>
                                    <w:pStyle w:val="af4"/>
                                    <w:jc w:val="center"/>
                                  </w:pPr>
                                  <w:r w:rsidRPr="00E448B1">
                                    <w:t>F2 (</w:t>
                                  </w:r>
                                  <w:r w:rsidRPr="00E448B1">
                                    <w:rPr>
                                      <w:rFonts w:ascii="Albertus Italic" w:hAnsi="Albertus Italic" w:cs="Albertus Italic"/>
                                      <w:bCs w:val="0"/>
                                      <w:i/>
                                      <w:iCs/>
                                    </w:rPr>
                                    <w:t>n</w:t>
                                  </w:r>
                                  <w:r w:rsidRPr="00E448B1">
                                    <w:t xml:space="preserve"> = 64)</w:t>
                                  </w:r>
                                </w:p>
                                <w:p w:rsidR="00345D80" w:rsidRPr="00E448B1" w:rsidRDefault="00345D80">
                                  <w:pPr>
                                    <w:pStyle w:val="af4"/>
                                    <w:jc w:val="center"/>
                                  </w:pPr>
                                </w:p>
                              </w:tc>
                              <w:tc>
                                <w:tcPr>
                                  <w:tcW w:w="1363" w:type="dxa"/>
                                  <w:tcBorders>
                                    <w:top w:val="single" w:sz="6" w:space="0" w:color="000000"/>
                                    <w:bottom w:val="single" w:sz="6" w:space="0" w:color="000000"/>
                                  </w:tcBorders>
                                  <w:tcMar>
                                    <w:top w:w="28" w:type="dxa"/>
                                    <w:left w:w="28" w:type="dxa"/>
                                    <w:bottom w:w="28" w:type="dxa"/>
                                    <w:right w:w="28" w:type="dxa"/>
                                  </w:tcMar>
                                </w:tcPr>
                                <w:p w:rsidR="00345D80" w:rsidRPr="00E448B1" w:rsidRDefault="00345D80">
                                  <w:pPr>
                                    <w:pStyle w:val="af4"/>
                                    <w:jc w:val="center"/>
                                  </w:pPr>
                                  <w:r w:rsidRPr="00E448B1">
                                    <w:t>F3 (</w:t>
                                  </w:r>
                                  <w:r w:rsidRPr="00E448B1">
                                    <w:rPr>
                                      <w:rFonts w:ascii="Albertus Italic" w:hAnsi="Albertus Italic" w:cs="Albertus Italic"/>
                                      <w:bCs w:val="0"/>
                                      <w:i/>
                                      <w:iCs/>
                                    </w:rPr>
                                    <w:t>n</w:t>
                                  </w:r>
                                  <w:r w:rsidRPr="00E448B1">
                                    <w:t xml:space="preserve"> = 45)</w:t>
                                  </w:r>
                                </w:p>
                                <w:p w:rsidR="00345D80" w:rsidRPr="00E448B1" w:rsidRDefault="00345D80">
                                  <w:pPr>
                                    <w:pStyle w:val="af4"/>
                                    <w:jc w:val="center"/>
                                  </w:pPr>
                                </w:p>
                              </w:tc>
                              <w:tc>
                                <w:tcPr>
                                  <w:tcW w:w="1353" w:type="dxa"/>
                                  <w:tcBorders>
                                    <w:top w:val="single" w:sz="6" w:space="0" w:color="000000"/>
                                    <w:bottom w:val="single" w:sz="6" w:space="0" w:color="000000"/>
                                  </w:tcBorders>
                                  <w:tcMar>
                                    <w:top w:w="28" w:type="dxa"/>
                                    <w:left w:w="28" w:type="dxa"/>
                                    <w:bottom w:w="28" w:type="dxa"/>
                                    <w:right w:w="28" w:type="dxa"/>
                                  </w:tcMar>
                                </w:tcPr>
                                <w:p w:rsidR="00345D80" w:rsidRPr="00E448B1" w:rsidRDefault="00345D80">
                                  <w:pPr>
                                    <w:pStyle w:val="af4"/>
                                    <w:jc w:val="center"/>
                                  </w:pPr>
                                  <w:r w:rsidRPr="00E448B1">
                                    <w:t>F4 (</w:t>
                                  </w:r>
                                  <w:r w:rsidRPr="00E448B1">
                                    <w:rPr>
                                      <w:rFonts w:ascii="Albertus Italic" w:hAnsi="Albertus Italic" w:cs="Albertus Italic"/>
                                      <w:bCs w:val="0"/>
                                      <w:i/>
                                      <w:iCs/>
                                    </w:rPr>
                                    <w:t>n</w:t>
                                  </w:r>
                                  <w:r w:rsidRPr="00E448B1">
                                    <w:t xml:space="preserve"> = 44)</w:t>
                                  </w:r>
                                </w:p>
                                <w:p w:rsidR="00345D80" w:rsidRPr="00E448B1" w:rsidRDefault="00345D80">
                                  <w:pPr>
                                    <w:pStyle w:val="af4"/>
                                    <w:jc w:val="center"/>
                                  </w:pPr>
                                </w:p>
                              </w:tc>
                            </w:tr>
                            <w:tr w:rsidR="00345D80" w:rsidRPr="00E448B1" w:rsidTr="00E448B1">
                              <w:tblPrEx>
                                <w:tblCellMar>
                                  <w:top w:w="0" w:type="dxa"/>
                                  <w:left w:w="0" w:type="dxa"/>
                                  <w:bottom w:w="0" w:type="dxa"/>
                                  <w:right w:w="0" w:type="dxa"/>
                                </w:tblCellMar>
                              </w:tblPrEx>
                              <w:trPr>
                                <w:trHeight w:val="60"/>
                              </w:trPr>
                              <w:tc>
                                <w:tcPr>
                                  <w:tcW w:w="1246" w:type="dxa"/>
                                  <w:tcBorders>
                                    <w:top w:val="single" w:sz="6" w:space="0" w:color="000000"/>
                                  </w:tcBorders>
                                  <w:tcMar>
                                    <w:top w:w="28" w:type="dxa"/>
                                    <w:left w:w="28" w:type="dxa"/>
                                    <w:bottom w:w="28" w:type="dxa"/>
                                    <w:right w:w="28" w:type="dxa"/>
                                  </w:tcMar>
                                </w:tcPr>
                                <w:p w:rsidR="00345D80" w:rsidRPr="00E448B1" w:rsidRDefault="00345D80">
                                  <w:pPr>
                                    <w:pStyle w:val="af5"/>
                                    <w:rPr>
                                      <w:b w:val="0"/>
                                    </w:rPr>
                                  </w:pPr>
                                  <w:r w:rsidRPr="00E448B1">
                                    <w:rPr>
                                      <w:b w:val="0"/>
                                    </w:rPr>
                                    <w:t>Age (yr)</w:t>
                                  </w:r>
                                </w:p>
                                <w:p w:rsidR="00345D80" w:rsidRPr="00E448B1" w:rsidRDefault="00345D80">
                                  <w:pPr>
                                    <w:pStyle w:val="af5"/>
                                    <w:rPr>
                                      <w:b w:val="0"/>
                                    </w:rPr>
                                  </w:pPr>
                                </w:p>
                              </w:tc>
                              <w:tc>
                                <w:tcPr>
                                  <w:tcW w:w="1441" w:type="dxa"/>
                                  <w:tcBorders>
                                    <w:top w:val="single" w:sz="6" w:space="0" w:color="000000"/>
                                  </w:tcBorders>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5" w:type="dxa"/>
                                  <w:tcBorders>
                                    <w:top w:val="single" w:sz="6" w:space="0" w:color="000000"/>
                                  </w:tcBorders>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4" w:type="dxa"/>
                                  <w:tcBorders>
                                    <w:top w:val="single" w:sz="6" w:space="0" w:color="000000"/>
                                  </w:tcBorders>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448" w:type="dxa"/>
                                  <w:tcBorders>
                                    <w:top w:val="single" w:sz="6" w:space="0" w:color="000000"/>
                                  </w:tcBorders>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3" w:type="dxa"/>
                                  <w:tcBorders>
                                    <w:top w:val="single" w:sz="6" w:space="0" w:color="000000"/>
                                  </w:tcBorders>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3" w:type="dxa"/>
                                  <w:tcBorders>
                                    <w:top w:val="single" w:sz="6" w:space="0" w:color="000000"/>
                                  </w:tcBorders>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Mean ± SD</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42 ± 9.8</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31.6 ± 7.4</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41.1 ± 9.2</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42 ± 7.4</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48.5 ± 8.9</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49.7 ± 7.5</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Median ± QR</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42 ± 15</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31 ± 11</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40.5 ± 15</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42 ± 10</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50 ± 11</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49 ± 13</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Gender (male)</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5"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4"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448"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w:t>
                                  </w:r>
                                  <w:r w:rsidRPr="00E448B1">
                                    <w:rPr>
                                      <w:b w:val="0"/>
                                      <w:bCs w:val="0"/>
                                      <w:i/>
                                      <w:iCs/>
                                    </w:rPr>
                                    <w:t>n</w:t>
                                  </w:r>
                                  <w:r w:rsidRPr="00E448B1">
                                    <w:rPr>
                                      <w:b w:val="0"/>
                                    </w:rPr>
                                    <w:t xml:space="preserve"> (%)</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184 (55.4)</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24 (55.8)</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77 (56.6)</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40 (62.5)</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22 (48.9)</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21 (47.7)</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HOMA-IR</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5"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4"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448"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Mean ± SD</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3.1 ± 1.3</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2.4 ± 0.9</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2.7 ± 1</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3.4 ± 1.2</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4.1 ± 1.7</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4.0 ± 1.2</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Median ± QR</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2.9 ± 1.6</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2.4 ± 1.8</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2.7 ± 1.4</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3.4 ± 1.4</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4.1 ± 2.5</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4.2 ± 2</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ACE (U/mL)</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5"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4"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448"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Mean ± SD</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286.7 ± 132.9</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248.9 ± 122.3</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277.3 ± 129</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287.2 ± 122.5</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325.3 ± 173.3</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320.4 ± 122.4</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Median ± QR</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260 ± 180</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235 ± 127.5</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260 ± 195</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300 ± 190</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275 ± 171.3</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285 ± 138.8</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Glucose (mmol)</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5"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4"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448"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Mean ± SD</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5.1 ± 0.9</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5 ± 0.6</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5.1 ± 0.9</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4.8 ± 0.8</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5.3 ± 0.9</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5.7 ± 1.1</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Median ± QR</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5.1 ± 1.22</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5.1 ± 1.1</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4.9 ± 1.1</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4.7 ± 1.2</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5.3 ± 1.6</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5.4 ± 1.7</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ALT (U/L)</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5"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4"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448"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Mean ± SD</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58.4 ± 36.9</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37 ± 16.6</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53.6 ± 37.7</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55.5 ± 30.4</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79.8 ± 42.6</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82 ± 33.9</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Median ± QR</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44 ± 52</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36 ± 24.3</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43 ± 43</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47 ± 53</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81.5 ± 57.5</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90 ± 41.5</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AST (U/L)</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5"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4"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448"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Mean ± SD</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53.2 ± 37.6</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27.5 ± 10.9</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41.1 ± 21.3</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55 ± 35.4</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87.2 ± 53.9</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88.6 ± 42.5</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Median ± QR</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36 ± 43</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23.5 ± 18.3</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34 ± 25.8</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36 ± 39</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89 ± 61.3</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85 ± 67.3</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Platelet (× 10</w:t>
                                  </w:r>
                                  <w:r w:rsidRPr="00E448B1">
                                    <w:rPr>
                                      <w:b w:val="0"/>
                                      <w:vertAlign w:val="superscript"/>
                                    </w:rPr>
                                    <w:t>9</w:t>
                                  </w:r>
                                  <w:r w:rsidRPr="00E448B1">
                                    <w:rPr>
                                      <w:b w:val="0"/>
                                    </w:rPr>
                                    <w:t>/L)</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5"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4"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448"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Mean ± SD</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213.6 ± 70</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225.8 ± 49.4</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240 ± 65.4</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207.1 ± 70.2</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164.8 ± 73.8</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158.3 ± 36.2</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Median ± QR</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215 ± 105</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221.5 ± 77.5</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233 ± 82.5</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226 ± 120</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150.5 ± 90.3</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162.5 ± 38.8</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BMI</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5"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4"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448"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Mean ± SD</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27.4 ± 4.5</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25.7 ± 4.3</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27.9 ± 5.1</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27.8 ± 4.3</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27.2 ± 3.6</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26.6 ± 3.1</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Median ± QR</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27.7 ± 5.8</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25.9 ± 7.5</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28.3 ± 7.8</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27.7 ± 5.3</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27.6 ± 4.6</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27.8 ± 4.2</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Waist: Hip ratio</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5"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4"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448"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Mean ± SD</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0.9 ± 0.1</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0.9 ± 0.1</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0.9 ± 0.1</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0.9 ± 0.1</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0.9 ± 0.1</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0.9 ± 0.1</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Median ± QR</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0.9 ± 0.1</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0.9 ± 0.04</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0.9 ± 0.1</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0.9 ± 0.1</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0.9 ± 0.1</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0.9 ± 0.1</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Insulin (uU/mL)</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5"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4"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448"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Mean ± SD</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13.9 ± 5.3</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11.1 ± 4.2</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12.2 ± 4.5</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15.8 ± 4.9</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17.7 ± 7.1</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15.7 ± 3.3</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Median ± QR</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13.6 ± 6.7</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12.6 ± 7.2</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12.3 ± 6.3</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14.6 ± 3.4</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16.7 ± 10.2</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16.6 ± 5.8</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Albumin (g/dL)</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5"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4"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448"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Mean ± SD</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4.2 ± 0.5</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4.2 ± 0.3</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4.4 ± 0.5</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 ± 0.8</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 ± 0.5</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 ± 0.3</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Median ± QR</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4.2 ± 0.6</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4.1 ± 0.5</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lang w:val="en-US"/>
                                    </w:rPr>
                                  </w:pPr>
                                  <w:r w:rsidRPr="00E448B1">
                                    <w:rPr>
                                      <w:b w:val="0"/>
                                      <w:lang w:val="en-US"/>
                                    </w:rPr>
                                    <w:t xml:space="preserve">   4.4 ± 0.5</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lang w:val="en-US"/>
                                    </w:rPr>
                                  </w:pPr>
                                  <w:r w:rsidRPr="00E448B1">
                                    <w:rPr>
                                      <w:b w:val="0"/>
                                      <w:lang w:val="en-US"/>
                                    </w:rPr>
                                    <w:t xml:space="preserve">  4.2 ± 0.8</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lang w:val="en-US"/>
                                    </w:rPr>
                                  </w:pPr>
                                  <w:r w:rsidRPr="00E448B1">
                                    <w:rPr>
                                      <w:b w:val="0"/>
                                      <w:lang w:val="en-US"/>
                                    </w:rPr>
                                    <w:t xml:space="preserve">  3.9 ± 0.7</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lang w:val="en-US"/>
                                    </w:rPr>
                                  </w:pPr>
                                  <w:r w:rsidRPr="00E448B1">
                                    <w:rPr>
                                      <w:b w:val="0"/>
                                      <w:lang w:val="en-US"/>
                                    </w:rPr>
                                    <w:t xml:space="preserve">      4 ± 0.6</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lang w:val="en-US"/>
                                    </w:rPr>
                                  </w:pPr>
                                  <w:r w:rsidRPr="00E448B1">
                                    <w:rPr>
                                      <w:b w:val="0"/>
                                      <w:lang w:val="en-US"/>
                                    </w:rPr>
                                    <w:t>Viral load (IU/mL)</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5"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4"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448"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lang w:val="en-US"/>
                                    </w:rPr>
                                  </w:pPr>
                                  <w:r w:rsidRPr="00E448B1">
                                    <w:rPr>
                                      <w:b w:val="0"/>
                                    </w:rPr>
                                    <w:t xml:space="preserve">   </w:t>
                                  </w:r>
                                  <w:r w:rsidRPr="00E448B1">
                                    <w:rPr>
                                      <w:b w:val="0"/>
                                      <w:lang w:val="en-US"/>
                                    </w:rPr>
                                    <w:t>Mean ± SD</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lang w:val="en-US"/>
                                    </w:rPr>
                                  </w:pPr>
                                  <w:r w:rsidRPr="00E448B1">
                                    <w:rPr>
                                      <w:b w:val="0"/>
                                      <w:lang w:val="en-US"/>
                                    </w:rPr>
                                    <w:t xml:space="preserve">     372826.7 ± 902784.9</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lang w:val="en-US"/>
                                    </w:rPr>
                                  </w:pPr>
                                  <w:r w:rsidRPr="00E448B1">
                                    <w:rPr>
                                      <w:b w:val="0"/>
                                      <w:lang w:val="en-US"/>
                                    </w:rPr>
                                    <w:t xml:space="preserve">   338113.1 ± 624770.4</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lang w:val="en-US"/>
                                    </w:rPr>
                                  </w:pPr>
                                  <w:r w:rsidRPr="00E448B1">
                                    <w:rPr>
                                      <w:b w:val="0"/>
                                      <w:lang w:val="en-US"/>
                                    </w:rPr>
                                    <w:t xml:space="preserve">   409890.1 ± 941388.1</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lang w:val="en-US"/>
                                    </w:rPr>
                                  </w:pPr>
                                  <w:r w:rsidRPr="00E448B1">
                                    <w:rPr>
                                      <w:b w:val="0"/>
                                      <w:lang w:val="en-US"/>
                                    </w:rPr>
                                    <w:t xml:space="preserve">       283586 ± 858939.26</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lang w:val="en-US"/>
                                    </w:rPr>
                                  </w:pPr>
                                  <w:r w:rsidRPr="00E448B1">
                                    <w:rPr>
                                      <w:b w:val="0"/>
                                      <w:lang w:val="en-US"/>
                                    </w:rPr>
                                    <w:t xml:space="preserve">  264338.4 ± 452377.9</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lang w:val="en-US"/>
                                    </w:rPr>
                                  </w:pPr>
                                  <w:r w:rsidRPr="00E448B1">
                                    <w:rPr>
                                      <w:b w:val="0"/>
                                      <w:lang w:val="en-US"/>
                                    </w:rPr>
                                    <w:t xml:space="preserve">   119830.8 ± 162200.8</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lang w:val="en-US"/>
                                    </w:rPr>
                                  </w:pPr>
                                  <w:r w:rsidRPr="00E448B1">
                                    <w:rPr>
                                      <w:b w:val="0"/>
                                    </w:rPr>
                                    <w:t xml:space="preserve">   </w:t>
                                  </w:r>
                                  <w:r w:rsidRPr="00E448B1">
                                    <w:rPr>
                                      <w:b w:val="0"/>
                                      <w:lang w:val="en-US"/>
                                    </w:rPr>
                                    <w:t>Median ± QR</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lang w:val="en-US"/>
                                    </w:rPr>
                                  </w:pPr>
                                  <w:r w:rsidRPr="00E448B1">
                                    <w:rPr>
                                      <w:b w:val="0"/>
                                      <w:lang w:val="en-US"/>
                                    </w:rPr>
                                    <w:t xml:space="preserve">       78000 ± 280088</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lang w:val="en-US"/>
                                    </w:rPr>
                                  </w:pPr>
                                  <w:r w:rsidRPr="00E448B1">
                                    <w:rPr>
                                      <w:b w:val="0"/>
                                      <w:lang w:val="en-US"/>
                                    </w:rPr>
                                    <w:t>117466.5 ± 358614</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lang w:val="en-US"/>
                                    </w:rPr>
                                  </w:pPr>
                                  <w:r w:rsidRPr="00E448B1">
                                    <w:rPr>
                                      <w:b w:val="0"/>
                                      <w:lang w:val="en-US"/>
                                    </w:rPr>
                                    <w:t xml:space="preserve">     59112 ± 310055</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lang w:val="en-US"/>
                                    </w:rPr>
                                  </w:pPr>
                                  <w:r w:rsidRPr="00E448B1">
                                    <w:rPr>
                                      <w:b w:val="0"/>
                                      <w:lang w:val="en-US"/>
                                    </w:rPr>
                                    <w:t xml:space="preserve">  156797 ± 251419</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lang w:val="en-US"/>
                                    </w:rPr>
                                  </w:pPr>
                                  <w:r w:rsidRPr="00E448B1">
                                    <w:rPr>
                                      <w:b w:val="0"/>
                                      <w:lang w:val="en-US"/>
                                    </w:rPr>
                                    <w:t xml:space="preserve">    47546 ± 278956</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lang w:val="en-US"/>
                                    </w:rPr>
                                  </w:pPr>
                                  <w:r w:rsidRPr="00E448B1">
                                    <w:rPr>
                                      <w:b w:val="0"/>
                                      <w:lang w:val="en-US"/>
                                    </w:rPr>
                                    <w:t xml:space="preserve">     97133 ± 167712</w:t>
                                  </w:r>
                                </w:p>
                                <w:p w:rsidR="00345D80" w:rsidRPr="00E448B1" w:rsidRDefault="00345D80">
                                  <w:pPr>
                                    <w:pStyle w:val="af5"/>
                                    <w:jc w:val="center"/>
                                    <w:rPr>
                                      <w:b w:val="0"/>
                                    </w:rPr>
                                  </w:pPr>
                                </w:p>
                              </w:tc>
                            </w:tr>
                          </w:tbl>
                          <w:p w:rsidR="00345D80" w:rsidRPr="00AD48AB" w:rsidRDefault="00345D80" w:rsidP="00345D80">
                            <w:pPr>
                              <w:pStyle w:val="af6"/>
                            </w:pPr>
                            <w:r w:rsidRPr="00E448B1">
                              <w:rPr>
                                <w:b w:val="0"/>
                              </w:rPr>
                              <w:t>SD: Standard deviation; QR: Quartile range; HOMA-IR: Homeostasis model for insulin resistance, a mathematically calculated formula; ACE: Angiotensin converting enzyme; AST: Aspartate transaminase enzyme; ALT: Alanine amino transferase; BMI: Body mass index.</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7" o:spid="_x0000_s1026" type="#_x0000_t202" style="position:absolute;left:0;text-align:left;margin-left:0;margin-top:0;width:420.75pt;height:1476.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jBNwIAAFEEAAAOAAAAZHJzL2Uyb0RvYy54bWysVM2O0zAQviPxDpbvNG23pW3UdLV0KUJa&#10;fqSFB3Acp7FwPJbtNikPwL4BJy7cea4+B2MnLeVHHBA5WDOe8Tcz38xked3WiuyFdRJ0RkeDISVC&#10;cyik3mb0/bvNkzklzjNdMAVaZPQgHL1ePX60bEwqxlCBKoQlCKJd2piMVt6bNEkcr0TN3ACM0Ggs&#10;wdbMo2q3SWFZg+i1SsbD4dOkAVsYC1w4h7e3nZGuIn5ZCu7flKUTnqiMYm4+njaeeTiT1ZKlW8tM&#10;JXmfBvuHLGomNQY9Q90yz8jOyt+gasktOCj9gEOdQFlKLmINWM1o+Es19xUzItaC5Dhzpsn9P1j+&#10;ev/WEllkdEaJZjW26Pj54fjl2/HrJzIL9DTGpeh1b9DPt8+gxTbHUp25A/7BEQ3riumtuLEWmkqw&#10;AtMbhZfJxdMOxwWQvHkFBcZhOw8RqC1tHbhDNgiiY5sO59aI1hOOl9OrydV0PKWEo200n00WSFcM&#10;wtLTe2OdfyGgJkHIqMXmR3y2v3M+5MPSk0sI50DJYiOViord5mtlyZ7hoGzi16P/5KY0aTK6CJn8&#10;HWIYvz9B1NLjxCtZZ3R+dmJpIO65LuI8eiZVJ2PKSvdMBvI6Gn2bt31ncigOyKmFbrJxE1GowH6k&#10;pMGpzqjGtaNEvdTYlcVoMglLEJXJdDZGxV5a8ksL0xyBMuop6cS17xZnZ6zcVhjnNAc32MmNjBSH&#10;lnc59Vnj3Ebm+x0Li3GpR68ff4LVdwAAAP//AwBQSwMEFAAGAAgAAAAhAHcZI0/gAAAABgEAAA8A&#10;AABkcnMvZG93bnJldi54bWxMj8FOwzAQRO9I/IO1SL0g6jRqSwlxKmhVcUBCUPgAJ16StPE6it0k&#10;8PVduMBlpdGMZt6m69E2osfO144UzKYRCKTCmZpKBR/vu5sVCB80Gd04QgVf6GGdXV6kOjFuoDfs&#10;96EUXEI+0QqqENpESl9UaLWfuhaJvU/XWR1YdqU0nR643DYyjqKltLomXqh0i5sKi+P+ZBUct7f9&#10;4fr56TF/2W0OZR8N31i8KjW5Gh/uQQQcw18YfvAZHTJmyt2JjBeNAn4k/F72VvPZAkSuIL5bxEuQ&#10;WSr/42dnAAAA//8DAFBLAQItABQABgAIAAAAIQC2gziS/gAAAOEBAAATAAAAAAAAAAAAAAAAAAAA&#10;AABbQ29udGVudF9UeXBlc10ueG1sUEsBAi0AFAAGAAgAAAAhADj9If/WAAAAlAEAAAsAAAAAAAAA&#10;AAAAAAAALwEAAF9yZWxzLy5yZWxzUEsBAi0AFAAGAAgAAAAhAIV9qME3AgAAUQQAAA4AAAAAAAAA&#10;AAAAAAAALgIAAGRycy9lMm9Eb2MueG1sUEsBAi0AFAAGAAgAAAAhAHcZI0/gAAAABgEAAA8AAAAA&#10;AAAAAAAAAAAAkQQAAGRycy9kb3ducmV2LnhtbFBLBQYAAAAABAAEAPMAAACeBQAAAAA=&#10;">
                <v:textbox style="mso-fit-shape-to-text:t">
                  <w:txbxContent>
                    <w:p w:rsidR="00345D80" w:rsidRPr="00E448B1" w:rsidRDefault="00345D80" w:rsidP="00345D80">
                      <w:pPr>
                        <w:rPr>
                          <w:b/>
                          <w:bCs/>
                        </w:rPr>
                      </w:pPr>
                      <w:r w:rsidRPr="00E448B1">
                        <w:rPr>
                          <w:b/>
                          <w:bCs/>
                        </w:rPr>
                        <w:t>Table 1  Presentation of quantitative variable as means, standard deviation, median and quartile range by stages of fibrosis</w:t>
                      </w:r>
                    </w:p>
                    <w:tbl>
                      <w:tblPr>
                        <w:tblW w:w="9570"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246"/>
                        <w:gridCol w:w="1441"/>
                        <w:gridCol w:w="1355"/>
                        <w:gridCol w:w="1364"/>
                        <w:gridCol w:w="1448"/>
                        <w:gridCol w:w="1363"/>
                        <w:gridCol w:w="1353"/>
                      </w:tblGrid>
                      <w:tr w:rsidR="00345D80" w:rsidRPr="00E448B1" w:rsidTr="00E448B1">
                        <w:tblPrEx>
                          <w:tblCellMar>
                            <w:top w:w="0" w:type="dxa"/>
                            <w:left w:w="0" w:type="dxa"/>
                            <w:bottom w:w="0" w:type="dxa"/>
                            <w:right w:w="0" w:type="dxa"/>
                          </w:tblCellMar>
                        </w:tblPrEx>
                        <w:trPr>
                          <w:trHeight w:hRule="exact" w:val="973"/>
                        </w:trPr>
                        <w:tc>
                          <w:tcPr>
                            <w:tcW w:w="1246" w:type="dxa"/>
                            <w:tcBorders>
                              <w:top w:val="single" w:sz="6" w:space="0" w:color="000000"/>
                              <w:bottom w:val="single" w:sz="6" w:space="0" w:color="000000"/>
                            </w:tcBorders>
                            <w:tcMar>
                              <w:top w:w="28" w:type="dxa"/>
                              <w:left w:w="28" w:type="dxa"/>
                              <w:bottom w:w="28" w:type="dxa"/>
                              <w:right w:w="28" w:type="dxa"/>
                            </w:tcMar>
                          </w:tcPr>
                          <w:p w:rsidR="00345D80" w:rsidRPr="00E448B1" w:rsidRDefault="00345D80">
                            <w:pPr>
                              <w:pStyle w:val="af4"/>
                            </w:pPr>
                            <w:r w:rsidRPr="00E448B1">
                              <w:t>Variant</w:t>
                            </w:r>
                          </w:p>
                          <w:p w:rsidR="00345D80" w:rsidRPr="00E448B1" w:rsidRDefault="00345D80">
                            <w:pPr>
                              <w:pStyle w:val="af4"/>
                            </w:pPr>
                          </w:p>
                        </w:tc>
                        <w:tc>
                          <w:tcPr>
                            <w:tcW w:w="1441" w:type="dxa"/>
                            <w:tcBorders>
                              <w:top w:val="single" w:sz="6" w:space="0" w:color="000000"/>
                              <w:bottom w:val="single" w:sz="6" w:space="0" w:color="000000"/>
                            </w:tcBorders>
                            <w:tcMar>
                              <w:top w:w="28" w:type="dxa"/>
                              <w:left w:w="28" w:type="dxa"/>
                              <w:bottom w:w="28" w:type="dxa"/>
                              <w:right w:w="28" w:type="dxa"/>
                            </w:tcMar>
                          </w:tcPr>
                          <w:p w:rsidR="00345D80" w:rsidRPr="00E448B1" w:rsidRDefault="00345D80">
                            <w:pPr>
                              <w:pStyle w:val="af4"/>
                              <w:jc w:val="center"/>
                            </w:pPr>
                            <w:r w:rsidRPr="00E448B1">
                              <w:t>Total (</w:t>
                            </w:r>
                            <w:r w:rsidRPr="00E448B1">
                              <w:rPr>
                                <w:rFonts w:ascii="Albertus Italic" w:hAnsi="Albertus Italic" w:cs="Albertus Italic"/>
                                <w:bCs w:val="0"/>
                                <w:i/>
                                <w:iCs/>
                              </w:rPr>
                              <w:t>n</w:t>
                            </w:r>
                            <w:r w:rsidRPr="00E448B1">
                              <w:t xml:space="preserve"> = 332)</w:t>
                            </w:r>
                          </w:p>
                          <w:p w:rsidR="00345D80" w:rsidRPr="00E448B1" w:rsidRDefault="00345D80">
                            <w:pPr>
                              <w:pStyle w:val="af4"/>
                              <w:jc w:val="center"/>
                            </w:pPr>
                          </w:p>
                        </w:tc>
                        <w:tc>
                          <w:tcPr>
                            <w:tcW w:w="1355" w:type="dxa"/>
                            <w:tcBorders>
                              <w:top w:val="single" w:sz="6" w:space="0" w:color="000000"/>
                              <w:bottom w:val="single" w:sz="6" w:space="0" w:color="000000"/>
                            </w:tcBorders>
                            <w:tcMar>
                              <w:top w:w="28" w:type="dxa"/>
                              <w:left w:w="28" w:type="dxa"/>
                              <w:bottom w:w="28" w:type="dxa"/>
                              <w:right w:w="28" w:type="dxa"/>
                            </w:tcMar>
                          </w:tcPr>
                          <w:p w:rsidR="00345D80" w:rsidRPr="00E448B1" w:rsidRDefault="00345D80">
                            <w:pPr>
                              <w:pStyle w:val="af4"/>
                              <w:jc w:val="center"/>
                            </w:pPr>
                            <w:r w:rsidRPr="00E448B1">
                              <w:t>F0 (</w:t>
                            </w:r>
                            <w:r w:rsidRPr="00E448B1">
                              <w:rPr>
                                <w:rFonts w:ascii="Albertus Italic" w:hAnsi="Albertus Italic" w:cs="Albertus Italic"/>
                                <w:bCs w:val="0"/>
                                <w:i/>
                                <w:iCs/>
                              </w:rPr>
                              <w:t>n</w:t>
                            </w:r>
                            <w:r w:rsidRPr="00E448B1">
                              <w:t xml:space="preserve"> = 43)</w:t>
                            </w:r>
                          </w:p>
                          <w:p w:rsidR="00345D80" w:rsidRPr="00E448B1" w:rsidRDefault="00345D80">
                            <w:pPr>
                              <w:pStyle w:val="af4"/>
                              <w:jc w:val="center"/>
                            </w:pPr>
                          </w:p>
                        </w:tc>
                        <w:tc>
                          <w:tcPr>
                            <w:tcW w:w="1364" w:type="dxa"/>
                            <w:tcBorders>
                              <w:top w:val="single" w:sz="6" w:space="0" w:color="000000"/>
                              <w:bottom w:val="single" w:sz="6" w:space="0" w:color="000000"/>
                            </w:tcBorders>
                            <w:tcMar>
                              <w:top w:w="28" w:type="dxa"/>
                              <w:left w:w="28" w:type="dxa"/>
                              <w:bottom w:w="28" w:type="dxa"/>
                              <w:right w:w="28" w:type="dxa"/>
                            </w:tcMar>
                          </w:tcPr>
                          <w:p w:rsidR="00345D80" w:rsidRPr="00E448B1" w:rsidRDefault="00345D80">
                            <w:pPr>
                              <w:pStyle w:val="af4"/>
                              <w:jc w:val="center"/>
                            </w:pPr>
                            <w:r w:rsidRPr="00E448B1">
                              <w:t>F1 (</w:t>
                            </w:r>
                            <w:r w:rsidRPr="00E448B1">
                              <w:rPr>
                                <w:rFonts w:ascii="Albertus Italic" w:hAnsi="Albertus Italic" w:cs="Albertus Italic"/>
                                <w:bCs w:val="0"/>
                                <w:i/>
                                <w:iCs/>
                              </w:rPr>
                              <w:t>n</w:t>
                            </w:r>
                            <w:r w:rsidRPr="00E448B1">
                              <w:t xml:space="preserve"> = 136)</w:t>
                            </w:r>
                          </w:p>
                          <w:p w:rsidR="00345D80" w:rsidRPr="00E448B1" w:rsidRDefault="00345D80">
                            <w:pPr>
                              <w:pStyle w:val="af4"/>
                              <w:jc w:val="center"/>
                            </w:pPr>
                          </w:p>
                        </w:tc>
                        <w:tc>
                          <w:tcPr>
                            <w:tcW w:w="1448" w:type="dxa"/>
                            <w:tcBorders>
                              <w:top w:val="single" w:sz="6" w:space="0" w:color="000000"/>
                              <w:bottom w:val="single" w:sz="6" w:space="0" w:color="000000"/>
                            </w:tcBorders>
                            <w:tcMar>
                              <w:top w:w="28" w:type="dxa"/>
                              <w:left w:w="28" w:type="dxa"/>
                              <w:bottom w:w="28" w:type="dxa"/>
                              <w:right w:w="28" w:type="dxa"/>
                            </w:tcMar>
                          </w:tcPr>
                          <w:p w:rsidR="00345D80" w:rsidRPr="00E448B1" w:rsidRDefault="00345D80">
                            <w:pPr>
                              <w:pStyle w:val="af4"/>
                              <w:jc w:val="center"/>
                            </w:pPr>
                            <w:r w:rsidRPr="00E448B1">
                              <w:t>F2 (</w:t>
                            </w:r>
                            <w:r w:rsidRPr="00E448B1">
                              <w:rPr>
                                <w:rFonts w:ascii="Albertus Italic" w:hAnsi="Albertus Italic" w:cs="Albertus Italic"/>
                                <w:bCs w:val="0"/>
                                <w:i/>
                                <w:iCs/>
                              </w:rPr>
                              <w:t>n</w:t>
                            </w:r>
                            <w:r w:rsidRPr="00E448B1">
                              <w:t xml:space="preserve"> = 64)</w:t>
                            </w:r>
                          </w:p>
                          <w:p w:rsidR="00345D80" w:rsidRPr="00E448B1" w:rsidRDefault="00345D80">
                            <w:pPr>
                              <w:pStyle w:val="af4"/>
                              <w:jc w:val="center"/>
                            </w:pPr>
                          </w:p>
                        </w:tc>
                        <w:tc>
                          <w:tcPr>
                            <w:tcW w:w="1363" w:type="dxa"/>
                            <w:tcBorders>
                              <w:top w:val="single" w:sz="6" w:space="0" w:color="000000"/>
                              <w:bottom w:val="single" w:sz="6" w:space="0" w:color="000000"/>
                            </w:tcBorders>
                            <w:tcMar>
                              <w:top w:w="28" w:type="dxa"/>
                              <w:left w:w="28" w:type="dxa"/>
                              <w:bottom w:w="28" w:type="dxa"/>
                              <w:right w:w="28" w:type="dxa"/>
                            </w:tcMar>
                          </w:tcPr>
                          <w:p w:rsidR="00345D80" w:rsidRPr="00E448B1" w:rsidRDefault="00345D80">
                            <w:pPr>
                              <w:pStyle w:val="af4"/>
                              <w:jc w:val="center"/>
                            </w:pPr>
                            <w:r w:rsidRPr="00E448B1">
                              <w:t>F3 (</w:t>
                            </w:r>
                            <w:r w:rsidRPr="00E448B1">
                              <w:rPr>
                                <w:rFonts w:ascii="Albertus Italic" w:hAnsi="Albertus Italic" w:cs="Albertus Italic"/>
                                <w:bCs w:val="0"/>
                                <w:i/>
                                <w:iCs/>
                              </w:rPr>
                              <w:t>n</w:t>
                            </w:r>
                            <w:r w:rsidRPr="00E448B1">
                              <w:t xml:space="preserve"> = 45)</w:t>
                            </w:r>
                          </w:p>
                          <w:p w:rsidR="00345D80" w:rsidRPr="00E448B1" w:rsidRDefault="00345D80">
                            <w:pPr>
                              <w:pStyle w:val="af4"/>
                              <w:jc w:val="center"/>
                            </w:pPr>
                          </w:p>
                        </w:tc>
                        <w:tc>
                          <w:tcPr>
                            <w:tcW w:w="1353" w:type="dxa"/>
                            <w:tcBorders>
                              <w:top w:val="single" w:sz="6" w:space="0" w:color="000000"/>
                              <w:bottom w:val="single" w:sz="6" w:space="0" w:color="000000"/>
                            </w:tcBorders>
                            <w:tcMar>
                              <w:top w:w="28" w:type="dxa"/>
                              <w:left w:w="28" w:type="dxa"/>
                              <w:bottom w:w="28" w:type="dxa"/>
                              <w:right w:w="28" w:type="dxa"/>
                            </w:tcMar>
                          </w:tcPr>
                          <w:p w:rsidR="00345D80" w:rsidRPr="00E448B1" w:rsidRDefault="00345D80">
                            <w:pPr>
                              <w:pStyle w:val="af4"/>
                              <w:jc w:val="center"/>
                            </w:pPr>
                            <w:r w:rsidRPr="00E448B1">
                              <w:t>F4 (</w:t>
                            </w:r>
                            <w:r w:rsidRPr="00E448B1">
                              <w:rPr>
                                <w:rFonts w:ascii="Albertus Italic" w:hAnsi="Albertus Italic" w:cs="Albertus Italic"/>
                                <w:bCs w:val="0"/>
                                <w:i/>
                                <w:iCs/>
                              </w:rPr>
                              <w:t>n</w:t>
                            </w:r>
                            <w:r w:rsidRPr="00E448B1">
                              <w:t xml:space="preserve"> = 44)</w:t>
                            </w:r>
                          </w:p>
                          <w:p w:rsidR="00345D80" w:rsidRPr="00E448B1" w:rsidRDefault="00345D80">
                            <w:pPr>
                              <w:pStyle w:val="af4"/>
                              <w:jc w:val="center"/>
                            </w:pPr>
                          </w:p>
                        </w:tc>
                      </w:tr>
                      <w:tr w:rsidR="00345D80" w:rsidRPr="00E448B1" w:rsidTr="00E448B1">
                        <w:tblPrEx>
                          <w:tblCellMar>
                            <w:top w:w="0" w:type="dxa"/>
                            <w:left w:w="0" w:type="dxa"/>
                            <w:bottom w:w="0" w:type="dxa"/>
                            <w:right w:w="0" w:type="dxa"/>
                          </w:tblCellMar>
                        </w:tblPrEx>
                        <w:trPr>
                          <w:trHeight w:val="60"/>
                        </w:trPr>
                        <w:tc>
                          <w:tcPr>
                            <w:tcW w:w="1246" w:type="dxa"/>
                            <w:tcBorders>
                              <w:top w:val="single" w:sz="6" w:space="0" w:color="000000"/>
                            </w:tcBorders>
                            <w:tcMar>
                              <w:top w:w="28" w:type="dxa"/>
                              <w:left w:w="28" w:type="dxa"/>
                              <w:bottom w:w="28" w:type="dxa"/>
                              <w:right w:w="28" w:type="dxa"/>
                            </w:tcMar>
                          </w:tcPr>
                          <w:p w:rsidR="00345D80" w:rsidRPr="00E448B1" w:rsidRDefault="00345D80">
                            <w:pPr>
                              <w:pStyle w:val="af5"/>
                              <w:rPr>
                                <w:b w:val="0"/>
                              </w:rPr>
                            </w:pPr>
                            <w:r w:rsidRPr="00E448B1">
                              <w:rPr>
                                <w:b w:val="0"/>
                              </w:rPr>
                              <w:t>Age (yr)</w:t>
                            </w:r>
                          </w:p>
                          <w:p w:rsidR="00345D80" w:rsidRPr="00E448B1" w:rsidRDefault="00345D80">
                            <w:pPr>
                              <w:pStyle w:val="af5"/>
                              <w:rPr>
                                <w:b w:val="0"/>
                              </w:rPr>
                            </w:pPr>
                          </w:p>
                        </w:tc>
                        <w:tc>
                          <w:tcPr>
                            <w:tcW w:w="1441" w:type="dxa"/>
                            <w:tcBorders>
                              <w:top w:val="single" w:sz="6" w:space="0" w:color="000000"/>
                            </w:tcBorders>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5" w:type="dxa"/>
                            <w:tcBorders>
                              <w:top w:val="single" w:sz="6" w:space="0" w:color="000000"/>
                            </w:tcBorders>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4" w:type="dxa"/>
                            <w:tcBorders>
                              <w:top w:val="single" w:sz="6" w:space="0" w:color="000000"/>
                            </w:tcBorders>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448" w:type="dxa"/>
                            <w:tcBorders>
                              <w:top w:val="single" w:sz="6" w:space="0" w:color="000000"/>
                            </w:tcBorders>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3" w:type="dxa"/>
                            <w:tcBorders>
                              <w:top w:val="single" w:sz="6" w:space="0" w:color="000000"/>
                            </w:tcBorders>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3" w:type="dxa"/>
                            <w:tcBorders>
                              <w:top w:val="single" w:sz="6" w:space="0" w:color="000000"/>
                            </w:tcBorders>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Mean ± SD</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42 ± 9.8</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31.6 ± 7.4</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41.1 ± 9.2</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42 ± 7.4</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48.5 ± 8.9</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49.7 ± 7.5</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Median ± QR</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42 ± 15</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31 ± 11</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40.5 ± 15</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42 ± 10</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50 ± 11</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49 ± 13</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Gender (male)</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5"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4"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448"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w:t>
                            </w:r>
                            <w:r w:rsidRPr="00E448B1">
                              <w:rPr>
                                <w:b w:val="0"/>
                                <w:bCs w:val="0"/>
                                <w:i/>
                                <w:iCs/>
                              </w:rPr>
                              <w:t>n</w:t>
                            </w:r>
                            <w:r w:rsidRPr="00E448B1">
                              <w:rPr>
                                <w:b w:val="0"/>
                              </w:rPr>
                              <w:t xml:space="preserve"> (%)</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184 (55.4)</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24 (55.8)</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77 (56.6)</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40 (62.5)</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22 (48.9)</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21 (47.7)</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HOMA-IR</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5"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4"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448"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Mean ± SD</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3.1 ± 1.3</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2.4 ± 0.9</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2.7 ± 1</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3.4 ± 1.2</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4.1 ± 1.7</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4.0 ± 1.2</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Median ± QR</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2.9 ± 1.6</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2.4 ± 1.8</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2.7 ± 1.4</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3.4 ± 1.4</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4.1 ± 2.5</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4.2 ± 2</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ACE (U/mL)</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5"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4"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448"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Mean ± SD</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286.7 ± 132.9</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248.9 ± 122.3</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277.3 ± 129</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287.2 ± 122.5</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325.3 ± 173.3</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320.4 ± 122.4</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Median ± QR</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260 ± 180</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235 ± 127.5</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260 ± 195</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300 ± 190</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275 ± 171.3</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285 ± 138.8</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Glucose (mmol)</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5"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4"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448"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Mean ± SD</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5.1 ± 0.9</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5 ± 0.6</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5.1 ± 0.9</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4.8 ± 0.8</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5.3 ± 0.9</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5.7 ± 1.1</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Median ± QR</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5.1 ± 1.22</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5.1 ± 1.1</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4.9 ± 1.1</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4.7 ± 1.2</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5.3 ± 1.6</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5.4 ± 1.7</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ALT (U/L)</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5"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4"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448"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Mean ± SD</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58.4 ± 36.9</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37 ± 16.6</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53.6 ± 37.7</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55.5 ± 30.4</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79.8 ± 42.6</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82 ± 33.9</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Median ± QR</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44 ± 52</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36 ± 24.3</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43 ± 43</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47 ± 53</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81.5 ± 57.5</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90 ± 41.5</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AST (U/L)</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5"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4"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448"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Mean ± SD</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53.2 ± 37.6</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27.5 ± 10.9</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41.1 ± 21.3</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55 ± 35.4</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87.2 ± 53.9</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88.6 ± 42.5</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Median ± QR</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36 ± 43</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23.5 ± 18.3</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34 ± 25.8</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36 ± 39</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89 ± 61.3</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85 ± 67.3</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Platelet (× 10</w:t>
                            </w:r>
                            <w:r w:rsidRPr="00E448B1">
                              <w:rPr>
                                <w:b w:val="0"/>
                                <w:vertAlign w:val="superscript"/>
                              </w:rPr>
                              <w:t>9</w:t>
                            </w:r>
                            <w:r w:rsidRPr="00E448B1">
                              <w:rPr>
                                <w:b w:val="0"/>
                              </w:rPr>
                              <w:t>/L)</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5"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4"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448"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Mean ± SD</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213.6 ± 70</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225.8 ± 49.4</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240 ± 65.4</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207.1 ± 70.2</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164.8 ± 73.8</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158.3 ± 36.2</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Median ± QR</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215 ± 105</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221.5 ± 77.5</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233 ± 82.5</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226 ± 120</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150.5 ± 90.3</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162.5 ± 38.8</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BMI</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5"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4"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448"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Mean ± SD</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27.4 ± 4.5</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25.7 ± 4.3</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27.9 ± 5.1</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27.8 ± 4.3</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27.2 ± 3.6</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26.6 ± 3.1</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Median ± QR</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27.7 ± 5.8</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25.9 ± 7.5</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28.3 ± 7.8</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27.7 ± 5.3</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27.6 ± 4.6</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27.8 ± 4.2</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Waist: Hip ratio</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5"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4"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448"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Mean ± SD</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0.9 ± 0.1</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0.9 ± 0.1</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0.9 ± 0.1</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0.9 ± 0.1</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0.9 ± 0.1</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0.9 ± 0.1</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Median ± QR</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0.9 ± 0.1</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0.9 ± 0.04</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0.9 ± 0.1</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0.9 ± 0.1</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0.9 ± 0.1</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0.9 ± 0.1</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Insulin (uU/mL)</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5"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4"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448"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Mean ± SD</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13.9 ± 5.3</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11.1 ± 4.2</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12.2 ± 4.5</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15.8 ± 4.9</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17.7 ± 7.1</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15.7 ± 3.3</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Median ± QR</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13.6 ± 6.7</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12.6 ± 7.2</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12.3 ± 6.3</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14.6 ± 3.4</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16.7 ± 10.2</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16.6 ± 5.8</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Albumin (g/dL)</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5"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4"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448"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Mean ± SD</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4.2 ± 0.5</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4.2 ± 0.3</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4.4 ± 0.5</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 ± 0.8</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 ± 0.5</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 ± 0.3</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rPr>
                            </w:pPr>
                            <w:r w:rsidRPr="00E448B1">
                              <w:rPr>
                                <w:b w:val="0"/>
                              </w:rPr>
                              <w:t xml:space="preserve">   Median ± QR</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4.2 ± 0.6</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rPr>
                            </w:pPr>
                            <w:r w:rsidRPr="00E448B1">
                              <w:rPr>
                                <w:b w:val="0"/>
                              </w:rPr>
                              <w:t xml:space="preserve">   4.1 ± 0.5</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lang w:val="en-US"/>
                              </w:rPr>
                            </w:pPr>
                            <w:r w:rsidRPr="00E448B1">
                              <w:rPr>
                                <w:b w:val="0"/>
                                <w:lang w:val="en-US"/>
                              </w:rPr>
                              <w:t xml:space="preserve">   4.4 ± 0.5</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lang w:val="en-US"/>
                              </w:rPr>
                            </w:pPr>
                            <w:r w:rsidRPr="00E448B1">
                              <w:rPr>
                                <w:b w:val="0"/>
                                <w:lang w:val="en-US"/>
                              </w:rPr>
                              <w:t xml:space="preserve">  4.2 ± 0.8</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lang w:val="en-US"/>
                              </w:rPr>
                            </w:pPr>
                            <w:r w:rsidRPr="00E448B1">
                              <w:rPr>
                                <w:b w:val="0"/>
                                <w:lang w:val="en-US"/>
                              </w:rPr>
                              <w:t xml:space="preserve">  3.9 ± 0.7</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lang w:val="en-US"/>
                              </w:rPr>
                            </w:pPr>
                            <w:r w:rsidRPr="00E448B1">
                              <w:rPr>
                                <w:b w:val="0"/>
                                <w:lang w:val="en-US"/>
                              </w:rPr>
                              <w:t xml:space="preserve">      4 ± 0.6</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lang w:val="en-US"/>
                              </w:rPr>
                            </w:pPr>
                            <w:r w:rsidRPr="00E448B1">
                              <w:rPr>
                                <w:b w:val="0"/>
                                <w:lang w:val="en-US"/>
                              </w:rPr>
                              <w:t>Viral load (IU/mL)</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5"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4"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448"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6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c>
                          <w:tcPr>
                            <w:tcW w:w="1353" w:type="dxa"/>
                            <w:tcMar>
                              <w:top w:w="28" w:type="dxa"/>
                              <w:left w:w="28" w:type="dxa"/>
                              <w:bottom w:w="28" w:type="dxa"/>
                              <w:right w:w="28" w:type="dxa"/>
                            </w:tcMar>
                          </w:tcPr>
                          <w:p w:rsidR="00345D80" w:rsidRPr="00E448B1" w:rsidRDefault="00345D80">
                            <w:pPr>
                              <w:pStyle w:val="Noparagraphstyle"/>
                              <w:spacing w:line="240" w:lineRule="auto"/>
                              <w:jc w:val="left"/>
                              <w:textAlignment w:val="auto"/>
                              <w:rPr>
                                <w:color w:val="auto"/>
                                <w:lang w:val="en-US"/>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lang w:val="en-US"/>
                              </w:rPr>
                            </w:pPr>
                            <w:r w:rsidRPr="00E448B1">
                              <w:rPr>
                                <w:b w:val="0"/>
                              </w:rPr>
                              <w:t xml:space="preserve">   </w:t>
                            </w:r>
                            <w:r w:rsidRPr="00E448B1">
                              <w:rPr>
                                <w:b w:val="0"/>
                                <w:lang w:val="en-US"/>
                              </w:rPr>
                              <w:t>Mean ± SD</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lang w:val="en-US"/>
                              </w:rPr>
                            </w:pPr>
                            <w:r w:rsidRPr="00E448B1">
                              <w:rPr>
                                <w:b w:val="0"/>
                                <w:lang w:val="en-US"/>
                              </w:rPr>
                              <w:t xml:space="preserve">     372826.7 ± 902784.9</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lang w:val="en-US"/>
                              </w:rPr>
                            </w:pPr>
                            <w:r w:rsidRPr="00E448B1">
                              <w:rPr>
                                <w:b w:val="0"/>
                                <w:lang w:val="en-US"/>
                              </w:rPr>
                              <w:t xml:space="preserve">   338113.1 ± 624770.4</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lang w:val="en-US"/>
                              </w:rPr>
                            </w:pPr>
                            <w:r w:rsidRPr="00E448B1">
                              <w:rPr>
                                <w:b w:val="0"/>
                                <w:lang w:val="en-US"/>
                              </w:rPr>
                              <w:t xml:space="preserve">   409890.1 ± 941388.1</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lang w:val="en-US"/>
                              </w:rPr>
                            </w:pPr>
                            <w:r w:rsidRPr="00E448B1">
                              <w:rPr>
                                <w:b w:val="0"/>
                                <w:lang w:val="en-US"/>
                              </w:rPr>
                              <w:t xml:space="preserve">       283586 ± 858939.26</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lang w:val="en-US"/>
                              </w:rPr>
                            </w:pPr>
                            <w:r w:rsidRPr="00E448B1">
                              <w:rPr>
                                <w:b w:val="0"/>
                                <w:lang w:val="en-US"/>
                              </w:rPr>
                              <w:t xml:space="preserve">  264338.4 ± 452377.9</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lang w:val="en-US"/>
                              </w:rPr>
                            </w:pPr>
                            <w:r w:rsidRPr="00E448B1">
                              <w:rPr>
                                <w:b w:val="0"/>
                                <w:lang w:val="en-US"/>
                              </w:rPr>
                              <w:t xml:space="preserve">   119830.8 ± 162200.8</w:t>
                            </w:r>
                          </w:p>
                          <w:p w:rsidR="00345D80" w:rsidRPr="00E448B1" w:rsidRDefault="00345D80">
                            <w:pPr>
                              <w:pStyle w:val="af5"/>
                              <w:jc w:val="center"/>
                              <w:rPr>
                                <w:b w:val="0"/>
                              </w:rPr>
                            </w:pPr>
                          </w:p>
                        </w:tc>
                      </w:tr>
                      <w:tr w:rsidR="00345D80" w:rsidRPr="00E448B1" w:rsidTr="00E448B1">
                        <w:tblPrEx>
                          <w:tblCellMar>
                            <w:top w:w="0" w:type="dxa"/>
                            <w:left w:w="0" w:type="dxa"/>
                            <w:bottom w:w="0" w:type="dxa"/>
                            <w:right w:w="0" w:type="dxa"/>
                          </w:tblCellMar>
                        </w:tblPrEx>
                        <w:trPr>
                          <w:trHeight w:val="60"/>
                        </w:trPr>
                        <w:tc>
                          <w:tcPr>
                            <w:tcW w:w="1246" w:type="dxa"/>
                            <w:tcMar>
                              <w:top w:w="28" w:type="dxa"/>
                              <w:left w:w="28" w:type="dxa"/>
                              <w:bottom w:w="28" w:type="dxa"/>
                              <w:right w:w="28" w:type="dxa"/>
                            </w:tcMar>
                          </w:tcPr>
                          <w:p w:rsidR="00345D80" w:rsidRPr="00E448B1" w:rsidRDefault="00345D80">
                            <w:pPr>
                              <w:pStyle w:val="af5"/>
                              <w:rPr>
                                <w:b w:val="0"/>
                                <w:lang w:val="en-US"/>
                              </w:rPr>
                            </w:pPr>
                            <w:r w:rsidRPr="00E448B1">
                              <w:rPr>
                                <w:b w:val="0"/>
                              </w:rPr>
                              <w:t xml:space="preserve">   </w:t>
                            </w:r>
                            <w:r w:rsidRPr="00E448B1">
                              <w:rPr>
                                <w:b w:val="0"/>
                                <w:lang w:val="en-US"/>
                              </w:rPr>
                              <w:t>Median ± QR</w:t>
                            </w:r>
                          </w:p>
                          <w:p w:rsidR="00345D80" w:rsidRPr="00E448B1" w:rsidRDefault="00345D80">
                            <w:pPr>
                              <w:pStyle w:val="af5"/>
                              <w:rPr>
                                <w:b w:val="0"/>
                              </w:rPr>
                            </w:pPr>
                          </w:p>
                        </w:tc>
                        <w:tc>
                          <w:tcPr>
                            <w:tcW w:w="1441" w:type="dxa"/>
                            <w:tcMar>
                              <w:top w:w="28" w:type="dxa"/>
                              <w:left w:w="28" w:type="dxa"/>
                              <w:bottom w:w="28" w:type="dxa"/>
                              <w:right w:w="28" w:type="dxa"/>
                            </w:tcMar>
                          </w:tcPr>
                          <w:p w:rsidR="00345D80" w:rsidRPr="00E448B1" w:rsidRDefault="00345D80">
                            <w:pPr>
                              <w:pStyle w:val="af5"/>
                              <w:jc w:val="center"/>
                              <w:rPr>
                                <w:b w:val="0"/>
                                <w:lang w:val="en-US"/>
                              </w:rPr>
                            </w:pPr>
                            <w:r w:rsidRPr="00E448B1">
                              <w:rPr>
                                <w:b w:val="0"/>
                                <w:lang w:val="en-US"/>
                              </w:rPr>
                              <w:t xml:space="preserve">       78000 ± 280088</w:t>
                            </w:r>
                          </w:p>
                          <w:p w:rsidR="00345D80" w:rsidRPr="00E448B1" w:rsidRDefault="00345D80">
                            <w:pPr>
                              <w:pStyle w:val="af5"/>
                              <w:jc w:val="center"/>
                              <w:rPr>
                                <w:b w:val="0"/>
                              </w:rPr>
                            </w:pPr>
                          </w:p>
                        </w:tc>
                        <w:tc>
                          <w:tcPr>
                            <w:tcW w:w="1355" w:type="dxa"/>
                            <w:tcMar>
                              <w:top w:w="28" w:type="dxa"/>
                              <w:left w:w="28" w:type="dxa"/>
                              <w:bottom w:w="28" w:type="dxa"/>
                              <w:right w:w="28" w:type="dxa"/>
                            </w:tcMar>
                          </w:tcPr>
                          <w:p w:rsidR="00345D80" w:rsidRPr="00E448B1" w:rsidRDefault="00345D80">
                            <w:pPr>
                              <w:pStyle w:val="af5"/>
                              <w:jc w:val="center"/>
                              <w:rPr>
                                <w:b w:val="0"/>
                                <w:lang w:val="en-US"/>
                              </w:rPr>
                            </w:pPr>
                            <w:r w:rsidRPr="00E448B1">
                              <w:rPr>
                                <w:b w:val="0"/>
                                <w:lang w:val="en-US"/>
                              </w:rPr>
                              <w:t>117466.5 ± 358614</w:t>
                            </w:r>
                          </w:p>
                          <w:p w:rsidR="00345D80" w:rsidRPr="00E448B1" w:rsidRDefault="00345D80">
                            <w:pPr>
                              <w:pStyle w:val="af5"/>
                              <w:jc w:val="center"/>
                              <w:rPr>
                                <w:b w:val="0"/>
                              </w:rPr>
                            </w:pPr>
                          </w:p>
                        </w:tc>
                        <w:tc>
                          <w:tcPr>
                            <w:tcW w:w="1364" w:type="dxa"/>
                            <w:tcMar>
                              <w:top w:w="28" w:type="dxa"/>
                              <w:left w:w="28" w:type="dxa"/>
                              <w:bottom w:w="28" w:type="dxa"/>
                              <w:right w:w="28" w:type="dxa"/>
                            </w:tcMar>
                          </w:tcPr>
                          <w:p w:rsidR="00345D80" w:rsidRPr="00E448B1" w:rsidRDefault="00345D80">
                            <w:pPr>
                              <w:pStyle w:val="af5"/>
                              <w:jc w:val="center"/>
                              <w:rPr>
                                <w:b w:val="0"/>
                                <w:lang w:val="en-US"/>
                              </w:rPr>
                            </w:pPr>
                            <w:r w:rsidRPr="00E448B1">
                              <w:rPr>
                                <w:b w:val="0"/>
                                <w:lang w:val="en-US"/>
                              </w:rPr>
                              <w:t xml:space="preserve">     59112 ± 310055</w:t>
                            </w:r>
                          </w:p>
                          <w:p w:rsidR="00345D80" w:rsidRPr="00E448B1" w:rsidRDefault="00345D80">
                            <w:pPr>
                              <w:pStyle w:val="af5"/>
                              <w:jc w:val="center"/>
                              <w:rPr>
                                <w:b w:val="0"/>
                              </w:rPr>
                            </w:pPr>
                          </w:p>
                        </w:tc>
                        <w:tc>
                          <w:tcPr>
                            <w:tcW w:w="1448" w:type="dxa"/>
                            <w:tcMar>
                              <w:top w:w="28" w:type="dxa"/>
                              <w:left w:w="28" w:type="dxa"/>
                              <w:bottom w:w="28" w:type="dxa"/>
                              <w:right w:w="28" w:type="dxa"/>
                            </w:tcMar>
                          </w:tcPr>
                          <w:p w:rsidR="00345D80" w:rsidRPr="00E448B1" w:rsidRDefault="00345D80">
                            <w:pPr>
                              <w:pStyle w:val="af5"/>
                              <w:jc w:val="center"/>
                              <w:rPr>
                                <w:b w:val="0"/>
                                <w:lang w:val="en-US"/>
                              </w:rPr>
                            </w:pPr>
                            <w:r w:rsidRPr="00E448B1">
                              <w:rPr>
                                <w:b w:val="0"/>
                                <w:lang w:val="en-US"/>
                              </w:rPr>
                              <w:t xml:space="preserve">  156797 ± 251419</w:t>
                            </w:r>
                          </w:p>
                          <w:p w:rsidR="00345D80" w:rsidRPr="00E448B1" w:rsidRDefault="00345D80">
                            <w:pPr>
                              <w:pStyle w:val="af5"/>
                              <w:jc w:val="center"/>
                              <w:rPr>
                                <w:b w:val="0"/>
                              </w:rPr>
                            </w:pPr>
                          </w:p>
                        </w:tc>
                        <w:tc>
                          <w:tcPr>
                            <w:tcW w:w="1363" w:type="dxa"/>
                            <w:tcMar>
                              <w:top w:w="28" w:type="dxa"/>
                              <w:left w:w="28" w:type="dxa"/>
                              <w:bottom w:w="28" w:type="dxa"/>
                              <w:right w:w="28" w:type="dxa"/>
                            </w:tcMar>
                          </w:tcPr>
                          <w:p w:rsidR="00345D80" w:rsidRPr="00E448B1" w:rsidRDefault="00345D80">
                            <w:pPr>
                              <w:pStyle w:val="af5"/>
                              <w:jc w:val="center"/>
                              <w:rPr>
                                <w:b w:val="0"/>
                                <w:lang w:val="en-US"/>
                              </w:rPr>
                            </w:pPr>
                            <w:r w:rsidRPr="00E448B1">
                              <w:rPr>
                                <w:b w:val="0"/>
                                <w:lang w:val="en-US"/>
                              </w:rPr>
                              <w:t xml:space="preserve">    47546 ± 278956</w:t>
                            </w:r>
                          </w:p>
                          <w:p w:rsidR="00345D80" w:rsidRPr="00E448B1" w:rsidRDefault="00345D80">
                            <w:pPr>
                              <w:pStyle w:val="af5"/>
                              <w:jc w:val="center"/>
                              <w:rPr>
                                <w:b w:val="0"/>
                              </w:rPr>
                            </w:pPr>
                          </w:p>
                        </w:tc>
                        <w:tc>
                          <w:tcPr>
                            <w:tcW w:w="1353" w:type="dxa"/>
                            <w:tcMar>
                              <w:top w:w="28" w:type="dxa"/>
                              <w:left w:w="28" w:type="dxa"/>
                              <w:bottom w:w="28" w:type="dxa"/>
                              <w:right w:w="28" w:type="dxa"/>
                            </w:tcMar>
                          </w:tcPr>
                          <w:p w:rsidR="00345D80" w:rsidRPr="00E448B1" w:rsidRDefault="00345D80">
                            <w:pPr>
                              <w:pStyle w:val="af5"/>
                              <w:jc w:val="center"/>
                              <w:rPr>
                                <w:b w:val="0"/>
                                <w:lang w:val="en-US"/>
                              </w:rPr>
                            </w:pPr>
                            <w:r w:rsidRPr="00E448B1">
                              <w:rPr>
                                <w:b w:val="0"/>
                                <w:lang w:val="en-US"/>
                              </w:rPr>
                              <w:t xml:space="preserve">     97133 ± 167712</w:t>
                            </w:r>
                          </w:p>
                          <w:p w:rsidR="00345D80" w:rsidRPr="00E448B1" w:rsidRDefault="00345D80">
                            <w:pPr>
                              <w:pStyle w:val="af5"/>
                              <w:jc w:val="center"/>
                              <w:rPr>
                                <w:b w:val="0"/>
                              </w:rPr>
                            </w:pPr>
                          </w:p>
                        </w:tc>
                      </w:tr>
                    </w:tbl>
                    <w:p w:rsidR="00345D80" w:rsidRPr="00AD48AB" w:rsidRDefault="00345D80" w:rsidP="00345D80">
                      <w:pPr>
                        <w:pStyle w:val="af6"/>
                      </w:pPr>
                      <w:r w:rsidRPr="00E448B1">
                        <w:rPr>
                          <w:b w:val="0"/>
                        </w:rPr>
                        <w:t>SD: Standard deviation; QR: Quartile range; HOMA-IR: Homeostasis model for insulin resistance, a mathematically calculated formula; ACE: Angiotensin converting enzyme; AST: Aspartate transaminase enzyme; ALT: Alanine amino transferase; BMI: Body mass index.</w:t>
                      </w:r>
                    </w:p>
                  </w:txbxContent>
                </v:textbox>
                <w10:wrap type="square"/>
              </v:shape>
            </w:pict>
          </mc:Fallback>
        </mc:AlternateContent>
      </w:r>
    </w:p>
    <w:p w:rsidR="00345D80" w:rsidRDefault="00345D80" w:rsidP="00345D80">
      <w:pPr>
        <w:rPr>
          <w:rFonts w:hint="eastAsia"/>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343525" cy="17252315"/>
                <wp:effectExtent l="8255" t="9525" r="10795" b="6985"/>
                <wp:wrapSquare wrapText="bothSides"/>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7252315"/>
                        </a:xfrm>
                        <a:prstGeom prst="rect">
                          <a:avLst/>
                        </a:prstGeom>
                        <a:solidFill>
                          <a:srgbClr val="FFFFFF"/>
                        </a:solidFill>
                        <a:ln w="9525">
                          <a:solidFill>
                            <a:srgbClr val="000000"/>
                          </a:solidFill>
                          <a:miter lim="800000"/>
                          <a:headEnd/>
                          <a:tailEnd/>
                        </a:ln>
                      </wps:spPr>
                      <wps:txbx>
                        <w:txbxContent>
                          <w:p w:rsidR="00345D80" w:rsidRPr="00E448B1" w:rsidRDefault="00345D80" w:rsidP="00345D80">
                            <w:pPr>
                              <w:rPr>
                                <w:b/>
                                <w:bCs/>
                              </w:rPr>
                            </w:pPr>
                            <w:r w:rsidRPr="00E448B1">
                              <w:rPr>
                                <w:b/>
                                <w:bCs/>
                              </w:rPr>
                              <w:t>Table 2  Presentation of quantitative variables and their significance among three levels of fibrosis and significance between groups</w:t>
                            </w:r>
                          </w:p>
                          <w:tbl>
                            <w:tblPr>
                              <w:tblW w:w="9561"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550"/>
                              <w:gridCol w:w="1806"/>
                              <w:gridCol w:w="1797"/>
                              <w:gridCol w:w="2141"/>
                              <w:gridCol w:w="758"/>
                              <w:gridCol w:w="796"/>
                              <w:gridCol w:w="713"/>
                            </w:tblGrid>
                            <w:tr w:rsidR="00345D80" w:rsidRPr="00E448B1" w:rsidTr="00E448B1">
                              <w:tblPrEx>
                                <w:tblCellMar>
                                  <w:top w:w="0" w:type="dxa"/>
                                  <w:left w:w="0" w:type="dxa"/>
                                  <w:bottom w:w="0" w:type="dxa"/>
                                  <w:right w:w="0" w:type="dxa"/>
                                </w:tblCellMar>
                              </w:tblPrEx>
                              <w:trPr>
                                <w:trHeight w:hRule="exact" w:val="1280"/>
                              </w:trPr>
                              <w:tc>
                                <w:tcPr>
                                  <w:tcW w:w="1550"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textAlignment w:val="center"/>
                                    <w:rPr>
                                      <w:rFonts w:ascii="Albertus" w:hAnsi="Albertus" w:cs="Albertus"/>
                                      <w:b/>
                                      <w:bCs/>
                                      <w:color w:val="000000"/>
                                      <w:kern w:val="0"/>
                                      <w:sz w:val="14"/>
                                      <w:szCs w:val="14"/>
                                      <w:lang w:val="zh-CN"/>
                                    </w:rPr>
                                  </w:pPr>
                                  <w:r w:rsidRPr="00E448B1">
                                    <w:rPr>
                                      <w:rFonts w:ascii="Albertus" w:hAnsi="Albertus" w:cs="Albertus"/>
                                      <w:b/>
                                      <w:bCs/>
                                      <w:color w:val="000000"/>
                                      <w:kern w:val="0"/>
                                      <w:sz w:val="14"/>
                                      <w:szCs w:val="14"/>
                                      <w:lang w:val="zh-CN"/>
                                    </w:rPr>
                                    <w:t>Variant</w:t>
                                  </w:r>
                                </w:p>
                                <w:p w:rsidR="00345D80" w:rsidRPr="00E448B1" w:rsidRDefault="00345D80" w:rsidP="00E448B1">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806"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rPr>
                                  </w:pPr>
                                  <w:r w:rsidRPr="00E448B1">
                                    <w:rPr>
                                      <w:rFonts w:ascii="Albertus" w:hAnsi="Albertus" w:cs="Albertus"/>
                                      <w:b/>
                                      <w:bCs/>
                                      <w:color w:val="000000"/>
                                      <w:kern w:val="0"/>
                                      <w:sz w:val="14"/>
                                      <w:szCs w:val="14"/>
                                    </w:rPr>
                                    <w:t xml:space="preserve">Mild fibrosis (F0-F1) </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rPr>
                                  </w:pPr>
                                  <w:r w:rsidRPr="00E448B1">
                                    <w:rPr>
                                      <w:rFonts w:ascii="Albertus" w:hAnsi="Albertus" w:cs="Albertus"/>
                                      <w:b/>
                                      <w:bCs/>
                                      <w:color w:val="000000"/>
                                      <w:kern w:val="0"/>
                                      <w:sz w:val="14"/>
                                      <w:szCs w:val="14"/>
                                    </w:rPr>
                                    <w:t>(</w:t>
                                  </w:r>
                                  <w:r w:rsidRPr="00E448B1">
                                    <w:rPr>
                                      <w:rFonts w:ascii="Albertus Italic" w:hAnsi="Albertus Italic" w:cs="Albertus Italic"/>
                                      <w:b/>
                                      <w:i/>
                                      <w:iCs/>
                                      <w:color w:val="000000"/>
                                      <w:kern w:val="0"/>
                                      <w:sz w:val="14"/>
                                      <w:szCs w:val="14"/>
                                    </w:rPr>
                                    <w:t>n</w:t>
                                  </w:r>
                                  <w:r w:rsidRPr="00E448B1">
                                    <w:rPr>
                                      <w:rFonts w:ascii="Albertus" w:hAnsi="Albertus" w:cs="Albertus"/>
                                      <w:b/>
                                      <w:bCs/>
                                      <w:color w:val="000000"/>
                                      <w:kern w:val="0"/>
                                      <w:sz w:val="14"/>
                                      <w:szCs w:val="14"/>
                                    </w:rPr>
                                    <w:t xml:space="preserve"> = 179)</w:t>
                                  </w:r>
                                </w:p>
                              </w:tc>
                              <w:tc>
                                <w:tcPr>
                                  <w:tcW w:w="1797"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w:hAnsi="Albertus" w:cs="Albertus"/>
                                      <w:b/>
                                      <w:bCs/>
                                      <w:color w:val="000000"/>
                                      <w:kern w:val="0"/>
                                      <w:sz w:val="14"/>
                                      <w:szCs w:val="14"/>
                                      <w:lang w:val="zh-CN"/>
                                    </w:rPr>
                                    <w:t xml:space="preserve">Moderate fibrosis (F2) </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Italic" w:hAnsi="Albertus Italic" w:cs="Albertus Italic"/>
                                      <w:b/>
                                      <w:i/>
                                      <w:iCs/>
                                      <w:color w:val="000000"/>
                                      <w:kern w:val="0"/>
                                      <w:sz w:val="14"/>
                                      <w:szCs w:val="14"/>
                                      <w:lang w:val="zh-CN"/>
                                    </w:rPr>
                                    <w:t>n</w:t>
                                  </w:r>
                                  <w:r w:rsidRPr="00E448B1">
                                    <w:rPr>
                                      <w:rFonts w:ascii="Albertus" w:hAnsi="Albertus" w:cs="Albertus"/>
                                      <w:b/>
                                      <w:bCs/>
                                      <w:color w:val="000000"/>
                                      <w:kern w:val="0"/>
                                      <w:sz w:val="14"/>
                                      <w:szCs w:val="14"/>
                                      <w:lang w:val="zh-CN"/>
                                    </w:rPr>
                                    <w:t xml:space="preserve"> = 64)</w:t>
                                  </w:r>
                                </w:p>
                              </w:tc>
                              <w:tc>
                                <w:tcPr>
                                  <w:tcW w:w="2141"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rPr>
                                  </w:pPr>
                                  <w:r w:rsidRPr="00E448B1">
                                    <w:rPr>
                                      <w:rFonts w:ascii="Albertus" w:hAnsi="Albertus" w:cs="Albertus"/>
                                      <w:b/>
                                      <w:bCs/>
                                      <w:color w:val="000000"/>
                                      <w:kern w:val="0"/>
                                      <w:sz w:val="14"/>
                                      <w:szCs w:val="14"/>
                                    </w:rPr>
                                    <w:t xml:space="preserve">Advanced fibrosis (F3-F4) </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rPr>
                                  </w:pPr>
                                  <w:r w:rsidRPr="00E448B1">
                                    <w:rPr>
                                      <w:rFonts w:ascii="Albertus" w:hAnsi="Albertus" w:cs="Albertus"/>
                                      <w:b/>
                                      <w:bCs/>
                                      <w:color w:val="000000"/>
                                      <w:kern w:val="0"/>
                                      <w:sz w:val="14"/>
                                      <w:szCs w:val="14"/>
                                    </w:rPr>
                                    <w:t>(</w:t>
                                  </w:r>
                                  <w:r w:rsidRPr="00E448B1">
                                    <w:rPr>
                                      <w:rFonts w:ascii="Albertus Italic" w:hAnsi="Albertus Italic" w:cs="Albertus Italic"/>
                                      <w:b/>
                                      <w:i/>
                                      <w:iCs/>
                                      <w:color w:val="000000"/>
                                      <w:kern w:val="0"/>
                                      <w:sz w:val="14"/>
                                      <w:szCs w:val="14"/>
                                    </w:rPr>
                                    <w:t>n</w:t>
                                  </w:r>
                                  <w:r w:rsidRPr="00E448B1">
                                    <w:rPr>
                                      <w:rFonts w:ascii="Albertus" w:hAnsi="Albertus" w:cs="Albertus"/>
                                      <w:b/>
                                      <w:bCs/>
                                      <w:color w:val="000000"/>
                                      <w:kern w:val="0"/>
                                      <w:sz w:val="14"/>
                                      <w:szCs w:val="14"/>
                                    </w:rPr>
                                    <w:t xml:space="preserve"> = 89)</w:t>
                                  </w:r>
                                </w:p>
                              </w:tc>
                              <w:tc>
                                <w:tcPr>
                                  <w:tcW w:w="758"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Italic" w:hAnsi="Albertus Italic" w:cs="Albertus Italic"/>
                                      <w:b/>
                                      <w:i/>
                                      <w:iCs/>
                                      <w:color w:val="000000"/>
                                      <w:kern w:val="0"/>
                                      <w:sz w:val="14"/>
                                      <w:szCs w:val="14"/>
                                      <w:lang w:val="zh-CN"/>
                                    </w:rPr>
                                    <w:t>P</w:t>
                                  </w:r>
                                  <w:r w:rsidRPr="00E448B1">
                                    <w:rPr>
                                      <w:rFonts w:ascii="Albertus" w:hAnsi="Albertus" w:cs="Albertus"/>
                                      <w:b/>
                                      <w:bCs/>
                                      <w:color w:val="000000"/>
                                      <w:kern w:val="0"/>
                                      <w:sz w:val="14"/>
                                      <w:szCs w:val="14"/>
                                      <w:lang w:val="zh-CN"/>
                                    </w:rPr>
                                    <w:t>1</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96"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Italic" w:hAnsi="Albertus Italic" w:cs="Albertus Italic"/>
                                      <w:b/>
                                      <w:i/>
                                      <w:iCs/>
                                      <w:color w:val="000000"/>
                                      <w:kern w:val="0"/>
                                      <w:sz w:val="14"/>
                                      <w:szCs w:val="14"/>
                                      <w:lang w:val="zh-CN"/>
                                    </w:rPr>
                                    <w:t>P</w:t>
                                  </w:r>
                                  <w:r w:rsidRPr="00E448B1">
                                    <w:rPr>
                                      <w:rFonts w:ascii="Albertus" w:hAnsi="Albertus" w:cs="Albertus"/>
                                      <w:b/>
                                      <w:bCs/>
                                      <w:color w:val="000000"/>
                                      <w:kern w:val="0"/>
                                      <w:sz w:val="14"/>
                                      <w:szCs w:val="14"/>
                                      <w:lang w:val="zh-CN"/>
                                    </w:rPr>
                                    <w:t>2</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13"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Italic" w:hAnsi="Albertus Italic" w:cs="Albertus Italic"/>
                                      <w:b/>
                                      <w:i/>
                                      <w:iCs/>
                                      <w:color w:val="000000"/>
                                      <w:kern w:val="0"/>
                                      <w:sz w:val="14"/>
                                      <w:szCs w:val="14"/>
                                      <w:lang w:val="zh-CN"/>
                                    </w:rPr>
                                    <w:t>P</w:t>
                                  </w:r>
                                  <w:r w:rsidRPr="00E448B1">
                                    <w:rPr>
                                      <w:rFonts w:ascii="Albertus" w:hAnsi="Albertus" w:cs="Albertus"/>
                                      <w:b/>
                                      <w:bCs/>
                                      <w:color w:val="000000"/>
                                      <w:kern w:val="0"/>
                                      <w:sz w:val="14"/>
                                      <w:szCs w:val="14"/>
                                      <w:lang w:val="zh-CN"/>
                                    </w:rPr>
                                    <w:t>3</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550" w:type="dxa"/>
                                  <w:tcBorders>
                                    <w:top w:val="single" w:sz="6" w:space="0" w:color="000000"/>
                                  </w:tcBorders>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Age (yr)</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Borders>
                                    <w:top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1797" w:type="dxa"/>
                                  <w:tcBorders>
                                    <w:top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2141" w:type="dxa"/>
                                  <w:tcBorders>
                                    <w:top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58" w:type="dxa"/>
                                  <w:tcBorders>
                                    <w:top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tcBorders>
                                    <w:top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tcBorders>
                                    <w:top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Mean ± SD</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39.1 ± 9.6</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42 ± 7.4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49 ± 8.2</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96"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3"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203"/>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Median ± QR</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38.5 ± 16</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42 ± 10</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50 ± 11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vMerge/>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Gender (male)</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1797"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2141"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58"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w:t>
                                  </w:r>
                                  <w:r w:rsidRPr="00E448B1">
                                    <w:rPr>
                                      <w:rFonts w:ascii="Book Antiqua" w:hAnsi="Book Antiqua" w:cs="Book Antiqua"/>
                                      <w:i/>
                                      <w:iCs/>
                                      <w:color w:val="000000"/>
                                      <w:kern w:val="0"/>
                                      <w:sz w:val="14"/>
                                      <w:szCs w:val="14"/>
                                      <w:lang w:val="zh-CN"/>
                                    </w:rPr>
                                    <w:t>n</w:t>
                                  </w:r>
                                  <w:r w:rsidRPr="00E448B1">
                                    <w:rPr>
                                      <w:rFonts w:ascii="Book Antiqua" w:hAnsi="Book Antiqua" w:cs="Book Antiqua"/>
                                      <w:bCs/>
                                      <w:color w:val="000000"/>
                                      <w:kern w:val="0"/>
                                      <w:sz w:val="14"/>
                                      <w:szCs w:val="14"/>
                                      <w:lang w:val="zh-CN"/>
                                    </w:rPr>
                                    <w:t xml:space="preserve"> (%)</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101 (56)</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40 (62)</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43 (48)</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0.100</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9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0.060</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3"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0.832</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HOMA-IR</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1797"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2141"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58"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Mean ± SD</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2.6 ± 0.9</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3.4 ± 1.2</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4.1 ± 1.5</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0.027</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96"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3"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0.008</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Median ± QR</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2.5 ± 1.4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3.4 ± 1.4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4.1 ± 2.2</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vMerge/>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ACE (U/mL)</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1797"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2141"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58"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Mean ± SD</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271.5 ± 127.3</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287.2 ± 122.5</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323.2 ± 150.9</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0.051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96"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3"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0.022</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Median ± QR</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255 ± 187.5</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300 ± 190</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275 ± 142.5</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vMerge/>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Glucose (mmol)</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1797"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2141"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58"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196"/>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Mean ± SD</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5.1 ± 0.9</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4.8 ± 0.8</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5.4 ± 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0.629</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96"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0.013</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3"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0.017</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Median ± QR</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5 ± 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4.6 ± 1.1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5.3 ± 1.5</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vMerge/>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ALT (U/L)</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1797"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2141"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58"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Mean ± SD</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50.2 ± 34.9</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55.5 ± 30.3</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80.7 ± 38.4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0.004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96"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3"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0.022</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Median ± QR</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40 ± 43</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47 ± 53</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85.5 ± 53.3</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vMerge/>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AST (U/L)</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1797"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2141"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58"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20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Mean ± SD</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38.3 ± 20.3</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55 ± 35.4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87.8 ± 48.5</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96"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3"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Median ± QR</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34 ± 20.5</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36 ± 39</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87 ± 61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vMerge/>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Platelet (× 10</w:t>
                                  </w:r>
                                  <w:r w:rsidRPr="00E448B1">
                                    <w:rPr>
                                      <w:rFonts w:ascii="Book Antiqua" w:hAnsi="Book Antiqua" w:cs="Book Antiqua"/>
                                      <w:bCs/>
                                      <w:color w:val="000000"/>
                                      <w:kern w:val="0"/>
                                      <w:sz w:val="14"/>
                                      <w:szCs w:val="14"/>
                                      <w:vertAlign w:val="superscript"/>
                                      <w:lang w:val="zh-CN"/>
                                    </w:rPr>
                                    <w:t>9</w:t>
                                  </w:r>
                                  <w:r w:rsidRPr="00E448B1">
                                    <w:rPr>
                                      <w:rFonts w:ascii="Book Antiqua" w:hAnsi="Book Antiqua" w:cs="Book Antiqua"/>
                                      <w:bCs/>
                                      <w:color w:val="000000"/>
                                      <w:kern w:val="0"/>
                                      <w:sz w:val="14"/>
                                      <w:szCs w:val="14"/>
                                      <w:lang w:val="zh-CN"/>
                                    </w:rPr>
                                    <w:t>/L)</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1797"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2141"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58"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Mean ± SD</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237.1 ± 62.4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207.1 ± 70.2</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162 ± 59.8</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0.003</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96"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3"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Median ± QR</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231 ± 81.3</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226 ± 120</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160.5 ± 64.3</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vMerge/>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Insulin (uU/mL)</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1797"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2141"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58"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Mean ± SD</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11.9 ± 4.4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15.8 ± 4.9</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16.8 ± 5.8</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0.016</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96"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3"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0.071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Median ± QR</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12.4 ± 6.2</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14.6 ± 3.4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16.7 ± 6.4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vMerge/>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Creatinine (mg/dL)</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1797"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2141"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58"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Mean ± SD</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0.7 ± 0.2</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0.6 ± 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0.7 ± 0.2</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0.999</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96"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0.009</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3"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0.039</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Median ± QR</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0.7 ± 0.2</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0.6 ± 0.3</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0.6 ± 0.3</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vMerge/>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Albumin (g/dL)</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1797"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2141"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58"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Mean ± SD</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4.3 ± 0.43</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4 ± 0.8</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4 ± 0.41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0.044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96"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3"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0.005</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Median ± QR</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4.4 ± 0.54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4.2 ± 0.84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4 ± 0.67</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vMerge/>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lang w:val="zh-CN"/>
                                    </w:rPr>
                                  </w:pPr>
                                  <w:r w:rsidRPr="00E448B1">
                                    <w:rPr>
                                      <w:rFonts w:ascii="Book Antiqua" w:hAnsi="Book Antiqua" w:cs="Book Antiqua"/>
                                      <w:bCs/>
                                      <w:color w:val="000000"/>
                                      <w:kern w:val="0"/>
                                      <w:sz w:val="14"/>
                                      <w:szCs w:val="14"/>
                                      <w:lang w:val="zh-CN"/>
                                    </w:rPr>
                                    <w:t>Viral load</w:t>
                                  </w:r>
                                  <w:r w:rsidRPr="00E448B1">
                                    <w:rPr>
                                      <w:rFonts w:ascii="Book Antiqua" w:hAnsi="Book Antiqua" w:cs="Book Antiqua"/>
                                      <w:bCs/>
                                      <w:color w:val="000000"/>
                                      <w:kern w:val="0"/>
                                      <w:sz w:val="14"/>
                                      <w:szCs w:val="14"/>
                                      <w:vertAlign w:val="superscript"/>
                                      <w:lang w:val="zh-CN"/>
                                    </w:rPr>
                                    <w:t>1</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1797"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2141"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58"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Range</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45979 (2.47-6570282)</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36355.5 (2.46-6403601)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55000 (6.00-5600790)</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0.37</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96"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0.96</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3"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0.52</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Mean ± SD</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358316.6 ± 909311.81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283586 ± 858939.26</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331799.1 ± 863675.2</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vMerge/>
                                </w:tcPr>
                                <w:p w:rsidR="00345D80" w:rsidRPr="00E448B1" w:rsidRDefault="00345D80" w:rsidP="00E448B1">
                                  <w:pPr>
                                    <w:autoSpaceDE w:val="0"/>
                                    <w:autoSpaceDN w:val="0"/>
                                    <w:adjustRightInd w:val="0"/>
                                    <w:jc w:val="left"/>
                                    <w:rPr>
                                      <w:rFonts w:ascii="Albertus Italic" w:hAnsi="Albertus Italic"/>
                                      <w:kern w:val="0"/>
                                      <w:sz w:val="24"/>
                                    </w:rPr>
                                  </w:pPr>
                                </w:p>
                              </w:tc>
                            </w:tr>
                          </w:tbl>
                          <w:p w:rsidR="00345D80" w:rsidRPr="00C82C35" w:rsidRDefault="00345D80" w:rsidP="00345D80">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r w:rsidRPr="00E448B1">
                              <w:rPr>
                                <w:rFonts w:ascii="Book Antiqua" w:hAnsi="Book Antiqua" w:cs="Book Antiqua"/>
                                <w:bCs/>
                                <w:color w:val="000000"/>
                                <w:kern w:val="0"/>
                                <w:sz w:val="14"/>
                                <w:szCs w:val="14"/>
                                <w:vertAlign w:val="superscript"/>
                              </w:rPr>
                              <w:t>1</w:t>
                            </w:r>
                            <w:r w:rsidRPr="00E448B1">
                              <w:rPr>
                                <w:rFonts w:ascii="Book Antiqua" w:hAnsi="Book Antiqua" w:cs="Book Antiqua"/>
                                <w:bCs/>
                                <w:color w:val="000000"/>
                                <w:kern w:val="0"/>
                                <w:sz w:val="14"/>
                                <w:szCs w:val="14"/>
                              </w:rPr>
                              <w:t xml:space="preserve">Comparison was done using non-parametric Mann-Whitney test. SD: Standard deviation; QR: Quartile range; HOMA-IR: Homeostasis model for insulin resistance, a mathematically calculated formula; ACE: Angiotensin converting enzyme; AST: Aspartate transaminase enzyme; ALT: Alanine amino transferase; </w:t>
                            </w:r>
                            <w:r w:rsidRPr="00E448B1">
                              <w:rPr>
                                <w:rFonts w:ascii="Book Antiqua" w:hAnsi="Book Antiqua" w:cs="Book Antiqua"/>
                                <w:i/>
                                <w:iCs/>
                                <w:color w:val="000000"/>
                                <w:kern w:val="0"/>
                                <w:sz w:val="14"/>
                                <w:szCs w:val="14"/>
                              </w:rPr>
                              <w:t>P</w:t>
                            </w:r>
                            <w:r w:rsidRPr="00E448B1">
                              <w:rPr>
                                <w:rFonts w:ascii="Book Antiqua" w:hAnsi="Book Antiqua" w:cs="Book Antiqua"/>
                                <w:bCs/>
                                <w:color w:val="000000"/>
                                <w:kern w:val="0"/>
                                <w:sz w:val="14"/>
                                <w:szCs w:val="14"/>
                              </w:rPr>
                              <w:t xml:space="preserve">1: Significance between mild and moderate fibrosis; </w:t>
                            </w:r>
                            <w:r w:rsidRPr="00E448B1">
                              <w:rPr>
                                <w:rFonts w:ascii="Book Antiqua" w:hAnsi="Book Antiqua" w:cs="Book Antiqua"/>
                                <w:i/>
                                <w:iCs/>
                                <w:color w:val="000000"/>
                                <w:kern w:val="0"/>
                                <w:sz w:val="14"/>
                                <w:szCs w:val="14"/>
                              </w:rPr>
                              <w:t>P</w:t>
                            </w:r>
                            <w:r w:rsidRPr="00E448B1">
                              <w:rPr>
                                <w:rFonts w:ascii="Book Antiqua" w:hAnsi="Book Antiqua" w:cs="Book Antiqua"/>
                                <w:bCs/>
                                <w:color w:val="000000"/>
                                <w:kern w:val="0"/>
                                <w:sz w:val="14"/>
                                <w:szCs w:val="14"/>
                              </w:rPr>
                              <w:t xml:space="preserve">2: Significance between mild and advanced fibrosis; </w:t>
                            </w:r>
                            <w:r w:rsidRPr="00E448B1">
                              <w:rPr>
                                <w:rFonts w:ascii="Book Antiqua" w:hAnsi="Book Antiqua" w:cs="Book Antiqua"/>
                                <w:i/>
                                <w:iCs/>
                                <w:color w:val="000000"/>
                                <w:kern w:val="0"/>
                                <w:sz w:val="14"/>
                                <w:szCs w:val="14"/>
                              </w:rPr>
                              <w:t>P</w:t>
                            </w:r>
                            <w:r w:rsidRPr="00E448B1">
                              <w:rPr>
                                <w:rFonts w:ascii="Book Antiqua" w:hAnsi="Book Antiqua" w:cs="Book Antiqua"/>
                                <w:bCs/>
                                <w:color w:val="000000"/>
                                <w:kern w:val="0"/>
                                <w:sz w:val="14"/>
                                <w:szCs w:val="14"/>
                              </w:rPr>
                              <w:t>3: Significance between moderate and advanced fibrosis.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6" o:spid="_x0000_s1027" type="#_x0000_t202" style="position:absolute;left:0;text-align:left;margin-left:0;margin-top:0;width:420.75pt;height:1358.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H9jOQIAAFgEAAAOAAAAZHJzL2Uyb0RvYy54bWysVEuO2zAM3RfoHQTtG8fOZ2aMOINppikK&#10;TD/AtAeQZdkWqh8kJXZ6gM4Nuuqm+54r5yglJ5n0gy6KeiGQIvVIPpJeXPdSoC2zjmtV4HQ0xogp&#10;qiuumgJ/eL9+domR80RVRGjFCrxjDl8vnz5ZdCZnmW61qJhFAKJc3pkCt96bPEkcbZkkbqQNU2Cs&#10;tZXEg2qbpLKkA3Qpkmw8niedtpWxmjLn4PZ2MOJlxK9rRv3bunbMI1FgyM3H08azDGeyXJC8scS0&#10;nB7SIP+QhSRcQdAT1C3xBG0s/w1Kcmq107UfUS0TXdecslgDVJOOf6nmviWGxVqAHGdONLn/B0vf&#10;bN9ZxKsCzzFSREKL9l8e9l+/7799RvNAT2dcDl73Bvx8/1z30OZYqjN3mn50SOlVS1TDbqzVXctI&#10;Beml4WVy9nTAcQGk7F7rCuKQjdcRqK+tDNwBGwjQoU27U2tY7xGFy9lkOpllM4wo2NKLbJZN0lkM&#10;QvLje2Odf8m0REEosIXmR3yyvXM+5EPyo0sI57Tg1ZoLERXblCth0ZbAoKzjd0D/yU0o1BX4KmTy&#10;d4hx/P4EIbmHiRdcFvjy5ETyQNwLVcV59ISLQYaUhTowGcgbaPR92ceeRZoDy6WudkCt1cOAw0KC&#10;0Gr7CaMOhrvACrYPI/FKQXOu0uk07EJUprOLDBR7binPLURRACqwx2gQV37Yn42xvGkhznEcbqCh&#10;ax6ZfszpkDyMb2zAYdXCfpzr0evxh7D8AQAA//8DAFBLAwQUAAYACAAAACEA2xwam+AAAAAGAQAA&#10;DwAAAGRycy9kb3ducmV2LnhtbEyPwU7DMBBE70j8g7VIXBB1UpW2hGwqaFVxQEJQ+AAnXpK08TqK&#10;3STl62u4wGWl0Yxm3qar0TSip87VlhHiSQSCuLC65hLh82N7uwThvGKtGsuEcCIHq+zyIlWJtgO/&#10;U7/zpQgl7BKFUHnfJlK6oiKj3MS2xMH7sp1RPsiulLpTQyg3jZxG0VwaVXNYqFRL64qKw+5oEA6b&#10;Rb+/eXl+yl+3633ZR8M3FW+I11fj4wMIT6P/C8MPfkCHLDDl9sjaiQYhPOJ/b/CWs/gORI4wXcTz&#10;e5BZKv/jZ2cAAAD//wMAUEsBAi0AFAAGAAgAAAAhALaDOJL+AAAA4QEAABMAAAAAAAAAAAAAAAAA&#10;AAAAAFtDb250ZW50X1R5cGVzXS54bWxQSwECLQAUAAYACAAAACEAOP0h/9YAAACUAQAACwAAAAAA&#10;AAAAAAAAAAAvAQAAX3JlbHMvLnJlbHNQSwECLQAUAAYACAAAACEA8IB/YzkCAABYBAAADgAAAAAA&#10;AAAAAAAAAAAuAgAAZHJzL2Uyb0RvYy54bWxQSwECLQAUAAYACAAAACEA2xwam+AAAAAGAQAADwAA&#10;AAAAAAAAAAAAAACTBAAAZHJzL2Rvd25yZXYueG1sUEsFBgAAAAAEAAQA8wAAAKAFAAAAAA==&#10;">
                <v:textbox style="mso-fit-shape-to-text:t">
                  <w:txbxContent>
                    <w:p w:rsidR="00345D80" w:rsidRPr="00E448B1" w:rsidRDefault="00345D80" w:rsidP="00345D80">
                      <w:pPr>
                        <w:rPr>
                          <w:b/>
                          <w:bCs/>
                        </w:rPr>
                      </w:pPr>
                      <w:r w:rsidRPr="00E448B1">
                        <w:rPr>
                          <w:b/>
                          <w:bCs/>
                        </w:rPr>
                        <w:t>Table 2  Presentation of quantitative variables and their significance among three levels of fibrosis and significance between groups</w:t>
                      </w:r>
                    </w:p>
                    <w:tbl>
                      <w:tblPr>
                        <w:tblW w:w="9561"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550"/>
                        <w:gridCol w:w="1806"/>
                        <w:gridCol w:w="1797"/>
                        <w:gridCol w:w="2141"/>
                        <w:gridCol w:w="758"/>
                        <w:gridCol w:w="796"/>
                        <w:gridCol w:w="713"/>
                      </w:tblGrid>
                      <w:tr w:rsidR="00345D80" w:rsidRPr="00E448B1" w:rsidTr="00E448B1">
                        <w:tblPrEx>
                          <w:tblCellMar>
                            <w:top w:w="0" w:type="dxa"/>
                            <w:left w:w="0" w:type="dxa"/>
                            <w:bottom w:w="0" w:type="dxa"/>
                            <w:right w:w="0" w:type="dxa"/>
                          </w:tblCellMar>
                        </w:tblPrEx>
                        <w:trPr>
                          <w:trHeight w:hRule="exact" w:val="1280"/>
                        </w:trPr>
                        <w:tc>
                          <w:tcPr>
                            <w:tcW w:w="1550"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textAlignment w:val="center"/>
                              <w:rPr>
                                <w:rFonts w:ascii="Albertus" w:hAnsi="Albertus" w:cs="Albertus"/>
                                <w:b/>
                                <w:bCs/>
                                <w:color w:val="000000"/>
                                <w:kern w:val="0"/>
                                <w:sz w:val="14"/>
                                <w:szCs w:val="14"/>
                                <w:lang w:val="zh-CN"/>
                              </w:rPr>
                            </w:pPr>
                            <w:r w:rsidRPr="00E448B1">
                              <w:rPr>
                                <w:rFonts w:ascii="Albertus" w:hAnsi="Albertus" w:cs="Albertus"/>
                                <w:b/>
                                <w:bCs/>
                                <w:color w:val="000000"/>
                                <w:kern w:val="0"/>
                                <w:sz w:val="14"/>
                                <w:szCs w:val="14"/>
                                <w:lang w:val="zh-CN"/>
                              </w:rPr>
                              <w:t>Variant</w:t>
                            </w:r>
                          </w:p>
                          <w:p w:rsidR="00345D80" w:rsidRPr="00E448B1" w:rsidRDefault="00345D80" w:rsidP="00E448B1">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806"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rPr>
                            </w:pPr>
                            <w:r w:rsidRPr="00E448B1">
                              <w:rPr>
                                <w:rFonts w:ascii="Albertus" w:hAnsi="Albertus" w:cs="Albertus"/>
                                <w:b/>
                                <w:bCs/>
                                <w:color w:val="000000"/>
                                <w:kern w:val="0"/>
                                <w:sz w:val="14"/>
                                <w:szCs w:val="14"/>
                              </w:rPr>
                              <w:t xml:space="preserve">Mild fibrosis (F0-F1) </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rPr>
                            </w:pPr>
                            <w:r w:rsidRPr="00E448B1">
                              <w:rPr>
                                <w:rFonts w:ascii="Albertus" w:hAnsi="Albertus" w:cs="Albertus"/>
                                <w:b/>
                                <w:bCs/>
                                <w:color w:val="000000"/>
                                <w:kern w:val="0"/>
                                <w:sz w:val="14"/>
                                <w:szCs w:val="14"/>
                              </w:rPr>
                              <w:t>(</w:t>
                            </w:r>
                            <w:r w:rsidRPr="00E448B1">
                              <w:rPr>
                                <w:rFonts w:ascii="Albertus Italic" w:hAnsi="Albertus Italic" w:cs="Albertus Italic"/>
                                <w:b/>
                                <w:i/>
                                <w:iCs/>
                                <w:color w:val="000000"/>
                                <w:kern w:val="0"/>
                                <w:sz w:val="14"/>
                                <w:szCs w:val="14"/>
                              </w:rPr>
                              <w:t>n</w:t>
                            </w:r>
                            <w:r w:rsidRPr="00E448B1">
                              <w:rPr>
                                <w:rFonts w:ascii="Albertus" w:hAnsi="Albertus" w:cs="Albertus"/>
                                <w:b/>
                                <w:bCs/>
                                <w:color w:val="000000"/>
                                <w:kern w:val="0"/>
                                <w:sz w:val="14"/>
                                <w:szCs w:val="14"/>
                              </w:rPr>
                              <w:t xml:space="preserve"> = 179)</w:t>
                            </w:r>
                          </w:p>
                        </w:tc>
                        <w:tc>
                          <w:tcPr>
                            <w:tcW w:w="1797"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w:hAnsi="Albertus" w:cs="Albertus"/>
                                <w:b/>
                                <w:bCs/>
                                <w:color w:val="000000"/>
                                <w:kern w:val="0"/>
                                <w:sz w:val="14"/>
                                <w:szCs w:val="14"/>
                                <w:lang w:val="zh-CN"/>
                              </w:rPr>
                              <w:t xml:space="preserve">Moderate fibrosis (F2) </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Italic" w:hAnsi="Albertus Italic" w:cs="Albertus Italic"/>
                                <w:b/>
                                <w:i/>
                                <w:iCs/>
                                <w:color w:val="000000"/>
                                <w:kern w:val="0"/>
                                <w:sz w:val="14"/>
                                <w:szCs w:val="14"/>
                                <w:lang w:val="zh-CN"/>
                              </w:rPr>
                              <w:t>n</w:t>
                            </w:r>
                            <w:r w:rsidRPr="00E448B1">
                              <w:rPr>
                                <w:rFonts w:ascii="Albertus" w:hAnsi="Albertus" w:cs="Albertus"/>
                                <w:b/>
                                <w:bCs/>
                                <w:color w:val="000000"/>
                                <w:kern w:val="0"/>
                                <w:sz w:val="14"/>
                                <w:szCs w:val="14"/>
                                <w:lang w:val="zh-CN"/>
                              </w:rPr>
                              <w:t xml:space="preserve"> = 64)</w:t>
                            </w:r>
                          </w:p>
                        </w:tc>
                        <w:tc>
                          <w:tcPr>
                            <w:tcW w:w="2141"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rPr>
                            </w:pPr>
                            <w:r w:rsidRPr="00E448B1">
                              <w:rPr>
                                <w:rFonts w:ascii="Albertus" w:hAnsi="Albertus" w:cs="Albertus"/>
                                <w:b/>
                                <w:bCs/>
                                <w:color w:val="000000"/>
                                <w:kern w:val="0"/>
                                <w:sz w:val="14"/>
                                <w:szCs w:val="14"/>
                              </w:rPr>
                              <w:t xml:space="preserve">Advanced fibrosis (F3-F4) </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rPr>
                            </w:pPr>
                            <w:r w:rsidRPr="00E448B1">
                              <w:rPr>
                                <w:rFonts w:ascii="Albertus" w:hAnsi="Albertus" w:cs="Albertus"/>
                                <w:b/>
                                <w:bCs/>
                                <w:color w:val="000000"/>
                                <w:kern w:val="0"/>
                                <w:sz w:val="14"/>
                                <w:szCs w:val="14"/>
                              </w:rPr>
                              <w:t>(</w:t>
                            </w:r>
                            <w:r w:rsidRPr="00E448B1">
                              <w:rPr>
                                <w:rFonts w:ascii="Albertus Italic" w:hAnsi="Albertus Italic" w:cs="Albertus Italic"/>
                                <w:b/>
                                <w:i/>
                                <w:iCs/>
                                <w:color w:val="000000"/>
                                <w:kern w:val="0"/>
                                <w:sz w:val="14"/>
                                <w:szCs w:val="14"/>
                              </w:rPr>
                              <w:t>n</w:t>
                            </w:r>
                            <w:r w:rsidRPr="00E448B1">
                              <w:rPr>
                                <w:rFonts w:ascii="Albertus" w:hAnsi="Albertus" w:cs="Albertus"/>
                                <w:b/>
                                <w:bCs/>
                                <w:color w:val="000000"/>
                                <w:kern w:val="0"/>
                                <w:sz w:val="14"/>
                                <w:szCs w:val="14"/>
                              </w:rPr>
                              <w:t xml:space="preserve"> = 89)</w:t>
                            </w:r>
                          </w:p>
                        </w:tc>
                        <w:tc>
                          <w:tcPr>
                            <w:tcW w:w="758"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Italic" w:hAnsi="Albertus Italic" w:cs="Albertus Italic"/>
                                <w:b/>
                                <w:i/>
                                <w:iCs/>
                                <w:color w:val="000000"/>
                                <w:kern w:val="0"/>
                                <w:sz w:val="14"/>
                                <w:szCs w:val="14"/>
                                <w:lang w:val="zh-CN"/>
                              </w:rPr>
                              <w:t>P</w:t>
                            </w:r>
                            <w:r w:rsidRPr="00E448B1">
                              <w:rPr>
                                <w:rFonts w:ascii="Albertus" w:hAnsi="Albertus" w:cs="Albertus"/>
                                <w:b/>
                                <w:bCs/>
                                <w:color w:val="000000"/>
                                <w:kern w:val="0"/>
                                <w:sz w:val="14"/>
                                <w:szCs w:val="14"/>
                                <w:lang w:val="zh-CN"/>
                              </w:rPr>
                              <w:t>1</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96"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Italic" w:hAnsi="Albertus Italic" w:cs="Albertus Italic"/>
                                <w:b/>
                                <w:i/>
                                <w:iCs/>
                                <w:color w:val="000000"/>
                                <w:kern w:val="0"/>
                                <w:sz w:val="14"/>
                                <w:szCs w:val="14"/>
                                <w:lang w:val="zh-CN"/>
                              </w:rPr>
                              <w:t>P</w:t>
                            </w:r>
                            <w:r w:rsidRPr="00E448B1">
                              <w:rPr>
                                <w:rFonts w:ascii="Albertus" w:hAnsi="Albertus" w:cs="Albertus"/>
                                <w:b/>
                                <w:bCs/>
                                <w:color w:val="000000"/>
                                <w:kern w:val="0"/>
                                <w:sz w:val="14"/>
                                <w:szCs w:val="14"/>
                                <w:lang w:val="zh-CN"/>
                              </w:rPr>
                              <w:t>2</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13"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Italic" w:hAnsi="Albertus Italic" w:cs="Albertus Italic"/>
                                <w:b/>
                                <w:i/>
                                <w:iCs/>
                                <w:color w:val="000000"/>
                                <w:kern w:val="0"/>
                                <w:sz w:val="14"/>
                                <w:szCs w:val="14"/>
                                <w:lang w:val="zh-CN"/>
                              </w:rPr>
                              <w:t>P</w:t>
                            </w:r>
                            <w:r w:rsidRPr="00E448B1">
                              <w:rPr>
                                <w:rFonts w:ascii="Albertus" w:hAnsi="Albertus" w:cs="Albertus"/>
                                <w:b/>
                                <w:bCs/>
                                <w:color w:val="000000"/>
                                <w:kern w:val="0"/>
                                <w:sz w:val="14"/>
                                <w:szCs w:val="14"/>
                                <w:lang w:val="zh-CN"/>
                              </w:rPr>
                              <w:t>3</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550" w:type="dxa"/>
                            <w:tcBorders>
                              <w:top w:val="single" w:sz="6" w:space="0" w:color="000000"/>
                            </w:tcBorders>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Age (yr)</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Borders>
                              <w:top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1797" w:type="dxa"/>
                            <w:tcBorders>
                              <w:top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2141" w:type="dxa"/>
                            <w:tcBorders>
                              <w:top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58" w:type="dxa"/>
                            <w:tcBorders>
                              <w:top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tcBorders>
                              <w:top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tcBorders>
                              <w:top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Mean ± SD</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39.1 ± 9.6</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42 ± 7.4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49 ± 8.2</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96"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3"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203"/>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Median ± QR</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38.5 ± 16</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42 ± 10</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50 ± 11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vMerge/>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Gender (male)</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1797"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2141"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58"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w:t>
                            </w:r>
                            <w:r w:rsidRPr="00E448B1">
                              <w:rPr>
                                <w:rFonts w:ascii="Book Antiqua" w:hAnsi="Book Antiqua" w:cs="Book Antiqua"/>
                                <w:i/>
                                <w:iCs/>
                                <w:color w:val="000000"/>
                                <w:kern w:val="0"/>
                                <w:sz w:val="14"/>
                                <w:szCs w:val="14"/>
                                <w:lang w:val="zh-CN"/>
                              </w:rPr>
                              <w:t>n</w:t>
                            </w:r>
                            <w:r w:rsidRPr="00E448B1">
                              <w:rPr>
                                <w:rFonts w:ascii="Book Antiqua" w:hAnsi="Book Antiqua" w:cs="Book Antiqua"/>
                                <w:bCs/>
                                <w:color w:val="000000"/>
                                <w:kern w:val="0"/>
                                <w:sz w:val="14"/>
                                <w:szCs w:val="14"/>
                                <w:lang w:val="zh-CN"/>
                              </w:rPr>
                              <w:t xml:space="preserve"> (%)</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101 (56)</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40 (62)</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43 (48)</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0.100</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9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0.060</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3"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0.832</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HOMA-IR</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1797"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2141"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58"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Mean ± SD</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2.6 ± 0.9</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3.4 ± 1.2</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4.1 ± 1.5</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0.027</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96"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3"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0.008</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Median ± QR</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2.5 ± 1.4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3.4 ± 1.4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4.1 ± 2.2</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vMerge/>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ACE (U/mL)</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1797"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2141"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58"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Mean ± SD</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271.5 ± 127.3</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287.2 ± 122.5</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323.2 ± 150.9</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0.051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96"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3"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0.022</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Median ± QR</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255 ± 187.5</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300 ± 190</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275 ± 142.5</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vMerge/>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Glucose (mmol)</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1797"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2141"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58"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196"/>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Mean ± SD</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5.1 ± 0.9</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4.8 ± 0.8</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5.4 ± 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0.629</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96"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0.013</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3"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0.017</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Median ± QR</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5 ± 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4.6 ± 1.1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5.3 ± 1.5</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vMerge/>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ALT (U/L)</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1797"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2141"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58"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Mean ± SD</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50.2 ± 34.9</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55.5 ± 30.3</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80.7 ± 38.4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0.004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96"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3"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0.022</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Median ± QR</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40 ± 43</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47 ± 53</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85.5 ± 53.3</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vMerge/>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AST (U/L)</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1797"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2141"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58"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20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Mean ± SD</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38.3 ± 20.3</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55 ± 35.4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87.8 ± 48.5</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96"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3"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Median ± QR</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34 ± 20.5</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36 ± 39</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87 ± 61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vMerge/>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Platelet (× 10</w:t>
                            </w:r>
                            <w:r w:rsidRPr="00E448B1">
                              <w:rPr>
                                <w:rFonts w:ascii="Book Antiqua" w:hAnsi="Book Antiqua" w:cs="Book Antiqua"/>
                                <w:bCs/>
                                <w:color w:val="000000"/>
                                <w:kern w:val="0"/>
                                <w:sz w:val="14"/>
                                <w:szCs w:val="14"/>
                                <w:vertAlign w:val="superscript"/>
                                <w:lang w:val="zh-CN"/>
                              </w:rPr>
                              <w:t>9</w:t>
                            </w:r>
                            <w:r w:rsidRPr="00E448B1">
                              <w:rPr>
                                <w:rFonts w:ascii="Book Antiqua" w:hAnsi="Book Antiqua" w:cs="Book Antiqua"/>
                                <w:bCs/>
                                <w:color w:val="000000"/>
                                <w:kern w:val="0"/>
                                <w:sz w:val="14"/>
                                <w:szCs w:val="14"/>
                                <w:lang w:val="zh-CN"/>
                              </w:rPr>
                              <w:t>/L)</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1797"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2141"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58"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Mean ± SD</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237.1 ± 62.4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207.1 ± 70.2</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162 ± 59.8</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0.003</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96"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3"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Median ± QR</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231 ± 81.3</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226 ± 120</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160.5 ± 64.3</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vMerge/>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Insulin (uU/mL)</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1797"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2141"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58"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Mean ± SD</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11.9 ± 4.4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15.8 ± 4.9</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16.8 ± 5.8</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0.016</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96"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3"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0.071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Median ± QR</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12.4 ± 6.2</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14.6 ± 3.4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16.7 ± 6.4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vMerge/>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Creatinine (mg/dL)</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1797"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2141"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58"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Mean ± SD</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0.7 ± 0.2</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0.6 ± 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0.7 ± 0.2</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0.999</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96"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0.009</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3"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0.039</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Median ± QR</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0.7 ± 0.2</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0.6 ± 0.3</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0.6 ± 0.3</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vMerge/>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Albumin (g/dL)</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1797"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2141"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58"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Mean ± SD</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4.3 ± 0.43</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4 ± 0.8</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4 ± 0.41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0.044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96"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3"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0.005</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Median ± QR</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4.4 ± 0.54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4.2 ± 0.84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4 ± 0.67</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vMerge/>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lang w:val="zh-CN"/>
                              </w:rPr>
                            </w:pPr>
                            <w:r w:rsidRPr="00E448B1">
                              <w:rPr>
                                <w:rFonts w:ascii="Book Antiqua" w:hAnsi="Book Antiqua" w:cs="Book Antiqua"/>
                                <w:bCs/>
                                <w:color w:val="000000"/>
                                <w:kern w:val="0"/>
                                <w:sz w:val="14"/>
                                <w:szCs w:val="14"/>
                                <w:lang w:val="zh-CN"/>
                              </w:rPr>
                              <w:t>Viral load</w:t>
                            </w:r>
                            <w:r w:rsidRPr="00E448B1">
                              <w:rPr>
                                <w:rFonts w:ascii="Book Antiqua" w:hAnsi="Book Antiqua" w:cs="Book Antiqua"/>
                                <w:bCs/>
                                <w:color w:val="000000"/>
                                <w:kern w:val="0"/>
                                <w:sz w:val="14"/>
                                <w:szCs w:val="14"/>
                                <w:vertAlign w:val="superscript"/>
                                <w:lang w:val="zh-CN"/>
                              </w:rPr>
                              <w:t>1</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1797"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2141"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58"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Italic" w:hAnsi="Albertus Italic"/>
                                <w:kern w:val="0"/>
                                <w:sz w:val="24"/>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Range</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45979 (2.47-6570282)</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36355.5 (2.46-6403601)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55000 (6.00-5600790)</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0.37</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96"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0.96</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3" w:type="dxa"/>
                            <w:vMerge w:val="restart"/>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0.52</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55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Mean ± SD</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0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358316.6 ± 909311.81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283586 ± 858939.26</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4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331799.1 ± 863675.2</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8"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96" w:type="dxa"/>
                            <w:vMerge/>
                          </w:tcPr>
                          <w:p w:rsidR="00345D80" w:rsidRPr="00E448B1" w:rsidRDefault="00345D80" w:rsidP="00E448B1">
                            <w:pPr>
                              <w:autoSpaceDE w:val="0"/>
                              <w:autoSpaceDN w:val="0"/>
                              <w:adjustRightInd w:val="0"/>
                              <w:jc w:val="left"/>
                              <w:rPr>
                                <w:rFonts w:ascii="Albertus Italic" w:hAnsi="Albertus Italic"/>
                                <w:kern w:val="0"/>
                                <w:sz w:val="24"/>
                              </w:rPr>
                            </w:pPr>
                          </w:p>
                        </w:tc>
                        <w:tc>
                          <w:tcPr>
                            <w:tcW w:w="713" w:type="dxa"/>
                            <w:vMerge/>
                          </w:tcPr>
                          <w:p w:rsidR="00345D80" w:rsidRPr="00E448B1" w:rsidRDefault="00345D80" w:rsidP="00E448B1">
                            <w:pPr>
                              <w:autoSpaceDE w:val="0"/>
                              <w:autoSpaceDN w:val="0"/>
                              <w:adjustRightInd w:val="0"/>
                              <w:jc w:val="left"/>
                              <w:rPr>
                                <w:rFonts w:ascii="Albertus Italic" w:hAnsi="Albertus Italic"/>
                                <w:kern w:val="0"/>
                                <w:sz w:val="24"/>
                              </w:rPr>
                            </w:pPr>
                          </w:p>
                        </w:tc>
                      </w:tr>
                    </w:tbl>
                    <w:p w:rsidR="00345D80" w:rsidRPr="00C82C35" w:rsidRDefault="00345D80" w:rsidP="00345D80">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r w:rsidRPr="00E448B1">
                        <w:rPr>
                          <w:rFonts w:ascii="Book Antiqua" w:hAnsi="Book Antiqua" w:cs="Book Antiqua"/>
                          <w:bCs/>
                          <w:color w:val="000000"/>
                          <w:kern w:val="0"/>
                          <w:sz w:val="14"/>
                          <w:szCs w:val="14"/>
                          <w:vertAlign w:val="superscript"/>
                        </w:rPr>
                        <w:t>1</w:t>
                      </w:r>
                      <w:r w:rsidRPr="00E448B1">
                        <w:rPr>
                          <w:rFonts w:ascii="Book Antiqua" w:hAnsi="Book Antiqua" w:cs="Book Antiqua"/>
                          <w:bCs/>
                          <w:color w:val="000000"/>
                          <w:kern w:val="0"/>
                          <w:sz w:val="14"/>
                          <w:szCs w:val="14"/>
                        </w:rPr>
                        <w:t xml:space="preserve">Comparison was done using non-parametric Mann-Whitney test. SD: Standard deviation; QR: Quartile range; HOMA-IR: Homeostasis model for insulin resistance, a mathematically calculated formula; ACE: Angiotensin converting enzyme; AST: Aspartate transaminase enzyme; ALT: Alanine amino transferase; </w:t>
                      </w:r>
                      <w:r w:rsidRPr="00E448B1">
                        <w:rPr>
                          <w:rFonts w:ascii="Book Antiqua" w:hAnsi="Book Antiqua" w:cs="Book Antiqua"/>
                          <w:i/>
                          <w:iCs/>
                          <w:color w:val="000000"/>
                          <w:kern w:val="0"/>
                          <w:sz w:val="14"/>
                          <w:szCs w:val="14"/>
                        </w:rPr>
                        <w:t>P</w:t>
                      </w:r>
                      <w:r w:rsidRPr="00E448B1">
                        <w:rPr>
                          <w:rFonts w:ascii="Book Antiqua" w:hAnsi="Book Antiqua" w:cs="Book Antiqua"/>
                          <w:bCs/>
                          <w:color w:val="000000"/>
                          <w:kern w:val="0"/>
                          <w:sz w:val="14"/>
                          <w:szCs w:val="14"/>
                        </w:rPr>
                        <w:t xml:space="preserve">1: Significance between mild and moderate fibrosis; </w:t>
                      </w:r>
                      <w:r w:rsidRPr="00E448B1">
                        <w:rPr>
                          <w:rFonts w:ascii="Book Antiqua" w:hAnsi="Book Antiqua" w:cs="Book Antiqua"/>
                          <w:i/>
                          <w:iCs/>
                          <w:color w:val="000000"/>
                          <w:kern w:val="0"/>
                          <w:sz w:val="14"/>
                          <w:szCs w:val="14"/>
                        </w:rPr>
                        <w:t>P</w:t>
                      </w:r>
                      <w:r w:rsidRPr="00E448B1">
                        <w:rPr>
                          <w:rFonts w:ascii="Book Antiqua" w:hAnsi="Book Antiqua" w:cs="Book Antiqua"/>
                          <w:bCs/>
                          <w:color w:val="000000"/>
                          <w:kern w:val="0"/>
                          <w:sz w:val="14"/>
                          <w:szCs w:val="14"/>
                        </w:rPr>
                        <w:t xml:space="preserve">2: Significance between mild and advanced fibrosis; </w:t>
                      </w:r>
                      <w:r w:rsidRPr="00E448B1">
                        <w:rPr>
                          <w:rFonts w:ascii="Book Antiqua" w:hAnsi="Book Antiqua" w:cs="Book Antiqua"/>
                          <w:i/>
                          <w:iCs/>
                          <w:color w:val="000000"/>
                          <w:kern w:val="0"/>
                          <w:sz w:val="14"/>
                          <w:szCs w:val="14"/>
                        </w:rPr>
                        <w:t>P</w:t>
                      </w:r>
                      <w:r w:rsidRPr="00E448B1">
                        <w:rPr>
                          <w:rFonts w:ascii="Book Antiqua" w:hAnsi="Book Antiqua" w:cs="Book Antiqua"/>
                          <w:bCs/>
                          <w:color w:val="000000"/>
                          <w:kern w:val="0"/>
                          <w:sz w:val="14"/>
                          <w:szCs w:val="14"/>
                        </w:rPr>
                        <w:t>3: Significance between moderate and advanced fibrosis.</w:t>
                      </w:r>
                    </w:p>
                  </w:txbxContent>
                </v:textbox>
                <w10:wrap type="square"/>
              </v:shape>
            </w:pict>
          </mc:Fallback>
        </mc:AlternateContent>
      </w:r>
    </w:p>
    <w:p w:rsidR="00345D80" w:rsidRDefault="00345D80" w:rsidP="00345D80">
      <w:pPr>
        <w:rPr>
          <w:rFonts w:hint="eastAsia"/>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343525" cy="7456805"/>
                <wp:effectExtent l="8255" t="9525" r="10795" b="10795"/>
                <wp:wrapSquare wrapText="bothSides"/>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7456805"/>
                        </a:xfrm>
                        <a:prstGeom prst="rect">
                          <a:avLst/>
                        </a:prstGeom>
                        <a:solidFill>
                          <a:srgbClr val="FFFFFF"/>
                        </a:solidFill>
                        <a:ln w="9525">
                          <a:solidFill>
                            <a:srgbClr val="000000"/>
                          </a:solidFill>
                          <a:miter lim="800000"/>
                          <a:headEnd/>
                          <a:tailEnd/>
                        </a:ln>
                      </wps:spPr>
                      <wps:txbx>
                        <w:txbxContent>
                          <w:p w:rsidR="00345D80" w:rsidRPr="00E448B1" w:rsidRDefault="00345D80" w:rsidP="00345D80">
                            <w:pPr>
                              <w:rPr>
                                <w:b/>
                                <w:bCs/>
                              </w:rPr>
                            </w:pPr>
                            <w:r w:rsidRPr="00E448B1">
                              <w:rPr>
                                <w:b/>
                                <w:bCs/>
                              </w:rPr>
                              <w:t>Table 3  The overall significant variables among the studied variables: Using independent-samples Kruskal-Wallis test</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186"/>
                              <w:gridCol w:w="1349"/>
                            </w:tblGrid>
                            <w:tr w:rsidR="00345D80" w:rsidRPr="00E448B1" w:rsidTr="00E448B1">
                              <w:tblPrEx>
                                <w:tblCellMar>
                                  <w:top w:w="0" w:type="dxa"/>
                                  <w:left w:w="0" w:type="dxa"/>
                                  <w:bottom w:w="0" w:type="dxa"/>
                                  <w:right w:w="0" w:type="dxa"/>
                                </w:tblCellMar>
                              </w:tblPrEx>
                              <w:trPr>
                                <w:trHeight w:hRule="exact" w:val="758"/>
                              </w:trPr>
                              <w:tc>
                                <w:tcPr>
                                  <w:tcW w:w="3186"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textAlignment w:val="center"/>
                                    <w:rPr>
                                      <w:rFonts w:ascii="Albertus" w:hAnsi="Albertus" w:cs="Albertus"/>
                                      <w:b/>
                                      <w:bCs/>
                                      <w:color w:val="000000"/>
                                      <w:kern w:val="0"/>
                                      <w:sz w:val="14"/>
                                      <w:szCs w:val="14"/>
                                      <w:lang w:val="zh-CN"/>
                                    </w:rPr>
                                  </w:pPr>
                                  <w:r w:rsidRPr="00E448B1">
                                    <w:rPr>
                                      <w:rFonts w:ascii="Albertus" w:hAnsi="Albertus" w:cs="Albertus"/>
                                      <w:b/>
                                      <w:bCs/>
                                      <w:color w:val="000000"/>
                                      <w:kern w:val="0"/>
                                      <w:sz w:val="14"/>
                                      <w:szCs w:val="14"/>
                                      <w:lang w:val="zh-CN"/>
                                    </w:rPr>
                                    <w:t>Variables</w:t>
                                  </w:r>
                                </w:p>
                                <w:p w:rsidR="00345D80" w:rsidRPr="00E448B1" w:rsidRDefault="00345D80" w:rsidP="00E448B1">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349"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Italic" w:hAnsi="Albertus Italic" w:cs="Albertus Italic"/>
                                      <w:b/>
                                      <w:i/>
                                      <w:iCs/>
                                      <w:color w:val="000000"/>
                                      <w:kern w:val="0"/>
                                      <w:sz w:val="14"/>
                                      <w:szCs w:val="14"/>
                                      <w:lang w:val="zh-CN"/>
                                    </w:rPr>
                                    <w:t>P</w:t>
                                  </w:r>
                                  <w:r w:rsidRPr="00E448B1">
                                    <w:rPr>
                                      <w:rFonts w:ascii="Albertus" w:hAnsi="Albertus" w:cs="Albertus"/>
                                      <w:b/>
                                      <w:bCs/>
                                      <w:color w:val="000000"/>
                                      <w:kern w:val="0"/>
                                      <w:sz w:val="14"/>
                                      <w:szCs w:val="14"/>
                                      <w:lang w:val="zh-CN"/>
                                    </w:rPr>
                                    <w:t xml:space="preserve"> value</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3186" w:type="dxa"/>
                                  <w:tcBorders>
                                    <w:top w:val="single" w:sz="6" w:space="0" w:color="000000"/>
                                  </w:tcBorders>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Age (yr)</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49" w:type="dxa"/>
                                  <w:tcBorders>
                                    <w:top w:val="single" w:sz="6" w:space="0" w:color="000000"/>
                                  </w:tcBorders>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318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HOMA-IR</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49"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318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ACE (U/mL)</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49"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318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Glucose (mmol)</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49"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0.021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318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ALT (U/L)</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49"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318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AST (U/L)</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49"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318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Platelet (× 109/L)</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49"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318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Insulin (uU/mL)</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49"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318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Creatinine (mg/dL)</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49"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0.024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318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Total Bilirubin (mg/dL)</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49"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318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Direct Bilirubin (mg/dL)</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49"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0.002</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318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Albumin (mg/dL)</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49"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318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Portal vein diameter</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49"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0.004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318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Splenic diameter</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49"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345D80" w:rsidRPr="00867422" w:rsidRDefault="00345D80" w:rsidP="00345D8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HOMA-IR: Homeostasis model for insulin resistance, a mathematically calculated formula; ACE: Angiotensin converting enzyme; AST: Aspartate transaminase enzyme; ALT: Alanine amino transferase.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5" o:spid="_x0000_s1028" type="#_x0000_t202" style="position:absolute;left:0;text-align:left;margin-left:0;margin-top:0;width:420.75pt;height:587.1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923OQIAAFcEAAAOAAAAZHJzL2Uyb0RvYy54bWysVMuO0zAU3SPxD5b3NGmnnelETUdDhyKk&#10;4SENfIDjOImF42vZbpPyAfAHrNiw57v6HVw7bakGxAKRheXH9fG559ybxU3fKrIV1knQOR2PUkqE&#10;5lBKXef0w/v1szklzjNdMgVa5HQnHL1ZPn2y6EwmJtCAKoUlCKJd1pmcNt6bLEkcb0TL3AiM0HhY&#10;gW2Zx6Wtk9KyDtFblUzS9DLpwJbGAhfO4e7dcEiXEb+qBPdvq8oJT1ROkZuPo41jEcZkuWBZbZlp&#10;JD/QYP/AomVS46MnqDvmGdlY+RtUK7kFB5UfcWgTqCrJRcwBsxmnj7J5aJgRMRcUx5mTTO7/wfI3&#10;23eWyDKnM0o0a9Gi/dcv+28/9t8/k1mQpzMuw6gHg3G+fw492hxTdeYe+EdHNKwapmtxay10jWAl&#10;0huHm8nZ1QHHBZCiew0lvsM2HiJQX9k2aIdqEERHm3Yna0TvCcfN2cX0YjZBjhzPrqazy3ka2SUs&#10;O1431vmXAloSJjm16H2EZ9t75wMdlh1DwmsOlCzXUqm4sHWxUpZsGdbJOn4xg0dhSpMup9eByN8h&#10;0vj9CaKVHgteyTan81MQy4JuL3QZy9EzqYY5Ulb6IGTQblDR90UfLZsc/Smg3KGyFob6xn7ESQP2&#10;EyUd1nZONTYfJeqVRm+ux9NpaIW4mM6uJriw5yfF+QnTHIFy6ikZpis/tM/GWFk3+M6xGm7Rz7WM&#10;SgfjB04H8li90YBDp4X2OF/HqF//g+VPAAAA//8DAFBLAwQUAAYACAAAACEAWBfo3t8AAAAGAQAA&#10;DwAAAGRycy9kb3ducmV2LnhtbEyPwU7DMBBE70j8g7VIXBB1Ai2tQpwKiioOlaq28AFOvCRp43UU&#10;u0ng61m4wGWk1Yxm3qbL0Taix87XjhTEkwgEUuFMTaWC97f17QKED5qMbhyhgk/0sMwuL1KdGDfQ&#10;HvtDKAWXkE+0giqENpHSFxVa7SeuRWLvw3VWBz67UppOD1xuG3kXRQ/S6pp4odItriosToezVXB6&#10;mffHm83rc75dr45lHw1fWOyUur4anx5BBBzDXxh+8BkdMmbK3ZmMF40CfiT8KnuLaTwDkXMonk/v&#10;QWap/I+ffQMAAP//AwBQSwECLQAUAAYACAAAACEAtoM4kv4AAADhAQAAEwAAAAAAAAAAAAAAAAAA&#10;AAAAW0NvbnRlbnRfVHlwZXNdLnhtbFBLAQItABQABgAIAAAAIQA4/SH/1gAAAJQBAAALAAAAAAAA&#10;AAAAAAAAAC8BAABfcmVscy8ucmVsc1BLAQItABQABgAIAAAAIQCyc923OQIAAFcEAAAOAAAAAAAA&#10;AAAAAAAAAC4CAABkcnMvZTJvRG9jLnhtbFBLAQItABQABgAIAAAAIQBYF+je3wAAAAYBAAAPAAAA&#10;AAAAAAAAAAAAAJMEAABkcnMvZG93bnJldi54bWxQSwUGAAAAAAQABADzAAAAnwUAAAAA&#10;">
                <v:textbox style="mso-fit-shape-to-text:t">
                  <w:txbxContent>
                    <w:p w:rsidR="00345D80" w:rsidRPr="00E448B1" w:rsidRDefault="00345D80" w:rsidP="00345D80">
                      <w:pPr>
                        <w:rPr>
                          <w:b/>
                          <w:bCs/>
                        </w:rPr>
                      </w:pPr>
                      <w:r w:rsidRPr="00E448B1">
                        <w:rPr>
                          <w:b/>
                          <w:bCs/>
                        </w:rPr>
                        <w:t>Table 3  The overall significant variables among the studied variables: Using independent-samples Kruskal-Wallis test</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186"/>
                        <w:gridCol w:w="1349"/>
                      </w:tblGrid>
                      <w:tr w:rsidR="00345D80" w:rsidRPr="00E448B1" w:rsidTr="00E448B1">
                        <w:tblPrEx>
                          <w:tblCellMar>
                            <w:top w:w="0" w:type="dxa"/>
                            <w:left w:w="0" w:type="dxa"/>
                            <w:bottom w:w="0" w:type="dxa"/>
                            <w:right w:w="0" w:type="dxa"/>
                          </w:tblCellMar>
                        </w:tblPrEx>
                        <w:trPr>
                          <w:trHeight w:hRule="exact" w:val="758"/>
                        </w:trPr>
                        <w:tc>
                          <w:tcPr>
                            <w:tcW w:w="3186"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textAlignment w:val="center"/>
                              <w:rPr>
                                <w:rFonts w:ascii="Albertus" w:hAnsi="Albertus" w:cs="Albertus"/>
                                <w:b/>
                                <w:bCs/>
                                <w:color w:val="000000"/>
                                <w:kern w:val="0"/>
                                <w:sz w:val="14"/>
                                <w:szCs w:val="14"/>
                                <w:lang w:val="zh-CN"/>
                              </w:rPr>
                            </w:pPr>
                            <w:r w:rsidRPr="00E448B1">
                              <w:rPr>
                                <w:rFonts w:ascii="Albertus" w:hAnsi="Albertus" w:cs="Albertus"/>
                                <w:b/>
                                <w:bCs/>
                                <w:color w:val="000000"/>
                                <w:kern w:val="0"/>
                                <w:sz w:val="14"/>
                                <w:szCs w:val="14"/>
                                <w:lang w:val="zh-CN"/>
                              </w:rPr>
                              <w:t>Variables</w:t>
                            </w:r>
                          </w:p>
                          <w:p w:rsidR="00345D80" w:rsidRPr="00E448B1" w:rsidRDefault="00345D80" w:rsidP="00E448B1">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349"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Italic" w:hAnsi="Albertus Italic" w:cs="Albertus Italic"/>
                                <w:b/>
                                <w:i/>
                                <w:iCs/>
                                <w:color w:val="000000"/>
                                <w:kern w:val="0"/>
                                <w:sz w:val="14"/>
                                <w:szCs w:val="14"/>
                                <w:lang w:val="zh-CN"/>
                              </w:rPr>
                              <w:t>P</w:t>
                            </w:r>
                            <w:r w:rsidRPr="00E448B1">
                              <w:rPr>
                                <w:rFonts w:ascii="Albertus" w:hAnsi="Albertus" w:cs="Albertus"/>
                                <w:b/>
                                <w:bCs/>
                                <w:color w:val="000000"/>
                                <w:kern w:val="0"/>
                                <w:sz w:val="14"/>
                                <w:szCs w:val="14"/>
                                <w:lang w:val="zh-CN"/>
                              </w:rPr>
                              <w:t xml:space="preserve"> value</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3186" w:type="dxa"/>
                            <w:tcBorders>
                              <w:top w:val="single" w:sz="6" w:space="0" w:color="000000"/>
                            </w:tcBorders>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Age (yr)</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49" w:type="dxa"/>
                            <w:tcBorders>
                              <w:top w:val="single" w:sz="6" w:space="0" w:color="000000"/>
                            </w:tcBorders>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318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HOMA-IR</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49"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318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ACE (U/mL)</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49"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318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Glucose (mmol)</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49"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0.021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318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ALT (U/L)</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49"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318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AST (U/L)</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49"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318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Platelet (× 109/L)</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49"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318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Insulin (uU/mL)</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49"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318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Creatinine (mg/dL)</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49"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0.024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318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Total Bilirubin (mg/dL)</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49"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318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Direct Bilirubin (mg/dL)</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49"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0.002</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318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Albumin (mg/dL)</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49"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318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Portal vein diameter</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49"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0.004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318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Splenic diameter</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349"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345D80" w:rsidRPr="00867422" w:rsidRDefault="00345D80" w:rsidP="00345D8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HOMA-IR: Homeostasis model for insulin resistance, a mathematically calculated formula; ACE: Angiotensin converting enzyme; AST: Aspartate transaminase enzyme; ALT: Alanine amino transferase.</w:t>
                      </w:r>
                    </w:p>
                  </w:txbxContent>
                </v:textbox>
                <w10:wrap type="square"/>
              </v:shape>
            </w:pict>
          </mc:Fallback>
        </mc:AlternateContent>
      </w:r>
    </w:p>
    <w:p w:rsidR="00345D80" w:rsidRDefault="00345D80" w:rsidP="00345D80">
      <w:pPr>
        <w:rPr>
          <w:rFonts w:hint="eastAsia"/>
        </w:rPr>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343525" cy="2917825"/>
                <wp:effectExtent l="8255" t="9525" r="10795" b="6350"/>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2917825"/>
                        </a:xfrm>
                        <a:prstGeom prst="rect">
                          <a:avLst/>
                        </a:prstGeom>
                        <a:solidFill>
                          <a:srgbClr val="FFFFFF"/>
                        </a:solidFill>
                        <a:ln w="9525">
                          <a:solidFill>
                            <a:srgbClr val="000000"/>
                          </a:solidFill>
                          <a:miter lim="800000"/>
                          <a:headEnd/>
                          <a:tailEnd/>
                        </a:ln>
                      </wps:spPr>
                      <wps:txbx>
                        <w:txbxContent>
                          <w:p w:rsidR="00345D80" w:rsidRPr="00E448B1" w:rsidRDefault="00345D80" w:rsidP="00345D80">
                            <w:pPr>
                              <w:rPr>
                                <w:b/>
                                <w:bCs/>
                              </w:rPr>
                            </w:pPr>
                            <w:r w:rsidRPr="00E448B1">
                              <w:rPr>
                                <w:b/>
                                <w:bCs/>
                              </w:rPr>
                              <w:t>Table 4  Multivariate discriminant functional analysis among the significant predictive variables</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989"/>
                              <w:gridCol w:w="1601"/>
                              <w:gridCol w:w="960"/>
                            </w:tblGrid>
                            <w:tr w:rsidR="00345D80" w:rsidRPr="00E448B1" w:rsidTr="00E448B1">
                              <w:tblPrEx>
                                <w:tblCellMar>
                                  <w:top w:w="0" w:type="dxa"/>
                                  <w:left w:w="0" w:type="dxa"/>
                                  <w:bottom w:w="0" w:type="dxa"/>
                                  <w:right w:w="0" w:type="dxa"/>
                                </w:tblCellMar>
                              </w:tblPrEx>
                              <w:trPr>
                                <w:trHeight w:hRule="exact" w:val="722"/>
                              </w:trPr>
                              <w:tc>
                                <w:tcPr>
                                  <w:tcW w:w="1989"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textAlignment w:val="center"/>
                                    <w:rPr>
                                      <w:rFonts w:ascii="Albertus" w:hAnsi="Albertus" w:cs="Albertus"/>
                                      <w:b/>
                                      <w:bCs/>
                                      <w:color w:val="000000"/>
                                      <w:kern w:val="0"/>
                                      <w:sz w:val="14"/>
                                      <w:szCs w:val="14"/>
                                      <w:lang w:val="zh-CN"/>
                                    </w:rPr>
                                  </w:pPr>
                                  <w:r w:rsidRPr="00E448B1">
                                    <w:rPr>
                                      <w:rFonts w:ascii="Albertus" w:hAnsi="Albertus" w:cs="Albertus"/>
                                      <w:b/>
                                      <w:bCs/>
                                      <w:color w:val="000000"/>
                                      <w:kern w:val="0"/>
                                      <w:sz w:val="14"/>
                                      <w:szCs w:val="14"/>
                                      <w:lang w:val="zh-CN"/>
                                    </w:rPr>
                                    <w:t>Variable</w:t>
                                  </w:r>
                                </w:p>
                                <w:p w:rsidR="00345D80" w:rsidRPr="00E448B1" w:rsidRDefault="00345D80" w:rsidP="00E448B1">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601"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w:hAnsi="Albertus" w:cs="Albertus"/>
                                      <w:b/>
                                      <w:bCs/>
                                      <w:color w:val="000000"/>
                                      <w:kern w:val="0"/>
                                      <w:sz w:val="14"/>
                                      <w:szCs w:val="14"/>
                                      <w:lang w:val="zh-CN"/>
                                    </w:rPr>
                                    <w:t>Statistic</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60"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Italic" w:hAnsi="Albertus Italic" w:cs="Albertus Italic"/>
                                      <w:b/>
                                      <w:i/>
                                      <w:iCs/>
                                      <w:color w:val="000000"/>
                                      <w:kern w:val="0"/>
                                      <w:sz w:val="14"/>
                                      <w:szCs w:val="14"/>
                                      <w:lang w:val="zh-CN"/>
                                    </w:rPr>
                                    <w:t>P</w:t>
                                  </w:r>
                                  <w:r w:rsidRPr="00E448B1">
                                    <w:rPr>
                                      <w:rFonts w:ascii="Albertus" w:hAnsi="Albertus" w:cs="Albertus"/>
                                      <w:b/>
                                      <w:bCs/>
                                      <w:color w:val="000000"/>
                                      <w:kern w:val="0"/>
                                      <w:sz w:val="14"/>
                                      <w:szCs w:val="14"/>
                                      <w:lang w:val="zh-CN"/>
                                    </w:rPr>
                                    <w:t xml:space="preserve"> value</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989" w:type="dxa"/>
                                  <w:tcBorders>
                                    <w:top w:val="single" w:sz="6" w:space="0" w:color="000000"/>
                                  </w:tcBorders>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Log AST</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01" w:type="dxa"/>
                                  <w:tcBorders>
                                    <w:top w:val="single" w:sz="6" w:space="0" w:color="000000"/>
                                  </w:tcBorders>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61.295</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Borders>
                                    <w:top w:val="single" w:sz="6" w:space="0" w:color="000000"/>
                                  </w:tcBorders>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989"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Log platelet</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0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44.331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989"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Age (yr)</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0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39.635</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989"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Log HOMA-IR</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0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33.682</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345D80" w:rsidRPr="000836ED" w:rsidRDefault="00345D80" w:rsidP="00345D8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HOMA-IR: Homeostasis model for insulin resistance, a mathematically calculated formula; AST: Aspartate transaminase enzyme.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4" o:spid="_x0000_s1029" type="#_x0000_t202" style="position:absolute;left:0;text-align:left;margin-left:0;margin-top:0;width:420.75pt;height:229.7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NvjNwIAAFcEAAAOAAAAZHJzL2Uyb0RvYy54bWysVM2O0zAQviPxDpbvNP1l26jpaulShLT8&#10;SAsP4DhOYuF4LNttUh4A3oATF+48V5+DsdN2y484IHKwZjzjb2a+mcnyumsU2QnrJOiMjgZDSoTm&#10;UEhdZfT9u82TOSXOM10wBVpkdC8cvV49frRsTSrGUIMqhCUIol3amozW3ps0SRyvRcPcAIzQaCzB&#10;NsyjaquksKxF9EYl4+HwadKCLYwFLpzD29veSFcRvywF92/K0glPVEYxNx9PG888nMlqydLKMlNL&#10;fkyD/UMWDZMag56hbplnZGvlb1CN5BYclH7AoUmgLCUXsQasZjT8pZr7mhkRa0FynDnT5P4fLH+9&#10;e2uJLDI6pUSzBlt0+PL58PX74dsnMg30tMal6HVv0M93z6DDNsdSnbkD/sERDeua6UrcWAttLViB&#10;6Y3Cy+TiaY/jAkjevoIC47CthwjUlbYJ3CEbBNGxTftza0TnCcfL2WQ6mY1nlHC0jRejqzkqIQZL&#10;T8+Ndf6FgIYEIaMWex/h2e7O+d715BKiOVCy2EilomKrfK0s2TGck038jug/uSlN2owuQiJ/hxjG&#10;708QjfQ48Eo2GZ2fnVgaeHuuC0yTpZ5J1ctYndJHIgN3PYu+y7vYskkIEEjOodgjsxb6+cZ9RKEG&#10;+5GSFmc7oxqXjxL1UmNvFqPpNKxCVKazqzEq9tKSX1qY5giUUU9JL659vz5bY2VVY5zTNNxgPzcy&#10;Mv2Q0zF5nN7Yq+OmhfW41KPXw/9g9QMAAP//AwBQSwMEFAAGAAgAAAAhAByN0MbfAAAABQEAAA8A&#10;AABkcnMvZG93bnJldi54bWxMj8FOwzAQRO9I/IO1lbgg6hQ1UEKcCooqDpVQW/iATbxN0sbrKHaT&#10;wNdjuMBlpdGMZt6my9E0oqfO1ZYVzKYRCOLC6ppLBR/v65sFCOeRNTaWScEnOVhmlxcpJtoOvKN+&#10;70sRStglqKDyvk2kdEVFBt3UtsTBO9jOoA+yK6XucAjlppG3UXQnDdYcFipsaVVRcdqfjYLTy31/&#10;vN68Pudv69Wx7KPhi4qtUleT8ekRhKfR/4XhBz+gQxaYcntm7USjIDzif2/wFvNZDCJXMI8fYpBZ&#10;Kv/TZ98AAAD//wMAUEsBAi0AFAAGAAgAAAAhALaDOJL+AAAA4QEAABMAAAAAAAAAAAAAAAAAAAAA&#10;AFtDb250ZW50X1R5cGVzXS54bWxQSwECLQAUAAYACAAAACEAOP0h/9YAAACUAQAACwAAAAAAAAAA&#10;AAAAAAAvAQAAX3JlbHMvLnJlbHNQSwECLQAUAAYACAAAACEAaqjb4zcCAABXBAAADgAAAAAAAAAA&#10;AAAAAAAuAgAAZHJzL2Uyb0RvYy54bWxQSwECLQAUAAYACAAAACEAHI3Qxt8AAAAFAQAADwAAAAAA&#10;AAAAAAAAAACRBAAAZHJzL2Rvd25yZXYueG1sUEsFBgAAAAAEAAQA8wAAAJ0FAAAAAA==&#10;">
                <v:textbox style="mso-fit-shape-to-text:t">
                  <w:txbxContent>
                    <w:p w:rsidR="00345D80" w:rsidRPr="00E448B1" w:rsidRDefault="00345D80" w:rsidP="00345D80">
                      <w:pPr>
                        <w:rPr>
                          <w:b/>
                          <w:bCs/>
                        </w:rPr>
                      </w:pPr>
                      <w:r w:rsidRPr="00E448B1">
                        <w:rPr>
                          <w:b/>
                          <w:bCs/>
                        </w:rPr>
                        <w:t>Table 4  Multivariate discriminant functional analysis among the significant predictive variables</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989"/>
                        <w:gridCol w:w="1601"/>
                        <w:gridCol w:w="960"/>
                      </w:tblGrid>
                      <w:tr w:rsidR="00345D80" w:rsidRPr="00E448B1" w:rsidTr="00E448B1">
                        <w:tblPrEx>
                          <w:tblCellMar>
                            <w:top w:w="0" w:type="dxa"/>
                            <w:left w:w="0" w:type="dxa"/>
                            <w:bottom w:w="0" w:type="dxa"/>
                            <w:right w:w="0" w:type="dxa"/>
                          </w:tblCellMar>
                        </w:tblPrEx>
                        <w:trPr>
                          <w:trHeight w:hRule="exact" w:val="722"/>
                        </w:trPr>
                        <w:tc>
                          <w:tcPr>
                            <w:tcW w:w="1989"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textAlignment w:val="center"/>
                              <w:rPr>
                                <w:rFonts w:ascii="Albertus" w:hAnsi="Albertus" w:cs="Albertus"/>
                                <w:b/>
                                <w:bCs/>
                                <w:color w:val="000000"/>
                                <w:kern w:val="0"/>
                                <w:sz w:val="14"/>
                                <w:szCs w:val="14"/>
                                <w:lang w:val="zh-CN"/>
                              </w:rPr>
                            </w:pPr>
                            <w:r w:rsidRPr="00E448B1">
                              <w:rPr>
                                <w:rFonts w:ascii="Albertus" w:hAnsi="Albertus" w:cs="Albertus"/>
                                <w:b/>
                                <w:bCs/>
                                <w:color w:val="000000"/>
                                <w:kern w:val="0"/>
                                <w:sz w:val="14"/>
                                <w:szCs w:val="14"/>
                                <w:lang w:val="zh-CN"/>
                              </w:rPr>
                              <w:t>Variable</w:t>
                            </w:r>
                          </w:p>
                          <w:p w:rsidR="00345D80" w:rsidRPr="00E448B1" w:rsidRDefault="00345D80" w:rsidP="00E448B1">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601"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w:hAnsi="Albertus" w:cs="Albertus"/>
                                <w:b/>
                                <w:bCs/>
                                <w:color w:val="000000"/>
                                <w:kern w:val="0"/>
                                <w:sz w:val="14"/>
                                <w:szCs w:val="14"/>
                                <w:lang w:val="zh-CN"/>
                              </w:rPr>
                              <w:t>Statistic</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60"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Italic" w:hAnsi="Albertus Italic" w:cs="Albertus Italic"/>
                                <w:b/>
                                <w:i/>
                                <w:iCs/>
                                <w:color w:val="000000"/>
                                <w:kern w:val="0"/>
                                <w:sz w:val="14"/>
                                <w:szCs w:val="14"/>
                                <w:lang w:val="zh-CN"/>
                              </w:rPr>
                              <w:t>P</w:t>
                            </w:r>
                            <w:r w:rsidRPr="00E448B1">
                              <w:rPr>
                                <w:rFonts w:ascii="Albertus" w:hAnsi="Albertus" w:cs="Albertus"/>
                                <w:b/>
                                <w:bCs/>
                                <w:color w:val="000000"/>
                                <w:kern w:val="0"/>
                                <w:sz w:val="14"/>
                                <w:szCs w:val="14"/>
                                <w:lang w:val="zh-CN"/>
                              </w:rPr>
                              <w:t xml:space="preserve"> value</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989" w:type="dxa"/>
                            <w:tcBorders>
                              <w:top w:val="single" w:sz="6" w:space="0" w:color="000000"/>
                            </w:tcBorders>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Log AST</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01" w:type="dxa"/>
                            <w:tcBorders>
                              <w:top w:val="single" w:sz="6" w:space="0" w:color="000000"/>
                            </w:tcBorders>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61.295</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Borders>
                              <w:top w:val="single" w:sz="6" w:space="0" w:color="000000"/>
                            </w:tcBorders>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989"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Log platelet</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0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44.331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989"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Age (yr)</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0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39.635</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989"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Log HOMA-IR</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0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33.682</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0.001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345D80" w:rsidRPr="000836ED" w:rsidRDefault="00345D80" w:rsidP="00345D8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HOMA-IR: Homeostasis model for insulin resistance, a mathematically calculated formula; AST: Aspartate transaminase enzyme.</w:t>
                      </w:r>
                    </w:p>
                  </w:txbxContent>
                </v:textbox>
                <w10:wrap type="square"/>
              </v:shape>
            </w:pict>
          </mc:Fallback>
        </mc:AlternateContent>
      </w:r>
    </w:p>
    <w:p w:rsidR="00345D80" w:rsidRDefault="00345D80" w:rsidP="00345D80">
      <w:pPr>
        <w:rPr>
          <w:rFonts w:hint="eastAsia"/>
        </w:rPr>
      </w:pPr>
      <w:r>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343525" cy="2540000"/>
                <wp:effectExtent l="8255" t="7620" r="10795" b="5080"/>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2540000"/>
                        </a:xfrm>
                        <a:prstGeom prst="rect">
                          <a:avLst/>
                        </a:prstGeom>
                        <a:solidFill>
                          <a:srgbClr val="FFFFFF"/>
                        </a:solidFill>
                        <a:ln w="9525">
                          <a:solidFill>
                            <a:srgbClr val="000000"/>
                          </a:solidFill>
                          <a:miter lim="800000"/>
                          <a:headEnd/>
                          <a:tailEnd/>
                        </a:ln>
                      </wps:spPr>
                      <wps:txbx>
                        <w:txbxContent>
                          <w:p w:rsidR="00345D80" w:rsidRPr="00E448B1" w:rsidRDefault="00345D80" w:rsidP="00345D80">
                            <w:pPr>
                              <w:rPr>
                                <w:b/>
                                <w:bCs/>
                              </w:rPr>
                            </w:pPr>
                            <w:r w:rsidRPr="00E448B1">
                              <w:rPr>
                                <w:b/>
                                <w:bCs/>
                              </w:rPr>
                              <w:t>Table 5  Accuracy indices of the discriminant score in the prediction of fibrosis</w:t>
                            </w:r>
                          </w:p>
                          <w:tbl>
                            <w:tblPr>
                              <w:tblW w:w="9549"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848"/>
                              <w:gridCol w:w="1662"/>
                              <w:gridCol w:w="771"/>
                              <w:gridCol w:w="1047"/>
                              <w:gridCol w:w="764"/>
                              <w:gridCol w:w="753"/>
                              <w:gridCol w:w="826"/>
                              <w:gridCol w:w="717"/>
                              <w:gridCol w:w="610"/>
                              <w:gridCol w:w="551"/>
                            </w:tblGrid>
                            <w:tr w:rsidR="00345D80" w:rsidRPr="00E448B1" w:rsidTr="00E448B1">
                              <w:tblPrEx>
                                <w:tblCellMar>
                                  <w:top w:w="0" w:type="dxa"/>
                                  <w:left w:w="0" w:type="dxa"/>
                                  <w:bottom w:w="0" w:type="dxa"/>
                                  <w:right w:w="0" w:type="dxa"/>
                                </w:tblCellMar>
                              </w:tblPrEx>
                              <w:trPr>
                                <w:trHeight w:hRule="exact" w:val="807"/>
                              </w:trPr>
                              <w:tc>
                                <w:tcPr>
                                  <w:tcW w:w="1848"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textAlignment w:val="center"/>
                                    <w:rPr>
                                      <w:rFonts w:ascii="Albertus" w:hAnsi="Albertus" w:cs="Albertus"/>
                                      <w:b/>
                                      <w:bCs/>
                                      <w:color w:val="000000"/>
                                      <w:kern w:val="0"/>
                                      <w:sz w:val="14"/>
                                      <w:szCs w:val="14"/>
                                      <w:lang w:val="zh-CN"/>
                                    </w:rPr>
                                  </w:pPr>
                                  <w:r w:rsidRPr="00E448B1">
                                    <w:rPr>
                                      <w:rFonts w:ascii="Albertus" w:hAnsi="Albertus" w:cs="Albertus"/>
                                      <w:b/>
                                      <w:bCs/>
                                      <w:color w:val="000000"/>
                                      <w:kern w:val="0"/>
                                      <w:sz w:val="14"/>
                                      <w:szCs w:val="14"/>
                                      <w:lang w:val="zh-CN"/>
                                    </w:rPr>
                                    <w:t>Stage of fibrosis</w:t>
                                  </w:r>
                                </w:p>
                                <w:p w:rsidR="00345D80" w:rsidRPr="00E448B1" w:rsidRDefault="00345D80" w:rsidP="00E448B1">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662"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w:hAnsi="Albertus" w:cs="Albertus"/>
                                      <w:b/>
                                      <w:bCs/>
                                      <w:color w:val="000000"/>
                                      <w:kern w:val="0"/>
                                      <w:sz w:val="14"/>
                                      <w:szCs w:val="14"/>
                                      <w:lang w:val="zh-CN"/>
                                    </w:rPr>
                                    <w:t>Cut-off value</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71"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w:hAnsi="Albertus" w:cs="Albertus"/>
                                      <w:b/>
                                      <w:bCs/>
                                      <w:color w:val="000000"/>
                                      <w:kern w:val="0"/>
                                      <w:sz w:val="14"/>
                                      <w:szCs w:val="14"/>
                                      <w:lang w:val="zh-CN"/>
                                    </w:rPr>
                                    <w:t>AUC</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47"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w:hAnsi="Albertus" w:cs="Albertus"/>
                                      <w:b/>
                                      <w:bCs/>
                                      <w:color w:val="000000"/>
                                      <w:kern w:val="0"/>
                                      <w:sz w:val="14"/>
                                      <w:szCs w:val="14"/>
                                      <w:lang w:val="zh-CN"/>
                                    </w:rPr>
                                    <w:t>95%CI</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64"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w:hAnsi="Albertus" w:cs="Albertus"/>
                                      <w:b/>
                                      <w:bCs/>
                                      <w:color w:val="000000"/>
                                      <w:kern w:val="0"/>
                                      <w:sz w:val="14"/>
                                      <w:szCs w:val="14"/>
                                      <w:lang w:val="zh-CN"/>
                                    </w:rPr>
                                    <w:t>Sens</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53"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w:hAnsi="Albertus" w:cs="Albertus"/>
                                      <w:b/>
                                      <w:bCs/>
                                      <w:color w:val="000000"/>
                                      <w:kern w:val="0"/>
                                      <w:sz w:val="14"/>
                                      <w:szCs w:val="14"/>
                                      <w:lang w:val="zh-CN"/>
                                    </w:rPr>
                                    <w:t>Specific</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26"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w:hAnsi="Albertus" w:cs="Albertus"/>
                                      <w:b/>
                                      <w:bCs/>
                                      <w:color w:val="000000"/>
                                      <w:kern w:val="0"/>
                                      <w:sz w:val="14"/>
                                      <w:szCs w:val="14"/>
                                      <w:lang w:val="zh-CN"/>
                                    </w:rPr>
                                    <w:t>PPV</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17"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w:hAnsi="Albertus" w:cs="Albertus"/>
                                      <w:b/>
                                      <w:bCs/>
                                      <w:color w:val="000000"/>
                                      <w:kern w:val="0"/>
                                      <w:sz w:val="14"/>
                                      <w:szCs w:val="14"/>
                                      <w:lang w:val="zh-CN"/>
                                    </w:rPr>
                                    <w:t>NPV</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10"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w:hAnsi="Albertus" w:cs="Albertus"/>
                                      <w:b/>
                                      <w:bCs/>
                                      <w:color w:val="000000"/>
                                      <w:kern w:val="0"/>
                                      <w:sz w:val="14"/>
                                      <w:szCs w:val="14"/>
                                      <w:lang w:val="zh-CN"/>
                                    </w:rPr>
                                    <w:t>PLR</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51"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w:hAnsi="Albertus" w:cs="Albertus"/>
                                      <w:b/>
                                      <w:bCs/>
                                      <w:color w:val="000000"/>
                                      <w:kern w:val="0"/>
                                      <w:sz w:val="14"/>
                                      <w:szCs w:val="14"/>
                                      <w:lang w:val="zh-CN"/>
                                    </w:rPr>
                                    <w:t>NLR</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848" w:type="dxa"/>
                                  <w:tcBorders>
                                    <w:top w:val="single" w:sz="6" w:space="0" w:color="000000"/>
                                  </w:tcBorders>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Mild fibrosis (F0-F1)</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62" w:type="dxa"/>
                                  <w:tcBorders>
                                    <w:top w:val="single" w:sz="6" w:space="0" w:color="000000"/>
                                  </w:tcBorders>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-0.31 or more negative</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Borders>
                                    <w:top w:val="single" w:sz="6" w:space="0" w:color="000000"/>
                                  </w:tcBorders>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0.88</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47" w:type="dxa"/>
                                  <w:tcBorders>
                                    <w:top w:val="single" w:sz="6" w:space="0" w:color="000000"/>
                                  </w:tcBorders>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0.84-0.91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64" w:type="dxa"/>
                                  <w:tcBorders>
                                    <w:top w:val="single" w:sz="6" w:space="0" w:color="000000"/>
                                  </w:tcBorders>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67.2%</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3" w:type="dxa"/>
                                  <w:tcBorders>
                                    <w:top w:val="single" w:sz="6" w:space="0" w:color="000000"/>
                                  </w:tcBorders>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86.3%</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26" w:type="dxa"/>
                                  <w:tcBorders>
                                    <w:top w:val="single" w:sz="6" w:space="0" w:color="000000"/>
                                  </w:tcBorders>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83.6%</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7" w:type="dxa"/>
                                  <w:tcBorders>
                                    <w:top w:val="single" w:sz="6" w:space="0" w:color="000000"/>
                                  </w:tcBorders>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69.5%</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10" w:type="dxa"/>
                                  <w:tcBorders>
                                    <w:top w:val="single" w:sz="6" w:space="0" w:color="000000"/>
                                  </w:tcBorders>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4.9</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51" w:type="dxa"/>
                                  <w:tcBorders>
                                    <w:top w:val="single" w:sz="6" w:space="0" w:color="000000"/>
                                  </w:tcBorders>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0.38</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848"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Moderate fibrosis (F2)</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62"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&gt; -0.31 up to +0.86</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0.64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4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0.61-0.74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64"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53.1%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3"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74.1%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2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33%</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86.8%</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1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2.0</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5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0.63</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848"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Advanced fibrosis (F3-F4)</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62"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&gt; 0.86</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0.91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4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0.88-0.94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64"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73%</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3"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90.9%</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2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74.4%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90.1%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1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8.0</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5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0.3</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345D80" w:rsidRPr="006162BE" w:rsidRDefault="00345D80" w:rsidP="00345D8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Sens: Sensitivity; Specific: Specificity; PPV: Positive predictive value; NPV: Negative predictive value; PLR: Positive likelihood ratio; NLR: Negative likelihood ratio; AUC: Area under the curve.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30" type="#_x0000_t202" style="position:absolute;left:0;text-align:left;margin-left:0;margin-top:0;width:420.75pt;height:200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4kJOAIAAFcEAAAOAAAAZHJzL2Uyb0RvYy54bWysVMuO0zAU3SPxD5b3NH2kMBM1HQ0dipCG&#10;hzTwAa7jJBa2r2W7TYYPgD9gxYY939Xv4NppSwckFogsLD+uzz0+594srnqtyE44L8GUdDIaUyIM&#10;h0qapqQf3q+fXFDiAzMVU2BESe+Fp1fLx48WnS3EFFpQlXAEQYwvOlvSNgRbZJnnrdDMj8AKg4c1&#10;OM0CLl2TVY51iK5VNh2Pn2YduMo64MJ73L0ZDuky4de14OFtXXsRiCopcgtpdGncxDFbLljROGZb&#10;yQ802D+w0EwaTHqCumGBka2Tf0BpyR14qMOIg86griUX6Q34msn4t9fctcyK9BYUx9uTTP7/wfI3&#10;u3eOyKqkM0oM02jR/uuX/bcf+++fySzK01lfYNSdxbjQP4cebU5P9fYW+EdPDKxaZhpx7Rx0rWAV&#10;0pvEm9nZ1QHHR5BN9xoqzMO2ARJQXzsdtUM1CKKjTfcna0QfCMfN+SyfzadzSjieTef5GL+UgxXH&#10;69b58FKAJnFSUofeJ3i2u/Uh0mHFMSRm86BktZZKpYVrNivlyI5hnazTd0B/EKYM6Up6GYn8HSLS&#10;OxF8AKFlwIJXUpf04hTEiqjbC1OlcgxMqmGOlJU5CBm1G1QM/aZPluVHfzZQ3aOyDob6xn7ESQvu&#10;EyUd1nZJDTYfJeqVQW8uJ3keWyEt8vmzKS7c+cnm/IQZjkAlDZQM01UY2mdrnWxazHOshmv0cy2T&#10;0tH4gdOBPFZvMuDQabE9ztcp6tf/YPkTAAD//wMAUEsDBBQABgAIAAAAIQB3asWN3gAAAAUBAAAP&#10;AAAAZHJzL2Rvd25yZXYueG1sTI/BTsMwEETvSP0Ha5G4IGoXlVKFOFUpqjggVaXwAU68JGnjdRS7&#10;SeDrWbjAZaXRjGbepqvRNaLHLtSeNMymCgRS4W1NpYb3t+3NEkSIhqxpPKGGTwywyiYXqUmsH+gV&#10;+0MsBZdQSIyGKsY2kTIUFToTpr5FYu/Dd85Ell0pbWcGLneNvFVqIZ2piRcq0+KmwuJ0ODsNp6f7&#10;/nj98vyY77abY9mr4QuLvdZXl+P6AUTEMf6F4Qef0SFjptyfyQbRaOBH4u9lbzmf3YHINcyVUiCz&#10;VP6nz74BAAD//wMAUEsBAi0AFAAGAAgAAAAhALaDOJL+AAAA4QEAABMAAAAAAAAAAAAAAAAAAAAA&#10;AFtDb250ZW50X1R5cGVzXS54bWxQSwECLQAUAAYACAAAACEAOP0h/9YAAACUAQAACwAAAAAAAAAA&#10;AAAAAAAvAQAAX3JlbHMvLnJlbHNQSwECLQAUAAYACAAAACEAsD+JCTgCAABXBAAADgAAAAAAAAAA&#10;AAAAAAAuAgAAZHJzL2Uyb0RvYy54bWxQSwECLQAUAAYACAAAACEAd2rFjd4AAAAFAQAADwAAAAAA&#10;AAAAAAAAAACSBAAAZHJzL2Rvd25yZXYueG1sUEsFBgAAAAAEAAQA8wAAAJ0FAAAAAA==&#10;">
                <v:textbox style="mso-fit-shape-to-text:t">
                  <w:txbxContent>
                    <w:p w:rsidR="00345D80" w:rsidRPr="00E448B1" w:rsidRDefault="00345D80" w:rsidP="00345D80">
                      <w:pPr>
                        <w:rPr>
                          <w:b/>
                          <w:bCs/>
                        </w:rPr>
                      </w:pPr>
                      <w:r w:rsidRPr="00E448B1">
                        <w:rPr>
                          <w:b/>
                          <w:bCs/>
                        </w:rPr>
                        <w:t>Table 5  Accuracy indices of the discriminant score in the prediction of fibrosis</w:t>
                      </w:r>
                    </w:p>
                    <w:tbl>
                      <w:tblPr>
                        <w:tblW w:w="9549"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848"/>
                        <w:gridCol w:w="1662"/>
                        <w:gridCol w:w="771"/>
                        <w:gridCol w:w="1047"/>
                        <w:gridCol w:w="764"/>
                        <w:gridCol w:w="753"/>
                        <w:gridCol w:w="826"/>
                        <w:gridCol w:w="717"/>
                        <w:gridCol w:w="610"/>
                        <w:gridCol w:w="551"/>
                      </w:tblGrid>
                      <w:tr w:rsidR="00345D80" w:rsidRPr="00E448B1" w:rsidTr="00E448B1">
                        <w:tblPrEx>
                          <w:tblCellMar>
                            <w:top w:w="0" w:type="dxa"/>
                            <w:left w:w="0" w:type="dxa"/>
                            <w:bottom w:w="0" w:type="dxa"/>
                            <w:right w:w="0" w:type="dxa"/>
                          </w:tblCellMar>
                        </w:tblPrEx>
                        <w:trPr>
                          <w:trHeight w:hRule="exact" w:val="807"/>
                        </w:trPr>
                        <w:tc>
                          <w:tcPr>
                            <w:tcW w:w="1848"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textAlignment w:val="center"/>
                              <w:rPr>
                                <w:rFonts w:ascii="Albertus" w:hAnsi="Albertus" w:cs="Albertus"/>
                                <w:b/>
                                <w:bCs/>
                                <w:color w:val="000000"/>
                                <w:kern w:val="0"/>
                                <w:sz w:val="14"/>
                                <w:szCs w:val="14"/>
                                <w:lang w:val="zh-CN"/>
                              </w:rPr>
                            </w:pPr>
                            <w:r w:rsidRPr="00E448B1">
                              <w:rPr>
                                <w:rFonts w:ascii="Albertus" w:hAnsi="Albertus" w:cs="Albertus"/>
                                <w:b/>
                                <w:bCs/>
                                <w:color w:val="000000"/>
                                <w:kern w:val="0"/>
                                <w:sz w:val="14"/>
                                <w:szCs w:val="14"/>
                                <w:lang w:val="zh-CN"/>
                              </w:rPr>
                              <w:t>Stage of fibrosis</w:t>
                            </w:r>
                          </w:p>
                          <w:p w:rsidR="00345D80" w:rsidRPr="00E448B1" w:rsidRDefault="00345D80" w:rsidP="00E448B1">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662"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w:hAnsi="Albertus" w:cs="Albertus"/>
                                <w:b/>
                                <w:bCs/>
                                <w:color w:val="000000"/>
                                <w:kern w:val="0"/>
                                <w:sz w:val="14"/>
                                <w:szCs w:val="14"/>
                                <w:lang w:val="zh-CN"/>
                              </w:rPr>
                              <w:t>Cut-off value</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71"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w:hAnsi="Albertus" w:cs="Albertus"/>
                                <w:b/>
                                <w:bCs/>
                                <w:color w:val="000000"/>
                                <w:kern w:val="0"/>
                                <w:sz w:val="14"/>
                                <w:szCs w:val="14"/>
                                <w:lang w:val="zh-CN"/>
                              </w:rPr>
                              <w:t>AUC</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47"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w:hAnsi="Albertus" w:cs="Albertus"/>
                                <w:b/>
                                <w:bCs/>
                                <w:color w:val="000000"/>
                                <w:kern w:val="0"/>
                                <w:sz w:val="14"/>
                                <w:szCs w:val="14"/>
                                <w:lang w:val="zh-CN"/>
                              </w:rPr>
                              <w:t>95%CI</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64"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w:hAnsi="Albertus" w:cs="Albertus"/>
                                <w:b/>
                                <w:bCs/>
                                <w:color w:val="000000"/>
                                <w:kern w:val="0"/>
                                <w:sz w:val="14"/>
                                <w:szCs w:val="14"/>
                                <w:lang w:val="zh-CN"/>
                              </w:rPr>
                              <w:t>Sens</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53"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w:hAnsi="Albertus" w:cs="Albertus"/>
                                <w:b/>
                                <w:bCs/>
                                <w:color w:val="000000"/>
                                <w:kern w:val="0"/>
                                <w:sz w:val="14"/>
                                <w:szCs w:val="14"/>
                                <w:lang w:val="zh-CN"/>
                              </w:rPr>
                              <w:t>Specific</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26"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w:hAnsi="Albertus" w:cs="Albertus"/>
                                <w:b/>
                                <w:bCs/>
                                <w:color w:val="000000"/>
                                <w:kern w:val="0"/>
                                <w:sz w:val="14"/>
                                <w:szCs w:val="14"/>
                                <w:lang w:val="zh-CN"/>
                              </w:rPr>
                              <w:t>PPV</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17"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w:hAnsi="Albertus" w:cs="Albertus"/>
                                <w:b/>
                                <w:bCs/>
                                <w:color w:val="000000"/>
                                <w:kern w:val="0"/>
                                <w:sz w:val="14"/>
                                <w:szCs w:val="14"/>
                                <w:lang w:val="zh-CN"/>
                              </w:rPr>
                              <w:t>NPV</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10"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w:hAnsi="Albertus" w:cs="Albertus"/>
                                <w:b/>
                                <w:bCs/>
                                <w:color w:val="000000"/>
                                <w:kern w:val="0"/>
                                <w:sz w:val="14"/>
                                <w:szCs w:val="14"/>
                                <w:lang w:val="zh-CN"/>
                              </w:rPr>
                              <w:t>PLR</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51"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w:hAnsi="Albertus" w:cs="Albertus"/>
                                <w:b/>
                                <w:bCs/>
                                <w:color w:val="000000"/>
                                <w:kern w:val="0"/>
                                <w:sz w:val="14"/>
                                <w:szCs w:val="14"/>
                                <w:lang w:val="zh-CN"/>
                              </w:rPr>
                              <w:t>NLR</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848" w:type="dxa"/>
                            <w:tcBorders>
                              <w:top w:val="single" w:sz="6" w:space="0" w:color="000000"/>
                            </w:tcBorders>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Mild fibrosis (F0-F1)</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62" w:type="dxa"/>
                            <w:tcBorders>
                              <w:top w:val="single" w:sz="6" w:space="0" w:color="000000"/>
                            </w:tcBorders>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-0.31 or more negative</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Borders>
                              <w:top w:val="single" w:sz="6" w:space="0" w:color="000000"/>
                            </w:tcBorders>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0.88</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47" w:type="dxa"/>
                            <w:tcBorders>
                              <w:top w:val="single" w:sz="6" w:space="0" w:color="000000"/>
                            </w:tcBorders>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0.84-0.91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64" w:type="dxa"/>
                            <w:tcBorders>
                              <w:top w:val="single" w:sz="6" w:space="0" w:color="000000"/>
                            </w:tcBorders>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67.2%</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3" w:type="dxa"/>
                            <w:tcBorders>
                              <w:top w:val="single" w:sz="6" w:space="0" w:color="000000"/>
                            </w:tcBorders>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86.3%</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26" w:type="dxa"/>
                            <w:tcBorders>
                              <w:top w:val="single" w:sz="6" w:space="0" w:color="000000"/>
                            </w:tcBorders>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83.6%</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7" w:type="dxa"/>
                            <w:tcBorders>
                              <w:top w:val="single" w:sz="6" w:space="0" w:color="000000"/>
                            </w:tcBorders>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69.5%</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10" w:type="dxa"/>
                            <w:tcBorders>
                              <w:top w:val="single" w:sz="6" w:space="0" w:color="000000"/>
                            </w:tcBorders>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4.9</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51" w:type="dxa"/>
                            <w:tcBorders>
                              <w:top w:val="single" w:sz="6" w:space="0" w:color="000000"/>
                            </w:tcBorders>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0.38</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848"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Moderate fibrosis (F2)</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62"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&gt; -0.31 up to +0.86</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0.64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4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0.61-0.74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64"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53.1%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3"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74.1%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2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33%</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86.8%</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1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2.0</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5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0.63</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848"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Advanced fibrosis (F3-F4)</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62"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&gt; 0.86</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0.91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4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0.88-0.94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64"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73%</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53"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90.9%</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26"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74.4%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90.1%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1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8.0</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55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0.3</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345D80" w:rsidRPr="006162BE" w:rsidRDefault="00345D80" w:rsidP="00345D8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Sens: Sensitivity; Specific: Specificity; PPV: Positive predictive value; NPV: Negative predictive value; PLR: Positive likelihood ratio; NLR: Negative likelihood ratio; AUC: Area under the curve.</w:t>
                      </w:r>
                    </w:p>
                  </w:txbxContent>
                </v:textbox>
                <w10:wrap type="square"/>
              </v:shape>
            </w:pict>
          </mc:Fallback>
        </mc:AlternateContent>
      </w:r>
    </w:p>
    <w:p w:rsidR="00345D80" w:rsidRDefault="00345D80" w:rsidP="00345D80">
      <w:pPr>
        <w:rPr>
          <w:rFonts w:hint="eastAsia"/>
        </w:rPr>
      </w:pPr>
    </w:p>
    <w:p w:rsidR="00345D80" w:rsidRDefault="00345D80" w:rsidP="00345D80">
      <w:pPr>
        <w:rPr>
          <w:rFonts w:hint="eastAsia"/>
        </w:rPr>
      </w:pPr>
    </w:p>
    <w:p w:rsidR="00345D80" w:rsidRDefault="00345D80" w:rsidP="00345D80">
      <w:pPr>
        <w:rPr>
          <w:rFonts w:hint="eastAsia"/>
        </w:rPr>
      </w:pPr>
    </w:p>
    <w:p w:rsidR="00345D80" w:rsidRDefault="00345D80" w:rsidP="00345D80">
      <w:pPr>
        <w:rPr>
          <w:rFonts w:hint="eastAsia"/>
        </w:rPr>
      </w:pPr>
    </w:p>
    <w:p w:rsidR="00345D80" w:rsidRPr="00E448B1" w:rsidRDefault="00345D80" w:rsidP="00345D80">
      <w:pPr>
        <w:rPr>
          <w:rFonts w:hint="eastAsia"/>
        </w:rPr>
      </w:pPr>
      <w:r>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3779520" cy="5596890"/>
                <wp:effectExtent l="8255" t="8255" r="12700" b="5080"/>
                <wp:wrapSquare wrapText="bothSides"/>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5596890"/>
                        </a:xfrm>
                        <a:prstGeom prst="rect">
                          <a:avLst/>
                        </a:prstGeom>
                        <a:solidFill>
                          <a:srgbClr val="FFFFFF"/>
                        </a:solidFill>
                        <a:ln w="9525">
                          <a:solidFill>
                            <a:srgbClr val="000000"/>
                          </a:solidFill>
                          <a:miter lim="800000"/>
                          <a:headEnd/>
                          <a:tailEnd/>
                        </a:ln>
                      </wps:spPr>
                      <wps:txbx>
                        <w:txbxContent>
                          <w:p w:rsidR="00345D80" w:rsidRPr="00E448B1" w:rsidRDefault="00345D80" w:rsidP="00345D80">
                            <w:pPr>
                              <w:rPr>
                                <w:b/>
                                <w:bCs/>
                              </w:rPr>
                            </w:pPr>
                            <w:r w:rsidRPr="00E448B1">
                              <w:rPr>
                                <w:b/>
                                <w:bCs/>
                              </w:rPr>
                              <w:t>Table 6  Validation results done on the studied selected groups</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1361"/>
                              <w:gridCol w:w="788"/>
                              <w:gridCol w:w="1080"/>
                              <w:gridCol w:w="847"/>
                              <w:gridCol w:w="463"/>
                            </w:tblGrid>
                            <w:tr w:rsidR="00345D80" w:rsidRPr="00E448B1" w:rsidTr="00E448B1">
                              <w:tblPrEx>
                                <w:tblCellMar>
                                  <w:top w:w="0" w:type="dxa"/>
                                  <w:left w:w="0" w:type="dxa"/>
                                  <w:bottom w:w="0" w:type="dxa"/>
                                  <w:right w:w="0" w:type="dxa"/>
                                </w:tblCellMar>
                              </w:tblPrEx>
                              <w:trPr>
                                <w:trHeight w:hRule="exact" w:val="982"/>
                              </w:trPr>
                              <w:tc>
                                <w:tcPr>
                                  <w:tcW w:w="1361" w:type="dxa"/>
                                  <w:tcBorders>
                                    <w:top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textAlignment w:val="center"/>
                                    <w:rPr>
                                      <w:rFonts w:ascii="Albertus" w:hAnsi="Albertus" w:cs="Albertus"/>
                                      <w:b/>
                                      <w:bCs/>
                                      <w:color w:val="000000"/>
                                      <w:kern w:val="0"/>
                                      <w:sz w:val="14"/>
                                      <w:szCs w:val="14"/>
                                      <w:lang w:val="zh-CN"/>
                                    </w:rPr>
                                  </w:pPr>
                                  <w:r w:rsidRPr="00E448B1">
                                    <w:rPr>
                                      <w:rFonts w:ascii="Albertus" w:hAnsi="Albertus" w:cs="Albertus"/>
                                      <w:b/>
                                      <w:bCs/>
                                      <w:color w:val="000000"/>
                                      <w:kern w:val="0"/>
                                      <w:sz w:val="14"/>
                                      <w:szCs w:val="14"/>
                                      <w:lang w:val="zh-CN"/>
                                    </w:rPr>
                                    <w:t>Stage of fibrosis</w:t>
                                  </w:r>
                                </w:p>
                                <w:p w:rsidR="00345D80" w:rsidRPr="00E448B1" w:rsidRDefault="00345D80" w:rsidP="00E448B1">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2715" w:type="dxa"/>
                                  <w:gridSpan w:val="3"/>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w:hAnsi="Albertus" w:cs="Albertus"/>
                                      <w:b/>
                                      <w:bCs/>
                                      <w:color w:val="000000"/>
                                      <w:kern w:val="0"/>
                                      <w:sz w:val="14"/>
                                      <w:szCs w:val="14"/>
                                      <w:lang w:val="zh-CN"/>
                                    </w:rPr>
                                    <w:t>Predicted group membership</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463" w:type="dxa"/>
                                  <w:tcBorders>
                                    <w:top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w:hAnsi="Albertus" w:cs="Albertus"/>
                                      <w:b/>
                                      <w:bCs/>
                                      <w:color w:val="000000"/>
                                      <w:kern w:val="0"/>
                                      <w:sz w:val="14"/>
                                      <w:szCs w:val="14"/>
                                      <w:lang w:val="zh-CN"/>
                                    </w:rPr>
                                    <w:t>Total</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hRule="exact" w:val="914"/>
                              </w:trPr>
                              <w:tc>
                                <w:tcPr>
                                  <w:tcW w:w="1361" w:type="dxa"/>
                                  <w:tcBorders>
                                    <w:top w:val="nil"/>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w:hAnsi="Albertus"/>
                                      <w:b/>
                                      <w:kern w:val="0"/>
                                      <w:sz w:val="24"/>
                                    </w:rPr>
                                  </w:pPr>
                                </w:p>
                              </w:tc>
                              <w:tc>
                                <w:tcPr>
                                  <w:tcW w:w="788"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w:hAnsi="Albertus" w:cs="Albertus"/>
                                      <w:b/>
                                      <w:bCs/>
                                      <w:color w:val="000000"/>
                                      <w:kern w:val="0"/>
                                      <w:sz w:val="14"/>
                                      <w:szCs w:val="14"/>
                                      <w:lang w:val="zh-CN"/>
                                    </w:rPr>
                                    <w:t>Mild fibrosis</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80"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w:hAnsi="Albertus" w:cs="Albertus"/>
                                      <w:b/>
                                      <w:bCs/>
                                      <w:color w:val="000000"/>
                                      <w:kern w:val="0"/>
                                      <w:sz w:val="14"/>
                                      <w:szCs w:val="14"/>
                                      <w:lang w:val="zh-CN"/>
                                    </w:rPr>
                                    <w:t>Moderate fibrosis</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47"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w:hAnsi="Albertus" w:cs="Albertus"/>
                                      <w:b/>
                                      <w:bCs/>
                                      <w:color w:val="000000"/>
                                      <w:kern w:val="0"/>
                                      <w:sz w:val="14"/>
                                      <w:szCs w:val="14"/>
                                      <w:lang w:val="zh-CN"/>
                                    </w:rPr>
                                    <w:t>Advanced fibrosis</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463" w:type="dxa"/>
                                  <w:tcBorders>
                                    <w:top w:val="nil"/>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w:hAnsi="Albertus"/>
                                      <w:b/>
                                      <w:kern w:val="0"/>
                                      <w:sz w:val="24"/>
                                    </w:rPr>
                                  </w:pPr>
                                </w:p>
                              </w:tc>
                            </w:tr>
                            <w:tr w:rsidR="00345D80" w:rsidRPr="00E448B1" w:rsidTr="00E448B1">
                              <w:tblPrEx>
                                <w:tblCellMar>
                                  <w:top w:w="0" w:type="dxa"/>
                                  <w:left w:w="0" w:type="dxa"/>
                                  <w:bottom w:w="0" w:type="dxa"/>
                                  <w:right w:w="0" w:type="dxa"/>
                                </w:tblCellMar>
                              </w:tblPrEx>
                              <w:trPr>
                                <w:trHeight w:val="60"/>
                              </w:trPr>
                              <w:tc>
                                <w:tcPr>
                                  <w:tcW w:w="1361" w:type="dxa"/>
                                  <w:tcBorders>
                                    <w:top w:val="single" w:sz="6" w:space="0" w:color="000000"/>
                                  </w:tcBorders>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Count</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788" w:type="dxa"/>
                                  <w:tcBorders>
                                    <w:top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w:hAnsi="Albertus"/>
                                      <w:kern w:val="0"/>
                                      <w:sz w:val="24"/>
                                    </w:rPr>
                                  </w:pPr>
                                </w:p>
                              </w:tc>
                              <w:tc>
                                <w:tcPr>
                                  <w:tcW w:w="1080" w:type="dxa"/>
                                  <w:tcBorders>
                                    <w:top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w:hAnsi="Albertus"/>
                                      <w:kern w:val="0"/>
                                      <w:sz w:val="24"/>
                                    </w:rPr>
                                  </w:pPr>
                                </w:p>
                              </w:tc>
                              <w:tc>
                                <w:tcPr>
                                  <w:tcW w:w="847" w:type="dxa"/>
                                  <w:tcBorders>
                                    <w:top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w:hAnsi="Albertus"/>
                                      <w:kern w:val="0"/>
                                      <w:sz w:val="24"/>
                                    </w:rPr>
                                  </w:pPr>
                                </w:p>
                              </w:tc>
                              <w:tc>
                                <w:tcPr>
                                  <w:tcW w:w="463" w:type="dxa"/>
                                  <w:tcBorders>
                                    <w:top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w:hAnsi="Albertus"/>
                                      <w:kern w:val="0"/>
                                      <w:sz w:val="24"/>
                                    </w:rPr>
                                  </w:pPr>
                                </w:p>
                              </w:tc>
                            </w:tr>
                            <w:tr w:rsidR="00345D80" w:rsidRPr="00E448B1" w:rsidTr="00E448B1">
                              <w:tblPrEx>
                                <w:tblCellMar>
                                  <w:top w:w="0" w:type="dxa"/>
                                  <w:left w:w="0" w:type="dxa"/>
                                  <w:bottom w:w="0" w:type="dxa"/>
                                  <w:right w:w="0" w:type="dxa"/>
                                </w:tblCellMar>
                              </w:tblPrEx>
                              <w:trPr>
                                <w:trHeight w:val="60"/>
                              </w:trPr>
                              <w:tc>
                                <w:tcPr>
                                  <w:tcW w:w="136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Mild fibrosis</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788"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119</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50</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4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8</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63"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177</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36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Moderate fibrosis</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788"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16</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34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4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14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63"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64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36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Advanced fibrosis</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788"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5</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19</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4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65</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63"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89</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36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Percent</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788"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w:hAnsi="Albertus"/>
                                      <w:kern w:val="0"/>
                                      <w:sz w:val="24"/>
                                    </w:rPr>
                                  </w:pPr>
                                </w:p>
                              </w:tc>
                              <w:tc>
                                <w:tcPr>
                                  <w:tcW w:w="1080"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w:hAnsi="Albertus"/>
                                      <w:kern w:val="0"/>
                                      <w:sz w:val="24"/>
                                    </w:rPr>
                                  </w:pPr>
                                </w:p>
                              </w:tc>
                              <w:tc>
                                <w:tcPr>
                                  <w:tcW w:w="847"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w:hAnsi="Albertus"/>
                                      <w:kern w:val="0"/>
                                      <w:sz w:val="24"/>
                                    </w:rPr>
                                  </w:pPr>
                                </w:p>
                              </w:tc>
                              <w:tc>
                                <w:tcPr>
                                  <w:tcW w:w="463"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w:hAnsi="Albertus"/>
                                      <w:kern w:val="0"/>
                                      <w:sz w:val="24"/>
                                    </w:rPr>
                                  </w:pPr>
                                </w:p>
                              </w:tc>
                            </w:tr>
                            <w:tr w:rsidR="00345D80" w:rsidRPr="00E448B1" w:rsidTr="00E448B1">
                              <w:tblPrEx>
                                <w:tblCellMar>
                                  <w:top w:w="0" w:type="dxa"/>
                                  <w:left w:w="0" w:type="dxa"/>
                                  <w:bottom w:w="0" w:type="dxa"/>
                                  <w:right w:w="0" w:type="dxa"/>
                                </w:tblCellMar>
                              </w:tblPrEx>
                              <w:trPr>
                                <w:trHeight w:val="60"/>
                              </w:trPr>
                              <w:tc>
                                <w:tcPr>
                                  <w:tcW w:w="136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Mild fibrosis</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788"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67.2</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28.2</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4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4.5</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63"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100.0</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36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Moderate fibrosis</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788"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25.0</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53.1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4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21.9</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63"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100.0</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36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Advanced fibrosis</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788"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5.6</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21.3</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4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73.0</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63"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100.0</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345D80" w:rsidRDefault="00345D80" w:rsidP="00345D80"/>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2" o:spid="_x0000_s1031" type="#_x0000_t202" style="position:absolute;left:0;text-align:left;margin-left:0;margin-top:0;width:297.6pt;height:440.7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CN/OgIAAFcEAAAOAAAAZHJzL2Uyb0RvYy54bWysVM2O0zAQviPxDpbvNG1pt23UdLV0KUJa&#10;fqSFB3AcJ7FwPJbtNikPwL4BJy7cea4+B2OnLdUCF0QOlu0ZfzPzfTNZXneNIjthnQSd0dFgSInQ&#10;HAqpq4x+/LB5NqfEeaYLpkCLjO6Fo9erp0+WrUnFGGpQhbAEQbRLW5PR2nuTJonjtWiYG4ARGo0l&#10;2IZ5PNoqKSxrEb1RyXg4vEpasIWxwIVzeHvbG+kq4pel4P5dWTrhicoo5ubjauOahzVZLVlaWWZq&#10;yY9psH/IomFSY9Az1C3zjGyt/A2qkdyCg9IPODQJlKXkItaA1YyGj6q5r5kRsRYkx5kzTe7/wfK3&#10;u/eWyCKjY0o0a1Ciw9eHw7cfh+9fyDjQ0xqXote9QT/fvYAOZY6lOnMH/JMjGtY105W4sRbaWrAC&#10;0xuFl8nF0x7HBZC8fQMFxmFbDxGoK20TuEM2CKKjTPuzNKLzhOPl89lsMR2jiaNtOl1czRdRvISl&#10;p+fGOv9KQEPCJqMWtY/wbHfnfEiHpSeXEM2BksVGKhUPtsrXypIdwz7ZxC9W8MhNadJmFBOZ9gz8&#10;FWIYvz9BNNJjwyvZZHR+dmJp4O2lLmI7eiZVv8eUlT4SGbjrWfRd3kXJpid9cij2yKyFvr9xHnFT&#10;g/1MSYu9nVGNw0eJeq1Rm8VoMgmjEA+T6Sywai8t+aWFaY5AGfWU9Nu178dna6ysaoxz6oYb1HMj&#10;I9NB+D6nY/LYvVGA46SF8bg8R69f/4PVTwAAAP//AwBQSwMEFAAGAAgAAAAhABMNbyXfAAAABQEA&#10;AA8AAABkcnMvZG93bnJldi54bWxMj8FOwzAQRO9I/IO1lbgg6rSiEEI2FRRVHCqhtvABTrxN0sbr&#10;KHaTwNdjuMBlpdGMZt6my9E0oqfO1ZYRZtMIBHFhdc0lwsf7+iYG4bxirRrLhPBJDpbZ5UWqEm0H&#10;3lG/96UIJewShVB53yZSuqIio9zUtsTBO9jOKB9kV0rdqSGUm0bOo+hOGlVzWKhUS6uKitP+bBBO&#10;L/f98Xrz+py/rVfHso+GLyq2iFeT8ekRhKfR/4XhBz+gQxaYcntm7USDEB7xvzd4i4fFHESOEMez&#10;W5BZKv/TZ98AAAD//wMAUEsBAi0AFAAGAAgAAAAhALaDOJL+AAAA4QEAABMAAAAAAAAAAAAAAAAA&#10;AAAAAFtDb250ZW50X1R5cGVzXS54bWxQSwECLQAUAAYACAAAACEAOP0h/9YAAACUAQAACwAAAAAA&#10;AAAAAAAAAAAvAQAAX3JlbHMvLnJlbHNQSwECLQAUAAYACAAAACEA+AgjfzoCAABXBAAADgAAAAAA&#10;AAAAAAAAAAAuAgAAZHJzL2Uyb0RvYy54bWxQSwECLQAUAAYACAAAACEAEw1vJd8AAAAFAQAADwAA&#10;AAAAAAAAAAAAAACUBAAAZHJzL2Rvd25yZXYueG1sUEsFBgAAAAAEAAQA8wAAAKAFAAAAAA==&#10;">
                <v:textbox style="mso-fit-shape-to-text:t">
                  <w:txbxContent>
                    <w:p w:rsidR="00345D80" w:rsidRPr="00E448B1" w:rsidRDefault="00345D80" w:rsidP="00345D80">
                      <w:pPr>
                        <w:rPr>
                          <w:b/>
                          <w:bCs/>
                        </w:rPr>
                      </w:pPr>
                      <w:r w:rsidRPr="00E448B1">
                        <w:rPr>
                          <w:b/>
                          <w:bCs/>
                        </w:rPr>
                        <w:t>Table 6  Validation results done on the studied selected groups</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1361"/>
                        <w:gridCol w:w="788"/>
                        <w:gridCol w:w="1080"/>
                        <w:gridCol w:w="847"/>
                        <w:gridCol w:w="463"/>
                      </w:tblGrid>
                      <w:tr w:rsidR="00345D80" w:rsidRPr="00E448B1" w:rsidTr="00E448B1">
                        <w:tblPrEx>
                          <w:tblCellMar>
                            <w:top w:w="0" w:type="dxa"/>
                            <w:left w:w="0" w:type="dxa"/>
                            <w:bottom w:w="0" w:type="dxa"/>
                            <w:right w:w="0" w:type="dxa"/>
                          </w:tblCellMar>
                        </w:tblPrEx>
                        <w:trPr>
                          <w:trHeight w:hRule="exact" w:val="982"/>
                        </w:trPr>
                        <w:tc>
                          <w:tcPr>
                            <w:tcW w:w="1361" w:type="dxa"/>
                            <w:tcBorders>
                              <w:top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textAlignment w:val="center"/>
                              <w:rPr>
                                <w:rFonts w:ascii="Albertus" w:hAnsi="Albertus" w:cs="Albertus"/>
                                <w:b/>
                                <w:bCs/>
                                <w:color w:val="000000"/>
                                <w:kern w:val="0"/>
                                <w:sz w:val="14"/>
                                <w:szCs w:val="14"/>
                                <w:lang w:val="zh-CN"/>
                              </w:rPr>
                            </w:pPr>
                            <w:r w:rsidRPr="00E448B1">
                              <w:rPr>
                                <w:rFonts w:ascii="Albertus" w:hAnsi="Albertus" w:cs="Albertus"/>
                                <w:b/>
                                <w:bCs/>
                                <w:color w:val="000000"/>
                                <w:kern w:val="0"/>
                                <w:sz w:val="14"/>
                                <w:szCs w:val="14"/>
                                <w:lang w:val="zh-CN"/>
                              </w:rPr>
                              <w:t>Stage of fibrosis</w:t>
                            </w:r>
                          </w:p>
                          <w:p w:rsidR="00345D80" w:rsidRPr="00E448B1" w:rsidRDefault="00345D80" w:rsidP="00E448B1">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2715" w:type="dxa"/>
                            <w:gridSpan w:val="3"/>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w:hAnsi="Albertus" w:cs="Albertus"/>
                                <w:b/>
                                <w:bCs/>
                                <w:color w:val="000000"/>
                                <w:kern w:val="0"/>
                                <w:sz w:val="14"/>
                                <w:szCs w:val="14"/>
                                <w:lang w:val="zh-CN"/>
                              </w:rPr>
                              <w:t>Predicted group membership</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463" w:type="dxa"/>
                            <w:tcBorders>
                              <w:top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w:hAnsi="Albertus" w:cs="Albertus"/>
                                <w:b/>
                                <w:bCs/>
                                <w:color w:val="000000"/>
                                <w:kern w:val="0"/>
                                <w:sz w:val="14"/>
                                <w:szCs w:val="14"/>
                                <w:lang w:val="zh-CN"/>
                              </w:rPr>
                              <w:t>Total</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hRule="exact" w:val="914"/>
                        </w:trPr>
                        <w:tc>
                          <w:tcPr>
                            <w:tcW w:w="1361" w:type="dxa"/>
                            <w:tcBorders>
                              <w:top w:val="nil"/>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w:hAnsi="Albertus"/>
                                <w:b/>
                                <w:kern w:val="0"/>
                                <w:sz w:val="24"/>
                              </w:rPr>
                            </w:pPr>
                          </w:p>
                        </w:tc>
                        <w:tc>
                          <w:tcPr>
                            <w:tcW w:w="788"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w:hAnsi="Albertus" w:cs="Albertus"/>
                                <w:b/>
                                <w:bCs/>
                                <w:color w:val="000000"/>
                                <w:kern w:val="0"/>
                                <w:sz w:val="14"/>
                                <w:szCs w:val="14"/>
                                <w:lang w:val="zh-CN"/>
                              </w:rPr>
                              <w:t>Mild fibrosis</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80"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w:hAnsi="Albertus" w:cs="Albertus"/>
                                <w:b/>
                                <w:bCs/>
                                <w:color w:val="000000"/>
                                <w:kern w:val="0"/>
                                <w:sz w:val="14"/>
                                <w:szCs w:val="14"/>
                                <w:lang w:val="zh-CN"/>
                              </w:rPr>
                              <w:t>Moderate fibrosis</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47" w:type="dxa"/>
                            <w:tcBorders>
                              <w:top w:val="single" w:sz="6" w:space="0" w:color="000000"/>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E448B1">
                              <w:rPr>
                                <w:rFonts w:ascii="Albertus" w:hAnsi="Albertus" w:cs="Albertus"/>
                                <w:b/>
                                <w:bCs/>
                                <w:color w:val="000000"/>
                                <w:kern w:val="0"/>
                                <w:sz w:val="14"/>
                                <w:szCs w:val="14"/>
                                <w:lang w:val="zh-CN"/>
                              </w:rPr>
                              <w:t>Advanced fibrosis</w:t>
                            </w:r>
                          </w:p>
                          <w:p w:rsidR="00345D80" w:rsidRPr="00E448B1" w:rsidRDefault="00345D80" w:rsidP="00E448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463" w:type="dxa"/>
                            <w:tcBorders>
                              <w:top w:val="nil"/>
                              <w:bottom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w:hAnsi="Albertus"/>
                                <w:b/>
                                <w:kern w:val="0"/>
                                <w:sz w:val="24"/>
                              </w:rPr>
                            </w:pPr>
                          </w:p>
                        </w:tc>
                      </w:tr>
                      <w:tr w:rsidR="00345D80" w:rsidRPr="00E448B1" w:rsidTr="00E448B1">
                        <w:tblPrEx>
                          <w:tblCellMar>
                            <w:top w:w="0" w:type="dxa"/>
                            <w:left w:w="0" w:type="dxa"/>
                            <w:bottom w:w="0" w:type="dxa"/>
                            <w:right w:w="0" w:type="dxa"/>
                          </w:tblCellMar>
                        </w:tblPrEx>
                        <w:trPr>
                          <w:trHeight w:val="60"/>
                        </w:trPr>
                        <w:tc>
                          <w:tcPr>
                            <w:tcW w:w="1361" w:type="dxa"/>
                            <w:tcBorders>
                              <w:top w:val="single" w:sz="6" w:space="0" w:color="000000"/>
                            </w:tcBorders>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Count</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788" w:type="dxa"/>
                            <w:tcBorders>
                              <w:top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w:hAnsi="Albertus"/>
                                <w:kern w:val="0"/>
                                <w:sz w:val="24"/>
                              </w:rPr>
                            </w:pPr>
                          </w:p>
                        </w:tc>
                        <w:tc>
                          <w:tcPr>
                            <w:tcW w:w="1080" w:type="dxa"/>
                            <w:tcBorders>
                              <w:top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w:hAnsi="Albertus"/>
                                <w:kern w:val="0"/>
                                <w:sz w:val="24"/>
                              </w:rPr>
                            </w:pPr>
                          </w:p>
                        </w:tc>
                        <w:tc>
                          <w:tcPr>
                            <w:tcW w:w="847" w:type="dxa"/>
                            <w:tcBorders>
                              <w:top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w:hAnsi="Albertus"/>
                                <w:kern w:val="0"/>
                                <w:sz w:val="24"/>
                              </w:rPr>
                            </w:pPr>
                          </w:p>
                        </w:tc>
                        <w:tc>
                          <w:tcPr>
                            <w:tcW w:w="463" w:type="dxa"/>
                            <w:tcBorders>
                              <w:top w:val="single" w:sz="6" w:space="0" w:color="000000"/>
                            </w:tcBorders>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w:hAnsi="Albertus"/>
                                <w:kern w:val="0"/>
                                <w:sz w:val="24"/>
                              </w:rPr>
                            </w:pPr>
                          </w:p>
                        </w:tc>
                      </w:tr>
                      <w:tr w:rsidR="00345D80" w:rsidRPr="00E448B1" w:rsidTr="00E448B1">
                        <w:tblPrEx>
                          <w:tblCellMar>
                            <w:top w:w="0" w:type="dxa"/>
                            <w:left w:w="0" w:type="dxa"/>
                            <w:bottom w:w="0" w:type="dxa"/>
                            <w:right w:w="0" w:type="dxa"/>
                          </w:tblCellMar>
                        </w:tblPrEx>
                        <w:trPr>
                          <w:trHeight w:val="60"/>
                        </w:trPr>
                        <w:tc>
                          <w:tcPr>
                            <w:tcW w:w="136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Mild fibrosis</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788"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119</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50</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4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8</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63"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177</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36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Moderate fibrosis</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788"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16</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34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4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14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63"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64</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36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Advanced fibrosis</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788"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5</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19</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4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65</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63"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89</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36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Percent</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788"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w:hAnsi="Albertus"/>
                                <w:kern w:val="0"/>
                                <w:sz w:val="24"/>
                              </w:rPr>
                            </w:pPr>
                          </w:p>
                        </w:tc>
                        <w:tc>
                          <w:tcPr>
                            <w:tcW w:w="1080"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w:hAnsi="Albertus"/>
                                <w:kern w:val="0"/>
                                <w:sz w:val="24"/>
                              </w:rPr>
                            </w:pPr>
                          </w:p>
                        </w:tc>
                        <w:tc>
                          <w:tcPr>
                            <w:tcW w:w="847"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w:hAnsi="Albertus"/>
                                <w:kern w:val="0"/>
                                <w:sz w:val="24"/>
                              </w:rPr>
                            </w:pPr>
                          </w:p>
                        </w:tc>
                        <w:tc>
                          <w:tcPr>
                            <w:tcW w:w="463" w:type="dxa"/>
                            <w:tcMar>
                              <w:top w:w="28" w:type="dxa"/>
                              <w:left w:w="28" w:type="dxa"/>
                              <w:bottom w:w="28" w:type="dxa"/>
                              <w:right w:w="28" w:type="dxa"/>
                            </w:tcMar>
                          </w:tcPr>
                          <w:p w:rsidR="00345D80" w:rsidRPr="00E448B1" w:rsidRDefault="00345D80" w:rsidP="00E448B1">
                            <w:pPr>
                              <w:autoSpaceDE w:val="0"/>
                              <w:autoSpaceDN w:val="0"/>
                              <w:adjustRightInd w:val="0"/>
                              <w:jc w:val="left"/>
                              <w:rPr>
                                <w:rFonts w:ascii="Albertus" w:hAnsi="Albertus"/>
                                <w:kern w:val="0"/>
                                <w:sz w:val="24"/>
                              </w:rPr>
                            </w:pPr>
                          </w:p>
                        </w:tc>
                      </w:tr>
                      <w:tr w:rsidR="00345D80" w:rsidRPr="00E448B1" w:rsidTr="00E448B1">
                        <w:tblPrEx>
                          <w:tblCellMar>
                            <w:top w:w="0" w:type="dxa"/>
                            <w:left w:w="0" w:type="dxa"/>
                            <w:bottom w:w="0" w:type="dxa"/>
                            <w:right w:w="0" w:type="dxa"/>
                          </w:tblCellMar>
                        </w:tblPrEx>
                        <w:trPr>
                          <w:trHeight w:val="60"/>
                        </w:trPr>
                        <w:tc>
                          <w:tcPr>
                            <w:tcW w:w="136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Mild fibrosis</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788"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67.2</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28.2</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4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4.5</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63"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100.0</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36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Moderate fibrosis</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788"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25.0</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53.1</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4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21.9</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63"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100.0</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345D80" w:rsidRPr="00E448B1" w:rsidTr="00E448B1">
                        <w:tblPrEx>
                          <w:tblCellMar>
                            <w:top w:w="0" w:type="dxa"/>
                            <w:left w:w="0" w:type="dxa"/>
                            <w:bottom w:w="0" w:type="dxa"/>
                            <w:right w:w="0" w:type="dxa"/>
                          </w:tblCellMar>
                        </w:tblPrEx>
                        <w:trPr>
                          <w:trHeight w:val="60"/>
                        </w:trPr>
                        <w:tc>
                          <w:tcPr>
                            <w:tcW w:w="1361"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E448B1">
                              <w:rPr>
                                <w:rFonts w:ascii="Book Antiqua" w:hAnsi="Book Antiqua" w:cs="Book Antiqua"/>
                                <w:bCs/>
                                <w:color w:val="000000"/>
                                <w:kern w:val="0"/>
                                <w:sz w:val="14"/>
                                <w:szCs w:val="14"/>
                                <w:lang w:val="zh-CN"/>
                              </w:rPr>
                              <w:t xml:space="preserve">   Advanced fibrosis</w:t>
                            </w:r>
                          </w:p>
                          <w:p w:rsidR="00345D80" w:rsidRPr="00E448B1" w:rsidRDefault="00345D80" w:rsidP="00E448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788"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5.6</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80"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21.3</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47"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73.0</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463" w:type="dxa"/>
                            <w:tcMar>
                              <w:top w:w="28" w:type="dxa"/>
                              <w:left w:w="28" w:type="dxa"/>
                              <w:bottom w:w="28" w:type="dxa"/>
                              <w:right w:w="28" w:type="dxa"/>
                            </w:tcMar>
                          </w:tcPr>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448B1">
                              <w:rPr>
                                <w:rFonts w:ascii="Book Antiqua" w:hAnsi="Book Antiqua" w:cs="Book Antiqua"/>
                                <w:bCs/>
                                <w:color w:val="000000"/>
                                <w:kern w:val="0"/>
                                <w:sz w:val="14"/>
                                <w:szCs w:val="14"/>
                              </w:rPr>
                              <w:t>100.0</w:t>
                            </w:r>
                          </w:p>
                          <w:p w:rsidR="00345D80" w:rsidRPr="00E448B1" w:rsidRDefault="00345D80" w:rsidP="00E448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345D80" w:rsidRDefault="00345D80" w:rsidP="00345D80"/>
                  </w:txbxContent>
                </v:textbox>
                <w10:wrap type="square"/>
              </v:shape>
            </w:pict>
          </mc:Fallback>
        </mc:AlternateContent>
      </w:r>
    </w:p>
    <w:p w:rsidR="00345D80" w:rsidRPr="00345D80" w:rsidRDefault="00345D80" w:rsidP="00F50781"/>
    <w:sectPr w:rsidR="00345D80" w:rsidRPr="00345D80">
      <w:footerReference w:type="even" r:id="rId11"/>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2F06" w:rsidRDefault="00DA2F06">
      <w:r>
        <w:separator/>
      </w:r>
    </w:p>
  </w:endnote>
  <w:endnote w:type="continuationSeparator" w:id="0">
    <w:p w:rsidR="00DA2F06" w:rsidRDefault="00DA2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Arial Narrow">
    <w:panose1 w:val="020B0506020202030204"/>
    <w:charset w:val="00"/>
    <w:family w:val="swiss"/>
    <w:pitch w:val="variable"/>
    <w:sig w:usb0="00000287" w:usb1="00000800" w:usb2="00000000" w:usb3="00000000" w:csb0="0000009F" w:csb1="00000000"/>
  </w:font>
  <w:font w:name="Tahoma Bold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lbertus Italic">
    <w:altName w:val="Times New Roman"/>
    <w:panose1 w:val="00000000000000000000"/>
    <w:charset w:val="00"/>
    <w:family w:val="auto"/>
    <w:notTrueType/>
    <w:pitch w:val="default"/>
    <w:sig w:usb0="00000003" w:usb1="00000000" w:usb2="00000000" w:usb3="00000000" w:csb0="00000001" w:csb1="00000000"/>
  </w:font>
  <w:font w:name="Albertus">
    <w:panose1 w:val="020E0702040304020204"/>
    <w:charset w:val="00"/>
    <w:family w:val="swiss"/>
    <w:pitch w:val="variable"/>
    <w:sig w:usb0="00000007" w:usb1="00000000" w:usb2="00000000" w:usb3="00000000" w:csb0="00000093"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KozMinPro-Regular">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4E" w:rsidRDefault="00F50781" w:rsidP="00791A4E">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91A4E" w:rsidRDefault="00791A4E" w:rsidP="00791A4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2F06" w:rsidRDefault="00DA2F06">
      <w:r>
        <w:separator/>
      </w:r>
    </w:p>
  </w:footnote>
  <w:footnote w:type="continuationSeparator" w:id="0">
    <w:p w:rsidR="00DA2F06" w:rsidRDefault="00DA2F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81"/>
    <w:rsid w:val="000B0D85"/>
    <w:rsid w:val="001551FF"/>
    <w:rsid w:val="001666C0"/>
    <w:rsid w:val="00200B22"/>
    <w:rsid w:val="002107CC"/>
    <w:rsid w:val="002956C9"/>
    <w:rsid w:val="00295C5F"/>
    <w:rsid w:val="002B75DF"/>
    <w:rsid w:val="002D2A10"/>
    <w:rsid w:val="002F45F1"/>
    <w:rsid w:val="00323671"/>
    <w:rsid w:val="00345D80"/>
    <w:rsid w:val="003577BA"/>
    <w:rsid w:val="00455B0F"/>
    <w:rsid w:val="00476DB2"/>
    <w:rsid w:val="004D6FBC"/>
    <w:rsid w:val="00631E9C"/>
    <w:rsid w:val="00695F5F"/>
    <w:rsid w:val="006E55C4"/>
    <w:rsid w:val="006F19CB"/>
    <w:rsid w:val="007218D1"/>
    <w:rsid w:val="00731FA6"/>
    <w:rsid w:val="00762110"/>
    <w:rsid w:val="00791A4E"/>
    <w:rsid w:val="007E3B2C"/>
    <w:rsid w:val="008226AD"/>
    <w:rsid w:val="008531AE"/>
    <w:rsid w:val="008548B1"/>
    <w:rsid w:val="009B3A45"/>
    <w:rsid w:val="009E244B"/>
    <w:rsid w:val="009E5A72"/>
    <w:rsid w:val="009F426D"/>
    <w:rsid w:val="00A4134A"/>
    <w:rsid w:val="00A619D5"/>
    <w:rsid w:val="00A71FFD"/>
    <w:rsid w:val="00AE0EE0"/>
    <w:rsid w:val="00B002E2"/>
    <w:rsid w:val="00BD4C39"/>
    <w:rsid w:val="00C33DC9"/>
    <w:rsid w:val="00C542CD"/>
    <w:rsid w:val="00C846FE"/>
    <w:rsid w:val="00C91A79"/>
    <w:rsid w:val="00CB42A6"/>
    <w:rsid w:val="00CE1EAC"/>
    <w:rsid w:val="00D21779"/>
    <w:rsid w:val="00D34BE3"/>
    <w:rsid w:val="00D52C1C"/>
    <w:rsid w:val="00D55C5E"/>
    <w:rsid w:val="00D676E0"/>
    <w:rsid w:val="00D70213"/>
    <w:rsid w:val="00D74442"/>
    <w:rsid w:val="00DA2F06"/>
    <w:rsid w:val="00E74CF7"/>
    <w:rsid w:val="00EA68A7"/>
    <w:rsid w:val="00F15824"/>
    <w:rsid w:val="00F50781"/>
    <w:rsid w:val="00F75910"/>
    <w:rsid w:val="00FA0DA2"/>
    <w:rsid w:val="00FC121E"/>
    <w:rsid w:val="00FF42BF"/>
    <w:rsid w:val="00FF5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8BF4">
    <w:name w:val="徠曅&lt;8BF4&gt;柧"/>
    <w:basedOn w:val="a"/>
    <w:rsid w:val="00345D80"/>
    <w:pPr>
      <w:suppressAutoHyphens/>
      <w:autoSpaceDE w:val="0"/>
      <w:autoSpaceDN w:val="0"/>
      <w:adjustRightInd w:val="0"/>
      <w:spacing w:line="200" w:lineRule="atLeast"/>
      <w:textAlignment w:val="center"/>
    </w:pPr>
    <w:rPr>
      <w:rFonts w:ascii="Arial Narrow" w:hAnsi="Arial Narrow" w:cs="Arial Narrow"/>
      <w:color w:val="000000"/>
      <w:kern w:val="0"/>
      <w:sz w:val="16"/>
      <w:szCs w:val="16"/>
    </w:rPr>
  </w:style>
  <w:style w:type="paragraph" w:customStyle="1" w:styleId="ae">
    <w:name w:val="作者"/>
    <w:basedOn w:val="a"/>
    <w:rsid w:val="00345D80"/>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345D80"/>
    <w:pPr>
      <w:autoSpaceDE w:val="0"/>
      <w:autoSpaceDN w:val="0"/>
      <w:adjustRightInd w:val="0"/>
      <w:spacing w:line="288" w:lineRule="auto"/>
      <w:textAlignment w:val="center"/>
    </w:pPr>
    <w:rPr>
      <w:rFonts w:ascii="宋体" w:hAnsi="Tahoma Bold Italic" w:cs="宋体"/>
      <w:color w:val="000000"/>
      <w:kern w:val="0"/>
      <w:sz w:val="24"/>
      <w:szCs w:val="24"/>
      <w:lang w:val="zh-CN"/>
    </w:rPr>
  </w:style>
  <w:style w:type="paragraph" w:customStyle="1" w:styleId="af">
    <w:name w:val="嶌幰怣"/>
    <w:basedOn w:val="NormalParagraphStyle"/>
    <w:rsid w:val="00345D80"/>
    <w:pPr>
      <w:suppressAutoHyphens/>
      <w:spacing w:line="210" w:lineRule="atLeast"/>
    </w:pPr>
    <w:rPr>
      <w:rFonts w:ascii="Times New Roman" w:hAnsi="Times New Roman" w:cs="Times New Roman"/>
      <w:spacing w:val="-2"/>
      <w:sz w:val="18"/>
      <w:szCs w:val="18"/>
      <w:lang w:val="en-US"/>
    </w:rPr>
  </w:style>
  <w:style w:type="paragraph" w:customStyle="1" w:styleId="af0">
    <w:name w:val="一级标题"/>
    <w:basedOn w:val="NormalParagraphStyle"/>
    <w:rsid w:val="00345D80"/>
    <w:pPr>
      <w:spacing w:line="360" w:lineRule="atLeast"/>
      <w:jc w:val="left"/>
    </w:pPr>
    <w:rPr>
      <w:rFonts w:ascii="Univers" w:hAnsi="Univers" w:cs="Univers"/>
      <w:b/>
      <w:bCs/>
      <w:spacing w:val="-2"/>
    </w:rPr>
  </w:style>
  <w:style w:type="paragraph" w:customStyle="1" w:styleId="af1">
    <w:name w:val="惓暥暥_"/>
    <w:basedOn w:val="NormalParagraphStyle"/>
    <w:rsid w:val="00345D80"/>
    <w:pPr>
      <w:suppressAutoHyphens/>
    </w:pPr>
    <w:rPr>
      <w:rFonts w:ascii="Verdana" w:hAnsi="Verdana" w:cs="Verdana"/>
      <w:spacing w:val="-9"/>
      <w:sz w:val="18"/>
      <w:szCs w:val="18"/>
      <w:lang w:val="en-US"/>
    </w:rPr>
  </w:style>
  <w:style w:type="paragraph" w:customStyle="1" w:styleId="1">
    <w:name w:val="惓暥暥_1"/>
    <w:basedOn w:val="NormalParagraphStyle"/>
    <w:rsid w:val="00345D80"/>
    <w:pPr>
      <w:suppressAutoHyphens/>
      <w:ind w:firstLine="283"/>
    </w:pPr>
    <w:rPr>
      <w:rFonts w:ascii="Verdana" w:hAnsi="Verdana" w:cs="Verdana"/>
      <w:spacing w:val="-9"/>
      <w:sz w:val="18"/>
      <w:szCs w:val="18"/>
      <w:lang w:val="en-US"/>
    </w:rPr>
  </w:style>
  <w:style w:type="paragraph" w:customStyle="1" w:styleId="af2">
    <w:name w:val="二级标题"/>
    <w:basedOn w:val="a"/>
    <w:rsid w:val="00345D80"/>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1">
    <w:name w:val="嶲峫暥專-1"/>
    <w:basedOn w:val="NormalParagraphStyle"/>
    <w:rsid w:val="00345D80"/>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3">
    <w:name w:val="参考文献正文"/>
    <w:basedOn w:val="a"/>
    <w:rsid w:val="00345D80"/>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character" w:customStyle="1" w:styleId="5F3A8C03">
    <w:name w:val="&lt;5F3A&gt;&lt;8C03&gt;"/>
    <w:rsid w:val="00345D80"/>
    <w:rPr>
      <w:i/>
      <w:iCs/>
      <w:w w:val="100"/>
    </w:rPr>
  </w:style>
  <w:style w:type="paragraph" w:customStyle="1" w:styleId="Noparagraphstyle">
    <w:name w:val="[No paragraph style]"/>
    <w:rsid w:val="00345D80"/>
    <w:pPr>
      <w:widowControl w:val="0"/>
      <w:autoSpaceDE w:val="0"/>
      <w:autoSpaceDN w:val="0"/>
      <w:adjustRightInd w:val="0"/>
      <w:spacing w:line="288" w:lineRule="auto"/>
      <w:jc w:val="both"/>
      <w:textAlignment w:val="center"/>
    </w:pPr>
    <w:rPr>
      <w:rFonts w:ascii="Albertus Italic" w:hAnsi="Albertus Italic"/>
      <w:color w:val="000000"/>
      <w:sz w:val="24"/>
      <w:szCs w:val="24"/>
      <w:lang w:val="zh-CN"/>
    </w:rPr>
  </w:style>
  <w:style w:type="paragraph" w:customStyle="1" w:styleId="af4">
    <w:name w:val="表头"/>
    <w:basedOn w:val="NormalParagraphStyle"/>
    <w:rsid w:val="00345D80"/>
    <w:rPr>
      <w:rFonts w:ascii="Albertus" w:hAnsi="Albertus" w:cs="Albertus"/>
      <w:b/>
      <w:bCs/>
      <w:sz w:val="14"/>
      <w:szCs w:val="14"/>
    </w:rPr>
  </w:style>
  <w:style w:type="paragraph" w:customStyle="1" w:styleId="af5">
    <w:name w:val="表格中文字"/>
    <w:basedOn w:val="a"/>
    <w:rsid w:val="00345D80"/>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6">
    <w:name w:val="表注"/>
    <w:basedOn w:val="af5"/>
    <w:rsid w:val="00345D80"/>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8BF4">
    <w:name w:val="徠曅&lt;8BF4&gt;柧"/>
    <w:basedOn w:val="a"/>
    <w:rsid w:val="00345D80"/>
    <w:pPr>
      <w:suppressAutoHyphens/>
      <w:autoSpaceDE w:val="0"/>
      <w:autoSpaceDN w:val="0"/>
      <w:adjustRightInd w:val="0"/>
      <w:spacing w:line="200" w:lineRule="atLeast"/>
      <w:textAlignment w:val="center"/>
    </w:pPr>
    <w:rPr>
      <w:rFonts w:ascii="Arial Narrow" w:hAnsi="Arial Narrow" w:cs="Arial Narrow"/>
      <w:color w:val="000000"/>
      <w:kern w:val="0"/>
      <w:sz w:val="16"/>
      <w:szCs w:val="16"/>
    </w:rPr>
  </w:style>
  <w:style w:type="paragraph" w:customStyle="1" w:styleId="ae">
    <w:name w:val="作者"/>
    <w:basedOn w:val="a"/>
    <w:rsid w:val="00345D80"/>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345D80"/>
    <w:pPr>
      <w:autoSpaceDE w:val="0"/>
      <w:autoSpaceDN w:val="0"/>
      <w:adjustRightInd w:val="0"/>
      <w:spacing w:line="288" w:lineRule="auto"/>
      <w:textAlignment w:val="center"/>
    </w:pPr>
    <w:rPr>
      <w:rFonts w:ascii="宋体" w:hAnsi="Tahoma Bold Italic" w:cs="宋体"/>
      <w:color w:val="000000"/>
      <w:kern w:val="0"/>
      <w:sz w:val="24"/>
      <w:szCs w:val="24"/>
      <w:lang w:val="zh-CN"/>
    </w:rPr>
  </w:style>
  <w:style w:type="paragraph" w:customStyle="1" w:styleId="af">
    <w:name w:val="嶌幰怣"/>
    <w:basedOn w:val="NormalParagraphStyle"/>
    <w:rsid w:val="00345D80"/>
    <w:pPr>
      <w:suppressAutoHyphens/>
      <w:spacing w:line="210" w:lineRule="atLeast"/>
    </w:pPr>
    <w:rPr>
      <w:rFonts w:ascii="Times New Roman" w:hAnsi="Times New Roman" w:cs="Times New Roman"/>
      <w:spacing w:val="-2"/>
      <w:sz w:val="18"/>
      <w:szCs w:val="18"/>
      <w:lang w:val="en-US"/>
    </w:rPr>
  </w:style>
  <w:style w:type="paragraph" w:customStyle="1" w:styleId="af0">
    <w:name w:val="一级标题"/>
    <w:basedOn w:val="NormalParagraphStyle"/>
    <w:rsid w:val="00345D80"/>
    <w:pPr>
      <w:spacing w:line="360" w:lineRule="atLeast"/>
      <w:jc w:val="left"/>
    </w:pPr>
    <w:rPr>
      <w:rFonts w:ascii="Univers" w:hAnsi="Univers" w:cs="Univers"/>
      <w:b/>
      <w:bCs/>
      <w:spacing w:val="-2"/>
    </w:rPr>
  </w:style>
  <w:style w:type="paragraph" w:customStyle="1" w:styleId="af1">
    <w:name w:val="惓暥暥_"/>
    <w:basedOn w:val="NormalParagraphStyle"/>
    <w:rsid w:val="00345D80"/>
    <w:pPr>
      <w:suppressAutoHyphens/>
    </w:pPr>
    <w:rPr>
      <w:rFonts w:ascii="Verdana" w:hAnsi="Verdana" w:cs="Verdana"/>
      <w:spacing w:val="-9"/>
      <w:sz w:val="18"/>
      <w:szCs w:val="18"/>
      <w:lang w:val="en-US"/>
    </w:rPr>
  </w:style>
  <w:style w:type="paragraph" w:customStyle="1" w:styleId="1">
    <w:name w:val="惓暥暥_1"/>
    <w:basedOn w:val="NormalParagraphStyle"/>
    <w:rsid w:val="00345D80"/>
    <w:pPr>
      <w:suppressAutoHyphens/>
      <w:ind w:firstLine="283"/>
    </w:pPr>
    <w:rPr>
      <w:rFonts w:ascii="Verdana" w:hAnsi="Verdana" w:cs="Verdana"/>
      <w:spacing w:val="-9"/>
      <w:sz w:val="18"/>
      <w:szCs w:val="18"/>
      <w:lang w:val="en-US"/>
    </w:rPr>
  </w:style>
  <w:style w:type="paragraph" w:customStyle="1" w:styleId="af2">
    <w:name w:val="二级标题"/>
    <w:basedOn w:val="a"/>
    <w:rsid w:val="00345D80"/>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1">
    <w:name w:val="嶲峫暥專-1"/>
    <w:basedOn w:val="NormalParagraphStyle"/>
    <w:rsid w:val="00345D80"/>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3">
    <w:name w:val="参考文献正文"/>
    <w:basedOn w:val="a"/>
    <w:rsid w:val="00345D80"/>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character" w:customStyle="1" w:styleId="5F3A8C03">
    <w:name w:val="&lt;5F3A&gt;&lt;8C03&gt;"/>
    <w:rsid w:val="00345D80"/>
    <w:rPr>
      <w:i/>
      <w:iCs/>
      <w:w w:val="100"/>
    </w:rPr>
  </w:style>
  <w:style w:type="paragraph" w:customStyle="1" w:styleId="Noparagraphstyle">
    <w:name w:val="[No paragraph style]"/>
    <w:rsid w:val="00345D80"/>
    <w:pPr>
      <w:widowControl w:val="0"/>
      <w:autoSpaceDE w:val="0"/>
      <w:autoSpaceDN w:val="0"/>
      <w:adjustRightInd w:val="0"/>
      <w:spacing w:line="288" w:lineRule="auto"/>
      <w:jc w:val="both"/>
      <w:textAlignment w:val="center"/>
    </w:pPr>
    <w:rPr>
      <w:rFonts w:ascii="Albertus Italic" w:hAnsi="Albertus Italic"/>
      <w:color w:val="000000"/>
      <w:sz w:val="24"/>
      <w:szCs w:val="24"/>
      <w:lang w:val="zh-CN"/>
    </w:rPr>
  </w:style>
  <w:style w:type="paragraph" w:customStyle="1" w:styleId="af4">
    <w:name w:val="表头"/>
    <w:basedOn w:val="NormalParagraphStyle"/>
    <w:rsid w:val="00345D80"/>
    <w:rPr>
      <w:rFonts w:ascii="Albertus" w:hAnsi="Albertus" w:cs="Albertus"/>
      <w:b/>
      <w:bCs/>
      <w:sz w:val="14"/>
      <w:szCs w:val="14"/>
    </w:rPr>
  </w:style>
  <w:style w:type="paragraph" w:customStyle="1" w:styleId="af5">
    <w:name w:val="表格中文字"/>
    <w:basedOn w:val="a"/>
    <w:rsid w:val="00345D80"/>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6">
    <w:name w:val="表注"/>
    <w:basedOn w:val="af5"/>
    <w:rsid w:val="00345D80"/>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19</Pages>
  <Words>7276</Words>
  <Characters>41476</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 Ma</dc:creator>
  <cp:keywords/>
  <cp:lastModifiedBy>m</cp:lastModifiedBy>
  <cp:revision>3</cp:revision>
  <dcterms:created xsi:type="dcterms:W3CDTF">2016-01-15T04:02:00Z</dcterms:created>
  <dcterms:modified xsi:type="dcterms:W3CDTF">2016-11-15T12:16:00Z</dcterms:modified>
</cp:coreProperties>
</file>