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03F" w:rsidRPr="00664A42" w:rsidRDefault="000A103F" w:rsidP="003B01FB">
      <w:pPr>
        <w:adjustRightInd w:val="0"/>
        <w:snapToGrid w:val="0"/>
        <w:spacing w:line="360" w:lineRule="auto"/>
        <w:jc w:val="both"/>
        <w:rPr>
          <w:rFonts w:ascii="Book Antiqua" w:hAnsi="Book Antiqua" w:cs="SimSun"/>
          <w:b/>
          <w:i/>
        </w:rPr>
      </w:pPr>
      <w:bookmarkStart w:id="0" w:name="OLE_LINK545"/>
      <w:bookmarkStart w:id="1" w:name="OLE_LINK546"/>
      <w:bookmarkStart w:id="2" w:name="OLE_LINK592"/>
      <w:bookmarkStart w:id="3" w:name="OLE_LINK108"/>
      <w:bookmarkStart w:id="4" w:name="OLE_LINK109"/>
      <w:bookmarkStart w:id="5" w:name="OLE_LINK110"/>
      <w:bookmarkStart w:id="6" w:name="OLE_LINK143"/>
      <w:bookmarkStart w:id="7" w:name="OLE_LINK257"/>
      <w:bookmarkStart w:id="8" w:name="OLE_LINK258"/>
      <w:bookmarkStart w:id="9" w:name="OLE_LINK276"/>
      <w:r w:rsidRPr="00664A42">
        <w:rPr>
          <w:rFonts w:ascii="Book Antiqua" w:hAnsi="Book Antiqua" w:cs="SimSun"/>
          <w:b/>
          <w:lang w:val="en-AU"/>
        </w:rPr>
        <w:t>Name</w:t>
      </w:r>
      <w:r w:rsidRPr="00664A42">
        <w:rPr>
          <w:rFonts w:ascii="Book Antiqua" w:hAnsi="Book Antiqua" w:cs="SimSun"/>
          <w:b/>
        </w:rPr>
        <w:t xml:space="preserve"> of</w:t>
      </w:r>
      <w:r w:rsidRPr="00664A42">
        <w:rPr>
          <w:rFonts w:ascii="Book Antiqua" w:hAnsi="Book Antiqua" w:cs="SimSun"/>
          <w:b/>
          <w:lang w:val="en-AU"/>
        </w:rPr>
        <w:t xml:space="preserve"> journal</w:t>
      </w:r>
      <w:r w:rsidRPr="00664A42">
        <w:rPr>
          <w:rFonts w:ascii="Book Antiqua" w:hAnsi="Book Antiqua" w:cs="SimSun"/>
          <w:b/>
        </w:rPr>
        <w:t xml:space="preserve">: </w:t>
      </w:r>
      <w:bookmarkStart w:id="10" w:name="OLE_LINK718"/>
      <w:bookmarkStart w:id="11" w:name="OLE_LINK719"/>
      <w:bookmarkStart w:id="12" w:name="OLE_LINK645"/>
      <w:bookmarkStart w:id="13" w:name="OLE_LINK661"/>
      <w:bookmarkStart w:id="14" w:name="OLE_LINK1068"/>
      <w:r w:rsidRPr="00664A42">
        <w:rPr>
          <w:rFonts w:ascii="Book Antiqua" w:hAnsi="Book Antiqua" w:cs="SimSun"/>
          <w:b/>
          <w:i/>
        </w:rPr>
        <w:t xml:space="preserve">World Journal of </w:t>
      </w:r>
      <w:bookmarkStart w:id="15" w:name="OLE_LINK1222"/>
      <w:bookmarkStart w:id="16" w:name="OLE_LINK1223"/>
      <w:r w:rsidRPr="00664A42">
        <w:rPr>
          <w:rFonts w:ascii="Book Antiqua" w:hAnsi="Book Antiqua" w:cs="SimSun"/>
          <w:b/>
          <w:i/>
        </w:rPr>
        <w:t>Gastroenterology</w:t>
      </w:r>
      <w:bookmarkEnd w:id="10"/>
      <w:bookmarkEnd w:id="11"/>
      <w:bookmarkEnd w:id="12"/>
      <w:bookmarkEnd w:id="13"/>
      <w:bookmarkEnd w:id="14"/>
      <w:bookmarkEnd w:id="15"/>
      <w:bookmarkEnd w:id="16"/>
    </w:p>
    <w:p w:rsidR="000A103F" w:rsidRPr="00664A42" w:rsidRDefault="000A103F" w:rsidP="003B01FB">
      <w:pPr>
        <w:adjustRightInd w:val="0"/>
        <w:snapToGrid w:val="0"/>
        <w:spacing w:line="360" w:lineRule="auto"/>
        <w:jc w:val="both"/>
        <w:rPr>
          <w:rFonts w:ascii="Book Antiqua" w:eastAsia="SimSun" w:hAnsi="Book Antiqua" w:cs="Arial"/>
          <w:lang w:val="en" w:eastAsia="zh-CN"/>
        </w:rPr>
      </w:pPr>
      <w:r w:rsidRPr="00664A42">
        <w:rPr>
          <w:rFonts w:ascii="Book Antiqua" w:hAnsi="Book Antiqua" w:cs="Arial"/>
          <w:b/>
          <w:lang w:val="en"/>
        </w:rPr>
        <w:t xml:space="preserve">ESPS Manuscript NO: </w:t>
      </w:r>
      <w:r w:rsidRPr="00664A42">
        <w:rPr>
          <w:rFonts w:ascii="Book Antiqua" w:eastAsia="SimSun" w:hAnsi="Book Antiqua" w:cs="Arial"/>
          <w:b/>
          <w:lang w:val="en" w:eastAsia="zh-CN"/>
        </w:rPr>
        <w:t>28276</w:t>
      </w:r>
    </w:p>
    <w:p w:rsidR="000A103F" w:rsidRPr="00664A42" w:rsidRDefault="000A103F" w:rsidP="003B01FB">
      <w:pPr>
        <w:spacing w:line="360" w:lineRule="auto"/>
        <w:jc w:val="both"/>
        <w:rPr>
          <w:rFonts w:ascii="Book Antiqua" w:eastAsia="SimSun" w:hAnsi="Book Antiqua"/>
          <w:b/>
          <w:lang w:eastAsia="zh-CN"/>
        </w:rPr>
      </w:pPr>
      <w:r w:rsidRPr="00664A42">
        <w:rPr>
          <w:rFonts w:ascii="Book Antiqua" w:hAnsi="Book Antiqua"/>
          <w:b/>
        </w:rPr>
        <w:t xml:space="preserve">Manuscript Type: </w:t>
      </w:r>
      <w:r w:rsidR="00125D0B" w:rsidRPr="00664A42">
        <w:rPr>
          <w:rFonts w:ascii="Book Antiqua" w:hAnsi="Book Antiqua"/>
          <w:b/>
        </w:rPr>
        <w:t>ORIGINAL ARTICLE</w:t>
      </w:r>
    </w:p>
    <w:p w:rsidR="000A103F" w:rsidRPr="00664A42" w:rsidRDefault="000A103F" w:rsidP="003B01FB">
      <w:pPr>
        <w:spacing w:line="360" w:lineRule="auto"/>
        <w:jc w:val="both"/>
        <w:rPr>
          <w:rFonts w:ascii="Book Antiqua" w:eastAsia="SimSun" w:hAnsi="Book Antiqua"/>
          <w:b/>
          <w:lang w:eastAsia="zh-CN"/>
        </w:rPr>
      </w:pPr>
    </w:p>
    <w:bookmarkEnd w:id="0"/>
    <w:bookmarkEnd w:id="1"/>
    <w:bookmarkEnd w:id="2"/>
    <w:p w:rsidR="000A103F" w:rsidRPr="00242A36" w:rsidRDefault="000A103F" w:rsidP="003B01FB">
      <w:pPr>
        <w:autoSpaceDE w:val="0"/>
        <w:autoSpaceDN w:val="0"/>
        <w:adjustRightInd w:val="0"/>
        <w:spacing w:line="360" w:lineRule="auto"/>
        <w:jc w:val="both"/>
        <w:rPr>
          <w:rFonts w:ascii="Book Antiqua" w:eastAsia="SimSun" w:hAnsi="Book Antiqua"/>
          <w:b/>
          <w:i/>
          <w:lang w:val="en-US" w:eastAsia="zh-CN"/>
        </w:rPr>
      </w:pPr>
      <w:r w:rsidRPr="00242A36">
        <w:rPr>
          <w:rFonts w:ascii="Book Antiqua" w:eastAsia="SimSun" w:hAnsi="Book Antiqua"/>
          <w:b/>
          <w:i/>
          <w:lang w:val="en-US" w:eastAsia="zh-CN"/>
        </w:rPr>
        <w:t>Retrospective Study</w:t>
      </w:r>
    </w:p>
    <w:p w:rsidR="000A103F" w:rsidRPr="00664A42" w:rsidRDefault="000A103F" w:rsidP="003B01FB">
      <w:pPr>
        <w:autoSpaceDE w:val="0"/>
        <w:autoSpaceDN w:val="0"/>
        <w:adjustRightInd w:val="0"/>
        <w:spacing w:line="360" w:lineRule="auto"/>
        <w:jc w:val="both"/>
        <w:rPr>
          <w:rFonts w:ascii="Book Antiqua" w:hAnsi="Book Antiqua"/>
          <w:b/>
          <w:lang w:val="en-GB"/>
        </w:rPr>
      </w:pPr>
      <w:r w:rsidRPr="00664A42">
        <w:rPr>
          <w:rFonts w:ascii="Book Antiqua" w:hAnsi="Book Antiqua"/>
          <w:b/>
          <w:lang w:val="en-GB"/>
        </w:rPr>
        <w:t>Presepsin teardown – pitfalls of biomarkers in the diagnosis and prognosis of bacterial infection in cirrhosis</w:t>
      </w:r>
    </w:p>
    <w:p w:rsidR="000A103F" w:rsidRPr="00664A42" w:rsidRDefault="000A103F" w:rsidP="003B01FB">
      <w:pPr>
        <w:autoSpaceDE w:val="0"/>
        <w:autoSpaceDN w:val="0"/>
        <w:adjustRightInd w:val="0"/>
        <w:spacing w:line="360" w:lineRule="auto"/>
        <w:jc w:val="both"/>
        <w:rPr>
          <w:rFonts w:ascii="Book Antiqua" w:hAnsi="Book Antiqua"/>
          <w:b/>
          <w:lang w:val="en-GB"/>
        </w:rPr>
      </w:pPr>
    </w:p>
    <w:bookmarkEnd w:id="3"/>
    <w:bookmarkEnd w:id="4"/>
    <w:bookmarkEnd w:id="5"/>
    <w:bookmarkEnd w:id="6"/>
    <w:bookmarkEnd w:id="7"/>
    <w:bookmarkEnd w:id="8"/>
    <w:bookmarkEnd w:id="9"/>
    <w:p w:rsidR="000A103F" w:rsidRPr="00664A42" w:rsidRDefault="000A103F" w:rsidP="003B0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Book Antiqua" w:hAnsi="Book Antiqua"/>
          <w:b/>
          <w:lang w:val="en-GB"/>
        </w:rPr>
      </w:pPr>
      <w:r w:rsidRPr="00664A42">
        <w:rPr>
          <w:rFonts w:ascii="Book Antiqua" w:hAnsi="Book Antiqua"/>
          <w:lang w:val="en-GB"/>
        </w:rPr>
        <w:t>Papp M</w:t>
      </w:r>
      <w:r w:rsidRPr="00664A42">
        <w:rPr>
          <w:rFonts w:ascii="Book Antiqua" w:hAnsi="Book Antiqua"/>
          <w:i/>
          <w:lang w:val="en-GB"/>
        </w:rPr>
        <w:t xml:space="preserve"> </w:t>
      </w:r>
      <w:r w:rsidRPr="00664A42">
        <w:rPr>
          <w:rFonts w:ascii="Book Antiqua" w:eastAsia="SimSun" w:hAnsi="Book Antiqua"/>
          <w:i/>
          <w:lang w:val="en-GB" w:eastAsia="zh-CN"/>
        </w:rPr>
        <w:t xml:space="preserve">et al. </w:t>
      </w:r>
      <w:r w:rsidRPr="00664A42">
        <w:rPr>
          <w:rFonts w:ascii="Book Antiqua" w:hAnsi="Book Antiqua"/>
          <w:lang w:val="en-GB"/>
        </w:rPr>
        <w:t>Presepsin in cirrhosis</w:t>
      </w:r>
    </w:p>
    <w:p w:rsidR="000A103F" w:rsidRPr="00664A42" w:rsidRDefault="000A103F" w:rsidP="003B01FB">
      <w:pPr>
        <w:spacing w:line="360" w:lineRule="auto"/>
        <w:jc w:val="both"/>
        <w:rPr>
          <w:rFonts w:ascii="Book Antiqua" w:hAnsi="Book Antiqua"/>
          <w:lang w:val="en-GB"/>
        </w:rPr>
      </w:pPr>
    </w:p>
    <w:p w:rsidR="00E57C92" w:rsidRPr="00664A42" w:rsidRDefault="000A103F" w:rsidP="003B01FB">
      <w:pPr>
        <w:spacing w:line="360" w:lineRule="auto"/>
        <w:jc w:val="both"/>
        <w:rPr>
          <w:rFonts w:ascii="Book Antiqua" w:eastAsiaTheme="minorEastAsia" w:hAnsi="Book Antiqua"/>
          <w:lang w:val="en-GB" w:eastAsia="zh-CN"/>
        </w:rPr>
      </w:pPr>
      <w:r w:rsidRPr="00664A42">
        <w:rPr>
          <w:rFonts w:ascii="Book Antiqua" w:hAnsi="Book Antiqua"/>
          <w:lang w:val="en-GB"/>
        </w:rPr>
        <w:t>Maria Papp, Tamas Tornai, Zsuzsanna Vitalis, Istvan Tornai, David Tornai, Tamas Dinya, Andrea Sumegi, Peter Antal-Szalmas</w:t>
      </w:r>
    </w:p>
    <w:p w:rsidR="00E57C92" w:rsidRPr="00664A42" w:rsidRDefault="00E57C92" w:rsidP="003B01FB">
      <w:pPr>
        <w:pStyle w:val="BodyText"/>
        <w:spacing w:line="360" w:lineRule="auto"/>
        <w:rPr>
          <w:rFonts w:ascii="Book Antiqua" w:eastAsiaTheme="minorEastAsia" w:hAnsi="Book Antiqua"/>
          <w:b w:val="0"/>
          <w:vertAlign w:val="superscript"/>
          <w:lang w:eastAsia="zh-CN"/>
        </w:rPr>
      </w:pPr>
    </w:p>
    <w:p w:rsidR="000A103F" w:rsidRPr="00664A42" w:rsidRDefault="000A103F" w:rsidP="003B01FB">
      <w:pPr>
        <w:pStyle w:val="BodyText"/>
        <w:spacing w:line="360" w:lineRule="auto"/>
        <w:rPr>
          <w:rFonts w:ascii="Book Antiqua" w:eastAsiaTheme="minorEastAsia" w:hAnsi="Book Antiqua"/>
          <w:b w:val="0"/>
          <w:lang w:eastAsia="zh-CN"/>
        </w:rPr>
      </w:pPr>
      <w:r w:rsidRPr="00664A42">
        <w:rPr>
          <w:rFonts w:ascii="Book Antiqua" w:hAnsi="Book Antiqua"/>
        </w:rPr>
        <w:t xml:space="preserve">Maria Papp, Tamas Tornai, Zsuzsanna Vitalis, Istvan Tornai, Maria Papp </w:t>
      </w:r>
      <w:r w:rsidRPr="00664A42">
        <w:rPr>
          <w:rFonts w:ascii="Book Antiqua" w:hAnsi="Book Antiqua"/>
          <w:b w:val="0"/>
        </w:rPr>
        <w:t xml:space="preserve">Institute of Internal Medicine, Department of Gastroenterology, University of Debrecen, Faculty of Medicine, </w:t>
      </w:r>
      <w:r w:rsidR="00162D5F" w:rsidRPr="00664A42">
        <w:rPr>
          <w:rFonts w:ascii="Book Antiqua" w:hAnsi="Book Antiqua"/>
          <w:b w:val="0"/>
        </w:rPr>
        <w:t>H-4032</w:t>
      </w:r>
      <w:r w:rsidRPr="00664A42">
        <w:rPr>
          <w:rFonts w:ascii="Book Antiqua" w:hAnsi="Book Antiqua"/>
          <w:b w:val="0"/>
        </w:rPr>
        <w:t xml:space="preserve"> Debrecen, Hungary</w:t>
      </w:r>
    </w:p>
    <w:p w:rsidR="00162D5F" w:rsidRPr="00664A42" w:rsidRDefault="00162D5F" w:rsidP="003B01FB">
      <w:pPr>
        <w:pStyle w:val="BodyText"/>
        <w:spacing w:line="360" w:lineRule="auto"/>
        <w:rPr>
          <w:rFonts w:ascii="Book Antiqua" w:eastAsiaTheme="minorEastAsia" w:hAnsi="Book Antiqua"/>
          <w:b w:val="0"/>
          <w:lang w:eastAsia="zh-CN"/>
        </w:rPr>
      </w:pPr>
    </w:p>
    <w:p w:rsidR="000A103F" w:rsidRPr="00664A42" w:rsidRDefault="000A103F" w:rsidP="003B01FB">
      <w:pPr>
        <w:pStyle w:val="BodyText"/>
        <w:spacing w:line="360" w:lineRule="auto"/>
        <w:rPr>
          <w:rFonts w:ascii="Book Antiqua" w:eastAsiaTheme="minorEastAsia" w:hAnsi="Book Antiqua"/>
          <w:b w:val="0"/>
          <w:lang w:val="en-US" w:eastAsia="zh-CN"/>
        </w:rPr>
      </w:pPr>
      <w:r w:rsidRPr="00664A42">
        <w:rPr>
          <w:rFonts w:ascii="Book Antiqua" w:hAnsi="Book Antiqua"/>
        </w:rPr>
        <w:t xml:space="preserve">David Tornai, Peter Antal Szalmas </w:t>
      </w:r>
      <w:r w:rsidRPr="00664A42">
        <w:rPr>
          <w:rFonts w:ascii="Book Antiqua" w:hAnsi="Book Antiqua"/>
          <w:b w:val="0"/>
        </w:rPr>
        <w:t xml:space="preserve">Department of Laboratory Medicine, University of Debrecen, Faculty of Medicine Debrecen, H-4032 </w:t>
      </w:r>
      <w:r w:rsidRPr="00664A42">
        <w:rPr>
          <w:rFonts w:ascii="Book Antiqua" w:hAnsi="Book Antiqua"/>
          <w:b w:val="0"/>
          <w:lang w:val="en-US"/>
        </w:rPr>
        <w:t>Debrecen, Hungary</w:t>
      </w:r>
    </w:p>
    <w:p w:rsidR="00162D5F" w:rsidRPr="00664A42" w:rsidRDefault="00162D5F" w:rsidP="003B01FB">
      <w:pPr>
        <w:pStyle w:val="BodyText"/>
        <w:spacing w:line="360" w:lineRule="auto"/>
        <w:rPr>
          <w:rFonts w:ascii="Book Antiqua" w:eastAsiaTheme="minorEastAsia" w:hAnsi="Book Antiqua"/>
          <w:b w:val="0"/>
          <w:lang w:val="en-US" w:eastAsia="zh-CN"/>
        </w:rPr>
      </w:pPr>
    </w:p>
    <w:p w:rsidR="000A103F" w:rsidRPr="00664A42" w:rsidRDefault="000A103F" w:rsidP="003B01FB">
      <w:pPr>
        <w:pStyle w:val="BodyText"/>
        <w:spacing w:line="360" w:lineRule="auto"/>
        <w:rPr>
          <w:rFonts w:ascii="Book Antiqua" w:eastAsiaTheme="minorEastAsia" w:hAnsi="Book Antiqua"/>
          <w:b w:val="0"/>
          <w:lang w:eastAsia="zh-CN"/>
        </w:rPr>
      </w:pPr>
      <w:r w:rsidRPr="00664A42">
        <w:rPr>
          <w:rFonts w:ascii="Book Antiqua" w:hAnsi="Book Antiqua"/>
          <w:lang w:val="en-US"/>
        </w:rPr>
        <w:t>Tamas Dinya</w:t>
      </w:r>
      <w:r w:rsidR="00125D0B">
        <w:rPr>
          <w:rFonts w:ascii="Book Antiqua" w:eastAsia="SimSun" w:hAnsi="Book Antiqua" w:hint="eastAsia"/>
          <w:lang w:val="en-US" w:eastAsia="zh-CN"/>
        </w:rPr>
        <w:t>,</w:t>
      </w:r>
      <w:r w:rsidRPr="00664A42">
        <w:rPr>
          <w:rFonts w:ascii="Book Antiqua" w:hAnsi="Book Antiqua"/>
          <w:b w:val="0"/>
          <w:lang w:val="en-US"/>
        </w:rPr>
        <w:t xml:space="preserve"> </w:t>
      </w:r>
      <w:r w:rsidRPr="00664A42">
        <w:rPr>
          <w:rFonts w:ascii="Book Antiqua" w:hAnsi="Book Antiqua"/>
          <w:b w:val="0"/>
        </w:rPr>
        <w:t>Institute of Surgery, University of Debrecen, Faculty of Medicine, H-4032 Debrecen, Hungary</w:t>
      </w:r>
    </w:p>
    <w:p w:rsidR="00162D5F" w:rsidRPr="00664A42" w:rsidRDefault="00162D5F" w:rsidP="003B01FB">
      <w:pPr>
        <w:pStyle w:val="BodyText"/>
        <w:spacing w:line="360" w:lineRule="auto"/>
        <w:rPr>
          <w:rFonts w:ascii="Book Antiqua" w:eastAsiaTheme="minorEastAsia" w:hAnsi="Book Antiqua"/>
          <w:b w:val="0"/>
          <w:lang w:eastAsia="zh-CN"/>
        </w:rPr>
      </w:pPr>
    </w:p>
    <w:p w:rsidR="000A103F" w:rsidRPr="00664A42" w:rsidRDefault="000A103F" w:rsidP="003B01FB">
      <w:pPr>
        <w:pStyle w:val="BodyText"/>
        <w:spacing w:line="360" w:lineRule="auto"/>
        <w:rPr>
          <w:rFonts w:ascii="Book Antiqua" w:hAnsi="Book Antiqua"/>
          <w:b w:val="0"/>
          <w:lang w:val="en-US"/>
        </w:rPr>
      </w:pPr>
      <w:r w:rsidRPr="00664A42">
        <w:rPr>
          <w:rFonts w:ascii="Book Antiqua" w:hAnsi="Book Antiqua"/>
        </w:rPr>
        <w:t xml:space="preserve">Andrea Sumegi </w:t>
      </w:r>
      <w:r w:rsidRPr="00664A42">
        <w:rPr>
          <w:rFonts w:ascii="Book Antiqua" w:eastAsiaTheme="minorEastAsia" w:hAnsi="Book Antiqua"/>
          <w:b w:val="0"/>
          <w:lang w:eastAsia="en-US"/>
        </w:rPr>
        <w:t xml:space="preserve">Vascular Biology, Thrombosis and Haemostasis Research Group, Hungarian Academy of Sciences, </w:t>
      </w:r>
      <w:r w:rsidRPr="00664A42">
        <w:rPr>
          <w:rFonts w:ascii="Book Antiqua" w:hAnsi="Book Antiqua"/>
          <w:b w:val="0"/>
        </w:rPr>
        <w:t>H-4032 Debrecen, Hungary</w:t>
      </w:r>
    </w:p>
    <w:p w:rsidR="000A103F" w:rsidRPr="00664A42" w:rsidRDefault="000A103F" w:rsidP="003B01FB">
      <w:pPr>
        <w:autoSpaceDE w:val="0"/>
        <w:autoSpaceDN w:val="0"/>
        <w:adjustRightInd w:val="0"/>
        <w:spacing w:line="360" w:lineRule="auto"/>
        <w:jc w:val="both"/>
        <w:rPr>
          <w:rFonts w:ascii="Book Antiqua" w:hAnsi="Book Antiqua"/>
          <w:lang w:val="en-US"/>
        </w:rPr>
      </w:pPr>
    </w:p>
    <w:p w:rsidR="00162D5F" w:rsidRPr="00664A42" w:rsidRDefault="000A103F" w:rsidP="003B01FB">
      <w:pPr>
        <w:widowControl w:val="0"/>
        <w:autoSpaceDE w:val="0"/>
        <w:autoSpaceDN w:val="0"/>
        <w:adjustRightInd w:val="0"/>
        <w:spacing w:line="360" w:lineRule="auto"/>
        <w:jc w:val="both"/>
        <w:rPr>
          <w:rFonts w:ascii="Book Antiqua" w:eastAsiaTheme="minorEastAsia" w:hAnsi="Book Antiqua" w:cs="Times"/>
          <w:lang w:val="en-US" w:eastAsia="en-US"/>
        </w:rPr>
      </w:pPr>
      <w:bookmarkStart w:id="17" w:name="OLE_LINK231"/>
      <w:bookmarkStart w:id="18" w:name="OLE_LINK234"/>
      <w:bookmarkStart w:id="19" w:name="OLE_LINK342"/>
      <w:bookmarkStart w:id="20" w:name="OLE_LINK473"/>
      <w:r w:rsidRPr="00664A42">
        <w:rPr>
          <w:rFonts w:ascii="Book Antiqua" w:eastAsia="MS Mincho" w:hAnsi="Book Antiqua"/>
          <w:b/>
          <w:lang w:val="en-US" w:eastAsia="ja-JP"/>
        </w:rPr>
        <w:t>Author</w:t>
      </w:r>
      <w:r w:rsidRPr="00664A42">
        <w:rPr>
          <w:rFonts w:ascii="Book Antiqua" w:eastAsia="MS Mincho" w:hAnsi="Book Antiqua"/>
          <w:b/>
          <w:lang w:eastAsia="ja-JP"/>
        </w:rPr>
        <w:t xml:space="preserve"> contributions:</w:t>
      </w:r>
      <w:r w:rsidRPr="00664A42">
        <w:rPr>
          <w:rFonts w:ascii="Book Antiqua" w:hAnsi="Book Antiqua"/>
        </w:rPr>
        <w:t xml:space="preserve"> Papp M, Tornai I</w:t>
      </w:r>
      <w:r w:rsidR="00162D5F" w:rsidRPr="00664A42">
        <w:rPr>
          <w:rFonts w:ascii="Book Antiqua" w:hAnsi="Book Antiqua"/>
          <w:lang w:eastAsia="zh-CN"/>
        </w:rPr>
        <w:t xml:space="preserve"> and</w:t>
      </w:r>
      <w:r w:rsidRPr="00664A42">
        <w:rPr>
          <w:rFonts w:ascii="Book Antiqua" w:hAnsi="Book Antiqua"/>
        </w:rPr>
        <w:t xml:space="preserve"> Antal-Szamas P designed the study; Tornai T, Tornai D, Vitalis Zs, Dinya T</w:t>
      </w:r>
      <w:r w:rsidR="00162D5F" w:rsidRPr="00664A42">
        <w:rPr>
          <w:rFonts w:ascii="Book Antiqua" w:hAnsi="Book Antiqua"/>
          <w:lang w:eastAsia="zh-CN"/>
        </w:rPr>
        <w:t xml:space="preserve"> and</w:t>
      </w:r>
      <w:r w:rsidRPr="00664A42">
        <w:rPr>
          <w:rFonts w:ascii="Book Antiqua" w:hAnsi="Book Antiqua"/>
        </w:rPr>
        <w:t xml:space="preserve"> Sumegi A performed research; Papp M, Tornai T and Antal-Szalmas P analyzed data; Papp M, Tornai T and Antal-Szalmas P wrote the manuscript.</w:t>
      </w:r>
      <w:bookmarkEnd w:id="17"/>
      <w:bookmarkEnd w:id="18"/>
      <w:bookmarkEnd w:id="19"/>
      <w:bookmarkEnd w:id="20"/>
      <w:r w:rsidRPr="00664A42">
        <w:rPr>
          <w:rFonts w:ascii="Book Antiqua" w:hAnsi="Book Antiqua"/>
          <w:b/>
        </w:rPr>
        <w:t xml:space="preserve"> </w:t>
      </w:r>
      <w:r w:rsidR="00162D5F" w:rsidRPr="00664A42">
        <w:rPr>
          <w:rFonts w:ascii="Book Antiqua" w:hAnsi="Book Antiqua"/>
          <w:lang w:val="en-GB"/>
        </w:rPr>
        <w:t>Papp</w:t>
      </w:r>
      <w:r w:rsidR="00162D5F" w:rsidRPr="00664A42">
        <w:rPr>
          <w:rFonts w:ascii="Book Antiqua" w:hAnsi="Book Antiqua"/>
          <w:lang w:val="en-GB" w:eastAsia="zh-CN"/>
        </w:rPr>
        <w:t xml:space="preserve"> M </w:t>
      </w:r>
      <w:r w:rsidR="00162D5F" w:rsidRPr="00664A42">
        <w:rPr>
          <w:rFonts w:ascii="Book Antiqua" w:eastAsiaTheme="minorEastAsia" w:hAnsi="Book Antiqua"/>
          <w:lang w:val="en-GB" w:eastAsia="zh-CN"/>
        </w:rPr>
        <w:t>and</w:t>
      </w:r>
      <w:r w:rsidR="00162D5F" w:rsidRPr="00664A42">
        <w:rPr>
          <w:rFonts w:ascii="Book Antiqua" w:hAnsi="Book Antiqua"/>
          <w:lang w:val="en-GB" w:eastAsia="zh-CN"/>
        </w:rPr>
        <w:t xml:space="preserve"> </w:t>
      </w:r>
      <w:r w:rsidR="00162D5F" w:rsidRPr="00664A42">
        <w:rPr>
          <w:rFonts w:ascii="Book Antiqua" w:hAnsi="Book Antiqua"/>
          <w:lang w:val="en-GB"/>
        </w:rPr>
        <w:t>Tornai</w:t>
      </w:r>
      <w:r w:rsidR="00162D5F" w:rsidRPr="00664A42">
        <w:rPr>
          <w:rFonts w:ascii="Book Antiqua" w:hAnsi="Book Antiqua"/>
          <w:lang w:val="en-GB" w:eastAsia="zh-CN"/>
        </w:rPr>
        <w:t xml:space="preserve"> T</w:t>
      </w:r>
      <w:r w:rsidR="00162D5F" w:rsidRPr="00664A42">
        <w:rPr>
          <w:rFonts w:ascii="Book Antiqua" w:hAnsi="Book Antiqua"/>
          <w:lang w:val="en-GB"/>
        </w:rPr>
        <w:t xml:space="preserve">, </w:t>
      </w:r>
      <w:r w:rsidR="00162D5F" w:rsidRPr="00664A42">
        <w:rPr>
          <w:rFonts w:ascii="Book Antiqua" w:eastAsiaTheme="minorEastAsia" w:hAnsi="Book Antiqua" w:cs="Times"/>
          <w:lang w:val="en-US" w:eastAsia="en-US"/>
        </w:rPr>
        <w:lastRenderedPageBreak/>
        <w:t>contributed equally to the work and both should be considered as first authors.</w:t>
      </w:r>
    </w:p>
    <w:p w:rsidR="000A103F" w:rsidRPr="00664A42" w:rsidRDefault="000A103F" w:rsidP="003B01FB">
      <w:pPr>
        <w:autoSpaceDE w:val="0"/>
        <w:autoSpaceDN w:val="0"/>
        <w:adjustRightInd w:val="0"/>
        <w:spacing w:line="360" w:lineRule="auto"/>
        <w:jc w:val="both"/>
        <w:rPr>
          <w:rFonts w:ascii="Book Antiqua" w:hAnsi="Book Antiqua"/>
          <w:b/>
          <w:lang w:val="en-US"/>
        </w:rPr>
      </w:pPr>
    </w:p>
    <w:p w:rsidR="000A103F" w:rsidRPr="00664A42" w:rsidRDefault="000A103F" w:rsidP="003B01FB">
      <w:pPr>
        <w:spacing w:line="360" w:lineRule="auto"/>
        <w:jc w:val="both"/>
        <w:rPr>
          <w:rFonts w:ascii="Book Antiqua" w:hAnsi="Book Antiqua"/>
          <w:b/>
        </w:rPr>
      </w:pPr>
      <w:bookmarkStart w:id="21" w:name="OLE_LINK330"/>
      <w:bookmarkStart w:id="22" w:name="OLE_LINK331"/>
      <w:r w:rsidRPr="00664A42">
        <w:rPr>
          <w:rFonts w:ascii="Book Antiqua" w:hAnsi="Book Antiqua"/>
          <w:b/>
        </w:rPr>
        <w:t xml:space="preserve">Supported by </w:t>
      </w:r>
      <w:bookmarkEnd w:id="21"/>
      <w:bookmarkEnd w:id="22"/>
      <w:r w:rsidRPr="00664A42">
        <w:rPr>
          <w:rFonts w:ascii="Book Antiqua" w:hAnsi="Book Antiqua" w:cs="Arial"/>
          <w:lang w:val="en-US"/>
        </w:rPr>
        <w:t>János Bólyai Research Scholarship of Hungarian Academy of Sciences</w:t>
      </w:r>
      <w:r w:rsidR="00162D5F" w:rsidRPr="00664A42">
        <w:rPr>
          <w:rFonts w:ascii="Book Antiqua" w:hAnsi="Book Antiqua" w:cs="Arial"/>
          <w:lang w:val="en-US" w:eastAsia="zh-CN"/>
        </w:rPr>
        <w:t xml:space="preserve">, No. </w:t>
      </w:r>
      <w:r w:rsidRPr="00664A42">
        <w:rPr>
          <w:rFonts w:ascii="Book Antiqua" w:hAnsi="Book Antiqua" w:cs="Arial"/>
          <w:lang w:val="en-US"/>
        </w:rPr>
        <w:t>BO/00426/11</w:t>
      </w:r>
      <w:r w:rsidR="00162D5F" w:rsidRPr="00664A42">
        <w:rPr>
          <w:rFonts w:ascii="Book Antiqua" w:hAnsi="Book Antiqua" w:cs="Arial"/>
          <w:lang w:val="en-US" w:eastAsia="zh-CN"/>
        </w:rPr>
        <w:t>;</w:t>
      </w:r>
      <w:r w:rsidRPr="00664A42">
        <w:rPr>
          <w:rFonts w:ascii="Book Antiqua" w:hAnsi="Book Antiqua" w:cs="Arial"/>
          <w:lang w:val="en-US"/>
        </w:rPr>
        <w:t xml:space="preserve"> </w:t>
      </w:r>
      <w:r w:rsidR="00162D5F" w:rsidRPr="00664A42">
        <w:rPr>
          <w:rFonts w:ascii="Book Antiqua" w:hAnsi="Book Antiqua" w:cs="Arial"/>
          <w:lang w:val="en-US" w:eastAsia="zh-CN"/>
        </w:rPr>
        <w:t xml:space="preserve"> </w:t>
      </w:r>
      <w:r w:rsidRPr="00664A42">
        <w:rPr>
          <w:rFonts w:ascii="Book Antiqua" w:hAnsi="Book Antiqua" w:cs="Arial"/>
          <w:lang w:val="en-US"/>
        </w:rPr>
        <w:t xml:space="preserve"> </w:t>
      </w:r>
      <w:r w:rsidR="00162D5F" w:rsidRPr="00664A42">
        <w:rPr>
          <w:rFonts w:ascii="Book Antiqua" w:hAnsi="Book Antiqua" w:cs="Arial"/>
          <w:lang w:val="en-US"/>
        </w:rPr>
        <w:t>University of Debrecen and Research Grant of National Research</w:t>
      </w:r>
      <w:r w:rsidR="00162D5F" w:rsidRPr="00664A42">
        <w:rPr>
          <w:rFonts w:ascii="Book Antiqua" w:hAnsi="Book Antiqua" w:cs="Arial"/>
          <w:lang w:val="en-US" w:eastAsia="zh-CN"/>
        </w:rPr>
        <w:t xml:space="preserve">, No. </w:t>
      </w:r>
      <w:r w:rsidRPr="00664A42">
        <w:rPr>
          <w:rFonts w:ascii="Book Antiqua" w:hAnsi="Book Antiqua" w:cs="Arial"/>
          <w:lang w:val="en-US"/>
        </w:rPr>
        <w:t>RH/885/2013</w:t>
      </w:r>
      <w:r w:rsidR="00162D5F" w:rsidRPr="00664A42">
        <w:rPr>
          <w:rFonts w:ascii="Book Antiqua" w:hAnsi="Book Antiqua" w:cs="Arial"/>
          <w:lang w:val="en-US" w:eastAsia="zh-CN"/>
        </w:rPr>
        <w:t xml:space="preserve">; </w:t>
      </w:r>
      <w:r w:rsidRPr="00664A42">
        <w:rPr>
          <w:rFonts w:ascii="Book Antiqua" w:hAnsi="Book Antiqua" w:cs="Arial"/>
          <w:lang w:val="en-US"/>
        </w:rPr>
        <w:t>Development and Innovation Office</w:t>
      </w:r>
      <w:r w:rsidR="00162D5F" w:rsidRPr="00664A42">
        <w:rPr>
          <w:rFonts w:ascii="Book Antiqua" w:hAnsi="Book Antiqua" w:cs="Arial"/>
          <w:lang w:val="en-US" w:eastAsia="zh-CN"/>
        </w:rPr>
        <w:t>,</w:t>
      </w:r>
      <w:r w:rsidRPr="00664A42">
        <w:rPr>
          <w:rFonts w:ascii="Book Antiqua" w:hAnsi="Book Antiqua" w:cs="Arial"/>
          <w:lang w:val="en-US"/>
        </w:rPr>
        <w:t xml:space="preserve"> </w:t>
      </w:r>
      <w:r w:rsidR="00162D5F" w:rsidRPr="00664A42">
        <w:rPr>
          <w:rFonts w:ascii="Book Antiqua" w:hAnsi="Book Antiqua" w:cs="Arial"/>
          <w:lang w:val="en-US" w:eastAsia="zh-CN"/>
        </w:rPr>
        <w:t xml:space="preserve">No. </w:t>
      </w:r>
      <w:r w:rsidR="00162D5F" w:rsidRPr="00664A42">
        <w:rPr>
          <w:rFonts w:ascii="Book Antiqua" w:hAnsi="Book Antiqua" w:cs="Arial"/>
          <w:lang w:val="en-US"/>
        </w:rPr>
        <w:t>K115818/2015/1</w:t>
      </w:r>
      <w:r w:rsidRPr="00664A42">
        <w:rPr>
          <w:rFonts w:ascii="Book Antiqua" w:hAnsi="Book Antiqua" w:cs="Arial"/>
          <w:lang w:val="en-US"/>
        </w:rPr>
        <w:t>.</w:t>
      </w:r>
    </w:p>
    <w:p w:rsidR="000A103F" w:rsidRPr="00664A42" w:rsidRDefault="000A103F" w:rsidP="003B01FB">
      <w:pPr>
        <w:autoSpaceDE w:val="0"/>
        <w:autoSpaceDN w:val="0"/>
        <w:adjustRightInd w:val="0"/>
        <w:jc w:val="both"/>
        <w:rPr>
          <w:rFonts w:ascii="Book Antiqua" w:hAnsi="Book Antiqua"/>
          <w:b/>
          <w:lang w:val="en-US"/>
        </w:rPr>
      </w:pPr>
    </w:p>
    <w:p w:rsidR="000A103F" w:rsidRPr="00664A42" w:rsidRDefault="00162D5F" w:rsidP="003B01FB">
      <w:pPr>
        <w:spacing w:line="360" w:lineRule="auto"/>
        <w:jc w:val="both"/>
        <w:rPr>
          <w:rFonts w:ascii="Book Antiqua" w:hAnsi="Book Antiqua"/>
        </w:rPr>
      </w:pPr>
      <w:r w:rsidRPr="00664A42">
        <w:rPr>
          <w:rFonts w:ascii="Book Antiqua" w:hAnsi="Book Antiqua"/>
          <w:b/>
        </w:rPr>
        <w:t>Institutional review board statement</w:t>
      </w:r>
      <w:r w:rsidRPr="00664A42">
        <w:rPr>
          <w:rFonts w:ascii="Book Antiqua" w:eastAsiaTheme="minorEastAsia" w:hAnsi="Book Antiqua"/>
          <w:b/>
          <w:lang w:eastAsia="zh-CN"/>
        </w:rPr>
        <w:t xml:space="preserve">: </w:t>
      </w:r>
      <w:r w:rsidR="000A103F" w:rsidRPr="00664A42">
        <w:rPr>
          <w:rFonts w:ascii="Book Antiqua" w:hAnsi="Book Antiqua"/>
          <w:bCs/>
          <w:iCs/>
        </w:rPr>
        <w:t>The study was reviewed and approved by the Hungarian National Review Board and the Institutional Review Board of the University of Debrecen.</w:t>
      </w:r>
    </w:p>
    <w:p w:rsidR="000A103F" w:rsidRPr="00664A42" w:rsidRDefault="000A103F" w:rsidP="003B01FB">
      <w:pPr>
        <w:autoSpaceDE w:val="0"/>
        <w:autoSpaceDN w:val="0"/>
        <w:adjustRightInd w:val="0"/>
        <w:spacing w:line="360" w:lineRule="auto"/>
        <w:jc w:val="both"/>
        <w:rPr>
          <w:rFonts w:ascii="Book Antiqua" w:eastAsia="SimSun" w:hAnsi="Book Antiqua"/>
          <w:b/>
          <w:bCs/>
          <w:iCs/>
          <w:lang w:eastAsia="zh-CN"/>
        </w:rPr>
      </w:pPr>
    </w:p>
    <w:p w:rsidR="000A103F" w:rsidRPr="00664A42" w:rsidRDefault="00162D5F" w:rsidP="003B01FB">
      <w:pPr>
        <w:spacing w:line="360" w:lineRule="auto"/>
        <w:jc w:val="both"/>
        <w:rPr>
          <w:rFonts w:ascii="Book Antiqua" w:hAnsi="Book Antiqua"/>
        </w:rPr>
      </w:pPr>
      <w:r w:rsidRPr="00664A42">
        <w:rPr>
          <w:rFonts w:ascii="Book Antiqua" w:hAnsi="Book Antiqua"/>
          <w:b/>
        </w:rPr>
        <w:t>Informed consent statement</w:t>
      </w:r>
      <w:r w:rsidRPr="00664A42">
        <w:rPr>
          <w:rFonts w:ascii="Book Antiqua" w:eastAsiaTheme="minorEastAsia" w:hAnsi="Book Antiqua"/>
          <w:b/>
          <w:lang w:eastAsia="zh-CN"/>
        </w:rPr>
        <w:t xml:space="preserve">: </w:t>
      </w:r>
      <w:r w:rsidR="000A103F" w:rsidRPr="00664A42">
        <w:rPr>
          <w:rFonts w:ascii="Book Antiqua" w:hAnsi="Book Antiqua"/>
          <w:b/>
          <w:bCs/>
          <w:iCs/>
        </w:rPr>
        <w:t xml:space="preserve"> </w:t>
      </w:r>
      <w:r w:rsidR="000A103F" w:rsidRPr="00664A42">
        <w:rPr>
          <w:rFonts w:ascii="Book Antiqua" w:hAnsi="Book Antiqua"/>
          <w:bCs/>
          <w:iCs/>
        </w:rPr>
        <w:t>All study participants, or their legal guardian, provided informed written consent prior to study enrollment.</w:t>
      </w:r>
    </w:p>
    <w:p w:rsidR="000A103F" w:rsidRPr="00664A42" w:rsidRDefault="000A103F" w:rsidP="003B01FB">
      <w:pPr>
        <w:autoSpaceDE w:val="0"/>
        <w:autoSpaceDN w:val="0"/>
        <w:adjustRightInd w:val="0"/>
        <w:spacing w:line="360" w:lineRule="auto"/>
        <w:jc w:val="both"/>
        <w:rPr>
          <w:rFonts w:ascii="Book Antiqua" w:hAnsi="Book Antiqua" w:cs="TimesNewRomanPS-BoldItalicMT"/>
          <w:b/>
          <w:bCs/>
          <w:iCs/>
        </w:rPr>
      </w:pPr>
    </w:p>
    <w:p w:rsidR="000A103F" w:rsidRPr="00664A42" w:rsidRDefault="00125D0B" w:rsidP="003B01FB">
      <w:pPr>
        <w:autoSpaceDE w:val="0"/>
        <w:autoSpaceDN w:val="0"/>
        <w:adjustRightInd w:val="0"/>
        <w:spacing w:line="360" w:lineRule="auto"/>
        <w:jc w:val="both"/>
        <w:rPr>
          <w:rFonts w:ascii="Book Antiqua" w:eastAsiaTheme="minorEastAsia" w:hAnsi="Book Antiqua"/>
          <w:lang w:eastAsia="zh-CN"/>
        </w:rPr>
      </w:pPr>
      <w:r w:rsidRPr="00125D0B">
        <w:rPr>
          <w:rFonts w:ascii="Book Antiqua" w:hAnsi="Book Antiqua" w:cs="TimesNewRomanPS-BoldItalicMT"/>
          <w:b/>
          <w:bCs/>
          <w:iCs/>
        </w:rPr>
        <w:t>Conflict-of-interest statement:</w:t>
      </w:r>
      <w:r>
        <w:rPr>
          <w:rFonts w:ascii="Book Antiqua" w:hAnsi="Book Antiqua" w:cs="TimesNewRomanPS-BoldItalicMT" w:hint="eastAsia"/>
          <w:b/>
          <w:bCs/>
          <w:iCs/>
          <w:lang w:eastAsia="zh-CN"/>
        </w:rPr>
        <w:t xml:space="preserve"> </w:t>
      </w:r>
      <w:r w:rsidR="00162D5F" w:rsidRPr="00664A42">
        <w:rPr>
          <w:rFonts w:ascii="Book Antiqua" w:hAnsi="Book Antiqua"/>
        </w:rPr>
        <w:t>No potential conflicts of interest relevant to this article were reported.</w:t>
      </w:r>
    </w:p>
    <w:p w:rsidR="00162D5F" w:rsidRPr="00664A42" w:rsidRDefault="00162D5F" w:rsidP="003B01FB">
      <w:pPr>
        <w:autoSpaceDE w:val="0"/>
        <w:autoSpaceDN w:val="0"/>
        <w:adjustRightInd w:val="0"/>
        <w:spacing w:line="360" w:lineRule="auto"/>
        <w:jc w:val="both"/>
        <w:rPr>
          <w:rFonts w:ascii="Book Antiqua" w:eastAsiaTheme="minorEastAsia" w:hAnsi="Book Antiqua" w:cs="TimesNewRomanPS-BoldItalicMT"/>
          <w:b/>
          <w:bCs/>
          <w:iCs/>
          <w:lang w:eastAsia="zh-CN"/>
        </w:rPr>
      </w:pPr>
    </w:p>
    <w:p w:rsidR="00162D5F" w:rsidRPr="00664A42" w:rsidRDefault="00162D5F" w:rsidP="003B01FB">
      <w:pPr>
        <w:autoSpaceDE w:val="0"/>
        <w:autoSpaceDN w:val="0"/>
        <w:adjustRightInd w:val="0"/>
        <w:spacing w:line="360" w:lineRule="auto"/>
        <w:jc w:val="both"/>
        <w:rPr>
          <w:rFonts w:ascii="Book Antiqua" w:hAnsi="Book Antiqua" w:cs="TimesNewRomanPS-BoldItalicMT"/>
          <w:bCs/>
          <w:iCs/>
        </w:rPr>
      </w:pPr>
      <w:bookmarkStart w:id="23" w:name="OLE_LINK589"/>
      <w:bookmarkStart w:id="24" w:name="OLE_LINK590"/>
      <w:r w:rsidRPr="00664A42">
        <w:rPr>
          <w:rFonts w:ascii="Book Antiqua" w:hAnsi="Book Antiqua" w:cs="TimesNewRomanPS-BoldItalicMT"/>
          <w:b/>
          <w:bCs/>
          <w:iCs/>
        </w:rPr>
        <w:t>Data sharing</w:t>
      </w:r>
      <w:r w:rsidRPr="00664A42">
        <w:rPr>
          <w:rFonts w:ascii="Book Antiqua" w:hAnsi="Book Antiqua"/>
          <w:b/>
          <w:bCs/>
          <w:iCs/>
        </w:rPr>
        <w:t xml:space="preserve"> statement</w:t>
      </w:r>
      <w:r w:rsidRPr="00664A42">
        <w:rPr>
          <w:rFonts w:ascii="Book Antiqua" w:hAnsi="Book Antiqua" w:cs="TimesNewRomanPS-BoldItalicMT"/>
          <w:b/>
          <w:bCs/>
          <w:iCs/>
        </w:rPr>
        <w:t>:</w:t>
      </w:r>
      <w:r w:rsidRPr="00664A42">
        <w:rPr>
          <w:rFonts w:ascii="Book Antiqua" w:eastAsiaTheme="minorEastAsia" w:hAnsi="Book Antiqua" w:cs="TimesNewRomanPS-BoldItalicMT"/>
          <w:bCs/>
          <w:iCs/>
          <w:lang w:eastAsia="zh-CN"/>
        </w:rPr>
        <w:t xml:space="preserve"> </w:t>
      </w:r>
      <w:r w:rsidRPr="00664A42">
        <w:rPr>
          <w:rFonts w:ascii="Book Antiqua" w:hAnsi="Book Antiqua"/>
        </w:rPr>
        <w:t>No additional data are available.</w:t>
      </w:r>
    </w:p>
    <w:p w:rsidR="000A103F" w:rsidRPr="00664A42" w:rsidRDefault="000A103F" w:rsidP="003B01FB">
      <w:pPr>
        <w:autoSpaceDE w:val="0"/>
        <w:autoSpaceDN w:val="0"/>
        <w:adjustRightInd w:val="0"/>
        <w:spacing w:line="360" w:lineRule="auto"/>
        <w:jc w:val="both"/>
        <w:rPr>
          <w:rFonts w:ascii="Book Antiqua" w:hAnsi="Book Antiqua"/>
          <w:b/>
        </w:rPr>
      </w:pPr>
    </w:p>
    <w:p w:rsidR="000A103F" w:rsidRPr="00664A42" w:rsidRDefault="000A103F" w:rsidP="003B01FB">
      <w:pPr>
        <w:spacing w:line="360" w:lineRule="auto"/>
        <w:jc w:val="both"/>
        <w:rPr>
          <w:rFonts w:ascii="Book Antiqua" w:hAnsi="Book Antiqua"/>
          <w:b/>
        </w:rPr>
      </w:pPr>
      <w:bookmarkStart w:id="25" w:name="OLE_LINK155"/>
      <w:bookmarkStart w:id="26" w:name="OLE_LINK183"/>
      <w:bookmarkStart w:id="27" w:name="OLE_LINK441"/>
      <w:bookmarkEnd w:id="23"/>
      <w:bookmarkEnd w:id="24"/>
      <w:r w:rsidRPr="00664A42">
        <w:rPr>
          <w:rFonts w:ascii="Book Antiqua" w:hAnsi="Book Antiqua"/>
          <w:b/>
        </w:rPr>
        <w:t xml:space="preserve">Open-Access: </w:t>
      </w:r>
      <w:r w:rsidRPr="00664A42">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bookmarkEnd w:id="26"/>
    <w:bookmarkEnd w:id="27"/>
    <w:p w:rsidR="000A103F" w:rsidRPr="00664A42" w:rsidRDefault="000A103F" w:rsidP="003B01FB">
      <w:pPr>
        <w:spacing w:line="360" w:lineRule="auto"/>
        <w:jc w:val="both"/>
        <w:rPr>
          <w:rFonts w:ascii="Book Antiqua" w:eastAsiaTheme="minorEastAsia" w:hAnsi="Book Antiqua" w:cs="Arial Unicode MS"/>
          <w:lang w:eastAsia="zh-CN"/>
        </w:rPr>
      </w:pPr>
    </w:p>
    <w:p w:rsidR="000A103F" w:rsidRPr="00664A42" w:rsidRDefault="000A103F" w:rsidP="003B01FB">
      <w:pPr>
        <w:spacing w:line="360" w:lineRule="auto"/>
        <w:jc w:val="both"/>
        <w:rPr>
          <w:rFonts w:ascii="Book Antiqua" w:hAnsi="Book Antiqua" w:cs="Arial Unicode MS"/>
        </w:rPr>
      </w:pPr>
      <w:r w:rsidRPr="00664A42">
        <w:rPr>
          <w:rFonts w:ascii="Book Antiqua" w:hAnsi="Book Antiqua" w:cs="Arial Unicode MS"/>
          <w:b/>
        </w:rPr>
        <w:t>Manuscript source:</w:t>
      </w:r>
      <w:r w:rsidRPr="00664A42">
        <w:rPr>
          <w:rFonts w:ascii="Book Antiqua" w:hAnsi="Book Antiqua" w:cs="Arial Unicode MS"/>
        </w:rPr>
        <w:t xml:space="preserve"> Invited manuscript</w:t>
      </w:r>
    </w:p>
    <w:p w:rsidR="000A103F" w:rsidRPr="00664A42" w:rsidRDefault="000A103F" w:rsidP="003B01FB">
      <w:pPr>
        <w:spacing w:line="360" w:lineRule="auto"/>
        <w:jc w:val="both"/>
        <w:rPr>
          <w:rFonts w:ascii="Book Antiqua" w:eastAsia="MS Mincho" w:hAnsi="Book Antiqua"/>
          <w:b/>
          <w:lang w:eastAsia="ja-JP"/>
        </w:rPr>
      </w:pPr>
    </w:p>
    <w:p w:rsidR="00162D5F" w:rsidRPr="003B01FB" w:rsidRDefault="000A103F" w:rsidP="003B01FB">
      <w:pPr>
        <w:spacing w:line="360" w:lineRule="auto"/>
        <w:jc w:val="both"/>
        <w:rPr>
          <w:rFonts w:ascii="Book Antiqua" w:eastAsiaTheme="minorEastAsia" w:hAnsi="Book Antiqua"/>
          <w:lang w:val="en-GB" w:eastAsia="zh-CN"/>
        </w:rPr>
      </w:pPr>
      <w:r w:rsidRPr="00664A42">
        <w:rPr>
          <w:rFonts w:ascii="Book Antiqua" w:hAnsi="Book Antiqua"/>
          <w:b/>
          <w:lang w:val="en-GB"/>
        </w:rPr>
        <w:lastRenderedPageBreak/>
        <w:t>Correspondence to:</w:t>
      </w:r>
      <w:r w:rsidRPr="00664A42">
        <w:rPr>
          <w:rFonts w:ascii="Book Antiqua" w:hAnsi="Book Antiqua"/>
          <w:lang w:val="en-GB"/>
        </w:rPr>
        <w:t xml:space="preserve"> </w:t>
      </w:r>
      <w:r w:rsidR="00162D5F" w:rsidRPr="00664A42">
        <w:rPr>
          <w:rFonts w:ascii="Book Antiqua" w:hAnsi="Book Antiqua"/>
          <w:b/>
          <w:lang w:val="en-GB"/>
        </w:rPr>
        <w:t>Maria Papp, MD, PhD</w:t>
      </w:r>
      <w:r w:rsidRPr="00664A42">
        <w:rPr>
          <w:rFonts w:ascii="Book Antiqua" w:hAnsi="Book Antiqua"/>
          <w:b/>
          <w:lang w:val="en-GB"/>
        </w:rPr>
        <w:t>,</w:t>
      </w:r>
      <w:r w:rsidRPr="00664A42">
        <w:rPr>
          <w:rFonts w:ascii="Book Antiqua" w:hAnsi="Book Antiqua"/>
          <w:lang w:val="en-GB"/>
        </w:rPr>
        <w:t xml:space="preserve"> Institute of Internal Medicine, Department of Gastroenterology, University of Debrecen, Faculty of Medicine,</w:t>
      </w:r>
      <w:r w:rsidRPr="00664A42">
        <w:rPr>
          <w:rFonts w:ascii="Book Antiqua" w:hAnsi="Book Antiqua"/>
          <w:b/>
          <w:lang w:val="en-GB"/>
        </w:rPr>
        <w:t xml:space="preserve"> </w:t>
      </w:r>
      <w:r w:rsidRPr="00664A42">
        <w:rPr>
          <w:rFonts w:ascii="Book Antiqua" w:hAnsi="Book Antiqua"/>
          <w:lang w:val="en-GB"/>
        </w:rPr>
        <w:t>Nagyerdei krt. 98, H-4032 Debrecen, Hungary</w:t>
      </w:r>
      <w:r w:rsidR="00162D5F" w:rsidRPr="00664A42">
        <w:rPr>
          <w:rFonts w:ascii="Book Antiqua" w:hAnsi="Book Antiqua"/>
          <w:lang w:val="en-GB" w:eastAsia="zh-CN"/>
        </w:rPr>
        <w:t>.</w:t>
      </w:r>
      <w:r w:rsidR="00162D5F" w:rsidRPr="003B01FB">
        <w:rPr>
          <w:rFonts w:ascii="Book Antiqua" w:hAnsi="Book Antiqua"/>
          <w:lang w:val="en-GB" w:eastAsia="zh-CN"/>
        </w:rPr>
        <w:t xml:space="preserve"> </w:t>
      </w:r>
      <w:hyperlink r:id="rId7" w:history="1">
        <w:r w:rsidR="00162D5F" w:rsidRPr="003B01FB">
          <w:rPr>
            <w:rStyle w:val="Hyperlink"/>
            <w:rFonts w:ascii="Book Antiqua" w:hAnsi="Book Antiqua"/>
            <w:color w:val="auto"/>
            <w:u w:val="none"/>
            <w:lang w:val="en-GB"/>
          </w:rPr>
          <w:t>papp.maria@med.unideb.hu</w:t>
        </w:r>
      </w:hyperlink>
    </w:p>
    <w:p w:rsidR="000A103F" w:rsidRPr="00664A42" w:rsidRDefault="00162D5F" w:rsidP="003B01FB">
      <w:pPr>
        <w:spacing w:line="360" w:lineRule="auto"/>
        <w:jc w:val="both"/>
        <w:rPr>
          <w:rFonts w:ascii="Book Antiqua" w:eastAsiaTheme="minorEastAsia" w:hAnsi="Book Antiqua"/>
          <w:lang w:val="en-GB" w:eastAsia="zh-CN"/>
        </w:rPr>
      </w:pPr>
      <w:r w:rsidRPr="00664A42">
        <w:rPr>
          <w:rFonts w:ascii="Book Antiqua" w:hAnsi="Book Antiqua"/>
          <w:b/>
          <w:lang w:val="en-GB" w:eastAsia="zh-CN"/>
        </w:rPr>
        <w:t>Telephone</w:t>
      </w:r>
      <w:r w:rsidRPr="00664A42">
        <w:rPr>
          <w:rFonts w:ascii="Book Antiqua" w:hAnsi="Book Antiqua"/>
          <w:lang w:val="en-GB"/>
        </w:rPr>
        <w:t xml:space="preserve">: </w:t>
      </w:r>
      <w:r w:rsidRPr="00664A42">
        <w:rPr>
          <w:rFonts w:ascii="Book Antiqua" w:hAnsi="Book Antiqua"/>
          <w:lang w:val="en-GB" w:eastAsia="zh-CN"/>
        </w:rPr>
        <w:t>+</w:t>
      </w:r>
      <w:r w:rsidRPr="00664A42">
        <w:rPr>
          <w:rFonts w:ascii="Book Antiqua" w:hAnsi="Book Antiqua"/>
          <w:lang w:val="en-GB"/>
        </w:rPr>
        <w:t>36-52-255</w:t>
      </w:r>
      <w:r w:rsidR="000A103F" w:rsidRPr="00664A42">
        <w:rPr>
          <w:rFonts w:ascii="Book Antiqua" w:hAnsi="Book Antiqua"/>
          <w:lang w:val="en-GB"/>
        </w:rPr>
        <w:t>152</w:t>
      </w:r>
      <w:r w:rsidRPr="00664A42">
        <w:rPr>
          <w:rFonts w:ascii="Book Antiqua" w:hAnsi="Book Antiqua"/>
          <w:lang w:val="en-GB" w:eastAsia="zh-CN"/>
        </w:rPr>
        <w:t xml:space="preserve"> </w:t>
      </w:r>
    </w:p>
    <w:p w:rsidR="00162D5F" w:rsidRPr="00664A42" w:rsidRDefault="00162D5F" w:rsidP="003B01FB">
      <w:pPr>
        <w:spacing w:line="360" w:lineRule="auto"/>
        <w:jc w:val="both"/>
        <w:rPr>
          <w:rFonts w:ascii="Book Antiqua" w:eastAsiaTheme="minorEastAsia" w:hAnsi="Book Antiqua"/>
          <w:lang w:val="en-GB" w:eastAsia="zh-CN"/>
        </w:rPr>
      </w:pPr>
      <w:r w:rsidRPr="00664A42">
        <w:rPr>
          <w:rFonts w:ascii="Book Antiqua" w:hAnsi="Book Antiqua"/>
          <w:b/>
          <w:lang w:val="en-GB"/>
        </w:rPr>
        <w:t>Fax</w:t>
      </w:r>
      <w:r w:rsidRPr="00664A42">
        <w:rPr>
          <w:rFonts w:ascii="Book Antiqua" w:hAnsi="Book Antiqua"/>
          <w:lang w:val="en-GB"/>
        </w:rPr>
        <w:t xml:space="preserve">: </w:t>
      </w:r>
      <w:r w:rsidRPr="00664A42">
        <w:rPr>
          <w:rFonts w:ascii="Book Antiqua" w:hAnsi="Book Antiqua"/>
          <w:lang w:val="en-GB" w:eastAsia="zh-CN"/>
        </w:rPr>
        <w:t>+</w:t>
      </w:r>
      <w:r w:rsidRPr="00664A42">
        <w:rPr>
          <w:rFonts w:ascii="Book Antiqua" w:hAnsi="Book Antiqua"/>
          <w:lang w:val="en-GB"/>
        </w:rPr>
        <w:t>36-52-255152</w:t>
      </w:r>
    </w:p>
    <w:p w:rsidR="00162D5F" w:rsidRPr="00664A42" w:rsidRDefault="00162D5F" w:rsidP="003B01FB">
      <w:pPr>
        <w:spacing w:line="360" w:lineRule="auto"/>
        <w:jc w:val="both"/>
        <w:rPr>
          <w:rStyle w:val="Hyperlink"/>
          <w:rFonts w:ascii="Book Antiqua" w:eastAsiaTheme="minorEastAsia" w:hAnsi="Book Antiqua"/>
          <w:color w:val="auto"/>
          <w:lang w:val="en-GB" w:eastAsia="zh-CN"/>
        </w:rPr>
      </w:pPr>
    </w:p>
    <w:p w:rsidR="000A103F" w:rsidRPr="00664A42" w:rsidRDefault="000A103F" w:rsidP="003B01FB">
      <w:pPr>
        <w:spacing w:line="360" w:lineRule="auto"/>
        <w:jc w:val="both"/>
        <w:rPr>
          <w:rFonts w:ascii="Book Antiqua" w:hAnsi="Book Antiqua"/>
          <w:lang w:eastAsia="zh-CN"/>
        </w:rPr>
      </w:pPr>
      <w:bookmarkStart w:id="28" w:name="OLE_LINK476"/>
      <w:bookmarkStart w:id="29" w:name="OLE_LINK477"/>
      <w:bookmarkStart w:id="30" w:name="OLE_LINK117"/>
      <w:bookmarkStart w:id="31" w:name="OLE_LINK528"/>
      <w:bookmarkStart w:id="32" w:name="OLE_LINK557"/>
      <w:r w:rsidRPr="00664A42">
        <w:rPr>
          <w:rFonts w:ascii="Book Antiqua" w:hAnsi="Book Antiqua"/>
          <w:b/>
        </w:rPr>
        <w:t>Received:</w:t>
      </w:r>
      <w:r w:rsidR="00E57C92" w:rsidRPr="00664A42">
        <w:rPr>
          <w:rFonts w:ascii="Book Antiqua" w:hAnsi="Book Antiqua"/>
          <w:lang w:eastAsia="zh-CN"/>
        </w:rPr>
        <w:t xml:space="preserve"> June 28, 2016</w:t>
      </w:r>
    </w:p>
    <w:p w:rsidR="000A103F" w:rsidRPr="00664A42" w:rsidRDefault="000A103F" w:rsidP="003B01FB">
      <w:pPr>
        <w:spacing w:line="360" w:lineRule="auto"/>
        <w:jc w:val="both"/>
        <w:rPr>
          <w:rFonts w:ascii="Book Antiqua" w:hAnsi="Book Antiqua"/>
          <w:b/>
          <w:lang w:eastAsia="zh-CN"/>
        </w:rPr>
      </w:pPr>
      <w:r w:rsidRPr="00664A42">
        <w:rPr>
          <w:rFonts w:ascii="Book Antiqua" w:hAnsi="Book Antiqua"/>
          <w:b/>
        </w:rPr>
        <w:t>Peer-review started:</w:t>
      </w:r>
      <w:r w:rsidR="00E57C92" w:rsidRPr="00664A42">
        <w:rPr>
          <w:rFonts w:ascii="Book Antiqua" w:hAnsi="Book Antiqua"/>
          <w:b/>
          <w:lang w:eastAsia="zh-CN"/>
        </w:rPr>
        <w:t xml:space="preserve"> </w:t>
      </w:r>
      <w:r w:rsidR="00E57C92" w:rsidRPr="00664A42">
        <w:rPr>
          <w:rFonts w:ascii="Book Antiqua" w:hAnsi="Book Antiqua"/>
          <w:lang w:eastAsia="zh-CN"/>
        </w:rPr>
        <w:t>June 29, 2016</w:t>
      </w:r>
    </w:p>
    <w:p w:rsidR="000A103F" w:rsidRPr="00664A42" w:rsidRDefault="000A103F" w:rsidP="003B01FB">
      <w:pPr>
        <w:spacing w:line="360" w:lineRule="auto"/>
        <w:jc w:val="both"/>
        <w:rPr>
          <w:rFonts w:ascii="Book Antiqua" w:hAnsi="Book Antiqua"/>
          <w:lang w:eastAsia="zh-CN"/>
        </w:rPr>
      </w:pPr>
      <w:r w:rsidRPr="00664A42">
        <w:rPr>
          <w:rFonts w:ascii="Book Antiqua" w:hAnsi="Book Antiqua"/>
          <w:b/>
        </w:rPr>
        <w:t>First decision:</w:t>
      </w:r>
      <w:r w:rsidR="00E57C92" w:rsidRPr="00664A42">
        <w:rPr>
          <w:rFonts w:ascii="Book Antiqua" w:hAnsi="Book Antiqua"/>
          <w:b/>
          <w:lang w:eastAsia="zh-CN"/>
        </w:rPr>
        <w:t xml:space="preserve"> </w:t>
      </w:r>
      <w:r w:rsidR="00E57C92" w:rsidRPr="00664A42">
        <w:rPr>
          <w:rFonts w:ascii="Book Antiqua" w:hAnsi="Book Antiqua"/>
          <w:lang w:eastAsia="zh-CN"/>
        </w:rPr>
        <w:t>August 8, 2016</w:t>
      </w:r>
    </w:p>
    <w:p w:rsidR="000A103F" w:rsidRPr="00664A42" w:rsidRDefault="000A103F" w:rsidP="003B01FB">
      <w:pPr>
        <w:spacing w:line="360" w:lineRule="auto"/>
        <w:jc w:val="both"/>
        <w:rPr>
          <w:rFonts w:ascii="Book Antiqua" w:hAnsi="Book Antiqua"/>
          <w:b/>
        </w:rPr>
      </w:pPr>
      <w:r w:rsidRPr="00664A42">
        <w:rPr>
          <w:rFonts w:ascii="Book Antiqua" w:hAnsi="Book Antiqua"/>
          <w:b/>
        </w:rPr>
        <w:t>Revised:</w:t>
      </w:r>
      <w:r w:rsidR="00E57C92" w:rsidRPr="00664A42">
        <w:rPr>
          <w:rFonts w:ascii="Book Antiqua" w:hAnsi="Book Antiqua"/>
          <w:lang w:eastAsia="zh-CN"/>
        </w:rPr>
        <w:t xml:space="preserve"> August 26, 2016</w:t>
      </w:r>
    </w:p>
    <w:p w:rsidR="000A103F" w:rsidRPr="0089422B" w:rsidRDefault="000A103F" w:rsidP="0089422B">
      <w:pPr>
        <w:spacing w:line="360" w:lineRule="auto"/>
        <w:rPr>
          <w:rFonts w:ascii="Book Antiqua" w:hAnsi="Book Antiqua"/>
          <w:color w:val="000000"/>
        </w:rPr>
      </w:pPr>
      <w:r w:rsidRPr="00664A42">
        <w:rPr>
          <w:rFonts w:ascii="Book Antiqua" w:hAnsi="Book Antiqua"/>
          <w:b/>
        </w:rPr>
        <w:t>Accepted:</w:t>
      </w:r>
      <w:r w:rsidR="0089422B" w:rsidRPr="0089422B">
        <w:rPr>
          <w:rFonts w:ascii="Book Antiqua" w:hAnsi="Book Antiqua"/>
          <w:color w:val="000000"/>
        </w:rPr>
        <w:t xml:space="preserve"> </w:t>
      </w:r>
      <w:r w:rsidR="0089422B">
        <w:rPr>
          <w:rFonts w:ascii="Book Antiqua" w:hAnsi="Book Antiqua"/>
          <w:color w:val="000000"/>
        </w:rPr>
        <w:t>September 28, 2016</w:t>
      </w:r>
      <w:bookmarkStart w:id="33" w:name="_GoBack"/>
      <w:bookmarkEnd w:id="33"/>
      <w:r w:rsidRPr="00664A42">
        <w:rPr>
          <w:rFonts w:ascii="Book Antiqua" w:hAnsi="Book Antiqua"/>
          <w:b/>
        </w:rPr>
        <w:t xml:space="preserve">  </w:t>
      </w:r>
    </w:p>
    <w:p w:rsidR="000A103F" w:rsidRPr="00664A42" w:rsidRDefault="000A103F" w:rsidP="003B01FB">
      <w:pPr>
        <w:spacing w:line="360" w:lineRule="auto"/>
        <w:jc w:val="both"/>
        <w:rPr>
          <w:rFonts w:ascii="Book Antiqua" w:hAnsi="Book Antiqua"/>
          <w:b/>
        </w:rPr>
      </w:pPr>
      <w:r w:rsidRPr="00664A42">
        <w:rPr>
          <w:rFonts w:ascii="Book Antiqua" w:hAnsi="Book Antiqua"/>
          <w:b/>
        </w:rPr>
        <w:t>Article in press:</w:t>
      </w:r>
    </w:p>
    <w:p w:rsidR="000A103F" w:rsidRPr="00664A42" w:rsidRDefault="000A103F" w:rsidP="003B01FB">
      <w:pPr>
        <w:spacing w:line="360" w:lineRule="auto"/>
        <w:jc w:val="both"/>
        <w:rPr>
          <w:rFonts w:ascii="Book Antiqua" w:hAnsi="Book Antiqua"/>
          <w:b/>
        </w:rPr>
      </w:pPr>
      <w:r w:rsidRPr="00664A42">
        <w:rPr>
          <w:rFonts w:ascii="Book Antiqua" w:hAnsi="Book Antiqua"/>
          <w:b/>
        </w:rPr>
        <w:t>Published online:</w:t>
      </w:r>
    </w:p>
    <w:bookmarkEnd w:id="28"/>
    <w:bookmarkEnd w:id="29"/>
    <w:bookmarkEnd w:id="30"/>
    <w:bookmarkEnd w:id="31"/>
    <w:bookmarkEnd w:id="32"/>
    <w:p w:rsidR="000A103F" w:rsidRPr="00664A42" w:rsidRDefault="000A103F" w:rsidP="003B01FB">
      <w:pPr>
        <w:spacing w:line="360" w:lineRule="auto"/>
        <w:jc w:val="both"/>
        <w:rPr>
          <w:rFonts w:ascii="Book Antiqua" w:hAnsi="Book Antiqua"/>
          <w:b/>
          <w:lang w:val="en-GB"/>
        </w:rPr>
      </w:pPr>
    </w:p>
    <w:p w:rsidR="000A103F" w:rsidRPr="00664A42" w:rsidRDefault="000A103F" w:rsidP="003B01FB">
      <w:pPr>
        <w:widowControl w:val="0"/>
        <w:autoSpaceDE w:val="0"/>
        <w:autoSpaceDN w:val="0"/>
        <w:adjustRightInd w:val="0"/>
        <w:spacing w:line="360" w:lineRule="auto"/>
        <w:jc w:val="both"/>
        <w:rPr>
          <w:rFonts w:ascii="Book Antiqua" w:hAnsi="Book Antiqua"/>
          <w:b/>
          <w:lang w:val="en-GB"/>
        </w:rPr>
      </w:pPr>
      <w:r w:rsidRPr="00664A42">
        <w:rPr>
          <w:rFonts w:ascii="Book Antiqua" w:hAnsi="Book Antiqua"/>
          <w:b/>
          <w:lang w:val="en-GB"/>
        </w:rPr>
        <w:br w:type="column"/>
      </w:r>
      <w:r w:rsidRPr="00664A42">
        <w:rPr>
          <w:rFonts w:ascii="Book Antiqua" w:hAnsi="Book Antiqua"/>
          <w:b/>
          <w:lang w:val="en-GB"/>
        </w:rPr>
        <w:lastRenderedPageBreak/>
        <w:t>Abstract</w:t>
      </w:r>
    </w:p>
    <w:p w:rsidR="00E57C92"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zh-CN"/>
        </w:rPr>
      </w:pPr>
      <w:r w:rsidRPr="00664A42">
        <w:rPr>
          <w:rFonts w:ascii="Book Antiqua" w:hAnsi="Book Antiqua"/>
          <w:b/>
          <w:i/>
          <w:lang w:val="en-GB"/>
        </w:rPr>
        <w:t>AIM</w:t>
      </w:r>
    </w:p>
    <w:p w:rsidR="000A103F" w:rsidRPr="00664A42" w:rsidRDefault="00E57C92" w:rsidP="003B01FB">
      <w:pPr>
        <w:widowControl w:val="0"/>
        <w:autoSpaceDE w:val="0"/>
        <w:autoSpaceDN w:val="0"/>
        <w:adjustRightInd w:val="0"/>
        <w:spacing w:line="360" w:lineRule="auto"/>
        <w:jc w:val="both"/>
        <w:rPr>
          <w:rFonts w:ascii="Book Antiqua" w:eastAsia="SimSun" w:hAnsi="Book Antiqua" w:cs="Times"/>
          <w:lang w:val="en-US" w:eastAsia="zh-CN"/>
        </w:rPr>
      </w:pPr>
      <w:r w:rsidRPr="00664A42">
        <w:rPr>
          <w:rFonts w:ascii="Book Antiqua" w:eastAsiaTheme="minorEastAsia" w:hAnsi="Book Antiqua" w:cs="Times"/>
          <w:lang w:val="en-US" w:eastAsia="en-US"/>
        </w:rPr>
        <w:t xml:space="preserve">To </w:t>
      </w:r>
      <w:r w:rsidR="000A103F" w:rsidRPr="00664A42">
        <w:rPr>
          <w:rFonts w:ascii="Book Antiqua" w:eastAsiaTheme="minorEastAsia" w:hAnsi="Book Antiqua" w:cs="Times"/>
          <w:lang w:val="en-US" w:eastAsia="en-US"/>
        </w:rPr>
        <w:t xml:space="preserve">evaluate the diagnostic and prognostic value of presepsin in cirrhosis associated bacterial infections. </w:t>
      </w:r>
    </w:p>
    <w:p w:rsidR="000A103F" w:rsidRPr="00664A42" w:rsidRDefault="000A103F" w:rsidP="003B01FB">
      <w:pPr>
        <w:widowControl w:val="0"/>
        <w:autoSpaceDE w:val="0"/>
        <w:autoSpaceDN w:val="0"/>
        <w:adjustRightInd w:val="0"/>
        <w:spacing w:line="360" w:lineRule="auto"/>
        <w:jc w:val="both"/>
        <w:rPr>
          <w:rFonts w:ascii="Book Antiqua" w:eastAsia="SimSun" w:hAnsi="Book Antiqua" w:cs="Times"/>
          <w:lang w:val="en-US" w:eastAsia="zh-CN"/>
        </w:rPr>
      </w:pPr>
    </w:p>
    <w:p w:rsidR="00E57C92" w:rsidRPr="00664A42" w:rsidRDefault="00E57C92" w:rsidP="003B01FB">
      <w:pPr>
        <w:widowControl w:val="0"/>
        <w:autoSpaceDE w:val="0"/>
        <w:autoSpaceDN w:val="0"/>
        <w:adjustRightInd w:val="0"/>
        <w:spacing w:line="360" w:lineRule="auto"/>
        <w:jc w:val="both"/>
        <w:rPr>
          <w:rFonts w:ascii="Book Antiqua" w:eastAsiaTheme="minorEastAsia" w:hAnsi="Book Antiqua"/>
          <w:b/>
          <w:i/>
          <w:lang w:val="en-GB" w:eastAsia="zh-CN"/>
        </w:rPr>
      </w:pPr>
      <w:r w:rsidRPr="00664A42">
        <w:rPr>
          <w:rFonts w:ascii="Book Antiqua" w:hAnsi="Book Antiqua"/>
          <w:b/>
          <w:i/>
          <w:lang w:val="en-GB"/>
        </w:rPr>
        <w:t>METHODS</w:t>
      </w:r>
    </w:p>
    <w:p w:rsidR="000A103F" w:rsidRPr="00664A42" w:rsidRDefault="00E57C92" w:rsidP="003B01FB">
      <w:pPr>
        <w:widowControl w:val="0"/>
        <w:autoSpaceDE w:val="0"/>
        <w:autoSpaceDN w:val="0"/>
        <w:adjustRightInd w:val="0"/>
        <w:spacing w:line="360" w:lineRule="auto"/>
        <w:jc w:val="both"/>
        <w:rPr>
          <w:rFonts w:ascii="Book Antiqua" w:eastAsia="SimSun" w:hAnsi="Book Antiqua"/>
          <w:lang w:val="en-US" w:eastAsia="zh-CN"/>
        </w:rPr>
      </w:pPr>
      <w:r w:rsidRPr="00664A42">
        <w:rPr>
          <w:rFonts w:ascii="Book Antiqua" w:eastAsiaTheme="minorEastAsia" w:hAnsi="Book Antiqua"/>
          <w:lang w:val="en-US" w:eastAsia="en-US"/>
        </w:rPr>
        <w:t>Two hundred and sixteen</w:t>
      </w:r>
      <w:r w:rsidR="000A103F" w:rsidRPr="00664A42">
        <w:rPr>
          <w:rFonts w:ascii="Book Antiqua" w:eastAsiaTheme="minorEastAsia" w:hAnsi="Book Antiqua"/>
          <w:lang w:val="en-US" w:eastAsia="en-US"/>
        </w:rPr>
        <w:t xml:space="preserve"> patients with cirrhosis were enrolled. </w:t>
      </w:r>
      <w:r w:rsidR="000A103F" w:rsidRPr="00664A42">
        <w:rPr>
          <w:rFonts w:ascii="Book Antiqua" w:eastAsiaTheme="minorEastAsia" w:hAnsi="Book Antiqua" w:cs="Times"/>
          <w:lang w:val="en-US" w:eastAsia="en-US"/>
        </w:rPr>
        <w:t xml:space="preserve">At admission, presence of bacterial infections and level of </w:t>
      </w:r>
      <w:r w:rsidR="000A103F" w:rsidRPr="00664A42">
        <w:rPr>
          <w:rFonts w:ascii="Book Antiqua" w:eastAsiaTheme="minorEastAsia" w:hAnsi="Book Antiqua"/>
          <w:lang w:val="en-US" w:eastAsia="en-US"/>
        </w:rPr>
        <w:t xml:space="preserve">plasma presepsin, serum </w:t>
      </w:r>
      <w:r w:rsidR="003B01FB" w:rsidRPr="00664A42">
        <w:rPr>
          <w:rFonts w:ascii="Book Antiqua" w:eastAsiaTheme="minorEastAsia" w:hAnsi="Book Antiqua"/>
          <w:lang w:val="en-GB" w:eastAsia="en-US"/>
        </w:rPr>
        <w:t xml:space="preserve">C-reactive protein (CRP) </w:t>
      </w:r>
      <w:r w:rsidR="000A103F" w:rsidRPr="00664A42">
        <w:rPr>
          <w:rFonts w:ascii="Book Antiqua" w:eastAsiaTheme="minorEastAsia" w:hAnsi="Book Antiqua"/>
          <w:lang w:val="en-US" w:eastAsia="en-US"/>
        </w:rPr>
        <w:t xml:space="preserve">and </w:t>
      </w:r>
      <w:r w:rsidR="003B01FB" w:rsidRPr="00664A42">
        <w:rPr>
          <w:rFonts w:ascii="Book Antiqua" w:eastAsiaTheme="minorEastAsia" w:hAnsi="Book Antiqua"/>
          <w:lang w:val="en-GB" w:eastAsia="en-US"/>
        </w:rPr>
        <w:t>procalcitonin (PCT)</w:t>
      </w:r>
      <w:r w:rsidR="003B01FB">
        <w:rPr>
          <w:rFonts w:ascii="Book Antiqua" w:eastAsiaTheme="minorEastAsia" w:hAnsi="Book Antiqua" w:hint="eastAsia"/>
          <w:lang w:val="en-GB" w:eastAsia="zh-CN"/>
        </w:rPr>
        <w:t xml:space="preserve"> </w:t>
      </w:r>
      <w:r w:rsidR="000A103F" w:rsidRPr="00664A42">
        <w:rPr>
          <w:rFonts w:ascii="Book Antiqua" w:eastAsiaTheme="minorEastAsia" w:hAnsi="Book Antiqua"/>
          <w:lang w:val="en-US" w:eastAsia="en-US"/>
        </w:rPr>
        <w:t xml:space="preserve">were </w:t>
      </w:r>
      <w:r w:rsidR="000A103F" w:rsidRPr="00664A42">
        <w:rPr>
          <w:rFonts w:ascii="Book Antiqua" w:eastAsiaTheme="minorEastAsia" w:hAnsi="Book Antiqua" w:cs="Times"/>
          <w:lang w:val="en-US" w:eastAsia="en-US"/>
        </w:rPr>
        <w:t>evaluated</w:t>
      </w:r>
      <w:r w:rsidR="000A103F" w:rsidRPr="00664A42">
        <w:rPr>
          <w:rFonts w:ascii="Book Antiqua" w:eastAsiaTheme="minorEastAsia" w:hAnsi="Book Antiqua"/>
          <w:lang w:val="en-US" w:eastAsia="en-US"/>
        </w:rPr>
        <w:t xml:space="preserve">. Patients were followed for three months to assess the possible association between presepsin level and short-term mortality. </w:t>
      </w:r>
    </w:p>
    <w:p w:rsidR="000A103F" w:rsidRPr="00664A42" w:rsidRDefault="000A103F" w:rsidP="003B01FB">
      <w:pPr>
        <w:widowControl w:val="0"/>
        <w:autoSpaceDE w:val="0"/>
        <w:autoSpaceDN w:val="0"/>
        <w:adjustRightInd w:val="0"/>
        <w:spacing w:line="360" w:lineRule="auto"/>
        <w:jc w:val="both"/>
        <w:rPr>
          <w:rFonts w:ascii="Book Antiqua" w:eastAsia="SimSun" w:hAnsi="Book Antiqua"/>
          <w:i/>
          <w:lang w:val="en-US" w:eastAsia="zh-CN"/>
        </w:rPr>
      </w:pPr>
    </w:p>
    <w:p w:rsidR="00E57C92" w:rsidRPr="00664A42" w:rsidRDefault="00E57C92" w:rsidP="003B01FB">
      <w:pPr>
        <w:widowControl w:val="0"/>
        <w:autoSpaceDE w:val="0"/>
        <w:autoSpaceDN w:val="0"/>
        <w:adjustRightInd w:val="0"/>
        <w:spacing w:line="360" w:lineRule="auto"/>
        <w:jc w:val="both"/>
        <w:rPr>
          <w:rFonts w:ascii="Book Antiqua" w:eastAsiaTheme="minorEastAsia" w:hAnsi="Book Antiqua"/>
          <w:b/>
          <w:i/>
          <w:lang w:val="en-GB" w:eastAsia="zh-CN"/>
        </w:rPr>
      </w:pPr>
      <w:r w:rsidRPr="00664A42">
        <w:rPr>
          <w:rFonts w:ascii="Book Antiqua" w:hAnsi="Book Antiqua"/>
          <w:b/>
          <w:i/>
          <w:lang w:val="en-GB"/>
        </w:rPr>
        <w:t>RESULTS</w:t>
      </w:r>
    </w:p>
    <w:p w:rsidR="000A103F" w:rsidRPr="00664A42" w:rsidRDefault="00E57C92" w:rsidP="003B01FB">
      <w:pPr>
        <w:widowControl w:val="0"/>
        <w:autoSpaceDE w:val="0"/>
        <w:autoSpaceDN w:val="0"/>
        <w:adjustRightInd w:val="0"/>
        <w:spacing w:line="360" w:lineRule="auto"/>
        <w:jc w:val="both"/>
        <w:rPr>
          <w:rFonts w:ascii="Book Antiqua" w:eastAsia="SimSun" w:hAnsi="Book Antiqua"/>
          <w:lang w:val="en-GB" w:eastAsia="zh-CN"/>
        </w:rPr>
      </w:pPr>
      <w:r w:rsidRPr="00664A42">
        <w:rPr>
          <w:rFonts w:ascii="Book Antiqua" w:hAnsi="Book Antiqua"/>
          <w:lang w:val="en-GB" w:eastAsia="zh-CN"/>
        </w:rPr>
        <w:t>Present</w:t>
      </w:r>
      <w:r w:rsidRPr="00664A42">
        <w:rPr>
          <w:rFonts w:ascii="Book Antiqua" w:hAnsi="Book Antiqua"/>
          <w:b/>
          <w:lang w:val="en-GB" w:eastAsia="zh-CN"/>
        </w:rPr>
        <w:t xml:space="preserve"> </w:t>
      </w:r>
      <w:r w:rsidR="000A103F" w:rsidRPr="00664A42">
        <w:rPr>
          <w:rFonts w:ascii="Book Antiqua" w:eastAsiaTheme="minorEastAsia" w:hAnsi="Book Antiqua" w:cs="Times"/>
          <w:lang w:val="en-US" w:eastAsia="en-US"/>
        </w:rPr>
        <w:t>34.7 of patients had bacterial infection.</w:t>
      </w:r>
      <w:r w:rsidR="000A103F" w:rsidRPr="00664A42">
        <w:rPr>
          <w:rFonts w:ascii="Book Antiqua" w:eastAsiaTheme="minorEastAsia" w:hAnsi="Book Antiqua"/>
          <w:lang w:val="en-US" w:eastAsia="en-US"/>
        </w:rPr>
        <w:t xml:space="preserve"> Presepsin levels were significantly higher in patients with infection than without (median, </w:t>
      </w:r>
      <w:r w:rsidRPr="00664A42">
        <w:rPr>
          <w:rFonts w:ascii="Book Antiqua" w:hAnsi="Book Antiqua"/>
        </w:rPr>
        <w:t xml:space="preserve">1002 </w:t>
      </w:r>
      <w:r w:rsidRPr="00664A42">
        <w:rPr>
          <w:rFonts w:ascii="Book Antiqua" w:hAnsi="Book Antiqua"/>
          <w:i/>
        </w:rPr>
        <w:t>vs</w:t>
      </w:r>
      <w:r w:rsidR="000A103F" w:rsidRPr="00664A42">
        <w:rPr>
          <w:rFonts w:ascii="Book Antiqua" w:hAnsi="Book Antiqua"/>
        </w:rPr>
        <w:t xml:space="preserve"> 477 </w:t>
      </w:r>
      <w:r w:rsidR="000A103F" w:rsidRPr="00664A42">
        <w:rPr>
          <w:rFonts w:ascii="Book Antiqua" w:eastAsiaTheme="minorEastAsia" w:hAnsi="Book Antiqua"/>
          <w:lang w:val="en-US" w:eastAsia="en-US"/>
        </w:rPr>
        <w:t xml:space="preserve">pg/mL, </w:t>
      </w:r>
      <w:r w:rsidRPr="00664A42">
        <w:rPr>
          <w:rFonts w:ascii="Book Antiqua" w:eastAsiaTheme="minorEastAsia" w:hAnsi="Book Antiqua"/>
          <w:i/>
          <w:lang w:val="en-US" w:eastAsia="en-US"/>
        </w:rPr>
        <w:t>P</w:t>
      </w:r>
      <w:r w:rsidRPr="00664A42">
        <w:rPr>
          <w:rFonts w:ascii="Book Antiqua" w:eastAsiaTheme="minorEastAsia" w:hAnsi="Book Antiqua"/>
          <w:lang w:val="en-US" w:eastAsia="zh-CN"/>
        </w:rPr>
        <w:t xml:space="preserve"> </w:t>
      </w:r>
      <w:r w:rsidR="000A103F" w:rsidRPr="00664A42">
        <w:rPr>
          <w:rFonts w:ascii="Book Antiqua" w:eastAsiaTheme="minorEastAsia" w:hAnsi="Book Antiqua"/>
          <w:lang w:val="en-US" w:eastAsia="en-US"/>
        </w:rPr>
        <w:t>&lt;</w:t>
      </w:r>
      <w:r w:rsidRPr="00664A42">
        <w:rPr>
          <w:rFonts w:ascii="Book Antiqua" w:eastAsiaTheme="minorEastAsia" w:hAnsi="Book Antiqua"/>
          <w:lang w:val="en-US" w:eastAsia="zh-CN"/>
        </w:rPr>
        <w:t xml:space="preserve"> </w:t>
      </w:r>
      <w:r w:rsidR="000A103F" w:rsidRPr="00664A42">
        <w:rPr>
          <w:rFonts w:ascii="Book Antiqua" w:eastAsiaTheme="minorEastAsia" w:hAnsi="Book Antiqua"/>
          <w:lang w:val="en-US" w:eastAsia="en-US"/>
        </w:rPr>
        <w:t>0.001), increasing with the severity of infection (organ failure</w:t>
      </w:r>
      <w:r w:rsidRPr="00664A42">
        <w:rPr>
          <w:rFonts w:ascii="Book Antiqua" w:eastAsiaTheme="minorEastAsia" w:hAnsi="Book Antiqua"/>
          <w:lang w:val="en-US" w:eastAsia="zh-CN"/>
        </w:rPr>
        <w:t xml:space="preserve"> </w:t>
      </w:r>
      <w:r w:rsidR="000A103F" w:rsidRPr="00664A42">
        <w:rPr>
          <w:rFonts w:ascii="Book Antiqua" w:eastAsiaTheme="minorEastAsia" w:hAnsi="Book Antiqua"/>
          <w:lang w:val="en-US" w:eastAsia="en-US"/>
        </w:rPr>
        <w:t>[OF]</w:t>
      </w:r>
      <w:r w:rsidR="003B01FB">
        <w:rPr>
          <w:rFonts w:ascii="Book Antiqua" w:eastAsiaTheme="minorEastAsia" w:hAnsi="Book Antiqua"/>
          <w:vertAlign w:val="subscript"/>
          <w:lang w:val="en-US" w:eastAsia="en-US"/>
        </w:rPr>
        <w:t xml:space="preserve">Yes </w:t>
      </w:r>
      <w:r w:rsidR="003B01FB" w:rsidRPr="003B01FB">
        <w:rPr>
          <w:rFonts w:ascii="Book Antiqua" w:eastAsiaTheme="minorEastAsia" w:hAnsi="Book Antiqua"/>
          <w:i/>
          <w:vertAlign w:val="subscript"/>
          <w:lang w:val="en-US" w:eastAsia="en-US"/>
        </w:rPr>
        <w:t>vs</w:t>
      </w:r>
      <w:r w:rsidR="000A103F" w:rsidRPr="00664A42">
        <w:rPr>
          <w:rFonts w:ascii="Book Antiqua" w:eastAsiaTheme="minorEastAsia" w:hAnsi="Book Antiqua"/>
          <w:vertAlign w:val="subscript"/>
          <w:lang w:val="en-US" w:eastAsia="en-US"/>
        </w:rPr>
        <w:t xml:space="preserve"> No</w:t>
      </w:r>
      <w:r w:rsidR="000A103F" w:rsidRPr="00664A42">
        <w:rPr>
          <w:rFonts w:ascii="Book Antiqua" w:eastAsiaTheme="minorEastAsia" w:hAnsi="Book Antiqua"/>
          <w:lang w:val="en-US" w:eastAsia="en-US"/>
        </w:rPr>
        <w:t xml:space="preserve">: 2358 </w:t>
      </w:r>
      <w:r w:rsidRPr="00664A42">
        <w:rPr>
          <w:rFonts w:ascii="Book Antiqua" w:hAnsi="Book Antiqua"/>
          <w:i/>
        </w:rPr>
        <w:t>vs</w:t>
      </w:r>
      <w:r w:rsidR="000A103F" w:rsidRPr="00664A42">
        <w:rPr>
          <w:rFonts w:ascii="Book Antiqua" w:eastAsiaTheme="minorEastAsia" w:hAnsi="Book Antiqua"/>
          <w:lang w:val="en-US" w:eastAsia="en-US"/>
        </w:rPr>
        <w:t xml:space="preserve"> 710 pg/mL, </w:t>
      </w:r>
      <w:r w:rsidRPr="00664A42">
        <w:rPr>
          <w:rFonts w:ascii="Book Antiqua" w:eastAsiaTheme="minorEastAsia" w:hAnsi="Book Antiqua"/>
          <w:i/>
          <w:lang w:val="en-US" w:eastAsia="en-US"/>
        </w:rPr>
        <w:t>P</w:t>
      </w:r>
      <w:r w:rsidRPr="00664A42">
        <w:rPr>
          <w:rFonts w:ascii="Book Antiqua" w:eastAsiaTheme="minorEastAsia" w:hAnsi="Book Antiqua"/>
          <w:lang w:val="en-US" w:eastAsia="en-US"/>
        </w:rPr>
        <w:t xml:space="preserve"> </w:t>
      </w:r>
      <w:r w:rsidR="000A103F" w:rsidRPr="00664A42">
        <w:rPr>
          <w:rFonts w:ascii="Book Antiqua" w:eastAsiaTheme="minorEastAsia" w:hAnsi="Book Antiqua"/>
          <w:lang w:val="en-US" w:eastAsia="en-US"/>
        </w:rPr>
        <w:t>&lt;</w:t>
      </w:r>
      <w:r w:rsidRPr="00664A42">
        <w:rPr>
          <w:rFonts w:ascii="Book Antiqua" w:eastAsiaTheme="minorEastAsia" w:hAnsi="Book Antiqua"/>
          <w:lang w:val="en-US" w:eastAsia="zh-CN"/>
        </w:rPr>
        <w:t xml:space="preserve"> </w:t>
      </w:r>
      <w:r w:rsidR="000A103F" w:rsidRPr="00664A42">
        <w:rPr>
          <w:rFonts w:ascii="Book Antiqua" w:eastAsiaTheme="minorEastAsia" w:hAnsi="Book Antiqua"/>
          <w:lang w:val="en-US" w:eastAsia="en-US"/>
        </w:rPr>
        <w:t xml:space="preserve">0.001). </w:t>
      </w:r>
      <w:r w:rsidR="000A103F" w:rsidRPr="00664A42">
        <w:rPr>
          <w:rFonts w:ascii="Book Antiqua" w:eastAsiaTheme="minorEastAsia" w:hAnsi="Book Antiqua"/>
          <w:lang w:val="en-GB" w:eastAsia="en-US"/>
        </w:rPr>
        <w:t xml:space="preserve">Diagnostic accuracy of presepsin for severe infections was similar to PCT and superior to CRP (AUC-ROC: 0.85, 0.85 and 0.66, respectively, </w:t>
      </w:r>
      <w:r w:rsidRPr="00664A42">
        <w:rPr>
          <w:rFonts w:ascii="Book Antiqua" w:eastAsiaTheme="minorEastAsia" w:hAnsi="Book Antiqua"/>
          <w:i/>
          <w:lang w:val="en-US" w:eastAsia="en-US"/>
        </w:rPr>
        <w:t>P</w:t>
      </w:r>
      <w:r w:rsidRPr="00664A42">
        <w:rPr>
          <w:rFonts w:ascii="Book Antiqua" w:eastAsiaTheme="minorEastAsia" w:hAnsi="Book Antiqua"/>
          <w:lang w:val="en-GB" w:eastAsia="zh-CN"/>
        </w:rPr>
        <w:t xml:space="preserve"> </w:t>
      </w:r>
      <w:r w:rsidR="000A103F" w:rsidRPr="00664A42">
        <w:rPr>
          <w:rFonts w:ascii="Book Antiqua" w:eastAsiaTheme="minorEastAsia" w:hAnsi="Book Antiqua"/>
          <w:lang w:val="en-GB" w:eastAsia="en-US"/>
        </w:rPr>
        <w:t>=</w:t>
      </w:r>
      <w:r w:rsidRPr="00664A42">
        <w:rPr>
          <w:rFonts w:ascii="Book Antiqua" w:eastAsiaTheme="minorEastAsia" w:hAnsi="Book Antiqua"/>
          <w:lang w:val="en-GB" w:eastAsia="zh-CN"/>
        </w:rPr>
        <w:t xml:space="preserve"> </w:t>
      </w:r>
      <w:r w:rsidR="000A103F" w:rsidRPr="00664A42">
        <w:rPr>
          <w:rFonts w:ascii="Book Antiqua" w:eastAsiaTheme="minorEastAsia" w:hAnsi="Book Antiqua"/>
          <w:lang w:val="en-GB" w:eastAsia="en-US"/>
        </w:rPr>
        <w:t xml:space="preserve">NS for presepsin </w:t>
      </w:r>
      <w:r w:rsidRPr="00664A42">
        <w:rPr>
          <w:rFonts w:ascii="Book Antiqua" w:hAnsi="Book Antiqua"/>
          <w:i/>
        </w:rPr>
        <w:t>vs</w:t>
      </w:r>
      <w:r w:rsidR="000A103F" w:rsidRPr="00664A42">
        <w:rPr>
          <w:rFonts w:ascii="Book Antiqua" w:eastAsiaTheme="minorEastAsia" w:hAnsi="Book Antiqua"/>
          <w:lang w:val="en-GB" w:eastAsia="en-US"/>
        </w:rPr>
        <w:t xml:space="preserve"> PCT and </w:t>
      </w:r>
      <w:r w:rsidRPr="00664A42">
        <w:rPr>
          <w:rFonts w:ascii="Book Antiqua" w:eastAsiaTheme="minorEastAsia" w:hAnsi="Book Antiqua"/>
          <w:i/>
          <w:lang w:val="en-US" w:eastAsia="en-US"/>
        </w:rPr>
        <w:t>P</w:t>
      </w:r>
      <w:r w:rsidRPr="00664A42">
        <w:rPr>
          <w:rFonts w:ascii="Book Antiqua" w:eastAsiaTheme="minorEastAsia" w:hAnsi="Book Antiqua"/>
          <w:lang w:val="en-US" w:eastAsia="en-US"/>
        </w:rPr>
        <w:t xml:space="preserve"> </w:t>
      </w:r>
      <w:r w:rsidR="000A103F" w:rsidRPr="00664A42">
        <w:rPr>
          <w:rFonts w:ascii="Book Antiqua" w:eastAsiaTheme="minorEastAsia" w:hAnsi="Book Antiqua"/>
          <w:lang w:val="en-US" w:eastAsia="en-US"/>
        </w:rPr>
        <w:t>&lt;</w:t>
      </w:r>
      <w:r w:rsidRPr="00664A42">
        <w:rPr>
          <w:rFonts w:ascii="Book Antiqua" w:eastAsiaTheme="minorEastAsia" w:hAnsi="Book Antiqua"/>
          <w:lang w:val="en-US" w:eastAsia="zh-CN"/>
        </w:rPr>
        <w:t xml:space="preserve"> </w:t>
      </w:r>
      <w:r w:rsidR="000A103F" w:rsidRPr="00664A42">
        <w:rPr>
          <w:rFonts w:ascii="Book Antiqua" w:eastAsiaTheme="minorEastAsia" w:hAnsi="Book Antiqua"/>
          <w:lang w:val="en-US" w:eastAsia="en-US"/>
        </w:rPr>
        <w:t>0.01</w:t>
      </w:r>
      <w:r w:rsidR="000A103F" w:rsidRPr="00664A42">
        <w:rPr>
          <w:rFonts w:ascii="Book Antiqua" w:eastAsiaTheme="minorEastAsia" w:hAnsi="Book Antiqua"/>
          <w:lang w:val="en-GB" w:eastAsia="en-US"/>
        </w:rPr>
        <w:t xml:space="preserve"> for presepsin </w:t>
      </w:r>
      <w:r w:rsidRPr="00664A42">
        <w:rPr>
          <w:rFonts w:ascii="Book Antiqua" w:hAnsi="Book Antiqua"/>
          <w:i/>
        </w:rPr>
        <w:t>vs</w:t>
      </w:r>
      <w:r w:rsidR="000A103F" w:rsidRPr="00664A42">
        <w:rPr>
          <w:rFonts w:ascii="Book Antiqua" w:eastAsiaTheme="minorEastAsia" w:hAnsi="Book Antiqua"/>
          <w:lang w:val="en-GB" w:eastAsia="en-US"/>
        </w:rPr>
        <w:t xml:space="preserve"> CRP). At the optimal cut-off value of presepsin</w:t>
      </w:r>
      <w:r w:rsidRPr="00664A42">
        <w:rPr>
          <w:rFonts w:ascii="Book Antiqua" w:eastAsiaTheme="minorEastAsia" w:hAnsi="Book Antiqua"/>
          <w:lang w:val="en-GB" w:eastAsia="zh-CN"/>
        </w:rPr>
        <w:t xml:space="preserve"> </w:t>
      </w:r>
      <w:r w:rsidR="000A103F" w:rsidRPr="00664A42">
        <w:rPr>
          <w:rFonts w:ascii="Book Antiqua" w:eastAsia="MS Gothic" w:hAnsi="Book Antiqua"/>
        </w:rPr>
        <w:t>&gt;</w:t>
      </w:r>
      <w:r w:rsidRPr="00664A42">
        <w:rPr>
          <w:rFonts w:ascii="Book Antiqua" w:eastAsia="MS Gothic" w:hAnsi="Book Antiqua"/>
          <w:lang w:eastAsia="zh-CN"/>
        </w:rPr>
        <w:t xml:space="preserve"> </w:t>
      </w:r>
      <w:r w:rsidR="000A103F" w:rsidRPr="00664A42">
        <w:rPr>
          <w:rFonts w:ascii="Book Antiqua" w:eastAsiaTheme="minorEastAsia" w:hAnsi="Book Antiqua"/>
          <w:lang w:val="en-GB" w:eastAsia="en-US"/>
        </w:rPr>
        <w:t xml:space="preserve">1206 pg/mL sensitivity, specificity, </w:t>
      </w:r>
      <w:r w:rsidR="003B01FB">
        <w:rPr>
          <w:rFonts w:ascii="Book Antiqua" w:eastAsiaTheme="minorEastAsia" w:hAnsi="Book Antiqua" w:cs="Times"/>
          <w:lang w:val="en-US" w:eastAsia="en-US"/>
        </w:rPr>
        <w:t>positive predictive values and negative predictive values</w:t>
      </w:r>
      <w:r w:rsidR="000A103F" w:rsidRPr="00664A42">
        <w:rPr>
          <w:rFonts w:ascii="Book Antiqua" w:eastAsiaTheme="minorEastAsia" w:hAnsi="Book Antiqua"/>
          <w:lang w:val="en-GB" w:eastAsia="en-US"/>
        </w:rPr>
        <w:t xml:space="preserve"> were as follows: 87.5%, 74.5%, 61.8% and 92.7%.</w:t>
      </w:r>
      <w:r w:rsidR="000A103F" w:rsidRPr="00664A42">
        <w:rPr>
          <w:rFonts w:ascii="Book Antiqua" w:eastAsiaTheme="minorEastAsia" w:hAnsi="Book Antiqua"/>
          <w:lang w:val="en-US" w:eastAsia="en-US"/>
        </w:rPr>
        <w:t xml:space="preserve"> The accuracy of presepsin, however, </w:t>
      </w:r>
      <w:r w:rsidR="000A103F" w:rsidRPr="00664A42">
        <w:rPr>
          <w:rFonts w:ascii="Book Antiqua" w:eastAsiaTheme="minorEastAsia" w:hAnsi="Book Antiqua" w:cs="Times"/>
          <w:lang w:val="en-US" w:eastAsia="en-US"/>
        </w:rPr>
        <w:t xml:space="preserve">decreased in advanced stage of the disease or in the presence of renal failure, most probably because of the significantly elevated presepsin levels in non-infected patients. </w:t>
      </w:r>
      <w:r w:rsidR="000A103F" w:rsidRPr="00664A42">
        <w:rPr>
          <w:rFonts w:ascii="Book Antiqua" w:hAnsi="Book Antiqua"/>
          <w:lang w:val="en-US"/>
        </w:rPr>
        <w:t xml:space="preserve">28-day mortality rate was higher among patients with </w:t>
      </w:r>
      <w:r w:rsidR="000A103F" w:rsidRPr="00664A42">
        <w:rPr>
          <w:rFonts w:ascii="Book Antiqua" w:eastAsia="MS Gothic" w:hAnsi="Book Antiqua"/>
        </w:rPr>
        <w:t>&gt;</w:t>
      </w:r>
      <w:r w:rsidR="003B01FB">
        <w:rPr>
          <w:rFonts w:ascii="Book Antiqua" w:eastAsia="MS Gothic" w:hAnsi="Book Antiqua" w:hint="eastAsia"/>
          <w:lang w:eastAsia="zh-CN"/>
        </w:rPr>
        <w:t xml:space="preserve"> </w:t>
      </w:r>
      <w:r w:rsidR="000A103F" w:rsidRPr="00664A42">
        <w:rPr>
          <w:rFonts w:ascii="Book Antiqua" w:hAnsi="Book Antiqua"/>
          <w:lang w:val="en-US"/>
        </w:rPr>
        <w:t xml:space="preserve">1277 pg/mL compared to those with </w:t>
      </w:r>
      <w:r w:rsidR="000A103F" w:rsidRPr="00664A42">
        <w:rPr>
          <w:rFonts w:ascii="Book Antiqua" w:eastAsia="MS Gothic" w:hAnsi="Book Antiqua"/>
        </w:rPr>
        <w:t>≤</w:t>
      </w:r>
      <w:r w:rsidRPr="00664A42">
        <w:rPr>
          <w:rFonts w:ascii="Book Antiqua" w:eastAsia="MS Gothic" w:hAnsi="Book Antiqua"/>
          <w:lang w:eastAsia="zh-CN"/>
        </w:rPr>
        <w:t xml:space="preserve"> </w:t>
      </w:r>
      <w:r w:rsidR="000A103F" w:rsidRPr="00664A42">
        <w:rPr>
          <w:rFonts w:ascii="Book Antiqua" w:hAnsi="Book Antiqua"/>
          <w:lang w:val="en-GB"/>
        </w:rPr>
        <w:t xml:space="preserve">1277 pg/mL (46.9% </w:t>
      </w:r>
      <w:r w:rsidRPr="00664A42">
        <w:rPr>
          <w:rFonts w:ascii="Book Antiqua" w:hAnsi="Book Antiqua"/>
          <w:i/>
        </w:rPr>
        <w:t>vs</w:t>
      </w:r>
      <w:r w:rsidR="000A103F" w:rsidRPr="00664A42">
        <w:rPr>
          <w:rFonts w:ascii="Book Antiqua" w:hAnsi="Book Antiqua"/>
          <w:lang w:val="en-GB"/>
        </w:rPr>
        <w:t xml:space="preserve"> 11.6%, </w:t>
      </w:r>
      <w:r w:rsidRPr="00664A42">
        <w:rPr>
          <w:rFonts w:ascii="Book Antiqua" w:eastAsiaTheme="minorEastAsia" w:hAnsi="Book Antiqua"/>
          <w:i/>
          <w:lang w:val="en-US" w:eastAsia="en-US"/>
        </w:rPr>
        <w:t>P</w:t>
      </w:r>
      <w:r w:rsidRPr="00664A42">
        <w:rPr>
          <w:rFonts w:ascii="Book Antiqua" w:eastAsiaTheme="minorEastAsia" w:hAnsi="Book Antiqua"/>
          <w:lang w:val="en-GB" w:eastAsia="zh-CN"/>
        </w:rPr>
        <w:t xml:space="preserve"> </w:t>
      </w:r>
      <w:r w:rsidR="000A103F" w:rsidRPr="00664A42">
        <w:rPr>
          <w:rFonts w:ascii="Book Antiqua" w:eastAsia="MS Gothic" w:hAnsi="Book Antiqua"/>
          <w:lang w:val="en-GB"/>
        </w:rPr>
        <w:t>&lt;</w:t>
      </w:r>
      <w:r w:rsidRPr="00664A42">
        <w:rPr>
          <w:rFonts w:ascii="Book Antiqua" w:eastAsia="MS Gothic" w:hAnsi="Book Antiqua"/>
          <w:lang w:val="en-GB" w:eastAsia="zh-CN"/>
        </w:rPr>
        <w:t xml:space="preserve"> </w:t>
      </w:r>
      <w:r w:rsidR="000A103F" w:rsidRPr="00664A42">
        <w:rPr>
          <w:rFonts w:ascii="Book Antiqua" w:eastAsia="MS Gothic" w:hAnsi="Book Antiqua"/>
          <w:lang w:val="en-GB"/>
        </w:rPr>
        <w:t>0.001</w:t>
      </w:r>
      <w:r w:rsidR="000A103F" w:rsidRPr="00664A42">
        <w:rPr>
          <w:rFonts w:ascii="Book Antiqua" w:hAnsi="Book Antiqua"/>
          <w:lang w:val="en-GB"/>
        </w:rPr>
        <w:t>).</w:t>
      </w:r>
      <w:r w:rsidR="000A103F" w:rsidRPr="00664A42">
        <w:rPr>
          <w:rFonts w:ascii="Book Antiqua" w:eastAsiaTheme="minorEastAsia" w:hAnsi="Book Antiqua"/>
          <w:lang w:val="en-GB" w:eastAsia="en-US"/>
        </w:rPr>
        <w:t xml:space="preserve"> </w:t>
      </w:r>
      <w:r w:rsidR="000A103F" w:rsidRPr="00664A42">
        <w:rPr>
          <w:rFonts w:ascii="Book Antiqua" w:hAnsi="Book Antiqua"/>
          <w:lang w:val="en-GB"/>
        </w:rPr>
        <w:t>In a</w:t>
      </w:r>
      <w:r w:rsidR="000A103F" w:rsidRPr="00664A42">
        <w:rPr>
          <w:rFonts w:ascii="Book Antiqua" w:hAnsi="Book Antiqua"/>
          <w:b/>
          <w:lang w:val="en-GB"/>
        </w:rPr>
        <w:t xml:space="preserve"> </w:t>
      </w:r>
      <w:r w:rsidR="000A103F" w:rsidRPr="00664A42">
        <w:rPr>
          <w:rFonts w:ascii="Book Antiqua" w:hAnsi="Book Antiqua"/>
          <w:lang w:val="en-GB"/>
        </w:rPr>
        <w:t xml:space="preserve">binary logistic regression analysis, however, only PCT </w:t>
      </w:r>
      <w:r w:rsidRPr="00664A42">
        <w:rPr>
          <w:rFonts w:ascii="Book Antiqua" w:hAnsi="Book Antiqua"/>
          <w:lang w:val="en-GB" w:eastAsia="zh-CN"/>
        </w:rPr>
        <w:t>(</w:t>
      </w:r>
      <w:r w:rsidR="000A103F" w:rsidRPr="00664A42">
        <w:rPr>
          <w:rFonts w:ascii="Book Antiqua" w:hAnsi="Book Antiqua"/>
          <w:lang w:val="en-GB"/>
        </w:rPr>
        <w:t>OR</w:t>
      </w:r>
      <w:r w:rsidRPr="00664A42">
        <w:rPr>
          <w:rFonts w:ascii="Book Antiqua" w:hAnsi="Book Antiqua"/>
          <w:lang w:val="en-GB" w:eastAsia="zh-CN"/>
        </w:rPr>
        <w:t xml:space="preserve"> =</w:t>
      </w:r>
      <w:r w:rsidR="000A103F" w:rsidRPr="00664A42">
        <w:rPr>
          <w:rFonts w:ascii="Book Antiqua" w:hAnsi="Book Antiqua"/>
          <w:lang w:val="en-GB"/>
        </w:rPr>
        <w:t xml:space="preserve"> 1.81, 95%CI: 1.09–3.01, </w:t>
      </w:r>
      <w:r w:rsidRPr="00664A42">
        <w:rPr>
          <w:rFonts w:ascii="Book Antiqua" w:eastAsiaTheme="minorEastAsia" w:hAnsi="Book Antiqua"/>
          <w:i/>
          <w:lang w:val="en-US" w:eastAsia="en-US"/>
        </w:rPr>
        <w:t>P</w:t>
      </w:r>
      <w:r w:rsidRPr="00664A42">
        <w:rPr>
          <w:rFonts w:ascii="Book Antiqua" w:hAnsi="Book Antiqua"/>
          <w:lang w:val="en-GB"/>
        </w:rPr>
        <w:t xml:space="preserve"> </w:t>
      </w:r>
      <w:r w:rsidR="000A103F" w:rsidRPr="00664A42">
        <w:rPr>
          <w:rFonts w:ascii="Book Antiqua" w:hAnsi="Book Antiqua"/>
          <w:lang w:val="en-GB"/>
        </w:rPr>
        <w:t>=</w:t>
      </w:r>
      <w:r w:rsidRPr="00664A42">
        <w:rPr>
          <w:rFonts w:ascii="Book Antiqua" w:hAnsi="Book Antiqua"/>
          <w:lang w:val="en-GB" w:eastAsia="zh-CN"/>
        </w:rPr>
        <w:t xml:space="preserve"> </w:t>
      </w:r>
      <w:r w:rsidR="000A103F" w:rsidRPr="00664A42">
        <w:rPr>
          <w:rFonts w:ascii="Book Antiqua" w:hAnsi="Book Antiqua"/>
          <w:lang w:val="en-GB"/>
        </w:rPr>
        <w:t>0.022</w:t>
      </w:r>
      <w:r w:rsidRPr="00664A42">
        <w:rPr>
          <w:rFonts w:ascii="Book Antiqua" w:hAnsi="Book Antiqua"/>
          <w:lang w:val="en-GB" w:eastAsia="zh-CN"/>
        </w:rPr>
        <w:t>)</w:t>
      </w:r>
      <w:r w:rsidR="000A103F" w:rsidRPr="00664A42">
        <w:rPr>
          <w:rFonts w:ascii="Book Antiqua" w:hAnsi="Book Antiqua"/>
          <w:lang w:val="en-GB"/>
        </w:rPr>
        <w:t xml:space="preserve"> but neither presepsin and nor CRP </w:t>
      </w:r>
      <w:r w:rsidR="000A103F" w:rsidRPr="00664A42">
        <w:rPr>
          <w:rFonts w:ascii="Book Antiqua" w:eastAsia="MS Gothic" w:hAnsi="Book Antiqua"/>
          <w:lang w:val="en-GB"/>
        </w:rPr>
        <w:t>were independent risk factor for 28-day mortality after adjusting with MELD score and leukocyte count.</w:t>
      </w:r>
    </w:p>
    <w:p w:rsidR="000A103F" w:rsidRPr="00664A42" w:rsidRDefault="000A103F" w:rsidP="003B01FB">
      <w:pPr>
        <w:widowControl w:val="0"/>
        <w:autoSpaceDE w:val="0"/>
        <w:autoSpaceDN w:val="0"/>
        <w:adjustRightInd w:val="0"/>
        <w:spacing w:line="360" w:lineRule="auto"/>
        <w:jc w:val="both"/>
        <w:rPr>
          <w:rFonts w:ascii="Book Antiqua" w:eastAsia="SimSun" w:hAnsi="Book Antiqua"/>
          <w:lang w:val="en-GB" w:eastAsia="zh-CN"/>
        </w:rPr>
      </w:pPr>
    </w:p>
    <w:p w:rsidR="00E57C92"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zh-CN"/>
        </w:rPr>
      </w:pPr>
      <w:r w:rsidRPr="00664A42">
        <w:rPr>
          <w:rFonts w:ascii="Book Antiqua" w:hAnsi="Book Antiqua"/>
          <w:b/>
          <w:i/>
          <w:lang w:val="en-GB"/>
        </w:rPr>
        <w:lastRenderedPageBreak/>
        <w:t>CONCLUSION</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en-US"/>
        </w:rPr>
      </w:pPr>
      <w:r w:rsidRPr="00664A42">
        <w:rPr>
          <w:rFonts w:ascii="Book Antiqua" w:hAnsi="Book Antiqua"/>
          <w:lang w:val="en-GB"/>
        </w:rPr>
        <w:t xml:space="preserve">Presepsin is a valuable new biomarker for defining severe infections in cirrhosis proving same efficacy as PCT. However, it is not a useful marker of short-term mortality. </w:t>
      </w:r>
    </w:p>
    <w:p w:rsidR="000A103F" w:rsidRPr="00664A42" w:rsidRDefault="000A103F" w:rsidP="003B01FB">
      <w:pPr>
        <w:widowControl w:val="0"/>
        <w:autoSpaceDE w:val="0"/>
        <w:autoSpaceDN w:val="0"/>
        <w:adjustRightInd w:val="0"/>
        <w:spacing w:line="360" w:lineRule="auto"/>
        <w:jc w:val="both"/>
        <w:rPr>
          <w:rFonts w:ascii="Book Antiqua" w:hAnsi="Book Antiqua"/>
          <w:b/>
          <w:lang w:val="en-GB"/>
        </w:rPr>
      </w:pPr>
      <w:bookmarkStart w:id="34" w:name="OLE_LINK55"/>
      <w:bookmarkStart w:id="35" w:name="OLE_LINK56"/>
      <w:bookmarkStart w:id="36" w:name="OLE_LINK105"/>
      <w:bookmarkStart w:id="37" w:name="OLE_LINK116"/>
      <w:bookmarkStart w:id="38" w:name="OLE_LINK89"/>
      <w:bookmarkStart w:id="39" w:name="OLE_LINK489"/>
      <w:bookmarkStart w:id="40" w:name="OLE_LINK490"/>
      <w:bookmarkStart w:id="41" w:name="OLE_LINK101"/>
      <w:bookmarkStart w:id="42" w:name="OLE_LINK107"/>
      <w:bookmarkStart w:id="43" w:name="OLE_LINK412"/>
      <w:bookmarkStart w:id="44" w:name="OLE_LINK413"/>
      <w:bookmarkStart w:id="45" w:name="OLE_LINK434"/>
      <w:bookmarkStart w:id="46" w:name="OLE_LINK442"/>
      <w:bookmarkStart w:id="47" w:name="OLE_LINK504"/>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zh-CN"/>
        </w:rPr>
      </w:pPr>
      <w:r w:rsidRPr="00664A42">
        <w:rPr>
          <w:rFonts w:ascii="Book Antiqua" w:hAnsi="Book Antiqua"/>
          <w:b/>
          <w:lang w:val="en-GB"/>
        </w:rPr>
        <w:t>Key</w:t>
      </w:r>
      <w:r w:rsidR="00E57C92" w:rsidRPr="00664A42">
        <w:rPr>
          <w:rFonts w:ascii="Book Antiqua" w:hAnsi="Book Antiqua"/>
          <w:b/>
          <w:lang w:val="en-GB" w:eastAsia="zh-CN"/>
        </w:rPr>
        <w:t xml:space="preserve"> </w:t>
      </w:r>
      <w:r w:rsidRPr="00664A42">
        <w:rPr>
          <w:rFonts w:ascii="Book Antiqua" w:hAnsi="Book Antiqua"/>
          <w:b/>
          <w:lang w:val="en-GB"/>
        </w:rPr>
        <w:t xml:space="preserve">words: </w:t>
      </w:r>
      <w:r w:rsidR="00E57C92" w:rsidRPr="00664A42">
        <w:rPr>
          <w:rFonts w:ascii="Book Antiqua" w:hAnsi="Book Antiqua"/>
          <w:lang w:val="en-GB"/>
        </w:rPr>
        <w:t>Presepsin</w:t>
      </w:r>
      <w:r w:rsidRPr="00664A42">
        <w:rPr>
          <w:rFonts w:ascii="Book Antiqua" w:hAnsi="Book Antiqua"/>
          <w:lang w:val="en-GB"/>
        </w:rPr>
        <w:t xml:space="preserve">; </w:t>
      </w:r>
      <w:r w:rsidR="00E57C92" w:rsidRPr="00664A42">
        <w:rPr>
          <w:rFonts w:ascii="Book Antiqua" w:hAnsi="Book Antiqua"/>
          <w:lang w:val="en-GB"/>
        </w:rPr>
        <w:t>Cirrhosis</w:t>
      </w:r>
      <w:r w:rsidRPr="00664A42">
        <w:rPr>
          <w:rFonts w:ascii="Book Antiqua" w:hAnsi="Book Antiqua"/>
          <w:lang w:val="en-GB"/>
        </w:rPr>
        <w:t xml:space="preserve">; </w:t>
      </w:r>
      <w:r w:rsidR="00E57C92" w:rsidRPr="00664A42">
        <w:rPr>
          <w:rFonts w:ascii="Book Antiqua" w:hAnsi="Book Antiqua"/>
          <w:lang w:val="en-GB"/>
        </w:rPr>
        <w:t xml:space="preserve">Bacterial </w:t>
      </w:r>
      <w:r w:rsidRPr="00664A42">
        <w:rPr>
          <w:rFonts w:ascii="Book Antiqua" w:hAnsi="Book Antiqua"/>
          <w:lang w:val="en-GB"/>
        </w:rPr>
        <w:t>infection;</w:t>
      </w:r>
      <w:r w:rsidRPr="00664A42">
        <w:rPr>
          <w:rFonts w:ascii="Book Antiqua" w:eastAsiaTheme="minorEastAsia" w:hAnsi="Book Antiqua"/>
          <w:lang w:val="en-GB" w:eastAsia="en-US"/>
        </w:rPr>
        <w:t xml:space="preserve"> </w:t>
      </w:r>
      <w:r w:rsidR="00E57C92" w:rsidRPr="00664A42">
        <w:rPr>
          <w:rFonts w:ascii="Book Antiqua" w:eastAsiaTheme="minorEastAsia" w:hAnsi="Book Antiqua"/>
          <w:lang w:val="en-GB" w:eastAsia="en-US"/>
        </w:rPr>
        <w:t xml:space="preserve">Organ </w:t>
      </w:r>
      <w:r w:rsidRPr="00664A42">
        <w:rPr>
          <w:rFonts w:ascii="Book Antiqua" w:eastAsiaTheme="minorEastAsia" w:hAnsi="Book Antiqua"/>
          <w:lang w:val="en-GB" w:eastAsia="en-US"/>
        </w:rPr>
        <w:t>failure</w:t>
      </w:r>
      <w:r w:rsidRPr="00664A42">
        <w:rPr>
          <w:rFonts w:ascii="Book Antiqua" w:hAnsi="Book Antiqua"/>
          <w:lang w:val="en-GB"/>
        </w:rPr>
        <w:t xml:space="preserve">; </w:t>
      </w:r>
      <w:r w:rsidR="00E57C92" w:rsidRPr="00664A42">
        <w:rPr>
          <w:rFonts w:ascii="Book Antiqua" w:hAnsi="Book Antiqua"/>
          <w:lang w:val="en-GB"/>
        </w:rPr>
        <w:t>Mortality</w:t>
      </w:r>
    </w:p>
    <w:p w:rsidR="00E57C92" w:rsidRPr="00664A42" w:rsidRDefault="00E57C92" w:rsidP="003B01FB">
      <w:pPr>
        <w:widowControl w:val="0"/>
        <w:autoSpaceDE w:val="0"/>
        <w:autoSpaceDN w:val="0"/>
        <w:adjustRightInd w:val="0"/>
        <w:spacing w:line="360" w:lineRule="auto"/>
        <w:jc w:val="both"/>
        <w:rPr>
          <w:rFonts w:ascii="Book Antiqua" w:eastAsiaTheme="minorEastAsia" w:hAnsi="Book Antiqua"/>
          <w:lang w:val="en-GB" w:eastAsia="zh-CN"/>
        </w:rPr>
      </w:pPr>
    </w:p>
    <w:p w:rsidR="000A103F" w:rsidRPr="00664A42" w:rsidRDefault="000A103F" w:rsidP="003B01FB">
      <w:pPr>
        <w:spacing w:line="360" w:lineRule="auto"/>
        <w:jc w:val="both"/>
        <w:rPr>
          <w:rFonts w:ascii="Book Antiqua" w:hAnsi="Book Antiqua" w:cs="Arial"/>
        </w:rPr>
      </w:pPr>
      <w:r w:rsidRPr="00664A42">
        <w:rPr>
          <w:rFonts w:ascii="Book Antiqua" w:hAnsi="Book Antiqua"/>
          <w:b/>
        </w:rPr>
        <w:t>©</w:t>
      </w:r>
      <w:bookmarkEnd w:id="34"/>
      <w:bookmarkEnd w:id="35"/>
      <w:r w:rsidRPr="00664A42">
        <w:rPr>
          <w:rFonts w:ascii="Book Antiqua" w:hAnsi="Book Antiqua"/>
          <w:b/>
        </w:rPr>
        <w:t xml:space="preserve"> </w:t>
      </w:r>
      <w:r w:rsidRPr="00664A42">
        <w:rPr>
          <w:rFonts w:ascii="Book Antiqua" w:hAnsi="Book Antiqua" w:cs="Arial"/>
          <w:b/>
        </w:rPr>
        <w:t xml:space="preserve">The Author(s) 2016. </w:t>
      </w:r>
      <w:r w:rsidRPr="00664A42">
        <w:rPr>
          <w:rFonts w:ascii="Book Antiqua" w:hAnsi="Book Antiqua" w:cs="Arial"/>
        </w:rPr>
        <w:t>Published by Baishideng Publishing Group Inc. All rights reserved.</w:t>
      </w:r>
    </w:p>
    <w:bookmarkEnd w:id="36"/>
    <w:bookmarkEnd w:id="37"/>
    <w:bookmarkEnd w:id="38"/>
    <w:p w:rsidR="000A103F" w:rsidRPr="00664A42" w:rsidRDefault="000A103F" w:rsidP="003B01FB">
      <w:pPr>
        <w:spacing w:line="360" w:lineRule="auto"/>
        <w:jc w:val="both"/>
        <w:rPr>
          <w:rFonts w:ascii="Book Antiqua" w:hAnsi="Book Antiqua" w:cs="Arial"/>
        </w:rPr>
      </w:pPr>
    </w:p>
    <w:bookmarkEnd w:id="39"/>
    <w:bookmarkEnd w:id="40"/>
    <w:p w:rsidR="000A103F" w:rsidRPr="00664A42" w:rsidRDefault="000A103F" w:rsidP="003B01FB">
      <w:pPr>
        <w:spacing w:line="360" w:lineRule="auto"/>
        <w:jc w:val="both"/>
        <w:rPr>
          <w:rFonts w:ascii="Book Antiqua" w:hAnsi="Book Antiqua" w:cs="Arial Unicode MS"/>
          <w:b/>
        </w:rPr>
      </w:pPr>
      <w:r w:rsidRPr="00664A42">
        <w:rPr>
          <w:rFonts w:ascii="Book Antiqua" w:hAnsi="Book Antiqua" w:cs="Arial Unicode MS"/>
          <w:b/>
        </w:rPr>
        <w:t>Core tip:</w:t>
      </w:r>
      <w:bookmarkEnd w:id="41"/>
      <w:bookmarkEnd w:id="42"/>
      <w:bookmarkEnd w:id="43"/>
      <w:bookmarkEnd w:id="44"/>
      <w:bookmarkEnd w:id="45"/>
      <w:bookmarkEnd w:id="46"/>
      <w:bookmarkEnd w:id="47"/>
      <w:r w:rsidRPr="00664A42">
        <w:rPr>
          <w:rFonts w:ascii="Book Antiqua" w:hAnsi="Book Antiqua" w:cs="Arial Unicode MS"/>
          <w:b/>
        </w:rPr>
        <w:t xml:space="preserve"> </w:t>
      </w:r>
      <w:r w:rsidRPr="00664A42">
        <w:rPr>
          <w:rFonts w:ascii="Book Antiqua" w:eastAsiaTheme="minorEastAsia" w:hAnsi="Book Antiqua"/>
          <w:lang w:val="en-GB" w:eastAsia="en-US"/>
        </w:rPr>
        <w:t xml:space="preserve">C-reactive protein (CRP) and procalcitonin (PCT) </w:t>
      </w:r>
      <w:r w:rsidRPr="00664A42">
        <w:rPr>
          <w:rFonts w:ascii="Book Antiqua" w:hAnsi="Book Antiqua"/>
          <w:lang w:val="en-GB"/>
        </w:rPr>
        <w:t xml:space="preserve">are broadly used in clinical practice to </w:t>
      </w:r>
      <w:r w:rsidRPr="00664A42">
        <w:rPr>
          <w:rFonts w:ascii="Book Antiqua" w:eastAsiaTheme="minorEastAsia" w:hAnsi="Book Antiqua"/>
          <w:lang w:val="en-US" w:eastAsia="en-US"/>
        </w:rPr>
        <w:t xml:space="preserve">aid early diagnosis of bacterial infections, but </w:t>
      </w:r>
      <w:r w:rsidRPr="00664A42">
        <w:rPr>
          <w:rFonts w:ascii="Book Antiqua" w:hAnsi="Book Antiqua"/>
          <w:lang w:val="en-GB"/>
        </w:rPr>
        <w:t xml:space="preserve">they </w:t>
      </w:r>
      <w:r w:rsidRPr="00664A42">
        <w:rPr>
          <w:rFonts w:ascii="Book Antiqua" w:eastAsiaTheme="minorEastAsia" w:hAnsi="Book Antiqua"/>
          <w:lang w:val="en-GB" w:eastAsia="en-US"/>
        </w:rPr>
        <w:t xml:space="preserve">have limitations </w:t>
      </w:r>
      <w:r w:rsidRPr="00664A42">
        <w:rPr>
          <w:rFonts w:ascii="Book Antiqua" w:eastAsiaTheme="minorEastAsia" w:hAnsi="Book Antiqua"/>
          <w:lang w:val="en-US" w:eastAsia="en-US"/>
        </w:rPr>
        <w:t>in cirrhosis</w:t>
      </w:r>
      <w:r w:rsidRPr="00664A42">
        <w:rPr>
          <w:rFonts w:ascii="Book Antiqua" w:hAnsi="Book Antiqua"/>
          <w:lang w:val="en-GB"/>
        </w:rPr>
        <w:t xml:space="preserve">. Additional biomarkers with enhanced accuracy are highly needed. </w:t>
      </w:r>
      <w:r w:rsidRPr="00664A42">
        <w:rPr>
          <w:rFonts w:ascii="Book Antiqua" w:eastAsiaTheme="minorEastAsia" w:hAnsi="Book Antiqua"/>
          <w:lang w:val="en-US" w:eastAsia="en-US"/>
        </w:rPr>
        <w:t xml:space="preserve">Presepsin is a novel biomarker of infection and sepsis, but </w:t>
      </w:r>
      <w:r w:rsidRPr="00664A42">
        <w:rPr>
          <w:rFonts w:ascii="Book Antiqua" w:eastAsiaTheme="minorEastAsia" w:hAnsi="Book Antiqua"/>
          <w:lang w:val="en-GB" w:eastAsia="en-US"/>
        </w:rPr>
        <w:t xml:space="preserve">has not been assessed in cirrhosis so far. In the present study we evaluated the diagnostic and prognostic performance of presepsin in cirrhosis-associated infections </w:t>
      </w:r>
      <w:r w:rsidRPr="00664A42">
        <w:rPr>
          <w:rFonts w:ascii="Book Antiqua" w:eastAsiaTheme="minorEastAsia" w:hAnsi="Book Antiqua" w:cs="Times"/>
          <w:lang w:val="en-US" w:eastAsia="en-US"/>
        </w:rPr>
        <w:t>in comparison with classic acute phase proteins.</w:t>
      </w:r>
      <w:r w:rsidRPr="00664A42">
        <w:rPr>
          <w:rFonts w:ascii="Book Antiqua" w:eastAsiaTheme="minorEastAsia" w:hAnsi="Book Antiqua"/>
          <w:lang w:val="en-GB" w:eastAsia="en-US"/>
        </w:rPr>
        <w:t xml:space="preserve"> Presepsin measurement e</w:t>
      </w:r>
      <w:r w:rsidRPr="00664A42">
        <w:rPr>
          <w:rFonts w:ascii="Book Antiqua" w:hAnsi="Book Antiqua"/>
          <w:lang w:val="en-GB"/>
        </w:rPr>
        <w:t>nhanced diagnostic capacity of CRP and reflected the severity of infections more accurately, with a similar efficacy as PCT. Advanced diseases stage and renal failure limited the diagnostic accuracy. The increase in PCT level but not in presepsin concentration was an independent predictor of short-term mortality during infectious episodes.</w:t>
      </w:r>
    </w:p>
    <w:p w:rsidR="00E57C92" w:rsidRPr="00664A42" w:rsidRDefault="00E57C92" w:rsidP="003B01FB">
      <w:pPr>
        <w:widowControl w:val="0"/>
        <w:autoSpaceDE w:val="0"/>
        <w:autoSpaceDN w:val="0"/>
        <w:adjustRightInd w:val="0"/>
        <w:spacing w:line="360" w:lineRule="auto"/>
        <w:jc w:val="both"/>
        <w:rPr>
          <w:rFonts w:ascii="Book Antiqua" w:eastAsiaTheme="minorEastAsia" w:hAnsi="Book Antiqua"/>
          <w:lang w:val="en-GB" w:eastAsia="zh-CN"/>
        </w:rPr>
      </w:pPr>
    </w:p>
    <w:p w:rsidR="00E57C92" w:rsidRPr="00664A42" w:rsidRDefault="00E57C92" w:rsidP="003B01FB">
      <w:pPr>
        <w:adjustRightInd w:val="0"/>
        <w:snapToGrid w:val="0"/>
        <w:spacing w:line="360" w:lineRule="auto"/>
        <w:jc w:val="both"/>
        <w:rPr>
          <w:rFonts w:ascii="Book Antiqua" w:hAnsi="Book Antiqua"/>
        </w:rPr>
      </w:pPr>
      <w:r w:rsidRPr="00664A42">
        <w:rPr>
          <w:rFonts w:ascii="Book Antiqua" w:hAnsi="Book Antiqua"/>
          <w:lang w:val="en-GB"/>
        </w:rPr>
        <w:t>Papp</w:t>
      </w:r>
      <w:r w:rsidRPr="00664A42">
        <w:rPr>
          <w:rFonts w:ascii="Book Antiqua" w:hAnsi="Book Antiqua"/>
          <w:lang w:eastAsia="zh-CN"/>
        </w:rPr>
        <w:t xml:space="preserve"> M,</w:t>
      </w:r>
      <w:r w:rsidRPr="00664A42">
        <w:rPr>
          <w:rFonts w:ascii="Book Antiqua" w:hAnsi="Book Antiqua"/>
        </w:rPr>
        <w:t xml:space="preserve"> </w:t>
      </w:r>
      <w:r w:rsidRPr="00664A42">
        <w:rPr>
          <w:rFonts w:ascii="Book Antiqua" w:hAnsi="Book Antiqua"/>
          <w:lang w:val="en-GB"/>
        </w:rPr>
        <w:t>Tornai</w:t>
      </w:r>
      <w:r w:rsidRPr="00664A42">
        <w:rPr>
          <w:rFonts w:ascii="Book Antiqua" w:hAnsi="Book Antiqua"/>
          <w:lang w:eastAsia="zh-CN"/>
        </w:rPr>
        <w:t xml:space="preserve"> T, </w:t>
      </w:r>
      <w:r w:rsidRPr="00664A42">
        <w:rPr>
          <w:rFonts w:ascii="Book Antiqua" w:hAnsi="Book Antiqua"/>
          <w:lang w:val="en-GB"/>
        </w:rPr>
        <w:t>Vitalis</w:t>
      </w:r>
      <w:r w:rsidRPr="00664A42">
        <w:rPr>
          <w:rFonts w:ascii="Book Antiqua" w:hAnsi="Book Antiqua"/>
          <w:lang w:eastAsia="zh-CN"/>
        </w:rPr>
        <w:t xml:space="preserve"> Z, </w:t>
      </w:r>
      <w:r w:rsidRPr="00664A42">
        <w:rPr>
          <w:rFonts w:ascii="Book Antiqua" w:hAnsi="Book Antiqua"/>
          <w:lang w:val="en-GB"/>
        </w:rPr>
        <w:t>Tornai</w:t>
      </w:r>
      <w:r w:rsidRPr="00664A42">
        <w:rPr>
          <w:rFonts w:ascii="Book Antiqua" w:hAnsi="Book Antiqua"/>
          <w:lang w:eastAsia="zh-CN"/>
        </w:rPr>
        <w:t xml:space="preserve"> I, </w:t>
      </w:r>
      <w:r w:rsidRPr="00664A42">
        <w:rPr>
          <w:rFonts w:ascii="Book Antiqua" w:hAnsi="Book Antiqua"/>
          <w:lang w:val="en-GB"/>
        </w:rPr>
        <w:t>Tornai</w:t>
      </w:r>
      <w:r w:rsidRPr="00664A42">
        <w:rPr>
          <w:rFonts w:ascii="Book Antiqua" w:hAnsi="Book Antiqua"/>
          <w:lang w:eastAsia="zh-CN"/>
        </w:rPr>
        <w:t xml:space="preserve"> D, </w:t>
      </w:r>
      <w:r w:rsidRPr="00664A42">
        <w:rPr>
          <w:rFonts w:ascii="Book Antiqua" w:hAnsi="Book Antiqua"/>
          <w:lang w:val="en-GB"/>
        </w:rPr>
        <w:t>Dinya</w:t>
      </w:r>
      <w:r w:rsidRPr="00664A42">
        <w:rPr>
          <w:rFonts w:ascii="Book Antiqua" w:hAnsi="Book Antiqua"/>
          <w:lang w:eastAsia="zh-CN"/>
        </w:rPr>
        <w:t xml:space="preserve"> T, </w:t>
      </w:r>
      <w:r w:rsidRPr="00664A42">
        <w:rPr>
          <w:rFonts w:ascii="Book Antiqua" w:hAnsi="Book Antiqua"/>
          <w:lang w:val="en-GB"/>
        </w:rPr>
        <w:t>Sumegi</w:t>
      </w:r>
      <w:r w:rsidRPr="00664A42">
        <w:rPr>
          <w:rFonts w:ascii="Book Antiqua" w:hAnsi="Book Antiqua"/>
          <w:lang w:eastAsia="zh-CN"/>
        </w:rPr>
        <w:t xml:space="preserve"> A, </w:t>
      </w:r>
      <w:r w:rsidRPr="00664A42">
        <w:rPr>
          <w:rFonts w:ascii="Book Antiqua" w:hAnsi="Book Antiqua"/>
          <w:lang w:val="en-GB"/>
        </w:rPr>
        <w:t>Antal-Szalmas</w:t>
      </w:r>
      <w:r w:rsidRPr="00664A42">
        <w:rPr>
          <w:rFonts w:ascii="Book Antiqua" w:hAnsi="Book Antiqua"/>
          <w:lang w:eastAsia="zh-CN"/>
        </w:rPr>
        <w:t xml:space="preserve"> P. Presepsin teardown – pitfalls of biomarkers in the diagnosis and prognosis of bacterial infection in cirrhosis. </w:t>
      </w:r>
      <w:bookmarkStart w:id="48" w:name="OLE_LINK424"/>
      <w:bookmarkStart w:id="49" w:name="OLE_LINK425"/>
      <w:r w:rsidRPr="00664A42">
        <w:rPr>
          <w:rFonts w:ascii="Book Antiqua" w:hAnsi="Book Antiqua"/>
          <w:i/>
        </w:rPr>
        <w:t>World J Gastroenterol</w:t>
      </w:r>
      <w:r w:rsidRPr="00664A42">
        <w:rPr>
          <w:rFonts w:ascii="Book Antiqua" w:hAnsi="Book Antiqua"/>
        </w:rPr>
        <w:t xml:space="preserve"> 2016; </w:t>
      </w:r>
      <w:bookmarkStart w:id="50" w:name="OLE_LINK1689"/>
      <w:bookmarkStart w:id="51" w:name="OLE_LINK1298"/>
      <w:bookmarkStart w:id="52" w:name="OLE_LINK1297"/>
      <w:r w:rsidRPr="00664A42">
        <w:rPr>
          <w:rFonts w:ascii="Book Antiqua" w:hAnsi="Book Antiqua"/>
        </w:rPr>
        <w:t>In press</w:t>
      </w:r>
      <w:bookmarkEnd w:id="50"/>
      <w:bookmarkEnd w:id="51"/>
      <w:bookmarkEnd w:id="52"/>
    </w:p>
    <w:bookmarkEnd w:id="48"/>
    <w:bookmarkEnd w:id="49"/>
    <w:p w:rsidR="00E57C92" w:rsidRPr="00664A42" w:rsidRDefault="00E57C92" w:rsidP="003B01FB">
      <w:pPr>
        <w:pStyle w:val="BodyText"/>
        <w:spacing w:line="360" w:lineRule="auto"/>
        <w:rPr>
          <w:rFonts w:ascii="Book Antiqua" w:hAnsi="Book Antiqua"/>
          <w:b w:val="0"/>
          <w:lang w:eastAsia="zh-CN"/>
        </w:rPr>
      </w:pPr>
    </w:p>
    <w:p w:rsidR="00E57C92" w:rsidRPr="00664A42" w:rsidRDefault="00E57C92" w:rsidP="003B01FB">
      <w:pPr>
        <w:spacing w:after="160" w:line="259" w:lineRule="auto"/>
        <w:jc w:val="both"/>
        <w:rPr>
          <w:rFonts w:ascii="Book Antiqua" w:eastAsiaTheme="minorEastAsia" w:hAnsi="Book Antiqua"/>
          <w:b/>
          <w:lang w:val="en-GB" w:eastAsia="zh-CN"/>
        </w:rPr>
      </w:pPr>
      <w:r w:rsidRPr="00664A42">
        <w:rPr>
          <w:rFonts w:ascii="Book Antiqua" w:eastAsiaTheme="minorEastAsia" w:hAnsi="Book Antiqua"/>
          <w:b/>
          <w:lang w:val="en-GB" w:eastAsia="zh-CN"/>
        </w:rPr>
        <w:br w:type="page"/>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hAnsi="Book Antiqua" w:cs="Arial"/>
          <w:b/>
          <w:lang w:val="en-US"/>
        </w:rPr>
        <w:lastRenderedPageBreak/>
        <w:t>INTRODUCTION</w:t>
      </w:r>
    </w:p>
    <w:p w:rsidR="000A103F" w:rsidRPr="00664A42" w:rsidRDefault="000A103F" w:rsidP="003B01FB">
      <w:pPr>
        <w:spacing w:line="360" w:lineRule="auto"/>
        <w:jc w:val="both"/>
        <w:rPr>
          <w:rFonts w:ascii="Book Antiqua" w:eastAsiaTheme="minorEastAsia" w:hAnsi="Book Antiqua"/>
          <w:lang w:val="en-US" w:eastAsia="en-US"/>
        </w:rPr>
      </w:pPr>
      <w:r w:rsidRPr="00664A42">
        <w:rPr>
          <w:rFonts w:ascii="Book Antiqua" w:eastAsiaTheme="minorEastAsia" w:hAnsi="Book Antiqua"/>
          <w:lang w:val="en-US" w:eastAsia="en-US"/>
        </w:rPr>
        <w:t xml:space="preserve"> Infectious episodes represent particularly important causes of progression of liver failure and the development of liver-related complications</w:t>
      </w:r>
      <w:r w:rsidRPr="00664A42">
        <w:rPr>
          <w:rFonts w:ascii="Book Antiqua" w:eastAsiaTheme="minorEastAsia" w:hAnsi="Book Antiqua"/>
          <w:vertAlign w:val="superscript"/>
          <w:lang w:val="en-US" w:eastAsia="en-US"/>
        </w:rPr>
        <w:fldChar w:fldCharType="begin" w:fldLock="1"/>
      </w:r>
      <w:r w:rsidRPr="00664A42">
        <w:rPr>
          <w:rFonts w:ascii="Book Antiqua" w:eastAsiaTheme="minorEastAsia" w:hAnsi="Book Antiqua"/>
          <w:vertAlign w:val="superscript"/>
          <w:lang w:val="en-US" w:eastAsia="en-US"/>
        </w:rPr>
        <w:instrText>ADDIN CSL_CITATION { "citationItems" : [ { "id" : "ITEM-1", "itemData" : { "DOI" : "10.1016/j.jhep.2014.01.024", "ISSN" : "16000641", "PMID" : "24530646", "abstract" : "Bacterial infections are very common and represent one of the most important reasons of progression of liver failure, development of liver-related complications, and mortality in patients with cirrhosis. In fact, bacterial infections may be a triggering factor for the occurrence of gastrointestinal bleeding, hypervolemic hyponatremia, hepatic encephalopathy, kidney failure, and development of acute-on-chronic liver failure. Moreover, infections are a very common cause of repeated hospitalizations, impaired health-related quality of life, and increased healthcare costs in cirrhosis. Bacterial infections develop as a consequence of immune dysfunction that occurs progressively during the course of cirrhosis. In a significant proportion of patients, infections are caused by gram-negative bacteria from intestinal origin, yet gram-positive bacteria are a frequent cause of infection, particularly in hospitalized patients. In recent years, infections caused by multidrug-resistant bacteria are becoming an important clinical problem in many countries. The reduction of the negative clinical impact of infections in patients with cirrhosis may be achieved by a combination of prophylactic measures, such as administration of antibiotics, to reduce the occurrence of infections in high-risk groups together with early identification and management of infection once it has developed. Investigation on the mechanisms of altered gut microflora, translocation of bacteria, and immune dysfunction may help develop more effective and safe methods of prevention compared to those that are currently available. Moreover, research on biomarkers of early infection may be useful in early diagnosis and treatment of infections. The current manuscript reports an in-depth review and a position statement on bacterial infections in cirrhosis. \u00a9 2014 European Association for the Study of the Liver. Published by Elsevier B.V. All rights reserved.", "author" : [ { "dropping-particle" : "", "family" : "Jalan", "given" : "Rajiv", "non-dropping-particle" : "", "parse-names" : false, "suffix" : "" }, { "dropping-particle" : "", "family" : "Fernandez", "given" : "Javier", "non-dropping-particle" : "", "parse-names" : false, "suffix" : "" }, { "dropping-particle" : "", "family" : "Wiest", "given" : "Reiner", "non-dropping-particle" : "", "parse-names" : false, "suffix" : "" }, { "dropping-particle" : "", "family" : "Schnabl", "given" : "Bernd", "non-dropping-particle" : "", "parse-names" : false, "suffix" : "" }, { "dropping-particle" : "", "family" : "Moreau", "given" : "Richard", "non-dropping-particle" : "", "parse-names" : false, "suffix" : "" }, { "dropping-particle" : "", "family" : "Angeli", "given" : "Paolo", "non-dropping-particle" : "", "parse-names" : false, "suffix" : "" }, { "dropping-particle" : "", "family" : "Stadlbauer", "given" : "Vanessa", "non-dropping-particle" : "", "parse-names" : false, "suffix" : "" }, { "dropping-particle" : "", "family" : "Gustot", "given" : "Thierry", "non-dropping-particle" : "", "parse-names" : false, "suffix" : "" }, { "dropping-particle" : "", "family" : "Bernardi", "given" : "Mauro", "non-dropping-particle" : "", "parse-names" : false, "suffix" : "" }, { "dropping-particle" : "", "family" : "Canton", "given" : "Rafael", "non-dropping-particle" : "", "parse-names" : false, "suffix" : "" }, { "dropping-particle" : "", "family" : "Albillos", "given" : "Agustin", "non-dropping-particle" : "", "parse-names" : false, "suffix" : "" }, { "dropping-particle" : "", "family" : "Lammert", "given" : "Frank", "non-dropping-particle" : "", "parse-names" : false, "suffix" : "" }, { "dropping-particle" : "", "family" : "Wilmer", "given" : "Alexander", "non-dropping-particle" : "", "parse-names" : false, "suffix" : "" }, { "dropping-particle" : "", "family" : "Mookerjee", "given" : "Rajeshwar", "non-dropping-particle" : "", "parse-names" : false, "suffix" : "" }, { "dropping-particle" : "", "family" : "Vila", "given" : "Jordi", "non-dropping-particle" : "", "parse-names" : false, "suffix" : "" }, { "dropping-particle" : "", "family" : "Garcia-Martinez", "given" : "Rita", "non-dropping-particle" : "", "parse-names" : false, "suffix" : "" }, { "dropping-particle" : "", "family" : "Wendon", "given" : "Julia", "non-dropping-particle" : "", "parse-names" : false, "suffix" : "" }, { "dropping-particle" : "", "family" : "Such", "given" : "Jos\u00e9", "non-dropping-particle" : "", "parse-names" : false, "suffix" : "" }, { "dropping-particle" : "", "family" : "Cordoba", "given" : "Juan", "non-dropping-particle" : "", "parse-names" : false, "suffix" : "" }, { "dropping-particle" : "", "family" : "Sanyal", "given" : "Arun", "non-dropping-particle" : "", "parse-names" : false, "suffix" : "" }, { "dropping-particle" : "", "family" : "Garcia-Tsao", "given" : "Guadalupe", "non-dropping-particle" : "", "parse-names" : false, "suffix" : "" }, { "dropping-particle" : "", "family" : "Arroyo", "given" : "Vicente", "non-dropping-particle" : "", "parse-names" : false, "suffix" : "" }, { "dropping-particle" : "", "family" : "Burroughs", "given" : "Andrew", "non-dropping-particle" : "", "parse-names" : false, "suffix" : "" }, { "dropping-particle" : "", "family" : "Gin\u00e8s", "given" : "Pere", "non-dropping-particle" : "", "parse-names" : false, "suffix" : "" } ], "container-title" : "Journal of Hepatology", "id" : "ITEM-1", "issue" : "6", "issued" : { "date-parts" : [ [ "2014" ] ] }, "page" : "1310-1324", "publisher" : "European Association for the Study of the Liver", "title" : "Bacterial infections in cirrhosis: A position statement based on the EASL Special Conference 2013", "type" : "article-journal", "volume" : "60" }, "uris" : [ "http://www.mendeley.com/documents/?uuid=e0c751ab-c0ba-457a-92b1-17aed5b06aab" ] } ], "mendeley" : { "formattedCitation" : "&lt;sup&gt;[1]&lt;/sup&gt;", "plainTextFormattedCitation" : "[1]", "previouslyFormattedCitation" : "&lt;sup&gt;[1]&lt;/sup&gt;" }, "properties" : { "noteIndex" : 0 }, "schema" : "https://github.com/citation-style-language/schema/raw/master/csl-citation.json" }</w:instrText>
      </w:r>
      <w:r w:rsidRPr="00664A42">
        <w:rPr>
          <w:rFonts w:ascii="Book Antiqua" w:eastAsiaTheme="minorEastAsia" w:hAnsi="Book Antiqua"/>
          <w:vertAlign w:val="superscript"/>
          <w:lang w:val="en-US" w:eastAsia="en-US"/>
        </w:rPr>
        <w:fldChar w:fldCharType="separate"/>
      </w:r>
      <w:r w:rsidRPr="00664A42">
        <w:rPr>
          <w:rFonts w:ascii="Book Antiqua" w:eastAsia="SimSun" w:hAnsi="Book Antiqua"/>
          <w:noProof/>
          <w:vertAlign w:val="superscript"/>
          <w:lang w:val="en-US" w:eastAsia="zh-CN"/>
        </w:rPr>
        <w:t>[1]</w:t>
      </w:r>
      <w:r w:rsidRPr="00664A42">
        <w:rPr>
          <w:rFonts w:ascii="Book Antiqua" w:eastAsiaTheme="minorEastAsia" w:hAnsi="Book Antiqua"/>
          <w:vertAlign w:val="superscript"/>
          <w:lang w:val="en-US" w:eastAsia="en-US"/>
        </w:rPr>
        <w:fldChar w:fldCharType="end"/>
      </w:r>
      <w:r w:rsidRPr="00664A42">
        <w:rPr>
          <w:rFonts w:ascii="Book Antiqua" w:eastAsiaTheme="minorEastAsia" w:hAnsi="Book Antiqua"/>
          <w:lang w:val="en-US" w:eastAsia="en-US"/>
        </w:rPr>
        <w:t>. Due to altered sensitivity, the end-organ damaging effect of bacterial infection is greater in cirrhosis and often culminates in newly developed liver and/or extrahepatic organ failures, which is associated with a very high short-term mortality rate</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"10.1002/hep.27077", "ISBN" : "1527-3350", "ISSN" : "15273350", "PMID" : "24677131", "abstract" : "Infections worsen survival in cirrhosis; however, simple predictors of survival in infection-related acute-on-chronic liver failure (I-ACLF) derived from multicenter studies are required in order to improve prognostication and resource allocation. Using the North American Consortium for Study of End-stage Liver Disease (NACSELD) database, data from 18 centers were collected for survival analysis of prospectively enrolled cirrhosis patients hospitalized with an infection. We defined organ failures as 1) shock, 2) grade III/IV hepatic encephalopathy (HE), 3) need for dialysis and mechanical ventilation. Determinants of survival with these organ failures were analyzed. In all, 507 patients were included (55 years, 52% hepatitis C virus [HCV], 15.8% nosocomial infection, 96% Child score \u22657) and 30-day evaluations were available in 453 patients. Urinary tract infection (UTI) (28.5%), and spontaneous bacterial peritonitis (SBP) (22.5%) were the most prevalent infections. During hospitalization, 55.7% developed HE, 17.6% shock, 15.1% required renal replacement, and 15.8% needed ventilation; 23% died within 30 days and 21.6% developed second infections. Admitted patients developed none (38.4%), one (37.3%), two (10.4%), three (10%), or four (4%) organ failures. The 30-day survival worsened with a higher number of extrahepatic organ failures, none (92%), one (72.6%), two (51.3%), three (36%), and all four (23%). I-ACLF was defined as \u22652 organ failures given the significant change in survival probability associated at this cutoff. Baseline independent predictors for development of ACLF were nosocomial infections, Model for Endstage Liver Disease (MELD) score, low mean arterial pressure (MAP), and non-SBP infections. Independent predictors of poor 30-day survival were I-ACLF, second infections, and admission values of high MELD, low MAP, high white blood count, and low albumin. Conclusion: Using multicenter study data in hospitalized decompensated infected cirrhosis patients, I-ACLF defined by the presence of two or more organ failures using simple definitions is predictive of poor survival. (Hepatology 2014).", "author" : [ { "dropping-particle" : "", "family" : "Bajaj", "given" : "Jasmohan S.", "non-dropping-particle" : "", "parse-names" : false, "suffix" : "" }, { "dropping-particle" : "", "family" : "O'Leary", "given" : "Jacqueline G.", "non-dropping-particle" : "", "parse-names" : false, "suffix" : "" }, { "dropping-particle" : "", "family" : "Reddy", "given" : "K. Rajender", "non-dropping-particle" : "", "parse-names" : false, "suffix" : "" }, { "dropping-particle" : "", "family" : "Wong", "given" : "Florence", "non-dropping-particle" : "", "parse-names" : false, "suffix" : "" }, { "dropping-particle" : "", "family" : "Biggins", "given" : "Scott W.", "non-dropping-particle" : "", "parse-names" : false, "suffix" : "" }, { "dropping-particle" : "", "family" : "Patton", "given" : "Heather", "non-dropping-particle" : "", "parse-names" : false, "suffix" : "" }, { "dropping-particle" : "", "family" : "Fallon", "given" : "Michael B.", "non-dropping-particle" : "", "parse-names" : false, "suffix" : "" }, { "dropping-particle" : "", "family" : "Garcia-Tsao", "given" : "Guadalupe", "non-dropping-particle" : "", "parse-names" : false, "suffix" : "" }, { "dropping-particle" : "", "family" : "Maliakkal", "given" : "Benedict", "non-dropping-particle" : "", "parse-names" : false, "suffix" : "" }, { "dropping-particle" : "", "family" : "Malik", "given" : "Raza", "non-dropping-particle" : "", "parse-names" : false, "suffix" : "" }, { "dropping-particle" : "", "family" : "Subramanian", "given" : "Ram M.", "non-dropping-particle" : "", "parse-names" : false, "suffix" : "" }, { "dropping-particle" : "", "family" : "Thacker", "given" : "Leroy R.", "non-dropping-particle" : "", "parse-names" : false, "suffix" : "" }, { "dropping-particle" : "", "family" : "Kamath", "given" : "Patrick S.", "non-dropping-particle" : "", "parse-names" : false, "suffix" : "" } ], "container-title" : "Hepatology", "id" : "ITEM-1", "issue" : "1", "issued" : { "date-parts" : [ [ "2014" ] ] }, "page" : "250-256", "title" : "Survival in infection-related acute-on-chronic liver failure is defined by extrahepatic organ failures", "type" : "article-journal", "volume" : "60" }, "uris" : [ "http://www.mendeley.com/documents/?uuid=84dcce15-3ad1-40ef-8c69-6bcfe61f91f5" ] }, { "id" : "ITEM-2", "itemData" : { "DOI" : "10.1053/j.gastro.2013.02.042", "ISSN" : "1528-0012", "PMID" : "23474284", "abstract" : "BACKGROUND &amp; AIMS: Patients with cirrhosis hospitalized for an acute decompensation (AD) and organ failure are at risk for imminent death and considered to have acute-on-chronic liver failure (ACLF). However, there are no established diagnostic criteria for ACLF, so little is known about its development and progression. We aimed to identify diagnostic criteria of ACLF and describe the development of this syndrome in European patients with AD. METHODS: We collected data from 1343 hospitalized patients with cirrhosis and AD from February to September 2011 at 29 liver units in 8 European countries. We used the organ failure and mortality data to define ACLF grades, assess mortality, and identify differences between ACLF and AD. We established diagnostic criteria for ACLF based on analyses of patients with organ failure (defined by the chronic liver failure-sequential organ failure assessment [CLIF-SOFA] score) and high 28-day mortality rate (&gt;15%). RESULTS: Of the patients assessed, 303 had ACLF when the study began, 112 developed ACLF, and 928 did not have ACLF. The 28-day mortality rate among patients who had ACLF when the study began was 33.9%, among those who developed ACLF was 29.7%, and among those who did not have ACLF was 1.9%. Patients with ACLF were younger and more frequently alcoholic, had more associated bacterial infections, and had higher numbers of leukocytes and higher plasma levels of C-reactive protein than patients without ACLF (P &lt; .001). Higher CLIF-SOFA scores and leukocyte counts were independent predictors of mortality in patients with ACLF. In patients without a prior history of AD, ACLF was unexpectedly characterized by higher numbers of organ failures, leukocyte count, and mortality compared with ACLF in patients with a prior history of AD. CONCLUSIONS: We analyzed data from patients with cirrhosis and AD to establish diagnostic criteria for ACLF and showed that it is distinct from AD, based not only on the presence of organ failure(s) and high mortality rate but also on age, precipitating events, and systemic inflammation. ACLF mortality is associated with loss of organ function and high leukocyte counts. ACLF is especially severe in patients with no prior history of AD.", "author" : [ { "dropping-particle" : "", "family" : "Moreau", "given" : "Richard", "non-dropping-particle" : "", "parse-names" : false, "suffix" : "" }, { "dropping-particle" : "", "family" : "Jalan", "given" : "Rajiv", "non-dropping-particle" : "", "parse-names" : false, "suffix" : "" }, { "dropping-particle" : "", "family" : "Gines", "given" : "Pere", "non-dropping-particle" : "", "parse-names" : false, "suffix" : "" }, { "dropping-particle" : "", "family" : "Pavesi", "given" : "Marco", "non-dropping-particle" : "", "parse-names" : false, "suffix" : "" }, { "dropping-particle" : "", "family" : "Angeli", "given" : "Paolo", "non-dropping-particle" : "", "parse-names" : false, "suffix" : "" }, { "dropping-particle" : "", "family" : "Cordoba", "given" : "Juan", "non-dropping-particle" : "", "parse-names" : false, "suffix" : "" }, { "dropping-particle" : "", "family" : "Durand", "given" : "Francois", "non-dropping-particle" : "", "parse-names" : false, "suffix" : "" }, { "dropping-particle" : "", "family" : "Gustot", "given" : "Thierry", "non-dropping-particle" : "", "parse-names" : false, "suffix" : "" }, { "dropping-particle" : "", "family" : "Saliba", "given" : "Faouzi", "non-dropping-particle" : "", "parse-names" : false, "suffix" : "" }, { "dropping-particle" : "", "family" : "Domenicali", "given" : "Marco", "non-dropping-particle" : "", "parse-names" : false, "suffix" : "" }, { "dropping-particle" : "", "family" : "Gerbes", "given" : "Alexander", "non-dropping-particle" : "", "parse-names" : false, "suffix" : "" }, { "dropping-particle" : "", "family" : "Wendon", "given" : "Julia", "non-dropping-particle" : "", "parse-names" : false, "suffix" : "" }, { "dropping-particle" : "", "family" : "Alessandria", "given" : "Carlo", "non-dropping-particle" : "", "parse-names" : false, "suffix" : "" }, { "dropping-particle" : "", "family" : "Laleman", "given" : "Wim", "non-dropping-particle" : "", "parse-names" : false, "suffix" : "" }, { "dropping-particle" : "", "family" : "Zeuzem", "given" : "Stefan", "non-dropping-particle" : "", "parse-names" : false, "suffix" : "" }, { "dropping-particle" : "", "family" : "Trebicka", "given" : "Jonel", "non-dropping-particle" : "", "parse-names" : false, "suffix" : "" }, { "dropping-particle" : "", "family" : "Bernardi", "given" : "Mauro", "non-dropping-particle" : "", "parse-names" : false, "suffix" : "" }, { "dropping-particle" : "", "family" : "Arroyo", "given" : "Vicente", "non-dropping-particle" : "", "parse-names" : false, "suffix" : "" } ], "container-title" : "Gastroenterology", "id" : "ITEM-2", "issue" : "7", "issued" : { "date-parts" : [ [ "2013", "6" ] ] }, "page" : "1426-1437", "title" : "Acute-on-chronic liver failure is a distinct syndrome that develops in patients with acute decompensation of cirrhosis.", "type" : "article-journal", "volume" : "144" }, "uris" : [ "http://www.mendeley.com/documents/?uuid=73ee534a-42df-4d9a-b950-f6b301f6c0bf" ] } ], "mendeley" : { "formattedCitation" : "&lt;sup&gt;[2,3]&lt;/sup&gt;", "plainTextFormattedCitation" : "[2,3]", "previouslyFormattedCitation" : "&lt;sup&gt;[2,3]&lt;/sup&gt;"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[2,3]</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US" w:eastAsia="en-US"/>
        </w:rPr>
      </w:pPr>
      <w:r w:rsidRPr="00664A42">
        <w:rPr>
          <w:rFonts w:ascii="Book Antiqua" w:eastAsiaTheme="minorEastAsia" w:hAnsi="Book Antiqua"/>
          <w:lang w:val="en-US" w:eastAsia="en-US"/>
        </w:rPr>
        <w:t xml:space="preserve">Early recognition of bacterial infections is essential, however, in the clinical practice their accurate identification is challenging </w:t>
      </w:r>
      <w:r w:rsidRPr="00664A42">
        <w:rPr>
          <w:rFonts w:ascii="Book Antiqua" w:hAnsi="Book Antiqua"/>
          <w:lang w:val="en-GB"/>
        </w:rPr>
        <w:t>from both the clinical</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"10.1136/gut.2004.038679", "ISSN" : "0017-5749 (Print)", "PMID" : "15831923", "abstract" : "Sepsis is a systemic inflammatory response to the presence of infection, mediated via the production of many cytokines, including tumour necrosis factor (TNF-), interleukin (IL)-6, and IL-1, which cause changes in the circulation and in the coagulation cascade. There is stagnation of blood flow and poor oxygenation, subclinical coagulopathy with elevated D-dimers, and increased production of superoxide from nitric oxide synthase. All of these changes favour endothelial apoptosis and necrosis as well as increased oxidant stress. Reduced levels of activated protein C, which is normally anti-inflammatory and antiapoptotic, can lead to further tissue injury. Cirrhotic patients are particularly susceptible to bacterial infections because of increased bacterial translocation, possibly related to liver dysfunction and reduced reticuloendothelial function. Sepsis ensues when there is overactivation of pathways involved in the development of the sepsis syndrome, associated with complications such as renal failure, encephalopathy, gastrointestinal bleed, and shock with decreased survival. Thus the treating physician needs to be vigilant in diagnosing and treating bacterial infections in cirrhosis early, in order to prevent the development and downward spiral of the sepsis syndrome. Recent advances in management strategies of infections in cirrhosis have helped to improve the prognosis of these patients. These include the use of prophylactic antibiotics in patients with gastrointestinal bleed to prevent infection and the use of albumin in patients with spontaneous bacterial peritonitis to reduce the incidence of renal impairment. The use of antibiotics has to be judicious, as their indiscriminate use can lead to antibiotic resistance with potentially disastrous consequences.", "author" : [ { "dropping-particle" : "", "family" : "Wong", "given" : "F", "non-dropping-particle" : "", "parse-names" : false, "suffix" : "" }, { "dropping-particle" : "", "family" : "Bernardi", "given" : "M", "non-dropping-particle" : "", "parse-names" : false, "suffix" : "" }, { "dropping-particle" : "", "family" : "Balk", "given" : "R", "non-dropping-particle" : "", "parse-names" : false, "suffix" : "" }, { "dropping-particle" : "", "family" : "Christman", "given" : "B", "non-dropping-particle" : "", "parse-names" : false, "suffix" : "" }, { "dropping-particle" : "", "family" : "Moreau", "given" : "R", "non-dropping-particle" : "", "parse-names" : false, "suffix" : "" }, { "dropping-particle" : "", "family" : "Garcia-Tsao", "given" : "G", "non-dropping-particle" : "", "parse-names" : false, "suffix" : "" }, { "dropping-particle" : "", "family" : "Patch", "given" : "D", "non-dropping-particle" : "", "parse-names" : false, "suffix" : "" }, { "dropping-particle" : "", "family" : "Soriano", "given" : "G", "non-dropping-particle" : "", "parse-names" : false, "suffix" : "" }, { "dropping-particle" : "", "family" : "Hoefs", "given" : "J", "non-dropping-particle" : "", "parse-names" : false, "suffix" : "" }, { "dropping-particle" : "", "family" : "Navasa", "given" : "M", "non-dropping-particle" : "", "parse-names" : false, "suffix" : "" } ], "container-title" : "Gut", "id" : "ITEM-1", "issue" : "5", "issued" : { "date-parts" : [ [ "2005", "5" ] ] }, "language" : "eng", "page" : "718-725", "publisher-place" : "England", "title" : "Sepsis in cirrhosis: report on the 7th meeting of the International Ascites Club.", "type" : "article-journal", "volume" : "54" }, "uris" : [ "http://www.mendeley.com/documents/?uuid=13262be1-9295-4657-a222-59a047fff79f" ] } ], "mendeley" : { "formattedCitation" : "&lt;sup&gt;[4]&lt;/sup&gt;", "plainTextFormattedCitation" : "[4]", "previouslyFormattedCitation" : "&lt;sup&gt;[4]&lt;/sup&gt;"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[4]</w:t>
      </w:r>
      <w:r w:rsidRPr="00664A42">
        <w:rPr>
          <w:rFonts w:ascii="Book Antiqua" w:hAnsi="Book Antiqua"/>
          <w:lang w:val="en-GB"/>
        </w:rPr>
        <w:fldChar w:fldCharType="end"/>
      </w:r>
      <w:r w:rsidRPr="00664A42">
        <w:rPr>
          <w:rFonts w:ascii="Book Antiqua" w:hAnsi="Book Antiqua"/>
          <w:lang w:val="en-GB"/>
        </w:rPr>
        <w:t xml:space="preserve"> and the laboratory part</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"ISSN" : "1108-7471 (Print)", "PMID" : "24733601", "abstract" : "In the general population, C-reactive protein (CRP) level increases in the presence of acute or chronic inflammation and infections. In patients with cirrhosis, the basal level is higher than in patients without cirrhosis, due to chronic hepatic and other inflammation, but when infection occurs the more severe the underlying liver dysfunction, the lower the increase in CRP. Therefore, the predictive power of CRP for infection and prognosis is weak in patients with decompensated/advanced cirrhosis and in the intensive care setting. However, higher CRP and also persistently elevated CRP levels can help identify patients with a higher short-term risk of mortality.", "author" : [ { "dropping-particle" : "", "family" : "Pieri", "given" : "Giulia", "non-dropping-particle" : "", "parse-names" : false, "suffix" : "" }, { "dropping-particle" : "", "family" : "Agarwal", "given" : "Banwari", "non-dropping-particle" : "", "parse-names" : false, "suffix" : "" }, { "dropping-particle" : "", "family" : "Burroughs", "given" : "Andrew K", "non-dropping-particle" : "", "parse-names" : false, "suffix" : "" } ], "container-title" : "Annals of gastroenterology : quarterly publication of the Hellenic Society of Gastroenterology", "id" : "ITEM-1", "issue" : "2", "issued" : { "date-parts" : [ [ "2014" ] ] }, "language" : "ENG", "page" : "113-120", "title" : "C-reactive protein and bacterial infection in cirrhosis.", "type" : "article", "volume" : "27" }, "uris" : [ "http://www.mendeley.com/documents/?uuid=d5703934-3965-4e03-9df6-3f39d0f25354" ] } ], "mendeley" : { "formattedCitation" : "&lt;sup&gt;[5]&lt;/sup&gt;", "plainTextFormattedCitation" : "[5]", "previouslyFormattedCitation" : "&lt;sup&gt;[5]&lt;/sup&gt;"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[5]</w:t>
      </w:r>
      <w:r w:rsidRPr="00664A42">
        <w:rPr>
          <w:rFonts w:ascii="Book Antiqua" w:hAnsi="Book Antiqua"/>
          <w:lang w:val="en-GB"/>
        </w:rPr>
        <w:fldChar w:fldCharType="end"/>
      </w:r>
      <w:r w:rsidRPr="00664A42">
        <w:rPr>
          <w:rFonts w:ascii="Book Antiqua" w:eastAsiaTheme="minorEastAsia" w:hAnsi="Book Antiqua"/>
          <w:lang w:val="en-US" w:eastAsia="en-US"/>
        </w:rPr>
        <w:t xml:space="preserve">. In cirrhosis, usual clinical presentations lack up to 50% of the bacterial infections and are replaced by non-specific complaints or just revealed by organ dysfunctions. Due to some disease specific characteristics, there is an evident lack of sensitivity and specificity of the conventional laboratory and clinical parameters for the definition of </w:t>
      </w:r>
      <w:r w:rsidRPr="00664A42">
        <w:rPr>
          <w:rFonts w:ascii="Book Antiqua" w:hAnsi="Book Antiqua"/>
          <w:lang w:val="en-GB"/>
        </w:rPr>
        <w:t>systemic inflammatory response (</w:t>
      </w:r>
      <w:r w:rsidRPr="00664A42">
        <w:rPr>
          <w:rFonts w:ascii="Book Antiqua" w:eastAsiaTheme="minorEastAsia" w:hAnsi="Book Antiqua"/>
          <w:lang w:val="en-US" w:eastAsia="en-US"/>
        </w:rPr>
        <w:t>SIRS)</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"10.1016/j.jhep.2009.04.017", "ISSN" : "1600-0641 (Electronic)", "PMID" : "19560225", "abstract" : "BACKGROUND/AIMS: Some evidence suggests that the systemic inflammatory response syndrome (SIRS) contributes to the poor outcome of cirrhotic patients. We studied 141 cirrhotic patients consecutively admitted to a tertiary referral centre assessing prevalence of SIRS and its relationship with in-hospital outcome. METHODS: Presence of SIRS was assessed on admission and during hospital stay. Main clinical outcomes were death and development of portal hypertension-related complications. RESULTS: Thirty-nine patients met SIRS criteria. SIRS was present on admission in 20 of 141 patients (14.1%), whereas it occurred during hospital stay in 19 of 121 (15.7%). SIRS was correlated with bacterial infection at admission (p=0.02), jaundice (p=0.011), high serum creatinine levels (p=0.04), high serum bilirubin levels (p=0.002), high international normalized ratio (p=0.046), high model of end-stage liver disease (MELD) score (p=0.001), and high SOFA score (p=0.003). During a follow-up of 14+/-8 days, 16 patients died (11%), 7 developed portal hypertension-related bleeding (5%), 16 hepatic encephalopathy (11%), and 5 hepatorenal syndrome type-1 (3.5%). SIRS was correlated both to death (p&lt;0.001) and to portal hypertension-related complications (p&lt;0.001). On multivariate analysis, SIRS and MELD were independently associated with death. CONCLUSIONS: SIRS frequently occurs in patients with advanced cirrhosis and is associated with a poor outcome.", "author" : [ { "dropping-particle" : "", "family" : "Cazzaniga", "given" : "Massimo", "non-dropping-particle" : "", "parse-names" : false, "suffix" : "" }, { "dropping-particle" : "", "family" : "Dionigi", "given" : "Elena", "non-dropping-particle" : "", "parse-names" : false, "suffix" : "" }, { "dropping-particle" : "", "family" : "Gobbo", "given" : "Giulia", "non-dropping-particle" : "", "parse-names" : false, "suffix" : "" }, { "dropping-particle" : "", "family" : "Fioretti", "given" : "Alessia", "non-dropping-particle" : "", "parse-names" : false, "suffix" : "" }, { "dropping-particle" : "", "family" : "Monti", "given" : "Valentina", "non-dropping-particle" : "", "parse-names" : false, "suffix" : "" }, { "dropping-particle" : "", "family" : "Salerno", "given" : "Francesco", "non-dropping-particle" : "", "parse-names" : false, "suffix" : "" } ], "container-title" : "Journal of hepatology", "id" : "ITEM-1", "issue" : "3", "issued" : { "date-parts" : [ [ "2009", "9" ] ] }, "language" : "eng", "page" : "475-482", "publisher-place" : "England", "title" : "The systemic inflammatory response syndrome in cirrhotic patients: relationship with their in-hospital outcome.", "type" : "article-journal", "volume" : "51" }, "uris" : [ "http://www.mendeley.com/documents/?uuid=f05e4502-7aa9-4fa8-87fc-e701d8a94fb0" ] }, { "id" : "ITEM-2", "itemData" : { "ISSN" : "0012-3692 (Print)", "PMID" : "1303622", "abstract" : "An American College of Chest Physicians/Society of Critical Care Medicine Consensus Conference was held in Northbrook in August 1991 with the goal of agreeing on a set of definitions that could be applied to patients with sepsis and its sequelae. New definitions were offered for some terms, while others were discarded. Broad definitions of sepsis and the systemic inflammatory response syndrome were proposed, along with detailed physiologic parameters by which a patient may be categorized. Definitions for severe sepsis, septic shock, hypotension, and multiple organ dysfunction syndrome were also offered. The use of severity scoring methods when dealing with septic patients was recommended as an adjunctive tool to assess mortality. Appropriate methods and applications for the use and testing of new therapies were recommended. The use of these terms and techniques should assist clinicians and researchers who deal with sepsis and its sequelae.", "author" : [ { "dropping-particle" : "", "family" : "Bone", "given" : "R C", "non-dropping-particle" : "", "parse-names" : false, "suffix" : "" }, { "dropping-particle" : "", "family" : "Balk", "given" : "R A", "non-dropping-particle" : "", "parse-names" : false, "suffix" : "" }, { "dropping-particle" : "", "family" : "Cerra", "given" : "F B", "non-dropping-particle" : "", "parse-names" : false, "suffix" : "" }, { "dropping-particle" : "", "family" : "Dellinger", "given" : "R P", "non-dropping-particle" : "", "parse-names" : false, "suffix" : "" }, { "dropping-particle" : "", "family" : "Fein", "given" : "A M", "non-dropping-particle" : "", "parse-names" : false, "suffix" : "" }, { "dropping-particle" : "", "family" : "Knaus", "given" : "W A", "non-dropping-particle" : "", "parse-names" : false, "suffix" : "" }, { "dropping-particle" : "", "family" : "Schein", "given" : "R M", "non-dropping-particle" : "", "parse-names" : false, "suffix" : "" }, { "dropping-particle" : "", "family" : "Sibbald", "given" : "W J", "non-dropping-particle" : "", "parse-names" : false, "suffix" : "" } ], "container-title" : "Chest", "id" : "ITEM-2", "issue" : "6", "issued" : { "date-parts" : [ [ "1992", "6" ] ] }, "language" : "eng", "page" : "1644-1655", "publisher-place" : "UNITED STATES", "title" : "Definitions for sepsis and organ failure and guidelines for the use of innovative therapies in sepsis. The ACCP/SCCM Consensus Conference Committee. American College of Chest Physicians/Society of Critical Care Medicine.", "type" : "article-journal", "volume" : "101" }, "uris" : [ "http://www.mendeley.com/documents/?uuid=e0bd53a6-a732-4f8f-8252-52223e27da31" ] } ], "mendeley" : { "formattedCitation" : "&lt;sup&gt;[6,7]&lt;/sup&gt;", "plainTextFormattedCitation" : "[6,7]", "previouslyFormattedCitation" : "&lt;sup&gt;[6,7]&lt;/sup&gt;"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[6,7]</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which makes it difficult to diagnose sepsis. </w:t>
      </w:r>
    </w:p>
    <w:p w:rsidR="000A103F" w:rsidRPr="00664A42" w:rsidRDefault="000A103F" w:rsidP="003B01FB">
      <w:pPr>
        <w:widowControl w:val="0"/>
        <w:tabs>
          <w:tab w:val="left" w:pos="1985"/>
        </w:tabs>
        <w:autoSpaceDE w:val="0"/>
        <w:autoSpaceDN w:val="0"/>
        <w:adjustRightInd w:val="0"/>
        <w:spacing w:line="360" w:lineRule="auto"/>
        <w:ind w:firstLine="720"/>
        <w:jc w:val="both"/>
        <w:rPr>
          <w:rFonts w:ascii="Book Antiqua" w:eastAsiaTheme="minorEastAsia" w:hAnsi="Book Antiqua"/>
          <w:lang w:val="en-GB" w:eastAsia="en-US"/>
        </w:rPr>
      </w:pPr>
      <w:r w:rsidRPr="00664A42">
        <w:rPr>
          <w:rFonts w:ascii="Book Antiqua" w:hAnsi="Book Antiqua"/>
          <w:lang w:val="en-GB"/>
        </w:rPr>
        <w:t>Currently</w:t>
      </w:r>
      <w:r w:rsidRPr="00664A42">
        <w:rPr>
          <w:rFonts w:ascii="Book Antiqua" w:eastAsiaTheme="minorEastAsia" w:hAnsi="Book Antiqua"/>
          <w:lang w:val="en-GB" w:eastAsia="en-US"/>
        </w:rPr>
        <w:t xml:space="preserve"> C-reactive protein (CRP) and procalcitonin (PCT) </w:t>
      </w:r>
      <w:r w:rsidRPr="00664A42">
        <w:rPr>
          <w:rFonts w:ascii="Book Antiqua" w:hAnsi="Book Antiqua"/>
          <w:lang w:val="en-GB"/>
        </w:rPr>
        <w:t xml:space="preserve">are broadly used in the clinical practice to </w:t>
      </w:r>
      <w:r w:rsidRPr="00664A42">
        <w:rPr>
          <w:rFonts w:ascii="Book Antiqua" w:eastAsiaTheme="minorEastAsia" w:hAnsi="Book Antiqua"/>
          <w:lang w:val="en-US" w:eastAsia="en-US"/>
        </w:rPr>
        <w:t xml:space="preserve">aid the early diagnosis of bacterial infection </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"10.1056/NEJM199902113400607", "ISSN" : "0028-4793 (Print)", "PMID" : "9971870", "author" : [ { "dropping-particle" : "", "family" : "Gabay", "given" : "C", "non-dropping-particle" : "", "parse-names" : false, "suffix" : "" }, { "dropping-particle" : "", "family" : "Kushner", "given" : "I", "non-dropping-particle" : "", "parse-names" : false, "suffix" : "" } ], "container-title" : "The New England journal of medicine", "id" : "ITEM-1", "issue" : "6", "issued" : { "date-parts" : [ [ "1999", "2" ] ] }, "language" : "eng", "page" : "448-454", "publisher-place" : "UNITED STATES", "title" : "Acute-phase proteins and other systemic responses to inflammation.", "type" : "article-journal", "volume" : "340" }, "uris" : [ "http://www.mendeley.com/documents/?uuid=e86c95fe-063c-4872-9a39-7e4bd7a27086" ] } ], "mendeley" : { "formattedCitation" : "&lt;sup&gt;[8]&lt;/sup&gt;", "plainTextFormattedCitation" : "[8]", "previouslyFormattedCitation" : "&lt;sup&gt;[8]&lt;/sup&gt;"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[8]</w:t>
      </w:r>
      <w:r w:rsidRPr="00664A42">
        <w:rPr>
          <w:rFonts w:ascii="Book Antiqua" w:eastAsiaTheme="minorEastAsia" w:hAnsi="Book Antiqua"/>
          <w:lang w:val="en-US" w:eastAsia="en-US"/>
        </w:rPr>
        <w:fldChar w:fldCharType="end"/>
      </w:r>
      <w:r w:rsidRPr="00664A42">
        <w:rPr>
          <w:rFonts w:ascii="Book Antiqua" w:hAnsi="Book Antiqua"/>
          <w:lang w:val="en-GB"/>
        </w:rPr>
        <w:t>. In cirrhosis, these c</w:t>
      </w:r>
      <w:r w:rsidRPr="00664A42">
        <w:rPr>
          <w:rFonts w:ascii="Book Antiqua" w:eastAsiaTheme="minorEastAsia" w:hAnsi="Book Antiqua"/>
          <w:lang w:val="en-GB" w:eastAsia="en-US"/>
        </w:rPr>
        <w:t xml:space="preserve">onventional markers, however, perform somewhat differently in comparison with the non-cirrhotic patient populations for various reasons. For the first, if the main source of the molecule is the liver, like in the case of CRP, </w:t>
      </w:r>
      <w:r w:rsidRPr="00664A42">
        <w:rPr>
          <w:rFonts w:ascii="Book Antiqua" w:hAnsi="Book Antiqua"/>
          <w:lang w:val="en-US"/>
        </w:rPr>
        <w:t>synthesis of the molecule is affected</w:t>
      </w:r>
      <w:r w:rsidRPr="00664A42">
        <w:rPr>
          <w:rFonts w:ascii="Book Antiqua" w:hAnsi="Book Antiqua"/>
          <w:lang w:val="en-GB"/>
        </w:rPr>
        <w:t xml:space="preserve"> by liver failure and its severity. As a result </w:t>
      </w:r>
      <w:r w:rsidRPr="00664A42">
        <w:rPr>
          <w:rFonts w:ascii="Book Antiqua" w:eastAsiaTheme="minorEastAsia" w:hAnsi="Book Antiqua"/>
          <w:lang w:val="en-GB" w:eastAsia="en-US"/>
        </w:rPr>
        <w:t xml:space="preserve">the diagnostic </w:t>
      </w:r>
      <w:r w:rsidRPr="00664A42">
        <w:rPr>
          <w:rFonts w:ascii="Book Antiqua" w:hAnsi="Book Antiqua"/>
          <w:lang w:val="en-GB"/>
        </w:rPr>
        <w:t>accuracy of liver synthesised acute phase proteins (APPs) decreases in advanced stage of cirrhosis</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"10.1111/j.1478-3231.2011.02689.x", "ISSN" : "1478-3231", "abstract" : "Background Bacterial infections are common cause of morbidity and mortality in patients with cirrhosis. The early diagnosis of these infections is rather difficult. Aims To assess the accuracy of acute phase proteins in the identification of bacterial infections. Methods Concentration of C-reactive protein (CRP), procalcitonin (PCT), lipopolysaccharide-binding protein (LBP), sCD14 and antimicrobial antibodies were measured in serum of 368 well-characterized patients with cirrhosis of whom 139 had documented infection. Clinical data was gathered by reviewing the patients\u2019 medical charts. Results Serum levels of CRP, PCT and LBP were significantly higher in patients with clinically overt infections. Among the markers, CRP \u2013 using a 10 mg/L cut-off value\u2013 proved to be the most accurate in identifying patients with infection (AUC: 0.93). The accuracy of CRP, however, decreased in advanced stage of the disease, most probably because of the significantly elevated CRP levels in non-infected patients. Combination of CRP and PCT increased the sensitivity and negative predictive value, compared with CRP on its own, by 10 and 5% respectively. During a 3-month follow-up period in patients without overt infections, Kaplan\u2013Meier and proportional Cox-regression analyses showed that a CRP value of &gt;10 mg/L (P = 0.035) was independently associated with a shorter duration to progress to clinically significant bacterial infections. There was no correlation between acute phase protein levels and antimicrobial seroreactivity. Conclusions C-reactive protein on its own is a sensitive screening test for the presence of bacterial infections in cirrhosis and is also a useful marker to predict the likelihood of clinically significant bacterial infections in patients without overt infections.", "author" : [ { "dropping-particle" : "", "family" : "Papp", "given" : "Maria", "non-dropping-particle" : "", "parse-names" : false, "suffix" : "" }, { "dropping-particle" : "", "family" : "Vitalis", "given" : "Zsuzsanna", "non-dropping-particle" : "", "parse-names" : false, "suffix" : "" }, { "dropping-particle" : "", "family" : "Altorjay", "given" : "Istvan", "non-dropping-particle" : "", "parse-names" : false, "suffix" : "" }, { "dropping-particle" : "", "family" : "Tornai", "given" : "Istvan", "non-dropping-particle" : "", "parse-names" : false, "suffix" : "" }, { "dropping-particle" : "", "family" : "Udvardy", "given" : "Miklos", "non-dropping-particle" : "", "parse-names" : false, "suffix" : "" }, { "dropping-particle" : "", "family" : "Harsfalvi", "given" : "Jolan", "non-dropping-particle" : "", "parse-names" : false, "suffix" : "" }, { "dropping-particle" : "", "family" : "Vida", "given" : "Andras", "non-dropping-particle" : "", "parse-names" : false, "suffix" : "" }, { "dropping-particle" : "", "family" : "Kappelmayer", "given" : "Janos", "non-dropping-particle" : "", "parse-names" : false, "suffix" : "" }, { "dropping-particle" : "", "family" : "Lakatos", "given" : "Peter L", "non-dropping-particle" : "", "parse-names" : false, "suffix" : "" }, { "dropping-particle" : "", "family" : "Antal-Szalmas", "given" : "Peter", "non-dropping-particle" : "", "parse-names" : false, "suffix" : "" } ], "container-title" : "Liver International", "id" : "ITEM-1", "issue" : "4", "issued" : { "date-parts" : [ [ "2012" ] ] }, "page" : "603-611", "title" : "Acute phase proteins in the diagnosis and prediction of cirrhosis associated bacterial infections", "type" : "article-journal", "volume" : "32" }, "uris" : [ "http://www.mendeley.com/documents/?uuid=84c5da63-f9e8-4b27-9a0f-ab32ab8b7f1d" ] } ], "mendeley" : { "formattedCitation" : "&lt;sup&gt;[9]&lt;/sup&gt;", "plainTextFormattedCitation" : "[9]", "previouslyFormattedCitation" : "&lt;sup&gt;[9]&lt;/sup&gt;"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[9]</w:t>
      </w:r>
      <w:r w:rsidRPr="00664A42">
        <w:rPr>
          <w:rFonts w:ascii="Book Antiqua" w:hAnsi="Book Antiqua"/>
          <w:lang w:val="en-GB"/>
        </w:rPr>
        <w:fldChar w:fldCharType="end"/>
      </w:r>
      <w:r w:rsidRPr="00664A42">
        <w:rPr>
          <w:rFonts w:ascii="Book Antiqua" w:hAnsi="Book Antiqua"/>
          <w:lang w:val="en-GB"/>
        </w:rPr>
        <w:t xml:space="preserve">. Moreover, </w:t>
      </w:r>
      <w:r w:rsidRPr="00664A42">
        <w:rPr>
          <w:rFonts w:ascii="Book Antiqua" w:hAnsi="Book Antiqua"/>
          <w:lang w:val="en-US"/>
        </w:rPr>
        <w:t>peak levels can be misleading and do not indicate the severity of the infection adequately</w:t>
      </w:r>
      <w:r w:rsidRPr="00664A42">
        <w:rPr>
          <w:rFonts w:ascii="Book Antiqua" w:hAnsi="Book Antiqua"/>
          <w:lang w:val="en-GB"/>
        </w:rPr>
        <w:t xml:space="preserve">, since </w:t>
      </w:r>
      <w:r w:rsidRPr="00664A42">
        <w:rPr>
          <w:rFonts w:ascii="Book Antiqua" w:eastAsiaTheme="minorEastAsia" w:hAnsi="Book Antiqua"/>
          <w:lang w:val="en-GB" w:eastAsia="en-US"/>
        </w:rPr>
        <w:t>the more severe the underlying liver dysfunction, the lower the CRP response to bacteraemia is</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"10.1016/j.diagmicrobio.2004.11.014", "ISSN" : "0732-8893 (Print)", "PMID" : "15808312", "abstract" : "To assess the effect of liver dysfunction on the production of C-reactive protein (CRP), CRP levels were evaluated in patients with Escherichia coli bacteremia with or without liver cirrhosis (LC). Thirty patients of each kind were selected as case and control groups, respectively. A matched control of 30 LC patients without acute infection was also included. In the patients with E. coli bacteremia, median CRP was 6.2 mg/dL (range 0.2-22.1) in the LC patients and 14.6 mg/dL (range 5.8-39.6) in the patients without liver dysfunction (P &lt; 0.001). In the advanced LC patients in Child-Pugh class C, median CRP was 5.0 mg/dL (range 0.2-12.1) in patients with E. coli bacteremia and 0.5 mg/dL (range 0.1-1.2) in patients without acute infection (P &lt; 0.001). Our data suggest that, although CRP levels are reduced in response to acute infection, production is nevertheless maintained even in patients with advanced liver dysfunction.", "author" : [ { "dropping-particle" : "", "family" : "Park", "given" : "Wan Beom", "non-dropping-particle" : "", "parse-names" : false, "suffix" : "" }, { "dropping-particle" : "", "family" : "Lee", "given" : "Ki-Deok", "non-dropping-particle" : "", "parse-names" : false, "suffix" : "" }, { "dropping-particle" : "", "family" : "Lee", "given" : "Chang Seop", "non-dropping-particle" : "", "parse-names" : false, "suffix" : "" }, { "dropping-particle" : "", "family" : "Jang", "given" : "Hee Chang", "non-dropping-particle" : "", "parse-names" : false, "suffix" : "" }, { "dropping-particle" : "Bin", "family" : "Kim", "given" : "Hong", "non-dropping-particle" : "", "parse-names" : false, "suffix" : "" }, { "dropping-particle" : "", "family" : "Lee", "given" : "Hyo-Suk", "non-dropping-particle" : "", "parse-names" : false, "suffix" : "" }, { "dropping-particle" : "", "family" : "Oh", "given" : "Myoung-don", "non-dropping-particle" : "", "parse-names" : false, "suffix" : "" }, { "dropping-particle" : "", "family" : "Choe", "given" : "Kang Won", "non-dropping-particle" : "", "parse-names" : false, "suffix" : "" } ], "container-title" : "Diagnostic microbiology and infectious disease", "id" : "ITEM-1", "issue" : "4", "issued" : { "date-parts" : [ [ "2005", "4" ] ] }, "language" : "eng", "page" : "227-230", "publisher-place" : "United States", "title" : "Production of C-reactive protein in Escherichia coli-infected patients with liver dysfunction due to liver cirrhosis.", "type" : "article-journal", "volume" : "51" }, "uris" : [ "http://www.mendeley.com/documents/?uuid=93bd4ff2-3951-4f9c-b223-168c62c04708" ] } ], "mendeley" : { "formattedCitation" : "&lt;sup&gt;[10]&lt;/sup&gt;", "plainTextFormattedCitation" : "[10]", "previouslyFormattedCitation" : "&lt;sup&gt;[10]&lt;/sup&gt;"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[10]</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Secondly, </w:t>
      </w:r>
      <w:r w:rsidRPr="00664A42">
        <w:rPr>
          <w:rFonts w:ascii="Book Antiqua" w:hAnsi="Book Antiqua"/>
          <w:lang w:val="en-US"/>
        </w:rPr>
        <w:t xml:space="preserve">elimination of certain molecules can be </w:t>
      </w:r>
      <w:r w:rsidRPr="00664A42">
        <w:rPr>
          <w:rFonts w:ascii="Book Antiqua" w:hAnsi="Book Antiqua"/>
          <w:lang w:val="en-GB"/>
        </w:rPr>
        <w:t xml:space="preserve">affected by renal failure and also renal replacement therapy. </w:t>
      </w:r>
      <w:r w:rsidRPr="00664A42">
        <w:rPr>
          <w:rFonts w:ascii="Book Antiqua" w:hAnsi="Book Antiqua"/>
          <w:lang w:val="en-US"/>
        </w:rPr>
        <w:t>Acute kidney injury (AKI) is frequent in patients with cirrhosis, especially in bacterial infections</w:t>
      </w:r>
      <w:r w:rsidRPr="00664A42">
        <w:rPr>
          <w:rFonts w:ascii="Book Antiqua" w:hAnsi="Book Antiqua"/>
          <w:lang w:val="en-US"/>
        </w:rPr>
        <w:fldChar w:fldCharType="begin" w:fldLock="1"/>
      </w:r>
      <w:r w:rsidRPr="00664A42">
        <w:rPr>
          <w:rFonts w:ascii="Book Antiqua" w:hAnsi="Book Antiqua"/>
          <w:lang w:val="en-US"/>
        </w:rPr>
        <w:instrText>ADDIN CSL_CITATION { "citationItems" : [ { "id" : "ITEM-1", "itemData" : { "DOI" : "10.1007/s12072-015-9641-1", "ISSN" : "1936-0541 (Electronic)", "PMID" : "26141259", "abstract" : "Acute kidney injury (AKI) is a common and life-threatening complication in patients with cirrhosis. Recently, new criteria for the diagnosis of AKI have been proposed in patients with cirrhosis by the International Club of Ascites. Almost all types of bacterial infections can induce AKI in patients with cirrhosis representing its most common precipitating event. The bacterial infection-induced AKI usually meets the diagnostic criteria of hepatorenal syndrome (HRS). Well in keeping with the \"splanchnic arterial vasodilation hypothesis\", it has been stated that HRS develops as a consequence of a severe reduction of effective circulating volume related to splanchnic arterial vasodilation and to an inadequate cardiac output. Nevertheless, the role of bacterial infections in precipitating organ failures, including renal failure, is enhanced when their course is characterized by the development of a systemic inflammatory response syndrome (SIRS), thus, when sepsis occurs. Sepsis has been shown to be capable to induce \"per se\" AKI in animals as well as in patients conditioning also the features of renal damage. This observation suggests that when precipitated by sepsis, the pathogenesis and the clinical course of AKI also in patients with cirrhosis may differentiate to a certain extent from AKI with another or no precipitating factor. The purpose of this review is to describe the features of AKI precipitated by bacterial infections and to highlight whether infection and/or the development of SIRS may influence its clinical course, and, in particular, the response to treatment.", "author" : [ { "dropping-particle" : "", "family" : "Angeli", "given" : "Paolo", "non-dropping-particle" : "", "parse-names" : false, "suffix" : "" }, { "dropping-particle" : "", "family" : "Tonon", "given" : "Marta", "non-dropping-particle" : "", "parse-names" : false, "suffix" : "" }, { "dropping-particle" : "", "family" : "Pilutti", "given" : "Chiara", "non-dropping-particle" : "", "parse-names" : false, "suffix" : "" }, { "dropping-particle" : "", "family" : "Morando", "given" : "Filippo", "non-dropping-particle" : "", "parse-names" : false, "suffix" : "" }, { "dropping-particle" : "", "family" : "Piano", "given" : "Salvatore", "non-dropping-particle" : "", "parse-names" : false, "suffix" : "" } ], "container-title" : "Hepatology international", "id" : "ITEM-1", "issue" : "1", "issued" : { "date-parts" : [ [ "2016", "1" ] ] }, "language" : "eng", "page" : "115-123", "publisher-place" : "United States", "title" : "Sepsis-induced acute kidney injury in patients with cirrhosis.", "type" : "article-journal", "volume" : "10" }, "uris" : [ "http://www.mendeley.com/documents/?uuid=85701c6d-dba2-4a9c-9c68-0af7487cfde0" ] } ], "mendeley" : { "formattedCitation" : "&lt;sup&gt;[11]&lt;/sup&gt;", "plainTextFormattedCitation" : "[11]", "previouslyFormattedCitation" : "&lt;sup&gt;[11]&lt;/sup&gt;" }, "properties" : { "noteIndex" : 0 }, "schema" : "https://github.com/citation-style-language/schema/raw/master/csl-citation.json" }</w:instrText>
      </w:r>
      <w:r w:rsidRPr="00664A42">
        <w:rPr>
          <w:rFonts w:ascii="Book Antiqua" w:hAnsi="Book Antiqua"/>
          <w:lang w:val="en-US"/>
        </w:rPr>
        <w:fldChar w:fldCharType="separate"/>
      </w:r>
      <w:r w:rsidRPr="00664A42">
        <w:rPr>
          <w:rFonts w:ascii="Book Antiqua" w:hAnsi="Book Antiqua"/>
          <w:noProof/>
          <w:vertAlign w:val="superscript"/>
          <w:lang w:val="en-US"/>
        </w:rPr>
        <w:t>[11]</w:t>
      </w:r>
      <w:r w:rsidRPr="00664A42">
        <w:rPr>
          <w:rFonts w:ascii="Book Antiqua" w:hAnsi="Book Antiqua"/>
          <w:lang w:val="en-US"/>
        </w:rPr>
        <w:fldChar w:fldCharType="end"/>
      </w:r>
      <w:r w:rsidRPr="00664A42">
        <w:rPr>
          <w:rFonts w:ascii="Book Antiqua" w:hAnsi="Book Antiqua"/>
          <w:lang w:val="en-US"/>
        </w:rPr>
        <w:t>.</w:t>
      </w:r>
      <w:r w:rsidRPr="00664A42">
        <w:rPr>
          <w:rFonts w:ascii="Book Antiqua" w:hAnsi="Book Antiqua"/>
          <w:lang w:val="en-GB"/>
        </w:rPr>
        <w:t xml:space="preserve"> While CRP </w:t>
      </w:r>
      <w:r w:rsidRPr="00664A42">
        <w:rPr>
          <w:rFonts w:ascii="Book Antiqua" w:eastAsiaTheme="minorEastAsia" w:hAnsi="Book Antiqua"/>
          <w:lang w:val="en-GB" w:eastAsia="en-US"/>
        </w:rPr>
        <w:t xml:space="preserve">has a high molecular weight (MW) (115-kDa) and its </w:t>
      </w:r>
      <w:r w:rsidRPr="00664A42">
        <w:rPr>
          <w:rFonts w:ascii="Book Antiqua" w:eastAsiaTheme="minorEastAsia" w:hAnsi="Book Antiqua" w:cs="Times"/>
          <w:lang w:val="en-US" w:eastAsia="en-US"/>
        </w:rPr>
        <w:t>renal clearance is negligible</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"ISSN" : "0091-7370 (Print)", "PMID" : "10807156", "abstract" : "C-reactive protein (CRP) is a member of the pentraxin family of proteins, which are characterised by a cyclic pentameric structure and radial symmetry. The five identical 24-kDa protomers consist of 206 amino acids, and are noncovalently linked. CRP binds to a range of substances such as phosphocholine, fibronectin, chromatin, histones, and ribonucleoprotein in a calcium-dependent manner. It is a ligand for specific receptors on phagocytic leukocytes, mediates activation reactions on monocytes and macrophages, and activates complement. Plasma CRP is the classical acute-phase protein, increasing 1,000-fold in response to infection, ischemia, trauma, burns, and inflammatory conditions. A growing number of studies suggest that CRP is an independent risk factor for atherosclerotic vascular disease. Plasma CRP concentrations in the highest quartile are associated, depending on the subject group, with 1.5- to 7-fold increases in relative risk. In the high-risk endstage renal failure population, a raised CRP is associated with up to 5.5-fold increased relative risk of CVD and 4.6-fold increased relative risk of death. This review examines the relationships between CRP, cardiovascular disease, and mortality, with special reference to renal disease.", "author" : [ { "dropping-particle" : "", "family" : "Westhuyzen", "given" : "J", "non-dropping-particle" : "", "parse-names" : false, "suffix" : "" }, { "dropping-particle" : "", "family" : "Healy", "given" : "H", "non-dropping-particle" : "", "parse-names" : false, "suffix" : "" } ], "container-title" : "Annals of clinical and laboratory science", "id" : "ITEM-1", "issue" : "2", "issued" : { "date-parts" : [ [ "2000", "4" ] ] }, "language" : "eng", "page" : "133-143", "publisher-place" : "UNITED STATES", "title" : "Review: Biology and relevance of C-reactive protein in cardiovascular and renal disease.", "type" : "article-journal", "volume" : "30" }, "uris" : [ "http://www.mendeley.com/documents/?uuid=599bd8c6-7da7-4ab6-8615-11b56c66b39c" ] }, { "id" : "ITEM-2", "itemData" : { "DOI" : "10.1172/JCI116336", "ISSN" : "0021-9738 (Print)", "PMID" : "8473487", "abstract" : "Plasma and whole-body turnover studies of human C-reactive protein (CRP), isolated from a single normal healthy donor and labeled with 125I, were undertaken in 8 healthy control subjects and 35 hospitalized patients including cases of rheumatoid arthritis, systemic lupus erythematosus, infections, and neoplasia. Plasma clearance of 125I-CRP closely approximated to a monoexponential function and was similar in the control and all patient groups. There was no evidence for accelerated clearance or catabolism of CRP in any of the diseases studied. The 19-h half-life was more rapid than that of most human plasma proteins studied previously, and the fractional catabolic rate was independent of the plasma CRP concentration. The synthesis rate of CRP is thus the only significant determinant of its plasma level, confirming the validity of serum CRP measurement as an objective index of disease activity in disorders associated with an acute-phase response. Approximately 90% of injected radioactivity was recovered in the urine after 7 d, and scintigraphic imaging studies with 123I-labeled CRP in 10 patients with different focal pathology showed no significant localization of tracer. The functions of CRP are thus likely to be effected predominantly in the fluid phase rather than by major deposition at sites of tissue damage or inflammation.", "author" : [ { "dropping-particle" : "", "family" : "Vigushin", "given" : "D M", "non-dropping-particle" : "", "parse-names" : false, "suffix" : "" }, { "dropping-particle" : "", "family" : "Pepys", "given" : "M B", "non-dropping-particle" : "", "parse-names" : false, "suffix" : "" }, { "dropping-particle" : "", "family" : "Hawkins", "given" : "P N", "non-dropping-particle" : "", "parse-names" : false, "suffix" : "" } ], "container-title" : "The Journal of clinical investigation", "id" : "ITEM-2", "issue" : "4", "issued" : { "date-parts" : [ [ "1993", "4" ] ] }, "language" : "eng", "page" : "1351-1357", "publisher-place" : "UNITED STATES", "title" : "Metabolic and scintigraphic studies of radioiodinated human C-reactive protein in health and disease.", "type" : "article-journal", "volume" : "91" }, "uris" : [ "http://www.mendeley.com/documents/?uuid=985c8227-b42b-47a2-9cfb-17b1ac6417f9" ] } ], "mendeley" : { "formattedCitation" : "&lt;sup&gt;[12,13]&lt;/sup&gt;", "plainTextFormattedCitation" : "[12,13]", "previouslyFormattedCitation" : "&lt;sup&gt;[12,13]&lt;/sup&gt;"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[12,13]</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t>
      </w:r>
      <w:r w:rsidRPr="00664A42">
        <w:rPr>
          <w:rFonts w:ascii="Book Antiqua" w:hAnsi="Book Antiqua"/>
          <w:lang w:val="en-US"/>
        </w:rPr>
        <w:t xml:space="preserve">PCT is small </w:t>
      </w:r>
      <w:r w:rsidRPr="00664A42">
        <w:rPr>
          <w:rFonts w:ascii="Book Antiqua" w:hAnsi="Book Antiqua"/>
          <w:lang w:val="en-US"/>
        </w:rPr>
        <w:lastRenderedPageBreak/>
        <w:t>with a MW of 13 kDa and renal elimination is thought to be one of the major pathways for its elimination</w:t>
      </w:r>
      <w:r w:rsidRPr="00664A42">
        <w:rPr>
          <w:rFonts w:ascii="Book Antiqua" w:hAnsi="Book Antiqua"/>
          <w:lang w:val="en-US"/>
        </w:rPr>
        <w:fldChar w:fldCharType="begin" w:fldLock="1"/>
      </w:r>
      <w:r w:rsidRPr="00664A42">
        <w:rPr>
          <w:rFonts w:ascii="Book Antiqua" w:hAnsi="Book Antiqua"/>
          <w:lang w:val="en-US"/>
        </w:rPr>
        <w:instrText>ADDIN CSL_CITATION { "citationItems" : [ { "id" : "ITEM-1", "itemData" : { "DOI" : "10.1093/ndt/gfs339", "ISSN" : "1460-2385 (Electronic)", "PMID" : "23045429", "abstract" : "BACKGROUND: The diagnostic value of procalcitonin (PCT) for patients with renal impairment is unclear. METHODS: We searched multiple databases for studies published through December 2011 that evaluated the diagnostic performance of PCT among patients with renal impairment and suspected systemic bacterial infection. We summarized test performance characteristics with the use of forest plots, hierarchical summary receiver operating characteristic (HSROC) curves, and bivariate random effects models. RESULTS: Our search identified 201 citations, of which seven diagnostic studies evaluated 803 patients and 255 bacterial infection episodes. HSROC-bivariate pooled sensitivity estimates were 73% [95% confidence interval (95% CI) 54-86%] for PCT tests and 78% (95% CI 52-92%) for CRP tests. Pooled specificity estimates were higher for both PCT and CRP tests [PCT, 88% (95% CI 79-93%); CRP, 84% (95% CI, 52-96%)]. The positive likelihood ratio for PCT [likelihood (LR)+ 6.02, 95% CI 3.16-11.47] was sufficiently high to be qualified as a rule-in diagnostic tool, while the negative likelihood ratio was not low enough to be used as a rule-out diagnostic tool (LR- 0.31, 95% CI 0.17-0.57). There was no consistent evidence that PCT was more accurate than CRP test for the diagnosis of systemic infection among patients with renal impairment. CONCLUSIONS: Both PCT and CRP tests have poor sensitivity but acceptable specificity in diagnosing bacterial infection among patients with renal impairment. Given the poor negative likelihood ratio, its role as a rule-out test is questionable.", "author" : [ { "dropping-particle" : "", "family" : "Lu", "given" : "Xiu-Lan", "non-dropping-particle" : "", "parse-names" : false, "suffix" : "" }, { "dropping-particle" : "", "family" : "Xiao", "given" : "Zheng-Hui", "non-dropping-particle" : "", "parse-names" : false, "suffix" : "" }, { "dropping-particle" : "", "family" : "Yang", "given" : "Mei-Yu", "non-dropping-particle" : "", "parse-names" : false, "suffix" : "" }, { "dropping-particle" : "", "family" : "Zhu", "given" : "Yi-Min", "non-dropping-particle" : "", "parse-names" : false, "suffix" : "" } ], "container-title" : "Nephrology, dialysis, transplantation : official publication of the European Dialysis and Transplant Association - European Renal Association", "id" : "ITEM-1", "issue" : "1", "issued" : { "date-parts" : [ [ "2013", "1" ] ] }, "language" : "eng", "page" : "122-129", "publisher-place" : "England", "title" : "Diagnostic value of serum procalcitonin in patients with chronic renal insufficiency: a systematic review and meta-analysis.", "type" : "article-journal", "volume" : "28" }, "uris" : [ "http://www.mendeley.com/documents/?uuid=26269f36-9faa-4a63-8969-efa12aa98520" ] } ], "mendeley" : { "formattedCitation" : "&lt;sup&gt;[14]&lt;/sup&gt;", "plainTextFormattedCitation" : "[14]", "previouslyFormattedCitation" : "&lt;sup&gt;[14]&lt;/sup&gt;" }, "properties" : { "noteIndex" : 0 }, "schema" : "https://github.com/citation-style-language/schema/raw/master/csl-citation.json" }</w:instrText>
      </w:r>
      <w:r w:rsidRPr="00664A42">
        <w:rPr>
          <w:rFonts w:ascii="Book Antiqua" w:hAnsi="Book Antiqua"/>
          <w:lang w:val="en-US"/>
        </w:rPr>
        <w:fldChar w:fldCharType="separate"/>
      </w:r>
      <w:r w:rsidRPr="00664A42">
        <w:rPr>
          <w:rFonts w:ascii="Book Antiqua" w:hAnsi="Book Antiqua"/>
          <w:noProof/>
          <w:vertAlign w:val="superscript"/>
          <w:lang w:val="en-US"/>
        </w:rPr>
        <w:t>[14]</w:t>
      </w:r>
      <w:r w:rsidRPr="00664A42">
        <w:rPr>
          <w:rFonts w:ascii="Book Antiqua" w:hAnsi="Book Antiqua"/>
          <w:lang w:val="en-US"/>
        </w:rPr>
        <w:fldChar w:fldCharType="end"/>
      </w:r>
      <w:r w:rsidRPr="00664A42">
        <w:rPr>
          <w:rFonts w:ascii="Book Antiqua" w:hAnsi="Book Antiqua"/>
          <w:lang w:val="en-US"/>
        </w:rPr>
        <w:t xml:space="preserve">. Accordingly, </w:t>
      </w:r>
      <w:r w:rsidRPr="00664A42">
        <w:rPr>
          <w:rFonts w:ascii="Book Antiqua" w:hAnsi="Book Antiqua"/>
          <w:lang w:val="en-GB"/>
        </w:rPr>
        <w:t>false or inappropriate increase of the PCT level was reported in end-stage renal disease patients due to the prolonged elimination rate</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"10.3904/kjim.2015.30.2.198", "ISSN" : "2005-6648 (Electronic)", "PMID" : "25750561", "abstract" : "BACKGROUND/AIMS: Serum procalcitonin (PCT) levels are low in healthy individuals  but are elevated in patients with a serious bacterial infection or sepsis. In this study, we examined the ability of serum PCT concentration to diagnose infections in end-stage renal disease (ESRD) patients, and sought to determine an appropriate threshold level. METHODS: Serum PCT levels were measured in ESRD patients on antibiotic therapy for a suspected bacterial infection (ESRD infection [iESRD] group, n = 21), and compared with those of ESRD patients on hemodialysis with no sign of infection (ESRD control [cESRD] group, n = 20). RESULTS: The mean serum PCT concentration of the iESRD group was significantly higher than in the cESRD group (2.95 +/- 3.67 ng/mL vs. 0.50 +/- 0.49 ng/mL, p = 0.006), but serum PCT concentrations did not correlate with severity of infection. The optimized threshold level derived for serum PCT was 0.75 ng/mL, rather than the currently used 0.5 ng/mL; this threshold demonstrated a sensitivity and specificity of 76.2% and 80.0% for infection and 100% and 60.6% for systemic inflammatory response syndrome, respectively, compared with the cutoff of 0.5 ng/mL. CONCLUSIONS: This study suggests that serum PCT at a cutoff value of 0.75 ng/mL is an appropriate indicator of infection in ESRD patients.", "author" : [ { "dropping-particle" : "", "family" : "Lee", "given" : "Wan Soo", "non-dropping-particle" : "", "parse-names" : false, "suffix" : "" }, { "dropping-particle" : "", "family" : "Kang", "given" : "Dae Woong", "non-dropping-particle" : "", "parse-names" : false, "suffix" : "" }, { "dropping-particle" : "", "family" : "Back", "given" : "Jong Hun", "non-dropping-particle" : "", "parse-names" : false, "suffix" : "" }, { "dropping-particle" : "", "family" : "Kim", "given" : "Hyun Lee", "non-dropping-particle" : "", "parse-names" : false, "suffix" : "" }, { "dropping-particle" : "", "family" : "Chung", "given" : "Jong Hoon", "non-dropping-particle" : "", "parse-names" : false, "suffix" : "" }, { "dropping-particle" : "", "family" : "Shin", "given" : "Byung Chul", "non-dropping-particle" : "", "parse-names" : false, "suffix" : "" } ], "container-title" : "The Korean journal of internal medicine", "id" : "ITEM-1", "issue" : "2", "issued" : { "date-parts" : [ [ "2015", "3" ] ] }, "language" : "eng", "page" : "198-204", "publisher-place" : "Korea (South)", "title" : "Cutoff value of serum procalcitonin as a diagnostic biomarker of infection in end-stage renal disease patients.", "type" : "article-journal", "volume" : "30" }, "uris" : [ "http://www.mendeley.com/documents/?uuid=6222a8cb-b833-4e4b-a924-b123fd477b86" ] }, { "id" : "ITEM-2", "itemData" : { "DOI" : "10.1093/ofid/ofu068", "ISSN" : "2328-8957 (Electronic)", "PMID" : "25734138", "abstract" : "BACKGROUND: It is unclear whether procalcitonin is an accurate predictor of bacterial infections in patients with renal impairment, although it is used as a biomarker for early diagnosis of sepsis. We determined the sensitivity, specificity, positive and negative predictive values, accuracy and best predictive value of procalcitonin for predicting bacterial infection in adult patients with severe renal impairment. METHODS: Retrospective study at a single-center community teaching hospital involving 473 patients, ages 18-65, with Modification of Diet in Renal Disease eGFR &lt;/=30 ml/min per 1.73 m(2), admitted between January 2009 and June 2012, with 660 independent hospital visits. A positive or negative culture (blood or identifiable focus of infection) was paired to the highest procalcitonin result performed 48 hours before or after collecting the culture. RESULTS: The sensitivity and specificity to predict bacterial infection, using a procalcitonin level threshold of 0.5 ng/mL, was 0.80 and 0.35 respectively. When isolating for presence of bacteremia, the sensitivity and specificity were 0.89 and 0.35 respectively. An equation adjusting for optimum thresholds of procalcitonin levels for predicting bacterial infection at different levels of eGFR had a sensitivity and specificity of 0.55 and 0.80 respectively. CONCLUSIONS: Procalcitonin is not a reliably sensitive or specific predictor of bacterial infection in patients with renal impairment when using a single threshold. Perhaps two thresholds should be employed, where below the lower threshold (i.e. 0.5 ng/mL) bacterial infection is unlikely with a sensitivity of 0.80, and above the higher threshold (i.e. 3.2 ng/mL) bacterial infection is very likely with a specificity of 0.75.", "author" : [ { "dropping-particle" : "", "family" : "El-Sayed", "given" : "Dena", "non-dropping-particle" : "", "parse-names" : false, "suffix" : "" }, { "dropping-particle" : "", "family" : "Grotts", "given" : "Jonathan", "non-dropping-particle" : "", "parse-names" : false, "suffix" : "" }, { "dropping-particle" : "", "family" : "Golgert", "given" : "William A", "non-dropping-particle" : "", "parse-names" : false, "suffix" : "" }, { "dropping-particle" : "", "family" : "Sugar", "given" : "Alan M", "non-dropping-particle" : "", "parse-names" : false, "suffix" : "" } ], "container-title" : "Open forum infectious diseases", "id" : "ITEM-2", "issue" : "2", "issued" : { "date-parts" : [ [ "2014", "9" ] ] }, "language" : "eng", "page" : "ofu068", "publisher-place" : "United States", "title" : "Sensitivity and specificity of procalcitonin in predicting bacterial infections in patients with renal impairment.", "type" : "article-journal", "volume" : "1" }, "uris" : [ "http://www.mendeley.com/documents/?uuid=3cd8c767-7f78-4a8f-a600-da08382b47f3" ] } ], "mendeley" : { "formattedCitation" : "&lt;sup&gt;[15,16]&lt;/sup&gt;", "plainTextFormattedCitation" : "[15,16]", "previouslyFormattedCitation" : "&lt;sup&gt;[15,16]&lt;/sup&gt;"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[15,16]</w:t>
      </w:r>
      <w:r w:rsidRPr="00664A42">
        <w:rPr>
          <w:rFonts w:ascii="Book Antiqua" w:hAnsi="Book Antiqua"/>
          <w:lang w:val="en-GB"/>
        </w:rPr>
        <w:fldChar w:fldCharType="end"/>
      </w:r>
      <w:r w:rsidRPr="00664A42">
        <w:rPr>
          <w:rFonts w:ascii="Book Antiqua" w:hAnsi="Book Antiqua"/>
          <w:lang w:val="en-GB"/>
        </w:rPr>
        <w:t xml:space="preserve">. Similarly, artificial reduction of the PCT level was also found after renal replacement </w:t>
      </w:r>
      <w:r w:rsidRPr="00664A42">
        <w:rPr>
          <w:rFonts w:ascii="Book Antiqua" w:hAnsi="Book Antiqua"/>
          <w:bCs/>
          <w:lang w:val="en-US"/>
        </w:rPr>
        <w:t>therapy</w:t>
      </w:r>
      <w:r w:rsidRPr="00664A42">
        <w:rPr>
          <w:rFonts w:ascii="Book Antiqua" w:hAnsi="Book Antiqua"/>
          <w:lang w:val="en-GB"/>
        </w:rPr>
        <w:t xml:space="preserve"> (</w:t>
      </w:r>
      <w:r w:rsidRPr="00664A42">
        <w:rPr>
          <w:rFonts w:ascii="Book Antiqua" w:hAnsi="Book Antiqua"/>
          <w:bCs/>
          <w:lang w:val="en-US"/>
        </w:rPr>
        <w:t xml:space="preserve">HCO-CVVHDF). Proteins with </w:t>
      </w:r>
      <w:r w:rsidRPr="00664A42">
        <w:rPr>
          <w:rFonts w:ascii="Book Antiqua" w:hAnsi="Book Antiqua"/>
          <w:lang w:val="en-US"/>
        </w:rPr>
        <w:t>MW</w:t>
      </w:r>
      <w:r w:rsidR="00E57C92" w:rsidRPr="00664A42">
        <w:rPr>
          <w:rFonts w:ascii="Book Antiqua" w:hAnsi="Book Antiqua"/>
          <w:lang w:val="en-US" w:eastAsia="zh-CN"/>
        </w:rPr>
        <w:t xml:space="preserve"> </w:t>
      </w:r>
      <w:r w:rsidRPr="00664A42">
        <w:rPr>
          <w:rFonts w:ascii="Book Antiqua" w:eastAsia="MS Gothic" w:hAnsi="Book Antiqua"/>
        </w:rPr>
        <w:t>&lt;</w:t>
      </w:r>
      <w:r w:rsidR="00E57C92" w:rsidRPr="00664A42">
        <w:rPr>
          <w:rFonts w:ascii="Book Antiqua" w:eastAsia="MS Gothic" w:hAnsi="Book Antiqua"/>
          <w:lang w:eastAsia="zh-CN"/>
        </w:rPr>
        <w:t xml:space="preserve"> </w:t>
      </w:r>
      <w:r w:rsidRPr="00664A42">
        <w:rPr>
          <w:rFonts w:ascii="Book Antiqua" w:hAnsi="Book Antiqua"/>
          <w:lang w:val="en-US"/>
        </w:rPr>
        <w:t>60 kDa is filtered by the dialysis membrane</w:t>
      </w:r>
      <w:r w:rsidRPr="00664A42">
        <w:rPr>
          <w:rFonts w:ascii="Book Antiqua" w:hAnsi="Book Antiqua"/>
          <w:lang w:val="en-US"/>
        </w:rPr>
        <w:fldChar w:fldCharType="begin" w:fldLock="1"/>
      </w:r>
      <w:r w:rsidRPr="00664A42">
        <w:rPr>
          <w:rFonts w:ascii="Book Antiqua" w:hAnsi="Book Antiqua"/>
          <w:lang w:val="en-US"/>
        </w:rPr>
        <w:instrText>ADDIN CSL_CITATION { "citationItems" : [ { "id" : "ITEM-1", "itemData" : { "DOI" : "10.1515/cclm-2013-0257", "ISSN" : "1437-4331 (Electronic)", "PMID" : "23787472", "author" : [ { "dropping-particle" : "", "family" : "Caldini", "given" : "Anna", "non-dropping-particle" : "", "parse-names" : false, "suffix" : "" }, { "dropping-particle" : "", "family" : "Chelazzi", "given" : "Cosimo", "non-dropping-particle" : "", "parse-names" : false, "suffix" : "" }, { "dropping-particle" : "", "family" : "Terreni", "given" : "Alessandro", "non-dropping-particle" : "", "parse-names" : false, "suffix" : "" }, { "dropping-particle" : "", "family" : "Biagioli", "given" : "Tiziana", "non-dropping-particle" : "", "parse-names" : false, "suffix" : "" }, { "dropping-particle" : "", "family" : "Giannoni", "given" : "Claudia", "non-dropping-particle" : "", "parse-names" : false, "suffix" : "" }, { "dropping-particle" : "", "family" : "Villa", "given" : "Gianluca", "non-dropping-particle" : "", "parse-names" : false, "suffix" : "" }, { "dropping-particle" : "", "family" : "Messeri", "given" : "Gianni", "non-dropping-particle" : "", "parse-names" : false, "suffix" : "" }, { "dropping-particle" : "", "family" : "Gaudio", "given" : "Angelo R", "non-dropping-particle" : "De", "parse-names" : false, "suffix" : "" } ], "container-title" : "Clinical chemistry and laboratory medicine", "id" : "ITEM-1", "issue" : "11", "issued" : { "date-parts" : [ [ "2013", "11" ] ] }, "language" : "eng", "page" : "e261-3", "publisher-place" : "Germany", "title" : "Is procalcitonin a reliable marker of sepsis in critically ill septic patients undergoing continuous veno-venous hemodiafiltration with \"high cut-off\" membranes (HCO-CVVHDF)?", "type" : "article", "volume" : "51" }, "uris" : [ "http://www.mendeley.com/documents/?uuid=01485377-6fe6-41e9-86a0-33133c32d6cc" ] } ], "mendeley" : { "formattedCitation" : "&lt;sup&gt;[17]&lt;/sup&gt;", "plainTextFormattedCitation" : "[17]", "previouslyFormattedCitation" : "&lt;sup&gt;[17]&lt;/sup&gt;" }, "properties" : { "noteIndex" : 0 }, "schema" : "https://github.com/citation-style-language/schema/raw/master/csl-citation.json" }</w:instrText>
      </w:r>
      <w:r w:rsidRPr="00664A42">
        <w:rPr>
          <w:rFonts w:ascii="Book Antiqua" w:hAnsi="Book Antiqua"/>
          <w:lang w:val="en-US"/>
        </w:rPr>
        <w:fldChar w:fldCharType="separate"/>
      </w:r>
      <w:r w:rsidRPr="00664A42">
        <w:rPr>
          <w:rFonts w:ascii="Book Antiqua" w:hAnsi="Book Antiqua"/>
          <w:noProof/>
          <w:vertAlign w:val="superscript"/>
          <w:lang w:val="en-US"/>
        </w:rPr>
        <w:t>[17]</w:t>
      </w:r>
      <w:r w:rsidRPr="00664A42">
        <w:rPr>
          <w:rFonts w:ascii="Book Antiqua" w:hAnsi="Book Antiqua"/>
          <w:lang w:val="en-US"/>
        </w:rPr>
        <w:fldChar w:fldCharType="end"/>
      </w:r>
      <w:r w:rsidRPr="00664A42">
        <w:rPr>
          <w:rFonts w:ascii="Book Antiqua" w:hAnsi="Book Antiqua"/>
          <w:lang w:val="en-US"/>
        </w:rPr>
        <w:t xml:space="preserve">. </w:t>
      </w:r>
      <w:r w:rsidRPr="00664A42">
        <w:rPr>
          <w:rFonts w:ascii="Book Antiqua" w:eastAsiaTheme="minorEastAsia" w:hAnsi="Book Antiqua"/>
          <w:lang w:val="en-GB" w:eastAsia="en-US"/>
        </w:rPr>
        <w:t>Thirdly, inflammatory state sustained by bacterial translocation (BT) and without overt infection is sufficient alone to elevate inflammatory markers to a significant level</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"ISSN" : "1108-7471 (Print)", "PMID" : "24733601", "abstract" : "In the general population, C-reactive protein (CRP) level increases in the presence of acute or chronic inflammation and infections. In patients with cirrhosis, the basal level is higher than in patients without cirrhosis, due to chronic hepatic and other inflammation, but when infection occurs the more severe the underlying liver dysfunction, the lower the increase in CRP. Therefore, the predictive power of CRP for infection and prognosis is weak in patients with decompensated/advanced cirrhosis and in the intensive care setting. However, higher CRP and also persistently elevated CRP levels can help identify patients with a higher short-term risk of mortality.", "author" : [ { "dropping-particle" : "", "family" : "Pieri", "given" : "Giulia", "non-dropping-particle" : "", "parse-names" : false, "suffix" : "" }, { "dropping-particle" : "", "family" : "Agarwal", "given" : "Banwari", "non-dropping-particle" : "", "parse-names" : false, "suffix" : "" }, { "dropping-particle" : "", "family" : "Burroughs", "given" : "Andrew K", "non-dropping-particle" : "", "parse-names" : false, "suffix" : "" } ], "container-title" : "Annals of gastroenterology : quarterly publication of the Hellenic Society of Gastroenterology", "id" : "ITEM-1", "issue" : "2", "issued" : { "date-parts" : [ [ "2014" ] ] }, "language" : "ENG", "page" : "113-120", "title" : "C-reactive protein and bacterial infection in cirrhosis.", "type" : "article", "volume" : "27" }, "uris" : [ "http://www.mendeley.com/documents/?uuid=d5703934-3965-4e03-9df6-3f39d0f25354" ] }, { "id" : "ITEM-2", "itemData" : { "DOI" : "10.1111/j.1478-3231.2011.02689.x", "ISSN" : "1478-3231", "abstract" : "Background Bacterial infections are common cause of morbidity and mortality in patients with cirrhosis. The early diagnosis of these infections is rather difficult. Aims To assess the accuracy of acute phase proteins in the identification of bacterial infections. Methods Concentration of C-reactive protein (CRP), procalcitonin (PCT), lipopolysaccharide-binding protein (LBP), sCD14 and antimicrobial antibodies were measured in serum of 368 well-characterized patients with cirrhosis of whom 139 had documented infection. Clinical data was gathered by reviewing the patients\u2019 medical charts. Results Serum levels of CRP, PCT and LBP were significantly higher in patients with clinically overt infections. Among the markers, CRP \u2013 using a 10 mg/L cut-off value\u2013 proved to be the most accurate in identifying patients with infection (AUC: 0.93). The accuracy of CRP, however, decreased in advanced stage of the disease, most probably because of the significantly elevated CRP levels in non-infected patients. Combination of CRP and PCT increased the sensitivity and negative predictive value, compared with CRP on its own, by 10 and 5% respectively. During a 3-month follow-up period in patients without overt infections, Kaplan\u2013Meier and proportional Cox-regression analyses showed that a CRP value of &gt;10 mg/L (P = 0.035) was independently associated with a shorter duration to progress to clinically significant bacterial infections. There was no correlation between acute phase protein levels and antimicrobial seroreactivity. Conclusions C-reactive protein on its own is a sensitive screening test for the presence of bacterial infections in cirrhosis and is also a useful marker to predict the likelihood of clinically significant bacterial infections in patients without overt infections.", "author" : [ { "dropping-particle" : "", "family" : "Papp", "given" : "Maria", "non-dropping-particle" : "", "parse-names" : false, "suffix" : "" }, { "dropping-particle" : "", "family" : "Vitalis", "given" : "Zsuzsanna", "non-dropping-particle" : "", "parse-names" : false, "suffix" : "" }, { "dropping-particle" : "", "family" : "Altorjay", "given" : "Istvan", "non-dropping-particle" : "", "parse-names" : false, "suffix" : "" }, { "dropping-particle" : "", "family" : "Tornai", "given" : "Istvan", "non-dropping-particle" : "", "parse-names" : false, "suffix" : "" }, { "dropping-particle" : "", "family" : "Udvardy", "given" : "Miklos", "non-dropping-particle" : "", "parse-names" : false, "suffix" : "" }, { "dropping-particle" : "", "family" : "Harsfalvi", "given" : "Jolan", "non-dropping-particle" : "", "parse-names" : false, "suffix" : "" }, { "dropping-particle" : "", "family" : "Vida", "given" : "Andras", "non-dropping-particle" : "", "parse-names" : false, "suffix" : "" }, { "dropping-particle" : "", "family" : "Kappelmayer", "given" : "Janos", "non-dropping-particle" : "", "parse-names" : false, "suffix" : "" }, { "dropping-particle" : "", "family" : "Lakatos", "given" : "Peter L", "non-dropping-particle" : "", "parse-names" : false, "suffix" : "" }, { "dropping-particle" : "", "family" : "Antal-Szalmas", "given" : "Peter", "non-dropping-particle" : "", "parse-names" : false, "suffix" : "" } ], "container-title" : "Liver International", "id" : "ITEM-2", "issue" : "4", "issued" : { "date-parts" : [ [ "2012" ] ] }, "page" : "603-611", "title" : "Acute phase proteins in the diagnosis and prediction of cirrhosis associated bacterial infections", "type" : "article-journal", "volume" : "32" }, "uris" : [ "http://www.mendeley.com/documents/?uuid=84c5da63-f9e8-4b27-9a0f-ab32ab8b7f1d" ] } ], "mendeley" : { "formattedCitation" : "&lt;sup&gt;[5,9]&lt;/sup&gt;", "plainTextFormattedCitation" : "[5,9]", "previouslyFormattedCitation" : "&lt;sup&gt;[5,9]&lt;/sup&gt;"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[5,9]</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Bacterial translocation is an increasing problem with diseases severity</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"10.1016/j.jhep.2013.07.044", "ISSN" : "1600-0641 (Electronic)", "PMID" : "23993913", "author" : [ { "dropping-particle" : "", "family" : "Wiest", "given" : "Reiner", "non-dropping-particle" : "", "parse-names" : false, "suffix" : "" }, { "dropping-particle" : "", "family" : "Lawson", "given" : "Melissa", "non-dropping-particle" : "", "parse-names" : false, "suffix" : "" }, { "dropping-particle" : "", "family" : "Geuking", "given" : "Markus", "non-dropping-particle" : "", "parse-names" : false, "suffix" : "" } ], "container-title" : "Journal of hepatology", "id" : "ITEM-1", "issue" : "1", "issued" : { "date-parts" : [ [ "2014", "1" ] ] }, "language" : "eng", "page" : "197-209", "publisher-place" : "Netherlands", "title" : "Pathological bacterial translocation in liver cirrhosis.", "type" : "article-journal", "volume" : "60" }, "uris" : [ "http://www.mendeley.com/documents/?uuid=2c35dc40-01d8-421b-9d94-7b308e646867" ] } ], "mendeley" : { "formattedCitation" : "&lt;sup&gt;[18]&lt;/sup&gt;", "plainTextFormattedCitation" : "[18]", "previouslyFormattedCitation" : "&lt;sup&gt;[18]&lt;/sup&gt;"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[18]</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w:t>
      </w:r>
    </w:p>
    <w:p w:rsidR="000A103F" w:rsidRPr="00664A42" w:rsidRDefault="000A103F" w:rsidP="003B01FB">
      <w:pPr>
        <w:widowControl w:val="0"/>
        <w:autoSpaceDE w:val="0"/>
        <w:autoSpaceDN w:val="0"/>
        <w:adjustRightInd w:val="0"/>
        <w:spacing w:line="360" w:lineRule="auto"/>
        <w:ind w:firstLine="360"/>
        <w:jc w:val="both"/>
        <w:rPr>
          <w:rFonts w:ascii="Book Antiqua" w:hAnsi="Book Antiqua"/>
          <w:lang w:val="en-GB"/>
        </w:rPr>
      </w:pPr>
      <w:r w:rsidRPr="00664A42">
        <w:rPr>
          <w:rFonts w:ascii="Book Antiqua" w:eastAsiaTheme="minorEastAsia" w:hAnsi="Book Antiqua"/>
          <w:lang w:val="en-GB" w:eastAsia="en-US"/>
        </w:rPr>
        <w:t xml:space="preserve">Accordingly, </w:t>
      </w:r>
      <w:r w:rsidRPr="00664A42">
        <w:rPr>
          <w:rFonts w:ascii="Book Antiqua" w:eastAsiaTheme="minorEastAsia" w:hAnsi="Book Antiqua"/>
          <w:lang w:val="en-US" w:eastAsia="en-US"/>
        </w:rPr>
        <w:t xml:space="preserve">data are not homogeneous about the optimal cut-off for either of CRP and PCT </w:t>
      </w:r>
      <w:r w:rsidRPr="00664A42">
        <w:rPr>
          <w:rFonts w:ascii="Book Antiqua" w:eastAsiaTheme="minorEastAsia" w:hAnsi="Book Antiqua" w:cs="Times"/>
          <w:lang w:val="en-US" w:eastAsia="en-US"/>
        </w:rPr>
        <w:t>to differentiate patients with infection from those without</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"ISSN" : "1665-2681 (Print)", "PMID" : "23813138", "abstract" : "INTRODUCTION: Bacterial infection is a frequent complication in patients with decompensated liver cirrhosis and is related to high mortality rates during follow-up of these individuals. We sought to evaluate the diagnostic value of C-reactive protein (CRP) and procalcitonin (PCT) in diagnosing infection and to investigate the relationship between these biomarkers and mortality after hospital admission. MATERIAL AND METHODS: Prospective study that included cirrhotic patients admitted to the hospital due to complications of the disease. The diagnostic accuracy of CRP and PCT for the diagnosis of infection was evaluated by estimating the sensitivity and specificity and by measuring the area under the receiver operating characteristics curve (AUROC). RESULTS: A total of 64 patients and 81 hospitalizations were analyzed during the study. The mean age was 54.31 +/- 11.87 years with male predominance (68.8%). Significantly higher median CRP and PCT levels were observed among infected patients (P &lt; 0.001). The AUROC of CRP and PCT for the diagnosis of infection were 0.835 +/- 0.052 and 0.860 +/- 0.047, respectively (P = 0.273). CRP levels &gt; 29.5 exhibited sensitivity of 82% and specificity of 81% for the diagnosis of bacterial infection. Similarly, PCT levels &gt; 1.10 showed sensitivity of 67% and specificity of 90%. Significantly higher levels of CRP (P = 0.026) and PCT (P = 0.001) were observed among those who died within three months after admission. CONCLUSION: CRP and PCT were reliable markers of bacterial infection in subjects admitted due to complications of liver cirrhosis and higher levels of these tests are related to short-term mortality in those patients.", "author" : [ { "dropping-particle" : "", "family" : "Lazzarotto", "given" : "Cesar", "non-dropping-particle" : "", "parse-names" : false, "suffix" : "" }, { "dropping-particle" : "", "family" : "Ronsoni", "given" : "Marcelo Fernando", "non-dropping-particle" : "", "parse-names" : false, "suffix" : "" }, { "dropping-particle" : "", "family" : "Fayad", "given" : "Leonardo", "non-dropping-particle" : "", "parse-names" : false, "suffix" : "" }, { "dropping-particle" : "", "family" : "Nogueira", "given" : "Christiane Lourenco", "non-dropping-particle" : "", "parse-names" : false, "suffix" : "" }, { "dropping-particle" : "", "family" : "Bazzo", "given" : "Maria Luiza", "non-dropping-particle" : "", "parse-names" : false, "suffix" : "" }, { "dropping-particle" : "", "family" : "Narciso-Schiavon", "given" : "Janaina Luz", "non-dropping-particle" : "", "parse-names" : false, "suffix" : "" }, { "dropping-particle" : "", "family" : "Lucca Schiavon", "given" : "Leonardo", "non-dropping-particle" : "de", "parse-names" : false, "suffix" : "" }, { "dropping-particle" : "", "family" : "Dantas-Correa", "given" : "Esther Buzaglo", "non-dropping-particle" : "", "parse-names" : false, "suffix" : "" } ], "container-title" : "Annals of hepatology", "id" : "ITEM-1", "issue" : "4", "issued" : { "date-parts" : [ [ "2013" ] ] }, "language" : "eng", "page" : "599-607", "publisher-place" : "Mexico", "title" : "Acute phase proteins for the diagnosis of bacterial infection and prediction of mortality in acute complications of cirrhosis.", "type" : "article-journal", "volume" : "12" }, "uris" : [ "http://www.mendeley.com/documents/?uuid=7526c82f-116d-4f14-8cce-c5d5ea7a01d8" ] }, { "id" : "ITEM-2", "itemData" : { "DOI" : "10.1016/j.jhep.2011.12.030", "ISSN" : "1600-0641 (Electronic)", "PMID" : "22314431", "abstract" : "BACKGROUND &amp; AIMS: We aimed at improving prediction of short-term mortality in cirrhotic inpatients by evaluating C-reactive protein (CRP) as a surrogate marker of systemic inflammatory response syndrome (SIRS). METHODS: One-hundred and forty-eight consecutive cirrhotic patients with Child-Pugh score &gt;/= B8 and without hepatocellular carcinoma were prospectively included and followed for 182 days. The primary end point was 6-month survival. RESULTS: Main baseline characteristics were as follows: alcoholic liver disease in 88.5%; bacterial infection in 37%; hepatorenal syndrome in 7% of cases. CRP range was 1-240 mg/L (median 26 mg/L); 42 patients (28.4%) had SIRS as defined by ACCP/SCCM-criteria. CRP levels were higher in patients with SIRS (50 vs. 21 mg/L; p&lt;0.0001), infection (46 vs. 27 mg/L; p&lt;0.0001), and alcoholic hepatitis (44 vs. 32 mg/L, p=0.049). Forty-two patients died within the first 6 months of follow-up. Short-term mortality was associated with extrahepatic co-morbidities (p=0.002), high MELD score (p&lt;0.001; AUROC=0.67), renal failure (p=0.008), elevated blood lactates (p&lt;0.001), and high baseline CRP levels (p=0.003; AUROC=0.63; best cut-off value at 29 mg/L). Among patients with baseline CRP &gt;/= 29 mg/L, 32 still had CRP &gt;/= 29 mg/L at day 15 (group A). Group A was associated with 6-month mortality in the overall population (p&lt;0.001) and also through sensitivity analyses restricted to patients without infection or alcoholic hepatitis. Multivariate analysis (Cox) adjusted for age identified three predictors of mortality: high MELD score (HR=1.08; 95% CI: 1.03-1.12; p&lt;0.001), extrahepatic co-morbidities (HR=2.51; 95% CI: 1.31-4.84; p=0.006), and CRP level (group A) (HR=2.73; 95% CI: 1.41-5.26; p=0.003). The performance of the three variables taken together for predicting death was 0.80 (AUROC). CONCLUSIONS: In Child-Pugh score &gt;/= B8 cirrhotic patients, persistent CRP levels &gt;/= 29 mg/L predicted short-term mortality independently of age, MELD, and co-morbidities, and better than infection or clinically-assessed SIRS.", "author" : [ { "dropping-particle" : "", "family" : "Cervoni", "given" : "Jean-Paul", "non-dropping-particle" : "", "parse-names" : false, "suffix" : "" }, { "dropping-particle" : "", "family" : "Thevenot", "given" : "Thierry", "non-dropping-particle" : "", "parse-names" : false, "suffix" : "" }, { "dropping-particle" : "", "family" : "Weil", "given" : "Delphine", "non-dropping-particle" : "", "parse-names" : false, "suffix" : "" }, { "dropping-particle" : "", "family" : "Muel", "given" : "Emilie", "non-dropping-particle" : "", "parse-names" : false, "suffix" : "" }, { "dropping-particle" : "", "family" : "Barbot", "given" : "Olivier", "non-dropping-particle" : "", "parse-names" : false, "suffix" : "" }, { "dropping-particle" : "", "family" : "Sheppard", "given" : "Frances", "non-dropping-particle" : "", "parse-names" : false, "suffix" : "" }, { "dropping-particle" : "", "family" : "Monnet", "given" : "Elisabeth", "non-dropping-particle" : "", "parse-names" : false, "suffix" : "" }, { "dropping-particle" : "", "family" : "Martino", "given" : "Vincent", "non-dropping-particle" : "Di", "parse-names" : false, "suffix" : "" } ], "container-title" : "Journal of hepatology", "id" : "ITEM-2", "issue" : "6", "issued" : { "date-parts" : [ [ "2012", "6" ] ] }, "language" : "eng", "page" : "1299-1304", "publisher-place" : "England", "title" : "C-reactive protein predicts short-term mortality in patients with cirrhosis.", "type" : "article-journal", "volume" : "56" }, "uris" : [ "http://www.mendeley.com/documents/?uuid=7e96b1ac-19da-41e2-af38-0cb4dea7b91a" ] }, { "id" : "ITEM-3", "itemData" : { "DOI" : "10.1111/j.1553-2712.2010.00991.x", "ISSN" : "1553-2712 (Electronic)", "PMID" : "21276124", "abstract" : "OBJECTIVES: The objective was to determine the diagnostic accuracy of procalcitonin measurement for bacterial infections in patients with all causes of liver cirrhosis. METHODS: The authors conducted a cross-sectional study of 98 patients with cirrhosis treated in the emergency department (ED) of Chang-Gung Memorial Hospital, Taiwan. Serum procalcitonin levels and other clinical information were obtained concurrently. Patients were assigned to a sepsis or nonsepsis group after the medical records were reviewed by two emergency physicians blinded to the study. Receiver operating characteristic (ROC) curve analysis was conducted to determine the sensitivity, specificity, likelihood ratio, and suggested cutoff values. The diagnostic accuracy of the C-reactive protein (CRP) level was also determined for comparison. RESULTS: A total of 98 patients were enrolled for analysis in 1 year. Twenty-seven patients (27.6%) were assigned to the sepsis group. Eleven patients (11.2%) had positive blood cultures. The areas under the ROC curves for procalcitonin and CRP in predicting sepsis were 0.89 (95% confidence interval [CI] = 0.77 to 0.92) and 0.81 (95% CI = 0.72 to 0.89), respectively (p = 0.11). The cutoff that maximized Youden's index was 0.49 ng/mL for procalcitonin and 24.7 mg/L for CRP. At these cutoffs, the sensitivity and specificity were 81.5 and 87.3% for procalcitonin and 80.0 and 80.3% for CRP. These results suggest that procalcitonin measurement shows at least an equivalent diagnostic accuracy to CRP measurement. CONCLUSIONS: Procalcitonin provided satisfactory diagnostic accuracy in differentiating bacterial infections in patients with all causes of liver cirrhosis in the ED. A cutoff value of 0.5 ng/mL is suggested for clinical use.", "author" : [ { "dropping-particle" : "", "family" : "Li", "given" : "Chih-Huang", "non-dropping-particle" : "", "parse-names" : false, "suffix" : "" }, { "dropping-particle" : "", "family" : "Yang", "given" : "Ruey-Bing", "non-dropping-particle" : "", "parse-names" : false, "suffix" : "" }, { "dropping-particle" : "", "family" : "Pang", "given" : "Jong-Hwei S", "non-dropping-particle" : "", "parse-names" : false, "suffix" : "" }, { "dropping-particle" : "", "family" : "Chang", "given" : "Shy-Shin", "non-dropping-particle" : "", "parse-names" : false, "suffix" : "" }, { "dropping-particle" : "", "family" : "Lin", "given" : "Chih-Chuan", "non-dropping-particle" : "", "parse-names" : false, "suffix" : "" }, { "dropping-particle" : "", "family" : "Chen", "given" : "Chien-Hsiun", "non-dropping-particle" : "", "parse-names" : false, "suffix" : "" }, { "dropping-particle" : "", "family" : "Chen", "given" : "Hsien-Yi", "non-dropping-particle" : "", "parse-names" : false, "suffix" : "" }, { "dropping-particle" : "", "family" : "Chiu", "given" : "Te-Fa", "non-dropping-particle" : "", "parse-names" : false, "suffix" : "" } ], "container-title" : "Academic emergency medicine : official journal of the Society for Academic Emergency Medicine", "id" : "ITEM-3", "issue" : "2", "issued" : { "date-parts" : [ [ "2011", "2" ] ] }, "language" : "eng", "page" : "121-126", "publisher-place" : "United States", "title" : "Procalcitonin as a biomarker for bacterial infections in patients with liver cirrhosis in the emergency department.", "type" : "article-journal", "volume" : "18" }, "uris" : [ "http://www.mendeley.com/documents/?uuid=97e0a4a5-5c23-4870-bb3d-7b1bbcd29e46" ] }, { "id" : "ITEM-4", "itemData" : { "DOI" : "10.1016/j.lab.2005.08.005", "ISSN" : "0022-2143 (Print)", "PMID" : "16310518", "abstract" : "Concentrations of C-reactive protein (CRP) and procalcitonin (PCT) have been suggested as markers of infection. The liver is believed to be a key source of CRP and PCT. For this reason we assessed the predictive value of these markers in patients with hepatic cirrhosis in a 31-bed university-hospital department of intensive care. Demographic, clinical, laboratory, and microbiologic data were collected prospectively over 9 months. Of 864 patients included in the study, 79 (9%) had hepatic cirrhosis. Patients with cirrhosis were more likely to have a medical than a surgical admission diagnosis (67 vs 47%, P = .03). They also had a higher rate of infection (48 vs 30%, P = .03) and higher mortality (44 vs 17%, P = .01) than did patients without cirrhosis. We detected no differences in CRP and PCT concentrations among patients with cirrhosis and different disease severity as assessed on the basis of Child-Pugh score. The serum CRP concentration (admission 11.2 +/- 4.6 vs 13.0 +/- 5.8, maximum 13.9 +/- 6.4 vs 18.8 +/- 7.3 mg/dL) and PCT (admission 1.3 +/- 0.9 vs 2.0 +/- 1.4, maximum 3.3 +/- 1.8 vs 3.4 +/- 2.1 ng/mL) were slightly lower in infected patients with cirrhosis than in infected patients without cirrhosis, but the differences were not statistically significant. Although the liver is considered the main source of CRP and a source of PCT, serum levels of these acute-phase proteins are not significantly lower in patients with cirrhosis than in other patients. Moreover, the predictive power of CRP and PCT for infection was similar for patients with and without cirrhosis.", "author" : [ { "dropping-particle" : "", "family" : "Bota", "given" : "Daliana Peres", "non-dropping-particle" : "", "parse-names" : false, "suffix" : "" }, { "dropping-particle" : "", "family" : "Nuffelen", "given" : "Marc", "non-dropping-particle" : "Van", "parse-names" : false, "suffix" : "" }, { "dropping-particle" : "", "family" : "Zakariah", "given" : "Ahmed N", "non-dropping-particle" : "", "parse-names" : false, "suffix" : "" }, { "dropping-particle" : "", "family" : "Vincent", "given" : "Jean-Louis", "non-dropping-particle" : "", "parse-names" : false, "suffix" : "" } ], "container-title" : "The Journal of laboratory and clinical medicine", "id" : "ITEM-4", "issue" : "6", "issued" : { "date-parts" : [ [ "2005", "12" ] ] }, "language" : "eng", "page" : "347-351", "publisher-place" : "United States", "title" : "Serum levels of C-reactive protein and procalcitonin in critically ill patients with cirrhosis of the liver.", "type" : "article-journal", "volume" : "146" }, "uris" : [ "http://www.mendeley.com/documents/?uuid=1fc037ac-be9d-47e2-8713-74133f62c00f" ] }, { "id" : "ITEM-5", "itemData" : { "ISSN" : "0342-4642 (Print)", "PMID" : "11030164", "abstract" : "OBJECTIVE: To assess the potential role of procalcitonin and pro-inflammatory cytokines, TNF-alpha, and IL-6, in the diagnosis of spontaneous bacterial peritonitis (SBP). DESIGN: Prospective study. SETTING: The emergency unit of a teaching hospital. PATIENTS: We included 21 patients with SBP and 40 patients with sterile ascitic fluid. INTERVENTIONS: None. MEASUREMENTS AND MAIN RESULTS: For the diagnosis of SBP, the best markers were serum levels of procalcitonin with a cut-off value of 0.75 ng/ml, a sensitivity of 95%, a specificity of 98%, and ascitic fluid levels of IL-6 with a cut-off value of 5,000 ng/ml, a sensitivity of 100%, and a specificity of 88%. C-reactive protein and serum polymorphonuclear count have low sensitivity/specificity at 62/92% and 57/90%, respectively. From 21 patients with SBP, ascitic fluid to serum ratio of TNF-alpha and IL-6 was greater than to 2 in all cases with a mean at 6.2 +/- 6.5 and 34 +/- 31, respectively. By contrast, this ratio for procalcitonin was less than 1 in all cases with a mean at 0.31 +/- 0.25. We found no correlation between procalcitonin levels and cytokine levels in either ascitic fluid or serum. CONCLUSIONS: Serum procalcitonin level may become a useful marker for the diagnosis of SBP in cirrhotic patients. The low ratio of ascitic fluid to serum procalcitonin supports the hypothesis that procalcitonin is not produced intraperitoneally.", "author" : [ { "dropping-particle" : "", "family" : "Viallon", "given" : "A", "non-dropping-particle" : "", "parse-names" : false, "suffix" : "" }, { "dropping-particle" : "", "family" : "Zeni", "given" : "F", "non-dropping-particle" : "", "parse-names" : false, "suffix" : "" }, { "dropping-particle" : "", "family" : "Pouzet", "given" : "V", "non-dropping-particle" : "", "parse-names" : false, "suffix" : "" }, { "dropping-particle" : "", "family" : "Lambert", "given" : "C", "non-dropping-particle" : "", "parse-names" : false, "suffix" : "" }, { "dropping-particle" : "", "family" : "Quenet", "given" : "S", "non-dropping-particle" : "", "parse-names" : false, "suffix" : "" }, { "dropping-particle" : "", "family" : "Aubert", "given" : "G", "non-dropping-particle" : "", "parse-names" : false, "suffix" : "" }, { "dropping-particle" : "", "family" : "Guyomarch", "given" : "S", "non-dropping-particle" : "", "parse-names" : false, "suffix" : "" }, { "dropping-particle" : "", "family" : "Tardy", "given" : "B", "non-dropping-particle" : "", "parse-names" : false, "suffix" : "" }, { "dropping-particle" : "", "family" : "Bertrand", "given" : "J C", "non-dropping-particle" : "", "parse-names" : false, "suffix" : "" } ], "container-title" : "Intensive care medicine", "id" : "ITEM-5", "issue" : "8", "issued" : { "date-parts" : [ [ "2000", "8" ] ] }, "language" : "eng", "page" : "1082-1088", "publisher-place" : "UNITED STATES", "title" : "Serum and ascitic procalcitonin levels in cirrhotic patients with spontaneous bacterial peritonitis: diagnostic value and relationship to pro-inflammatory cytokines.", "type" : "article-journal", "volume" : "26" }, "uris" : [ "http://www.mendeley.com/documents/?uuid=7269f321-2daf-4f7d-b3ad-38764b910cf1" ] } ], "mendeley" : { "formattedCitation" : "&lt;sup&gt;[19\u201323]&lt;/sup&gt;", "plainTextFormattedCitation" : "[19\u201323]", "previouslyFormattedCitation" : "&lt;sup&gt;[19\u201323]&lt;/sup&gt;"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[19–23]</w:t>
      </w:r>
      <w:r w:rsidRPr="00664A42">
        <w:rPr>
          <w:rFonts w:ascii="Book Antiqua" w:eastAsiaTheme="minorEastAsia" w:hAnsi="Book Antiqua" w:cs="Times"/>
          <w:lang w:val="en-US" w:eastAsia="en-US"/>
        </w:rPr>
        <w:fldChar w:fldCharType="end"/>
      </w:r>
      <w:r w:rsidRPr="00664A42">
        <w:rPr>
          <w:rFonts w:ascii="Book Antiqua" w:hAnsi="Book Antiqua"/>
          <w:lang w:val="en-GB"/>
        </w:rPr>
        <w:t>. Probably using a single threshold is not appropriate. Additional biomarkers are highly needed to optimize the rule in and rule out processes necessary for the diagnosis and also for the severity assessment of the infectious episodes in cirrhosis.</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US" w:eastAsia="en-US"/>
        </w:rPr>
      </w:pPr>
      <w:r w:rsidRPr="00664A42">
        <w:rPr>
          <w:rFonts w:ascii="Book Antiqua" w:hAnsi="Book Antiqua"/>
          <w:lang w:val="en-GB"/>
        </w:rPr>
        <w:t xml:space="preserve">Presepsin (soluble CD14 subtype, sCD14-ST) </w:t>
      </w:r>
      <w:r w:rsidRPr="00664A42">
        <w:rPr>
          <w:rFonts w:ascii="Book Antiqua" w:eastAsiaTheme="minorEastAsia" w:hAnsi="Book Antiqua"/>
          <w:lang w:val="en-US" w:eastAsia="en-US"/>
        </w:rPr>
        <w:t>is a 13-kDa-cleavage product of CD14 receptor that recognizes different cell surface structure of both Gram-negative and positive bacteria. Presepsin in the circulation can be perceived as a witness of activated monocyte-macrophage in response to pathogens</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"10.1016/j.cca.2015.06.026", "ISSN" : "1873-3492 (Electronic)", "PMID" : "26164388", "abstract" : "Innate immunity is the first barrier to fight off bacteria, and partly relies on  the engagement of the membrane coreceptor CD14. A product of cleavage of CD14, the soluble subtype of CD14 (sCD14-ST) or presepsin, is released in circulation after activation of defense mechanisms. Presepsin can be detected by biochemical methods and therefore appears as an emergent biomarker of infection. Here we present the rationale for presepsin development and recent data supporting its use at bedside. Presepsin may be worthwhile for early diagnosis and prognostic assessment of patients with systemic infections. This biomarker shows high specificity, and results from experimental and clinical studies are reinforcing the proof of concept. Performances place presepsin at the level of PCT who is used as a comparator. Biomarkers of infection are futile to diagnose infection with direct access to bacteria (as urinary tract infection, meningitis), but their use can be advocated to ascertain unclear diagnosis. Future developments of presepsin will probably use clinical models with a Bayesian approach to ascertain the additional value of the biomarker at bedside.", "author" : [ { "dropping-particle" : "", "family" : "Chenevier-Gobeaux", "given" : "Camille", "non-dropping-particle" : "", "parse-names" : false, "suffix" : "" }, { "dropping-particle" : "", "family" : "Borderie", "given" : "Didier", "non-dropping-particle" : "", "parse-names" : false, "suffix" : "" }, { "dropping-particle" : "", "family" : "Weiss", "given" : "Nicolas", "non-dropping-particle" : "", "parse-names" : false, "suffix" : "" }, { "dropping-particle" : "", "family" : "Mallet-Coste", "given" : "Thomas", "non-dropping-particle" : "", "parse-names" : false, "suffix" : "" }, { "dropping-particle" : "", "family" : "Claessens", "given" : "Yann-Erick", "non-dropping-particle" : "", "parse-names" : false, "suffix" : "" } ], "container-title" : "Clinica chimica acta; international journal of clinical chemistry", "id" : "ITEM-1", "issued" : { "date-parts" : [ [ "2015", "10" ] ] }, "language" : "eng", "page" : "97-103", "publisher-place" : "Netherlands", "title" : "Presepsin (sCD14-ST), an innate immune response marker in sepsis.", "type" : "article-journal", "volume" : "450" }, "uris" : [ "http://www.mendeley.com/documents/?uuid=ada60edf-1735-46d8-8936-3dd603764bea" ] } ], "mendeley" : { "formattedCitation" : "&lt;sup&gt;[24]&lt;/sup&gt;", "plainTextFormattedCitation" : "[24]", "previouslyFormattedCitation" : "&lt;sup&gt;[24]&lt;/sup&gt;"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[24]</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Several recent </w:t>
      </w:r>
      <w:r w:rsidRPr="00664A42">
        <w:rPr>
          <w:rFonts w:ascii="Book Antiqua" w:eastAsiaTheme="minorEastAsia" w:hAnsi="Book Antiqua"/>
          <w:lang w:val="en-GB" w:eastAsia="en-US"/>
        </w:rPr>
        <w:t>clinical studies have shown that presepsin is a specific and sensitive novel marker for the diagnosis of sepsis</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"10.1186/2110-5820-3-22", "ISSN" : "2110-5820 (Electronic)", "PMID" : "23837559", "abstract" : "In the context of worldwide increasing antimicrobial resistance, good antimicrobial prescribing in more needed than ever; unfortunately, information available to clinicians often are insufficient to rely on. Biomarkers might provide help for decision-making and improve antibiotic management. The purpose of this expert panel review was to examine currently available literature on the potential role of biomarkers to improve antimicrobial prescribing, by answering three questions: 1) Which are the biomarkers available for this purpose?; 2) What is their potential role in the initiation of antibiotic therapy?; and 3) What is their role in the decision to stop antibiotic therapy? To answer these questions, studies reviewed were limited to recent clinical studies (&lt;15 years), involving a substantial number of patients (&gt;50) and restricted to controlled trials and meta-analyses for answering questions 2 and 3. With regard to the first question concerning routinely available biomarkers, which might be useful for antibiotic management of acute infections, these are currently limited to C-reactive protein (CRP) and procalcitonin (PCT). Other promising biomarkers that may prove useful in the near future but need to undergo more extensive clinical testing include sTREM-1, suPAR, ProADM, and Presepsin. New approaches to biomarkers of infections include point-of-care testing and genomics.", "author" : [ { "dropping-particle" : "", "family" : "Dupuy", "given" : "Anne-Marie", "non-dropping-particle" : "", "parse-names" : false, "suffix" : "" }, { "dropping-particle" : "", "family" : "Philippart", "given" : "Francois", "non-dropping-particle" : "", "parse-names" : false, "suffix" : "" }, { "dropping-particle" : "", "family" : "Pean", "given" : "Yves", "non-dropping-particle" : "", "parse-names" : false, "suffix" : "" }, { "dropping-particle" : "", "family" : "Lasocki", "given" : "Sigismond", "non-dropping-particle" : "", "parse-names" : false, "suffix" : "" }, { "dropping-particle" : "", "family" : "Charles", "given" : "Pierre-Emmanuel", "non-dropping-particle" : "", "parse-names" : false, "suffix" : "" }, { "dropping-particle" : "", "family" : "Chalumeau", "given" : "Martin", "non-dropping-particle" : "", "parse-names" : false, "suffix" : "" }, { "dropping-particle" : "", "family" : "Claessens", "given" : "Yann-Eric", "non-dropping-particle" : "", "parse-names" : false, "suffix" : "" }, { "dropping-particle" : "", "family" : "Quenot", "given" : "Jean-Pierre", "non-dropping-particle" : "", "parse-names" : false, "suffix" : "" }, { "dropping-particle" : "", "family" : "Guen", "given" : "Christele Gras-Le", "non-dropping-particle" : "", "parse-names" : false, "suffix" : "" }, { "dropping-particle" : "", "family" : "Ruiz", "given" : "Stephanie", "non-dropping-particle" : "", "parse-names" : false, "suffix" : "" }, { "dropping-particle" : "", "family" : "Luyt", "given" : "Charles-Edouard", "non-dropping-particle" : "", "parse-names" : false, "suffix" : "" }, { "dropping-particle" : "", "family" : "Roche", "given" : "Nicolas", "non-dropping-particle" : "", "parse-names" : false, "suffix" : "" }, { "dropping-particle" : "", "family" : "Stahl", "given" : "Jean-Paul", "non-dropping-particle" : "", "parse-names" : false, "suffix" : "" }, { "dropping-particle" : "", "family" : "Bedos", "given" : "Jean-Pierre", "non-dropping-particle" : "", "parse-names" : false, "suffix" : "" }, { "dropping-particle" : "", "family" : "Pugin", "given" : "Jerome", "non-dropping-particle" : "", "parse-names" : false, "suffix" : "" }, { "dropping-particle" : "", "family" : "Gauzit", "given" : "Remy", "non-dropping-particle" : "", "parse-names" : false, "suffix" : "" }, { "dropping-particle" : "", "family" : "Misset", "given" : "Benoit", "non-dropping-particle" : "", "parse-names" : false, "suffix" : "" }, { "dropping-particle" : "", "family" : "Brun-Buisson", "given" : "Christian", "non-dropping-particle" : "", "parse-names" : false, "suffix" : "" } ], "container-title" : "Annals of intensive care", "id" : "ITEM-1", "issue" : "1", "issued" : { "date-parts" : [ [ "2013" ] ] }, "language" : "eng", "page" : "22", "publisher-place" : "Germany", "title" : "Role of biomarkers in the management of antibiotic therapy: an expert panel review: I - currently available biomarkers for clinical use in acute infections.", "type" : "article-journal", "volume" : "3" }, "uris" : [ "http://www.mendeley.com/documents/?uuid=8c2a0b6f-b135-48a6-8532-b7f491066a17" ] } ], "mendeley" : { "formattedCitation" : "&lt;sup&gt;[25]&lt;/sup&gt;", "plainTextFormattedCitation" : "[25]", "previouslyFormattedCitation" : "&lt;sup&gt;[25]&lt;/sup&gt;"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[25]</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for evaluating the severity of sepsis and for predicting the outcome</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"10.2147/TCRM.S84811", "ISSN" : "1176-6336 (Print)", "PMID" : "26170681", "abstract" : "BACKGROUND: The diagnosis of sepsis remains a clinical challenge. Many studies suggest that presepsin plays a role in diagnosing sepsis, but the results remain controversial. This study aimed to identify the overall diagnostic accuracy of presepsin for sepsis through meta-analysis. METHODS: A systematic literature search was performed in PubMed and EMBASE to identify studies evaluating the diagnostic accuracy of presepsin in sepsis patients. Data were retrieved and the pooled sensitivity, specificity, positive likelihood ratio, negative likelihood ratio, and diagnostic odds ratio (DOR) were calculated. A summary receiver operating characteristic curve and area under curve (AUC) were used to evaluate the overall diagnostic performance. The statistical analysis was performed using Stata 12.0 and Meta-DiSc 1.4 software. RESULTS: Eleven publications with 3,106 subjects were included in the meta-analysis. The pooled sensitivity, specificity, positive likelihood ratio, negative likelihood ratio, and DOR were 0.83 (95% confidence interval [CI] 0.77-0.88), 0.81 (95% CI 0.74-0.87), 4.43 (95% CI 3.05-6.43), 0.21 (95% CI 0.14-0.30), and 21.56 (95% CI 10.59-43.88), respectively. The area under the curve was 0.89 (95% CI 0.86-0.92). Estimated positive and negative post-probability values for a sepsis prevalence of 20% were 53% and 5%, respectively. No publication bias was identified. CONCLUSION: Based on currently available evidence, presepsin may have a valuable role in the diagnosis of sepsis, and its results should be interpreted carefully in the context of clinical condition and traditional markers.", "author" : [ { "dropping-particle" : "", "family" : "Tong", "given" : "Xiaomeng", "non-dropping-particle" : "", "parse-names" : false, "suffix" : "" }, { "dropping-particle" : "", "family" : "Cao", "given" : "Yongtong", "non-dropping-particle" : "", "parse-names" : false, "suffix" : "" }, { "dropping-particle" : "", "family" : "Yu", "given" : "Min", "non-dropping-particle" : "", "parse-names" : false, "suffix" : "" }, { "dropping-particle" : "", "family" : "Han", "given" : "Chengwu", "non-dropping-particle" : "", "parse-names" : false, "suffix" : "" } ], "container-title" : "Therapeutics and clinical risk management", "id" : "ITEM-1", "issued" : { "date-parts" : [ [ "2015" ] ] }, "language" : "eng", "page" : "1027-1033", "publisher-place" : "New Zealand", "title" : "Presepsin as a diagnostic marker for sepsis: evidence from a bivariate meta-analysis.", "type" : "article-journal", "volume" : "11" }, "uris" : [ "http://www.mendeley.com/documents/?uuid=54b90422-38e5-4e88-b8fc-8bb860dfe57d" ] }, { "id" : "ITEM-2", "itemData" : { "DOI" : "10.1371/journal.pone.0133057", "ISSN" : "1932-6203 (Electronic)", "PMID" : "26192602", "abstract" : "OBJECTIVE: It's difficult to differentiate sepsis from non-sepsis, especially non-infectious SIRS, because no good standard exists for proof of infection. Soluble CD14 subtype (sCD14-ST), recently re-named presepsin, was identified as a new marker for the diagnosis of sepsis in several reports. However, the findings were based on the results of individual clinical trials, rather than a comprehensive and overall estimation. Thus, we conducted this systematic review and meta-analysis to estimate the pooled accuracy of presepsin in patients with sepsis suspect. METHODS: A comprehensive electronic search was performed via internet retrieval system up to 15 December 2014. Methodological quality assessment was applied by using the QUADAS2 tool. The diagnostic value of presepsin in sepsis was evaluated by using the pooled estimate of sensitivity, specificity, likelihood ratio, and diagnostic odds ratio, as well as summary receiver operating characteristics curve. RESULTS: Nine studies with 10 trials and 2159 cases were included in the study. Only two trials had low concerns regarding applicability, whereas all trials were deemed to be at high risk of bias. Heterogeneity existed in the non-threshold effect, but not in the threshold effect. The pooled sensitivity of presepsin for sepsis was 0.78 (0.76-0.80), pooled specificity was 0.83 (0.80-0.85), pooled positive likelihood ratio was 4.63 (3.27-6.55), pooled negative likelihood ratio was 0.22 (0.16-0.30), and pooled diagnostic odds ratio was 21.73 (12.81-36.86). The area under curve of summary receiver operating characteristics curve was 0.89 (95%CI: 0.84 to 0.94) and Q* index was 0.82 (95%CI: 0.77 to 0.87). CONCLUSION: This meta-analysis demonstrates that presepsin had some superiority in the management of patients, and may be a helpful and valuable biomarker in early diagnosis of sepsis. However, presepsin showed a moderate diagnostic accuracy in differentiating sepsis from non-sepsis which prevented it from being recommended as a definitive test for diagnosing sepsis in isolation, but the results should be interpreted cautiously.", "author" : [ { "dropping-particle" : "", "family" : "Wu", "given" : "Jiayuan", "non-dropping-particle" : "", "parse-names" : false, "suffix" : "" }, { "dropping-particle" : "", "family" : "Hu", "given" : "Liren", "non-dropping-particle" : "", "parse-names" : false, "suffix" : "" }, { "dropping-particle" : "", "family" : "Zhang", "given" : "Gaohua", "non-dropping-particle" : "", "parse-names" : false, "suffix" : "" }, { "dropping-particle" : "", "family" : "Wu", "given" : "Fenping", "non-dropping-particle" : "", "parse-names" : false, "suffix" : "" }, { "dropping-particle" : "", "family" : "He", "given" : "Taiping", "non-dropping-particle" : "", "parse-names" : false, "suffix" : "" } ], "container-title" : "PloS one", "id" : "ITEM-2", "issue" : "7", "issued" : { "date-parts" : [ [ "2015" ] ] }, "language" : "eng", "page" : "e0133057", "publisher-place" : "United States", "title" : "Accuracy of Presepsin in Sepsis Diagnosis: A Systematic Review and Meta-Analysis.", "type" : "article-journal", "volume" : "10" }, "uris" : [ "http://www.mendeley.com/documents/?uuid=09d82c84-6c04-4243-a175-11cb2b3b9b5c" ] } ], "mendeley" : { "formattedCitation" : "&lt;sup&gt;[26,27]&lt;/sup&gt;", "plainTextFormattedCitation" : "[26,27]", "previouslyFormattedCitation" : "&lt;sup&gt;[26,27]&lt;/sup&gt;"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[26,27]</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w:t>
      </w:r>
      <w:r w:rsidRPr="00664A42">
        <w:rPr>
          <w:rFonts w:ascii="Book Antiqua" w:eastAsiaTheme="minorEastAsia" w:hAnsi="Book Antiqua"/>
          <w:lang w:val="en-US" w:eastAsia="en-US"/>
        </w:rPr>
        <w:t xml:space="preserve">Beyond sepsis, presepsin </w:t>
      </w:r>
      <w:r w:rsidRPr="00664A42">
        <w:rPr>
          <w:rFonts w:ascii="Book Antiqua" w:eastAsiaTheme="minorEastAsia" w:hAnsi="Book Antiqua"/>
          <w:lang w:val="en-GB" w:eastAsia="en-US"/>
        </w:rPr>
        <w:t xml:space="preserve">is worthy of studying in those clinical settings, where systemic infections are frequently associated with severe diseases course such in cirrhosis </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 xml:space="preserve">acute decompensation </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AD</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 organ failure</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 xml:space="preserve">. Contributive role of presepsin for the diagnosis and prognosis of cirrhosis associated bacterial infection has not been assessed extensively so far.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US" w:eastAsia="en-US"/>
        </w:rPr>
      </w:pPr>
      <w:r w:rsidRPr="00664A42">
        <w:rPr>
          <w:rFonts w:ascii="Book Antiqua" w:eastAsiaTheme="minorEastAsia" w:hAnsi="Book Antiqua"/>
          <w:lang w:val="en-US" w:eastAsia="en-US"/>
        </w:rPr>
        <w:t xml:space="preserve">In the present study, we aimed to assess (1) performance of presepsin </w:t>
      </w:r>
      <w:r w:rsidRPr="00664A42">
        <w:rPr>
          <w:rFonts w:ascii="Book Antiqua" w:eastAsiaTheme="minorEastAsia" w:hAnsi="Book Antiqua"/>
          <w:lang w:val="en-GB" w:eastAsia="en-US"/>
        </w:rPr>
        <w:t xml:space="preserve">in the diagnosis of cirrhosis associated bacterial infections </w:t>
      </w:r>
      <w:r w:rsidRPr="00664A42">
        <w:rPr>
          <w:rFonts w:ascii="Book Antiqua" w:eastAsiaTheme="minorEastAsia" w:hAnsi="Book Antiqua" w:cs="Times"/>
          <w:lang w:val="en-US" w:eastAsia="en-US"/>
        </w:rPr>
        <w:t>in comparison with routinely used APPs such as CRP and PCT</w:t>
      </w:r>
      <w:r w:rsidR="00E57C92" w:rsidRPr="00664A42">
        <w:rPr>
          <w:rFonts w:ascii="Book Antiqua" w:eastAsiaTheme="minorEastAsia" w:hAnsi="Book Antiqua" w:cs="Times"/>
          <w:lang w:val="en-US" w:eastAsia="zh-CN"/>
        </w:rPr>
        <w:t>;</w:t>
      </w:r>
      <w:r w:rsidRPr="00664A42">
        <w:rPr>
          <w:rFonts w:ascii="Book Antiqua" w:eastAsiaTheme="minorEastAsia" w:hAnsi="Book Antiqua" w:cs="Times"/>
          <w:lang w:val="en-US" w:eastAsia="en-US"/>
        </w:rPr>
        <w:t xml:space="preserve"> (2) whether presepsin is devoid of </w:t>
      </w:r>
      <w:r w:rsidRPr="00664A42">
        <w:rPr>
          <w:rFonts w:ascii="Book Antiqua" w:eastAsiaTheme="minorEastAsia" w:hAnsi="Book Antiqua" w:cs="Times"/>
          <w:lang w:val="en-US" w:eastAsia="en-US"/>
        </w:rPr>
        <w:lastRenderedPageBreak/>
        <w:t>the limitations of classic APPs related to cirrhosis</w:t>
      </w:r>
      <w:r w:rsidR="00E57C92" w:rsidRPr="00664A42">
        <w:rPr>
          <w:rFonts w:ascii="Book Antiqua" w:eastAsiaTheme="minorEastAsia" w:hAnsi="Book Antiqua" w:cs="Times"/>
          <w:lang w:val="en-US" w:eastAsia="zh-CN"/>
        </w:rPr>
        <w:t>;</w:t>
      </w:r>
      <w:r w:rsidRPr="00664A42">
        <w:rPr>
          <w:rFonts w:ascii="Book Antiqua" w:eastAsiaTheme="minorEastAsia" w:hAnsi="Book Antiqua" w:cs="Times"/>
          <w:lang w:val="en-US" w:eastAsia="en-US"/>
        </w:rPr>
        <w:t xml:space="preserve"> and (3) </w:t>
      </w:r>
      <w:r w:rsidRPr="00664A42">
        <w:rPr>
          <w:rFonts w:ascii="Book Antiqua" w:eastAsiaTheme="minorEastAsia" w:hAnsi="Book Antiqua"/>
          <w:lang w:val="en-US" w:eastAsia="en-US"/>
        </w:rPr>
        <w:t xml:space="preserve">whether presepsin is able to provide </w:t>
      </w:r>
      <w:r w:rsidRPr="00664A42">
        <w:rPr>
          <w:rFonts w:ascii="Book Antiqua" w:eastAsiaTheme="minorEastAsia" w:hAnsi="Book Antiqua" w:cs="Times"/>
          <w:lang w:val="en-US" w:eastAsia="en-US"/>
        </w:rPr>
        <w:t>prognostic information</w:t>
      </w:r>
      <w:r w:rsidRPr="00664A42">
        <w:rPr>
          <w:rFonts w:ascii="Book Antiqua" w:eastAsiaTheme="minorEastAsia" w:hAnsi="Book Antiqua"/>
          <w:lang w:val="en-US" w:eastAsia="en-US"/>
        </w:rPr>
        <w:t xml:space="preserve"> during infectious episodes in cirrhosis.</w:t>
      </w:r>
    </w:p>
    <w:p w:rsidR="000A103F" w:rsidRPr="00664A42" w:rsidRDefault="000A103F" w:rsidP="003B01FB">
      <w:pPr>
        <w:widowControl w:val="0"/>
        <w:autoSpaceDE w:val="0"/>
        <w:autoSpaceDN w:val="0"/>
        <w:adjustRightInd w:val="0"/>
        <w:spacing w:line="360" w:lineRule="auto"/>
        <w:jc w:val="both"/>
        <w:rPr>
          <w:rFonts w:ascii="Book Antiqua" w:hAnsi="Book Antiqua" w:cs="Arial"/>
          <w:b/>
          <w:lang w:val="en-US"/>
        </w:rPr>
      </w:pPr>
    </w:p>
    <w:p w:rsidR="000A103F" w:rsidRPr="00664A42" w:rsidRDefault="000A103F" w:rsidP="003B01FB">
      <w:pPr>
        <w:widowControl w:val="0"/>
        <w:autoSpaceDE w:val="0"/>
        <w:autoSpaceDN w:val="0"/>
        <w:adjustRightInd w:val="0"/>
        <w:spacing w:line="360" w:lineRule="auto"/>
        <w:jc w:val="both"/>
        <w:rPr>
          <w:rFonts w:ascii="Book Antiqua" w:hAnsi="Book Antiqua" w:cs="Arial"/>
          <w:b/>
          <w:lang w:val="en-US"/>
        </w:rPr>
      </w:pPr>
      <w:r w:rsidRPr="00664A42">
        <w:rPr>
          <w:rFonts w:ascii="Book Antiqua" w:hAnsi="Book Antiqua" w:cs="Arial"/>
          <w:b/>
          <w:lang w:val="en-US"/>
        </w:rPr>
        <w:t>MATERIAL AND METHODS</w:t>
      </w:r>
    </w:p>
    <w:p w:rsidR="000A103F" w:rsidRPr="00664A42" w:rsidRDefault="000A103F" w:rsidP="003B01FB">
      <w:pPr>
        <w:widowControl w:val="0"/>
        <w:autoSpaceDE w:val="0"/>
        <w:autoSpaceDN w:val="0"/>
        <w:adjustRightInd w:val="0"/>
        <w:spacing w:line="360" w:lineRule="auto"/>
        <w:jc w:val="both"/>
        <w:rPr>
          <w:rFonts w:ascii="Book Antiqua" w:hAnsi="Book Antiqua" w:cs="Arial"/>
          <w:b/>
          <w:i/>
          <w:lang w:val="en-US"/>
        </w:rPr>
      </w:pPr>
      <w:r w:rsidRPr="00664A42">
        <w:rPr>
          <w:rFonts w:ascii="Book Antiqua" w:hAnsi="Book Antiqua" w:cs="Arial"/>
          <w:b/>
          <w:i/>
          <w:lang w:val="en-US"/>
        </w:rPr>
        <w:t>Patient population</w:t>
      </w:r>
    </w:p>
    <w:p w:rsidR="000A103F" w:rsidRPr="00664A42" w:rsidRDefault="000A103F" w:rsidP="003B01FB">
      <w:pPr>
        <w:autoSpaceDE w:val="0"/>
        <w:autoSpaceDN w:val="0"/>
        <w:adjustRightInd w:val="0"/>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Two hundred and sixteen, well-characterized patients with cirrhosis (male/female: 118/99, age: 57.5 ± 10.3 years, disease duration: 3.9 ± 4.2 years) were included consecutively from our in- and outpatient Gastroenterology Department between May 2010 and April 2011. The diagnosis of cirrhosis was considered either histologically proven or considered obvious by clinical, biochemical and morphological criteria</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"10.3949/ccjm.77a.09138", "ISSN" : "1939-2869 (Electronic)", "PMID" : "20682514", "abstract" : "Liver biopsy has been used to diagnose chronic liver disease and to assess the degree of hepatic inflammation and fibrosis. However, it is an invasive test with many possible complications and the potential for sampling error. Noninvasive tests are increasingly precise in identifying the cause of many cases of liver disease and even the amount of liver injury (fibrosis). This review discusses the role of noninvasive tests to diagnose liver disease and to assess hepatic fibrosis and cirrhosis.", "author" : [ { "dropping-particle" : "", "family" : "Carey", "given" : "Emily", "non-dropping-particle" : "", "parse-names" : false, "suffix" : "" }, { "dropping-particle" : "", "family" : "Carey", "given" : "William D", "non-dropping-particle" : "", "parse-names" : false, "suffix" : "" } ], "container-title" : "Cleveland Clinic journal of medicine", "id" : "ITEM-1", "issue" : "8", "issued" : { "date-parts" : [ [ "2010", "8" ] ] }, "language" : "eng", "page" : "519-527", "publisher-place" : "United States", "title" : "Noninvasive tests for liver disease, fibrosis, and cirrhosis: Is liver biopsy obsolete?", "type" : "article-journal", "volume" : "77" }, "uris" : [ "http://www.mendeley.com/documents/?uuid=74e7dc08-2015-4992-b785-753e813e2500" ] } ], "mendeley" : { "formattedCitation" : "&lt;sup&gt;[28]&lt;/sup&gt;", "plainTextFormattedCitation" : "[28]", "previouslyFormattedCitation" : "&lt;sup&gt;[28]&lt;/sup&gt;"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[28]</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t>Data collection</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The clinical and laboratory characteristics of the patients are presented in Table 1. Clinical data were recorded at enrolment. These concerned demographics, co-morbidities (including cardio- and cerebrovascular, respiratory, renal disorders, diabetes and extrahepatic cancers), etiology of cirrhosis, history and severity of liver disease, presence of hepatocellular carcinoma (HCC), reason for AD, clinical status of patients, and also </w:t>
      </w:r>
      <w:r w:rsidRPr="00664A42">
        <w:rPr>
          <w:rFonts w:ascii="Book Antiqua" w:eastAsiaTheme="minorEastAsia" w:hAnsi="Book Antiqua"/>
          <w:lang w:val="en-US" w:eastAsia="en-US"/>
        </w:rPr>
        <w:t>presence, type and location of bacterial infection.</w:t>
      </w:r>
      <w:r w:rsidRPr="00664A42">
        <w:rPr>
          <w:rFonts w:ascii="Book Antiqua" w:eastAsiaTheme="minorEastAsia" w:hAnsi="Book Antiqua"/>
          <w:lang w:val="en-GB" w:eastAsia="en-US"/>
        </w:rPr>
        <w:t xml:space="preserve"> Severity of the cirrhosis was graded according to liver-oriented scores </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 xml:space="preserve">Child-Pugh score </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CPs</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 xml:space="preserve"> and the model for end-stage liver disease </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t>MELD</w:t>
      </w:r>
      <w:r w:rsidR="00E57C92" w:rsidRPr="00664A42">
        <w:rPr>
          <w:rFonts w:ascii="Book Antiqua" w:eastAsiaTheme="minorEastAsia" w:hAnsi="Book Antiqua"/>
          <w:lang w:val="en-GB" w:eastAsia="zh-CN"/>
        </w:rPr>
        <w:t>)]</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"10.1016/j.jhep.2004.11.015", "ISSN" : "0168-8278 (Print)", "PMID" : "15777564", "author" : [ { "dropping-particle" : "", "family" : "Durand", "given" : "Francois", "non-dropping-particle" : "", "parse-names" : false, "suffix" : "" }, { "dropping-particle" : "", "family" : "Valla", "given" : "Dominique", "non-dropping-particle" : "", "parse-names" : false, "suffix" : "" } ], "container-title" : "Journal of hepatology", "id" : "ITEM-1", "issue" : "1", "issued" : { "date-parts" : [ [ "2005" ] ] }, "language" : "eng", "page" : "S100-7", "publisher-place" : "England", "title" : "Assessment of the prognosis of cirrhosis: Child-Pugh versus MELD.", "type" : "article-journal", "volume" : "42 Suppl" }, "uris" : [ "http://www.mendeley.com/documents/?uuid=82fce333-ecb8-4a3f-ade5-2a475d9b230b" ] } ], "mendeley" : { "formattedCitation" : "&lt;sup&gt;[29]&lt;/sup&gt;", "plainTextFormattedCitation" : "[29]", "previouslyFormattedCitation" : "&lt;sup&gt;[29]&lt;/sup&gt;"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[29]</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Episodes of AD were defined by acute development of </w:t>
      </w:r>
      <w:r w:rsidRPr="00664A42">
        <w:rPr>
          <w:rFonts w:ascii="Book Antiqua" w:eastAsiaTheme="minorEastAsia" w:hAnsi="Book Antiqua"/>
          <w:lang w:val="en-US" w:eastAsia="en-US"/>
        </w:rPr>
        <w:t>large ascites, hepatic encephalopathy, gastrointestinal hemorrhage, bacterial infection or any combination of these warranting hospital admission</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"10.1053/j.gastro.2013.02.042", "ISSN" : "1528-0012", "PMID" : "23474284", "abstract" : "BACKGROUND &amp; AIMS: Patients with cirrhosis hospitalized for an acute decompensation (AD) and organ failure are at risk for imminent death and considered to have acute-on-chronic liver failure (ACLF). However, there are no established diagnostic criteria for ACLF, so little is known about its development and progression. We aimed to identify diagnostic criteria of ACLF and describe the development of this syndrome in European patients with AD. METHODS: We collected data from 1343 hospitalized patients with cirrhosis and AD from February to September 2011 at 29 liver units in 8 European countries. We used the organ failure and mortality data to define ACLF grades, assess mortality, and identify differences between ACLF and AD. We established diagnostic criteria for ACLF based on analyses of patients with organ failure (defined by the chronic liver failure-sequential organ failure assessment [CLIF-SOFA] score) and high 28-day mortality rate (&gt;15%). RESULTS: Of the patients assessed, 303 had ACLF when the study began, 112 developed ACLF, and 928 did not have ACLF. The 28-day mortality rate among patients who had ACLF when the study began was 33.9%, among those who developed ACLF was 29.7%, and among those who did not have ACLF was 1.9%. Patients with ACLF were younger and more frequently alcoholic, had more associated bacterial infections, and had higher numbers of leukocytes and higher plasma levels of C-reactive protein than patients without ACLF (P &lt; .001). Higher CLIF-SOFA scores and leukocyte counts were independent predictors of mortality in patients with ACLF. In patients without a prior history of AD, ACLF was unexpectedly characterized by higher numbers of organ failures, leukocyte count, and mortality compared with ACLF in patients with a prior history of AD. CONCLUSIONS: We analyzed data from patients with cirrhosis and AD to establish diagnostic criteria for ACLF and showed that it is distinct from AD, based not only on the presence of organ failure(s) and high mortality rate but also on age, precipitating events, and systemic inflammation. ACLF mortality is associated with loss of organ function and high leukocyte counts. ACLF is especially severe in patients with no prior history of AD.", "author" : [ { "dropping-particle" : "", "family" : "Moreau", "given" : "Richard", "non-dropping-particle" : "", "parse-names" : false, "suffix" : "" }, { "dropping-particle" : "", "family" : "Jalan", "given" : "Rajiv", "non-dropping-particle" : "", "parse-names" : false, "suffix" : "" }, { "dropping-particle" : "", "family" : "Gines", "given" : "Pere", "non-dropping-particle" : "", "parse-names" : false, "suffix" : "" }, { "dropping-particle" : "", "family" : "Pavesi", "given" : "Marco", "non-dropping-particle" : "", "parse-names" : false, "suffix" : "" }, { "dropping-particle" : "", "family" : "Angeli", "given" : "Paolo", "non-dropping-particle" : "", "parse-names" : false, "suffix" : "" }, { "dropping-particle" : "", "family" : "Cordoba", "given" : "Juan", "non-dropping-particle" : "", "parse-names" : false, "suffix" : "" }, { "dropping-particle" : "", "family" : "Durand", "given" : "Francois", "non-dropping-particle" : "", "parse-names" : false, "suffix" : "" }, { "dropping-particle" : "", "family" : "Gustot", "given" : "Thierry", "non-dropping-particle" : "", "parse-names" : false, "suffix" : "" }, { "dropping-particle" : "", "family" : "Saliba", "given" : "Faouzi", "non-dropping-particle" : "", "parse-names" : false, "suffix" : "" }, { "dropping-particle" : "", "family" : "Domenicali", "given" : "Marco", "non-dropping-particle" : "", "parse-names" : false, "suffix" : "" }, { "dropping-particle" : "", "family" : "Gerbes", "given" : "Alexander", "non-dropping-particle" : "", "parse-names" : false, "suffix" : "" }, { "dropping-particle" : "", "family" : "Wendon", "given" : "Julia", "non-dropping-particle" : "", "parse-names" : false, "suffix" : "" }, { "dropping-particle" : "", "family" : "Alessandria", "given" : "Carlo", "non-dropping-particle" : "", "parse-names" : false, "suffix" : "" }, { "dropping-particle" : "", "family" : "Laleman", "given" : "Wim", "non-dropping-particle" : "", "parse-names" : false, "suffix" : "" }, { "dropping-particle" : "", "family" : "Zeuzem", "given" : "Stefan", "non-dropping-particle" : "", "parse-names" : false, "suffix" : "" }, { "dropping-particle" : "", "family" : "Trebicka", "given" : "Jonel", "non-dropping-particle" : "", "parse-names" : false, "suffix" : "" }, { "dropping-particle" : "", "family" : "Bernardi", "given" : "Mauro", "non-dropping-particle" : "", "parse-names" : false, "suffix" : "" }, { "dropping-particle" : "", "family" : "Arroyo", "given" : "Vicente", "non-dropping-particle" : "", "parse-names" : false, "suffix" : "" } ], "container-title" : "Gastroenterology", "id" : "ITEM-1", "issue" : "7", "issued" : { "date-parts" : [ [ "2013", "6" ] ] }, "page" : "1426-1437", "title" : "Acute-on-chronic liver failure is a distinct syndrome that develops in patients with acute decompensation of cirrhosis.", "type" : "article-journal", "volume" : "144" }, "uris" : [ "http://www.mendeley.com/documents/?uuid=73ee534a-42df-4d9a-b950-f6b301f6c0bf" ] } ], "mendeley" : { "formattedCitation" : "&lt;sup&gt;[3]&lt;/sup&gt;", "plainTextFormattedCitation" : "[3]", "previouslyFormattedCitation" : "&lt;sup&gt;[3]&lt;/sup&gt;"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[3]</w:t>
      </w:r>
      <w:r w:rsidRPr="00664A42">
        <w:rPr>
          <w:rFonts w:ascii="Book Antiqua" w:eastAsiaTheme="minorEastAsia" w:hAnsi="Book Antiqua"/>
          <w:lang w:val="en-US" w:eastAsia="en-US"/>
        </w:rPr>
        <w:fldChar w:fldCharType="end"/>
      </w:r>
      <w:r w:rsidRPr="00664A42">
        <w:rPr>
          <w:rFonts w:ascii="Book Antiqua" w:eastAsiaTheme="minorEastAsia" w:hAnsi="Book Antiqua"/>
          <w:lang w:val="en-GB" w:eastAsia="en-US"/>
        </w:rPr>
        <w:t xml:space="preserve">. </w:t>
      </w:r>
      <w:r w:rsidRPr="00664A42">
        <w:rPr>
          <w:rFonts w:ascii="Book Antiqua" w:eastAsiaTheme="minorEastAsia" w:hAnsi="Book Antiqua" w:cs="Times"/>
          <w:lang w:val="en-US" w:eastAsia="en-US"/>
        </w:rPr>
        <w:t xml:space="preserve">The enrolled patients were followed for 90 </w:t>
      </w:r>
      <w:r w:rsidR="00E57C92" w:rsidRPr="00664A42">
        <w:rPr>
          <w:rFonts w:ascii="Book Antiqua" w:eastAsiaTheme="minorEastAsia" w:hAnsi="Book Antiqua" w:cs="Times"/>
          <w:lang w:val="en-US" w:eastAsia="zh-CN"/>
        </w:rPr>
        <w:t>d</w:t>
      </w:r>
      <w:r w:rsidRPr="00664A42">
        <w:rPr>
          <w:rFonts w:ascii="Book Antiqua" w:eastAsiaTheme="minorEastAsia" w:hAnsi="Book Antiqua" w:cs="Times"/>
          <w:lang w:val="en-US" w:eastAsia="en-US"/>
        </w:rPr>
        <w:t xml:space="preserve"> or until death. </w:t>
      </w:r>
      <w:r w:rsidRPr="00664A42">
        <w:rPr>
          <w:rFonts w:ascii="Book Antiqua" w:eastAsiaTheme="minorEastAsia" w:hAnsi="Book Antiqua"/>
          <w:lang w:val="en-US" w:eastAsia="en-US"/>
        </w:rPr>
        <w:t xml:space="preserve">Presence and grade of organ system failure(s) [OF] were determined retrospectively based on the available clinical and laboratory data after accessibility of </w:t>
      </w:r>
      <w:r w:rsidRPr="00664A42">
        <w:rPr>
          <w:rFonts w:ascii="Book Antiqua" w:hAnsi="Book Antiqua" w:cs="Arial"/>
          <w:lang w:val="en-GB"/>
        </w:rPr>
        <w:t>CLIF-C Organ Failure Score</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"10.1016/j.jhep.2014.06.012", "ISSN" : "01688278", "author" : [ { "dropping-particle" : "", "family" : "Jalan", "given" : "Rajiv", "non-dropping-particle" : "", "parse-names" : false, "suffix" : "" }, { "dropping-particle" : "", "family" : "Saliba", "given" : "Faouzi", "non-dropping-particle" : "", "parse-names" : false, "suffix" : "" }, { "dropping-particle" : "", "family" : "Pavesi", "given" : "Marco", "non-dropping-particle" : "", "parse-names" : false, "suffix" : "" }, { "dropping-particle" : "", "family" : "Amoros", "given" : "Alex", "non-dropping-particle" : "", "parse-names" : false, "suffix" : "" }, { "dropping-particle" : "", "family" : "Moreau", "given" : "Richard", "non-dropping-particle" : "", "parse-names" : false, "suffix" : "" }, { "dropping-particle" : "", "family" : "Gin\u00e8s", "given" : "Pere", "non-dropping-particle" : "", "parse-names" : false, "suffix" : "" }, { "dropping-particle" : "", "family" : "Levesque", "given" : "Eric", "non-dropping-particle" : "", "parse-names" : false, "suffix" : "" }, { "dropping-particle" : "", "family" : "Durand", "given" : "Francois", "non-dropping-particle" : "", "parse-names" : false, "suffix" : "" }, { "dropping-particle" : "", "family" : "Angeli", "given" : "Paolo", "non-dropping-particle" : "", "parse-names" : false, "suffix" : "" }, { "dropping-particle" : "", "family" : "Caraceni", "given" : "Paolo", "non-dropping-particle" : "", "parse-names" : false, "suffix" : "" }, { "dropping-particle" : "", "family" : "Hopf", "given" : "Corinna", "non-dropping-particle" : "", "parse-names" : false, "suffix" : "" }, { "dropping-particle" : "", "family" : "Alessandria", "given" : "Carlo", "non-dropping-particle" : "", "parse-names" : false, "suffix" : "" }, { "dropping-particle" : "", "family" : "Rodriguez", "given" : "Ezequiel", "non-dropping-particle" : "", "parse-names" : false, "suffix" : "" }, { "dropping-particle" : "", "family" : "Solis-Mu\u00f1oz", "given" : "Pablo", "non-dropping-particle" : "", "parse-names" : false, "suffix" : "" }, { "dropping-particle" : "", "family" : "Laleman", "given" : "Wim", "non-dropping-particle" : "", "parse-names" : false, "suffix" : "" }, { "dropping-particle" : "", "family" : "Trebicka", "given" : "Jonel", "non-dropping-particle" : "", "parse-names" : false, "suffix" : "" }, { "dropping-particle" : "", "family" : "Zeuzem", "given" : "Stefan", "non-dropping-particle" : "", "parse-names" : false, "suffix" : "" }, { "dropping-particle" : "", "family" : "Gustot", "given" : "Thierry", "non-dropping-particle" : "", "parse-names" : false, "suffix" : "" }, { "dropping-particle" : "", "family" : "Mookerjee", "given" : "Rajeshwar", "non-dropping-particle" : "", "parse-names" : false, "suffix" : "" }, { "dropping-particle" : "", "family" : "Elkrief", "given" : "Laure", "non-dropping-particle" : "", "parse-names" : false, "suffix" : "" }, { "dropping-particle" : "", "family" : "Soriano", "given" : "German", "non-dropping-particle" : "", "parse-names" : false, "suffix" : "" }, { "dropping-particle" : "", "family" : "Cordoba", "given" : "Joan", "non-dropping-particle" : "", "parse-names" : false, "suffix" : "" }, { "dropping-particle" : "", "family" : "Morando", "given" : "Filippo", "non-dropping-particle" : "", "parse-names" : false, "suffix" : "" }, { "dropping-particle" : "", "family" : "Gerbes", "given" : "Alexander", "non-dropping-particle" : "", "parse-names" : false, "suffix" : "" }, { "dropping-particle" : "", "family" : "Agarwal", "given" : "Banwari", "non-dropping-particle" : "", "parse-names" : false, "suffix" : "" }, { "dropping-particle" : "", "family" : "Samuel", "given" : "Didier", "non-dropping-particle" : "", "parse-names" : false, "suffix" : "" }, { "dropping-particle" : "", "family" : "Bernardi", "given" : "Mauro", "non-dropping-particle" : "", "parse-names" : false, "suffix" : "" }, { "dropping-particle" : "", "family" : "Arroyo", "given" : "Vicente", "non-dropping-particle" : "", "parse-names" : false, "suffix" : "" } ], "container-title" : "Journal of Hepatology", "id" : "ITEM-1", "issue" : "5", "issued" : { "date-parts" : [ [ "2014" ] ] }, "page" : "1038-1047", "publisher" : "European Association for the Study of the Liver", "title" : "Development and validation of a prognostic score to predict mortality in patients with acute-on-chronic liver failure", "type" : "article-journal", "volume" : "61" }, "uris" : [ "http://www.mendeley.com/documents/?uuid=12b5e329-cd73-4908-8bb2-93fbce0656ce" ] } ], "mendeley" : { "formattedCitation" : "&lt;sup&gt;[30]&lt;/sup&gt;", "plainTextFormattedCitation" : "[30]", "previouslyFormattedCitation" : "&lt;sup&gt;[30]&lt;/sup&gt;"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[30]</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Times"/>
          <w:lang w:val="en-US" w:eastAsia="en-US"/>
        </w:rPr>
      </w:pPr>
      <w:r w:rsidRPr="00664A42">
        <w:rPr>
          <w:rFonts w:ascii="Book Antiqua" w:eastAsiaTheme="minorEastAsia" w:hAnsi="Book Antiqua" w:cs="Times"/>
          <w:lang w:val="en-US" w:eastAsia="en-US"/>
        </w:rPr>
        <w:t xml:space="preserve">The diagnosis of bacterial infection was established by assessment of clinical symptoms and laboratory reports, including microbiological culture </w:t>
      </w:r>
      <w:r w:rsidRPr="00664A42">
        <w:rPr>
          <w:rFonts w:ascii="Book Antiqua" w:eastAsiaTheme="minorEastAsia" w:hAnsi="Book Antiqua" w:cs="Times"/>
          <w:lang w:val="en-US" w:eastAsia="en-US"/>
        </w:rPr>
        <w:lastRenderedPageBreak/>
        <w:t>results (if available), compatible findings of imaging techniques, and the effect of antibiotic treatment by two independent gastroenterologists (M.P. and Zs.V.). Following bacterial infections were considered and diagnosed on the b</w:t>
      </w:r>
      <w:r w:rsidR="00E57C92" w:rsidRPr="00664A42">
        <w:rPr>
          <w:rFonts w:ascii="Book Antiqua" w:eastAsiaTheme="minorEastAsia" w:hAnsi="Book Antiqua" w:cs="Times"/>
          <w:lang w:val="en-US" w:eastAsia="en-US"/>
        </w:rPr>
        <w:t xml:space="preserve">asis of conventional criteria: </w:t>
      </w:r>
      <w:r w:rsidR="00E57C92" w:rsidRPr="00664A42">
        <w:rPr>
          <w:rFonts w:ascii="Book Antiqua" w:eastAsiaTheme="minorEastAsia" w:hAnsi="Book Antiqua" w:cs="Times"/>
          <w:lang w:val="en-US" w:eastAsia="zh-CN"/>
        </w:rPr>
        <w:t>(1)</w:t>
      </w:r>
      <w:r w:rsidRPr="00664A42">
        <w:rPr>
          <w:rFonts w:ascii="Book Antiqua" w:eastAsiaTheme="minorEastAsia" w:hAnsi="Book Antiqua" w:cs="Times"/>
          <w:lang w:val="en-US" w:eastAsia="en-US"/>
        </w:rPr>
        <w:t xml:space="preserve"> skin and soft tissue infections</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"ISBN" : "1665-2681 (Print)\\r1665-2681 (Linking)", "ISSN" : "16652681", "PMID" : "21301004", "abstract" : "Bacterial infections are often associated with significant morbidity and mortality in cirrhosis. The common practice of outdoor barefoot walking in the developing world may predispose cirrhotic individuals to skin infection. Aims. To determine the prevalence, risk factors, spectrum of infective organism and outcome of bacterial skin infection in cirrhosis.", "author" : [ { "dropping-particle" : "", "family" : "Mohan", "given" : "Pazhanivel", "non-dropping-particle" : "", "parse-names" : false, "suffix" : "" }, { "dropping-particle" : "", "family" : "Ramu", "given" : "Bhavadharani", "non-dropping-particle" : "", "parse-names" : false, "suffix" : "" }, { "dropping-particle" : "", "family" : "Bhaskar", "given" : "Emmanuel", "non-dropping-particle" : "", "parse-names" : false, "suffix" : "" }, { "dropping-particle" : "", "family" : "Venkataraman", "given" : "Jayanthi", "non-dropping-particle" : "", "parse-names" : false, "suffix" : "" } ], "container-title" : "Annals of Hepatology", "id" : "ITEM-1", "issue" : "1", "issued" : { "date-parts" : [ [ "2011" ] ] }, "page" : "15-20", "title" : "Prevalence and risk factors for bacterial skin infection and mortality in cirrhosis", "type" : "article-journal", "volume" : "10" }, "uris" : [ "http://www.mendeley.com/documents/?uuid=c31c3576-3942-495c-b9e3-1bb9f7c5fcb1" ] } ], "mendeley" : { "formattedCitation" : "&lt;sup&gt;[31]&lt;/sup&gt;", "plainTextFormattedCitation" : "[31]", "previouslyFormattedCitation" : "&lt;sup&gt;[31]&lt;/sup&gt;"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[31]</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t>
      </w:r>
      <w:r w:rsidR="00E57C92" w:rsidRPr="00664A42">
        <w:rPr>
          <w:rFonts w:ascii="Book Antiqua" w:eastAsiaTheme="minorEastAsia" w:hAnsi="Book Antiqua" w:cs="Times"/>
          <w:lang w:val="en-US" w:eastAsia="zh-CN"/>
        </w:rPr>
        <w:t>(2)</w:t>
      </w:r>
      <w:r w:rsidRPr="00664A42">
        <w:rPr>
          <w:rFonts w:ascii="Book Antiqua" w:eastAsiaTheme="minorEastAsia" w:hAnsi="Book Antiqua" w:cs="Times"/>
          <w:lang w:val="en-US" w:eastAsia="en-US"/>
        </w:rPr>
        <w:t xml:space="preserve"> lower respiratory tract infections (acute bronchitis, pneumonia)</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"10.1053/jhep.2002.30082", "ISSN" : "0270-9139 (Print)", "PMID" : "11786970", "abstract" : "The extensive use of invasive procedures and of long-term norfloxacin prophylaxis in the management of cirrhotic patients may have influenced the epidemiology of bacterial infections in cirrhosis. We conducted a prospective evaluation of all bacterial infections diagnosed in patients with cirrhosis in a Liver Unit between April 1998 and April 2000. A total of 405 patients presented 572 bacterial infections in 507 admissions. Spontaneous bacterial peritonitis was the most frequent infection (138 cases). Gram-positive cocci were responsible for 53% of total bacterial infections in the study, being the main bacteria isolated in nosocomial infections (59%). Patients requiring treatment in an intensive care unit and those submitted to invasive procedures presented a higher rate of infections caused by gram-positive cocci (77% vs. 48%, P &lt;.001 and 58% vs. 40%, P &lt;.02, respectively). Fifty percent of culture-positive spontaneous bacterial peritonitis in patients on long-term norfloxacin administration (n = 93) and 16% in patients not receiving this therapy (n = 414) were caused by quinolone-resistant gram-negative bacilli, P =.01. The rate of culture-positive spontaneous bacterial peritonitis caused by trimethoprim-sulfamethoxazole-resistant gram-negative bacilli was also very high in patients on long-term norfloxacin administration (44% vs. 18%, P =.09). In conclusion, infections caused by gram-positive cocci have markedly increased in cirrhosis. This phenomenon may be related to the current high degree of instrumentation of cirrhotic patients. Quinolone-resistant spontaneous bacterial peritonitis constitutes an emergent problem in patients on long-term norfloxacin prophylaxis, with trimethoprim-sulfamethoxazole not being a valid alternative.", "author" : [ { "dropping-particle" : "", "family" : "Fernandez", "given" : "Javier", "non-dropping-particle" : "", "parse-names" : false, "suffix" : "" }, { "dropping-particle" : "", "family" : "Navasa", "given" : "Miquel", "non-dropping-particle" : "", "parse-names" : false, "suffix" : "" }, { "dropping-particle" : "", "family" : "Gomez", "given" : "Julia", "non-dropping-particle" : "", "parse-names" : false, "suffix" : "" }, { "dropping-particle" : "", "family" : "Colmenero", "given" : "Jordi", "non-dropping-particle" : "", "parse-names" : false, "suffix" : "" }, { "dropping-particle" : "", "family" : "Vila", "given" : "Jordi", "non-dropping-particle" : "", "parse-names" : false, "suffix" : "" }, { "dropping-particle" : "", "family" : "Arroyo", "given" : "Vicente", "non-dropping-particle" : "", "parse-names" : false, "suffix" : "" }, { "dropping-particle" : "", "family" : "Rodes", "given" : "Juan", "non-dropping-particle" : "", "parse-names" : false, "suffix" : "" } ], "container-title" : "Hepatology (Baltimore, Md.)", "id" : "ITEM-1", "issue" : "1", "issued" : { "date-parts" : [ [ "2002", "1" ] ] }, "language" : "eng", "page" : "140-148", "publisher-place" : "United States", "title" : "Bacterial infections in cirrhosis: epidemiological changes with invasive procedures and norfloxacin prophylaxis.", "type" : "article-journal", "volume" : "35" }, "uris" : [ "http://www.mendeley.com/documents/?uuid=083313e7-33cd-439b-8df8-28d8bbfedb9e" ] } ], "mendeley" : { "formattedCitation" : "&lt;sup&gt;[32]&lt;/sup&gt;", "plainTextFormattedCitation" : "[32]", "previouslyFormattedCitation" : "&lt;sup&gt;[32]&lt;/sup&gt;"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[32]</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t>
      </w:r>
      <w:r w:rsidR="00E57C92" w:rsidRPr="00664A42">
        <w:rPr>
          <w:rFonts w:ascii="Book Antiqua" w:eastAsiaTheme="minorEastAsia" w:hAnsi="Book Antiqua" w:cs="Times"/>
          <w:lang w:val="en-US" w:eastAsia="zh-CN"/>
        </w:rPr>
        <w:t xml:space="preserve">(3) </w:t>
      </w:r>
      <w:r w:rsidRPr="00664A42">
        <w:rPr>
          <w:rFonts w:ascii="Book Antiqua" w:eastAsiaTheme="minorEastAsia" w:hAnsi="Book Antiqua" w:cs="Times"/>
          <w:lang w:val="en-US" w:eastAsia="en-US"/>
        </w:rPr>
        <w:t>urinary tract infections (UTI) (cystitis, pyelonephritis)</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"10.1016/S0168-8278(99)80038-5", "ISSN" : "01688278", "PMID" : "10488705", "abstract" : "Background/Aims: The prevalence and risks factors of bacteriuria in cirrhotics have not been assessed by case-control study, and there are conflicting data concerning the role of liver failure and of ascites. The aims of this study were: i) to evaluate the prevalence of bacteriuria in cirrhotics, ii) to search for associated factors, iii) to evaluate the role of bladder post-void residual volume, and iv) to test the sensitivity of isolated bacteria to norfloxacin. Methods: The prevalence and risk factors of bacteriuria on admission were determined by a multicenter prospective case- control study. Results: Two hundred and forty-four cirrhotic patients and 240 controls were studied. Bacteriuria was present in 38 patients (15.6%; IC 5%: 11%-20%) and 18 controls (7.5%; IC 5%: 4.2%-11%; p&lt;0.001). By univariate analysis, female sex and ongoing diuretic treatment were associated with bacteriuria (p&lt;0.0001 and p&lt;0.04, respectively). Pugh's grade, ascites and bladder residual volume were not associated with bacteriuria. By multivariate analysis, female sex (p&lt;0.0001) and Child-Pugh score (p&lt;0.03) were predictors of bacteriuria. Sensitivity of bacteria to norfloxacin was observed in 94.7%; sterile urine cultures were noted in 95.2% of patients treated with this antibiotic. Conclusion: Bacteriuria is twice as frequent in cirrhotic patients as in matched controls, and there is a trend to association with female sex and liver insufficiency.", "author" : [ { "dropping-particle" : "", "family" : "Cadranel", "given" : "J. F.", "non-dropping-particle" : "", "parse-names" : false, "suffix" : "" }, { "dropping-particle" : "", "family" : "Denis", "given" : "Jacques", "non-dropping-particle" : "", "parse-names" : false, "suffix" : "" }, { "dropping-particle" : "", "family" : "Pauwels", "given" : "Arnaud", "non-dropping-particle" : "", "parse-names" : false, "suffix" : "" }, { "dropping-particle" : "", "family" : "Barbare", "given" : "Jean Claude", "non-dropping-particle" : "", "parse-names" : false, "suffix" : "" }, { "dropping-particle" : "", "family" : "Eug\u00e8ne", "given" : "Claude", "non-dropping-particle" : "", "parse-names" : false, "suffix" : "" }, { "dropping-particle" : "", "family" : "Martino", "given" : "Vincent D.", "non-dropping-particle" : "", "parse-names" : false, "suffix" : "" }, { "dropping-particle" : "", "family" : "Poquet", "given" : "Etienne", "non-dropping-particle" : "", "parse-names" : false, "suffix" : "" }, { "dropping-particle" : "", "family" : "Medini", "given" : "Abdel", "non-dropping-particle" : "", "parse-names" : false, "suffix" : "" }, { "dropping-particle" : "", "family" : "Coutarel", "given" : "Pierre", "non-dropping-particle" : "", "parse-names" : false, "suffix" : "" }, { "dropping-particle" : "", "family" : "Latrive", "given" : "Jean Paul", "non-dropping-particle" : "", "parse-names" : false, "suffix" : "" }, { "dropping-particle" : "", "family" : "Lema\u00eetre", "given" : "Patrice", "non-dropping-particle" : "", "parse-names" : false, "suffix" : "" }, { "dropping-particle" : "", "family" : "Devergie", "given" : "Bruno", "non-dropping-particle" : "", "parse-names" : false, "suffix" : "" } ], "container-title" : "Journal of Hepatology", "id" : "ITEM-1", "issue" : "3", "issued" : { "date-parts" : [ [ "1999" ] ] }, "page" : "464-468", "title" : "Prevalence and risk factors of bacteriuria in cirrhotic patients: A prospective case-control multicenter study in 244 patients", "type" : "article-journal", "volume" : "31" }, "uris" : [ "http://www.mendeley.com/documents/?uuid=b3b43096-4678-43d3-9643-e97d7e721026" ] } ], "mendeley" : { "formattedCitation" : "&lt;sup&gt;[33]&lt;/sup&gt;", "plainTextFormattedCitation" : "[33]", "previouslyFormattedCitation" : "&lt;sup&gt;[33]&lt;/sup&gt;"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[33]</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t>
      </w:r>
      <w:r w:rsidR="00E57C92" w:rsidRPr="00664A42">
        <w:rPr>
          <w:rFonts w:ascii="Book Antiqua" w:eastAsiaTheme="minorEastAsia" w:hAnsi="Book Antiqua" w:cs="Times"/>
          <w:lang w:val="en-US" w:eastAsia="zh-CN"/>
        </w:rPr>
        <w:t xml:space="preserve">(4) </w:t>
      </w:r>
      <w:r w:rsidRPr="00664A42">
        <w:rPr>
          <w:rFonts w:ascii="Book Antiqua" w:eastAsiaTheme="minorEastAsia" w:hAnsi="Book Antiqua" w:cs="Times"/>
          <w:lang w:val="en-US" w:eastAsia="en-US"/>
        </w:rPr>
        <w:t xml:space="preserve">some rare causes of infections, such as biliary tract infections (cholecystitis, cholangitis, liver abscess), osteomyelitis, and endocarditis; </w:t>
      </w:r>
      <w:r w:rsidR="00E57C92" w:rsidRPr="00664A42">
        <w:rPr>
          <w:rFonts w:ascii="Book Antiqua" w:eastAsiaTheme="minorEastAsia" w:hAnsi="Book Antiqua" w:cs="Times"/>
          <w:lang w:val="en-US" w:eastAsia="zh-CN"/>
        </w:rPr>
        <w:t xml:space="preserve">(5) </w:t>
      </w:r>
      <w:r w:rsidRPr="00664A42">
        <w:rPr>
          <w:rFonts w:ascii="Book Antiqua" w:eastAsiaTheme="minorEastAsia" w:hAnsi="Book Antiqua" w:cs="Times"/>
          <w:lang w:val="en-US" w:eastAsia="en-US"/>
        </w:rPr>
        <w:t>spontaneous bacterial peritonitis (SBP), diagnosis of which was based on ascitic fluid polymorphonuclear cell (PMN) count exceeding 250/mm</w:t>
      </w:r>
      <w:r w:rsidR="00E57C92" w:rsidRPr="00664A42">
        <w:rPr>
          <w:rFonts w:ascii="Book Antiqua" w:eastAsiaTheme="minorEastAsia" w:hAnsi="Book Antiqua" w:cs="Times"/>
          <w:vertAlign w:val="superscript"/>
          <w:lang w:val="en-US" w:eastAsia="zh-CN"/>
        </w:rPr>
        <w:t>3</w:t>
      </w:r>
      <w:r w:rsidR="00E57C92" w:rsidRPr="00664A42">
        <w:rPr>
          <w:rFonts w:ascii="Book Antiqua" w:eastAsiaTheme="minorEastAsia" w:hAnsi="Book Antiqua" w:cs="Times"/>
          <w:position w:val="8"/>
          <w:vertAlign w:val="superscript"/>
          <w:lang w:val="en-US" w:eastAsia="zh-CN"/>
        </w:rPr>
        <w:t xml:space="preserve"> </w:t>
      </w:r>
      <w:r w:rsidRPr="00664A42">
        <w:rPr>
          <w:rFonts w:ascii="Book Antiqua" w:eastAsiaTheme="minorEastAsia" w:hAnsi="Book Antiqua" w:cs="Times"/>
          <w:lang w:val="en-US" w:eastAsia="en-US"/>
        </w:rPr>
        <w:t>and</w:t>
      </w:r>
      <w:r w:rsidR="00E57C92" w:rsidRPr="00664A42">
        <w:rPr>
          <w:rFonts w:ascii="Book Antiqua" w:eastAsiaTheme="minorEastAsia" w:hAnsi="Book Antiqua" w:cs="Times"/>
          <w:vertAlign w:val="superscript"/>
          <w:lang w:val="en-US" w:eastAsia="zh-CN"/>
        </w:rPr>
        <w:t>3</w:t>
      </w:r>
      <w:r w:rsidRPr="00664A42">
        <w:rPr>
          <w:rFonts w:ascii="Book Antiqua" w:eastAsiaTheme="minorEastAsia" w:hAnsi="Book Antiqua" w:cs="Times"/>
          <w:lang w:val="en-US" w:eastAsia="en-US"/>
        </w:rPr>
        <w:t>/or positive culture if secondary causes of peritonitis were excluded (EASL guidelines</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"10.1016/j.jhep.2010.05.004", "ISSN" : "01688278", "PMID" : "20633946", "author" : [ { "dropping-particle" : "", "family" : "Gin\u00e8s", "given" : "Pere", "non-dropping-particle" : "", "parse-names" : false, "suffix" : "" }, { "dropping-particle" : "", "family" : "Angeli", "given" : "Paolo", "non-dropping-particle" : "", "parse-names" : false, "suffix" : "" }, { "dropping-particle" : "", "family" : "Lenz", "given" : "Kurt", "non-dropping-particle" : "", "parse-names" : false, "suffix" : "" }, { "dropping-particle" : "", "family" : "M\u00f8ller", "given" : "S\u00f8ren", "non-dropping-particle" : "", "parse-names" : false, "suffix" : "" }, { "dropping-particle" : "", "family" : "Moore", "given" : "Kevin", "non-dropping-particle" : "", "parse-names" : false, "suffix" : "" }, { "dropping-particle" : "", "family" : "Moreau", "given" : "Richard", "non-dropping-particle" : "", "parse-names" : false, "suffix" : "" }, { "dropping-particle" : "", "family" : "Merkel", "given" : "Carlo", "non-dropping-particle" : "", "parse-names" : false, "suffix" : "" }, { "dropping-particle" : "", "family" : "Larsen", "given" : "Helmer Ring", "non-dropping-particle" : "", "parse-names" : false, "suffix" : "" }, { "dropping-particle" : "", "family" : "Bernardi", "given" : "Mauro", "non-dropping-particle" : "", "parse-names" : false, "suffix" : "" }, { "dropping-particle" : "", "family" : "Garcia-Tsao", "given" : "Guadalupe", "non-dropping-particle" : "", "parse-names" : false, "suffix" : "" }, { "dropping-particle" : "", "family" : "Hayes", "given" : "Peter", "non-dropping-particle" : "", "parse-names" : false, "suffix" : "" } ], "container-title" : "Journal of Hepatology", "id" : "ITEM-1", "issue" : "3", "issued" : { "date-parts" : [ [ "2010" ] ] }, "page" : "397-417", "publisher" : "European Association for the Study of the Liver", "title" : "EASL clinical practice guidelines on the management of ascites, spontaneous bacterial peritonitis, and hepatorenal syndrome in cirrhosis", "type" : "article-journal", "volume" : "53" }, "uris" : [ "http://www.mendeley.com/documents/?uuid=39ceaffb-6803-4e2d-86b5-be7e4afefca3" ] } ], "mendeley" : { "formattedCitation" : "&lt;sup&gt;[34]&lt;/sup&gt;", "plainTextFormattedCitation" : "[34]", "previouslyFormattedCitation" : "&lt;sup&gt;[34]&lt;/sup&gt;"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[34]</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t>
      </w:r>
      <w:r w:rsidR="00E57C92" w:rsidRPr="00664A42">
        <w:rPr>
          <w:rFonts w:ascii="Book Antiqua" w:eastAsiaTheme="minorEastAsia" w:hAnsi="Book Antiqua" w:cs="Times"/>
          <w:lang w:val="en-US" w:eastAsia="zh-CN"/>
        </w:rPr>
        <w:t xml:space="preserve">and (6) </w:t>
      </w:r>
      <w:r w:rsidRPr="00664A42">
        <w:rPr>
          <w:rFonts w:ascii="Book Antiqua" w:eastAsiaTheme="minorEastAsia" w:hAnsi="Book Antiqua" w:cs="Times"/>
          <w:lang w:val="en-US" w:eastAsia="en-US"/>
        </w:rPr>
        <w:t>bacterial infection of unknown origin defined when clinical symptoms and signs of infection were present and confirmed by microbiological demonstration of the causative organism from blood culture in the absence of site-specific infection. Bacterial infection was considered severe when the infectious episode was complicated by OF.</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Times"/>
          <w:lang w:val="en-US"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t>Measurements of presepsin and other laboratory parameters</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Venous blood samples were captured at enrolment. Routine laboratory data, such as liver biochemistry, renal function, blood count and serum CRP and PCT levels were determined directly at the </w:t>
      </w:r>
      <w:r w:rsidRPr="00664A42">
        <w:rPr>
          <w:rFonts w:ascii="Book Antiqua" w:hAnsi="Book Antiqua"/>
        </w:rPr>
        <w:t>Department of Laboratory Medicine.</w:t>
      </w:r>
      <w:r w:rsidRPr="00664A42">
        <w:rPr>
          <w:rFonts w:ascii="Book Antiqua" w:eastAsiaTheme="minorEastAsia" w:hAnsi="Book Antiqua"/>
          <w:lang w:val="en-GB" w:eastAsia="en-US"/>
        </w:rPr>
        <w:t xml:space="preserve"> Methods for qualitative assessment of serum CRP and PCT levels were reported previously</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"10.1111/j.1478-3231.2011.02689.x", "ISSN" : "1478-3231", "abstract" : "Background Bacterial infections are common cause of morbidity and mortality in patients with cirrhosis. The early diagnosis of these infections is rather difficult. Aims To assess the accuracy of acute phase proteins in the identification of bacterial infections. Methods Concentration of C-reactive protein (CRP), procalcitonin (PCT), lipopolysaccharide-binding protein (LBP), sCD14 and antimicrobial antibodies were measured in serum of 368 well-characterized patients with cirrhosis of whom 139 had documented infection. Clinical data was gathered by reviewing the patients\u2019 medical charts. Results Serum levels of CRP, PCT and LBP were significantly higher in patients with clinically overt infections. Among the markers, CRP \u2013 using a 10 mg/L cut-off value\u2013 proved to be the most accurate in identifying patients with infection (AUC: 0.93). The accuracy of CRP, however, decreased in advanced stage of the disease, most probably because of the significantly elevated CRP levels in non-infected patients. Combination of CRP and PCT increased the sensitivity and negative predictive value, compared with CRP on its own, by 10 and 5% respectively. During a 3-month follow-up period in patients without overt infections, Kaplan\u2013Meier and proportional Cox-regression analyses showed that a CRP value of &gt;10 mg/L (P = 0.035) was independently associated with a shorter duration to progress to clinically significant bacterial infections. There was no correlation between acute phase protein levels and antimicrobial seroreactivity. Conclusions C-reactive protein on its own is a sensitive screening test for the presence of bacterial infections in cirrhosis and is also a useful marker to predict the likelihood of clinically significant bacterial infections in patients without overt infections.", "author" : [ { "dropping-particle" : "", "family" : "Papp", "given" : "Maria", "non-dropping-particle" : "", "parse-names" : false, "suffix" : "" }, { "dropping-particle" : "", "family" : "Vitalis", "given" : "Zsuzsanna", "non-dropping-particle" : "", "parse-names" : false, "suffix" : "" }, { "dropping-particle" : "", "family" : "Altorjay", "given" : "Istvan", "non-dropping-particle" : "", "parse-names" : false, "suffix" : "" }, { "dropping-particle" : "", "family" : "Tornai", "given" : "Istvan", "non-dropping-particle" : "", "parse-names" : false, "suffix" : "" }, { "dropping-particle" : "", "family" : "Udvardy", "given" : "Miklos", "non-dropping-particle" : "", "parse-names" : false, "suffix" : "" }, { "dropping-particle" : "", "family" : "Harsfalvi", "given" : "Jolan", "non-dropping-particle" : "", "parse-names" : false, "suffix" : "" }, { "dropping-particle" : "", "family" : "Vida", "given" : "Andras", "non-dropping-particle" : "", "parse-names" : false, "suffix" : "" }, { "dropping-particle" : "", "family" : "Kappelmayer", "given" : "Janos", "non-dropping-particle" : "", "parse-names" : false, "suffix" : "" }, { "dropping-particle" : "", "family" : "Lakatos", "given" : "Peter L", "non-dropping-particle" : "", "parse-names" : false, "suffix" : "" }, { "dropping-particle" : "", "family" : "Antal-Szalmas", "given" : "Peter", "non-dropping-particle" : "", "parse-names" : false, "suffix" : "" } ], "container-title" : "Liver International", "id" : "ITEM-1", "issue" : "4", "issued" : { "date-parts" : [ [ "2012" ] ] }, "page" : "603-611", "title" : "Acute phase proteins in the diagnosis and prediction of cirrhosis associated bacterial infections", "type" : "article-journal", "volume" : "32" }, "uris" : [ "http://www.mendeley.com/documents/?uuid=84c5da63-f9e8-4b27-9a0f-ab32ab8b7f1d" ] } ], "mendeley" : { "formattedCitation" : "&lt;sup&gt;[9]&lt;/sup&gt;", "plainTextFormattedCitation" : "[9]", "previouslyFormattedCitation" : "&lt;sup&gt;[9]&lt;/sup&gt;"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[9]</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GB" w:eastAsia="en-US"/>
        </w:rPr>
      </w:pPr>
      <w:r w:rsidRPr="00664A42">
        <w:rPr>
          <w:rFonts w:ascii="Book Antiqua" w:eastAsiaTheme="minorEastAsia" w:hAnsi="Book Antiqua"/>
          <w:lang w:val="en-GB" w:eastAsia="en-US"/>
        </w:rPr>
        <w:t>For presepsin measurements, blood samples were immediately centrifuged at 3000</w:t>
      </w:r>
      <w:r w:rsidR="00E57C92" w:rsidRPr="00664A42">
        <w:rPr>
          <w:rFonts w:ascii="Book Antiqua" w:eastAsiaTheme="minorEastAsia" w:hAnsi="Book Antiqua"/>
          <w:lang w:val="en-GB" w:eastAsia="zh-CN"/>
        </w:rPr>
        <w:t xml:space="preserve"> </w:t>
      </w:r>
      <w:r w:rsidRPr="00664A42">
        <w:rPr>
          <w:rFonts w:ascii="Book Antiqua" w:eastAsiaTheme="minorEastAsia" w:hAnsi="Book Antiqua"/>
          <w:i/>
          <w:lang w:val="en-GB" w:eastAsia="en-US"/>
        </w:rPr>
        <w:t>g</w:t>
      </w:r>
      <w:r w:rsidRPr="00664A42">
        <w:rPr>
          <w:rFonts w:ascii="Book Antiqua" w:eastAsiaTheme="minorEastAsia" w:hAnsi="Book Antiqua"/>
          <w:lang w:val="en-GB" w:eastAsia="en-US"/>
        </w:rPr>
        <w:t xml:space="preserve"> for 10 </w:t>
      </w:r>
      <w:r w:rsidR="00E57C92" w:rsidRPr="00664A42">
        <w:rPr>
          <w:rFonts w:ascii="Book Antiqua" w:eastAsiaTheme="minorEastAsia" w:hAnsi="Book Antiqua"/>
          <w:lang w:val="en-GB" w:eastAsia="zh-CN"/>
        </w:rPr>
        <w:t>min</w:t>
      </w:r>
      <w:r w:rsidRPr="00664A42">
        <w:rPr>
          <w:rFonts w:ascii="Book Antiqua" w:eastAsiaTheme="minorEastAsia" w:hAnsi="Book Antiqua"/>
          <w:lang w:val="en-GB" w:eastAsia="en-US"/>
        </w:rPr>
        <w:t xml:space="preserve">, and plasma was stored at -70 °C until use. Presepsin levels were measured by means of a </w:t>
      </w:r>
      <w:r w:rsidRPr="00664A42">
        <w:rPr>
          <w:rFonts w:ascii="Book Antiqua" w:eastAsiaTheme="minorEastAsia" w:hAnsi="Book Antiqua"/>
          <w:lang w:val="en-US" w:eastAsia="en-US"/>
        </w:rPr>
        <w:t>PATHFAST</w:t>
      </w:r>
      <w:r w:rsidRPr="00664A42">
        <w:rPr>
          <w:rFonts w:ascii="Book Antiqua" w:hAnsi="Book Antiqua" w:cs="Lucida Grande"/>
          <w:b/>
          <w:vertAlign w:val="superscript"/>
        </w:rPr>
        <w:t>®</w:t>
      </w:r>
      <w:r w:rsidRPr="00664A42">
        <w:rPr>
          <w:rFonts w:ascii="Book Antiqua" w:eastAsiaTheme="minorEastAsia" w:hAnsi="Book Antiqua"/>
          <w:lang w:val="en-US" w:eastAsia="en-US"/>
        </w:rPr>
        <w:t xml:space="preserve"> presepsin analyzer (Mitsubishi Chemical Medience Corporation, Tokyo, Japan) which is based on chemiluminescent enzyme immunoassay, with a detection limit of 20 pg/mL.</w:t>
      </w:r>
      <w:r w:rsidRPr="00664A42">
        <w:rPr>
          <w:rFonts w:ascii="Book Antiqua" w:eastAsiaTheme="minorEastAsia" w:hAnsi="Book Antiqua"/>
          <w:b/>
          <w:i/>
          <w:lang w:val="en-GB" w:eastAsia="en-US"/>
        </w:rPr>
        <w:t xml:space="preserve">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t>Outcome</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lastRenderedPageBreak/>
        <w:t>For outcome assessment, a follow-up examination was set up at the 28</w:t>
      </w:r>
      <w:r w:rsidRPr="00664A42">
        <w:rPr>
          <w:rFonts w:ascii="Book Antiqua" w:eastAsiaTheme="minorEastAsia" w:hAnsi="Book Antiqua"/>
          <w:vertAlign w:val="superscript"/>
          <w:lang w:val="en-GB" w:eastAsia="en-US"/>
        </w:rPr>
        <w:t>th</w:t>
      </w:r>
      <w:r w:rsidRPr="00664A42">
        <w:rPr>
          <w:rFonts w:ascii="Book Antiqua" w:eastAsiaTheme="minorEastAsia" w:hAnsi="Book Antiqua"/>
          <w:lang w:val="en-GB" w:eastAsia="en-US"/>
        </w:rPr>
        <w:t xml:space="preserve"> day after enrolment in the study. Patients who survived until follow-up were counted as survivors, whereas patients who died within the follow-up period were counted as non-survivors. </w:t>
      </w:r>
    </w:p>
    <w:p w:rsidR="00E57C92" w:rsidRPr="00664A42" w:rsidRDefault="00E57C92" w:rsidP="003B01FB">
      <w:pPr>
        <w:widowControl w:val="0"/>
        <w:autoSpaceDE w:val="0"/>
        <w:autoSpaceDN w:val="0"/>
        <w:adjustRightInd w:val="0"/>
        <w:spacing w:line="360" w:lineRule="auto"/>
        <w:jc w:val="both"/>
        <w:rPr>
          <w:rFonts w:ascii="Book Antiqua" w:eastAsiaTheme="minorEastAsia" w:hAnsi="Book Antiqua"/>
          <w:lang w:val="en-GB" w:eastAsia="zh-CN"/>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t>Statistical analysis</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cs="Times"/>
          <w:lang w:val="en-US" w:eastAsia="en-US"/>
        </w:rPr>
      </w:pPr>
      <w:r w:rsidRPr="00664A42">
        <w:rPr>
          <w:rFonts w:ascii="Book Antiqua" w:eastAsiaTheme="minorEastAsia" w:hAnsi="Book Antiqua" w:cs="Times"/>
          <w:lang w:val="en-US" w:eastAsia="en-US"/>
        </w:rPr>
        <w:t xml:space="preserve">Variables were tested for normality using Shapiro Wilk’s W test. Continuous variables were summarized as means </w:t>
      </w:r>
      <w:r w:rsidR="00125D0B">
        <w:rPr>
          <w:rFonts w:ascii="Book Antiqua" w:eastAsiaTheme="minorEastAsia" w:hAnsi="Book Antiqua" w:cs="Times"/>
          <w:lang w:val="en-US" w:eastAsia="en-US"/>
        </w:rPr>
        <w:sym w:font="Symbol" w:char="F0B1"/>
      </w:r>
      <w:r w:rsidR="00125D0B">
        <w:rPr>
          <w:rFonts w:ascii="Book Antiqua" w:eastAsiaTheme="minorEastAsia" w:hAnsi="Book Antiqua" w:cs="Times" w:hint="eastAsia"/>
          <w:lang w:val="en-US" w:eastAsia="zh-CN"/>
        </w:rPr>
        <w:t xml:space="preserve"> </w:t>
      </w:r>
      <w:r w:rsidR="00125D0B">
        <w:rPr>
          <w:rFonts w:ascii="Book Antiqua" w:eastAsiaTheme="minorEastAsia" w:hAnsi="Book Antiqua" w:cs="Times"/>
          <w:lang w:val="en-US" w:eastAsia="en-US"/>
        </w:rPr>
        <w:t>SD</w:t>
      </w:r>
      <w:r w:rsidRPr="00664A42">
        <w:rPr>
          <w:rFonts w:ascii="Book Antiqua" w:eastAsiaTheme="minorEastAsia" w:hAnsi="Book Antiqua" w:cs="Times"/>
          <w:lang w:val="en-US" w:eastAsia="en-US"/>
        </w:rPr>
        <w:t xml:space="preserve"> or as medians [interquartile range (IQR)] according to their homogeneity. Categorical variables were compared with the </w:t>
      </w:r>
      <w:r w:rsidR="00E57C92" w:rsidRPr="00664A42">
        <w:rPr>
          <w:rFonts w:ascii="Book Antiqua" w:eastAsiaTheme="minorEastAsia" w:hAnsi="Book Antiqua" w:cs="Times"/>
          <w:lang w:val="en-US" w:eastAsia="zh-CN"/>
        </w:rPr>
        <w:sym w:font="Symbol" w:char="F063"/>
      </w:r>
      <w:r w:rsidRPr="00664A42">
        <w:rPr>
          <w:rFonts w:ascii="Book Antiqua" w:eastAsiaTheme="minorEastAsia" w:hAnsi="Book Antiqua" w:cs="Times"/>
          <w:vertAlign w:val="superscript"/>
          <w:lang w:val="en-US" w:eastAsia="en-US"/>
        </w:rPr>
        <w:t>2</w:t>
      </w:r>
      <w:r w:rsidRPr="00664A42">
        <w:rPr>
          <w:rFonts w:ascii="Book Antiqua" w:eastAsiaTheme="minorEastAsia" w:hAnsi="Book Antiqua" w:cs="Times"/>
          <w:lang w:val="en-US" w:eastAsia="en-US"/>
        </w:rPr>
        <w:t>-test or</w:t>
      </w:r>
      <w:r w:rsidR="00E57C92" w:rsidRPr="00664A42">
        <w:rPr>
          <w:rFonts w:ascii="Book Antiqua" w:eastAsiaTheme="minorEastAsia" w:hAnsi="Book Antiqua" w:cs="Times"/>
          <w:lang w:val="en-US" w:eastAsia="zh-CN"/>
        </w:rPr>
        <w:t xml:space="preserve"> </w:t>
      </w:r>
      <w:r w:rsidR="00E57C92" w:rsidRPr="00664A42">
        <w:rPr>
          <w:rFonts w:ascii="Book Antiqua" w:eastAsiaTheme="minorEastAsia" w:hAnsi="Book Antiqua" w:cs="Times"/>
          <w:lang w:val="en-US" w:eastAsia="zh-CN"/>
        </w:rPr>
        <w:sym w:font="Symbol" w:char="F063"/>
      </w:r>
      <w:r w:rsidRPr="00664A42">
        <w:rPr>
          <w:rFonts w:ascii="Book Antiqua" w:eastAsiaTheme="minorEastAsia" w:hAnsi="Book Antiqua" w:cs="Times"/>
          <w:vertAlign w:val="superscript"/>
          <w:lang w:val="en-US" w:eastAsia="en-US"/>
        </w:rPr>
        <w:t>2</w:t>
      </w:r>
      <w:r w:rsidRPr="00664A42">
        <w:rPr>
          <w:rFonts w:ascii="Book Antiqua" w:eastAsiaTheme="minorEastAsia" w:hAnsi="Book Antiqua" w:cs="Times"/>
          <w:lang w:val="en-US" w:eastAsia="en-US"/>
        </w:rPr>
        <w:t xml:space="preserve">-test with Yates correction as appropriate. Continuous variables were compared with the Mann–Whitney </w:t>
      </w:r>
      <w:r w:rsidRPr="00664A42">
        <w:rPr>
          <w:rFonts w:ascii="Book Antiqua" w:eastAsiaTheme="minorEastAsia" w:hAnsi="Book Antiqua" w:cs="Times"/>
          <w:i/>
          <w:lang w:val="en-US" w:eastAsia="en-US"/>
        </w:rPr>
        <w:t xml:space="preserve">U </w:t>
      </w:r>
      <w:r w:rsidRPr="00664A42">
        <w:rPr>
          <w:rFonts w:ascii="Book Antiqua" w:eastAsiaTheme="minorEastAsia" w:hAnsi="Book Antiqua" w:cs="Times"/>
          <w:lang w:val="en-US" w:eastAsia="en-US"/>
        </w:rPr>
        <w:t xml:space="preserve">test or Student’s </w:t>
      </w:r>
      <w:r w:rsidRPr="00125D0B">
        <w:rPr>
          <w:rFonts w:ascii="Book Antiqua" w:eastAsiaTheme="minorEastAsia" w:hAnsi="Book Antiqua" w:cs="Times"/>
          <w:i/>
          <w:lang w:val="en-US" w:eastAsia="en-US"/>
        </w:rPr>
        <w:t xml:space="preserve">t </w:t>
      </w:r>
      <w:r w:rsidRPr="00664A42">
        <w:rPr>
          <w:rFonts w:ascii="Book Antiqua" w:eastAsiaTheme="minorEastAsia" w:hAnsi="Book Antiqua" w:cs="Times"/>
          <w:lang w:val="en-US" w:eastAsia="en-US"/>
        </w:rPr>
        <w:t>test. Relationship between continuous variables was assessed with the non-parametric Spearman correlation. Diagnostic accuracy of presepsin and other APPs for defining various study-endpoints: (1) presence of bacterial infection (2) presence of severe infection, and (3) short-term mortality was estimated using receiver operating curve (ROC) analysis by plotting sensitivity vs. 1-specificity. A</w:t>
      </w:r>
      <w:r w:rsidRPr="00664A42">
        <w:rPr>
          <w:rFonts w:ascii="Book Antiqua" w:eastAsiaTheme="minorEastAsia" w:hAnsi="Book Antiqua"/>
          <w:lang w:val="en-US" w:eastAsia="en-US"/>
        </w:rPr>
        <w:t>rea under the curve (AUC-ROC) and corresponding 95%</w:t>
      </w:r>
      <w:r w:rsidR="00E57C92" w:rsidRPr="00664A42">
        <w:rPr>
          <w:rFonts w:ascii="Book Antiqua" w:eastAsiaTheme="minorEastAsia" w:hAnsi="Book Antiqua"/>
          <w:lang w:val="en-US" w:eastAsia="en-US"/>
        </w:rPr>
        <w:t>CI</w:t>
      </w:r>
      <w:r w:rsidRPr="00664A42">
        <w:rPr>
          <w:rFonts w:ascii="Book Antiqua" w:eastAsiaTheme="minorEastAsia" w:hAnsi="Book Antiqua"/>
          <w:lang w:val="en-US" w:eastAsia="en-US"/>
        </w:rPr>
        <w:t xml:space="preserve"> were calculated. ROC curves were compared with the method of </w:t>
      </w:r>
      <w:r w:rsidRPr="00664A42">
        <w:rPr>
          <w:rFonts w:ascii="Book Antiqua" w:eastAsiaTheme="minorEastAsia" w:hAnsi="Book Antiqua"/>
          <w:i/>
          <w:lang w:val="en-US" w:eastAsia="en-US"/>
        </w:rPr>
        <w:t>DeLong et al</w:t>
      </w:r>
      <w:r w:rsidR="00E57C92" w:rsidRPr="00664A42">
        <w:rPr>
          <w:rFonts w:ascii="Book Antiqua" w:eastAsiaTheme="minorEastAsia" w:hAnsi="Book Antiqua"/>
          <w:lang w:val="en-US" w:eastAsia="en-US"/>
        </w:rPr>
        <w:fldChar w:fldCharType="begin" w:fldLock="1"/>
      </w:r>
      <w:r w:rsidR="00E57C92" w:rsidRPr="00664A42">
        <w:rPr>
          <w:rFonts w:ascii="Book Antiqua" w:eastAsiaTheme="minorEastAsia" w:hAnsi="Book Antiqua"/>
          <w:lang w:val="en-US" w:eastAsia="en-US"/>
        </w:rPr>
        <w:instrText>ADDIN CSL_CITATION { "citationItems" : [ { "id" : "ITEM-1", "itemData" : { "ISSN" : "0006-341X (Print)", "PMID" : "3203132", "abstract" : "Methods of evaluating and comparing the performance of diagnostic tests are of increasing importance as new tests are developed and marketed. When a test is based on an observed variable that lies on a continuous or graded scale, an assessment of the overall value of the test can be made through the use of a receiver operating characteristic (ROC) curve. The curve is constructed by varying the cutpoint used to determine which values of the observed variable will be considered abnormal and then plotting the resulting sensitivities against the corresponding false positive rates. When two or more empirical curves are constructed based on tests performed on the same individuals, statistical analysis on differences between curves must take into account the correlated nature of the data. This paper presents a nonparametric approach to the analysis of areas under correlated ROC curves, by using the theory on generalized U-statistics to generate an estimated covariance matrix.", "author" : [ { "dropping-particle" : "", "family" : "DeLong", "given" : "E R", "non-dropping-particle" : "", "parse-names" : false, "suffix" : "" }, { "dropping-particle" : "", "family" : "DeLong", "given" : "D M", "non-dropping-particle" : "", "parse-names" : false, "suffix" : "" }, { "dropping-particle" : "", "family" : "Clarke-Pearson", "given" : "D L", "non-dropping-particle" : "", "parse-names" : false, "suffix" : "" } ], "container-title" : "Biometrics", "id" : "ITEM-1", "issue" : "3", "issued" : { "date-parts" : [ [ "1988", "9" ] ] }, "language" : "eng", "page" : "837-845", "publisher-place" : "UNITED STATES", "title" : "Comparing the areas under two or more correlated receiver operating characteristic curves: a nonparametric approach.", "type" : "article-journal", "volume" : "44" }, "uris" : [ "http://www.mendeley.com/documents/?uuid=cbb49e7c-1dac-4098-8e29-fa9755563b84" ] } ], "mendeley" : { "formattedCitation" : "&lt;sup&gt;[35]&lt;/sup&gt;", "plainTextFormattedCitation" : "[35]", "previouslyFormattedCitation" : "&lt;sup&gt;[35]&lt;/sup&gt;" }, "properties" : { "noteIndex" : 0 }, "schema" : "https://github.com/citation-style-language/schema/raw/master/csl-citation.json" }</w:instrText>
      </w:r>
      <w:r w:rsidR="00E57C92" w:rsidRPr="00664A42">
        <w:rPr>
          <w:rFonts w:ascii="Book Antiqua" w:eastAsiaTheme="minorEastAsia" w:hAnsi="Book Antiqua"/>
          <w:lang w:val="en-US" w:eastAsia="en-US"/>
        </w:rPr>
        <w:fldChar w:fldCharType="separate"/>
      </w:r>
      <w:r w:rsidR="00E57C92" w:rsidRPr="00664A42">
        <w:rPr>
          <w:rFonts w:ascii="Book Antiqua" w:eastAsiaTheme="minorEastAsia" w:hAnsi="Book Antiqua"/>
          <w:noProof/>
          <w:vertAlign w:val="superscript"/>
          <w:lang w:val="en-US" w:eastAsia="en-US"/>
        </w:rPr>
        <w:t>[35]</w:t>
      </w:r>
      <w:r w:rsidR="00E57C92" w:rsidRPr="00664A42">
        <w:rPr>
          <w:rFonts w:ascii="Book Antiqua" w:eastAsiaTheme="minorEastAsia" w:hAnsi="Book Antiqua"/>
          <w:lang w:val="en-US" w:eastAsia="en-US"/>
        </w:rPr>
        <w:fldChar w:fldCharType="end"/>
      </w:r>
      <w:r w:rsidR="00E57C92" w:rsidRPr="00664A42">
        <w:rPr>
          <w:rFonts w:ascii="Book Antiqua" w:eastAsiaTheme="minorEastAsia" w:hAnsi="Book Antiqua"/>
          <w:lang w:val="en-US" w:eastAsia="zh-CN"/>
        </w:rPr>
        <w:t xml:space="preserve"> </w:t>
      </w:r>
      <w:r w:rsidRPr="00664A42">
        <w:rPr>
          <w:rFonts w:ascii="Book Antiqua" w:eastAsiaTheme="minorEastAsia" w:hAnsi="Book Antiqua"/>
          <w:lang w:val="en-US" w:eastAsia="en-US"/>
        </w:rPr>
        <w:t xml:space="preserve">in Medcalc. </w:t>
      </w:r>
      <w:r w:rsidRPr="00664A42">
        <w:rPr>
          <w:rFonts w:ascii="Book Antiqua" w:eastAsiaTheme="minorEastAsia" w:hAnsi="Book Antiqua" w:cs="Times"/>
          <w:lang w:val="en-US" w:eastAsia="en-US"/>
        </w:rPr>
        <w:t xml:space="preserve">Youden index was chosen, calculated as the maximum (sensitivity+specificity-1) value, to estimate the best discriminate thresholds. Sensitivities, specificities, positive predictive values (PPV) and negative predictive values (NPV) were calculated to determine the predictive power of individual APPs or their combinations in all the three clinical settings. </w:t>
      </w:r>
      <w:r w:rsidRPr="00664A42">
        <w:rPr>
          <w:rFonts w:ascii="Book Antiqua" w:eastAsiaTheme="minorEastAsia" w:hAnsi="Book Antiqua" w:cs="Times"/>
          <w:lang w:val="en-US"/>
        </w:rPr>
        <w:t>Binary logistic regression was used to assess the relationship between APPs and short-term mortality adjusted for the MELD score and WBC count. For the analysis APPs were log</w:t>
      </w:r>
      <w:r w:rsidRPr="00664A42">
        <w:rPr>
          <w:rFonts w:ascii="Book Antiqua" w:eastAsiaTheme="minorEastAsia" w:hAnsi="Book Antiqua" w:cs="Times"/>
          <w:vertAlign w:val="subscript"/>
          <w:lang w:val="en-US"/>
        </w:rPr>
        <w:t>e</w:t>
      </w:r>
      <w:r w:rsidRPr="00664A42">
        <w:rPr>
          <w:rFonts w:ascii="Book Antiqua" w:eastAsiaTheme="minorEastAsia" w:hAnsi="Book Antiqua" w:cs="Times"/>
          <w:lang w:val="en-US"/>
        </w:rPr>
        <w:t xml:space="preserve">-transformed to ensure normal distribution. </w:t>
      </w:r>
      <w:r w:rsidRPr="00664A42">
        <w:rPr>
          <w:rFonts w:ascii="Book Antiqua" w:eastAsiaTheme="minorEastAsia" w:hAnsi="Book Antiqua" w:cs="Times"/>
          <w:lang w:val="en-US" w:eastAsia="en-US"/>
        </w:rPr>
        <w:t>Associations are given as odds ratios (OR) or lik</w:t>
      </w:r>
      <w:r w:rsidR="00E57C92" w:rsidRPr="00664A42">
        <w:rPr>
          <w:rFonts w:ascii="Book Antiqua" w:eastAsiaTheme="minorEastAsia" w:hAnsi="Book Antiqua" w:cs="Times"/>
          <w:lang w:val="en-US" w:eastAsia="en-US"/>
        </w:rPr>
        <w:t>elihood ratios (LR) with a 95%</w:t>
      </w:r>
      <w:r w:rsidRPr="00664A42">
        <w:rPr>
          <w:rFonts w:ascii="Book Antiqua" w:eastAsiaTheme="minorEastAsia" w:hAnsi="Book Antiqua" w:cs="Times"/>
          <w:lang w:val="en-US" w:eastAsia="en-US"/>
        </w:rPr>
        <w:t>CI. A 2-sided probability value &lt;</w:t>
      </w:r>
      <w:r w:rsidR="00E57C92" w:rsidRPr="00664A42">
        <w:rPr>
          <w:rFonts w:ascii="Book Antiqua" w:eastAsiaTheme="minorEastAsia" w:hAnsi="Book Antiqua" w:cs="Times"/>
          <w:lang w:val="en-US" w:eastAsia="zh-CN"/>
        </w:rPr>
        <w:t xml:space="preserve"> </w:t>
      </w:r>
      <w:r w:rsidRPr="00664A42">
        <w:rPr>
          <w:rFonts w:ascii="Book Antiqua" w:eastAsiaTheme="minorEastAsia" w:hAnsi="Book Antiqua" w:cs="Times"/>
          <w:lang w:val="en-US" w:eastAsia="en-US"/>
        </w:rPr>
        <w:t xml:space="preserve">0.05 was considered to be significant. For statistical analysis and graphical presentation SPSS 22.0 (SPSS Inc., Chicago, IL, </w:t>
      </w:r>
      <w:r w:rsidR="00E57C92" w:rsidRPr="00664A42">
        <w:rPr>
          <w:rFonts w:ascii="Book Antiqua" w:eastAsiaTheme="minorEastAsia" w:hAnsi="Book Antiqua" w:cs="Times"/>
          <w:lang w:val="en-US" w:eastAsia="en-US"/>
        </w:rPr>
        <w:t>United States</w:t>
      </w:r>
      <w:r w:rsidRPr="00664A42">
        <w:rPr>
          <w:rFonts w:ascii="Book Antiqua" w:eastAsiaTheme="minorEastAsia" w:hAnsi="Book Antiqua" w:cs="Times"/>
          <w:lang w:val="en-US" w:eastAsia="en-US"/>
        </w:rPr>
        <w:t xml:space="preserve">) and GraphPad Prism 7 (San Diego, CA, </w:t>
      </w:r>
      <w:r w:rsidR="00E57C92" w:rsidRPr="00664A42">
        <w:rPr>
          <w:rFonts w:ascii="Book Antiqua" w:eastAsiaTheme="minorEastAsia" w:hAnsi="Book Antiqua" w:cs="Times"/>
          <w:lang w:val="en-US" w:eastAsia="en-US"/>
        </w:rPr>
        <w:t>United States</w:t>
      </w:r>
      <w:r w:rsidRPr="00664A42">
        <w:rPr>
          <w:rFonts w:ascii="Book Antiqua" w:eastAsiaTheme="minorEastAsia" w:hAnsi="Book Antiqua" w:cs="Times"/>
          <w:lang w:val="en-US" w:eastAsia="en-US"/>
        </w:rPr>
        <w:t>) were used.</w:t>
      </w:r>
    </w:p>
    <w:p w:rsidR="000A103F" w:rsidRPr="00664A42" w:rsidRDefault="000A103F" w:rsidP="003B01FB">
      <w:pPr>
        <w:spacing w:line="360" w:lineRule="auto"/>
        <w:ind w:firstLineChars="100" w:firstLine="240"/>
        <w:jc w:val="both"/>
        <w:rPr>
          <w:rFonts w:ascii="Book Antiqua" w:hAnsi="Book Antiqua"/>
          <w:b/>
        </w:rPr>
      </w:pPr>
      <w:r w:rsidRPr="00664A42">
        <w:rPr>
          <w:rFonts w:ascii="Book Antiqua" w:hAnsi="Book Antiqua"/>
          <w:lang w:val="en-GB"/>
        </w:rPr>
        <w:lastRenderedPageBreak/>
        <w:t>The statistical methods of this study were reviewed by Professor Elek Dinya, PhD, DSc, Semmelweis University, Institute of Health Informatics, Budapest, Hungary.</w:t>
      </w:r>
    </w:p>
    <w:p w:rsidR="000A103F" w:rsidRPr="00664A42" w:rsidRDefault="000A103F" w:rsidP="003B01FB">
      <w:pPr>
        <w:widowControl w:val="0"/>
        <w:autoSpaceDE w:val="0"/>
        <w:autoSpaceDN w:val="0"/>
        <w:adjustRightInd w:val="0"/>
        <w:spacing w:line="360" w:lineRule="auto"/>
        <w:jc w:val="both"/>
        <w:rPr>
          <w:rFonts w:ascii="Book Antiqua" w:hAnsi="Book Antiqua" w:cs="Arial"/>
          <w:b/>
          <w:lang w:val="en-US"/>
        </w:rPr>
      </w:pPr>
    </w:p>
    <w:p w:rsidR="000A103F" w:rsidRPr="00664A42" w:rsidRDefault="000A103F" w:rsidP="003B01FB">
      <w:pPr>
        <w:widowControl w:val="0"/>
        <w:autoSpaceDE w:val="0"/>
        <w:autoSpaceDN w:val="0"/>
        <w:adjustRightInd w:val="0"/>
        <w:spacing w:line="360" w:lineRule="auto"/>
        <w:jc w:val="both"/>
        <w:rPr>
          <w:rFonts w:ascii="Book Antiqua" w:hAnsi="Book Antiqua" w:cs="Arial"/>
          <w:b/>
          <w:i/>
          <w:lang w:val="en-US"/>
        </w:rPr>
      </w:pPr>
      <w:r w:rsidRPr="00664A42">
        <w:rPr>
          <w:rFonts w:ascii="Book Antiqua" w:hAnsi="Book Antiqua" w:cs="Arial"/>
          <w:b/>
          <w:i/>
          <w:lang w:val="en-US"/>
        </w:rPr>
        <w:t>Review of the literature</w:t>
      </w:r>
    </w:p>
    <w:p w:rsidR="000A103F" w:rsidRPr="00664A42" w:rsidRDefault="000A103F" w:rsidP="003B01FB">
      <w:pPr>
        <w:widowControl w:val="0"/>
        <w:autoSpaceDE w:val="0"/>
        <w:autoSpaceDN w:val="0"/>
        <w:adjustRightInd w:val="0"/>
        <w:spacing w:line="360" w:lineRule="auto"/>
        <w:jc w:val="both"/>
        <w:rPr>
          <w:rFonts w:ascii="Book Antiqua" w:hAnsi="Book Antiqua" w:cs="Arial"/>
          <w:lang w:val="en-US"/>
        </w:rPr>
      </w:pPr>
      <w:r w:rsidRPr="00664A42">
        <w:rPr>
          <w:rFonts w:ascii="Book Antiqua" w:hAnsi="Book Antiqua" w:cs="Arial"/>
          <w:lang w:val="en-US"/>
        </w:rPr>
        <w:t xml:space="preserve">We performed a systematic review of studies reporting on CRP and PCT in prognosis of cirrhosis. Papers were eligible if they presented original research in adult patients with cirrhosis and reported association of CRP and/ or PCT to the disease outcome either in patients with or without bacterial infection. </w:t>
      </w:r>
      <w:r w:rsidRPr="00664A42">
        <w:rPr>
          <w:rFonts w:ascii="Book Antiqua" w:hAnsi="Book Antiqua" w:cs="Arial"/>
          <w:lang w:val="en-GB"/>
        </w:rPr>
        <w:t>Studies had to have been published in peer-reviewed journals. We started searching PubMed using the following search terms: [“</w:t>
      </w:r>
      <w:r w:rsidRPr="00664A42">
        <w:rPr>
          <w:rFonts w:ascii="Book Antiqua" w:eastAsiaTheme="minorEastAsia" w:hAnsi="Book Antiqua"/>
          <w:lang w:val="en-GB" w:eastAsia="en-US"/>
        </w:rPr>
        <w:t>C-reactive protein</w:t>
      </w:r>
      <w:r w:rsidRPr="00664A42">
        <w:rPr>
          <w:rFonts w:ascii="Book Antiqua" w:hAnsi="Book Antiqua" w:cs="Arial"/>
          <w:lang w:val="en-GB"/>
        </w:rPr>
        <w:t>” OR “</w:t>
      </w:r>
      <w:r w:rsidRPr="00664A42">
        <w:rPr>
          <w:rFonts w:ascii="Book Antiqua" w:eastAsiaTheme="minorEastAsia" w:hAnsi="Book Antiqua"/>
          <w:lang w:val="en-GB" w:eastAsia="en-US"/>
        </w:rPr>
        <w:t>procalcitonin</w:t>
      </w:r>
      <w:r w:rsidRPr="00664A42">
        <w:rPr>
          <w:rFonts w:ascii="Book Antiqua" w:hAnsi="Book Antiqua" w:cs="Arial"/>
          <w:lang w:val="en-GB"/>
        </w:rPr>
        <w:t xml:space="preserve">”] </w:t>
      </w:r>
      <w:r w:rsidRPr="00664A42">
        <w:rPr>
          <w:rFonts w:ascii="Book Antiqua" w:eastAsiaTheme="minorEastAsia" w:hAnsi="Book Antiqua" w:cs="Arial"/>
          <w:lang w:val="en-GB" w:eastAsia="en-US"/>
        </w:rPr>
        <w:t>AND “liver cirrhosis”</w:t>
      </w:r>
      <w:r w:rsidRPr="00664A42">
        <w:rPr>
          <w:rFonts w:ascii="Book Antiqua" w:hAnsi="Book Antiqua" w:cs="Arial"/>
          <w:lang w:val="en-GB"/>
        </w:rPr>
        <w:t>. Limits were human and time ranging from 1991 until 2016 (1</w:t>
      </w:r>
      <w:r w:rsidRPr="00664A42">
        <w:rPr>
          <w:rFonts w:ascii="Book Antiqua" w:hAnsi="Book Antiqua" w:cs="Arial"/>
          <w:vertAlign w:val="superscript"/>
          <w:lang w:val="en-GB"/>
        </w:rPr>
        <w:t>st</w:t>
      </w:r>
      <w:r w:rsidRPr="00664A42">
        <w:rPr>
          <w:rFonts w:ascii="Book Antiqua" w:hAnsi="Book Antiqua" w:cs="Arial"/>
          <w:lang w:val="en-GB"/>
        </w:rPr>
        <w:t xml:space="preserve"> June). Only article reported short or long-term outcome in cirrhosis were included. This search revealed 20 articles. In Table 6 we summarizes the clinical significance of </w:t>
      </w:r>
      <w:r w:rsidRPr="00664A42">
        <w:rPr>
          <w:rFonts w:ascii="Book Antiqua" w:hAnsi="Book Antiqua" w:cs="Arial"/>
          <w:lang w:val="en-US"/>
        </w:rPr>
        <w:t>CRP and PCT in the prediction of disease course in cirrhosis based on findings in relevant literature.</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cs="Times"/>
          <w:i/>
          <w:lang w:val="en-US" w:eastAsia="en-US"/>
        </w:rPr>
      </w:pPr>
    </w:p>
    <w:p w:rsidR="000A103F" w:rsidRPr="00664A42" w:rsidRDefault="000A103F" w:rsidP="003B01FB">
      <w:pPr>
        <w:widowControl w:val="0"/>
        <w:autoSpaceDE w:val="0"/>
        <w:autoSpaceDN w:val="0"/>
        <w:adjustRightInd w:val="0"/>
        <w:spacing w:line="360" w:lineRule="auto"/>
        <w:jc w:val="both"/>
        <w:rPr>
          <w:rFonts w:ascii="Book Antiqua" w:hAnsi="Book Antiqua" w:cs="Arial"/>
          <w:b/>
          <w:i/>
          <w:lang w:val="en-US"/>
        </w:rPr>
      </w:pPr>
      <w:r w:rsidRPr="00664A42">
        <w:rPr>
          <w:rFonts w:ascii="Book Antiqua" w:hAnsi="Book Antiqua" w:cs="Arial"/>
          <w:b/>
          <w:i/>
          <w:lang w:val="en-US"/>
        </w:rPr>
        <w:t>Ethical permission</w:t>
      </w:r>
    </w:p>
    <w:p w:rsidR="000A103F" w:rsidRPr="00664A42" w:rsidRDefault="000A103F" w:rsidP="003B01FB">
      <w:pPr>
        <w:autoSpaceDE w:val="0"/>
        <w:autoSpaceDN w:val="0"/>
        <w:adjustRightInd w:val="0"/>
        <w:spacing w:line="360" w:lineRule="auto"/>
        <w:jc w:val="both"/>
        <w:rPr>
          <w:rFonts w:ascii="Book Antiqua" w:eastAsiaTheme="minorEastAsia" w:hAnsi="Book Antiqua"/>
          <w:lang w:val="en-US" w:eastAsia="en-US"/>
        </w:rPr>
      </w:pPr>
      <w:r w:rsidRPr="00664A42">
        <w:rPr>
          <w:rFonts w:ascii="Book Antiqua" w:eastAsiaTheme="minorEastAsia" w:hAnsi="Book Antiqua"/>
          <w:lang w:val="en-GB" w:eastAsia="en-US"/>
        </w:rPr>
        <w:t xml:space="preserve">All patients </w:t>
      </w:r>
      <w:r w:rsidRPr="00664A42">
        <w:rPr>
          <w:rFonts w:ascii="Book Antiqua" w:hAnsi="Book Antiqua"/>
          <w:lang w:val="en-GB"/>
        </w:rPr>
        <w:t xml:space="preserve">were informed of the nature of the study and signed an informed consent form. </w:t>
      </w:r>
      <w:r w:rsidRPr="00664A42">
        <w:rPr>
          <w:rFonts w:ascii="Book Antiqua" w:eastAsiaTheme="minorEastAsia" w:hAnsi="Book Antiqua"/>
          <w:lang w:val="en-US" w:eastAsia="en-US"/>
        </w:rPr>
        <w:t xml:space="preserve">The regional and national committee (DEOEC RKEB/IKEB 5306-9/ 2011, 3885/2012/EKU [60/PI/2012]) for research ethics approved the study protocol. </w:t>
      </w:r>
    </w:p>
    <w:p w:rsidR="000A103F" w:rsidRPr="00664A42" w:rsidRDefault="000A103F" w:rsidP="003B01FB">
      <w:pPr>
        <w:widowControl w:val="0"/>
        <w:autoSpaceDE w:val="0"/>
        <w:autoSpaceDN w:val="0"/>
        <w:adjustRightInd w:val="0"/>
        <w:spacing w:line="360" w:lineRule="auto"/>
        <w:jc w:val="both"/>
        <w:rPr>
          <w:rFonts w:ascii="Book Antiqua" w:hAnsi="Book Antiqua" w:cs="Arial"/>
          <w:b/>
          <w:lang w:val="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cs="Arial"/>
          <w:b/>
          <w:lang w:val="en-US" w:eastAsia="zh-CN"/>
        </w:rPr>
      </w:pPr>
      <w:r w:rsidRPr="00664A42">
        <w:rPr>
          <w:rFonts w:ascii="Book Antiqua" w:hAnsi="Book Antiqua" w:cs="Arial"/>
          <w:b/>
          <w:lang w:val="en-US"/>
        </w:rPr>
        <w:t>RESULTS</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cs="Times"/>
          <w:b/>
          <w:i/>
          <w:lang w:val="en-US" w:eastAsia="en-US"/>
        </w:rPr>
      </w:pPr>
      <w:r w:rsidRPr="00664A42">
        <w:rPr>
          <w:rFonts w:ascii="Book Antiqua" w:eastAsiaTheme="minorEastAsia" w:hAnsi="Book Antiqua" w:cs="Times"/>
          <w:b/>
          <w:i/>
          <w:lang w:val="en-US" w:eastAsia="en-US"/>
        </w:rPr>
        <w:t xml:space="preserve">Study population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en-US"/>
        </w:rPr>
      </w:pPr>
      <w:r w:rsidRPr="00664A42">
        <w:rPr>
          <w:rFonts w:ascii="Book Antiqua" w:eastAsiaTheme="minorEastAsia" w:hAnsi="Book Antiqua"/>
          <w:lang w:val="en-US" w:eastAsia="en-US"/>
        </w:rPr>
        <w:t>Two hundred and sixteen patients with cirrhosis were enrolled in this cohort. The main characteristics of patients with or without infection are summarized in Table 1. There were 118 men with a mean age of 57.6</w:t>
      </w:r>
      <w:r w:rsidR="00E57C92" w:rsidRPr="00664A42">
        <w:rPr>
          <w:rFonts w:ascii="Book Antiqua" w:eastAsiaTheme="minorEastAsia" w:hAnsi="Book Antiqua" w:hint="eastAsia"/>
          <w:lang w:val="en-US" w:eastAsia="zh-CN"/>
        </w:rPr>
        <w:t xml:space="preserve"> </w:t>
      </w:r>
      <w:r w:rsidRPr="00664A42">
        <w:rPr>
          <w:rFonts w:ascii="Book Antiqua" w:eastAsia="MS Gothic" w:hAnsi="Book Antiqua"/>
        </w:rPr>
        <w:t>±</w:t>
      </w:r>
      <w:r w:rsidR="00E57C92" w:rsidRPr="00664A42">
        <w:rPr>
          <w:rFonts w:ascii="Book Antiqua" w:eastAsia="MS Gothic" w:hAnsi="Book Antiqua" w:hint="eastAsia"/>
          <w:lang w:eastAsia="zh-CN"/>
        </w:rPr>
        <w:t xml:space="preserve"> </w:t>
      </w:r>
      <w:r w:rsidRPr="00664A42">
        <w:rPr>
          <w:rFonts w:ascii="Book Antiqua" w:eastAsiaTheme="minorEastAsia" w:hAnsi="Book Antiqua"/>
          <w:lang w:val="en-US" w:eastAsia="en-US"/>
        </w:rPr>
        <w:t xml:space="preserve">10.3 years. The median Child-Pugh and MELD score were 7 (95%CI: 6-9) and 13 (95%CI: 10-17), respectively. The main baseline characteristics were as follows: alcoholic </w:t>
      </w:r>
      <w:r w:rsidRPr="00664A42">
        <w:rPr>
          <w:rFonts w:ascii="Book Antiqua" w:eastAsiaTheme="minorEastAsia" w:hAnsi="Book Antiqua"/>
          <w:lang w:val="en-GB" w:eastAsia="en-US"/>
        </w:rPr>
        <w:t xml:space="preserve">liver disease in 159 patients (73.6%), HCC in 15 patients (6.9%) and renal </w:t>
      </w:r>
      <w:r w:rsidRPr="00664A42">
        <w:rPr>
          <w:rFonts w:ascii="Book Antiqua" w:eastAsiaTheme="minorEastAsia" w:hAnsi="Book Antiqua"/>
          <w:lang w:val="en-GB" w:eastAsia="en-US"/>
        </w:rPr>
        <w:lastRenderedPageBreak/>
        <w:t xml:space="preserve">impairment in 33 (15.3%) </w:t>
      </w:r>
      <w:r w:rsidRPr="00664A42">
        <w:rPr>
          <w:rFonts w:ascii="Book Antiqua" w:hAnsi="Book Antiqua"/>
          <w:lang w:val="en-GB"/>
        </w:rPr>
        <w:t xml:space="preserve">based on creatinine cut-off values ≥133 μmol/L. </w:t>
      </w:r>
      <w:r w:rsidRPr="00664A42">
        <w:rPr>
          <w:rFonts w:ascii="Book Antiqua" w:eastAsiaTheme="minorEastAsia" w:hAnsi="Book Antiqua"/>
          <w:lang w:val="en-GB" w:eastAsia="en-US"/>
        </w:rPr>
        <w:t xml:space="preserve">One-hundred and seventeen patients (54.2%) had extrahepatic co-morbidities. </w:t>
      </w:r>
      <w:r w:rsidRPr="00664A42">
        <w:rPr>
          <w:rFonts w:ascii="Book Antiqua" w:eastAsiaTheme="minorEastAsia" w:hAnsi="Book Antiqua" w:cs="Times"/>
          <w:lang w:val="en-US" w:eastAsia="en-US"/>
        </w:rPr>
        <w:t xml:space="preserve">Acute decompensation of the disease </w:t>
      </w:r>
      <w:r w:rsidRPr="00664A42">
        <w:rPr>
          <w:rFonts w:ascii="Book Antiqua" w:eastAsiaTheme="minorEastAsia" w:hAnsi="Book Antiqua"/>
          <w:lang w:val="en-US" w:eastAsia="en-US"/>
        </w:rPr>
        <w:t xml:space="preserve">warranting hospital admission occurred in a total of 101 patients (46.8%) of whom 27 (26.7%) had at least one OF.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Times"/>
          <w:lang w:val="en-US" w:eastAsia="en-US"/>
        </w:rPr>
      </w:pPr>
      <w:r w:rsidRPr="00664A42">
        <w:rPr>
          <w:rFonts w:ascii="Book Antiqua" w:eastAsiaTheme="minorEastAsia" w:hAnsi="Book Antiqua" w:cs="Times"/>
          <w:lang w:val="en-US" w:eastAsia="en-US"/>
        </w:rPr>
        <w:t xml:space="preserve">Documented bacterial infection was present in 75 (34.7%) patients of whom 9 (12.0%) suffered from multifocal episode. </w:t>
      </w:r>
      <w:r w:rsidRPr="00664A42">
        <w:rPr>
          <w:rFonts w:ascii="Book Antiqua" w:hAnsi="Book Antiqua"/>
          <w:lang w:val="en-US"/>
        </w:rPr>
        <w:t>Bacteria were</w:t>
      </w:r>
      <w:r w:rsidRPr="00664A42">
        <w:rPr>
          <w:rStyle w:val="apple-converted-space"/>
          <w:rFonts w:ascii="Book Antiqua" w:hAnsi="Book Antiqua"/>
          <w:lang w:val="en-US"/>
        </w:rPr>
        <w:t xml:space="preserve"> </w:t>
      </w:r>
      <w:r w:rsidRPr="00664A42">
        <w:rPr>
          <w:rStyle w:val="il"/>
          <w:rFonts w:ascii="Book Antiqua" w:hAnsi="Book Antiqua"/>
          <w:lang w:val="en-US"/>
        </w:rPr>
        <w:t>Gram</w:t>
      </w:r>
      <w:r w:rsidRPr="00664A42">
        <w:rPr>
          <w:rFonts w:ascii="Book Antiqua" w:hAnsi="Book Antiqua"/>
          <w:lang w:val="en-US"/>
        </w:rPr>
        <w:t>-negative in 52.6% and</w:t>
      </w:r>
      <w:r w:rsidRPr="00664A42">
        <w:rPr>
          <w:rStyle w:val="apple-converted-space"/>
          <w:rFonts w:ascii="Book Antiqua" w:hAnsi="Book Antiqua"/>
          <w:lang w:val="en-US"/>
        </w:rPr>
        <w:t> </w:t>
      </w:r>
      <w:r w:rsidRPr="00664A42">
        <w:rPr>
          <w:rStyle w:val="il"/>
          <w:rFonts w:ascii="Book Antiqua" w:hAnsi="Book Antiqua"/>
          <w:lang w:val="en-US"/>
        </w:rPr>
        <w:t>Gram</w:t>
      </w:r>
      <w:r w:rsidRPr="00664A42">
        <w:rPr>
          <w:rFonts w:ascii="Book Antiqua" w:hAnsi="Book Antiqua"/>
          <w:lang w:val="en-US"/>
        </w:rPr>
        <w:t xml:space="preserve">-positive in 47.4% of culture-positive cases. </w:t>
      </w:r>
      <w:r w:rsidRPr="00664A42">
        <w:rPr>
          <w:rFonts w:ascii="Book Antiqua" w:hAnsi="Book Antiqua"/>
          <w:lang w:val="en-GB"/>
        </w:rPr>
        <w:t>No cases of invasive fungal infections were detected.</w:t>
      </w:r>
      <w:r w:rsidRPr="00664A42">
        <w:rPr>
          <w:rFonts w:ascii="Book Antiqua" w:hAnsi="Book Antiqua"/>
        </w:rPr>
        <w:t xml:space="preserve"> </w:t>
      </w:r>
      <w:r w:rsidRPr="00664A42">
        <w:rPr>
          <w:rFonts w:ascii="Book Antiqua" w:eastAsiaTheme="minorEastAsia" w:hAnsi="Book Antiqua" w:cs="Times"/>
          <w:lang w:val="en-US" w:eastAsia="en-US"/>
        </w:rPr>
        <w:t xml:space="preserve">The distribution of infections is shown in Table 1. </w:t>
      </w:r>
      <w:r w:rsidRPr="00664A42">
        <w:rPr>
          <w:rFonts w:ascii="Book Antiqua" w:eastAsiaTheme="minorEastAsia" w:hAnsi="Book Antiqua"/>
          <w:lang w:val="en-US" w:eastAsia="en-US"/>
        </w:rPr>
        <w:t>The infected and the</w:t>
      </w:r>
      <w:r w:rsidRPr="00664A42">
        <w:rPr>
          <w:rFonts w:ascii="Book Antiqua" w:eastAsiaTheme="minorEastAsia" w:hAnsi="Book Antiqua" w:cs="Times"/>
          <w:lang w:val="en-US" w:eastAsia="en-US"/>
        </w:rPr>
        <w:t xml:space="preserve"> non-infected patient groups did not differ in gender, age, and presence of comorbidities. However, patients with infections had more advanced disease stage, as indicated by median values of Child-Pugh and MELD score and presence of ascites. Renal impairment </w:t>
      </w:r>
      <w:r w:rsidR="00E57C92" w:rsidRPr="00664A42">
        <w:rPr>
          <w:rFonts w:ascii="Book Antiqua" w:eastAsiaTheme="minorEastAsia" w:hAnsi="Book Antiqua"/>
          <w:lang w:val="en-US" w:eastAsia="en-US"/>
        </w:rPr>
        <w:t xml:space="preserve">(29.3% </w:t>
      </w:r>
      <w:r w:rsidR="00E57C92" w:rsidRPr="00664A42">
        <w:rPr>
          <w:rFonts w:ascii="Book Antiqua" w:eastAsiaTheme="minorEastAsia" w:hAnsi="Book Antiqua"/>
          <w:i/>
          <w:lang w:val="en-US" w:eastAsia="en-US"/>
        </w:rPr>
        <w:t>vs</w:t>
      </w:r>
      <w:r w:rsidRPr="00664A42">
        <w:rPr>
          <w:rFonts w:ascii="Book Antiqua" w:eastAsiaTheme="minorEastAsia" w:hAnsi="Book Antiqua"/>
          <w:lang w:val="en-US" w:eastAsia="en-US"/>
        </w:rPr>
        <w:t xml:space="preserve"> 7.8%,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&lt;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 xml:space="preserve">0.001) and occurrence of HCC (14.7% </w:t>
      </w:r>
      <w:r w:rsidR="00E57C92" w:rsidRPr="00664A42">
        <w:rPr>
          <w:rFonts w:ascii="Book Antiqua" w:eastAsiaTheme="minorEastAsia" w:hAnsi="Book Antiqua"/>
          <w:i/>
          <w:lang w:val="en-US" w:eastAsia="en-US"/>
        </w:rPr>
        <w:t>vs</w:t>
      </w:r>
      <w:r w:rsidRPr="00664A42">
        <w:rPr>
          <w:rFonts w:ascii="Book Antiqua" w:eastAsiaTheme="minorEastAsia" w:hAnsi="Book Antiqua"/>
          <w:lang w:val="en-US" w:eastAsia="en-US"/>
        </w:rPr>
        <w:t xml:space="preserve"> 2.8%,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 xml:space="preserve">0.003) </w:t>
      </w:r>
      <w:r w:rsidRPr="00664A42">
        <w:rPr>
          <w:rFonts w:ascii="Book Antiqua" w:eastAsiaTheme="minorEastAsia" w:hAnsi="Book Antiqua" w:cs="Times"/>
          <w:lang w:val="en-US" w:eastAsia="en-US"/>
        </w:rPr>
        <w:t xml:space="preserve">were more frequent in </w:t>
      </w:r>
      <w:r w:rsidRPr="00664A42">
        <w:rPr>
          <w:rFonts w:ascii="Book Antiqua" w:eastAsiaTheme="minorEastAsia" w:hAnsi="Book Antiqua"/>
          <w:lang w:val="en-US" w:eastAsia="en-US"/>
        </w:rPr>
        <w:t>patients with infection as compared to those without as well.</w:t>
      </w:r>
      <w:r w:rsidRPr="00664A42">
        <w:rPr>
          <w:rFonts w:ascii="Book Antiqua" w:eastAsiaTheme="minorEastAsia" w:hAnsi="Book Antiqua" w:cs="Times"/>
          <w:lang w:val="en-US" w:eastAsia="en-US"/>
        </w:rPr>
        <w:t xml:space="preserve"> The occurrence of AD episodes and the development of OF were more common in the presence of infections (AD </w:t>
      </w:r>
      <w:r w:rsidR="00E57C92" w:rsidRPr="00664A42">
        <w:rPr>
          <w:rFonts w:ascii="Book Antiqua" w:eastAsiaTheme="minorEastAsia" w:hAnsi="Book Antiqua" w:cs="Times"/>
          <w:vertAlign w:val="subscript"/>
          <w:lang w:val="en-US" w:eastAsia="en-US"/>
        </w:rPr>
        <w:t xml:space="preserve">INF </w:t>
      </w:r>
      <w:r w:rsidR="00E57C92" w:rsidRPr="00664A42">
        <w:rPr>
          <w:rFonts w:ascii="Book Antiqua" w:eastAsiaTheme="minorEastAsia" w:hAnsi="Book Antiqua" w:cs="Times"/>
          <w:i/>
          <w:vertAlign w:val="subscript"/>
          <w:lang w:val="en-US" w:eastAsia="en-US"/>
        </w:rPr>
        <w:t>vs</w:t>
      </w:r>
      <w:r w:rsidRPr="00664A42">
        <w:rPr>
          <w:rFonts w:ascii="Book Antiqua" w:eastAsiaTheme="minorEastAsia" w:hAnsi="Book Antiqua" w:cs="Times"/>
          <w:vertAlign w:val="subscript"/>
          <w:lang w:val="en-US" w:eastAsia="en-US"/>
        </w:rPr>
        <w:t xml:space="preserve"> NON-INF</w:t>
      </w:r>
      <w:r w:rsidR="00E57C92" w:rsidRPr="00664A42">
        <w:rPr>
          <w:rFonts w:ascii="Book Antiqua" w:eastAsiaTheme="minorEastAsia" w:hAnsi="Book Antiqua" w:cs="Times"/>
          <w:lang w:val="en-US" w:eastAsia="en-US"/>
        </w:rPr>
        <w:t xml:space="preserve">: 85.3% </w:t>
      </w:r>
      <w:r w:rsidR="00E57C92" w:rsidRPr="00664A42">
        <w:rPr>
          <w:rFonts w:ascii="Book Antiqua" w:eastAsiaTheme="minorEastAsia" w:hAnsi="Book Antiqua" w:cs="Times"/>
          <w:i/>
          <w:lang w:val="en-US" w:eastAsia="en-US"/>
        </w:rPr>
        <w:t>vs</w:t>
      </w:r>
      <w:r w:rsidRPr="00664A42">
        <w:rPr>
          <w:rFonts w:ascii="Book Antiqua" w:eastAsiaTheme="minorEastAsia" w:hAnsi="Book Antiqua" w:cs="Times"/>
          <w:lang w:val="en-US" w:eastAsia="en-US"/>
        </w:rPr>
        <w:t xml:space="preserve"> 26.2%, </w:t>
      </w:r>
      <w:r w:rsidR="00E57C92" w:rsidRPr="00664A42">
        <w:rPr>
          <w:rFonts w:ascii="Book Antiqua" w:eastAsiaTheme="minorEastAsia" w:hAnsi="Book Antiqua"/>
          <w:i/>
          <w:lang w:val="en-US" w:eastAsia="en-US"/>
        </w:rPr>
        <w:t>P</w:t>
      </w:r>
      <w:r w:rsidRPr="00664A42">
        <w:rPr>
          <w:rFonts w:ascii="Book Antiqua" w:eastAsiaTheme="minorEastAsia" w:hAnsi="Book Antiqua"/>
          <w:lang w:val="en-US" w:eastAsia="en-US"/>
        </w:rPr>
        <w:t xml:space="preserve"> &lt; 0.001 </w:t>
      </w:r>
      <w:r w:rsidRPr="00664A42">
        <w:rPr>
          <w:rFonts w:ascii="Book Antiqua" w:eastAsiaTheme="minorEastAsia" w:hAnsi="Book Antiqua" w:cs="Times"/>
          <w:lang w:val="en-US" w:eastAsia="en-US"/>
        </w:rPr>
        <w:t xml:space="preserve">and OF </w:t>
      </w:r>
      <w:r w:rsidRPr="00664A42">
        <w:rPr>
          <w:rFonts w:ascii="Book Antiqua" w:eastAsiaTheme="minorEastAsia" w:hAnsi="Book Antiqua" w:cs="Times"/>
          <w:vertAlign w:val="subscript"/>
          <w:lang w:val="en-US" w:eastAsia="en-US"/>
        </w:rPr>
        <w:t>INF vs. NON-INF</w:t>
      </w:r>
      <w:r w:rsidRPr="00664A42">
        <w:rPr>
          <w:rFonts w:ascii="Book Antiqua" w:eastAsiaTheme="minorEastAsia" w:hAnsi="Book Antiqua" w:cs="Times"/>
          <w:lang w:val="en-US" w:eastAsia="en-US"/>
        </w:rPr>
        <w:t>: 37.5%</w:t>
      </w:r>
      <w:r w:rsidR="00E57C92" w:rsidRPr="00664A42">
        <w:rPr>
          <w:rFonts w:ascii="Book Antiqua" w:eastAsiaTheme="minorEastAsia" w:hAnsi="Book Antiqua" w:cs="Times"/>
          <w:lang w:val="en-US" w:eastAsia="en-US"/>
        </w:rPr>
        <w:t xml:space="preserve"> </w:t>
      </w:r>
      <w:r w:rsidR="00E57C92" w:rsidRPr="00664A42">
        <w:rPr>
          <w:rFonts w:ascii="Book Antiqua" w:eastAsiaTheme="minorEastAsia" w:hAnsi="Book Antiqua" w:cs="Times"/>
          <w:i/>
          <w:lang w:val="en-US" w:eastAsia="en-US"/>
        </w:rPr>
        <w:t>vs</w:t>
      </w:r>
      <w:r w:rsidR="00E57C92" w:rsidRPr="00664A42">
        <w:rPr>
          <w:rFonts w:ascii="Book Antiqua" w:eastAsiaTheme="minorEastAsia" w:hAnsi="Book Antiqua" w:cs="Times"/>
          <w:lang w:val="en-US" w:eastAsia="en-US"/>
        </w:rPr>
        <w:t xml:space="preserve"> </w:t>
      </w:r>
      <w:r w:rsidRPr="00664A42">
        <w:rPr>
          <w:rFonts w:ascii="Book Antiqua" w:eastAsiaTheme="minorEastAsia" w:hAnsi="Book Antiqua" w:cs="Times"/>
          <w:lang w:val="en-US" w:eastAsia="en-US"/>
        </w:rPr>
        <w:t xml:space="preserve">8.1%,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 xml:space="preserve">0.001).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Times"/>
          <w:i/>
          <w:lang w:val="en-US"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t>Association between presepsin levels and bacterial infections</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en-US"/>
        </w:rPr>
      </w:pPr>
      <w:r w:rsidRPr="00664A42">
        <w:rPr>
          <w:rFonts w:ascii="Book Antiqua" w:eastAsiaTheme="minorEastAsia" w:hAnsi="Book Antiqua" w:cs="Times"/>
          <w:lang w:val="en-US" w:eastAsia="en-US"/>
        </w:rPr>
        <w:t>Presepsin values ranged from 142 to 5950 pg/mL (</w:t>
      </w:r>
      <w:r w:rsidRPr="00664A42">
        <w:rPr>
          <w:rFonts w:ascii="Book Antiqua" w:eastAsiaTheme="minorEastAsia" w:hAnsi="Book Antiqua"/>
          <w:lang w:val="en-US" w:eastAsia="en-US"/>
        </w:rPr>
        <w:t xml:space="preserve">median [IQR], </w:t>
      </w:r>
      <w:r w:rsidRPr="00664A42">
        <w:rPr>
          <w:rFonts w:ascii="Book Antiqua" w:eastAsiaTheme="minorEastAsia" w:hAnsi="Book Antiqua" w:cs="Times"/>
          <w:lang w:val="en-US" w:eastAsia="en-US"/>
        </w:rPr>
        <w:t xml:space="preserve">576 pg/mL [376–972]) and </w:t>
      </w:r>
      <w:r w:rsidRPr="00664A42">
        <w:rPr>
          <w:rFonts w:ascii="Book Antiqua" w:eastAsiaTheme="minorEastAsia" w:hAnsi="Book Antiqua"/>
          <w:lang w:val="en-US" w:eastAsia="en-US"/>
        </w:rPr>
        <w:t>were significantly higher in patients with infection as compared to those without (</w:t>
      </w:r>
      <w:r w:rsidRPr="00664A42">
        <w:rPr>
          <w:rFonts w:ascii="Book Antiqua" w:hAnsi="Book Antiqua"/>
        </w:rPr>
        <w:t xml:space="preserve">1002 </w:t>
      </w:r>
      <w:r w:rsidRPr="00664A42">
        <w:rPr>
          <w:rFonts w:ascii="Book Antiqua" w:eastAsiaTheme="minorEastAsia" w:hAnsi="Book Antiqua"/>
          <w:lang w:val="en-US" w:eastAsia="en-US"/>
        </w:rPr>
        <w:t>pg/mL</w:t>
      </w:r>
      <w:r w:rsidR="00E57C92" w:rsidRPr="00664A42">
        <w:rPr>
          <w:rFonts w:ascii="Book Antiqua" w:hAnsi="Book Antiqua"/>
        </w:rPr>
        <w:t xml:space="preserve"> [575-2149] </w:t>
      </w:r>
      <w:r w:rsidR="00E57C92" w:rsidRPr="00664A42">
        <w:rPr>
          <w:rFonts w:ascii="Book Antiqua" w:eastAsiaTheme="minorEastAsia" w:hAnsi="Book Antiqua" w:cs="Times"/>
          <w:i/>
          <w:lang w:val="en-US" w:eastAsia="en-US"/>
        </w:rPr>
        <w:t>vs</w:t>
      </w:r>
      <w:r w:rsidR="00E57C92" w:rsidRPr="00664A42">
        <w:rPr>
          <w:rFonts w:ascii="Book Antiqua" w:eastAsiaTheme="minorEastAsia" w:hAnsi="Book Antiqua" w:cs="Times"/>
          <w:lang w:val="en-US" w:eastAsia="en-US"/>
        </w:rPr>
        <w:t xml:space="preserve"> </w:t>
      </w:r>
      <w:r w:rsidRPr="00664A42">
        <w:rPr>
          <w:rFonts w:ascii="Book Antiqua" w:hAnsi="Book Antiqua"/>
        </w:rPr>
        <w:t>477 [332-680]</w:t>
      </w:r>
      <w:r w:rsidRPr="00664A42">
        <w:rPr>
          <w:rFonts w:ascii="Book Antiqua" w:eastAsiaTheme="minorEastAsia" w:hAnsi="Book Antiqua"/>
          <w:lang w:val="en-US" w:eastAsia="en-US"/>
        </w:rPr>
        <w:t xml:space="preserve"> pg/mL,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&lt;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0.001) (Figure 1). This association was also confirmed in the different disease severity subgroups according to Child-Pugh stage (Figure 2A) or the presence of ascites (Figure 2B). In the subgroup of patients with renal failure, presepsin levels were also different numerically between infected and non-infected patient groups however it did not reach statistically significance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0.08) (Figure 2C). Further evaluating non-infected patients, a significant increase was observed in presepsin levels in case of more advanced disease stage and also in the presence of renal failure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&lt;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0.001 for both).</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Times"/>
          <w:lang w:val="en-US" w:eastAsia="en-US"/>
        </w:rPr>
      </w:pPr>
      <w:r w:rsidRPr="00664A42">
        <w:rPr>
          <w:rFonts w:ascii="Book Antiqua" w:eastAsiaTheme="minorEastAsia" w:hAnsi="Book Antiqua" w:cs="Times"/>
          <w:lang w:val="en-US" w:eastAsia="en-US"/>
        </w:rPr>
        <w:t xml:space="preserve">Presepsin level was positively correlated with classic markers of </w:t>
      </w:r>
      <w:r w:rsidRPr="00664A42">
        <w:rPr>
          <w:rFonts w:ascii="Book Antiqua" w:eastAsiaTheme="minorEastAsia" w:hAnsi="Book Antiqua" w:cs="Times"/>
          <w:lang w:val="en-US" w:eastAsia="en-US"/>
        </w:rPr>
        <w:lastRenderedPageBreak/>
        <w:t xml:space="preserve">bacterial infections, such as CRP, PCT, and different WBC parameters, but also with renal and liver function tests (Table 2) and accordingly with liver </w:t>
      </w:r>
      <w:r w:rsidRPr="00664A42">
        <w:rPr>
          <w:rFonts w:ascii="Book Antiqua" w:eastAsiaTheme="minorEastAsia" w:hAnsi="Book Antiqua"/>
          <w:lang w:val="en-GB" w:eastAsia="en-US"/>
        </w:rPr>
        <w:t>liver-oriented scores (CPs and MELD).</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US" w:eastAsia="en-US"/>
        </w:rPr>
      </w:pPr>
      <w:r w:rsidRPr="00664A42">
        <w:rPr>
          <w:rFonts w:ascii="Book Antiqua" w:eastAsiaTheme="minorEastAsia" w:hAnsi="Book Antiqua"/>
          <w:lang w:val="en-US" w:eastAsia="en-US"/>
        </w:rPr>
        <w:t>Considering the type of infectious episodes, presepsin level was not different according to the location or Gram specificity of the infection (data not shown). Patients with multifocal infections (10.6%) showed numerically higher presepsin levels than those with unifocal ones without reaching statistically significance</w:t>
      </w:r>
      <w:r w:rsidR="00E57C92" w:rsidRPr="00664A42">
        <w:rPr>
          <w:rFonts w:ascii="Book Antiqua" w:eastAsiaTheme="minorEastAsia" w:hAnsi="Book Antiqua"/>
          <w:lang w:val="en-US" w:eastAsia="en-US"/>
        </w:rPr>
        <w:t xml:space="preserve"> </w:t>
      </w:r>
      <w:r w:rsidR="00743A2B">
        <w:rPr>
          <w:rFonts w:ascii="Book Antiqua" w:eastAsiaTheme="minorEastAsia" w:hAnsi="Book Antiqua" w:hint="eastAsia"/>
          <w:lang w:val="en-US" w:eastAsia="zh-CN"/>
        </w:rPr>
        <w:t>[</w:t>
      </w:r>
      <w:r w:rsidR="00E57C92" w:rsidRPr="00664A42">
        <w:rPr>
          <w:rFonts w:ascii="Book Antiqua" w:eastAsiaTheme="minorEastAsia" w:hAnsi="Book Antiqua"/>
          <w:lang w:val="en-US" w:eastAsia="en-US"/>
        </w:rPr>
        <w:t xml:space="preserve">2470 pg/mL </w:t>
      </w:r>
      <w:r w:rsidR="00743A2B">
        <w:rPr>
          <w:rFonts w:ascii="Book Antiqua" w:eastAsiaTheme="minorEastAsia" w:hAnsi="Book Antiqua" w:hint="eastAsia"/>
          <w:lang w:val="en-US" w:eastAsia="zh-CN"/>
        </w:rPr>
        <w:t>(</w:t>
      </w:r>
      <w:r w:rsidR="00E57C92" w:rsidRPr="00664A42">
        <w:rPr>
          <w:rFonts w:ascii="Book Antiqua" w:eastAsiaTheme="minorEastAsia" w:hAnsi="Book Antiqua"/>
          <w:lang w:val="en-US" w:eastAsia="en-US"/>
        </w:rPr>
        <w:t>729-2671</w:t>
      </w:r>
      <w:r w:rsidR="00743A2B">
        <w:rPr>
          <w:rFonts w:ascii="Book Antiqua" w:eastAsiaTheme="minorEastAsia" w:hAnsi="Book Antiqua" w:hint="eastAsia"/>
          <w:lang w:val="en-US" w:eastAsia="zh-CN"/>
        </w:rPr>
        <w:t>)</w:t>
      </w:r>
      <w:r w:rsidR="00E57C92" w:rsidRPr="00664A42">
        <w:rPr>
          <w:rFonts w:ascii="Book Antiqua" w:eastAsiaTheme="minorEastAsia" w:hAnsi="Book Antiqua"/>
          <w:lang w:val="en-US" w:eastAsia="en-US"/>
        </w:rPr>
        <w:t xml:space="preserve"> </w:t>
      </w:r>
      <w:r w:rsidR="00E57C92" w:rsidRPr="00664A42">
        <w:rPr>
          <w:rFonts w:ascii="Book Antiqua" w:eastAsiaTheme="minorEastAsia" w:hAnsi="Book Antiqua"/>
          <w:i/>
          <w:lang w:val="en-US" w:eastAsia="en-US"/>
        </w:rPr>
        <w:t>vs</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 xml:space="preserve">983 pg/mL </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560-1774</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i/>
          <w:lang w:val="en-US" w:eastAsia="zh-CN"/>
        </w:rPr>
        <w:t xml:space="preserve"> </w:t>
      </w:r>
      <w:r w:rsidRPr="00664A42">
        <w:rPr>
          <w:rFonts w:ascii="Book Antiqua" w:eastAsiaTheme="minorEastAsia" w:hAnsi="Book Antiqua"/>
          <w:lang w:val="en-US" w:eastAsia="en-US"/>
        </w:rPr>
        <w: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0.065</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Nonetheless, presepsin level was associated with the severity of the infection. Twenty-four infections (32%) were complicated with at least one OF. Presepsin level was significantly higher in patients with OF as compared to those without </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2358 pg/mL </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1398-3666</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w:t>
      </w:r>
      <w:r w:rsidR="00E57C92" w:rsidRPr="00664A42">
        <w:rPr>
          <w:rFonts w:ascii="Book Antiqua" w:eastAsiaTheme="minorEastAsia" w:hAnsi="Book Antiqua"/>
          <w:i/>
          <w:lang w:val="en-US" w:eastAsia="en-US"/>
        </w:rPr>
        <w:t>vs</w:t>
      </w:r>
      <w:r w:rsidRPr="00664A42">
        <w:rPr>
          <w:rFonts w:ascii="Book Antiqua" w:eastAsiaTheme="minorEastAsia" w:hAnsi="Book Antiqua"/>
          <w:lang w:val="en-US" w:eastAsia="en-US"/>
        </w:rPr>
        <w:t xml:space="preserve"> 710 pg/mL </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533-1277</w:t>
      </w:r>
      <w:r w:rsidR="00743A2B">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w:t>
      </w:r>
      <w:r w:rsidR="00E57C92" w:rsidRPr="00664A42">
        <w:rPr>
          <w:rFonts w:ascii="Book Antiqua" w:eastAsiaTheme="minorEastAsia" w:hAnsi="Book Antiqua"/>
          <w:i/>
          <w:lang w:val="en-US" w:eastAsia="en-US"/>
        </w:rPr>
        <w:t>P</w:t>
      </w:r>
      <w:r w:rsidR="00E57C92" w:rsidRPr="00664A42">
        <w:rPr>
          <w:rFonts w:ascii="Book Antiqua" w:eastAsiaTheme="minorEastAsia" w:hAnsi="Book Antiqua"/>
          <w:i/>
          <w:lang w:val="en-US" w:eastAsia="zh-CN"/>
        </w:rPr>
        <w:t xml:space="preserve"> </w:t>
      </w:r>
      <w:r w:rsidRPr="00664A42">
        <w:rPr>
          <w:rFonts w:ascii="Book Antiqua" w:eastAsiaTheme="minorEastAsia" w:hAnsi="Book Antiqua"/>
          <w:lang w:val="en-US" w:eastAsia="en-US"/>
        </w:rPr>
        <w:t>&lt;</w:t>
      </w:r>
      <w:r w:rsidR="00E57C9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0.001</w:t>
      </w:r>
      <w:r w:rsidR="00743A2B">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(Figure 1).</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lang w:val="en-GB"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i/>
          <w:lang w:val="en-GB" w:eastAsia="en-US"/>
        </w:rPr>
      </w:pPr>
      <w:r w:rsidRPr="00664A42">
        <w:rPr>
          <w:rFonts w:ascii="Book Antiqua" w:eastAsiaTheme="minorEastAsia" w:hAnsi="Book Antiqua"/>
          <w:b/>
          <w:i/>
          <w:lang w:val="en-GB" w:eastAsia="en-US"/>
        </w:rPr>
        <w:t>Accuracy of presepsin level in the diagnosis of bacterial infections compared to classic acute phase proteins</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The diagnostic accuracy of presepsin for identifying patients with infection was established by ROC analysis and compared to CRP and PCT. Presepsin was similar predictor of bacterial </w:t>
      </w:r>
      <w:r w:rsidR="00E57C92" w:rsidRPr="00664A42">
        <w:rPr>
          <w:rFonts w:ascii="Book Antiqua" w:eastAsiaTheme="minorEastAsia" w:hAnsi="Book Antiqua"/>
          <w:lang w:val="en-GB" w:eastAsia="en-US"/>
        </w:rPr>
        <w:t xml:space="preserve">infection in overall </w:t>
      </w:r>
      <w:r w:rsidR="00E57C92" w:rsidRPr="00664A42">
        <w:rPr>
          <w:rFonts w:ascii="Book Antiqua" w:eastAsiaTheme="minorEastAsia" w:hAnsi="Book Antiqua" w:hint="eastAsia"/>
          <w:lang w:val="en-GB" w:eastAsia="zh-CN"/>
        </w:rPr>
        <w:t>[</w:t>
      </w:r>
      <w:r w:rsidR="00E57C92" w:rsidRPr="00664A42">
        <w:rPr>
          <w:rFonts w:ascii="Book Antiqua" w:eastAsiaTheme="minorEastAsia" w:hAnsi="Book Antiqua"/>
          <w:lang w:val="en-GB" w:eastAsia="en-US"/>
        </w:rPr>
        <w:t>AUC-ROC, 95%CI</w:t>
      </w:r>
      <w:r w:rsidRPr="00664A42">
        <w:rPr>
          <w:rFonts w:ascii="Book Antiqua" w:eastAsiaTheme="minorEastAsia" w:hAnsi="Book Antiqua"/>
          <w:lang w:val="en-GB" w:eastAsia="en-US"/>
        </w:rPr>
        <w:t xml:space="preserve">: 0.79 </w:t>
      </w:r>
      <w:r w:rsidR="00E57C92" w:rsidRPr="00664A42">
        <w:rPr>
          <w:rFonts w:ascii="Book Antiqua" w:eastAsiaTheme="minorEastAsia" w:hAnsi="Book Antiqua" w:hint="eastAsia"/>
          <w:lang w:val="en-GB" w:eastAsia="zh-CN"/>
        </w:rPr>
        <w:t>(</w:t>
      </w:r>
      <w:r w:rsidR="00E57C92" w:rsidRPr="00664A42">
        <w:rPr>
          <w:rFonts w:ascii="Book Antiqua" w:eastAsiaTheme="minorEastAsia" w:hAnsi="Book Antiqua"/>
          <w:lang w:val="en-GB" w:eastAsia="en-US"/>
        </w:rPr>
        <w:t>0.73-0.84</w:t>
      </w:r>
      <w:r w:rsidR="00E57C92" w:rsidRPr="00664A42">
        <w:rPr>
          <w:rFonts w:ascii="Book Antiqua" w:eastAsiaTheme="minorEastAsia" w:hAnsi="Book Antiqua" w:hint="eastAsia"/>
          <w:lang w:val="en-GB" w:eastAsia="zh-CN"/>
        </w:rPr>
        <w:t>)</w:t>
      </w:r>
      <w:r w:rsidR="00E57C92" w:rsidRPr="00664A42">
        <w:rPr>
          <w:rFonts w:ascii="Book Antiqua" w:eastAsiaTheme="minorEastAsia" w:hAnsi="Book Antiqua"/>
          <w:lang w:val="en-GB" w:eastAsia="en-US"/>
        </w:rPr>
        <w:t>]</w:t>
      </w:r>
      <w:r w:rsidRPr="00664A42">
        <w:rPr>
          <w:rFonts w:ascii="Book Antiqua" w:eastAsiaTheme="minorEastAsia" w:hAnsi="Book Antiqua"/>
          <w:lang w:val="en-GB" w:eastAsia="en-US"/>
        </w:rPr>
        <w:t xml:space="preserve"> </w:t>
      </w:r>
      <w:r w:rsidR="00743A2B" w:rsidRPr="00743A2B">
        <w:rPr>
          <w:rFonts w:ascii="Book Antiqua" w:eastAsiaTheme="minorEastAsia" w:hAnsi="Book Antiqua" w:hint="eastAsia"/>
          <w:i/>
          <w:lang w:val="en-GB" w:eastAsia="zh-CN"/>
        </w:rPr>
        <w:t>vs</w:t>
      </w:r>
      <w:r w:rsidRPr="00664A42">
        <w:rPr>
          <w:rFonts w:ascii="Book Antiqua" w:eastAsiaTheme="minorEastAsia" w:hAnsi="Book Antiqua"/>
          <w:lang w:val="en-GB" w:eastAsia="en-US"/>
        </w:rPr>
        <w:t xml:space="preserve"> PCT </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0.77 </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0.71-0.83</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E57C92" w:rsidRPr="00664A42">
        <w:rPr>
          <w:rFonts w:ascii="Book Antiqua" w:eastAsiaTheme="minorEastAsia" w:hAnsi="Book Antiqua"/>
          <w:i/>
          <w:lang w:val="en-GB" w:eastAsia="en-US"/>
        </w:rPr>
        <w:t>P</w:t>
      </w:r>
      <w:r w:rsidR="00E57C92" w:rsidRPr="00664A42">
        <w:rPr>
          <w:rFonts w:ascii="Book Antiqua" w:eastAsiaTheme="minorEastAsia" w:hAnsi="Book Antiqua"/>
          <w:i/>
          <w:lang w:val="en-GB" w:eastAsia="zh-CN"/>
        </w:rPr>
        <w:t xml:space="preserve"> </w:t>
      </w:r>
      <w:r w:rsidRPr="00664A42">
        <w:rPr>
          <w:rFonts w:ascii="Book Antiqua" w:eastAsiaTheme="minorEastAsia" w:hAnsi="Book Antiqua"/>
          <w:lang w:val="en-GB" w:eastAsia="en-US"/>
        </w:rPr>
        <w:t>=</w:t>
      </w:r>
      <w:r w:rsidR="00E57C92" w:rsidRPr="00664A42">
        <w:rPr>
          <w:rFonts w:ascii="Book Antiqua" w:eastAsiaTheme="minorEastAsia" w:hAnsi="Book Antiqua" w:hint="eastAsia"/>
          <w:lang w:val="en-GB" w:eastAsia="zh-CN"/>
        </w:rPr>
        <w:t xml:space="preserve"> </w:t>
      </w:r>
      <w:r w:rsidRPr="00664A42">
        <w:rPr>
          <w:rFonts w:ascii="Book Antiqua" w:eastAsiaTheme="minorEastAsia" w:hAnsi="Book Antiqua"/>
          <w:lang w:val="en-GB" w:eastAsia="en-US"/>
        </w:rPr>
        <w:t>0.668</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but somewhat lower than CRP </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0.86 </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0.80-0.90</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E57C92" w:rsidRPr="00664A42">
        <w:rPr>
          <w:rFonts w:ascii="Book Antiqua" w:eastAsiaTheme="minorEastAsia" w:hAnsi="Book Antiqua"/>
          <w:i/>
          <w:lang w:val="en-GB" w:eastAsia="en-US"/>
        </w:rPr>
        <w:t>P</w:t>
      </w:r>
      <w:r w:rsidR="00E57C92" w:rsidRPr="00664A42">
        <w:rPr>
          <w:rFonts w:ascii="Book Antiqua" w:eastAsiaTheme="minorEastAsia" w:hAnsi="Book Antiqua"/>
          <w:i/>
          <w:lang w:val="en-GB" w:eastAsia="zh-CN"/>
        </w:rPr>
        <w:t xml:space="preserve"> </w:t>
      </w:r>
      <w:r w:rsidRPr="00664A42">
        <w:rPr>
          <w:rFonts w:ascii="Book Antiqua" w:eastAsiaTheme="minorEastAsia" w:hAnsi="Book Antiqua"/>
          <w:lang w:val="en-GB" w:eastAsia="en-US"/>
        </w:rPr>
        <w:t>=</w:t>
      </w:r>
      <w:r w:rsidR="00E57C92" w:rsidRPr="00664A42">
        <w:rPr>
          <w:rFonts w:ascii="Book Antiqua" w:eastAsiaTheme="minorEastAsia" w:hAnsi="Book Antiqua" w:hint="eastAsia"/>
          <w:lang w:val="en-GB" w:eastAsia="zh-CN"/>
        </w:rPr>
        <w:t xml:space="preserve"> </w:t>
      </w:r>
      <w:r w:rsidRPr="00664A42">
        <w:rPr>
          <w:rFonts w:ascii="Book Antiqua" w:eastAsiaTheme="minorEastAsia" w:hAnsi="Book Antiqua"/>
          <w:lang w:val="en-GB" w:eastAsia="en-US"/>
        </w:rPr>
        <w:t>0.057</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(Figure 3A). Combination of CRP with presepsin, however, increased the sensitivity and NPV, compared with CRP on its own, by 9 % and 4 % respectively. A similar trend was found with the combination of CRP and PCT (Table 3). On the contrary, the diagnostic accuracy of presepsin </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AUC-ROC </w:t>
      </w:r>
      <w:r w:rsidR="00E57C92" w:rsidRPr="00664A42">
        <w:rPr>
          <w:rFonts w:ascii="Book Antiqua" w:eastAsiaTheme="minorEastAsia" w:hAnsi="Book Antiqua"/>
          <w:lang w:val="en-GB" w:eastAsia="en-US"/>
        </w:rPr>
        <w:t>95%CI</w:t>
      </w:r>
      <w:r w:rsidRPr="00664A42">
        <w:rPr>
          <w:rFonts w:ascii="Book Antiqua" w:eastAsiaTheme="minorEastAsia" w:hAnsi="Book Antiqua"/>
          <w:lang w:val="en-GB" w:eastAsia="en-US"/>
        </w:rPr>
        <w:t xml:space="preserve">: 0.85 </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0.74-0.92</w:t>
      </w:r>
      <w:r w:rsidR="00E57C9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for identifying patients with infection complicated by OF was similar to PCT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0.85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0.74-0.92</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and clearly superior to CRP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0.66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0.54-0.77</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64A42" w:rsidRPr="00664A42">
        <w:rPr>
          <w:rFonts w:ascii="Book Antiqua" w:eastAsiaTheme="minorEastAsia" w:hAnsi="Book Antiqua"/>
          <w:i/>
          <w:lang w:val="en-GB" w:eastAsia="en-US"/>
        </w:rPr>
        <w:t>P</w:t>
      </w:r>
      <w:r w:rsidR="00664A42" w:rsidRPr="00664A42">
        <w:rPr>
          <w:rFonts w:ascii="Book Antiqua" w:eastAsiaTheme="minorEastAsia" w:hAnsi="Book Antiqua" w:hint="eastAsia"/>
          <w:i/>
          <w:lang w:val="en-GB" w:eastAsia="zh-CN"/>
        </w:rPr>
        <w:t xml:space="preserve"> </w:t>
      </w:r>
      <w:r w:rsidRPr="00664A42">
        <w:rPr>
          <w:rFonts w:ascii="Book Antiqua" w:eastAsiaTheme="minorEastAsia" w:hAnsi="Book Antiqua"/>
          <w:lang w:val="en-GB" w:eastAsia="en-US"/>
        </w:rPr>
        <w:t>=</w:t>
      </w:r>
      <w:r w:rsidR="00664A42" w:rsidRPr="00664A42">
        <w:rPr>
          <w:rFonts w:ascii="Book Antiqua" w:eastAsiaTheme="minorEastAsia" w:hAnsi="Book Antiqua" w:hint="eastAsia"/>
          <w:lang w:val="en-GB" w:eastAsia="zh-CN"/>
        </w:rPr>
        <w:t xml:space="preserve"> </w:t>
      </w:r>
      <w:r w:rsidR="00664A42" w:rsidRPr="00664A42">
        <w:rPr>
          <w:rFonts w:ascii="Book Antiqua" w:eastAsiaTheme="minorEastAsia" w:hAnsi="Book Antiqua"/>
          <w:lang w:val="en-GB" w:eastAsia="en-US"/>
        </w:rPr>
        <w:t xml:space="preserve">0.994 for presepsin </w:t>
      </w:r>
      <w:r w:rsidR="00664A42" w:rsidRPr="00664A42">
        <w:rPr>
          <w:rFonts w:ascii="Book Antiqua" w:eastAsiaTheme="minorEastAsia" w:hAnsi="Book Antiqua"/>
          <w:i/>
          <w:lang w:val="en-GB" w:eastAsia="en-US"/>
        </w:rPr>
        <w:t>vs</w:t>
      </w:r>
      <w:r w:rsidRPr="00664A42">
        <w:rPr>
          <w:rFonts w:ascii="Book Antiqua" w:eastAsiaTheme="minorEastAsia" w:hAnsi="Book Antiqua"/>
          <w:lang w:val="en-GB" w:eastAsia="en-US"/>
        </w:rPr>
        <w:t xml:space="preserve"> PCT, and </w:t>
      </w:r>
      <w:r w:rsidR="00664A42" w:rsidRPr="00664A42">
        <w:rPr>
          <w:rFonts w:ascii="Book Antiqua" w:eastAsiaTheme="minorEastAsia" w:hAnsi="Book Antiqua"/>
          <w:i/>
          <w:lang w:val="en-GB" w:eastAsia="en-US"/>
        </w:rPr>
        <w:t>P</w:t>
      </w:r>
      <w:r w:rsidR="00664A42" w:rsidRPr="00664A42">
        <w:rPr>
          <w:rFonts w:ascii="Book Antiqua" w:eastAsiaTheme="minorEastAsia" w:hAnsi="Book Antiqua"/>
          <w:lang w:val="en-US" w:eastAsia="en-US"/>
        </w:rPr>
        <w:t xml:space="preserve"> </w:t>
      </w:r>
      <w:r w:rsidRPr="00664A42">
        <w:rPr>
          <w:rFonts w:ascii="Book Antiqua" w:eastAsiaTheme="minorEastAsia" w:hAnsi="Book Antiqua"/>
          <w:lang w:val="en-US" w:eastAsia="en-US"/>
        </w:rPr>
        <w:t>&lt;</w:t>
      </w:r>
      <w:r w:rsidR="00664A42" w:rsidRP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0.01</w:t>
      </w:r>
      <w:r w:rsidRPr="00664A42">
        <w:rPr>
          <w:rFonts w:ascii="Book Antiqua" w:eastAsiaTheme="minorEastAsia" w:hAnsi="Book Antiqua"/>
          <w:lang w:val="en-GB" w:eastAsia="en-US"/>
        </w:rPr>
        <w:t xml:space="preserve"> for both presepsin </w:t>
      </w:r>
      <w:r w:rsidR="00664A42" w:rsidRPr="00664A42">
        <w:rPr>
          <w:rFonts w:ascii="Book Antiqua" w:eastAsiaTheme="minorEastAsia" w:hAnsi="Book Antiqua"/>
          <w:i/>
          <w:lang w:val="en-GB" w:eastAsia="en-US"/>
        </w:rPr>
        <w:t>vs</w:t>
      </w:r>
      <w:r w:rsidRPr="00664A42">
        <w:rPr>
          <w:rFonts w:ascii="Book Antiqua" w:eastAsiaTheme="minorEastAsia" w:hAnsi="Book Antiqua"/>
          <w:lang w:val="en-GB" w:eastAsia="en-US"/>
        </w:rPr>
        <w:t xml:space="preserve"> CRP and PCT </w:t>
      </w:r>
      <w:r w:rsidR="00664A42" w:rsidRPr="00664A42">
        <w:rPr>
          <w:rFonts w:ascii="Book Antiqua" w:eastAsiaTheme="minorEastAsia" w:hAnsi="Book Antiqua"/>
          <w:i/>
          <w:lang w:val="en-GB" w:eastAsia="en-US"/>
        </w:rPr>
        <w:t>vs</w:t>
      </w:r>
      <w:r w:rsidR="00664A42" w:rsidRPr="00664A42">
        <w:rPr>
          <w:rFonts w:ascii="Book Antiqua" w:eastAsiaTheme="minorEastAsia" w:hAnsi="Book Antiqua"/>
          <w:lang w:val="en-GB" w:eastAsia="en-US"/>
        </w:rPr>
        <w:t xml:space="preserve"> </w:t>
      </w:r>
      <w:r w:rsidRPr="00664A42">
        <w:rPr>
          <w:rFonts w:ascii="Book Antiqua" w:eastAsiaTheme="minorEastAsia" w:hAnsi="Book Antiqua"/>
          <w:lang w:val="en-GB" w:eastAsia="en-US"/>
        </w:rPr>
        <w:t>CRP</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(Figure 3B). The optimum diagnostic thresholds for each individual biomarker based on ROC analysis and their performances belonging to the cut-off points are shown in Table 3.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lang w:val="en-GB"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lastRenderedPageBreak/>
        <w:t xml:space="preserve">Diagnostic accuracy of presepsin level according to the disease severity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lang w:val="en-GB" w:eastAsia="en-US"/>
        </w:rPr>
      </w:pPr>
      <w:r w:rsidRPr="00664A42">
        <w:rPr>
          <w:rFonts w:ascii="Book Antiqua" w:eastAsiaTheme="minorEastAsia" w:hAnsi="Book Antiqua"/>
          <w:lang w:val="en-GB" w:eastAsia="en-US"/>
        </w:rPr>
        <w:t xml:space="preserve">Diagnostic accuracy of presepsin for identifying patients with infection decreased in advanced stage of the disease and also in the presence of renal failure. </w:t>
      </w:r>
      <w:r w:rsidRPr="00664A42">
        <w:rPr>
          <w:rFonts w:ascii="Book Antiqua" w:eastAsiaTheme="minorEastAsia" w:hAnsi="Book Antiqua" w:cs="Times"/>
          <w:lang w:val="en-US" w:eastAsia="en-US"/>
        </w:rPr>
        <w:t>Specificity and LR values of presepsin &gt;</w:t>
      </w:r>
      <w:r w:rsidR="00664A42" w:rsidRPr="00664A42">
        <w:rPr>
          <w:rFonts w:ascii="Book Antiqua" w:eastAsiaTheme="minorEastAsia" w:hAnsi="Book Antiqua" w:cs="Times" w:hint="eastAsia"/>
          <w:lang w:val="en-US" w:eastAsia="zh-CN"/>
        </w:rPr>
        <w:t xml:space="preserve"> </w:t>
      </w:r>
      <w:r w:rsidRPr="00664A42">
        <w:rPr>
          <w:rFonts w:ascii="Book Antiqua" w:eastAsiaTheme="minorEastAsia" w:hAnsi="Book Antiqua" w:cs="Times"/>
          <w:lang w:val="en-US" w:eastAsia="en-US"/>
        </w:rPr>
        <w:t>844 pg/mL were obviously lower in patients with Child B or C stage cirrhosis (74%; LR+: 2.28, LR-: 0.56) compared with those with Child A (96%; LR+: 15.6, LR-: 0.31), whereas the difference in sensit</w:t>
      </w:r>
      <w:r w:rsidR="00664A42" w:rsidRPr="00664A42">
        <w:rPr>
          <w:rFonts w:ascii="Book Antiqua" w:eastAsiaTheme="minorEastAsia" w:hAnsi="Book Antiqua" w:cs="Times"/>
          <w:lang w:val="en-US" w:eastAsia="en-US"/>
        </w:rPr>
        <w:t xml:space="preserve">ivity was somewhat less (70% </w:t>
      </w:r>
      <w:r w:rsidR="00664A42" w:rsidRPr="00664A42">
        <w:rPr>
          <w:rFonts w:ascii="Book Antiqua" w:eastAsiaTheme="minorEastAsia" w:hAnsi="Book Antiqua" w:cs="Times"/>
          <w:i/>
          <w:lang w:val="en-US" w:eastAsia="en-US"/>
        </w:rPr>
        <w:t>vs</w:t>
      </w:r>
      <w:r w:rsidRPr="00664A42">
        <w:rPr>
          <w:rFonts w:ascii="Book Antiqua" w:eastAsiaTheme="minorEastAsia" w:hAnsi="Book Antiqua" w:cs="Times"/>
          <w:lang w:val="en-US" w:eastAsia="en-US"/>
        </w:rPr>
        <w:t xml:space="preserve"> 58%). A similar trend was found when the performance of presepsin &gt;</w:t>
      </w:r>
      <w:r w:rsidR="00664A42" w:rsidRPr="00664A42">
        <w:rPr>
          <w:rFonts w:ascii="Book Antiqua" w:eastAsiaTheme="minorEastAsia" w:hAnsi="Book Antiqua" w:cs="Times" w:hint="eastAsia"/>
          <w:lang w:val="en-US" w:eastAsia="zh-CN"/>
        </w:rPr>
        <w:t xml:space="preserve"> </w:t>
      </w:r>
      <w:r w:rsidRPr="00664A42">
        <w:rPr>
          <w:rFonts w:ascii="Book Antiqua" w:eastAsiaTheme="minorEastAsia" w:hAnsi="Book Antiqua" w:cs="Times"/>
          <w:lang w:val="en-US" w:eastAsia="en-US"/>
        </w:rPr>
        <w:t xml:space="preserve">844 pg/mL was evaluated in patients with or without renal failure (specificity: 46% </w:t>
      </w:r>
      <w:r w:rsidR="00664A42" w:rsidRPr="00664A42">
        <w:rPr>
          <w:rFonts w:ascii="Book Antiqua" w:eastAsiaTheme="minorEastAsia" w:hAnsi="Book Antiqua" w:cs="Times"/>
          <w:i/>
          <w:lang w:val="en-US" w:eastAsia="en-US"/>
        </w:rPr>
        <w:t>vs</w:t>
      </w:r>
      <w:r w:rsidR="00664A42" w:rsidRPr="00664A42">
        <w:rPr>
          <w:rFonts w:ascii="Book Antiqua" w:eastAsiaTheme="minorEastAsia" w:hAnsi="Book Antiqua" w:cs="Times"/>
          <w:lang w:val="en-US" w:eastAsia="en-US"/>
        </w:rPr>
        <w:t xml:space="preserve"> </w:t>
      </w:r>
      <w:r w:rsidRPr="00664A42">
        <w:rPr>
          <w:rFonts w:ascii="Book Antiqua" w:eastAsiaTheme="minorEastAsia" w:hAnsi="Book Antiqua" w:cs="Times"/>
          <w:lang w:val="en-US" w:eastAsia="en-US"/>
        </w:rPr>
        <w:t xml:space="preserve">87%; sensitivity: 86% </w:t>
      </w:r>
      <w:r w:rsidR="00664A42" w:rsidRPr="00664A42">
        <w:rPr>
          <w:rFonts w:ascii="Book Antiqua" w:eastAsiaTheme="minorEastAsia" w:hAnsi="Book Antiqua" w:cs="Times"/>
          <w:i/>
          <w:lang w:val="en-US" w:eastAsia="en-US"/>
        </w:rPr>
        <w:t>vs</w:t>
      </w:r>
      <w:r w:rsidRPr="00664A42">
        <w:rPr>
          <w:rFonts w:ascii="Book Antiqua" w:eastAsiaTheme="minorEastAsia" w:hAnsi="Book Antiqua" w:cs="Times"/>
          <w:lang w:val="en-US" w:eastAsia="en-US"/>
        </w:rPr>
        <w:t xml:space="preserve"> 49%; LR+: 1.58</w:t>
      </w:r>
      <w:r w:rsidR="00664A42" w:rsidRPr="00664A42">
        <w:rPr>
          <w:rFonts w:ascii="Book Antiqua" w:eastAsiaTheme="minorEastAsia" w:hAnsi="Book Antiqua" w:cs="Times"/>
          <w:i/>
          <w:lang w:val="en-US" w:eastAsia="en-US"/>
        </w:rPr>
        <w:t xml:space="preserve"> vs</w:t>
      </w:r>
      <w:r w:rsidR="00664A42" w:rsidRPr="00664A42">
        <w:rPr>
          <w:rFonts w:ascii="Book Antiqua" w:eastAsiaTheme="minorEastAsia" w:hAnsi="Book Antiqua" w:cs="Times"/>
          <w:lang w:val="en-US" w:eastAsia="en-US"/>
        </w:rPr>
        <w:t xml:space="preserve"> </w:t>
      </w:r>
      <w:r w:rsidRPr="00664A42">
        <w:rPr>
          <w:rFonts w:ascii="Book Antiqua" w:eastAsiaTheme="minorEastAsia" w:hAnsi="Book Antiqua" w:cs="Times"/>
          <w:lang w:val="en-US" w:eastAsia="en-US"/>
        </w:rPr>
        <w:t xml:space="preserve">3.86, LR-: 0.30 </w:t>
      </w:r>
      <w:r w:rsidR="00664A42" w:rsidRPr="00664A42">
        <w:rPr>
          <w:rFonts w:ascii="Book Antiqua" w:eastAsiaTheme="minorEastAsia" w:hAnsi="Book Antiqua" w:cs="Times"/>
          <w:i/>
          <w:lang w:val="en-US" w:eastAsia="en-US"/>
        </w:rPr>
        <w:t>vs</w:t>
      </w:r>
      <w:r w:rsidRPr="00664A42">
        <w:rPr>
          <w:rFonts w:ascii="Book Antiqua" w:eastAsiaTheme="minorEastAsia" w:hAnsi="Book Antiqua" w:cs="Times"/>
          <w:lang w:val="en-US" w:eastAsia="en-US"/>
        </w:rPr>
        <w:t xml:space="preserve"> 0.58, respectively).</w:t>
      </w:r>
      <w:r w:rsidRPr="00664A42">
        <w:rPr>
          <w:rFonts w:ascii="Book Antiqua" w:eastAsiaTheme="minorEastAsia" w:hAnsi="Book Antiqua"/>
          <w:b/>
          <w:lang w:val="en-GB" w:eastAsia="en-US"/>
        </w:rPr>
        <w:t xml:space="preserve"> </w:t>
      </w:r>
    </w:p>
    <w:p w:rsidR="000A103F" w:rsidRPr="00664A42" w:rsidRDefault="000A103F" w:rsidP="003B01FB">
      <w:pPr>
        <w:widowControl w:val="0"/>
        <w:autoSpaceDE w:val="0"/>
        <w:autoSpaceDN w:val="0"/>
        <w:adjustRightInd w:val="0"/>
        <w:spacing w:after="240" w:line="360" w:lineRule="auto"/>
        <w:jc w:val="both"/>
        <w:rPr>
          <w:rFonts w:ascii="Book Antiqua" w:eastAsiaTheme="minorEastAsia" w:hAnsi="Book Antiqua" w:cs="Times"/>
          <w:lang w:val="en-GB" w:eastAsia="en-US"/>
        </w:rPr>
      </w:pP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i/>
          <w:lang w:val="en-GB" w:eastAsia="en-US"/>
        </w:rPr>
      </w:pPr>
      <w:r w:rsidRPr="00664A42">
        <w:rPr>
          <w:rFonts w:ascii="Book Antiqua" w:eastAsiaTheme="minorEastAsia" w:hAnsi="Book Antiqua"/>
          <w:b/>
          <w:i/>
          <w:lang w:val="en-GB" w:eastAsia="en-US"/>
        </w:rPr>
        <w:t>Association of presepsin level with short-term mortality during infectious episodes</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Seventy-five patients with bacterial infection were eligible for evaluation of short-term mortality. Twenty-three patients (31.5%) died within 3 </w:t>
      </w:r>
      <w:r w:rsidR="00125D0B">
        <w:rPr>
          <w:rFonts w:ascii="Book Antiqua" w:eastAsiaTheme="minorEastAsia" w:hAnsi="Book Antiqua" w:hint="eastAsia"/>
          <w:lang w:val="en-GB" w:eastAsia="zh-CN"/>
        </w:rPr>
        <w:t>mo</w:t>
      </w:r>
      <w:r w:rsidRPr="00664A42">
        <w:rPr>
          <w:rFonts w:ascii="Book Antiqua" w:eastAsiaTheme="minorEastAsia" w:hAnsi="Book Antiqua"/>
          <w:lang w:val="en-GB" w:eastAsia="en-US"/>
        </w:rPr>
        <w:t xml:space="preserve"> of follow-up. Of these, 20 patients (27.4%) died within the first 28 </w:t>
      </w:r>
      <w:r w:rsidR="00125D0B">
        <w:rPr>
          <w:rFonts w:ascii="Book Antiqua" w:eastAsiaTheme="minorEastAsia" w:hAnsi="Book Antiqua" w:hint="eastAsia"/>
          <w:lang w:val="en-GB" w:eastAsia="zh-CN"/>
        </w:rPr>
        <w:t>d</w:t>
      </w:r>
      <w:r w:rsidRPr="00664A42">
        <w:rPr>
          <w:rFonts w:ascii="Book Antiqua" w:eastAsiaTheme="minorEastAsia" w:hAnsi="Book Antiqua"/>
          <w:lang w:val="en-GB" w:eastAsia="en-US"/>
        </w:rPr>
        <w:t xml:space="preserve">. Plasma presepsin levels at admission were significantly higher in non-survivors than in survivors at the 28-day follow-up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2323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1172-3688</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64A42" w:rsidRPr="00664A42">
        <w:rPr>
          <w:rFonts w:ascii="Book Antiqua" w:eastAsiaTheme="minorEastAsia" w:hAnsi="Book Antiqua" w:cs="Times"/>
          <w:i/>
          <w:lang w:val="en-US" w:eastAsia="en-US"/>
        </w:rPr>
        <w:t>vs</w:t>
      </w:r>
      <w:r w:rsidR="00664A42" w:rsidRPr="00664A42">
        <w:rPr>
          <w:rFonts w:ascii="Book Antiqua" w:eastAsiaTheme="minorEastAsia" w:hAnsi="Book Antiqua" w:cs="Times"/>
          <w:lang w:val="en-US" w:eastAsia="en-US"/>
        </w:rPr>
        <w:t xml:space="preserve"> </w:t>
      </w:r>
      <w:r w:rsidRPr="00664A42">
        <w:rPr>
          <w:rFonts w:ascii="Book Antiqua" w:eastAsiaTheme="minorEastAsia" w:hAnsi="Book Antiqua"/>
          <w:lang w:val="en-GB" w:eastAsia="en-US"/>
        </w:rPr>
        <w:t xml:space="preserve">852 </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549-1451</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pg/mL, </w:t>
      </w:r>
      <w:r w:rsidR="00664A42" w:rsidRPr="00664A42">
        <w:rPr>
          <w:rFonts w:ascii="Book Antiqua" w:eastAsiaTheme="minorEastAsia" w:hAnsi="Book Antiqua"/>
          <w:i/>
          <w:lang w:val="en-GB" w:eastAsia="en-US"/>
        </w:rPr>
        <w:t>P</w:t>
      </w:r>
      <w:r w:rsidR="00664A42" w:rsidRPr="00664A42">
        <w:rPr>
          <w:rFonts w:ascii="Book Antiqua" w:eastAsiaTheme="minorEastAsia" w:hAnsi="Book Antiqua" w:hint="eastAsia"/>
          <w:lang w:val="en-GB" w:eastAsia="zh-CN"/>
        </w:rPr>
        <w:t xml:space="preserve"> </w:t>
      </w:r>
      <w:r w:rsidRPr="00664A42">
        <w:rPr>
          <w:rFonts w:ascii="Book Antiqua" w:eastAsiaTheme="minorEastAsia" w:hAnsi="Book Antiqua"/>
          <w:lang w:val="en-GB" w:eastAsia="en-US"/>
        </w:rPr>
        <w:t>&lt;</w:t>
      </w:r>
      <w:r w:rsidR="00664A42" w:rsidRPr="00664A42">
        <w:rPr>
          <w:rFonts w:ascii="Book Antiqua" w:eastAsiaTheme="minorEastAsia" w:hAnsi="Book Antiqua" w:hint="eastAsia"/>
          <w:lang w:val="en-GB" w:eastAsia="zh-CN"/>
        </w:rPr>
        <w:t xml:space="preserve"> </w:t>
      </w:r>
      <w:r w:rsidRPr="00664A42">
        <w:rPr>
          <w:rFonts w:ascii="Book Antiqua" w:eastAsiaTheme="minorEastAsia" w:hAnsi="Book Antiqua"/>
          <w:lang w:val="en-GB" w:eastAsia="en-US"/>
        </w:rPr>
        <w:t>0.001</w:t>
      </w:r>
      <w:r w:rsidR="00664A42" w:rsidRP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Discriminative ability (AUC-ROC) of presepsin was 0.76 with the best cut-off value of 1277 pg/mL. </w:t>
      </w:r>
      <w:r w:rsidRPr="00664A42">
        <w:rPr>
          <w:rFonts w:ascii="Book Antiqua" w:hAnsi="Book Antiqua"/>
          <w:lang w:val="en-US"/>
        </w:rPr>
        <w:t xml:space="preserve">28-day mortality rate was significantly higher among patients with presepsin level above this threshold </w:t>
      </w:r>
      <w:r w:rsidR="00664A42" w:rsidRPr="00664A42">
        <w:rPr>
          <w:rFonts w:ascii="Book Antiqua" w:hAnsi="Book Antiqua"/>
          <w:lang w:val="en-GB"/>
        </w:rPr>
        <w:t xml:space="preserve">(46.9% </w:t>
      </w:r>
      <w:r w:rsidR="00664A42" w:rsidRPr="00664A42">
        <w:rPr>
          <w:rFonts w:ascii="Book Antiqua" w:hAnsi="Book Antiqua"/>
          <w:i/>
          <w:lang w:val="en-GB"/>
        </w:rPr>
        <w:t>vs</w:t>
      </w:r>
      <w:r w:rsidRPr="00664A42">
        <w:rPr>
          <w:rFonts w:ascii="Book Antiqua" w:hAnsi="Book Antiqua"/>
          <w:lang w:val="en-GB"/>
        </w:rPr>
        <w:t xml:space="preserve"> 11.6%, </w:t>
      </w:r>
      <w:r w:rsidR="00664A42" w:rsidRPr="00664A42">
        <w:rPr>
          <w:rFonts w:ascii="Book Antiqua" w:eastAsiaTheme="minorEastAsia" w:hAnsi="Book Antiqua"/>
          <w:i/>
          <w:lang w:val="en-GB" w:eastAsia="en-US"/>
        </w:rPr>
        <w:t>P</w:t>
      </w:r>
      <w:r w:rsidR="00664A42" w:rsidRPr="00664A42">
        <w:rPr>
          <w:rFonts w:ascii="Book Antiqua" w:eastAsia="MS Gothic" w:hAnsi="Book Antiqua"/>
          <w:lang w:val="en-GB"/>
        </w:rPr>
        <w:t xml:space="preserve"> </w:t>
      </w:r>
      <w:r w:rsidRPr="00664A42">
        <w:rPr>
          <w:rFonts w:ascii="Book Antiqua" w:eastAsia="MS Gothic" w:hAnsi="Book Antiqua"/>
          <w:lang w:val="en-GB"/>
        </w:rPr>
        <w:t>&lt;</w:t>
      </w:r>
      <w:r w:rsidR="00664A42" w:rsidRPr="00664A42">
        <w:rPr>
          <w:rFonts w:ascii="Book Antiqua" w:eastAsia="MS Gothic" w:hAnsi="Book Antiqua" w:hint="eastAsia"/>
          <w:lang w:val="en-GB" w:eastAsia="zh-CN"/>
        </w:rPr>
        <w:t xml:space="preserve"> </w:t>
      </w:r>
      <w:r w:rsidRPr="00664A42">
        <w:rPr>
          <w:rFonts w:ascii="Book Antiqua" w:eastAsia="MS Gothic" w:hAnsi="Book Antiqua"/>
          <w:lang w:val="en-GB"/>
        </w:rPr>
        <w:t>0.001</w:t>
      </w:r>
      <w:r w:rsidRPr="00664A42">
        <w:rPr>
          <w:rFonts w:ascii="Book Antiqua" w:hAnsi="Book Antiqua"/>
          <w:lang w:val="en-GB"/>
        </w:rPr>
        <w:t xml:space="preserve">). </w:t>
      </w:r>
      <w:r w:rsidRPr="00664A42">
        <w:rPr>
          <w:rFonts w:ascii="Book Antiqua" w:eastAsiaTheme="minorEastAsia" w:hAnsi="Book Antiqua"/>
          <w:lang w:val="en-GB" w:eastAsia="en-US"/>
        </w:rPr>
        <w:t>The optimum cut-off values and the belonging sensitivities, specificities, PPVs and NPVs of all three APPs for identifying non-survivors are summarized in Table 4.</w:t>
      </w:r>
      <w:r w:rsidRPr="00664A42">
        <w:rPr>
          <w:rFonts w:ascii="Book Antiqua" w:hAnsi="Book Antiqua"/>
          <w:lang w:val="en-GB"/>
        </w:rPr>
        <w:t xml:space="preserve"> </w:t>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eastAsiaTheme="minorEastAsia" w:hAnsi="Book Antiqua"/>
          <w:lang w:val="en-GB" w:eastAsia="en-US"/>
        </w:rPr>
        <w:tab/>
        <w:t xml:space="preserve"> In the univariate logistic regression analysis</w:t>
      </w:r>
      <w:r w:rsidRPr="00664A42">
        <w:rPr>
          <w:rFonts w:ascii="Book Antiqua" w:hAnsi="Book Antiqua"/>
          <w:lang w:val="en-GB"/>
        </w:rPr>
        <w:t>, increased presepsin level was found to be a risk factor of short-term mortality during bacterial infection [OR</w:t>
      </w:r>
      <w:r w:rsidR="00664A42" w:rsidRPr="00664A42">
        <w:rPr>
          <w:rFonts w:ascii="Book Antiqua" w:hAnsi="Book Antiqua" w:hint="eastAsia"/>
          <w:lang w:val="en-GB" w:eastAsia="zh-CN"/>
        </w:rPr>
        <w:t xml:space="preserve"> =</w:t>
      </w:r>
      <w:r w:rsidRPr="00664A42">
        <w:rPr>
          <w:rFonts w:ascii="Book Antiqua" w:hAnsi="Book Antiqua"/>
          <w:lang w:val="en-GB"/>
        </w:rPr>
        <w:t xml:space="preserve"> 3.59 (95%CI: 1.65–7.84), </w:t>
      </w:r>
      <w:r w:rsidR="00664A42" w:rsidRPr="00664A42">
        <w:rPr>
          <w:rFonts w:ascii="Book Antiqua" w:hAnsi="Book Antiqua"/>
          <w:i/>
          <w:lang w:val="en-GB"/>
        </w:rPr>
        <w:t>P</w:t>
      </w:r>
      <w:r w:rsidR="00664A42" w:rsidRPr="00664A42">
        <w:rPr>
          <w:rFonts w:ascii="Book Antiqua" w:hAnsi="Book Antiqua"/>
          <w:i/>
          <w:lang w:val="en-GB" w:eastAsia="zh-CN"/>
        </w:rPr>
        <w:t xml:space="preserve"> </w:t>
      </w:r>
      <w:r w:rsidRPr="00664A42">
        <w:rPr>
          <w:rFonts w:ascii="Book Antiqua" w:hAnsi="Book Antiqua"/>
          <w:lang w:val="en-GB"/>
        </w:rPr>
        <w:t>=</w:t>
      </w:r>
      <w:r w:rsidR="00664A42" w:rsidRPr="00664A42">
        <w:rPr>
          <w:rFonts w:ascii="Book Antiqua" w:hAnsi="Book Antiqua" w:hint="eastAsia"/>
          <w:lang w:val="en-GB" w:eastAsia="zh-CN"/>
        </w:rPr>
        <w:t xml:space="preserve"> </w:t>
      </w:r>
      <w:r w:rsidRPr="00664A42">
        <w:rPr>
          <w:rFonts w:ascii="Book Antiqua" w:hAnsi="Book Antiqua"/>
          <w:lang w:val="en-GB"/>
        </w:rPr>
        <w:t>0.001] similarly to CRP and PCT. Presepsin level however lost it significance after adjusting for MELD score and leukocyte count [OR</w:t>
      </w:r>
      <w:r w:rsidR="00664A42" w:rsidRPr="00664A42">
        <w:rPr>
          <w:rFonts w:ascii="Book Antiqua" w:hAnsi="Book Antiqua" w:hint="eastAsia"/>
          <w:lang w:val="en-GB" w:eastAsia="zh-CN"/>
        </w:rPr>
        <w:t xml:space="preserve"> =</w:t>
      </w:r>
      <w:r w:rsidRPr="00664A42">
        <w:rPr>
          <w:rFonts w:ascii="Book Antiqua" w:hAnsi="Book Antiqua"/>
          <w:lang w:val="en-GB"/>
        </w:rPr>
        <w:t xml:space="preserve"> 1.61, (95%CI: 0.65–3.97), </w:t>
      </w:r>
      <w:r w:rsidR="00664A42" w:rsidRPr="00664A42">
        <w:rPr>
          <w:rFonts w:ascii="Book Antiqua" w:hAnsi="Book Antiqua"/>
          <w:i/>
          <w:lang w:val="en-GB"/>
        </w:rPr>
        <w:t>P</w:t>
      </w:r>
      <w:r w:rsidR="00664A42" w:rsidRPr="00664A42">
        <w:rPr>
          <w:rFonts w:ascii="Book Antiqua" w:hAnsi="Book Antiqua"/>
          <w:i/>
          <w:lang w:val="en-GB" w:eastAsia="zh-CN"/>
        </w:rPr>
        <w:t xml:space="preserve"> </w:t>
      </w:r>
      <w:r w:rsidRPr="00664A42">
        <w:rPr>
          <w:rFonts w:ascii="Book Antiqua" w:hAnsi="Book Antiqua"/>
          <w:lang w:val="en-GB"/>
        </w:rPr>
        <w:t>=</w:t>
      </w:r>
      <w:r w:rsidR="00664A42" w:rsidRPr="00664A42">
        <w:rPr>
          <w:rFonts w:ascii="Book Antiqua" w:hAnsi="Book Antiqua" w:hint="eastAsia"/>
          <w:lang w:val="en-GB" w:eastAsia="zh-CN"/>
        </w:rPr>
        <w:t xml:space="preserve"> </w:t>
      </w:r>
      <w:r w:rsidRPr="00664A42">
        <w:rPr>
          <w:rFonts w:ascii="Book Antiqua" w:hAnsi="Book Antiqua"/>
          <w:lang w:val="en-GB"/>
        </w:rPr>
        <w:t xml:space="preserve">0.303], with multivariate binary logistic regression analysis. PCT was the only APP that was independently associated with the </w:t>
      </w:r>
      <w:r w:rsidRPr="00743A2B">
        <w:rPr>
          <w:rFonts w:ascii="Book Antiqua" w:hAnsi="Book Antiqua"/>
          <w:lang w:val="en-GB"/>
        </w:rPr>
        <w:t xml:space="preserve">risk of </w:t>
      </w:r>
      <w:r w:rsidRPr="00743A2B">
        <w:rPr>
          <w:rFonts w:ascii="Book Antiqua" w:eastAsiaTheme="minorEastAsia" w:hAnsi="Book Antiqua"/>
          <w:lang w:val="en-GB" w:eastAsia="en-US"/>
        </w:rPr>
        <w:t>short-te</w:t>
      </w:r>
      <w:r w:rsidRPr="00664A42">
        <w:rPr>
          <w:rFonts w:ascii="Book Antiqua" w:eastAsiaTheme="minorEastAsia" w:hAnsi="Book Antiqua"/>
          <w:lang w:val="en-GB" w:eastAsia="en-US"/>
        </w:rPr>
        <w:t xml:space="preserve">rm mortality </w:t>
      </w:r>
      <w:r w:rsidRPr="00664A42">
        <w:rPr>
          <w:rFonts w:ascii="Book Antiqua" w:hAnsi="Book Antiqua"/>
          <w:lang w:val="en-GB"/>
        </w:rPr>
        <w:t>[OR</w:t>
      </w:r>
      <w:r w:rsidR="00664A42" w:rsidRPr="00664A42">
        <w:rPr>
          <w:rFonts w:ascii="Book Antiqua" w:hAnsi="Book Antiqua" w:hint="eastAsia"/>
          <w:lang w:val="en-GB" w:eastAsia="zh-CN"/>
        </w:rPr>
        <w:t xml:space="preserve"> =</w:t>
      </w:r>
      <w:r w:rsidRPr="00664A42">
        <w:rPr>
          <w:rFonts w:ascii="Book Antiqua" w:hAnsi="Book Antiqua"/>
          <w:lang w:val="en-GB"/>
        </w:rPr>
        <w:t xml:space="preserve"> 1.81, </w:t>
      </w:r>
      <w:r w:rsidRPr="00664A42">
        <w:rPr>
          <w:rFonts w:ascii="Book Antiqua" w:hAnsi="Book Antiqua"/>
          <w:lang w:val="en-GB"/>
        </w:rPr>
        <w:lastRenderedPageBreak/>
        <w:t xml:space="preserve">(95%CI: 1.09–3.01), </w:t>
      </w:r>
      <w:r w:rsidR="00664A42" w:rsidRPr="00664A42">
        <w:rPr>
          <w:rFonts w:ascii="Book Antiqua" w:hAnsi="Book Antiqua"/>
          <w:i/>
          <w:lang w:val="en-GB"/>
        </w:rPr>
        <w:t>P</w:t>
      </w:r>
      <w:r w:rsidR="00664A42" w:rsidRPr="00664A42">
        <w:rPr>
          <w:rFonts w:ascii="Book Antiqua" w:hAnsi="Book Antiqua"/>
          <w:i/>
          <w:lang w:val="en-GB" w:eastAsia="zh-CN"/>
        </w:rPr>
        <w:t xml:space="preserve"> </w:t>
      </w:r>
      <w:r w:rsidRPr="00664A42">
        <w:rPr>
          <w:rFonts w:ascii="Book Antiqua" w:hAnsi="Book Antiqua"/>
          <w:lang w:val="en-GB"/>
        </w:rPr>
        <w:t>=</w:t>
      </w:r>
      <w:r w:rsidR="00664A42" w:rsidRPr="00664A42">
        <w:rPr>
          <w:rFonts w:ascii="Book Antiqua" w:hAnsi="Book Antiqua" w:hint="eastAsia"/>
          <w:lang w:val="en-GB" w:eastAsia="zh-CN"/>
        </w:rPr>
        <w:t xml:space="preserve"> </w:t>
      </w:r>
      <w:r w:rsidRPr="00664A42">
        <w:rPr>
          <w:rFonts w:ascii="Book Antiqua" w:hAnsi="Book Antiqua"/>
          <w:lang w:val="en-GB"/>
        </w:rPr>
        <w:t>0.022] in this model (Table 5).</w:t>
      </w:r>
    </w:p>
    <w:p w:rsidR="000A103F" w:rsidRPr="00664A42" w:rsidRDefault="000A103F" w:rsidP="003B01FB">
      <w:pPr>
        <w:widowControl w:val="0"/>
        <w:autoSpaceDE w:val="0"/>
        <w:autoSpaceDN w:val="0"/>
        <w:adjustRightInd w:val="0"/>
        <w:spacing w:line="360" w:lineRule="auto"/>
        <w:jc w:val="both"/>
        <w:rPr>
          <w:rFonts w:ascii="Book Antiqua" w:hAnsi="Book Antiqua" w:cs="Arial"/>
          <w:b/>
          <w:lang w:val="en-US"/>
        </w:rPr>
      </w:pPr>
    </w:p>
    <w:p w:rsidR="000A103F" w:rsidRPr="00664A42" w:rsidRDefault="000A103F" w:rsidP="003B01FB">
      <w:pPr>
        <w:widowControl w:val="0"/>
        <w:autoSpaceDE w:val="0"/>
        <w:autoSpaceDN w:val="0"/>
        <w:adjustRightInd w:val="0"/>
        <w:spacing w:line="360" w:lineRule="auto"/>
        <w:jc w:val="both"/>
        <w:rPr>
          <w:rFonts w:ascii="Book Antiqua" w:hAnsi="Book Antiqua" w:cs="Arial"/>
          <w:b/>
          <w:lang w:val="en-US"/>
        </w:rPr>
      </w:pPr>
      <w:r w:rsidRPr="00664A42">
        <w:rPr>
          <w:rFonts w:ascii="Book Antiqua" w:hAnsi="Book Antiqua" w:cs="Arial"/>
          <w:b/>
          <w:lang w:val="en-US"/>
        </w:rPr>
        <w:t>DISCUSSION</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en-US"/>
        </w:rPr>
      </w:pPr>
      <w:r w:rsidRPr="00664A42">
        <w:rPr>
          <w:rFonts w:ascii="Book Antiqua" w:eastAsiaTheme="minorEastAsia" w:hAnsi="Book Antiqua"/>
          <w:lang w:val="en-US" w:eastAsia="en-US"/>
        </w:rPr>
        <w:t>Infected patients with cirrhosis can be asymptomatic at initial stages, but highly susceptible to dissemination of infections due to their immunocompromised state that leads to development of severe disease specific complications with significant mortality rate</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"10.1055/s-2008-1040319", "ISSN" : "0272-8087 (Print)", "PMID" : "18293275", "abstract" : "Bacterial infections are an important complication of cirrhosis, particularly in  hospitalized patients. In this article we review the prevalence, risk factors, and pathogenesis of bacterial infections in cirrhosis, focusing on the mechanisms of bacterial translocation such as impaired immunity and bacterial overgrowth, as well as maneuvers that may inhibit bacterial translocation and could be used not only to prevent infections but also to ameliorate the hyperdynamic circulatory state of cirrhosis. We also review the clinical features and management of the most common infection in cirrhosis, spontaneous bacterial peritonitis (SBP), specifically the evidence behind the therapy of acute SBP, the role of albumin, and the role of antibiotics in the prophylaxis of high-risk patients. It has been recognized that SBP and other bacterial infections lead to the systemic inflammatory response syndrome, sepsis, and multiorgan failure. We review the pathogenesis and management of these complications, the role of adrenal insufficiency, and the utility of intensive care prognostic models.", "author" : [ { "dropping-particle" : "", "family" : "Tandon", "given" : "Puneeta", "non-dropping-particle" : "", "parse-names" : false, "suffix" : "" }, { "dropping-particle" : "", "family" : "Garcia-Tsao", "given" : "Guadalupe", "non-dropping-particle" : "", "parse-names" : false, "suffix" : "" } ], "container-title" : "Seminars in liver disease", "id" : "ITEM-1", "issue" : "1", "issued" : { "date-parts" : [ [ "2008", "2" ] ] }, "language" : "eng", "page" : "26-42", "publisher-place" : "United States", "title" : "Bacterial infections, sepsis, and multiorgan failure in cirrhosis.", "type" : "article-journal", "volume" : "28" }, "uris" : [ "http://www.mendeley.com/documents/?uuid=3fb5d5d7-127e-4272-abd8-2e56c5b1f6c0" ] }, { "id" : "ITEM-2", "itemData" : { "DOI" : "10.1136/gut.2004.048181", "ISSN" : "0017-5749 (Print)", "PMID" : "15753544", "author" : [ { "dropping-particle" : "", "family" : "Thalheimer", "given" : "U", "non-dropping-particle" : "", "parse-names" : false, "suffix" : "" }, { "dropping-particle" : "", "family" : "Triantos", "given" : "C K", "non-dropping-particle" : "", "parse-names" : false, "suffix" : "" }, { "dropping-particle" : "", "family" : "Samonakis", "given" : "D N", "non-dropping-particle" : "", "parse-names" : false, "suffix" : "" }, { "dropping-particle" : "", "family" : "Patch", "given" : "D", "non-dropping-particle" : "", "parse-names" : false, "suffix" : "" }, { "dropping-particle" : "", "family" : "Burroughs", "given" : "A K", "non-dropping-particle" : "", "parse-names" : false, "suffix" : "" } ], "container-title" : "Gut", "id" : "ITEM-2", "issue" : "4", "issued" : { "date-parts" : [ [ "2005", "4" ] ] }, "language" : "eng", "page" : "556-563", "publisher-place" : "England", "title" : "Infection, coagulation, and variceal bleeding in cirrhosis.", "type" : "article-journal", "volume" : "54" }, "uris" : [ "http://www.mendeley.com/documents/?uuid=04442973-853c-478c-95f4-24271e477fe4" ] } ], "mendeley" : { "formattedCitation" : "&lt;sup&gt;[36,37]&lt;/sup&gt;", "plainTextFormattedCitation" : "[36,37]", "previouslyFormattedCitation" : "&lt;sup&gt;[36,37]&lt;/sup&gt;"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[36,37]</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Accurate laboratory markers are of importance to maximize the efficacy of diagnostic procedure of bacterial infections and thus making possible early intervention. C-reactive protein is the most widely used APP in the everyday clinical practice; however, it has some limitations in patients with cirrhosis</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"ISSN" : "1108-7471 (Print)", "PMID" : "24733601", "abstract" : "In the general population, C-reactive protein (CRP) level increases in the presence of acute or chronic inflammation and infections. In patients with cirrhosis, the basal level is higher than in patients without cirrhosis, due to chronic hepatic and other inflammation, but when infection occurs the more severe the underlying liver dysfunction, the lower the increase in CRP. Therefore, the predictive power of CRP for infection and prognosis is weak in patients with decompensated/advanced cirrhosis and in the intensive care setting. However, higher CRP and also persistently elevated CRP levels can help identify patients with a higher short-term risk of mortality.", "author" : [ { "dropping-particle" : "", "family" : "Pieri", "given" : "Giulia", "non-dropping-particle" : "", "parse-names" : false, "suffix" : "" }, { "dropping-particle" : "", "family" : "Agarwal", "given" : "Banwari", "non-dropping-particle" : "", "parse-names" : false, "suffix" : "" }, { "dropping-particle" : "", "family" : "Burroughs", "given" : "Andrew K", "non-dropping-particle" : "", "parse-names" : false, "suffix" : "" } ], "container-title" : "Annals of gastroenterology : quarterly publication of the Hellenic Society of Gastroenterology", "id" : "ITEM-1", "issue" : "2", "issued" : { "date-parts" : [ [ "2014" ] ] }, "language" : "ENG", "page" : "113-120", "title" : "C-reactive protein and bacterial infection in cirrhosis.", "type" : "article", "volume" : "27" }, "uris" : [ "http://www.mendeley.com/documents/?uuid=d5703934-3965-4e03-9df6-3f39d0f25354" ] } ], "mendeley" : { "formattedCitation" : "&lt;sup&gt;[5]&lt;/sup&gt;", "plainTextFormattedCitation" : "[5]", "previouslyFormattedCitation" : "&lt;sup&gt;[5]&lt;/sup&gt;"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[5]</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Thus identification of novel biomarkers is required to reach this unmet need in this patient group.</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US" w:eastAsia="en-US"/>
        </w:rPr>
      </w:pPr>
      <w:r w:rsidRPr="00664A42">
        <w:rPr>
          <w:rFonts w:ascii="Book Antiqua" w:eastAsiaTheme="minorEastAsia" w:hAnsi="Book Antiqua"/>
          <w:lang w:val="en-US" w:eastAsia="en-US"/>
        </w:rPr>
        <w:t xml:space="preserve">Primary aim of our study was to assess the performance of presepsin – a recently reported novel sepsis marker – </w:t>
      </w:r>
      <w:r w:rsidRPr="00664A42">
        <w:rPr>
          <w:rFonts w:ascii="Book Antiqua" w:eastAsiaTheme="minorEastAsia" w:hAnsi="Book Antiqua"/>
          <w:lang w:val="en-GB" w:eastAsia="en-US"/>
        </w:rPr>
        <w:t xml:space="preserve">in the diagnosis of cirrhosis associated bacterial infections </w:t>
      </w:r>
      <w:r w:rsidRPr="00664A42">
        <w:rPr>
          <w:rFonts w:ascii="Book Antiqua" w:eastAsiaTheme="minorEastAsia" w:hAnsi="Book Antiqua" w:cs="Times"/>
          <w:lang w:val="en-US" w:eastAsia="en-US"/>
        </w:rPr>
        <w:t xml:space="preserve">in comparison with routinely used APPs (CRP, PCT) in such a patient cohort that represents </w:t>
      </w:r>
      <w:r w:rsidRPr="00664A42">
        <w:rPr>
          <w:rFonts w:ascii="Book Antiqua" w:eastAsiaTheme="minorEastAsia" w:hAnsi="Book Antiqua"/>
          <w:lang w:val="en-US" w:eastAsia="en-US"/>
        </w:rPr>
        <w:t>the everyday clinical practice</w:t>
      </w:r>
      <w:r w:rsidRPr="00664A42">
        <w:rPr>
          <w:rFonts w:ascii="Book Antiqua" w:eastAsiaTheme="minorEastAsia" w:hAnsi="Book Antiqua" w:cs="Times"/>
          <w:lang w:val="en-US" w:eastAsia="en-US"/>
        </w:rPr>
        <w:t xml:space="preserve">. </w:t>
      </w:r>
      <w:r w:rsidRPr="00664A42">
        <w:rPr>
          <w:rFonts w:ascii="Book Antiqua" w:eastAsiaTheme="minorEastAsia" w:hAnsi="Book Antiqua"/>
          <w:lang w:val="en-US" w:eastAsia="en-US"/>
        </w:rPr>
        <w:t xml:space="preserve">To the best of our knowledge, this is the first study in cirrhosis, reporting the feasibility and the usefulness of presepsin in these clinical settings. We evaluated a large cohort of patients, in which not only severe but also mild forms of the infections were represented. One-third of patients had mild infections and mainly localized to the urinary tract, while another subgroup of patients (32%) suffered in severe infectious episodes. </w:t>
      </w:r>
      <w:r w:rsidRPr="00664A42">
        <w:rPr>
          <w:rFonts w:ascii="Book Antiqua" w:hAnsi="Book Antiqua" w:cs="Times"/>
          <w:lang w:val="en-US"/>
        </w:rPr>
        <w:t xml:space="preserve">In our study severe </w:t>
      </w:r>
      <w:r w:rsidRPr="00664A42">
        <w:rPr>
          <w:rFonts w:ascii="Book Antiqua" w:eastAsiaTheme="minorEastAsia" w:hAnsi="Book Antiqua"/>
          <w:lang w:val="en-US" w:eastAsia="en-US"/>
        </w:rPr>
        <w:t xml:space="preserve">infectious episodes were defined by the presence of hepatic and/or extrahepatic OF(s), since </w:t>
      </w:r>
      <w:r w:rsidRPr="00664A42">
        <w:rPr>
          <w:rFonts w:ascii="Book Antiqua" w:hAnsi="Book Antiqua" w:cs="Times"/>
          <w:lang w:val="en-US"/>
        </w:rPr>
        <w:t>currently accepted clinical definition of SIRS and hence sepsis</w:t>
      </w:r>
      <w:r w:rsidRPr="00664A42">
        <w:rPr>
          <w:rFonts w:ascii="Book Antiqua" w:hAnsi="Book Antiqua" w:cs="Times"/>
          <w:lang w:val="en-US"/>
        </w:rPr>
        <w:fldChar w:fldCharType="begin" w:fldLock="1"/>
      </w:r>
      <w:r w:rsidRPr="00664A42">
        <w:rPr>
          <w:rFonts w:ascii="Book Antiqua" w:hAnsi="Book Antiqua" w:cs="Times"/>
          <w:lang w:val="en-US"/>
        </w:rPr>
        <w:instrText>ADDIN CSL_CITATION { "citationItems" : [ { "id" : "ITEM-1", "itemData" : { "DOI" : "10.1097/01.CCM.0000050454.01978.3B", "ISSN" : "0090-3493 (Print)", "PMID" : "12682500", "abstract" : "OBJECTIVE: In 1991, the American College of Chest Physicians (ACCP) and the Society of Critical Care Medicine (SCCM) convened a \"Consensus Conference,\" the goals of which were \"to provide a conceptual and a practical framework to define the systemic inflammatory response to infection, which is a progressive injurious process that falls under the generalized term 'sepsis' and includes sepsis-associated organ dysfunction as well.\" The general definitions introduced as a result of that conference have been widely used in practice and have served as the foundation for inclusion criteria for numerous clinical trials of therapeutic interventions. Nevertheless, there has been an impetus from experts in the field to modify these definitions to reflect our current understanding of the pathophysiology of these syndromes. DESIGN: Several North American and European intensive care societies agreed to revisit the definitions for sepsis and related conditions. This conference was sponsored by the SCCM, The European Society of Intensive Care Medicine (ESICM), The American College of Chest Physicians (ACCP), the American Thoracic Society (ATS), and the Surgical Infection Society (SIS). METHODS: The conference was attended by 29 participants from Europe and North America. In advance of the conference, five subgroups were formed to evaluate the following areas: signs and symptoms of sepsis, cell markers, cytokines, microbiologic data, and coagulation parameters. The subgroups corresponded electronically before the conference and met in person during the conference. A spokesperson for each group presented the deliberation of each group to all conference participants during a plenary session. A writing committee was formed at the conference and developed the current article based on executive summary documents generated by each group and the plenary group presentations. The present article serves as the final report of the 2001 International Sepsis Definitions Conference. CONCLUSION: This document reflects a process whereby a group of experts and opinion leaders revisited the 1992 sepsis guidelines and found that apart from expanding the list of signs and symptoms of sepsis to reflect clinical bedside experience, no evidence exists to support a change to the definitions. This lack of evidence serves to underscore the challenge still present in diagnosing sepsis in 2003 for clinicians and researchers and also provides the basis for introducing PIRO as a hypothesis-generatin\u2026", "author" : [ { "dropping-particle" : "", "family" : "Levy", "given" : "Mitchell M", "non-dropping-particle" : "", "parse-names" : false, "suffix" : "" }, { "dropping-particle" : "", "family" : "Fink", "given" : "Mitchell P", "non-dropping-particle" : "", "parse-names" : false, "suffix" : "" }, { "dropping-particle" : "", "family" : "Marshall", "given" : "John C", "non-dropping-particle" : "", "parse-names" : false, "suffix" : "" }, { "dropping-particle" : "", "family" : "Abraham", "given" : "Edward", "non-dropping-particle" : "", "parse-names" : false, "suffix" : "" }, { "dropping-particle" : "", "family" : "Angus", "given" : "Derek", "non-dropping-particle" : "", "parse-names" : false, "suffix" : "" }, { "dropping-particle" : "", "family" : "Cook", "given" : "Deborah", "non-dropping-particle" : "", "parse-names" : false, "suffix" : "" }, { "dropping-particle" : "", "family" : "Cohen", "given" : "Jonathan", "non-dropping-particle" : "", "parse-names" : false, "suffix" : "" }, { "dropping-particle" : "", "family" : "Opal", "given" : "Steven M", "non-dropping-particle" : "", "parse-names" : false, "suffix" : "" }, { "dropping-particle" : "", "family" : "Vincent", "given" : "Jean-Louis", "non-dropping-particle" : "", "parse-names" : false, "suffix" : "" }, { "dropping-particle" : "", "family" : "Ramsay", "given" : "Graham", "non-dropping-particle" : "", "parse-names" : false, "suffix" : "" } ], "container-title" : "Critical care medicine", "id" : "ITEM-1", "issue" : "4", "issued" : { "date-parts" : [ [ "2003", "4" ] ] }, "language" : "eng", "page" : "1250-1256", "publisher-place" : "United States", "title" : "2001 SCCM/ESICM/ACCP/ATS/SIS International Sepsis Definitions Conference.", "type" : "article-journal", "volume" : "31" }, "uris" : [ "http://www.mendeley.com/documents/?uuid=2d93e7cb-c629-4416-908a-3542992cf052" ] } ], "mendeley" : { "formattedCitation" : "&lt;sup&gt;[38]&lt;/sup&gt;", "plainTextFormattedCitation" : "[38]", "previouslyFormattedCitation" : "&lt;sup&gt;[38]&lt;/sup&gt;" }, "properties" : { "noteIndex" : 0 }, "schema" : "https://github.com/citation-style-language/schema/raw/master/csl-citation.json" }</w:instrText>
      </w:r>
      <w:r w:rsidRPr="00664A42">
        <w:rPr>
          <w:rFonts w:ascii="Book Antiqua" w:hAnsi="Book Antiqua" w:cs="Times"/>
          <w:lang w:val="en-US"/>
        </w:rPr>
        <w:fldChar w:fldCharType="separate"/>
      </w:r>
      <w:r w:rsidRPr="00664A42">
        <w:rPr>
          <w:rFonts w:ascii="Book Antiqua" w:hAnsi="Book Antiqua" w:cs="Times"/>
          <w:noProof/>
          <w:vertAlign w:val="superscript"/>
          <w:lang w:val="en-US"/>
        </w:rPr>
        <w:t>[38]</w:t>
      </w:r>
      <w:r w:rsidRPr="00664A42">
        <w:rPr>
          <w:rFonts w:ascii="Book Antiqua" w:hAnsi="Book Antiqua" w:cs="Times"/>
          <w:lang w:val="en-US"/>
        </w:rPr>
        <w:fldChar w:fldCharType="end"/>
      </w:r>
      <w:r w:rsidRPr="00664A42">
        <w:rPr>
          <w:rFonts w:ascii="Book Antiqua" w:hAnsi="Book Antiqua" w:cs="Times"/>
          <w:lang w:val="en-US"/>
        </w:rPr>
        <w:t xml:space="preserve"> is not entirely applicable to cirrhotic patients for various reasons</w:t>
      </w:r>
      <w:r w:rsidRPr="00664A42">
        <w:rPr>
          <w:rFonts w:ascii="Book Antiqua" w:hAnsi="Book Antiqua" w:cs="Times"/>
          <w:lang w:val="en-US"/>
        </w:rPr>
        <w:fldChar w:fldCharType="begin" w:fldLock="1"/>
      </w:r>
      <w:r w:rsidRPr="00664A42">
        <w:rPr>
          <w:rFonts w:ascii="Book Antiqua" w:hAnsi="Book Antiqua" w:cs="Times"/>
          <w:lang w:val="en-US"/>
        </w:rPr>
        <w:instrText>ADDIN CSL_CITATION { "citationItems" : [ { "id" : "ITEM-1", "itemData" : { "ISSN" : "1108-7471 (Print)", "PMID" : "24733601", "abstract" : "In the general population, C-reactive protein (CRP) level increases in the presence of acute or chronic inflammation and infections. In patients with cirrhosis, the basal level is higher than in patients without cirrhosis, due to chronic hepatic and other inflammation, but when infection occurs the more severe the underlying liver dysfunction, the lower the increase in CRP. Therefore, the predictive power of CRP for infection and prognosis is weak in patients with decompensated/advanced cirrhosis and in the intensive care setting. However, higher CRP and also persistently elevated CRP levels can help identify patients with a higher short-term risk of mortality.", "author" : [ { "dropping-particle" : "", "family" : "Pieri", "given" : "Giulia", "non-dropping-particle" : "", "parse-names" : false, "suffix" : "" }, { "dropping-particle" : "", "family" : "Agarwal", "given" : "Banwari", "non-dropping-particle" : "", "parse-names" : false, "suffix" : "" }, { "dropping-particle" : "", "family" : "Burroughs", "given" : "Andrew K", "non-dropping-particle" : "", "parse-names" : false, "suffix" : "" } ], "container-title" : "Annals of gastroenterology : quarterly publication of the Hellenic Society of Gastroenterology", "id" : "ITEM-1", "issue" : "2", "issued" : { "date-parts" : [ [ "2014" ] ] }, "language" : "ENG", "page" : "113-120", "title" : "C-reactive protein and bacterial infection in cirrhosis.", "type" : "article", "volume" : "27" }, "uris" : [ "http://www.mendeley.com/documents/?uuid=d5703934-3965-4e03-9df6-3f39d0f25354" ] } ], "mendeley" : { "formattedCitation" : "&lt;sup&gt;[5]&lt;/sup&gt;", "plainTextFormattedCitation" : "[5]", "previouslyFormattedCitation" : "&lt;sup&gt;[5]&lt;/sup&gt;" }, "properties" : { "noteIndex" : 0 }, "schema" : "https://github.com/citation-style-language/schema/raw/master/csl-citation.json" }</w:instrText>
      </w:r>
      <w:r w:rsidRPr="00664A42">
        <w:rPr>
          <w:rFonts w:ascii="Book Antiqua" w:hAnsi="Book Antiqua" w:cs="Times"/>
          <w:lang w:val="en-US"/>
        </w:rPr>
        <w:fldChar w:fldCharType="separate"/>
      </w:r>
      <w:r w:rsidRPr="00664A42">
        <w:rPr>
          <w:rFonts w:ascii="Book Antiqua" w:hAnsi="Book Antiqua" w:cs="Times"/>
          <w:noProof/>
          <w:vertAlign w:val="superscript"/>
          <w:lang w:val="en-US"/>
        </w:rPr>
        <w:t>[5]</w:t>
      </w:r>
      <w:r w:rsidRPr="00664A42">
        <w:rPr>
          <w:rFonts w:ascii="Book Antiqua" w:hAnsi="Book Antiqua" w:cs="Times"/>
          <w:lang w:val="en-US"/>
        </w:rPr>
        <w:fldChar w:fldCharType="end"/>
      </w:r>
      <w:r w:rsidRPr="00664A42">
        <w:rPr>
          <w:rFonts w:ascii="Book Antiqua" w:hAnsi="Book Antiqua" w:cs="Times"/>
          <w:lang w:val="en-US"/>
        </w:rPr>
        <w:t xml:space="preserve">. </w:t>
      </w:r>
      <w:r w:rsidRPr="00664A42">
        <w:rPr>
          <w:rFonts w:ascii="Book Antiqua" w:eastAsiaTheme="minorEastAsia" w:hAnsi="Book Antiqua"/>
          <w:lang w:val="en-US" w:eastAsia="en-US"/>
        </w:rPr>
        <w:t>New definition of OFs has directly been elaborated for cirrhotic patient population recently</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"10.1016/j.jhep.2014.06.012", "ISSN" : "01688278", "author" : [ { "dropping-particle" : "", "family" : "Jalan", "given" : "Rajiv", "non-dropping-particle" : "", "parse-names" : false, "suffix" : "" }, { "dropping-particle" : "", "family" : "Saliba", "given" : "Faouzi", "non-dropping-particle" : "", "parse-names" : false, "suffix" : "" }, { "dropping-particle" : "", "family" : "Pavesi", "given" : "Marco", "non-dropping-particle" : "", "parse-names" : false, "suffix" : "" }, { "dropping-particle" : "", "family" : "Amoros", "given" : "Alex", "non-dropping-particle" : "", "parse-names" : false, "suffix" : "" }, { "dropping-particle" : "", "family" : "Moreau", "given" : "Richard", "non-dropping-particle" : "", "parse-names" : false, "suffix" : "" }, { "dropping-particle" : "", "family" : "Gin\u00e8s", "given" : "Pere", "non-dropping-particle" : "", "parse-names" : false, "suffix" : "" }, { "dropping-particle" : "", "family" : "Levesque", "given" : "Eric", "non-dropping-particle" : "", "parse-names" : false, "suffix" : "" }, { "dropping-particle" : "", "family" : "Durand", "given" : "Francois", "non-dropping-particle" : "", "parse-names" : false, "suffix" : "" }, { "dropping-particle" : "", "family" : "Angeli", "given" : "Paolo", "non-dropping-particle" : "", "parse-names" : false, "suffix" : "" }, { "dropping-particle" : "", "family" : "Caraceni", "given" : "Paolo", "non-dropping-particle" : "", "parse-names" : false, "suffix" : "" }, { "dropping-particle" : "", "family" : "Hopf", "given" : "Corinna", "non-dropping-particle" : "", "parse-names" : false, "suffix" : "" }, { "dropping-particle" : "", "family" : "Alessandria", "given" : "Carlo", "non-dropping-particle" : "", "parse-names" : false, "suffix" : "" }, { "dropping-particle" : "", "family" : "Rodriguez", "given" : "Ezequiel", "non-dropping-particle" : "", "parse-names" : false, "suffix" : "" }, { "dropping-particle" : "", "family" : "Solis-Mu\u00f1oz", "given" : "Pablo", "non-dropping-particle" : "", "parse-names" : false, "suffix" : "" }, { "dropping-particle" : "", "family" : "Laleman", "given" : "Wim", "non-dropping-particle" : "", "parse-names" : false, "suffix" : "" }, { "dropping-particle" : "", "family" : "Trebicka", "given" : "Jonel", "non-dropping-particle" : "", "parse-names" : false, "suffix" : "" }, { "dropping-particle" : "", "family" : "Zeuzem", "given" : "Stefan", "non-dropping-particle" : "", "parse-names" : false, "suffix" : "" }, { "dropping-particle" : "", "family" : "Gustot", "given" : "Thierry", "non-dropping-particle" : "", "parse-names" : false, "suffix" : "" }, { "dropping-particle" : "", "family" : "Mookerjee", "given" : "Rajeshwar", "non-dropping-particle" : "", "parse-names" : false, "suffix" : "" }, { "dropping-particle" : "", "family" : "Elkrief", "given" : "Laure", "non-dropping-particle" : "", "parse-names" : false, "suffix" : "" }, { "dropping-particle" : "", "family" : "Soriano", "given" : "German", "non-dropping-particle" : "", "parse-names" : false, "suffix" : "" }, { "dropping-particle" : "", "family" : "Cordoba", "given" : "Joan", "non-dropping-particle" : "", "parse-names" : false, "suffix" : "" }, { "dropping-particle" : "", "family" : "Morando", "given" : "Filippo", "non-dropping-particle" : "", "parse-names" : false, "suffix" : "" }, { "dropping-particle" : "", "family" : "Gerbes", "given" : "Alexander", "non-dropping-particle" : "", "parse-names" : false, "suffix" : "" }, { "dropping-particle" : "", "family" : "Agarwal", "given" : "Banwari", "non-dropping-particle" : "", "parse-names" : false, "suffix" : "" }, { "dropping-particle" : "", "family" : "Samuel", "given" : "Didier", "non-dropping-particle" : "", "parse-names" : false, "suffix" : "" }, { "dropping-particle" : "", "family" : "Bernardi", "given" : "Mauro", "non-dropping-particle" : "", "parse-names" : false, "suffix" : "" }, { "dropping-particle" : "", "family" : "Arroyo", "given" : "Vicente", "non-dropping-particle" : "", "parse-names" : false, "suffix" : "" } ], "container-title" : "Journal of Hepatology", "id" : "ITEM-1", "issue" : "5", "issued" : { "date-parts" : [ [ "2014" ] ] }, "page" : "1038-1047", "publisher" : "European Association for the Study of the Liver", "title" : "Development and validation of a prognostic score to predict mortality in patients with acute-on-chronic liver failure", "type" : "article-journal", "volume" : "61" }, "uris" : [ "http://www.mendeley.com/documents/?uuid=12b5e329-cd73-4908-8bb2-93fbce0656ce" ] }, { "id" : "ITEM-2", "itemData" : { "DOI" : "10.1053/j.gastro.2013.02.042", "ISSN" : "1528-0012", "PMID" : "23474284", "abstract" : "BACKGROUND &amp; AIMS: Patients with cirrhosis hospitalized for an acute decompensation (AD) and organ failure are at risk for imminent death and considered to have acute-on-chronic liver failure (ACLF). However, there are no established diagnostic criteria for ACLF, so little is known about its development and progression. We aimed to identify diagnostic criteria of ACLF and describe the development of this syndrome in European patients with AD. METHODS: We collected data from 1343 hospitalized patients with cirrhosis and AD from February to September 2011 at 29 liver units in 8 European countries. We used the organ failure and mortality data to define ACLF grades, assess mortality, and identify differences between ACLF and AD. We established diagnostic criteria for ACLF based on analyses of patients with organ failure (defined by the chronic liver failure-sequential organ failure assessment [CLIF-SOFA] score) and high 28-day mortality rate (&gt;15%). RESULTS: Of the patients assessed, 303 had ACLF when the study began, 112 developed ACLF, and 928 did not have ACLF. The 28-day mortality rate among patients who had ACLF when the study began was 33.9%, among those who developed ACLF was 29.7%, and among those who did not have ACLF was 1.9%. Patients with ACLF were younger and more frequently alcoholic, had more associated bacterial infections, and had higher numbers of leukocytes and higher plasma levels of C-reactive protein than patients without ACLF (P &lt; .001). Higher CLIF-SOFA scores and leukocyte counts were independent predictors of mortality in patients with ACLF. In patients without a prior history of AD, ACLF was unexpectedly characterized by higher numbers of organ failures, leukocyte count, and mortality compared with ACLF in patients with a prior history of AD. CONCLUSIONS: We analyzed data from patients with cirrhosis and AD to establish diagnostic criteria for ACLF and showed that it is distinct from AD, based not only on the presence of organ failure(s) and high mortality rate but also on age, precipitating events, and systemic inflammation. ACLF mortality is associated with loss of organ function and high leukocyte counts. ACLF is especially severe in patients with no prior history of AD.", "author" : [ { "dropping-particle" : "", "family" : "Moreau", "given" : "Richard", "non-dropping-particle" : "", "parse-names" : false, "suffix" : "" }, { "dropping-particle" : "", "family" : "Jalan", "given" : "Rajiv", "non-dropping-particle" : "", "parse-names" : false, "suffix" : "" }, { "dropping-particle" : "", "family" : "Gines", "given" : "Pere", "non-dropping-particle" : "", "parse-names" : false, "suffix" : "" }, { "dropping-particle" : "", "family" : "Pavesi", "given" : "Marco", "non-dropping-particle" : "", "parse-names" : false, "suffix" : "" }, { "dropping-particle" : "", "family" : "Angeli", "given" : "Paolo", "non-dropping-particle" : "", "parse-names" : false, "suffix" : "" }, { "dropping-particle" : "", "family" : "Cordoba", "given" : "Juan", "non-dropping-particle" : "", "parse-names" : false, "suffix" : "" }, { "dropping-particle" : "", "family" : "Durand", "given" : "Francois", "non-dropping-particle" : "", "parse-names" : false, "suffix" : "" }, { "dropping-particle" : "", "family" : "Gustot", "given" : "Thierry", "non-dropping-particle" : "", "parse-names" : false, "suffix" : "" }, { "dropping-particle" : "", "family" : "Saliba", "given" : "Faouzi", "non-dropping-particle" : "", "parse-names" : false, "suffix" : "" }, { "dropping-particle" : "", "family" : "Domenicali", "given" : "Marco", "non-dropping-particle" : "", "parse-names" : false, "suffix" : "" }, { "dropping-particle" : "", "family" : "Gerbes", "given" : "Alexander", "non-dropping-particle" : "", "parse-names" : false, "suffix" : "" }, { "dropping-particle" : "", "family" : "Wendon", "given" : "Julia", "non-dropping-particle" : "", "parse-names" : false, "suffix" : "" }, { "dropping-particle" : "", "family" : "Alessandria", "given" : "Carlo", "non-dropping-particle" : "", "parse-names" : false, "suffix" : "" }, { "dropping-particle" : "", "family" : "Laleman", "given" : "Wim", "non-dropping-particle" : "", "parse-names" : false, "suffix" : "" }, { "dropping-particle" : "", "family" : "Zeuzem", "given" : "Stefan", "non-dropping-particle" : "", "parse-names" : false, "suffix" : "" }, { "dropping-particle" : "", "family" : "Trebicka", "given" : "Jonel", "non-dropping-particle" : "", "parse-names" : false, "suffix" : "" }, { "dropping-particle" : "", "family" : "Bernardi", "given" : "Mauro", "non-dropping-particle" : "", "parse-names" : false, "suffix" : "" }, { "dropping-particle" : "", "family" : "Arroyo", "given" : "Vicente", "non-dropping-particle" : "", "parse-names" : false, "suffix" : "" } ], "container-title" : "Gastroenterology", "id" : "ITEM-2", "issue" : "7", "issued" : { "date-parts" : [ [ "2013", "6" ] ] }, "page" : "1426-1437", "title" : "Acute-on-chronic liver failure is a distinct syndrome that develops in patients with acute decompensation of cirrhosis.", "type" : "article-journal", "volume" : "144" }, "uris" : [ "http://www.mendeley.com/documents/?uuid=73ee534a-42df-4d9a-b950-f6b301f6c0bf" ] } ], "mendeley" : { "formattedCitation" : "&lt;sup&gt;[3,30]&lt;/sup&gt;", "plainTextFormattedCitation" : "[3,30]", "previouslyFormattedCitation" : "&lt;sup&gt;[3,30]&lt;/sup&gt;"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[3,30]</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that </w:t>
      </w:r>
      <w:r w:rsidRPr="00664A42">
        <w:rPr>
          <w:rFonts w:ascii="Book Antiqua" w:eastAsiaTheme="minorEastAsia" w:hAnsi="Book Antiqua" w:cs="Times"/>
          <w:lang w:val="en-US" w:eastAsia="en-US"/>
        </w:rPr>
        <w:t xml:space="preserve">use simple measures and is easy to apply </w:t>
      </w:r>
      <w:r w:rsidRPr="00664A42">
        <w:rPr>
          <w:rFonts w:ascii="Book Antiqua" w:eastAsiaTheme="minorEastAsia" w:hAnsi="Book Antiqua"/>
          <w:lang w:val="en-US" w:eastAsia="en-US"/>
        </w:rPr>
        <w:t>in everyday clinical practice. Moreover presence of OF is predictive of worse outcome</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"10.1002/hep.27077", "ISBN" : "1527-3350", "ISSN" : "15273350", "PMID" : "24677131", "abstract" : "Infections worsen survival in cirrhosis; however, simple predictors of survival in infection-related acute-on-chronic liver failure (I-ACLF) derived from multicenter studies are required in order to improve prognostication and resource allocation. Using the North American Consortium for Study of End-stage Liver Disease (NACSELD) database, data from 18 centers were collected for survival analysis of prospectively enrolled cirrhosis patients hospitalized with an infection. We defined organ failures as 1) shock, 2) grade III/IV hepatic encephalopathy (HE), 3) need for dialysis and mechanical ventilation. Determinants of survival with these organ failures were analyzed. In all, 507 patients were included (55 years, 52% hepatitis C virus [HCV], 15.8% nosocomial infection, 96% Child score \u22657) and 30-day evaluations were available in 453 patients. Urinary tract infection (UTI) (28.5%), and spontaneous bacterial peritonitis (SBP) (22.5%) were the most prevalent infections. During hospitalization, 55.7% developed HE, 17.6% shock, 15.1% required renal replacement, and 15.8% needed ventilation; 23% died within 30 days and 21.6% developed second infections. Admitted patients developed none (38.4%), one (37.3%), two (10.4%), three (10%), or four (4%) organ failures. The 30-day survival worsened with a higher number of extrahepatic organ failures, none (92%), one (72.6%), two (51.3%), three (36%), and all four (23%). I-ACLF was defined as \u22652 organ failures given the significant change in survival probability associated at this cutoff. Baseline independent predictors for development of ACLF were nosocomial infections, Model for Endstage Liver Disease (MELD) score, low mean arterial pressure (MAP), and non-SBP infections. Independent predictors of poor 30-day survival were I-ACLF, second infections, and admission values of high MELD, low MAP, high white blood count, and low albumin. Conclusion: Using multicenter study data in hospitalized decompensated infected cirrhosis patients, I-ACLF defined by the presence of two or more organ failures using simple definitions is predictive of poor survival. (Hepatology 2014).", "author" : [ { "dropping-particle" : "", "family" : "Bajaj", "given" : "Jasmohan S.", "non-dropping-particle" : "", "parse-names" : false, "suffix" : "" }, { "dropping-particle" : "", "family" : "O'Leary", "given" : "Jacqueline G.", "non-dropping-particle" : "", "parse-names" : false, "suffix" : "" }, { "dropping-particle" : "", "family" : "Reddy", "given" : "K. Rajender", "non-dropping-particle" : "", "parse-names" : false, "suffix" : "" }, { "dropping-particle" : "", "family" : "Wong", "given" : "Florence", "non-dropping-particle" : "", "parse-names" : false, "suffix" : "" }, { "dropping-particle" : "", "family" : "Biggins", "given" : "Scott W.", "non-dropping-particle" : "", "parse-names" : false, "suffix" : "" }, { "dropping-particle" : "", "family" : "Patton", "given" : "Heather", "non-dropping-particle" : "", "parse-names" : false, "suffix" : "" }, { "dropping-particle" : "", "family" : "Fallon", "given" : "Michael B.", "non-dropping-particle" : "", "parse-names" : false, "suffix" : "" }, { "dropping-particle" : "", "family" : "Garcia-Tsao", "given" : "Guadalupe", "non-dropping-particle" : "", "parse-names" : false, "suffix" : "" }, { "dropping-particle" : "", "family" : "Maliakkal", "given" : "Benedict", "non-dropping-particle" : "", "parse-names" : false, "suffix" : "" }, { "dropping-particle" : "", "family" : "Malik", "given" : "Raza", "non-dropping-particle" : "", "parse-names" : false, "suffix" : "" }, { "dropping-particle" : "", "family" : "Subramanian", "given" : "Ram M.", "non-dropping-particle" : "", "parse-names" : false, "suffix" : "" }, { "dropping-particle" : "", "family" : "Thacker", "given" : "Leroy R.", "non-dropping-particle" : "", "parse-names" : false, "suffix" : "" }, { "dropping-particle" : "", "family" : "Kamath", "given" : "Patrick S.", "non-dropping-particle" : "", "parse-names" : false, "suffix" : "" } ], "container-title" : "Hepatology", "id" : "ITEM-1", "issue" : "1", "issued" : { "date-parts" : [ [ "2014" ] ] }, "page" : "250-256", "title" : "Survival in infection-related acute-on-chronic liver failure is defined by extrahepatic organ failures", "type" : "article-journal", "volume" : "60" }, "uris" : [ "http://www.mendeley.com/documents/?uuid=84dcce15-3ad1-40ef-8c69-6bcfe61f91f5" ] } ], "mendeley" : { "formattedCitation" : "&lt;sup&gt;[2]&lt;/sup&gt;", "plainTextFormattedCitation" : "[2]", "previouslyFormattedCitation" : "&lt;sup&gt;[2]&lt;/sup&gt;"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[2]</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Times"/>
          <w:lang w:val="en-US" w:eastAsia="en-US"/>
        </w:rPr>
      </w:pPr>
      <w:r w:rsidRPr="00664A42">
        <w:rPr>
          <w:rFonts w:ascii="Book Antiqua" w:eastAsiaTheme="minorEastAsia" w:hAnsi="Book Antiqua"/>
          <w:lang w:val="en-US" w:eastAsia="en-US"/>
        </w:rPr>
        <w:t>For the diagnosis of bacterial infections,</w:t>
      </w:r>
      <w:r w:rsidRPr="00664A42">
        <w:rPr>
          <w:rFonts w:ascii="Book Antiqua" w:hAnsi="Book Antiqua" w:cs="Times"/>
          <w:lang w:val="en-US"/>
        </w:rPr>
        <w:t xml:space="preserve"> </w:t>
      </w:r>
      <w:r w:rsidRPr="00664A42">
        <w:rPr>
          <w:rFonts w:ascii="Book Antiqua" w:eastAsiaTheme="minorEastAsia" w:hAnsi="Book Antiqua" w:cs="Times"/>
          <w:lang w:val="en-US" w:eastAsia="en-US"/>
        </w:rPr>
        <w:t xml:space="preserve">the best cut-off level of </w:t>
      </w:r>
      <w:r w:rsidRPr="00664A42">
        <w:rPr>
          <w:rFonts w:ascii="Book Antiqua" w:eastAsiaTheme="minorEastAsia" w:hAnsi="Book Antiqua" w:cs="Times"/>
          <w:lang w:val="en-US" w:eastAsia="en-US"/>
        </w:rPr>
        <w:lastRenderedPageBreak/>
        <w:t xml:space="preserve">presepsin was 844 pg/mL </w:t>
      </w:r>
      <w:r w:rsidRPr="00664A42">
        <w:rPr>
          <w:rFonts w:ascii="Book Antiqua" w:hAnsi="Book Antiqua" w:cs="Times"/>
          <w:lang w:val="en-US"/>
        </w:rPr>
        <w:t>in our cirrhotic patient cohort. D</w:t>
      </w:r>
      <w:r w:rsidRPr="00664A42">
        <w:rPr>
          <w:rFonts w:ascii="Book Antiqua" w:eastAsiaTheme="minorEastAsia" w:hAnsi="Book Antiqua" w:cs="Times"/>
          <w:lang w:val="en-US" w:eastAsia="en-US"/>
        </w:rPr>
        <w:t>iagnostic cut-off levels were different in previous studies in non-cirrhotic populations, but most reports suggest an approximate level of 400–600 pg/mL</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"10.1007/s10156-011-0254-x", "ISSN" : "1437-7780 (Electronic)", "PMID" : "21560033", "abstract" : "CD14 is present in macrophage, monocyte, and granulocyte cells and their cell membranes, and it is said to be responsible for intracellular transduction of endotoxin signals. Its soluble fraction is present in blood and is thought to be produced in association with infections. It is called the soluble CD14-subtype (sCD14-ST), and in the following text it is referred to by its generic name, presepsin. We have previously reported that presepsin is produced in association with infection and that it is specifically expressed in sepsis. In the present study we developed a new rapid diagnostic method by using a chemiluminescent enzyme immunoassay that allowed making automated measurements in a shorter time. The results of using this method to measure presepsin values in different pathological conditions were normal, 294.2 +/- 121.4 pg/ml; local infection, 721.0 +/- 611.3 pg/ml; systemic inflammatory response syndrome, 333.5 +/- 130.6 pg/ml; sepsis, 817.9 +/- 572.7 pg/ml; and severe sepsis, 1,992.9 +/- 1509.2 pg/ml; the presepsin values were significantly higher in patients with local infection, sepsis, and severe sepsis than in patients who did not have infection as a complication. In a comparative study with other diagnostic markers of sepsis based on ROC curves, the area under the curve (AUC) of presepsin was 0.845, and greater than the AUC of procalcitonin (PCT, 0.652), C-reactive protein (CRP, 0.815), or interleukin 6 (IL-6, 0.672). In addition, a significant correlation was found between the APACHE II scores, an index of disease severity, and the presepsin values, suggesting that presepsin values can serve as a parameter that closely reflects the pathology.", "author" : [ { "dropping-particle" : "", "family" : "Shozushima", "given" : "Tatsuyori", "non-dropping-particle" : "", "parse-names" : false, "suffix" : "" }, { "dropping-particle" : "", "family" : "Takahashi", "given" : "Gaku", "non-dropping-particle" : "", "parse-names" : false, "suffix" : "" }, { "dropping-particle" : "", "family" : "Matsumoto", "given" : "Naoya", "non-dropping-particle" : "", "parse-names" : false, "suffix" : "" }, { "dropping-particle" : "", "family" : "Kojika", "given" : "Masahiro", "non-dropping-particle" : "", "parse-names" : false, "suffix" : "" }, { "dropping-particle" : "", "family" : "Okamura", "given" : "Yoshikazu", "non-dropping-particle" : "", "parse-names" : false, "suffix" : "" }, { "dropping-particle" : "", "family" : "Endo", "given" : "Shigeatsu", "non-dropping-particle" : "", "parse-names" : false, "suffix" : "" } ], "container-title" : "Journal of infection and chemotherapy : official journal of the Japan Society of  Chemotherapy", "id" : "ITEM-1", "issue" : "6", "issued" : { "date-parts" : [ [ "2011", "12" ] ] }, "language" : "eng", "page" : "764-769", "publisher-place" : "Japan", "title" : "Usefulness of presepsin (sCD14-ST) measurements as a marker for the diagnosis and severity of sepsis that satisfied diagnostic criteria of systemic inflammatory response syndrome.", "type" : "article-journal", "volume" : "17" }, "uris" : [ "http://www.mendeley.com/documents/?uuid=64c1c6f2-e93d-4d3d-bce1-6c34125e4429" ] }, { "id" : "ITEM-2", "itemData" : { "DOI" : "10.1186/cc12847", "ISSN" : "1466-609X (Electronic)", "PMID" : "23899120", "abstract" : "INTRODUCTION: Sepsis, severe sepsis and septic shock are common conditions with high mortality. Their early diagnosis in the Emergency Department (ED) is one of the keys to improving survival. Procalcitonin (PCT) has been used as a biomarker in septic patients but has limited specificity and can be elevated in other scenarios of systemic inflammatory response syndrome (SIRS). Soluble CD14 (sCD14) or presepsin is the free fragment of a glycoprotein expressed on monocytes and macrophages. Preliminary reports suggest that levels of presepsin are significantly higher in septic patients than in healthy individuals. The aim of this study is to investigate the diagnostic and prognostic value of presepsin compared to PCT in people presenting at the ED with SIRS and suspected sepsis or septic shock. METHODS: This study was conducted in two major hospitals in Turin, Italy. One hundred six patients presenting to the EDs with suspected sepsis or septic shock were included, and another eighty-three patients affected by SIRS, but with no clinical evidence of infection, were recruited as controls. Blood samples were collected at first medical evaluation and for some patients after 24 and 72 h. The samples were analyzed using the PATHFAST Presepsin assay for sCD14, and commercial kits were used for other determinations (for example, PCT). Definitive diagnosis and survival rates were obtained afterward by analysis of digital medical records. RESULTS: Elevated concentrations of presepsin at presentation were observed in septic patients compared to control patients. The same trend was observed for mean values of PCT. Higher values of presepsin were observed in septic patients at presentation (time 0). The diagnostic accuracy of PCT was generally higher, and areas under the curve (AUCs) were 0.875 for PCT and 0.701 for presepsin. Mean presepsin values were significantly higher in nonsurvivor septic patients (60-day mortality) than in survivors. No significant correlation was noted between PCT and survival. CONCLUSIONS: In our experience, presepsin was useful in the early diagnosis of infection in a complex population of patients with SIRS, sepsis, severe sepsis and septic shock who presented to the ED. Presepsin showed a significant prognostic value, and initial values were significantly correlated with in-hospital mortality of patients affected by sepsis, severe sepsis or septic shock.", "author" : [ { "dropping-particle" : "", "family" : "Ulla", "given" : "Marco", "non-dropping-particle" : "", "parse-names" : false, "suffix" : "" }, { "dropping-particle" : "", "family" : "Pizzolato", "given" : "Elisa", "non-dropping-particle" : "", "parse-names" : false, "suffix" : "" }, { "dropping-particle" : "", "family" : "Lucchiari", "given" : "Manuela", "non-dropping-particle" : "", "parse-names" : false, "suffix" : "" }, { "dropping-particle" : "", "family" : "Loiacono", "given" : "Maria", "non-dropping-particle" : "", "parse-names" : false, "suffix" : "" }, { "dropping-particle" : "", "family" : "Soardo", "given" : "Flavia", "non-dropping-particle" : "", "parse-names" : false, "suffix" : "" }, { "dropping-particle" : "", "family" : "Forno", "given" : "Daniela", "non-dropping-particle" : "", "parse-names" : false, "suffix" : "" }, { "dropping-particle" : "", "family" : "Morello", "given" : "Fulvio", "non-dropping-particle" : "", "parse-names" : false, "suffix" : "" }, { "dropping-particle" : "", "family" : "Lupia", "given" : "Enrico", "non-dropping-particle" : "", "parse-names" : false, "suffix" : "" }, { "dropping-particle" : "", "family" : "Moiraghi", "given" : "Corrado", "non-dropping-particle" : "", "parse-names" : false, "suffix" : "" }, { "dropping-particle" : "", "family" : "Mengozzi", "given" : "Giulio", "non-dropping-particle" : "", "parse-names" : false, "suffix" : "" }, { "dropping-particle" : "", "family" : "Battista", "given" : "Stefania", "non-dropping-particle" : "", "parse-names" : false, "suffix" : "" } ], "container-title" : "Critical care (London, England)", "id" : "ITEM-2", "issue" : "4", "issued" : { "date-parts" : [ [ "2013" ] ] }, "language" : "eng", "page" : "R168", "publisher-place" : "England", "title" : "Diagnostic and prognostic value of presepsin in the management of sepsis in the emergency department: a multicenter prospective study.", "type" : "article-journal", "volume" : "17" }, "uris" : [ "http://www.mendeley.com/documents/?uuid=30cef026-4bb1-49af-a000-f7fc074f7002", "http://www.mendeley.com/documents/?uuid=1d74784e-bc97-4285-8187-75ad0b3a6bf6" ] } ], "mendeley" : { "formattedCitation" : "&lt;sup&gt;[39,40]&lt;/sup&gt;", "plainTextFormattedCitation" : "[39,40]", "previouslyFormattedCitation" : "&lt;sup&gt;[39,40]&lt;/sup&gt;"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[39,40]</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cs="Arial"/>
          <w:lang w:val="en-US" w:eastAsia="en-US"/>
        </w:rPr>
      </w:pPr>
      <w:r w:rsidRPr="00664A42">
        <w:rPr>
          <w:rFonts w:ascii="Book Antiqua" w:hAnsi="Book Antiqua" w:cs="Times"/>
          <w:lang w:val="en-US"/>
        </w:rPr>
        <w:t>P</w:t>
      </w:r>
      <w:r w:rsidRPr="00664A42">
        <w:rPr>
          <w:rFonts w:ascii="Book Antiqua" w:eastAsiaTheme="minorEastAsia" w:hAnsi="Book Antiqua" w:cs="Times"/>
          <w:lang w:val="en-US" w:eastAsia="en-US"/>
        </w:rPr>
        <w:t>resepsin alone was not suitable as a screening tool to search for infection, h</w:t>
      </w:r>
      <w:r w:rsidRPr="00664A42">
        <w:rPr>
          <w:rFonts w:ascii="Book Antiqua" w:hAnsi="Book Antiqua" w:cs="Times"/>
          <w:lang w:val="en-US"/>
        </w:rPr>
        <w:t xml:space="preserve">owever </w:t>
      </w:r>
      <w:r w:rsidRPr="00664A42">
        <w:rPr>
          <w:rFonts w:ascii="Book Antiqua" w:eastAsiaTheme="minorEastAsia" w:hAnsi="Book Antiqua"/>
          <w:lang w:val="en-US" w:eastAsia="en-US"/>
        </w:rPr>
        <w:t>adding it to CRP, we found that presepsin was clinically useful. For the first, this combination amended efficacy of identification of the infectious episode.</w:t>
      </w:r>
      <w:r w:rsidRPr="00664A42">
        <w:rPr>
          <w:rFonts w:ascii="Book Antiqua" w:eastAsiaTheme="minorEastAsia" w:hAnsi="Book Antiqua" w:cs="Times"/>
          <w:lang w:val="en-US" w:eastAsia="en-US"/>
        </w:rPr>
        <w:t xml:space="preserve"> Sensitivity and NPV were increased by 9% and 4% compared to CRP alone. Secondly, presepsin was able to </w:t>
      </w:r>
      <w:r w:rsidRPr="00664A42">
        <w:rPr>
          <w:rFonts w:ascii="Book Antiqua" w:eastAsiaTheme="minorEastAsia" w:hAnsi="Book Antiqua"/>
          <w:lang w:val="en-US" w:eastAsia="en-US"/>
        </w:rPr>
        <w:t xml:space="preserve">distinguish severe infectious episode from non-severe ones more properly compared to CRP; AUC-ROC values were 0.85 and 0.66, respectively. Performance of presepsin corresponds to those reported in non-cirrhotic septic patient populations. In a recent meta-analysis of </w:t>
      </w:r>
      <w:r w:rsidR="00664A42" w:rsidRPr="00664A42">
        <w:rPr>
          <w:rFonts w:ascii="Book Antiqua" w:eastAsiaTheme="minorEastAsia" w:hAnsi="Book Antiqua"/>
          <w:i/>
          <w:lang w:val="en-US" w:eastAsia="en-US"/>
        </w:rPr>
        <w:t>Zheng et al</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"10.1186/s13613-015-0089-1", "ISSN" : "2110-5820 (Electronic)", "PMID" : "26642970", "abstract" : "BACKGROUND: Sepsis is a common condition that has a high mortality and morbidity  that need prompt diagnosis and treatment. Biomarkers like Soluble CD14 subtype (sCD14-ST, presepsin) may be useful in identifying patients with sepsis and its diagnostic superiority has been confirmed by several preliminary studies. The aim of this study was systematically and quantitatively to evaluate the value of presepsin for the diagnosis of sepsis through the method of meta-analysis. METHODS: Four major databases, including MEDLINE, EMBASE, ISI Web of Knowledge, and the Cochrane Library were systematically searched from inception to March 2015. Two investigators conducted the processes of literature search, study selection, data extraction, and quality evaluation independently. And the original data were extracted from all eligible individual studies to construct two-by-two tables. RESULTS: A total of eight studies comprising 1757 patients were included in this meta-analysis. The pooled sensitivity, specificity, and diagnostic odds ratio were 0.77 (95 % confidence interval [CI]: 0.75-0.80), 0.73 (95 % CI 0.69-0.77), and 14.25 (95 % CI 8.66-23.42), respectively. The summary receiver operating characteristic curve (SROC) area under the curve (AUC) was 0.8598. The subgroup analysis based on excluding the outliers showed that the pooled sensitivity and specificity were 0.85 (95 % CI 0.81-0.89) and 0.65 (95 % CI 0.59-0.70), respectively. The AUC was 0.8213 with no significant heterogeneity. CONCLUSIONS: Presepsin has moderate diagnostic capacity for the detection of sepsis. Further research of presepsin is needed before widespread use in emergency department. And presepsin in combination with other laboratory biomarkers in diagnosing sepsis may be the focus of future studies.", "author" : [ { "dropping-particle" : "", "family" : "Zheng", "given" : "Zhongjun", "non-dropping-particle" : "", "parse-names" : false, "suffix" : "" }, { "dropping-particle" : "", "family" : "Jiang", "given" : "Libing", "non-dropping-particle" : "", "parse-names" : false, "suffix" : "" }, { "dropping-particle" : "", "family" : "Ye", "given" : "Ligang", "non-dropping-particle" : "", "parse-names" : false, "suffix" : "" }, { "dropping-particle" : "", "family" : "Gao", "given" : "Yuzhi", "non-dropping-particle" : "", "parse-names" : false, "suffix" : "" }, { "dropping-particle" : "", "family" : "Tang", "given" : "Luping", "non-dropping-particle" : "", "parse-names" : false, "suffix" : "" }, { "dropping-particle" : "", "family" : "Zhang", "given" : "Mao", "non-dropping-particle" : "", "parse-names" : false, "suffix" : "" } ], "container-title" : "Annals of intensive care", "id" : "ITEM-1", "issue" : "1", "issued" : { "date-parts" : [ [ "2015", "12" ] ] }, "language" : "eng", "page" : "48", "publisher-place" : "Germany", "title" : "The accuracy of presepsin for the diagnosis of sepsis from SIRS: a systematic review and meta-analysis.", "type" : "article-journal", "volume" : "5" }, "uris" : [ "http://www.mendeley.com/documents/?uuid=36e21c48-535c-4374-810b-bce65ddd49b6" ] } ], "mendeley" : { "formattedCitation" : "&lt;sup&gt;[41]&lt;/sup&gt;", "plainTextFormattedCitation" : "[41]", "previouslyFormattedCitation" : "&lt;sup&gt;[41]&lt;/sup&gt;"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[41]</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comprising a total of 8 studies and 1757 patients, the AUC of the summary ROC (SROC) was 0.82. In contrast, weak predictive power of CRP </w:t>
      </w:r>
      <w:r w:rsidRPr="00664A42">
        <w:rPr>
          <w:rFonts w:ascii="Book Antiqua" w:eastAsiaTheme="minorEastAsia" w:hAnsi="Book Antiqua" w:cs="Times"/>
          <w:lang w:val="en-US" w:eastAsia="en-US"/>
        </w:rPr>
        <w:t xml:space="preserve">with an AUC-ROC of 0.64 </w:t>
      </w:r>
      <w:r w:rsidRPr="00664A42">
        <w:rPr>
          <w:rFonts w:ascii="Book Antiqua" w:eastAsiaTheme="minorEastAsia" w:hAnsi="Book Antiqua"/>
          <w:lang w:val="en-US" w:eastAsia="en-US"/>
        </w:rPr>
        <w:t>was reported for the infections</w:t>
      </w:r>
      <w:r w:rsidRPr="00664A42">
        <w:rPr>
          <w:rFonts w:ascii="Book Antiqua" w:eastAsiaTheme="minorEastAsia" w:hAnsi="Book Antiqua" w:cs="Times"/>
          <w:lang w:val="en-US" w:eastAsia="en-US"/>
        </w:rPr>
        <w:t xml:space="preserve"> in critically ill patients with cirrhosis in intensive care unit (ICU) </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"10.1016/j.lab.2005.08.005", "ISSN" : "0022-2143 (Print)", "PMID" : "16310518", "abstract" : "Concentrations of C-reactive protein (CRP) and procalcitonin (PCT) have been suggested as markers of infection. The liver is believed to be a key source of CRP and PCT. For this reason we assessed the predictive value of these markers in patients with hepatic cirrhosis in a 31-bed university-hospital department of intensive care. Demographic, clinical, laboratory, and microbiologic data were collected prospectively over 9 months. Of 864 patients included in the study, 79 (9%) had hepatic cirrhosis. Patients with cirrhosis were more likely to have a medical than a surgical admission diagnosis (67 vs 47%, P = .03). They also had a higher rate of infection (48 vs 30%, P = .03) and higher mortality (44 vs 17%, P = .01) than did patients without cirrhosis. We detected no differences in CRP and PCT concentrations among patients with cirrhosis and different disease severity as assessed on the basis of Child-Pugh score. The serum CRP concentration (admission 11.2 +/- 4.6 vs 13.0 +/- 5.8, maximum 13.9 +/- 6.4 vs 18.8 +/- 7.3 mg/dL) and PCT (admission 1.3 +/- 0.9 vs 2.0 +/- 1.4, maximum 3.3 +/- 1.8 vs 3.4 +/- 2.1 ng/mL) were slightly lower in infected patients with cirrhosis than in infected patients without cirrhosis, but the differences were not statistically significant. Although the liver is considered the main source of CRP and a source of PCT, serum levels of these acute-phase proteins are not significantly lower in patients with cirrhosis than in other patients. Moreover, the predictive power of CRP and PCT for infection was similar for patients with and without cirrhosis.", "author" : [ { "dropping-particle" : "", "family" : "Bota", "given" : "Daliana Peres", "non-dropping-particle" : "", "parse-names" : false, "suffix" : "" }, { "dropping-particle" : "", "family" : "Nuffelen", "given" : "Marc", "non-dropping-particle" : "Van", "parse-names" : false, "suffix" : "" }, { "dropping-particle" : "", "family" : "Zakariah", "given" : "Ahmed N", "non-dropping-particle" : "", "parse-names" : false, "suffix" : "" }, { "dropping-particle" : "", "family" : "Vincent", "given" : "Jean-Louis", "non-dropping-particle" : "", "parse-names" : false, "suffix" : "" } ], "container-title" : "The Journal of laboratory and clinical medicine", "id" : "ITEM-1", "issue" : "6", "issued" : { "date-parts" : [ [ "2005", "12" ] ] }, "language" : "eng", "page" : "347-351", "publisher-place" : "United States", "title" : "Serum levels of C-reactive protein and procalcitonin in critically ill patients with cirrhosis of the liver.", "type" : "article-journal", "volume" : "146" }, "uris" : [ "http://www.mendeley.com/documents/?uuid=1fc037ac-be9d-47e2-8713-74133f62c00f" ] } ], "mendeley" : { "formattedCitation" : "&lt;sup&gt;[22]&lt;/sup&gt;", "plainTextFormattedCitation" : "[22]", "previouslyFormattedCitation" : "&lt;sup&gt;[22]&lt;/sup&gt;"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[22]</w:t>
      </w:r>
      <w:r w:rsidRPr="00664A42">
        <w:rPr>
          <w:rFonts w:ascii="Book Antiqua" w:eastAsiaTheme="minorEastAsia" w:hAnsi="Book Antiqua" w:cs="Times"/>
          <w:lang w:val="en-US" w:eastAsia="en-US"/>
        </w:rPr>
        <w:fldChar w:fldCharType="end"/>
      </w:r>
      <w:r w:rsidRPr="00664A42">
        <w:rPr>
          <w:rFonts w:ascii="Book Antiqua" w:eastAsiaTheme="minorEastAsia" w:hAnsi="Book Antiqua"/>
          <w:lang w:val="en-US" w:eastAsia="en-US"/>
        </w:rPr>
        <w:t>, which is also in agreement with our results. Regarding CRP, p</w:t>
      </w:r>
      <w:r w:rsidRPr="00664A42">
        <w:rPr>
          <w:rFonts w:ascii="Book Antiqua" w:eastAsiaTheme="minorEastAsia" w:hAnsi="Book Antiqua" w:cs="Arial"/>
          <w:lang w:val="en-US" w:eastAsia="en-US"/>
        </w:rPr>
        <w:t>atients with cirrhosis may present reduced CRP in response to infection</w:t>
      </w:r>
      <w:r w:rsidRPr="00664A42">
        <w:rPr>
          <w:rFonts w:ascii="Book Antiqua" w:eastAsiaTheme="minorEastAsia" w:hAnsi="Book Antiqua" w:cs="Arial"/>
          <w:lang w:val="en-US" w:eastAsia="en-US"/>
        </w:rPr>
        <w:fldChar w:fldCharType="begin" w:fldLock="1"/>
      </w:r>
      <w:r w:rsidRPr="00664A42">
        <w:rPr>
          <w:rFonts w:ascii="Book Antiqua" w:eastAsiaTheme="minorEastAsia" w:hAnsi="Book Antiqua" w:cs="Arial"/>
          <w:lang w:val="en-US" w:eastAsia="en-US"/>
        </w:rPr>
        <w:instrText>ADDIN CSL_CITATION { "citationItems" : [ { "id" : "ITEM-1", "itemData" : { "DOI" : "10.1016/j.diagmicrobio.2004.11.014", "ISSN" : "0732-8893 (Print)", "PMID" : "15808312", "abstract" : "To assess the effect of liver dysfunction on the production of C-reactive protein (CRP), CRP levels were evaluated in patients with Escherichia coli bacteremia with or without liver cirrhosis (LC). Thirty patients of each kind were selected as case and control groups, respectively. A matched control of 30 LC patients without acute infection was also included. In the patients with E. coli bacteremia, median CRP was 6.2 mg/dL (range 0.2-22.1) in the LC patients and 14.6 mg/dL (range 5.8-39.6) in the patients without liver dysfunction (P &lt; 0.001). In the advanced LC patients in Child-Pugh class C, median CRP was 5.0 mg/dL (range 0.2-12.1) in patients with E. coli bacteremia and 0.5 mg/dL (range 0.1-1.2) in patients without acute infection (P &lt; 0.001). Our data suggest that, although CRP levels are reduced in response to acute infection, production is nevertheless maintained even in patients with advanced liver dysfunction.", "author" : [ { "dropping-particle" : "", "family" : "Park", "given" : "Wan Beom", "non-dropping-particle" : "", "parse-names" : false, "suffix" : "" }, { "dropping-particle" : "", "family" : "Lee", "given" : "Ki-Deok", "non-dropping-particle" : "", "parse-names" : false, "suffix" : "" }, { "dropping-particle" : "", "family" : "Lee", "given" : "Chang Seop", "non-dropping-particle" : "", "parse-names" : false, "suffix" : "" }, { "dropping-particle" : "", "family" : "Jang", "given" : "Hee Chang", "non-dropping-particle" : "", "parse-names" : false, "suffix" : "" }, { "dropping-particle" : "Bin", "family" : "Kim", "given" : "Hong", "non-dropping-particle" : "", "parse-names" : false, "suffix" : "" }, { "dropping-particle" : "", "family" : "Lee", "given" : "Hyo-Suk", "non-dropping-particle" : "", "parse-names" : false, "suffix" : "" }, { "dropping-particle" : "", "family" : "Oh", "given" : "Myoung-don", "non-dropping-particle" : "", "parse-names" : false, "suffix" : "" }, { "dropping-particle" : "", "family" : "Choe", "given" : "Kang Won", "non-dropping-particle" : "", "parse-names" : false, "suffix" : "" } ], "container-title" : "Diagnostic microbiology and infectious disease", "id" : "ITEM-1", "issue" : "4", "issued" : { "date-parts" : [ [ "2005", "4" ] ] }, "language" : "eng", "page" : "227-230", "publisher-place" : "United States", "title" : "Production of C-reactive protein in Escherichia coli-infected patients with liver dysfunction due to liver cirrhosis.", "type" : "article-journal", "volume" : "51" }, "uris" : [ "http://www.mendeley.com/documents/?uuid=93bd4ff2-3951-4f9c-b223-168c62c04708" ] }, { "id" : "ITEM-2", "itemData" : { "ISSN" : "1108-7471 (Print)", "PMID" : "24733601", "abstract" : "In the general population, C-reactive protein (CRP) level increases in the presence of acute or chronic inflammation and infections. In patients with cirrhosis, the basal level is higher than in patients without cirrhosis, due to chronic hepatic and other inflammation, but when infection occurs the more severe the underlying liver dysfunction, the lower the increase in CRP. Therefore, the predictive power of CRP for infection and prognosis is weak in patients with decompensated/advanced cirrhosis and in the intensive care setting. However, higher CRP and also persistently elevated CRP levels can help identify patients with a higher short-term risk of mortality.", "author" : [ { "dropping-particle" : "", "family" : "Pieri", "given" : "Giulia", "non-dropping-particle" : "", "parse-names" : false, "suffix" : "" }, { "dropping-particle" : "", "family" : "Agarwal", "given" : "Banwari", "non-dropping-particle" : "", "parse-names" : false, "suffix" : "" }, { "dropping-particle" : "", "family" : "Burroughs", "given" : "Andrew K", "non-dropping-particle" : "", "parse-names" : false, "suffix" : "" } ], "container-title" : "Annals of gastroenterology : quarterly publication of the Hellenic Society of Gastroenterology", "id" : "ITEM-2", "issue" : "2", "issued" : { "date-parts" : [ [ "2014" ] ] }, "language" : "ENG", "page" : "113-120", "title" : "C-reactive protein and bacterial infection in cirrhosis.", "type" : "article", "volume" : "27" }, "uris" : [ "http://www.mendeley.com/documents/?uuid=d5703934-3965-4e03-9df6-3f39d0f25354" ] } ], "mendeley" : { "formattedCitation" : "&lt;sup&gt;[5,10]&lt;/sup&gt;", "plainTextFormattedCitation" : "[5,10]", "previouslyFormattedCitation" : "&lt;sup&gt;[5,10]&lt;/sup&gt;" }, "properties" : { "noteIndex" : 0 }, "schema" : "https://github.com/citation-style-language/schema/raw/master/csl-citation.json" }</w:instrText>
      </w:r>
      <w:r w:rsidRPr="00664A42">
        <w:rPr>
          <w:rFonts w:ascii="Book Antiqua" w:eastAsiaTheme="minorEastAsia" w:hAnsi="Book Antiqua" w:cs="Arial"/>
          <w:lang w:val="en-US" w:eastAsia="en-US"/>
        </w:rPr>
        <w:fldChar w:fldCharType="separate"/>
      </w:r>
      <w:r w:rsidRPr="00664A42">
        <w:rPr>
          <w:rFonts w:ascii="Book Antiqua" w:eastAsiaTheme="minorEastAsia" w:hAnsi="Book Antiqua" w:cs="Arial"/>
          <w:noProof/>
          <w:vertAlign w:val="superscript"/>
          <w:lang w:val="en-US" w:eastAsia="en-US"/>
        </w:rPr>
        <w:t>[5,10]</w:t>
      </w:r>
      <w:r w:rsidRPr="00664A42">
        <w:rPr>
          <w:rFonts w:ascii="Book Antiqua" w:eastAsiaTheme="minorEastAsia" w:hAnsi="Book Antiqua" w:cs="Arial"/>
          <w:lang w:val="en-US" w:eastAsia="en-US"/>
        </w:rPr>
        <w:fldChar w:fldCharType="end"/>
      </w:r>
      <w:r w:rsidRPr="00664A42">
        <w:rPr>
          <w:rFonts w:ascii="Book Antiqua" w:eastAsiaTheme="minorEastAsia" w:hAnsi="Book Antiqua" w:cs="Arial"/>
          <w:lang w:val="en-US" w:eastAsia="en-US"/>
        </w:rPr>
        <w:t xml:space="preserve">. </w:t>
      </w:r>
    </w:p>
    <w:p w:rsidR="000A103F" w:rsidRPr="00664A42" w:rsidRDefault="000A103F" w:rsidP="003B01FB">
      <w:pPr>
        <w:widowControl w:val="0"/>
        <w:autoSpaceDE w:val="0"/>
        <w:autoSpaceDN w:val="0"/>
        <w:adjustRightInd w:val="0"/>
        <w:spacing w:line="360" w:lineRule="auto"/>
        <w:ind w:firstLine="720"/>
        <w:jc w:val="both"/>
        <w:rPr>
          <w:rFonts w:ascii="Book Antiqua" w:eastAsiaTheme="minorEastAsia" w:hAnsi="Book Antiqua"/>
          <w:lang w:val="en-GB" w:eastAsia="en-US"/>
        </w:rPr>
      </w:pPr>
      <w:r w:rsidRPr="00664A42">
        <w:rPr>
          <w:rFonts w:ascii="Book Antiqua" w:hAnsi="Book Antiqua"/>
          <w:lang w:val="en-GB"/>
        </w:rPr>
        <w:t xml:space="preserve">It is acknowledged, that level of certain APPs are different according to the pathogens causing infections, while others are not. In a landmark study of </w:t>
      </w:r>
      <w:r w:rsidR="00664A42" w:rsidRPr="00743A2B">
        <w:rPr>
          <w:rFonts w:ascii="Book Antiqua" w:hAnsi="Book Antiqua"/>
          <w:lang w:val="en-GB"/>
        </w:rPr>
        <w:t>Angeletti</w:t>
      </w:r>
      <w:r w:rsidR="00664A42" w:rsidRPr="00664A42">
        <w:rPr>
          <w:rFonts w:ascii="Book Antiqua" w:hAnsi="Book Antiqua" w:hint="eastAsia"/>
          <w:i/>
          <w:lang w:val="en-GB" w:eastAsia="zh-CN"/>
        </w:rPr>
        <w:t xml:space="preserve"> </w:t>
      </w:r>
      <w:r w:rsidRPr="00664A42">
        <w:rPr>
          <w:rFonts w:ascii="Book Antiqua" w:hAnsi="Book Antiqua"/>
          <w:i/>
          <w:lang w:val="en-GB"/>
        </w:rPr>
        <w:t>et al</w:t>
      </w:r>
      <w:r w:rsidR="00664A42" w:rsidRPr="00664A42">
        <w:rPr>
          <w:rFonts w:ascii="Book Antiqua" w:hAnsi="Book Antiqua"/>
          <w:lang w:val="en-GB"/>
        </w:rPr>
        <w:fldChar w:fldCharType="begin" w:fldLock="1"/>
      </w:r>
      <w:r w:rsidR="00664A42" w:rsidRPr="00664A42">
        <w:rPr>
          <w:rFonts w:ascii="Book Antiqua" w:hAnsi="Book Antiqua"/>
          <w:lang w:val="en-GB"/>
        </w:rPr>
        <w:instrText>ADDIN CSL_CITATION { "citationItems" : [ { "id" : "ITEM-1", "itemData" : { "DOI" : "10.1111/apm.12406", "ISSN" : "1600-0463 (Electronic)", "PMID" : "26058482", "abstract" : "Rapid diagnosis of bacterial infections is crucial for adequate antibiotic treatment. Serum molecules such as Procalcitonin (PCT) have been used as biomarkers of infection. Recently, the mid-regional pro-Adrenomedullin (MR-proADM) has been evaluated in combination with PCT for sepsis diagnosis. The diagnostic role of PCT and MR-proADM both in sepsis and in localized infections together with their contribution to effective antibiotic therapy has been evaluated. One hundred and eighty-two patients with bacterial infection has been enrolled: PCT and MR-proADM were measured at admission (T = 0), at 12-24 h (T = 1) and in the third or fifth day of antibiotic therapy (T = 3-5). ROC curve (receiver operating characteristic) and post-test probability were calculated. MR-proADM increased with the severity of the infection. PCT resulted significantly higher in sepsis than localized infection. After antibiotic therapy, PCT significantly decreased in localized respiratory infections and in sepsis, while MR-proADM decreased significantly after antibiotic therapy only in patients with severe sepsis/septic shock. The threshold values of PCT and MR-proADM were &gt;0.1 ng/mL and &gt;0.8 nmol/L, respectively. The combined use of PCT and MR-proADM increased the post-test probability of the diagnosis of bacterial infections compared to PCT alone. In conclusion, PCT and MR-proADM combination improves the diagnosis of bacterial infection and contribute to prognosis and antibiotic therapy effectiveness.", "author" : [ { "dropping-particle" : "", "family" : "Angeletti", "given" : "Silvia", "non-dropping-particle" : "", "parse-names" : false, "suffix" : "" }, { "dropping-particle" : "", "family" : "Spoto", "given" : "Silvia", "non-dropping-particle" : "", "parse-names" : false, "suffix" : "" }, { "dropping-particle" : "", "family" : "Fogolari", "given" : "Marta", "non-dropping-particle" : "", "parse-names" : false, "suffix" : "" }, { "dropping-particle" : "", "family" : "Cortigiani", "given" : "Marco", "non-dropping-particle" : "", "parse-names" : false, "suffix" : "" }, { "dropping-particle" : "", "family" : "Fioravanti", "given" : "Marta", "non-dropping-particle" : "", "parse-names" : false, "suffix" : "" }, { "dropping-particle" : "", "family" : "Florio", "given" : "Lucia", "non-dropping-particle" : "De", "parse-names" : false, "suffix" : "" }, { "dropping-particle" : "", "family" : "Curcio", "given" : "Brunella", "non-dropping-particle" : "", "parse-names" : false, "suffix" : "" }, { "dropping-particle" : "", "family" : "Cavalieri", "given" : "Danilo", "non-dropping-particle" : "", "parse-names" : false, "suffix" : "" }, { "dropping-particle" : "", "family" : "Costantino", "given" : "Sebastiano", "non-dropping-particle" : "", "parse-names" : false, "suffix" : "" }, { "dropping-particle" : "", "family" : "Dicuonzo", "given" : "Giordano", "non-dropping-particle" : "", "parse-names" : false, "suffix" : "" } ], "container-title" : "APMIS : acta pathologica, microbiologica, et immunologica Scandinavica", "id" : "ITEM-1", "issue" : "9", "issued" : { "date-parts" : [ [ "2015", "9" ] ] }, "language" : "eng", "page" : "740-748", "publisher-place" : "Denmark", "title" : "Diagnostic and prognostic role of procalcitonin (PCT) and MR-pro-Adrenomedullin (MR-proADM) in bacterial infections.", "type" : "article-journal", "volume" : "123" }, "uris" : [ "http://www.mendeley.com/documents/?uuid=859ddc36-bb64-40de-ba5b-c8adaf9bdf47" ] } ], "mendeley" : { "formattedCitation" : "&lt;sup&gt;[42]&lt;/sup&gt;", "plainTextFormattedCitation" : "[42]", "previouslyFormattedCitation" : "&lt;sup&gt;[42]&lt;/sup&gt;" }, "properties" : { "noteIndex" : 0 }, "schema" : "https://github.com/citation-style-language/schema/raw/master/csl-citation.json" }</w:instrText>
      </w:r>
      <w:r w:rsidR="00664A42" w:rsidRPr="00664A42">
        <w:rPr>
          <w:rFonts w:ascii="Book Antiqua" w:hAnsi="Book Antiqua"/>
          <w:lang w:val="en-GB"/>
        </w:rPr>
        <w:fldChar w:fldCharType="separate"/>
      </w:r>
      <w:r w:rsidR="00664A42" w:rsidRPr="00664A42">
        <w:rPr>
          <w:rFonts w:ascii="Book Antiqua" w:hAnsi="Book Antiqua"/>
          <w:noProof/>
          <w:vertAlign w:val="superscript"/>
          <w:lang w:val="en-GB"/>
        </w:rPr>
        <w:t>[42]</w:t>
      </w:r>
      <w:r w:rsidR="00664A42" w:rsidRPr="00664A42">
        <w:rPr>
          <w:rFonts w:ascii="Book Antiqua" w:hAnsi="Book Antiqua"/>
          <w:lang w:val="en-GB"/>
        </w:rPr>
        <w:fldChar w:fldCharType="end"/>
      </w:r>
      <w:r w:rsidR="00664A42" w:rsidRPr="00664A42">
        <w:rPr>
          <w:rFonts w:ascii="Book Antiqua" w:hAnsi="Book Antiqua" w:hint="eastAsia"/>
          <w:lang w:val="en-GB" w:eastAsia="zh-CN"/>
        </w:rPr>
        <w:t xml:space="preserve"> </w:t>
      </w:r>
      <w:r w:rsidRPr="00664A42">
        <w:rPr>
          <w:rFonts w:ascii="Book Antiqua" w:hAnsi="Book Antiqua"/>
          <w:lang w:val="en-GB"/>
        </w:rPr>
        <w:t>level of PCT and mid-regional pro-adrenomedullin (</w:t>
      </w:r>
      <w:r w:rsidRPr="00664A42">
        <w:rPr>
          <w:rFonts w:ascii="Book Antiqua" w:hAnsi="Book Antiqua"/>
        </w:rPr>
        <w:t>MR-proADM)</w:t>
      </w:r>
      <w:r w:rsidRPr="00664A42">
        <w:rPr>
          <w:rFonts w:ascii="Book Antiqua" w:hAnsi="Book Antiqua"/>
          <w:lang w:val="en-GB"/>
        </w:rPr>
        <w:t xml:space="preserve"> were found to be significantly higher in patients with sepsis caused by Gram-negative than Gram-positive strains. These data are also confirmed by other studies</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"10.1155/2015/701480", "ISSN" : "1875-8630 (Electronic)", "PMID" : "25852221", "abstract" : "Procalcitonin (PCT) can discriminate bacterial from viral systemic infections and true bacteremia from contaminated blood cultures. The aim of this study was to evaluate PCT diagnostic accuracy in discriminating Gram-positive, Gram-negative, and fungal bloodstream infections. A total of 1,949 samples from patients with suspected bloodstream infections were included in the study. Median PCT value in Gram-negative (13.8 ng/mL, interquartile range (IQR) 3.4-44.1) bacteremias was significantly higher than in Gram-positive (2.1 ng/mL, IQR 0.6-7.6) or fungal (0.5 ng/mL, IQR 0.4-1) infections (P &lt; 0.0001). Receiver operating characteristic analysis showed an area under the curve (AUC) for PCT of 0.765 (95% CI 0.725-0.805, P &lt; 0.0001) in discriminating Gram-negatives from Gram-positives at the best cut-off value of 10.8 ng/mL and an AUC of 0.944 (95% CI 0.919-0.969, P &lt; 0.0001) in discriminating Gram-negatives from fungi at the best cut-off of 1.6 ng/mL. Additional results showed a significant difference in median PCT values between Enterobacteriaceae and nonfermentative Gram-negative bacteria (17.1 ng/mL, IQR 5.9-48.5 versus 3.5 ng/mL, IQR 0.8-21.5; P &lt; 0.0001). This study suggests that PCT may be of value to distinguish Gram-negative from Gram-positive and fungal bloodstream infections. Nevertheless, its utility to predict different microorganisms needs to be assessed in further studies.", "author" : [ { "dropping-particle" : "", "family" : "Leli", "given" : "Christian", "non-dropping-particle" : "", "parse-names" : false, "suffix" : "" }, { "dropping-particle" : "", "family" : "Ferranti", "given" : "Marta", "non-dropping-particle" : "", "parse-names" : false, "suffix" : "" }, { "dropping-particle" : "", "family" : "Moretti", "given" : "Amedeo", "non-dropping-particle" : "", "parse-names" : false, "suffix" : "" }, { "dropping-particle" : "", "family" : "Dhahab", "given" : "Zainab Salim", "non-dropping-particle" : "Al", "parse-names" : false, "suffix" : "" }, { "dropping-particle" : "", "family" : "Cenci", "given" : "Elio", "non-dropping-particle" : "", "parse-names" : false, "suffix" : "" }, { "dropping-particle" : "", "family" : "Mencacci", "given" : "Antonella", "non-dropping-particle" : "", "parse-names" : false, "suffix" : "" } ], "container-title" : "Disease markers", "id" : "ITEM-1", "issued" : { "date-parts" : [ [ "2015" ] ] }, "language" : "eng", "page" : "701480", "publisher-place" : "United States", "title" : "Procalcitonin levels in gram-positive, gram-negative, and fungal bloodstream infections.", "type" : "article-journal", "volume" : "2015" }, "uris" : [ "http://www.mendeley.com/documents/?uuid=1a4ea3c9-2942-4480-84bc-98a03010f772" ] }, { "id" : "ITEM-2", "itemData" : { "DOI" : "10.1007/s10238-012-0191-8", "ISSN" : "1591-9528 (Electronic)", "PMID" : "22644264", "abstract" : "Procalcitonin (PCT) levels can distinguish between infectious and non-infectious  systemic inflammatory response. However, there are some differences between Gram-negative (G-), Gram-positive (G+), and fungal bloodstream infections, particularly in different cytokine profiles, severity and mortality. The aim of current study was to examine whether PCT levels can serve as a distinguishing mark between G+, G-, and fungal sepsis as well. One hundred and sixty-six septic patients with positive blood cultures were examined on C-reactive protein (CRP) and PCT on the same date of blood culture evaluation. The median (interquartile range, IQR) of CRP and PCT in G+, G-, and fungal cohorts and comparison of measured values between groups were made using the Kruskal-Wallis test with subsequent Bonferroni's corrections, with p &lt; 0.05. In 83/166 (50 %) of blood cultures, G+ microbes, 78/166 (47 %) G- rods, and 5/166 (3 %) fungi were detected. PCT concentrations (ng/ml) were significantly higher in G- compared to other cohorts: 8.90 (1.88; 32.60) in G-, 0.73 (0.22; 3.40) in G+, and 0.58 (0.35; 0.73) in fungi (p &lt; 0.00001). CRP concentrations did not differ significantly in groups. Significantly higher PCT levels could differentiate G- sepsis from G+ and fungemia. In contrast to CRP, PCT is a good discriminative biomarker in different bloodstream infections.", "author" : [ { "dropping-particle" : "", "family" : "Brodska", "given" : "Helena", "non-dropping-particle" : "", "parse-names" : false, "suffix" : "" }, { "dropping-particle" : "", "family" : "Malickova", "given" : "Karin", "non-dropping-particle" : "", "parse-names" : false, "suffix" : "" }, { "dropping-particle" : "", "family" : "Adamkova", "given" : "Vaclava", "non-dropping-particle" : "", "parse-names" : false, "suffix" : "" }, { "dropping-particle" : "", "family" : "Benakova", "given" : "Hana", "non-dropping-particle" : "", "parse-names" : false, "suffix" : "" }, { "dropping-particle" : "", "family" : "Stastna", "given" : "Marketa Markova", "non-dropping-particle" : "", "parse-names" : false, "suffix" : "" }, { "dropping-particle" : "", "family" : "Zima", "given" : "Tomas", "non-dropping-particle" : "", "parse-names" : false, "suffix" : "" } ], "container-title" : "Clinical and experimental medicine", "id" : "ITEM-2", "issue" : "3", "issued" : { "date-parts" : [ [ "2013", "8" ] ] }, "language" : "eng", "page" : "165-170", "publisher-place" : "Italy", "title" : "Significantly higher procalcitonin levels could differentiate Gram-negative sepsis from Gram-positive and fungal sepsis.", "type" : "article-journal", "volume" : "13" }, "uris" : [ "http://www.mendeley.com/documents/?uuid=4e627687-9bdd-4cdf-b3b1-45dfb850b71b" ] }, { "id" : "ITEM-3", "itemData" : { "DOI" : "10.1186/1471-2334-8-38", "ISSN" : "1471-2334 (Electronic)", "PMID" : "18366777", "abstract" : "BACKGROUND: In the ICU, bacteremia is a life-threatening infection whose prognosis is highly dependent on early recognition and treatment with appropriate antibiotics. Procalcitonin levels have been shown to distinguish between bacteremia and noninfectious inflammatory states accurately and quickly in critically ill patients. However, we still do not know to what extent the magnitude of PCT elevation at the onset of bacteremia varies according to the Gram stain result. METHODS: Review of the medical records of every patient treated between May, 2004 and December, 2006 who had bacteremia caused by either Gram positive (GP) or Gram negative (GN) bacteria, and whose PCT dosage at the onset of infection was available. RESULTS: 97 episodes of either GN bacteremia (n = 52) or GP bacteremia (n = 45) were included. Procalcitonin levels were found to be markedly higher in patients with GN bacteremia than in those with GP bacteremia, whereas the SOFA score value in the two groups was similar. Moreover, in the study population, a high PCT value was found to be independently associated with GN bacteremia. A PCT level of 16.0 ng/mL yielded an 83.0% positive predictive value and a 74.0% negative predictive value for GN-related bacteremia in the study cohort (AUROCC = 0.79; 95% CI, 0.71-0.88). CONCLUSION: In a critically ill patient with clinical sepsis, GN bacteremia could be associated with higher PCT values than those found in GP bacteremia, regardless of the severity of the disease.", "author" : [ { "dropping-particle" : "", "family" : "Charles", "given" : "Pierre Emmanuel", "non-dropping-particle" : "", "parse-names" : false, "suffix" : "" }, { "dropping-particle" : "", "family" : "Ladoire", "given" : "Sylvain", "non-dropping-particle" : "", "parse-names" : false, "suffix" : "" }, { "dropping-particle" : "", "family" : "Aho", "given" : "Serge", "non-dropping-particle" : "", "parse-names" : false, "suffix" : "" }, { "dropping-particle" : "", "family" : "Quenot", "given" : "Jean-Pierre", "non-dropping-particle" : "", "parse-names" : false, "suffix" : "" }, { "dropping-particle" : "", "family" : "Doise", "given" : "Jean-Marc", "non-dropping-particle" : "", "parse-names" : false, "suffix" : "" }, { "dropping-particle" : "", "family" : "Prin", "given" : "Sebastien", "non-dropping-particle" : "", "parse-names" : false, "suffix" : "" }, { "dropping-particle" : "", "family" : "Olsson", "given" : "Niels-Olivier", "non-dropping-particle" : "", "parse-names" : false, "suffix" : "" }, { "dropping-particle" : "", "family" : "Blettery", "given" : "Bernard", "non-dropping-particle" : "", "parse-names" : false, "suffix" : "" } ], "container-title" : "BMC infectious diseases", "id" : "ITEM-3", "issued" : { "date-parts" : [ [ "2008" ] ] }, "language" : "eng", "page" : "38", "publisher-place" : "England", "title" : "Serum procalcitonin elevation in critically ill patients at the onset of bacteremia caused by either Gram negative or Gram positive bacteria.", "type" : "article-journal", "volume" : "8" }, "uris" : [ "http://www.mendeley.com/documents/?uuid=431370d2-22ea-4e1b-b724-657d1cbb7fbd" ] } ], "mendeley" : { "formattedCitation" : "&lt;sup&gt;[43\u201345]&lt;/sup&gt;", "plainTextFormattedCitation" : "[43\u201345]", "previouslyFormattedCitation" : "&lt;sup&gt;[43\u201345]&lt;/sup&gt;"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[43–45]</w:t>
      </w:r>
      <w:r w:rsidRPr="00664A42">
        <w:rPr>
          <w:rFonts w:ascii="Book Antiqua" w:hAnsi="Book Antiqua"/>
          <w:lang w:val="en-GB"/>
        </w:rPr>
        <w:fldChar w:fldCharType="end"/>
      </w:r>
      <w:r w:rsidRPr="00664A42">
        <w:rPr>
          <w:rFonts w:ascii="Book Antiqua" w:hAnsi="Book Antiqua"/>
          <w:lang w:val="en-GB"/>
        </w:rPr>
        <w:t xml:space="preserve">. Some reports also highlighted differences in circulating cytokine levels in bloodstream infections according to Gram specificity, </w:t>
      </w:r>
      <w:r w:rsidRPr="00664A42">
        <w:rPr>
          <w:rFonts w:ascii="Book Antiqua" w:hAnsi="Book Antiqua"/>
          <w:i/>
          <w:lang w:val="en-GB"/>
        </w:rPr>
        <w:t>i.e.</w:t>
      </w:r>
      <w:r w:rsidR="00664A42" w:rsidRPr="00664A42">
        <w:rPr>
          <w:rFonts w:ascii="Book Antiqua" w:hAnsi="Book Antiqua" w:hint="eastAsia"/>
          <w:i/>
          <w:lang w:val="en-GB" w:eastAsia="zh-CN"/>
        </w:rPr>
        <w:t>,</w:t>
      </w:r>
      <w:r w:rsidRPr="00664A42">
        <w:rPr>
          <w:rFonts w:ascii="Book Antiqua" w:hAnsi="Book Antiqua"/>
          <w:i/>
          <w:lang w:val="en-GB"/>
        </w:rPr>
        <w:t xml:space="preserve"> </w:t>
      </w:r>
      <w:r w:rsidRPr="00664A42">
        <w:rPr>
          <w:rFonts w:ascii="Book Antiqua" w:hAnsi="Book Antiqua"/>
          <w:lang w:val="en-GB"/>
        </w:rPr>
        <w:t>Gram-negative infections leaded to higher increase in the level of interleukin (IL)-6, TNF-alpha or IL-10</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"10.1007/s00134-012-2752-4", "ISSN" : "1432-1238 (Electronic)", "PMID" : "23179333", "abstract" : "PURPOSE: We performed a prospective study to evaluate the ability of inflammatory cytokines in discriminating gram-negative from gram-positive bacteremia in septic shock. METHODS: During the study period, the serum inflammatory cytokine levels were measured at the onset of septic shock by flow cytometry in pediatric hematology/oncology patients with septic shock. RESULTS: One hundred episodes of septic shock were enrolled. Of 97 episodes of monomicrobial infection, 73.2 % were caused by gram-negative bacteremia and 26.8 % by gram-positive bacteremia. Interleukin (IL)-6, IL-10, and tumor necrosis factor (TNF)-alpha were closely related to the pediatric index of mortality 2 (PIM2) score and mortality. However, although the PIM2 score and mortality were comparable, the IL-6, IL-10, and TNF-alpha levels were significantly higher in patients with gram-negative bacteremia (GNB) than those with gram-positive bacteremia (median levels, pg/mL: IL-6: 784.1 vs. 254.4, P = 0.001; IL-10: 192.2 vs. 19.7, P &lt; 0.001; TNF-alpha: 4.2 vs. 2.0, P &lt; 0.001). Of the three cytokines, IL-10 was the most useful biomarker for GNB prediction in the derivation cohort and a cutoff value of 50 pg/mL showed a sensitivity of 70.8 % and a specificity of 80.0 %, with a positive predictive value of 89.5 %. When this cutoff value was applied to the validation cohort, the sensitivity, specificity, and positive predictive value were 80.9, 75.0, and 90.5 %, respectively. CONCLUSIONS: Flow cytometry-based inflammatory cytokine measurement is a helpful adjuvant approach for early and quick discrimination of gram-negative from gram-positive bacteremia in pediatric hematology/oncology patients with septic shock which might be useful for evaluating the severity of shock and the selection and/or timely withdrawal or switch of antibiotics.", "author" : [ { "dropping-particle" : "", "family" : "Xu", "given" : "Xiao-Jun", "non-dropping-particle" : "", "parse-names" : false, "suffix" : "" }, { "dropping-particle" : "", "family" : "Tang", "given" : "Yong-Min", "non-dropping-particle" : "", "parse-names" : false, "suffix" : "" }, { "dropping-particle" : "", "family" : "Liao", "given" : "Chan", "non-dropping-particle" : "", "parse-names" : false, "suffix" : "" }, { "dropping-particle" : "", "family" : "Song", "given" : "Hua", "non-dropping-particle" : "", "parse-names" : false, "suffix" : "" }, { "dropping-particle" : "", "family" : "Yang", "given" : "Shi-Long", "non-dropping-particle" : "", "parse-names" : false, "suffix" : "" }, { "dropping-particle" : "", "family" : "Xu", "given" : "Wei-Qun", "non-dropping-particle" : "", "parse-names" : false, "suffix" : "" }, { "dropping-particle" : "", "family" : "Shi", "given" : "Shu-Wen", "non-dropping-particle" : "", "parse-names" : false, "suffix" : "" }, { "dropping-particle" : "", "family" : "Zhao", "given" : "Ning", "non-dropping-particle" : "", "parse-names" : false, "suffix" : "" } ], "container-title" : "Intensive care medicine", "id" : "ITEM-1", "issue" : "2", "issued" : { "date-parts" : [ [ "2013", "2" ] ] }, "language" : "eng", "page" : "319-326", "publisher-place" : "United States", "title" : "Inflammatory cytokine measurement quickly discriminates gram-negative from gram-positive bacteremia in pediatric hematology/oncology patients with septic shock.", "type" : "article-journal", "volume" : "39" }, "uris" : [ "http://www.mendeley.com/documents/?uuid=4399ba79-5c2a-4a30-a60a-de00d74f4aca" ] } ], "mendeley" : { "formattedCitation" : "&lt;sup&gt;[46]&lt;/sup&gt;", "plainTextFormattedCitation" : "[46]", "previouslyFormattedCitation" : "&lt;sup&gt;[46]&lt;/sup&gt;"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[46]</w:t>
      </w:r>
      <w:r w:rsidRPr="00664A42">
        <w:rPr>
          <w:rFonts w:ascii="Book Antiqua" w:hAnsi="Book Antiqua"/>
          <w:lang w:val="en-GB"/>
        </w:rPr>
        <w:fldChar w:fldCharType="end"/>
      </w:r>
      <w:r w:rsidRPr="00664A42">
        <w:rPr>
          <w:rFonts w:ascii="Book Antiqua" w:hAnsi="Book Antiqua"/>
          <w:lang w:val="en-GB"/>
        </w:rPr>
        <w:t xml:space="preserve">. On the contrary, levels of other APPs, such as C-reactive protein, soluble (s)CD14, sCD163 or </w:t>
      </w:r>
      <w:r w:rsidRPr="00664A42">
        <w:rPr>
          <w:rFonts w:ascii="Book Antiqua" w:hAnsi="Book Antiqua" w:cs="Arial"/>
          <w:lang w:val="en-GB"/>
        </w:rPr>
        <w:t xml:space="preserve">soluble urokinase plasminogen activator receptor (SuPAR) </w:t>
      </w:r>
      <w:r w:rsidRPr="00664A42">
        <w:rPr>
          <w:rFonts w:ascii="Book Antiqua" w:hAnsi="Book Antiqua"/>
          <w:lang w:val="en-GB"/>
        </w:rPr>
        <w:t>are not in relation with the Gram specificity of the infection</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"10.1111/j.1365-2796.2011.02363.x", "ISSN" : "1365-2796 (Electronic)", "PMID" : "21332843", "abstract" : "OBJECTIVES: Urokinase-type plasminogen activator receptor (uPAR) is expressed on  a variety of different immune cells and vascular endothelial cells during inflammation. Previous studies indicate that a high plasma concentration of the soluble form of the receptor (suPAR) predicts poor outcome in infectious diseases. DESIGN: A prospective cohort study. SUBJECTS AND METHODS: Plasma suPAR levels were measured in 132 patients with bacteraemia caused by Staphylococcus aureus, Streptococcus pneumoniae, ss-haemolytic streptococcae or Escherichia coli using a commercial enzyme-linked immunosorbent assay (ELISA). Values were measured on days 1-4 after a positive blood culture, on days 13-18 and on recovery. RESULTS: The maximum suPAR values on days 1-4 were markedly higher in nonsurvivors compared to survivors (15.8 vs. 7.3 ng mL(-1) , P &lt; 0.001) and the area under the receiver operating characteristic curve (AUC(ROC) ) in the prediction of case fatality was 0.84 (95% confidence interval (CI) 0.76-0.93, P &lt; 0.001). At a cut-off level of 11.0 ng mL(-1) , the sensitivity and specificity of suPAR for fatal disease was 83% and 76%, respectively. A high level of suPAR (&gt;/= 11 ng mL(-1) ) was associated with hypotension (mean arterial pressure &lt; 70 mmHg) (odds ratio (OR) 6.5; 95% CI 2.9-14.6) and high sequential organ failure assessment score (&gt;/= 4) (OR 9.3; 95% CI 4.0-21.9). A high suPAR level remained an independent risk factor for case fatality in a logistic regression model adjusted for potential confounders. CONCLUSION: Plasma suPAR level is a sensitive and specific independent prognostic biomarker in patients with bacteraemia.", "author" : [ { "dropping-particle" : "", "family" : "Huttunen", "given" : "R", "non-dropping-particle" : "", "parse-names" : false, "suffix" : "" }, { "dropping-particle" : "", "family" : "Syrjanen", "given" : "J", "non-dropping-particle" : "", "parse-names" : false, "suffix" : "" }, { "dropping-particle" : "", "family" : "Vuento", "given" : "R", "non-dropping-particle" : "", "parse-names" : false, "suffix" : "" }, { "dropping-particle" : "", "family" : "Hurme", "given" : "M", "non-dropping-particle" : "", "parse-names" : false, "suffix" : "" }, { "dropping-particle" : "", "family" : "Huhtala", "given" : "H", "non-dropping-particle" : "", "parse-names" : false, "suffix" : "" }, { "dropping-particle" : "", "family" : "Laine", "given" : "J", "non-dropping-particle" : "", "parse-names" : false, "suffix" : "" }, { "dropping-particle" : "", "family" : "Pessi", "given" : "T", "non-dropping-particle" : "", "parse-names" : false, "suffix" : "" }, { "dropping-particle" : "", "family" : "Aittoniemi", "given" : "J", "non-dropping-particle" : "", "parse-names" : false, "suffix" : "" } ], "container-title" : "Journal of internal medicine", "id" : "ITEM-1", "issue" : "1", "issued" : { "date-parts" : [ [ "2011", "7" ] ] }, "language" : "eng", "page" : "32-40", "publisher-place" : "England", "title" : "Plasma level of soluble urokinase-type plasminogen activator receptor as a predictor of disease severity and case fatality in patients with bacteraemia: a prospective cohort study.", "type" : "article-journal", "volume" : "270" }, "uris" : [ "http://www.mendeley.com/documents/?uuid=3f34ab1d-b079-4ca2-925f-96fa72b0c391" ] }, { "id" : "ITEM-2", "itemData" : { "DOI" : "10.1111/j.1365-2249.2007.03586.x", "ISSN" : "1365-2249 (Electronic)", "PMID" : "18190604", "abstract" : "High mobility group-box 1 protein (HMGB1) is a late-onset proinflammatory cytokine. Soluble haemoglobin scavenger receptor (sCD163) is a specific marker of anti-inflammatory macrophages. The study purpose was to relate the levels of these new markers in bactaeremic patients to levels of well-known pro- and anti-inflammatory markers [procalcitonin, lipopolysaccharide (LPS)-binding protein, interleukin (IL)-6, IL-10] and to evaluate the levels in relation to disease severity and aetiology. A total of 110 patients with bacteraemia were included in a prospective manner from the medical department at a large Danish university hospital. Levels of HMGB1 and sCD163 were higher in patients with bacteraemia compared to controls (P &lt; 0.001). HMGB1 correlated with proinflammatory molecules [procalcitonin (PCT)] and traditional infectious parameters [C-reactive proteins (CRP), white blood cells (WBC) and neutrophils], whereas sCD163 correlated with levels of IL-6, IL-10 but not to lipopolysaccharide-binding protein (LBP), PCT or CRP. Levels of sCD163 and IL-6 were significantly higher among non-survivors compared to survivors (P &lt; 0.05). Neither HMGB1 nor any of the proinflammatory markers were elevated in fatal cases compared to survivors. There was no statistically significant difference in HMGB1 and sCD163 levels in Gram-negative versus Gram-positive bacteraemia. HMGB1 reflects proinflammatory processes, whereas sCD163 reflects anti-inflammatory processes as judged by correlations with traditional marker molecules. sCD163 and IL-6, but not HMGB1, were prognostic markers in this cohort pointing to an anti-inflammatory predominance in patients with fatal disease outcome.", "author" : [ { "dropping-particle" : "", "family" : "Gaini", "given" : "S", "non-dropping-particle" : "", "parse-names" : false, "suffix" : "" }, { "dropping-particle" : "", "family" : "Pedersen", "given" : "S S", "non-dropping-particle" : "", "parse-names" : false, "suffix" : "" }, { "dropping-particle" : "", "family" : "Koldkaer", "given" : "O G", "non-dropping-particle" : "", "parse-names" : false, "suffix" : "" }, { "dropping-particle" : "", "family" : "Pedersen", "given" : "C", "non-dropping-particle" : "", "parse-names" : false, "suffix" : "" }, { "dropping-particle" : "", "family" : "Moestrup", "given" : "S K", "non-dropping-particle" : "", "parse-names" : false, "suffix" : "" }, { "dropping-particle" : "", "family" : "Moller", "given" : "H J", "non-dropping-particle" : "", "parse-names" : false, "suffix" : "" } ], "container-title" : "Clinical and experimental immunology", "id" : "ITEM-2", "issue" : "3", "issued" : { "date-parts" : [ [ "2008", "3" ] ] }, "language" : "eng", "page" : "423-431", "publisher-place" : "England", "title" : "New immunological serum markers in bacteraemia: anti-inflammatory soluble CD163,  but not proinflammatory high mobility group-box 1 protein, is related to prognosis.", "type" : "article-journal", "volume" : "151" }, "uris" : [ "http://www.mendeley.com/documents/?uuid=bcb5bb16-a5ed-49bf-9c63-2ece3d7d59ab" ] }, { "id" : "ITEM-3", "itemData" : { "ISSN" : "0090-1229 (Print)", "PMID" : "8811052", "abstract" : "Increased serum sCD14 concentrations are associated with poor outcome in Gram-negative sepsis and trauma patients. In the present study serum sCD14 concentrations were measured in patients with Gram-positive sepsis and compared with Gram-negative septic and nonseptic intensive care unit patients. Furthermore, serum sCD14 concentration was correlated with patient's outcome. Serum samples of 28 Gram-positive (8 nonsurvivors/20 survivors) and 10 Gram-negative bacteriemic patients (3 nonsurvivors/7 survivors) were obtained at the day they met the sepsis criteria defined by Bone et al. (Day 0) and at Days 4 and 7 and compared with 10 nonseptic ICU patients and 10 healthy volunteers. Serum concentrations of sCD14 were measured by ELISA. Significantly higher sCD14 serum concentrations were found on Days 4 and 7 in Gram-positive nonsurvivors than in Gram-positive survivors (Day 4: 5.85 +/- 0.48 vs 4.07 +/- 0.43 microgram/ml, P &lt; 0.05; Day 7: 6.12 +/- 0.46 vs 3.53 +/- 0.33 microgram/ml, P &lt; 0.01). In addition, sCD14 concentrations of Gram-positive nonsurvivors were significantly higher than those of nonseptic ICU patients and healthy volunteers at any time of observation. However, no significant difference was calculated between Gram-positive and Gram-negative patients. Summarizing our results, the serum level of sCD14 could be proven to be a good prognostic marker in the course of Gram-positive sepsis. Increased levels are associated with a high mortality.", "author" : [ { "dropping-particle" : "", "family" : "Burgmann", "given" : "H", "non-dropping-particle" : "", "parse-names" : false, "suffix" : "" }, { "dropping-particle" : "", "family" : "Winkler", "given" : "S", "non-dropping-particle" : "", "parse-names" : false, "suffix" : "" }, { "dropping-particle" : "", "family" : "Locker", "given" : "G J", "non-dropping-particle" : "", "parse-names" : false, "suffix" : "" }, { "dropping-particle" : "", "family" : "Presterl", "given" : "E", "non-dropping-particle" : "", "parse-names" : false, "suffix" : "" }, { "dropping-particle" : "", "family" : "Laczika", "given" : "K", "non-dropping-particle" : "", "parse-names" : false, "suffix" : "" }, { "dropping-particle" : "", "family" : "Staudinger", "given" : "T", "non-dropping-particle" : "", "parse-names" : false, "suffix" : "" }, { "dropping-particle" : "", "family" : "Knapp", "given" : "S", "non-dropping-particle" : "", "parse-names" : false, "suffix" : "" }, { "dropping-particle" : "", "family" : "Thalhammer", "given" : "F", "non-dropping-particle" : "", "parse-names" : false, "suffix" : "" }, { "dropping-particle" : "", "family" : "Wenisch", "given" : "C", "non-dropping-particle" : "", "parse-names" : false, "suffix" : "" }, { "dropping-particle" : "", "family" : "Zedwitz-Liebenstein", "given" : "K", "non-dropping-particle" : "", "parse-names" : false, "suffix" : "" }, { "dropping-particle" : "", "family" : "Frass", "given" : "M", "non-dropping-particle" : "", "parse-names" : false, "suffix" : "" }, { "dropping-particle" : "", "family" : "Graninger", "given" : "W", "non-dropping-particle" : "", "parse-names" : false, "suffix" : "" } ], "container-title" : "Clinical immunology and immunopathology", "id" : "ITEM-3", "issue" : "3 Pt 1", "issued" : { "date-parts" : [ [ "1996", "9" ] ] }, "language" : "eng", "page" : "307-310", "publisher-place" : "UNITED STATES", "title" : "Increased serum concentration of soluble CD14 is a prognostic marker in gram-positive sepsis.", "type" : "article-journal", "volume" : "80" }, "uris" : [ "http://www.mendeley.com/documents/?uuid=c137fd8a-1379-4a7c-99db-02492dbd25b6" ] }, { "id" : "ITEM-4", "itemData" : { "DOI" : "10.1111/liv.13133", "ISSN" : "1478-3231 (Electronic)", "PMID" : "27031405", "abstract" : "BACKGROUND&amp;AIMS: Innate immune system dysfunction is common in advanced cirrhosis, with a central role of the monocyte/macrophage system. Monocytes and macrophages express the scavenger receptor CD163 which is regulated by inflammatory mediators. Cleavage of the receptor leads to formation of soluble (s)CD163, that represents anti-inflammatory response. We aimed to study the clinical importance of sCD163 in cirrhosis. METHODS: Sera of 378 patients were assayed for sCD163 by ELISA (193 outpatients and 185 patients with acute decompensation[AD]). A 5-year follow-up observational study was conducted to assess the possible association between sCD163 level and poor disease outcomes. RESULTS: sCD163 level was associated with disease severity, but not with the presence of varices or prior variceal bleeding. In outpatients, sCD163 level did not predict the development of disease-specific complications or the long-term mortality. In patients with AD episode, sCD163 level was significantly higher compared to outpatients but only in the presence of bacterial infection[INF] (AD-INF:4586, AD-NON-INF:3792 and outpatients: 3538ng/mL, p&lt;0.015 and p=0.001, respectively). sCD163 level gradually increased according to severity of infection. During bacterial infections, high sCD163 level(&gt;7000ng/mL) was associated with increased mortality rate (42% vs. 17%, p&lt;0.001) and was identified as an independent predictor of 28-day mortality (HR:2.96, 95%CI:1.27-6.95) in multivariate Cox-regression model comprising etiology, co-morbidity, MELD score and leukocyte count as covariates. CONCLUSIONS: High sCD163 level is useful to identify patients with high-risk of death during an AD episode complicated by bacterial infection. This finding serves as an additional hint towards the significance of anti-inflammatory response during bacterial infection. This article is protected by copyright. All rights reserved.", "author" : [ { "dropping-particle" : "", "family" : "Tornai", "given" : "Tamas", "non-dropping-particle" : "", "parse-names" : false, "suffix" : "" }, { "dropping-particle" : "", "family" : "Vitalis", "given" : "Zsuzsanna", "non-dropping-particle" : "", "parse-names" : false, "suffix" : "" }, { "dropping-particle" : "", "family" : "Sipeki", "given" : "Nora", "non-dropping-particle" : "", "parse-names" : false, "suffix" : "" }, { "dropping-particle" : "", "family" : "Dinya", "given" : "Tamas", "non-dropping-particle" : "", "parse-names" : false, "suffix" : "" }, { "dropping-particle" : "", "family" : "Tornai", "given" : "David", "non-dropping-particle" : "", "parse-names" : false, "suffix" : "" }, { "dropping-particle" : "", "family" : "Antal-Szalmas", "given" : "Peter", "non-dropping-particle" : "", "parse-names" : false, "suffix" : "" }, { "dropping-particle" : "", "family" : "Karanyi", "given" : "Zsolt", "non-dropping-particle" : "", "parse-names" : false, "suffix" : "" }, { "dropping-particle" : "", "family" : "Tornai", "given" : "Istvan", "non-dropping-particle" : "", "parse-names" : false, "suffix" : "" }, { "dropping-particle" : "", "family" : "Papp", "given" : "Maria", "non-dropping-particle" : "", "parse-names" : false, "suffix" : "" } ], "container-title" : "Liver international : official journal of the International Association for the Study of the Liver", "id" : "ITEM-4", "issued" : { "date-parts" : [ [ "2016", "3" ] ] }, "language" : "ENG", "title" : "Macrophage activation marker, soluble CD163 is an independent predictor of short-term mortality in patients with cirrhosis and bacterial infection.", "type" : "article-journal" }, "uris" : [ "http://www.mendeley.com/documents/?uuid=a4e1339c-1f42-4ab2-9e76-4dd7f5e5ded8" ] } ], "mendeley" : { "formattedCitation" : "&lt;sup&gt;[47\u201350]&lt;/sup&gt;", "plainTextFormattedCitation" : "[47\u201350]", "previouslyFormattedCitation" : "&lt;sup&gt;[47\u201350]&lt;/sup&gt;"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[47–50]</w:t>
      </w:r>
      <w:r w:rsidRPr="00664A42">
        <w:rPr>
          <w:rFonts w:ascii="Book Antiqua" w:hAnsi="Book Antiqua"/>
          <w:lang w:val="en-GB"/>
        </w:rPr>
        <w:fldChar w:fldCharType="end"/>
      </w:r>
      <w:r w:rsidRPr="00664A42">
        <w:rPr>
          <w:rFonts w:ascii="Book Antiqua" w:hAnsi="Book Antiqua"/>
          <w:lang w:val="en-GB"/>
        </w:rPr>
        <w:t xml:space="preserve">. In the present study, </w:t>
      </w:r>
      <w:r w:rsidRPr="00664A42">
        <w:rPr>
          <w:rFonts w:ascii="Book Antiqua" w:eastAsia="MS Mincho" w:hAnsi="Book Antiqua"/>
          <w:lang w:val="en-GB" w:eastAsia="en-US"/>
        </w:rPr>
        <w:t>presepsin level was not different according to Gram specificity of the infection, which is in agreement with previous literature findings</w:t>
      </w:r>
      <w:r w:rsidRPr="00664A42">
        <w:rPr>
          <w:rFonts w:ascii="Book Antiqua" w:eastAsia="MS Mincho" w:hAnsi="Book Antiqua"/>
          <w:lang w:val="en-GB" w:eastAsia="en-US"/>
        </w:rPr>
        <w:fldChar w:fldCharType="begin" w:fldLock="1"/>
      </w:r>
      <w:r w:rsidRPr="00664A42">
        <w:rPr>
          <w:rFonts w:ascii="Book Antiqua" w:eastAsia="MS Mincho" w:hAnsi="Book Antiqua"/>
          <w:lang w:val="en-GB" w:eastAsia="en-US"/>
        </w:rPr>
        <w:instrText>ADDIN CSL_CITATION { "citationItems" : [ { "id" : "ITEM-1", "itemData" : { "DOI" : "10.1007/s10156-012-0435-2", "ISSN" : "1437-7780 (Electronic)", "PMID" : "22692596", "abstract" : "The clinical usefulness of presepsin for discriminating between bacterial and nonbacterial infections (including systemic inflammatory response syndrome) was studied and compared with procalcitonin (PCT) and interleukin-6 (IL-6) in a multicenter prospective study. Suspected sepsis patients (n = 207) were enrolled into the study. Presepsin levels in patients with systemic bacterial infection and localized bacterial infection were significantly higher than in those with nonbacterial infections. In addition, presepsin, PCT, and IL-6 levels in patients with bacterial infectious disease were significantly higher than in those with nonbacterial infectious disease (P &lt; 0.0001, P &lt; 0.0001, and P &lt; 0.0001, respectively). The area under the receiver operating characteristic curve was 0.908 for presepsin, 0.905 for PCT, and 0.825 for IL-6 in patients with bacterial infectious disease and those with nonbacterial infectious disease. The cutoff value of presepsin for discrimination of bacterial and nonbacterial infectious diseases was determined to be 600 pg/ml, of which the clinical sensitivity and specificity were 87.8 % and 81.4 %, respectively. Presepsin levels did not differ significantly between patients with gram-positive and gram-negative bacterial infections. The sensitivity of blood culture was 35.4 %; that for presepsin was 91.9 %. Also there were no significant differences in presepsin levels between the blood culture-positive and -negative groups. Consequently, presepsin is useful for the diagnosis of sepsis, and it is superior to conventional markers and blood culture.", "author" : [ { "dropping-particle" : "", "family" : "Endo", "given" : "Shigeatsu", "non-dropping-particle" : "", "parse-names" : false, "suffix" : "" }, { "dropping-particle" : "", "family" : "Suzuki", "given" : "Yasushi", "non-dropping-particle" : "", "parse-names" : false, "suffix" : "" }, { "dropping-particle" : "", "family" : "Takahashi", "given" : "Gaku", "non-dropping-particle" : "", "parse-names" : false, "suffix" : "" }, { "dropping-particle" : "", "family" : "Shozushima", "given" : "Tatsuyori", "non-dropping-particle" : "", "parse-names" : false, "suffix" : "" }, { "dropping-particle" : "", "family" : "Ishikura", "given" : "Hiroyasu", "non-dropping-particle" : "", "parse-names" : false, "suffix" : "" }, { "dropping-particle" : "", "family" : "Murai", "given" : "Akira", "non-dropping-particle" : "", "parse-names" : false, "suffix" : "" }, { "dropping-particle" : "", "family" : "Nishida", "given" : "Takeshi", "non-dropping-particle" : "", "parse-names" : false, "suffix" : "" }, { "dropping-particle" : "", "family" : "Irie", "given" : "Yuhei", "non-dropping-particle" : "", "parse-names" : false, "suffix" : "" }, { "dropping-particle" : "", "family" : "Miura", "given" : "Masanao", "non-dropping-particle" : "", "parse-names" : false, "suffix" : "" }, { "dropping-particle" : "", "family" : "Iguchi", "given" : "Hironobu", "non-dropping-particle" : "", "parse-names" : false, "suffix" : "" }, { "dropping-particle" : "", "family" : "Fukui", "given" : "Yasuo", "non-dropping-particle" : "", "parse-names" : false, "suffix" : "" }, { "dropping-particle" : "", "family" : "Tanaka", "given" : "Kimiaki", "non-dropping-particle" : "", "parse-names" : false, "suffix" : "" }, { "dropping-particle" : "", "family" : "Nojima", "given" : "Tsuyoshi", "non-dropping-particle" : "", "parse-names" : false, "suffix" : "" }, { "dropping-particle" : "", "family" : "Okamura", "given" : "Yoshikazu", "non-dropping-particle" : "", "parse-names" : false, "suffix" : "" } ], "container-title" : "Journal of infection and chemotherapy : official journal of the Japan Society of  Chemotherapy", "id" : "ITEM-1", "issue" : "6", "issued" : { "date-parts" : [ [ "2012", "12" ] ] }, "language" : "eng", "page" : "891-897", "publisher-place" : "Japan", "title" : "Usefulness of presepsin in the diagnosis of sepsis in a multicenter prospective study.", "type" : "article-journal", "volume" : "18" }, "uris" : [ "http://www.mendeley.com/documents/?uuid=e2e18a0d-d622-4b5d-a480-03805c6e61d2" ] }, { "id" : "ITEM-2", "itemData" : { "DOI" : "10.1515/cclm-2015-0243", "ISSN" : "1437-4331 (Electronic)", "PMID" : "26083268", "abstract" : "BACKGROUND: Our objective is to analyze whether the combination of C-reactive protein (CRP), procalcitonin (PCT), presepsin or SCD14-ST and mid-regional pro-adrenomedullin (MR-proADM) measured in the first 24 h from ICU admission allowing a better management of septic patients (diagnostic and prognostic) both in severe sepsis (SS) and septic shock (SSh). METHODS: Cohort study of 388 patients admitted in the ICU during 12 months of whom 142 were controls. Biomarkers were measured through immunoluminometric assays in samples of serum or plasma within the first 24 h after admission. Data were evaluated with non-parametric statistics bivariant, ROC curve analysis for diagnostic evaluation and multivariate analyses for survival analysis. RESULTS: In the analyzed cohort, 61.8% of patients were males, mean age: 63 years range (18-90) and 67.8% in controls mean age: 63 years, range (39-91). PCT showed the highest area under the curve (AUC) (0.989) as compared with the rest of biomarkers (p&lt;0.01). PCT also enabled the difference between Gram-positive or Gram-negative bacteria to be determined. The AUCs for CRP (0.922) and presepsin (0.948) showed a similar diagnostic value. In cases of SSh, the AUC of presepsin experienced a noticeable increase (p&lt;0.0001). MR-proADM showed a better prognostic value (p=0.00022) particularly in cases of SSh (p=0.00001) increasing along with the APACHE-II score. CONCLUSIONS: PCT, MR-proADM and presepsin are complementary markers that could be of great help in the management of septic patients when they are measured in the first 24 h after ICU admission.", "author" : [ { "dropping-particle" : "", "family" : "Enguix-Armada", "given" : "Alfredo", "non-dropping-particle" : "", "parse-names" : false, "suffix" : "" }, { "dropping-particle" : "", "family" : "Escobar-Conesa", "given" : "Rocio", "non-dropping-particle" : "", "parse-names" : false, "suffix" : "" }, { "dropping-particle" : "", "family" : "Garcia-De La Torre", "given" : "Angela", "non-dropping-particle" : "", "parse-names" : false, "suffix" : "" }, { "dropping-particle" : "", "family" : "La Torre-Prados", "given" : "Maria Victoria", "non-dropping-particle" : "De", "parse-names" : false, "suffix" : "" } ], "container-title" : "Clinical chemistry and laboratory medicine", "id" : "ITEM-2", "issue" : "1", "issued" : { "date-parts" : [ [ "2016", "1" ] ] }, "language" : "eng", "page" : "163-168", "publisher-place" : "Germany", "title" : "Usefulness of several biomarkers in the management of septic patients: C-reactive protein, procalcitonin, presepsin and mid-regional pro-adrenomedullin.", "type" : "article-journal", "volume" : "54" }, "uris" : [ "http://www.mendeley.com/documents/?uuid=d3e5111c-c70a-4699-a479-0e2c40b7e8cf" ] }, { "id" : "ITEM-3", "itemData" : { "DOI" : "10.4149/neo_2016_512", "ISSN" : "0028-2685 (Print)", "PMID" : "27468879", "abstract" : "Bacterial infection is the most common complication in paediatric oncological patients during cancer treatment. A suitable tool for early prediction of unfavourable course of infection is still needed. We performed a prospective longitudinal observational study to evaluate of the role of serum biomarkers (C-reactive protein, procalcitonin, interleukin-6, presepsin) in the early diagnosis of bacteraemia (gram-negative versus gram-positive) in patients with haematological malignancies. We observed 69 febrile episodes in 33 patients (17 male, 16 female; 1.5-18.9 years, mean 7.31 years, median 5 years). Within this sample, there were 22 cases of positive blood cultures, 16 cases of sepsis, 38 cases of fever with no signs or symptoms of sepsis, and two deaths from infectious complications. All markers tested had good negative predictive value (73% - 93%). CRP was characterized by good specificity for registration bacteraemia (96%, 95% CI: 85% - 99%), but other results were inconclusive. We identified comparably balanced sensitivity (64% - 81%) and specificity (61% - 88%) for interleukin-6 and procalcitonin, and we proved their quality to predict positive blood culture and clinical signs of sepsis as well. Patients with gram-negative bacteraemia had significantly elevated levels of PCT and IL-6 in comparison with a group of patients with gram-positive bacteraemia (p = 0.04 for PCT and p = 0.005 for IL-6). Presepsin was characterized by poor specificity (27%, 95% CI: 15% - 43%) and positive predictive value (24%, 95% CI: 12 - 39%) for predicting bacteraemia, and by better sensitivity (84%, 95% CI: 55% - 98%) and specificity (58%, 95% CI: 42% - 73%) for predicting clinical signs of sepsis.", "author" : [ { "dropping-particle" : "", "family" : "Plesko", "given" : "M", "non-dropping-particle" : "", "parse-names" : false, "suffix" : "" }, { "dropping-particle" : "", "family" : "Suvada", "given" : "J", "non-dropping-particle" : "", "parse-names" : false, "suffix" : "" }, { "dropping-particle" : "", "family" : "Makohusova", "given" : "M", "non-dropping-particle" : "", "parse-names" : false, "suffix" : "" }, { "dropping-particle" : "", "family" : "Waczulikova", "given" : "I", "non-dropping-particle" : "", "parse-names" : false, "suffix" : "" }, { "dropping-particle" : "", "family" : "Behulova", "given" : "D", "non-dropping-particle" : "", "parse-names" : false, "suffix" : "" }, { "dropping-particle" : "", "family" : "Vasilenkova", "given" : "A", "non-dropping-particle" : "", "parse-names" : false, "suffix" : "" }, { "dropping-particle" : "", "family" : "Vargova", "given" : "M", "non-dropping-particle" : "", "parse-names" : false, "suffix" : "" }, { "dropping-particle" : "", "family" : "Stecova", "given" : "A", "non-dropping-particle" : "", "parse-names" : false, "suffix" : "" }, { "dropping-particle" : "", "family" : "Kaiserova", "given" : "E", "non-dropping-particle" : "", "parse-names" : false, "suffix" : "" }, { "dropping-particle" : "", "family" : "Kolenova", "given" : "A", "non-dropping-particle" : "", "parse-names" : false, "suffix" : "" } ], "container-title" : "Neoplasma", "id" : "ITEM-3", "issue" : "5", "issued" : { "date-parts" : [ [ "2016", "7" ] ] }, "language" : "ENG", "title" : "The role of CRP, PCT, IL-6 and presepsin in early diagnosis of bacterial infectious complications in paediatric haemato-oncological patients.", "type" : "article-journal", "volume" : "63" }, "uris" : [ "http://www.mendeley.com/documents/?uuid=5b4bcfe2-b549-49cc-bc25-23e8a95664be" ] } ], "mendeley" : { "formattedCitation" : "&lt;sup&gt;[51\u201353]&lt;/sup&gt;", "plainTextFormattedCitation" : "[51\u201353]", "previouslyFormattedCitation" : "&lt;sup&gt;[51\u201353]&lt;/sup&gt;" }, "properties" : { "noteIndex" : 0 }, "schema" : "https://github.com/citation-style-language/schema/raw/master/csl-citation.json" }</w:instrText>
      </w:r>
      <w:r w:rsidRPr="00664A42">
        <w:rPr>
          <w:rFonts w:ascii="Book Antiqua" w:eastAsia="MS Mincho" w:hAnsi="Book Antiqua"/>
          <w:lang w:val="en-GB" w:eastAsia="en-US"/>
        </w:rPr>
        <w:fldChar w:fldCharType="separate"/>
      </w:r>
      <w:r w:rsidRPr="00664A42">
        <w:rPr>
          <w:rFonts w:ascii="Book Antiqua" w:eastAsia="MS Mincho" w:hAnsi="Book Antiqua"/>
          <w:noProof/>
          <w:vertAlign w:val="superscript"/>
          <w:lang w:val="en-GB" w:eastAsia="en-US"/>
        </w:rPr>
        <w:t>[51–53]</w:t>
      </w:r>
      <w:r w:rsidRPr="00664A42">
        <w:rPr>
          <w:rFonts w:ascii="Book Antiqua" w:eastAsia="MS Mincho" w:hAnsi="Book Antiqua"/>
          <w:lang w:val="en-GB" w:eastAsia="en-US"/>
        </w:rPr>
        <w:fldChar w:fldCharType="end"/>
      </w:r>
      <w:r w:rsidRPr="00664A42">
        <w:rPr>
          <w:rFonts w:ascii="Book Antiqua" w:eastAsia="MS Mincho" w:hAnsi="Book Antiqua"/>
          <w:lang w:val="en-GB" w:eastAsia="en-US"/>
        </w:rPr>
        <w:t>.</w:t>
      </w:r>
    </w:p>
    <w:p w:rsidR="000A103F" w:rsidRPr="00664A42" w:rsidRDefault="000A103F" w:rsidP="003B01FB">
      <w:pPr>
        <w:widowControl w:val="0"/>
        <w:autoSpaceDE w:val="0"/>
        <w:autoSpaceDN w:val="0"/>
        <w:adjustRightInd w:val="0"/>
        <w:spacing w:line="360" w:lineRule="auto"/>
        <w:ind w:firstLine="720"/>
        <w:jc w:val="both"/>
        <w:rPr>
          <w:rFonts w:ascii="Book Antiqua" w:hAnsi="Book Antiqua" w:cs="Times"/>
          <w:lang w:val="en-US"/>
        </w:rPr>
      </w:pPr>
      <w:r w:rsidRPr="00664A42">
        <w:rPr>
          <w:rFonts w:ascii="Book Antiqua" w:eastAsiaTheme="minorEastAsia" w:hAnsi="Book Antiqua"/>
          <w:lang w:val="en-US" w:eastAsia="en-US"/>
        </w:rPr>
        <w:lastRenderedPageBreak/>
        <w:t>Overall, p</w:t>
      </w:r>
      <w:r w:rsidRPr="00664A42">
        <w:rPr>
          <w:rFonts w:ascii="Book Antiqua" w:eastAsiaTheme="minorEastAsia" w:hAnsi="Book Antiqua" w:cs="Times"/>
          <w:lang w:val="en-US" w:eastAsia="en-US"/>
        </w:rPr>
        <w:t>resepsin was indisputably a valuable complementary tool in our cirrhotic patient cohort from a clinical point-of-view, but cost issues might compromise their joint use in the laboratory screening procedure of infections</w:t>
      </w:r>
      <w:r w:rsidRPr="00664A42">
        <w:rPr>
          <w:rFonts w:ascii="Book Antiqua" w:eastAsiaTheme="minorEastAsia" w:hAnsi="Book Antiqua"/>
          <w:lang w:val="en-GB" w:eastAsia="en-US"/>
        </w:rPr>
        <w:t>.</w:t>
      </w:r>
      <w:r w:rsidRPr="00664A42">
        <w:rPr>
          <w:rFonts w:ascii="Book Antiqua" w:eastAsiaTheme="minorEastAsia" w:hAnsi="Book Antiqua" w:cs="Times"/>
          <w:lang w:val="en-US" w:eastAsia="en-US"/>
        </w:rPr>
        <w:t xml:space="preserve"> Adding presepsin to </w:t>
      </w:r>
      <w:r w:rsidRPr="00664A42">
        <w:rPr>
          <w:rFonts w:ascii="Book Antiqua" w:eastAsiaTheme="minorEastAsia" w:hAnsi="Book Antiqua" w:cs="Times"/>
          <w:lang w:val="en-GB" w:eastAsia="en-US"/>
        </w:rPr>
        <w:t xml:space="preserve">CRP increased significantly the cost, from 0.9 to 12.5 </w:t>
      </w:r>
      <w:r w:rsidRPr="00664A42">
        <w:rPr>
          <w:rFonts w:ascii="Book Antiqua" w:hAnsi="Book Antiqua" w:cs="Lucida Grande"/>
          <w:lang w:val="en-GB"/>
        </w:rPr>
        <w:t xml:space="preserve">$. </w:t>
      </w:r>
      <w:r w:rsidRPr="00664A42">
        <w:rPr>
          <w:rFonts w:ascii="Book Antiqua" w:eastAsiaTheme="minorEastAsia" w:hAnsi="Book Antiqua"/>
          <w:lang w:val="en-GB" w:eastAsia="en-US"/>
        </w:rPr>
        <w:t xml:space="preserve">Medico-economic evaluation, however is lacking by this time and should be performed before proposing introduction of their combined use into routine clinical practice. </w:t>
      </w:r>
      <w:r w:rsidRPr="00664A42">
        <w:rPr>
          <w:rFonts w:ascii="Book Antiqua" w:eastAsiaTheme="minorEastAsia" w:hAnsi="Book Antiqua"/>
          <w:lang w:val="en-US" w:eastAsia="en-US"/>
        </w:rPr>
        <w:t xml:space="preserve">Presepsin had very similar </w:t>
      </w:r>
      <w:r w:rsidRPr="00664A42">
        <w:rPr>
          <w:rFonts w:ascii="Book Antiqua" w:eastAsiaTheme="minorEastAsia" w:hAnsi="Book Antiqua" w:cs="Times"/>
          <w:lang w:val="en-US" w:eastAsia="en-US"/>
        </w:rPr>
        <w:t xml:space="preserve">discriminative ability as PCT </w:t>
      </w:r>
      <w:r w:rsidRPr="00664A42">
        <w:rPr>
          <w:rFonts w:ascii="Book Antiqua" w:eastAsiaTheme="minorEastAsia" w:hAnsi="Book Antiqua"/>
          <w:lang w:val="en-US" w:eastAsia="en-US"/>
        </w:rPr>
        <w:t xml:space="preserve">in both above-mentioned clinical settings. Furthermore, prices of presepsin and PCT are also comparable (12.5 and 10.7 </w:t>
      </w:r>
      <w:r w:rsidRPr="00664A42">
        <w:rPr>
          <w:rFonts w:ascii="Book Antiqua" w:hAnsi="Book Antiqua" w:cs="Lucida Grande"/>
          <w:lang w:val="en-GB"/>
        </w:rPr>
        <w:t xml:space="preserve">$) </w:t>
      </w:r>
      <w:r w:rsidRPr="00664A42">
        <w:rPr>
          <w:rFonts w:ascii="Book Antiqua" w:eastAsiaTheme="minorEastAsia" w:hAnsi="Book Antiqua"/>
          <w:lang w:val="en-US" w:eastAsia="en-US"/>
        </w:rPr>
        <w:t xml:space="preserve">suggesting their interchangeability in this patient population.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cs="Times"/>
          <w:lang w:val="en-US" w:eastAsia="en-US"/>
        </w:rPr>
      </w:pPr>
      <w:r w:rsidRPr="00664A42">
        <w:rPr>
          <w:rFonts w:ascii="Book Antiqua" w:eastAsiaTheme="minorEastAsia" w:hAnsi="Book Antiqua" w:cs="Times"/>
          <w:lang w:val="en-US" w:eastAsia="en-US"/>
        </w:rPr>
        <w:tab/>
        <w:t xml:space="preserve">Secondary aim of our study was to evaluate whether presepsin is devoid of the limitations of classic APPs in cirrhosis. Previously in a small case-control study of </w:t>
      </w:r>
      <w:r w:rsidR="00664A42" w:rsidRPr="00664A42">
        <w:rPr>
          <w:rFonts w:ascii="Book Antiqua" w:eastAsiaTheme="minorEastAsia" w:hAnsi="Book Antiqua" w:cs="Times"/>
          <w:i/>
          <w:lang w:val="en-US" w:eastAsia="en-US"/>
        </w:rPr>
        <w:t>Park et al</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"10.1016/j.diagmicrobio.2004.11.014", "ISSN" : "0732-8893 (Print)", "PMID" : "15808312", "abstract" : "To assess the effect of liver dysfunction on the production of C-reactive protein (CRP), CRP levels were evaluated in patients with Escherichia coli bacteremia with or without liver cirrhosis (LC). Thirty patients of each kind were selected as case and control groups, respectively. A matched control of 30 LC patients without acute infection was also included. In the patients with E. coli bacteremia, median CRP was 6.2 mg/dL (range 0.2-22.1) in the LC patients and 14.6 mg/dL (range 5.8-39.6) in the patients without liver dysfunction (P &lt; 0.001). In the advanced LC patients in Child-Pugh class C, median CRP was 5.0 mg/dL (range 0.2-12.1) in patients with E. coli bacteremia and 0.5 mg/dL (range 0.1-1.2) in patients without acute infection (P &lt; 0.001). Our data suggest that, although CRP levels are reduced in response to acute infection, production is nevertheless maintained even in patients with advanced liver dysfunction.", "author" : [ { "dropping-particle" : "", "family" : "Park", "given" : "Wan Beom", "non-dropping-particle" : "", "parse-names" : false, "suffix" : "" }, { "dropping-particle" : "", "family" : "Lee", "given" : "Ki-Deok", "non-dropping-particle" : "", "parse-names" : false, "suffix" : "" }, { "dropping-particle" : "", "family" : "Lee", "given" : "Chang Seop", "non-dropping-particle" : "", "parse-names" : false, "suffix" : "" }, { "dropping-particle" : "", "family" : "Jang", "given" : "Hee Chang", "non-dropping-particle" : "", "parse-names" : false, "suffix" : "" }, { "dropping-particle" : "Bin", "family" : "Kim", "given" : "Hong", "non-dropping-particle" : "", "parse-names" : false, "suffix" : "" }, { "dropping-particle" : "", "family" : "Lee", "given" : "Hyo-Suk", "non-dropping-particle" : "", "parse-names" : false, "suffix" : "" }, { "dropping-particle" : "", "family" : "Oh", "given" : "Myoung-don", "non-dropping-particle" : "", "parse-names" : false, "suffix" : "" }, { "dropping-particle" : "", "family" : "Choe", "given" : "Kang Won", "non-dropping-particle" : "", "parse-names" : false, "suffix" : "" } ], "container-title" : "Diagnostic microbiology and infectious disease", "id" : "ITEM-1", "issue" : "4", "issued" : { "date-parts" : [ [ "2005", "4" ] ] }, "language" : "eng", "page" : "227-230", "publisher-place" : "United States", "title" : "Production of C-reactive protein in Escherichia coli-infected patients with liver dysfunction due to liver cirrhosis.", "type" : "article-journal", "volume" : "51" }, "uris" : [ "http://www.mendeley.com/documents/?uuid=93bd4ff2-3951-4f9c-b223-168c62c04708" ] } ], "mendeley" : { "formattedCitation" : "&lt;sup&gt;[10]&lt;/sup&gt;", "plainTextFormattedCitation" : "[10]", "previouslyFormattedCitation" : "&lt;sup&gt;[10]&lt;/sup&gt;"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[10]</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showed that the more severe the underlying liver dysfunction, the lower the CRP response to bacteremia was. Equally in a former study</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"10.1111/j.1478-3231.2011.02689.x", "ISSN" : "1478-3231", "abstract" : "Background Bacterial infections are common cause of morbidity and mortality in patients with cirrhosis. The early diagnosis of these infections is rather difficult. Aims To assess the accuracy of acute phase proteins in the identification of bacterial infections. Methods Concentration of C-reactive protein (CRP), procalcitonin (PCT), lipopolysaccharide-binding protein (LBP), sCD14 and antimicrobial antibodies were measured in serum of 368 well-characterized patients with cirrhosis of whom 139 had documented infection. Clinical data was gathered by reviewing the patients\u2019 medical charts. Results Serum levels of CRP, PCT and LBP were significantly higher in patients with clinically overt infections. Among the markers, CRP \u2013 using a 10 mg/L cut-off value\u2013 proved to be the most accurate in identifying patients with infection (AUC: 0.93). The accuracy of CRP, however, decreased in advanced stage of the disease, most probably because of the significantly elevated CRP levels in non-infected patients. Combination of CRP and PCT increased the sensitivity and negative predictive value, compared with CRP on its own, by 10 and 5% respectively. During a 3-month follow-up period in patients without overt infections, Kaplan\u2013Meier and proportional Cox-regression analyses showed that a CRP value of &gt;10 mg/L (P = 0.035) was independently associated with a shorter duration to progress to clinically significant bacterial infections. There was no correlation between acute phase protein levels and antimicrobial seroreactivity. Conclusions C-reactive protein on its own is a sensitive screening test for the presence of bacterial infections in cirrhosis and is also a useful marker to predict the likelihood of clinically significant bacterial infections in patients without overt infections.", "author" : [ { "dropping-particle" : "", "family" : "Papp", "given" : "Maria", "non-dropping-particle" : "", "parse-names" : false, "suffix" : "" }, { "dropping-particle" : "", "family" : "Vitalis", "given" : "Zsuzsanna", "non-dropping-particle" : "", "parse-names" : false, "suffix" : "" }, { "dropping-particle" : "", "family" : "Altorjay", "given" : "Istvan", "non-dropping-particle" : "", "parse-names" : false, "suffix" : "" }, { "dropping-particle" : "", "family" : "Tornai", "given" : "Istvan", "non-dropping-particle" : "", "parse-names" : false, "suffix" : "" }, { "dropping-particle" : "", "family" : "Udvardy", "given" : "Miklos", "non-dropping-particle" : "", "parse-names" : false, "suffix" : "" }, { "dropping-particle" : "", "family" : "Harsfalvi", "given" : "Jolan", "non-dropping-particle" : "", "parse-names" : false, "suffix" : "" }, { "dropping-particle" : "", "family" : "Vida", "given" : "Andras", "non-dropping-particle" : "", "parse-names" : false, "suffix" : "" }, { "dropping-particle" : "", "family" : "Kappelmayer", "given" : "Janos", "non-dropping-particle" : "", "parse-names" : false, "suffix" : "" }, { "dropping-particle" : "", "family" : "Lakatos", "given" : "Peter L", "non-dropping-particle" : "", "parse-names" : false, "suffix" : "" }, { "dropping-particle" : "", "family" : "Antal-Szalmas", "given" : "Peter", "non-dropping-particle" : "", "parse-names" : false, "suffix" : "" } ], "container-title" : "Liver International", "id" : "ITEM-1", "issue" : "4", "issued" : { "date-parts" : [ [ "2012" ] ] }, "page" : "603-611", "title" : "Acute phase proteins in the diagnosis and prediction of cirrhosis associated bacterial infections", "type" : "article-journal", "volume" : "32" }, "uris" : [ "http://www.mendeley.com/documents/?uuid=84c5da63-f9e8-4b27-9a0f-ab32ab8b7f1d" ] } ], "mendeley" : { "formattedCitation" : "&lt;sup&gt;[9]&lt;/sup&gt;", "plainTextFormattedCitation" : "[9]", "previouslyFormattedCitation" : "&lt;sup&gt;[9]&lt;/sup&gt;"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[9]</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we reported that the diagnostic accuracy of both CRP and PCT for identifying patients with infection obviously decreased in advanced stage of the disease or in presence of ascites. Correspondingly, presepsin behaved alike in the present study. Presepsin is not primarily synthesized in the liver, thus not the decreasing synthetic capacity is the major limitation of their diagnostic performance in advanced cirrhosis. Ongoing chronic inflammatory state is a characteristic feature of cirrhosis that is potentially able to induce the synthesis of APPs in the absence of infection</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"10.1053/jhep.2003.50038", "ISSN" : "0270-9139 (Print)", "PMID" : "12500206", "abstract" : "Intestinal bacterial overgrowth and translocation, both common in cirrhosis with  ascites, may lead to the activation of monocytes and lymphocytes, increased levels of proinflammatory cytokines, and enhanced synthesis of nitric oxide present in cirrhosis. Bacterial endotoxin promotes the synthesis of lipopolysaccharide (LPS)-binding protein (LBP), and forms a LPS-LBP complex that binds to CD14. This study was designed to evaluate LBP levels and their correlation to the immune response and the hemodynamic status in cirrhotic patients. Plasma LBP, endotoxin, soluble CD14 (sCD14), cytokines, renin, nitrites, and systemic vascular resistance were determined before and 4 weeks after norfloxacin or placebo in 102 cirrhotic patients and 30 controls. LBP was elevated in 42% of ascitic cirrhotic patients (15.7 +/- 0.7 versus 6.06 +/- 0.5 microg/mL, P &lt;.01). In 60% of high LBP patients, endotoxin was within normal range. Among ascitic patients, those with high LBP showed greater (P &lt;.05) levels of sCD14, tumor necrosis factor alpha (TNF-alpha), interleukin 6 (IL-6), nitrites + nitrates (NOx)/creatinine, and renin, and lower vascular resistance. In the cirrhotic patients with high LBP, norfloxacin normalized (P &lt;.01) LBP (from 16.6 +/- 0.5 to 5.82 +/- 0.8 microg/mL) and sCD14; reduced the level of cytokines, NOx/creatinine, and renin; and increased vascular resistance; but lacked effect in patients with normal LBP. Portal pressure was unchanged after norfloxacin in another group of 18 cirrhotic patients with high and 19 with normal LBP. In conclusion, the subset of ascitic cirrhotic patients with marked immune and hemodynamic derangement is identified by increased LBP levels. Amelioration of these abnormalities by norfloxacin suggests the involvement of enteric bacteria or their products in the triggering of the process.", "author" : [ { "dropping-particle" : "", "family" : "Albillos", "given" : "Agustin", "non-dropping-particle" : "", "parse-names" : false, "suffix" : "" }, { "dropping-particle" : "", "family" : "la Hera", "given" : "Antonio", "non-dropping-particle" : "de", "parse-names" : false, "suffix" : "" }, { "dropping-particle" : "", "family" : "Gonzalez", "given" : "Monica", "non-dropping-particle" : "", "parse-names" : false, "suffix" : "" }, { "dropping-particle" : "", "family" : "Moya", "given" : "Jose-Luis", "non-dropping-particle" : "", "parse-names" : false, "suffix" : "" }, { "dropping-particle" : "", "family" : "Calleja", "given" : "Jose-Luis", "non-dropping-particle" : "", "parse-names" : false, "suffix" : "" }, { "dropping-particle" : "", "family" : "Monserrat", "given" : "Jorge", "non-dropping-particle" : "", "parse-names" : false, "suffix" : "" }, { "dropping-particle" : "", "family" : "Ruiz-del-Arbol", "given" : "Luis", "non-dropping-particle" : "", "parse-names" : false, "suffix" : "" }, { "dropping-particle" : "", "family" : "Alvarez-Mon", "given" : "Melchor", "non-dropping-particle" : "", "parse-names" : false, "suffix" : "" } ], "container-title" : "Hepatology (Baltimore, Md.)", "id" : "ITEM-1", "issue" : "1", "issued" : { "date-parts" : [ [ "2003", "1" ] ] }, "language" : "eng", "page" : "208-217", "publisher-place" : "United States", "title" : "Increased lipopolysaccharide binding protein in cirrhotic patients with marked immune and hemodynamic derangement.", "type" : "article-journal", "volume" : "37" }, "uris" : [ "http://www.mendeley.com/documents/?uuid=48c584a5-1c6d-448b-9d34-2c5d850f4189" ] }, { "id" : "ITEM-2", "itemData" : { "DOI" : "10.1111/j.1365-2249.2009.04005.x", "ISSN" : "1365-2249 (Electronic)", "PMID" : "19737142", "abstract" : "The objectives of this work were the analysis of the functional characteristics of circulating monocytes and T lymphocytes in patients with liver cirrhosis, and evaluation of the relationship with an increased exposure to antigens due to bacterial translocation. Forty patients with liver cirrhosis (20 with compensated cirrhosis and 20 with ascitic decompensation) and 20 healthy control subjects were studied. Bacterial translocation was evaluated by serum levels of lipopolysaccharide binding protein (LBP). Macrophage activation was studied by CD40 antigen expression. T lymphocytes were analysed for activation (CD25(+), CD122(+)), effector function (CD8(+)CD45RO(+)CD57(+)), apoptosis (CD95(+)) and regulatory abilities, either by analysis of the membrane expression of co-stimulatory molecules CD80, CD86 and CD28, or by quantification of regulatory T cells CD4(+)CD25(high)forkhead box P3 (FoxP3). The percentage of activated monocytes and T lymphocytes in patients was increased significantly. The proportions of effector senescent cells and of those near to apoptosis were also significantly higher. With respect to these proportions, there were no significant differences between patients in function of the presence or absence of decompensation or in function of the increased or normal values of LBP. Conversely, those patients with elevated levels of LBP presented a significantly higher frequency of regulatory T cells than those with normal levels. In conclusion, patients with liver cirrhosis showed an intensive activation state with a higher percentage of cells committed to activation-induced death, even in non-advanced stages. It is possible that bacterial permeability and endotoxaemia contribute to the expansion of those lymphocyte populations implicated in the prevention of a more severe antigen-induced immunopathology.", "author" : [ { "dropping-particle" : "", "family" : "Marquez", "given" : "M", "non-dropping-particle" : "", "parse-names" : false, "suffix" : "" }, { "dropping-particle" : "", "family" : "Fernandez-Gutierrez", "given" : "C", "non-dropping-particle" : "", "parse-names" : false, "suffix" : "" }, { "dropping-particle" : "", "family" : "Montes-de-Oca", "given" : "M", "non-dropping-particle" : "", "parse-names" : false, "suffix" : "" }, { "dropping-particle" : "", "family" : "Blanco", "given" : "M J", "non-dropping-particle" : "", "parse-names" : false, "suffix" : "" }, { "dropping-particle" : "", "family" : "Brun", "given" : "F", "non-dropping-particle" : "", "parse-names" : false, "suffix" : "" }, { "dropping-particle" : "", "family" : "Rodriguez-Ramos", "given" : "C", "non-dropping-particle" : "", "parse-names" : false, "suffix" : "" }, { "dropping-particle" : "", "family" : "Giron-Gonzalez", "given" : "J A", "non-dropping-particle" : "", "parse-names" : false, "suffix" : "" } ], "container-title" : "Clinical and experimental immunology", "id" : "ITEM-2", "issue" : "2", "issued" : { "date-parts" : [ [ "2009", "11" ] ] }, "language" : "eng", "page" : "219-229", "publisher-place" : "England", "title" : "Chronic antigenic stimuli as a possible explanation for the immunodepression caused by liver cirrhosis.", "type" : "article-journal", "volume" : "158" }, "uris" : [ "http://www.mendeley.com/documents/?uuid=a41ebb6b-dfce-4373-96fa-40fe2fb73210" ] } ], "mendeley" : { "formattedCitation" : "&lt;sup&gt;[54,55]&lt;/sup&gt;", "plainTextFormattedCitation" : "[54,55]", "previouslyFormattedCitation" : "&lt;sup&gt;[54,55]&lt;/sup&gt;"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[54,55]</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and inevitably limits their clinical utility in the diagnostic procedure of bacterial infections. Out of various explanations, BT has major importance. Bacterial translocation is frequently reported in patients with cirrhosis-associated severe liver dysfunction or ascites</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"ISSN" : "0168-8278 (Print)", "PMID" : "11211904", "abstract" : "BACKGROUND/AIMS: The aim of the study was to investigate the prevalence and associated risk factors for bacterial translocation in patients with cirrhosis, a mechanism involved in the pathogenesis of bacterial infections in experimental cirrhosis. METHODS: Mesenteric lymph nodes were obtained for microbiological culture from 101 patients with cirrhosis and from 35 non-cirrhotic patients. RESULTS: Enteric organisms were grown from mesenteric lymph nodes in 8.6% of non-cirrhotic patients. In the 79 cirrhotic patients without selective intestinal decontamination, the prevalence of bacterial translocation significantly increased according to the Child-Pugh classification: 3.4% in Child A, 8.1% in Child B and 30.8% in Child C patients (chi2 = 6.106, P &lt; 0.05). However, translocation by Enterobacteriaceae, the organisms commonly responsible for spontaneous bacteremia and peritonitis in cirrhosis, was only observed in 25% of the cases. The prevalence of bacterial translocation in the 22 cirrhotic patients undergoing selective intestinal decontamination, all Child-Pugh class B and C, was 4.5%. The Child-Pugh score was the only independent predictive factor for bacterial translocation (odds ratio 2.22, P = 0.02). CONCLUSIONS: Translocation of enteric organisms to mesenteric lymph nodes is increased in patients with advanced cirrhosis and is reduced to the level found in non-cirrhotic patients by selective intestinal decontamination.", "author" : [ { "dropping-particle" : "", "family" : "Cirera", "given" : "I", "non-dropping-particle" : "", "parse-names" : false, "suffix" : "" }, { "dropping-particle" : "", "family" : "Bauer", "given" : "T M", "non-dropping-particle" : "", "parse-names" : false, "suffix" : "" }, { "dropping-particle" : "", "family" : "Navasa", "given" : "M", "non-dropping-particle" : "", "parse-names" : false, "suffix" : "" }, { "dropping-particle" : "", "family" : "Vila", "given" : "J", "non-dropping-particle" : "", "parse-names" : false, "suffix" : "" }, { "dropping-particle" : "", "family" : "Grande", "given" : "L", "non-dropping-particle" : "", "parse-names" : false, "suffix" : "" }, { "dropping-particle" : "", "family" : "Taura", "given" : "P", "non-dropping-particle" : "", "parse-names" : false, "suffix" : "" }, { "dropping-particle" : "", "family" : "Fuster", "given" : "J", "non-dropping-particle" : "", "parse-names" : false, "suffix" : "" }, { "dropping-particle" : "", "family" : "Garcia-Valdecasas", "given" : "J C", "non-dropping-particle" : "", "parse-names" : false, "suffix" : "" }, { "dropping-particle" : "", "family" : "Lacy", "given" : "A", "non-dropping-particle" : "", "parse-names" : false, "suffix" : "" }, { "dropping-particle" : "", "family" : "Suarez", "given" : "M J", "non-dropping-particle" : "", "parse-names" : false, "suffix" : "" }, { "dropping-particle" : "", "family" : "Rimola", "given" : "A", "non-dropping-particle" : "", "parse-names" : false, "suffix" : "" }, { "dropping-particle" : "", "family" : "Rodes", "given" : "J", "non-dropping-particle" : "", "parse-names" : false, "suffix" : "" } ], "container-title" : "Journal of hepatology", "id" : "ITEM-1", "issue" : "1", "issued" : { "date-parts" : [ [ "2001", "1" ] ] }, "language" : "eng", "page" : "32-37", "publisher-place" : "Denmark", "title" : "Bacterial translocation of enteric organisms in patients with cirrhosis.", "type" : "article-journal", "volume" : "34" }, "uris" : [ "http://www.mendeley.com/documents/?uuid=8219ef99-77a2-47b4-bfbf-7dc423cee3bb" ] }, { "id" : "ITEM-2", "itemData" : { "ISSN" : "0016-5085 (Print)", "PMID" : "7768390", "abstract" : "BACKGROUND/AIMS: Cirrhotic patients are predisposed to develop spontaneous bacteremias and/or peritonitis, mainly caused by enteric bacteria. The aim of this study was to investigate if bacterial translocation, which is the passage of bacteria from the intestinal lumen to regional lymph nodes and/or the systemic circulation, is increased in a rat model of cirrhosis. METHODS: Rats were studied after 12-16 weeks of CCl4 inhalation, when samples of mesenteric lymph nodes, blood, liver, and spleen for standard bacteriologic cultures and a fragment of colon and liver for histology were obtained. Immunostaining of the cecum was performed using a polyclonal anti-Escherichia coli antibody. RESULTS: A significantly greater proportion of rats with cirrhosis and ascites (5 of 9; 56%) had positive mesenteric lymph node cultures compared with cirrhotics without ascites (0 of 9) and normal controls (0 of 12) (P &lt; 0.01). In one cirrhotic rat, E. coli was isolated from both mesenteric lymph nodes and ascites. Rats with cirrhosis and ascites had significantly greater cecal submucosal edema and inflammation than rats with no ascites and controls. Immunoreactivity with E. coli was present in the cecal wall in 3 of 5 animals with E. coli translocation to mesenteric lymph nodes. CONCLUSIONS: In cirrhotic rats, bacterial translocation is increased after the development of ascites and may be a major factor in the development of spontaneous infections in cirrhosis.", "author" : [ { "dropping-particle" : "", "family" : "Garcia-Tsao", "given" : "G", "non-dropping-particle" : "", "parse-names" : false, "suffix" : "" }, { "dropping-particle" : "", "family" : "Lee", "given" : "F Y", "non-dropping-particle" : "", "parse-names" : false, "suffix" : "" }, { "dropping-particle" : "", "family" : "Barden", "given" : "G E", "non-dropping-particle" : "", "parse-names" : false, "suffix" : "" }, { "dropping-particle" : "", "family" : "Cartun", "given" : "R", "non-dropping-particle" : "", "parse-names" : false, "suffix" : "" }, { "dropping-particle" : "", "family" : "West", "given" : "A B", "non-dropping-particle" : "", "parse-names" : false, "suffix" : "" } ], "container-title" : "Gastroenterology", "id" : "ITEM-2", "issue" : "6", "issued" : { "date-parts" : [ [ "1995", "6" ] ] }, "language" : "eng", "page" : "1835-1841", "publisher-place" : "UNITED STATES", "title" : "Bacterial translocation to mesenteric lymph nodes is increased in cirrhotic rats  with ascites.", "type" : "article-journal", "volume" : "108" }, "uris" : [ "http://www.mendeley.com/documents/?uuid=65543529-e521-4b1d-9c68-0a82c3242ae7" ] } ], "mendeley" : { "formattedCitation" : "&lt;sup&gt;[56,57]&lt;/sup&gt;", "plainTextFormattedCitation" : "[56,57]", "previouslyFormattedCitation" : "&lt;sup&gt;[56,57]&lt;/sup&gt;"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[56,57]</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It is likely that this process resulted in higher presepsin level in our non-infected cirrhotic patients compared to healthy controls in previous studies</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"10.1016/j.cca.2011.07.024", "ISSN" : "1873-3492 (Electronic)", "PMID" : "21839732", "abstract" : "BACKGROUND: The soluble CD14 subtype (sCD14-ST: renamed as presepsin) is a novel  soluble CD14 molecule that is useful for diagnosing sepsis because sCD14-ST levels increase specifically in sepsis patients. METHODS: A fully automated PATHFAST(R) Presepsin assay system based on a chemiluminescent enzyme immunoassay was developed for detecting presepsin in human whole blood. RESULTS: The limit of blank, limit of detection, and limit of quantification were 2.33, 13.4, and 47.6 pg/ml, respectively. The assay linearity was achieved up to 20,000 pg/ml. Intra-assay imprecision was 3.4-4.8% for plasma and 2.7-7.1% for whole blood. Within-run imprecision and total imprecision for plasma were 3.6-4.4% and 5.2-6.5%, respectively. No interference was observed with bilirubin, hemoglobin, lipids, triglyceride, or rheumatoid factors. The reference intervals (95% percentile, n=127) were 333 pg/ml for plasma and 314 pg/ml for whole blood. The PATHFAST(R) Presepsin assay correlated well with a previously reported two-step presepsin ELISA (r=0.984, n=40). Furthermore, the concentration of presepsin was significantly higher in the sepsis group than in the healthy group. CONCLUSION: The PATHFAST(R) Presepsin assay performed well and can be used for point-of-care.", "author" : [ { "dropping-particle" : "", "family" : "Okamura", "given" : "Yoshikazu", "non-dropping-particle" : "", "parse-names" : false, "suffix" : "" }, { "dropping-particle" : "", "family" : "Yokoi", "given" : "Hiroyuki", "non-dropping-particle" : "", "parse-names" : false, "suffix" : "" } ], "container-title" : "Clinica chimica acta; international journal of clinical chemistry", "id" : "ITEM-1", "issue" : "23-24", "issued" : { "date-parts" : [ [ "2011", "11" ] ] }, "language" : "eng", "page" : "2157-2161", "publisher-place" : "Netherlands", "title" : "Development of a point-of-care assay system for measurement of presepsin (sCD14-ST).", "type" : "article-journal", "volume" : "412" }, "uris" : [ "http://www.mendeley.com/documents/?uuid=266a8b3c-f24f-41f2-b1d4-0f8d13f4980b", "http://www.mendeley.com/documents/?uuid=4f13bc04-0c9c-4370-b89c-2cf7499868ff" ] }, { "id" : "ITEM-2", "itemData" : { "DOI" : "10.1007/s10156-011-0254-x", "ISSN" : "1437-7780 (Electronic)", "PMID" : "21560033", "abstract" : "CD14 is present in macrophage, monocyte, and granulocyte cells and their cell membranes, and it is said to be responsible for intracellular transduction of endotoxin signals. Its soluble fraction is present in blood and is thought to be produced in association with infections. It is called the soluble CD14-subtype (sCD14-ST), and in the following text it is referred to by its generic name, presepsin. We have previously reported that presepsin is produced in association with infection and that it is specifically expressed in sepsis. In the present study we developed a new rapid diagnostic method by using a chemiluminescent enzyme immunoassay that allowed making automated measurements in a shorter time. The results of using this method to measure presepsin values in different pathological conditions were normal, 294.2 +/- 121.4 pg/ml; local infection, 721.0 +/- 611.3 pg/ml; systemic inflammatory response syndrome, 333.5 +/- 130.6 pg/ml; sepsis, 817.9 +/- 572.7 pg/ml; and severe sepsis, 1,992.9 +/- 1509.2 pg/ml; the presepsin values were significantly higher in patients with local infection, sepsis, and severe sepsis than in patients who did not have infection as a complication. In a comparative study with other diagnostic markers of sepsis based on ROC curves, the area under the curve (AUC) of presepsin was 0.845, and greater than the AUC of procalcitonin (PCT, 0.652), C-reactive protein (CRP, 0.815), or interleukin 6 (IL-6, 0.672). In addition, a significant correlation was found between the APACHE II scores, an index of disease severity, and the presepsin values, suggesting that presepsin values can serve as a parameter that closely reflects the pathology.", "author" : [ { "dropping-particle" : "", "family" : "Shozushima", "given" : "Tatsuyori", "non-dropping-particle" : "", "parse-names" : false, "suffix" : "" }, { "dropping-particle" : "", "family" : "Takahashi", "given" : "Gaku", "non-dropping-particle" : "", "parse-names" : false, "suffix" : "" }, { "dropping-particle" : "", "family" : "Matsumoto", "given" : "Naoya", "non-dropping-particle" : "", "parse-names" : false, "suffix" : "" }, { "dropping-particle" : "", "family" : "Kojika", "given" : "Masahiro", "non-dropping-particle" : "", "parse-names" : false, "suffix" : "" }, { "dropping-particle" : "", "family" : "Okamura", "given" : "Yoshikazu", "non-dropping-particle" : "", "parse-names" : false, "suffix" : "" }, { "dropping-particle" : "", "family" : "Endo", "given" : "Shigeatsu", "non-dropping-particle" : "", "parse-names" : false, "suffix" : "" } ], "container-title" : "Journal of infection and chemotherapy : official journal of the Japan Society of  Chemotherapy", "id" : "ITEM-2", "issue" : "6", "issued" : { "date-parts" : [ [ "2011", "12" ] ] }, "language" : "eng", "page" : "764-769", "publisher-place" : "Japan", "title" : "Usefulness of presepsin (sCD14-ST) measurements as a marker for the diagnosis and severity of sepsis that satisfied diagnostic criteria of systemic inflammatory response syndrome.", "type" : "article-journal", "volume" : "17" }, "uris" : [ "http://www.mendeley.com/documents/?uuid=64c1c6f2-e93d-4d3d-bce1-6c34125e4429" ] } ], "mendeley" : { "formattedCitation" : "&lt;sup&gt;[39,58]&lt;/sup&gt;", "plainTextFormattedCitation" : "[39,58]", "previouslyFormattedCitation" : "&lt;sup&gt;[39,58]&lt;/sup&gt;"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[39,58]</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Furthermore, presepsin levels were associated with diseases severity (Child A: 361, Child B: 530 and Child C: 703 pg/mL,</w:t>
      </w:r>
      <w:r w:rsidR="00664A42" w:rsidRPr="00664A42">
        <w:rPr>
          <w:rFonts w:ascii="Book Antiqua" w:eastAsiaTheme="minorEastAsia" w:hAnsi="Book Antiqua" w:cs="Times"/>
          <w:i/>
          <w:lang w:val="en-US" w:eastAsia="en-US"/>
        </w:rPr>
        <w:t xml:space="preserve"> P</w:t>
      </w:r>
      <w:r w:rsidR="00664A42" w:rsidRPr="00664A42">
        <w:rPr>
          <w:rFonts w:ascii="Book Antiqua" w:eastAsiaTheme="minorEastAsia" w:hAnsi="Book Antiqua" w:cs="Times"/>
          <w:i/>
          <w:lang w:val="en-US" w:eastAsia="zh-CN"/>
        </w:rPr>
        <w:t xml:space="preserve"> </w:t>
      </w:r>
      <w:r w:rsidRPr="00664A42">
        <w:rPr>
          <w:rFonts w:ascii="Book Antiqua" w:eastAsia="MS Gothic" w:hAnsi="Book Antiqua"/>
        </w:rPr>
        <w:t>&lt; 0.001</w:t>
      </w:r>
      <w:r w:rsidRPr="00664A42">
        <w:rPr>
          <w:rFonts w:ascii="Book Antiqua" w:eastAsiaTheme="minorEastAsia" w:hAnsi="Book Antiqua" w:cs="Times"/>
          <w:lang w:val="en-US" w:eastAsia="en-US"/>
        </w:rPr>
        <w:t>)</w:t>
      </w:r>
      <w:r w:rsidR="00664A42" w:rsidRPr="00664A42">
        <w:rPr>
          <w:rFonts w:ascii="Book Antiqua" w:eastAsiaTheme="minorEastAsia" w:hAnsi="Book Antiqua" w:cs="Times"/>
          <w:lang w:val="en-US" w:eastAsia="en-US"/>
        </w:rPr>
        <w:t xml:space="preserve"> or presence of ascites (Yes </w:t>
      </w:r>
      <w:r w:rsidR="00664A42" w:rsidRPr="00664A42">
        <w:rPr>
          <w:rFonts w:ascii="Book Antiqua" w:eastAsiaTheme="minorEastAsia" w:hAnsi="Book Antiqua" w:cs="Times"/>
          <w:i/>
          <w:lang w:val="en-US" w:eastAsia="en-US"/>
        </w:rPr>
        <w:t>vs</w:t>
      </w:r>
      <w:r w:rsidRPr="00664A42">
        <w:rPr>
          <w:rFonts w:ascii="Book Antiqua" w:eastAsiaTheme="minorEastAsia" w:hAnsi="Book Antiqua" w:cs="Times"/>
          <w:lang w:val="en-US" w:eastAsia="en-US"/>
        </w:rPr>
        <w:t xml:space="preserve"> No: 382 and 575 pg/mL, </w:t>
      </w:r>
      <w:r w:rsidR="00664A42" w:rsidRPr="00664A42">
        <w:rPr>
          <w:rFonts w:ascii="Book Antiqua" w:eastAsiaTheme="minorEastAsia" w:hAnsi="Book Antiqua" w:cs="Times"/>
          <w:i/>
          <w:lang w:val="en-US" w:eastAsia="en-US"/>
        </w:rPr>
        <w:t>P</w:t>
      </w:r>
      <w:r w:rsidR="00664A42" w:rsidRPr="00664A42">
        <w:rPr>
          <w:rFonts w:ascii="Book Antiqua" w:eastAsiaTheme="minorEastAsia" w:hAnsi="Book Antiqua" w:cs="Times"/>
          <w:i/>
          <w:lang w:val="en-US" w:eastAsia="zh-CN"/>
        </w:rPr>
        <w:t xml:space="preserve"> </w:t>
      </w:r>
      <w:r w:rsidRPr="00664A42">
        <w:rPr>
          <w:rFonts w:ascii="Book Antiqua" w:eastAsia="MS Gothic" w:hAnsi="Book Antiqua"/>
        </w:rPr>
        <w:t xml:space="preserve">&lt; 0.001) </w:t>
      </w:r>
      <w:r w:rsidRPr="00664A42">
        <w:rPr>
          <w:rFonts w:ascii="Book Antiqua" w:eastAsiaTheme="minorEastAsia" w:hAnsi="Book Antiqua" w:cs="Times"/>
          <w:lang w:val="en-US" w:eastAsia="en-US"/>
        </w:rPr>
        <w:t>in the non-infected patient group as well.</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en-US"/>
        </w:rPr>
      </w:pPr>
      <w:r w:rsidRPr="00664A42">
        <w:rPr>
          <w:rFonts w:ascii="Book Antiqua" w:eastAsiaTheme="minorEastAsia" w:hAnsi="Book Antiqua" w:cs="Times"/>
          <w:lang w:val="en-US" w:eastAsia="en-US"/>
        </w:rPr>
        <w:lastRenderedPageBreak/>
        <w:tab/>
        <w:t xml:space="preserve">Another important, but rarely considered issue is the effect of renal function on the levels of APPs. </w:t>
      </w:r>
      <w:r w:rsidRPr="00664A42">
        <w:rPr>
          <w:rFonts w:ascii="Book Antiqua" w:eastAsiaTheme="minorEastAsia" w:hAnsi="Book Antiqua" w:cs="Arial"/>
          <w:lang w:val="en-US" w:eastAsia="en-US"/>
        </w:rPr>
        <w:t>Acute kidney injury (AKI) is a frequent complication of cirrhosis, occurring in up to 50% of hospitalized patients with cirrhosis</w:t>
      </w:r>
      <w:r w:rsidRPr="00664A42">
        <w:rPr>
          <w:rFonts w:ascii="Book Antiqua" w:eastAsiaTheme="minorEastAsia" w:hAnsi="Book Antiqua" w:cs="Arial"/>
          <w:lang w:val="en-US" w:eastAsia="en-US"/>
        </w:rPr>
        <w:fldChar w:fldCharType="begin" w:fldLock="1"/>
      </w:r>
      <w:r w:rsidRPr="00664A42">
        <w:rPr>
          <w:rFonts w:ascii="Book Antiqua" w:eastAsiaTheme="minorEastAsia" w:hAnsi="Book Antiqua" w:cs="Arial"/>
          <w:lang w:val="en-US" w:eastAsia="en-US"/>
        </w:rPr>
        <w:instrText>ADDIN CSL_CITATION { "citationItems" : [ { "id" : "ITEM-1", "itemData" : { "DOI" : "10.1016/j.ccc.2016.03.005", "ISSN" : "1557-8232 (Electronic)", "PMID" : "27339675", "abstract" : "Acute kidney injury (AKI) occurs frequently in patients with liver disease and increases morbidity and mortality. Hepatorenal syndrome is a common cause of AKI in patients with decompensated cirrhosis and is due to alterations in systemic and renal hemodynamics. Serum creatinine-based estimation of kidney function is a key component of the Model for End-stage Liver Disease score in liver transplant candidates. Continuous renal replacement therapy is used in critically ill patients with liver failure and AKI. Simultaneous liver-kidney transplantation (SLK) may be required in patients with liver failure and prolonged AKI. Identification of appropriate candidates for SLK remains controversial.", "author" : [ { "dropping-particle" : "", "family" : "Regner", "given" : "Kevin R", "non-dropping-particle" : "", "parse-names" : false, "suffix" : "" }, { "dropping-particle" : "", "family" : "Singbartl", "given" : "Kai", "non-dropping-particle" : "", "parse-names" : false, "suffix" : "" } ], "container-title" : "Critical care clinics", "id" : "ITEM-1", "issue" : "3", "issued" : { "date-parts" : [ [ "2016", "7" ] ] }, "language" : "eng", "page" : "343-355", "publisher-place" : "United States", "title" : "Kidney Injury in Liver Disease.", "type" : "article-journal", "volume" : "32" }, "uris" : [ "http://www.mendeley.com/documents/?uuid=c6487438-d335-4308-8a0a-6df72b57732a", "http://www.mendeley.com/documents/?uuid=f5b7a00f-6881-416a-887b-fd95308fb698" ] } ], "mendeley" : { "formattedCitation" : "&lt;sup&gt;[59]&lt;/sup&gt;", "plainTextFormattedCitation" : "[59]", "previouslyFormattedCitation" : "&lt;sup&gt;[59]&lt;/sup&gt;" }, "properties" : { "noteIndex" : 0 }, "schema" : "https://github.com/citation-style-language/schema/raw/master/csl-citation.json" }</w:instrText>
      </w:r>
      <w:r w:rsidRPr="00664A42">
        <w:rPr>
          <w:rFonts w:ascii="Book Antiqua" w:eastAsiaTheme="minorEastAsia" w:hAnsi="Book Antiqua" w:cs="Arial"/>
          <w:lang w:val="en-US" w:eastAsia="en-US"/>
        </w:rPr>
        <w:fldChar w:fldCharType="separate"/>
      </w:r>
      <w:r w:rsidRPr="00664A42">
        <w:rPr>
          <w:rFonts w:ascii="Book Antiqua" w:eastAsiaTheme="minorEastAsia" w:hAnsi="Book Antiqua" w:cs="Arial"/>
          <w:noProof/>
          <w:vertAlign w:val="superscript"/>
          <w:lang w:val="en-US" w:eastAsia="en-US"/>
        </w:rPr>
        <w:t>[59]</w:t>
      </w:r>
      <w:r w:rsidRPr="00664A42">
        <w:rPr>
          <w:rFonts w:ascii="Book Antiqua" w:eastAsiaTheme="minorEastAsia" w:hAnsi="Book Antiqua" w:cs="Arial"/>
          <w:lang w:val="en-US" w:eastAsia="en-US"/>
        </w:rPr>
        <w:fldChar w:fldCharType="end"/>
      </w:r>
      <w:r w:rsidRPr="00664A42">
        <w:rPr>
          <w:rFonts w:ascii="Book Antiqua" w:eastAsiaTheme="minorEastAsia" w:hAnsi="Book Antiqua" w:cs="Times"/>
          <w:lang w:val="en-US" w:eastAsia="en-US"/>
        </w:rPr>
        <w:t>. Exact clearance mechanism of presepsin is unknown but considering its low MW it is presumably filtered by the glomeruli, reabsorbed, and catabolized within the proximal tubular cells</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"10.1016/j.cca.2013.09.019", "ISSN" : "1873-3492 (Electronic)", "PMID" : "24076253", "abstract" : "Presepsin is elevated in patients developing infections and increases in a severity-dependent manner. We aimed to evaluate circulating values of this new biomarker in a population free of any acute infectious disorder. We recruited 144 consecutive patients presenting at the emergency department (ED) without acute infection or acute/unstable disorder, and 54 healthy participants. Presepsin plasmatic concentrations were measured on the PATHFAST point-of-care analyzer. The 95th percentile of presepsin values in the ED population is 750ng/L. Presepsin was significantly increased in patients aged &gt;/=70years vs. younger patients (470 [380-601] ng/L vs. 300 [201-457] ng/L, p&lt;0.001). Prevalence of elevated presepsin values was increased in patients in comparison to controls (80% vs.13%, p&lt;0.001), and in patients aged &gt;/=70years in comparison to younger patients (87% vs. 47%, p&lt;0.001). Presepsin concentrations were significantly increased in patients with kidney dysfunction. Aging was an independent predictor of an elevated presepsin value. In conclusion, presepsin concentrations increase with age and kidney dysfunction. Therefore interpretation of presepsin concentrations might be altered in the elderly or in patients with impaired renal function. Adapted thresholds are needed for specific populations.", "author" : [ { "dropping-particle" : "", "family" : "Chenevier-Gobeaux", "given" : "Camille", "non-dropping-particle" : "", "parse-names" : false, "suffix" : "" }, { "dropping-particle" : "", "family" : "Trabattoni", "given" : "Eloise", "non-dropping-particle" : "", "parse-names" : false, "suffix" : "" }, { "dropping-particle" : "", "family" : "Roelens", "given" : "Marie", "non-dropping-particle" : "", "parse-names" : false, "suffix" : "" }, { "dropping-particle" : "", "family" : "Borderie", "given" : "Didier", "non-dropping-particle" : "", "parse-names" : false, "suffix" : "" }, { "dropping-particle" : "", "family" : "Claessens", "given" : "Yann-Erick", "non-dropping-particle" : "", "parse-names" : false, "suffix" : "" } ], "container-title" : "Clinica chimica acta; international journal of clinical chemistry", "id" : "ITEM-1", "issued" : { "date-parts" : [ [ "2014", "1" ] ] }, "language" : "eng", "page" : "34-36", "publisher-place" : "Netherlands", "title" : "Presepsin (sCD14-ST) in emergency department: the need for adapted threshold values?", "type" : "article-journal", "volume" : "427" }, "uris" : [ "http://www.mendeley.com/documents/?uuid=ec805ebf-4ba4-4ecf-bf0d-e5d597ab4bbb" ] } ], "mendeley" : { "formattedCitation" : "&lt;sup&gt;[60]&lt;/sup&gt;", "plainTextFormattedCitation" : "[60]", "previouslyFormattedCitation" : "&lt;sup&gt;[60]&lt;/sup&gt;"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[60]</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From a clinical point of view, little information is available on the accurate association between presepsin level and kidney function. </w:t>
      </w:r>
      <w:r w:rsidR="00664A42" w:rsidRPr="00664A42">
        <w:rPr>
          <w:rFonts w:ascii="Book Antiqua" w:eastAsiaTheme="minorEastAsia" w:hAnsi="Book Antiqua" w:cs="Times"/>
          <w:i/>
          <w:lang w:val="en-US" w:eastAsia="en-US"/>
        </w:rPr>
        <w:t>Nagata et al</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"10.1371/journal.pone.0129159", "ISSN" : "1932-6203 (Electronic)", "PMID" : "26030716", "abstract" : "OBJECTIVE: Presepsin is highlighted as a diagnostic and prognostic marker of sepsis. Little information is available regarding the accurate association between presepsin levels and the degree of kidney function. We analyzed presepsin levels in patients with a glomerular filtration rate (GFR) in the categories G1 to G5, evaluated via inulin renal clearance test, and receiving hemodialysis (HD). METHODS: Patients who were not receiving HD were included if they had undergone inulin renal clearance measurements for the accurate measurement of GFR (measured GFR), and patients who were receiving hemodialysis (HD) were included if they had anuria. Exclusion criteria were infection, cancer, liver disease, autoimmune disorders, or steroid or immunosuppressant use. GFR category was defined as follows; G1: GFR &gt;/= 90 ml/min/1.73 m2, G2: GFR = 60 to 90 ml/min/1.73 m2, G3: GFR = 30 to 60 ml/min/1.73 m2, G4: GFR = 15 to 30 ml/min/1.73 m2, G5: GFR &lt;/= 15 ml/min/1.73 m2. RESULTS: Seventy-one patients were included. The median (IQR) presepsin values of patients in each GFR category were as follows: G1 + G2: 69.8 (60.8-85.9) pg/ml; G3: 107.0 (68.7-150.0) pg/ml; G4: 171.0 (117.0-200.0) pg/ml; G5: 251.0 (213.0-297.5) pg/ml; and HD: 1160.0 (1070.0-1400.0) pg/ml. The log-transformed presepsin values, excluding patients receiving HD, inversely correlated with the measured GFR (Pearson's correlation coefficient = -0.687, P &lt; 0.001). The multivariate analysis revealed that measured GFR and hemoglobin levels significantly correlated with elevated presepsin levels. CONCLUSION: Presepsin levels were markedly high in patients receiving HD, similar to values seen in patients with severe sepsis or septic shock. In patients who were not receiving HD, presepsin levels increased as GFR decreased. Thus, the evaluation of presepsin levels in patients with chronic kidney disease requires further consideration, and a different cutoff value is needed for diagnosing sepsis in such patients.", "author" : [ { "dropping-particle" : "", "family" : "Nagata", "given" : "Takanobu", "non-dropping-particle" : "", "parse-names" : false, "suffix" : "" }, { "dropping-particle" : "", "family" : "Yasuda", "given" : "Yoshinari", "non-dropping-particle" : "", "parse-names" : false, "suffix" : "" }, { "dropping-particle" : "", "family" : "Ando", "given" : "Masahiko", "non-dropping-particle" : "", "parse-names" : false, "suffix" : "" }, { "dropping-particle" : "", "family" : "Abe", "given" : "Tomoko", "non-dropping-particle" : "", "parse-names" : false, "suffix" : "" }, { "dropping-particle" : "", "family" : "Katsuno", "given" : "Takayuki", "non-dropping-particle" : "", "parse-names" : false, "suffix" : "" }, { "dropping-particle" : "", "family" : "Kato", "given" : "Sawako", "non-dropping-particle" : "", "parse-names" : false, "suffix" : "" }, { "dropping-particle" : "", "family" : "Tsuboi", "given" : "Naotake", "non-dropping-particle" : "", "parse-names" : false, "suffix" : "" }, { "dropping-particle" : "", "family" : "Matsuo", "given" : "Seiichi", "non-dropping-particle" : "", "parse-names" : false, "suffix" : "" }, { "dropping-particle" : "", "family" : "Maruyama", "given" : "Shoichi", "non-dropping-particle" : "", "parse-names" : false, "suffix" : "" } ], "container-title" : "PloS one", "id" : "ITEM-1", "issue" : "6", "issued" : { "date-parts" : [ [ "2015" ] ] }, "language" : "eng", "page" : "e0129159", "publisher-place" : "United States", "title" : "Clinical impact of kidney function on presepsin levels.", "type" : "article-journal", "volume" : "10" }, "uris" : [ "http://www.mendeley.com/documents/?uuid=41d45516-660e-4377-94f4-64e14d3ab9f6" ] } ], "mendeley" : { "formattedCitation" : "&lt;sup&gt;[61]&lt;/sup&gt;", "plainTextFormattedCitation" : "[61]", "previouslyFormattedCitation" : "&lt;sup&gt;[61]&lt;/sup&gt;"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[61]</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 xml:space="preserve"> reported that presepsin levels tend to increase with decreasing glomerular filtration rate – assessed by </w:t>
      </w:r>
      <w:r w:rsidRPr="00664A42">
        <w:rPr>
          <w:rFonts w:ascii="Book Antiqua" w:hAnsi="Book Antiqua" w:cs="Times"/>
          <w:lang w:val="en-US"/>
        </w:rPr>
        <w:t xml:space="preserve">inulin renal clearance measurements – </w:t>
      </w:r>
      <w:r w:rsidRPr="00664A42">
        <w:rPr>
          <w:rFonts w:ascii="Book Antiqua" w:eastAsiaTheme="minorEastAsia" w:hAnsi="Book Antiqua" w:cs="Times"/>
          <w:lang w:val="en-US" w:eastAsia="en-US"/>
        </w:rPr>
        <w:t xml:space="preserve">and are markedly high in patients with chronic renal failure or receiving hemodialysis. </w:t>
      </w:r>
      <w:r w:rsidR="00664A42" w:rsidRPr="00664A42">
        <w:rPr>
          <w:rFonts w:ascii="Book Antiqua" w:eastAsiaTheme="minorEastAsia" w:hAnsi="Book Antiqua" w:cs="Times"/>
          <w:i/>
          <w:lang w:val="en-US" w:eastAsia="en-US"/>
        </w:rPr>
        <w:t>Nakamura et al</w:t>
      </w:r>
      <w:r w:rsidRPr="00664A42">
        <w:rPr>
          <w:rFonts w:ascii="Book Antiqua" w:eastAsiaTheme="minorEastAsia" w:hAnsi="Book Antiqua"/>
          <w:lang w:val="en-US" w:eastAsia="en-US"/>
        </w:rPr>
        <w:fldChar w:fldCharType="begin" w:fldLock="1"/>
      </w:r>
      <w:r w:rsidRPr="00664A42">
        <w:rPr>
          <w:rFonts w:ascii="Book Antiqua" w:eastAsiaTheme="minorEastAsia" w:hAnsi="Book Antiqua"/>
          <w:lang w:val="en-US" w:eastAsia="en-US"/>
        </w:rPr>
        <w:instrText>ADDIN CSL_CITATION { "citationItems" : [ { "id" : "ITEM-1", "itemData" : { "DOI" : "10.1186/1471-2253-14-88", "ISSN" : "1471-2253 (Electronic)", "PMID" : "25309126", "abstract" : "BACKGROUND: Presepsin is useful for differentiating sepsis from non-infection related systemic inflammatory response syndrome. However, there are no studies investigating the usefulness of presepsin in diagnosing sepsis involving patients with acute kidney injury (AKI). The purpose of this study is to determine levels of blood presepsin in patients with or without sepsis and among non-AKI patients or patients with different degrees of AKI severity. METHODS: This is a single center retrospective study. 247 patients admitted to the ICU between June 2010 and October 2012 were analyzed for their presepsin levels. We classified the patients into non-AKI and AKI according to the RIFLE (Risk, Injury, Failure, and Loss of kidney function and End-stage kidney disease or simply Loss and ESKD) criteria. We then sub-classified the patients in each group into either non-sepsis or sepsis sub-group and analyzed the accuracy of diagnosing sepsis based on their levels of presepsin. RESULTS: The number of patients for each group was: non-AKI, 112; under AKI: Risk, 50; Injury, 36; Failure, 42; Loss and ESKD, 7. The levels of presepsin in sepsis groups were significantly higher than that in the non-sepsis group among the non-AKI, Risk and Injury patients (p &lt; 0.0001, p &lt; 0.01, p &lt; 0.01, respectively). However, no significant difference in the level of presepsin between non-sepsis and sepsis groups among patients with Failure. In the receiver operating characteristic (ROC) analysis, the area under the curve (AUC) was 0.784 in the non-AKI group and 0.698 in the AKI comprising Risk, Injury and Failure groups. AUC value for non-AKI was not significantly different from that of AKI (p = 0.200). When 670 pg/mL was used as the cutoff value for presepsin, sensitivity and specificity were 70.3% and 81.3%, respectively. When 864 pg/mL was used as the cutoff value for presepsin, sensitivity and specificity were 71.4% and 63.8%, respectively. CONCLUSIONS: Presepsin level can be a reliable indicator of sepsis not only among non-AKI patients but also patients with less severe forms of AKI. However, it may not be a reliable indicator of sepsis in patients with a more advanced form of AKI.", "author" : [ { "dropping-particle" : "", "family" : "Nakamura", "given" : "Yoshihiko", "non-dropping-particle" : "", "parse-names" : false, "suffix" : "" }, { "dropping-particle" : "", "family" : "Ishikura", "given" : "Hiroyasu", "non-dropping-particle" : "", "parse-names" : false, "suffix" : "" }, { "dropping-particle" : "", "family" : "Nishida", "given" : "Takeshi", "non-dropping-particle" : "", "parse-names" : false, "suffix" : "" }, { "dropping-particle" : "", "family" : "Kawano", "given" : "Yasumasa", "non-dropping-particle" : "", "parse-names" : false, "suffix" : "" }, { "dropping-particle" : "", "family" : "Yuge", "given" : "Rie", "non-dropping-particle" : "", "parse-names" : false, "suffix" : "" }, { "dropping-particle" : "", "family" : "Ichiki", "given" : "Reiko", "non-dropping-particle" : "", "parse-names" : false, "suffix" : "" }, { "dropping-particle" : "", "family" : "Murai", "given" : "Akira", "non-dropping-particle" : "", "parse-names" : false, "suffix" : "" } ], "container-title" : "BMC anesthesiology", "id" : "ITEM-1", "issued" : { "date-parts" : [ [ "2014" ] ] }, "language" : "eng", "page" : "88", "publisher-place" : "England", "title" : "Usefulness of presepsin in the diagnosis of sepsis in patients with or without acute kidney injury.", "type" : "article-journal", "volume" : "14" }, "uris" : [ "http://www.mendeley.com/documents/?uuid=3098e8c5-ee51-48b5-8463-676f40638885" ] } ], "mendeley" : { "formattedCitation" : "&lt;sup&gt;[62]&lt;/sup&gt;", "plainTextFormattedCitation" : "[62]", "previouslyFormattedCitation" : "&lt;sup&gt;[62]&lt;/sup&gt;" }, "properties" : { "noteIndex" : 0 }, "schema" : "https://github.com/citation-style-language/schema/raw/master/csl-citation.json" }</w:instrText>
      </w:r>
      <w:r w:rsidRPr="00664A42">
        <w:rPr>
          <w:rFonts w:ascii="Book Antiqua" w:eastAsiaTheme="minorEastAsia" w:hAnsi="Book Antiqua"/>
          <w:lang w:val="en-US" w:eastAsia="en-US"/>
        </w:rPr>
        <w:fldChar w:fldCharType="separate"/>
      </w:r>
      <w:r w:rsidRPr="00664A42">
        <w:rPr>
          <w:rFonts w:ascii="Book Antiqua" w:eastAsiaTheme="minorEastAsia" w:hAnsi="Book Antiqua"/>
          <w:noProof/>
          <w:vertAlign w:val="superscript"/>
          <w:lang w:val="en-US" w:eastAsia="en-US"/>
        </w:rPr>
        <w:t>[62]</w:t>
      </w:r>
      <w:r w:rsidRPr="00664A42">
        <w:rPr>
          <w:rFonts w:ascii="Book Antiqua" w:eastAsiaTheme="minorEastAsia" w:hAnsi="Book Antiqua"/>
          <w:lang w:val="en-US" w:eastAsia="en-US"/>
        </w:rPr>
        <w:fldChar w:fldCharType="end"/>
      </w:r>
      <w:r w:rsidRPr="00664A42">
        <w:rPr>
          <w:rFonts w:ascii="Book Antiqua" w:eastAsiaTheme="minorEastAsia" w:hAnsi="Book Antiqua"/>
          <w:lang w:val="en-US" w:eastAsia="en-US"/>
        </w:rPr>
        <w:t xml:space="preserve"> </w:t>
      </w:r>
      <w:r w:rsidRPr="00664A42">
        <w:rPr>
          <w:rFonts w:ascii="Book Antiqua" w:eastAsiaTheme="minorEastAsia" w:hAnsi="Book Antiqua" w:cs="Times"/>
          <w:lang w:val="en-US" w:eastAsia="en-US"/>
        </w:rPr>
        <w:t>retrospectively analyzed presepsin levels in patients with or without sepsis presenting in the ICU, and found that presepsin levels were markedly high in patients with renal failure and end-stage kidney disease.</w:t>
      </w:r>
      <w:r w:rsidRPr="00664A42">
        <w:rPr>
          <w:rFonts w:ascii="Book Antiqua" w:eastAsiaTheme="minorEastAsia" w:hAnsi="Book Antiqua"/>
          <w:lang w:val="en-US" w:eastAsia="en-US"/>
        </w:rPr>
        <w:t xml:space="preserve"> </w:t>
      </w:r>
      <w:r w:rsidRPr="00664A42">
        <w:rPr>
          <w:rFonts w:ascii="Book Antiqua" w:hAnsi="Book Antiqua"/>
          <w:lang w:val="en-GB"/>
        </w:rPr>
        <w:t xml:space="preserve">Accordingly, we </w:t>
      </w:r>
      <w:r w:rsidRPr="00664A42">
        <w:rPr>
          <w:rFonts w:ascii="Book Antiqua" w:hAnsi="Book Antiqua" w:cs="Times"/>
          <w:lang w:val="en-GB"/>
        </w:rPr>
        <w:t>evaluated the impact of kidney function on presepsin levels. Significant correlation was found between presepsin and serum creatinine level (</w:t>
      </w:r>
      <w:r w:rsidRPr="00664A42">
        <w:rPr>
          <w:rFonts w:ascii="Book Antiqua" w:hAnsi="Book Antiqua"/>
          <w:lang w:val="en-US"/>
        </w:rPr>
        <w:t xml:space="preserve">Spearman’s rho:  +0.36, </w:t>
      </w:r>
      <w:r w:rsidR="00664A42" w:rsidRPr="00664A42">
        <w:rPr>
          <w:rFonts w:ascii="Book Antiqua" w:hAnsi="Book Antiqua"/>
          <w:i/>
          <w:lang w:val="en-US"/>
        </w:rPr>
        <w:t>P</w:t>
      </w:r>
      <w:r w:rsidR="00664A42" w:rsidRPr="00664A42">
        <w:rPr>
          <w:rFonts w:ascii="Book Antiqua" w:hAnsi="Book Antiqua" w:hint="eastAsia"/>
          <w:lang w:val="en-US" w:eastAsia="zh-CN"/>
        </w:rPr>
        <w:t xml:space="preserve"> </w:t>
      </w:r>
      <w:r w:rsidRPr="00664A42">
        <w:rPr>
          <w:rFonts w:ascii="Book Antiqua" w:hAnsi="Book Antiqua"/>
          <w:bCs/>
          <w:lang w:val="en-US"/>
        </w:rPr>
        <w:t>&lt; 0.001).</w:t>
      </w:r>
      <w:r w:rsidRPr="00664A42">
        <w:rPr>
          <w:rFonts w:ascii="Book Antiqua" w:hAnsi="Book Antiqua" w:cs="Times"/>
          <w:lang w:val="en-GB"/>
        </w:rPr>
        <w:t xml:space="preserve"> </w:t>
      </w:r>
      <w:r w:rsidRPr="00664A42">
        <w:rPr>
          <w:rFonts w:ascii="Book Antiqua" w:hAnsi="Book Antiqua" w:cs="Times"/>
          <w:lang w:val="en-US"/>
        </w:rPr>
        <w:t>Furthermore, in a small subgroup of patients with renal failure, presepsin values were markedly high even in the absence of infection, at comparable levels to those of bacterial infection but wit</w:t>
      </w:r>
      <w:r w:rsidR="00664A42" w:rsidRPr="00664A42">
        <w:rPr>
          <w:rFonts w:ascii="Book Antiqua" w:hAnsi="Book Antiqua" w:cs="Times"/>
          <w:lang w:val="en-US"/>
        </w:rPr>
        <w:t xml:space="preserve">hout renal failure (1011 </w:t>
      </w:r>
      <w:r w:rsidR="00664A42" w:rsidRPr="00664A42">
        <w:rPr>
          <w:rFonts w:ascii="Book Antiqua" w:hAnsi="Book Antiqua" w:cs="Times"/>
          <w:i/>
          <w:lang w:val="en-US"/>
        </w:rPr>
        <w:t>vs</w:t>
      </w:r>
      <w:r w:rsidRPr="00664A42">
        <w:rPr>
          <w:rFonts w:ascii="Book Antiqua" w:hAnsi="Book Antiqua" w:cs="Times"/>
          <w:lang w:val="en-US"/>
        </w:rPr>
        <w:t xml:space="preserve"> 774 pg/mL). These results suggest that the evaluation of presepsin levels in cirrhosis warrants special consideration during AD episodes complicated by AKI, and probably a different cut-off is needed for diagnosing infection in such patients.</w:t>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eastAsiaTheme="minorEastAsia" w:hAnsi="Book Antiqua" w:cs="Times"/>
          <w:lang w:val="en-US" w:eastAsia="en-US"/>
        </w:rPr>
        <w:tab/>
        <w:t xml:space="preserve">Third aim of our study </w:t>
      </w:r>
      <w:r w:rsidRPr="00664A42">
        <w:rPr>
          <w:rFonts w:ascii="Book Antiqua" w:eastAsiaTheme="minorEastAsia" w:hAnsi="Book Antiqua"/>
          <w:lang w:val="en-US" w:eastAsia="en-US"/>
        </w:rPr>
        <w:t xml:space="preserve">was to assess whether presepsin is able to provide </w:t>
      </w:r>
      <w:r w:rsidRPr="00664A42">
        <w:rPr>
          <w:rFonts w:ascii="Book Antiqua" w:eastAsiaTheme="minorEastAsia" w:hAnsi="Book Antiqua" w:cs="Times"/>
          <w:lang w:val="en-US" w:eastAsia="en-US"/>
        </w:rPr>
        <w:t>prognostic information</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in cirrhosis associated bacterial infections. Studies in this clinical setting only exist regarding CRP</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"DOI" : "10.1097/MEG.0000000000000676", "ISSN" : "1473-5687 (Electronic)", "PMID" : "27271159", "abstract" : "BACKGROUND/AIMS: The variations in C-reactive protein (CRP) levels have been reported to have prognostic significance in decompensated cirrhotic patients. We aimed to provide an external validation of a prognostic model combining model for end-stage liver disease (MELD) and 'sustained high CRP levels' as main variables and to optimize the model to the context of liver transplantation by focusing on 3-month mortality with no consideration of severe chronic extrahepatic diseases. PATIENTS AND METHODS: Data from cirrhotic patients enrolled in the CANONIC study were collected. Multivariate analyses used the competing risk model. The prognostic performance [area under receiver operating characteristic curve (AUROC)] of the model incorporating CRP variations within 15 days was compared with that of the MELD score alone. RESULTS: 583 decompensated cirrhotic patients with Child-Pugh more than B7 and serial CRP measures available were included. Of these, 111 patients had baseline CRP at least 29 mg/l and 60 still had CRP at least 29 mg/l at day 15+/-6 (group A). Multivariate analysis (competing risk) identified three predictors of 3-month mortality: high MELD score [hazard ratio (HR)=1.14; 95% confidence intervals (CI): 1.11-1.17, P&lt;0.001], age (HR=1.04; 95% CI: 1.02-1.06, P&lt;0.001), and group A (HR=1.69; 95% CI: 1.01-2.81, P=0.046). The performance of the three variables taken together for predicting 3-month mortality was 0.796 (AUROC), which was significantly higher than that of the MELD score (AUROC=0.769; P=0.019). CONCLUSION: In Child-Pugh higher than B7 cirrhotic patients with decompensation, prognostic models incorporating variations in CRP within 15 days and age predict 3-month mortality better than the MELD score alone. Such models would improve the ranking of candidates for liver transplantation by differentiating the severe patients with persistent systemic inflammation and intermediate MELD scores.", "author" : [ { "dropping-particle" : "", "family" : "Cervoni", "given" : "Jean-Paul", "non-dropping-particle" : "", "parse-names" : false, "suffix" : "" }, { "dropping-particle" : "", "family" : "Amoros", "given" : "Alex", "non-dropping-particle" : "", "parse-names" : false, "suffix" : "" }, { "dropping-particle" : "", "family" : "Banares", "given" : "Rafael", "non-dropping-particle" : "", "parse-names" : false, "suffix" : "" }, { "dropping-particle" : "", "family" : "Luis Montero", "given" : "Jose", "non-dropping-particle" : "", "parse-names" : false, "suffix" : "" }, { "dropping-particle" : "", "family" : "Soriano", "given" : "German", "non-dropping-particle" : "", "parse-names" : false, "suffix" : "" }, { "dropping-particle" : "", "family" : "Weil", "given" : "Delphine", "non-dropping-particle" : "", "parse-names" : false, "suffix" : "" }, { "dropping-particle" : "", "family" : "Moreau", "given" : "Richard", "non-dropping-particle" : "", "parse-names" : false, "suffix" : "" }, { "dropping-particle" : "", "family" : "Pavesi", "given" : "Marco", "non-dropping-particle" : "", "parse-names" : false, "suffix" : "" }, { "dropping-particle" : "", "family" : "Thevenot", "given" : "Thierry", "non-dropping-particle" : "", "parse-names" : false, "suffix" : "" }, { "dropping-particle" : "", "family" : "Martino", "given" : "Vincent", "non-dropping-particle" : "Di", "parse-names" : false, "suffix" : "" } ], "container-title" : "European journal of gastroenterology &amp; hepatology", "id" : "ITEM-1", "issued" : { "date-parts" : [ [ "2016", "6" ] ] }, "language" : "ENG", "title" : "Prognostic value of C-reactive protein in cirrhosis: external validation from the CANONIC cohort.", "type" : "article-journal" }, "uris" : [ "http://www.mendeley.com/documents/?uuid=6dc81ca2-c66f-4e1d-ad75-8918385ae404" ] }, { "id" : "ITEM-2", "itemData" : { "DOI" : "10.1002/lt.24088", "ISSN" : "1527-6473 (Electronic)", "PMID" : "25677965", "abstract" : "I dentifying cirrhosis with a poor short-term prognosis remains crucial for improving the allocation of liver grafts. The purpose of this study was to assess the prognostic value of a model combining the variation of C-reactive protein (CRP) levels within 15 days, the Model for End-Stage Liver Disease (MELD) score, and the presence of comorbidities in patients with decompensated cirrhosis with a Child-Pugh score &gt; B7 and to test the relevance of this model in patients with compensated cirrhosis. We collected data for cirrhotic patients without hepatocellular carcinoma, extrahepatic malignancy, human immunodeficiency virus infection, organ transplantation, seen between January 2010 and December 2011. Multivariate analyses of predictors of 3-month mortality used Cox models adjusted with the age-adjusted Charlson comorbidity index. The prognostic performance [area under receiver operating characteristic curves (AUROCs)] of the 3-variable model was compared to that of the MELD score. The 241 patients who met the inclusion criteria included 109 patients with a Child-Pugh score &gt; B7 who were hospitalized for decompensation. In these patients with severe cases, the 3-month mortality was independently predicted by the MELD score [hazard ratio (HR), 1.10; 95% confidence interval (CI), 1.05-1.14; P &lt; 0.001] and a CRP level &gt; 32 mg/L at the baseline and on day 15 (HR, 2.21; 95% CI, 1.03-4.76; P = 0.042). This model was better than MELD alone (AUROC, 0.789 versus 0.734; P = 0.043). In the whole population with cirrhosis, the 3-month mortality was also predicted by high MELD scores (HR, 1.11; 95% CI, 1.07-1.16; P &lt; 0.001) and a CRP level &gt; 10 mg/L at the baseline and on day 15 (HR, 2.89; 95% CI, 1.29-6.48; P &lt; 0.001), but the AUROCs of the 3-variable model and the MELD score alone were no longer significantly different (0.89 versus 0.88, not significant). In conclusion, prognostic models incorporating variations in CRP predict 3-month mortality in patients with cirrhosis. Such models are particularly relevant for patients with decompensated cirrhosis but provide a limited increase in prediction in comparison with the MELD score in the whole population with cirrhosis.", "author" : [ { "dropping-particle" : "", "family" : "Martino", "given" : "Vincent", "non-dropping-particle" : "Di", "parse-names" : false, "suffix" : "" }, { "dropping-particle" : "", "family" : "Coutris", "given" : "Caroline", "non-dropping-particle" : "", "parse-names" : false, "suffix" : "" }, { "dropping-particle" : "", "family" : "Cervoni", "given" : "Jean-Paul", "non-dropping-particle" : "", "parse-names" : false, "suffix" : "" }, { "dropping-particle" : "", "family" : "Dritsas", "given" : "Stavros", "non-dropping-particle" : "", "parse-names" : false, "suffix" : "" }, { "dropping-particle" : "", "family" : "Weil", "given" : "Delphine", "non-dropping-particle" : "", "parse-names" : false, "suffix" : "" }, { "dropping-particle" : "", "family" : "Richou", "given" : "Carine", "non-dropping-particle" : "", "parse-names" : false, "suffix" : "" }, { "dropping-particle" : "", "family" : "Vanlemmens", "given" : "Claire", "non-dropping-particle" : "", "parse-names" : false, "suffix" : "" }, { "dropping-particle" : "", "family" : "Thevenot", "given" : "Thierry", "non-dropping-particle" : "", "parse-names" : false, "suffix" : "" } ], "container-title" : "Liver transplantation : official publication of the American Association for the  Study of Liver Diseases and the International Liver Transplantation Society", "id" : "ITEM-2", "issue" : "6", "issued" : { "date-parts" : [ [ "2015", "6" ] ] }, "language" : "eng", "page" : "753-760", "publisher-place" : "United States", "title" : "Prognostic value of C-reactive protein levels in patients with cirrhosis.", "type" : "article-journal", "volume" : "21" }, "uris" : [ "http://www.mendeley.com/documents/?uuid=ea879643-0543-4574-a067-2be82208c232" ] }, { "id" : "ITEM-3", "itemData" : { "DOI" : "10.3904/kjim.2011.26.2.195", "ISSN" : "2005-6648 (Electronic)", "PMID" : "21716910", "abstract" : "BACKGROUND/AIMS: The purpose of this study was to evaluate the value of initial C-reactive protein (CRP) as a predictor of clinical outcome and to investigate whether follow-up CRP measurement is useful for the prediction of the clinical outcome of bloodstream infections in patients with liver cirrhosis (LC), whose CRP production in response to infection may be attenuated. METHODS: A retrospective, observational study including 202 LC patients with Escherichia coli or Klebsiella pneumoniae bacteremia was conducted to assess the usefulness of serial CRP measurements in predicting clinical outcome in LC patients. The CRP ratio was defined as the ratio of the follow-up CRP level to the initial CRP level. RESULTS: The overall 30-day mortality rate of the study population was 23.8% (48/202). In the multivariate analysis, advanced age (&gt;/= 70 years), healthcare-associated or nosocomial infections, model for end-stage liver disease (MELD) score of &gt;/= 30, and initial body temperature of &lt; 37 were significant factors associated with mortality (all p &lt; 0.05). No association between initial CRP level and mortality was found. In a further analysis including 87 evaluable cases who had repeated CRP measurements at day 4 and/or 5, a CRP ratio of &gt;/= 0.7 was found to be a significant factor associated with mortality (odds ratio, 19.12; 95% confidence interval, 1.32 to 276.86; p = 0.043) after adjusting for other confounding variables. CONCLUSIONS: Initial CRP level did not predict mortality of sepsis in LC patients. However, serial CRP measurements during the first week of antimicrobial therapy may be useful as a prognostic factor for mortality in LC patients.", "author" : [ { "dropping-particle" : "", "family" : "Ha", "given" : "Young Eun", "non-dropping-particle" : "", "parse-names" : false, "suffix" : "" }, { "dropping-particle" : "", "family" : "Kang", "given" : "Cheol-In", "non-dropping-particle" : "", "parse-names" : false, "suffix" : "" }, { "dropping-particle" : "", "family" : "Joo", "given" : "Eun-Jeong", "non-dropping-particle" : "", "parse-names" : false, "suffix" : "" }, { "dropping-particle" : "", "family" : "Joung", "given" : "Mi-Kyong", "non-dropping-particle" : "", "parse-names" : false, "suffix" : "" }, { "dropping-particle" : "", "family" : "Chung", "given" : "Doo Ryeon", "non-dropping-particle" : "", "parse-names" : false, "suffix" : "" }, { "dropping-particle" : "", "family" : "Peck", "given" : "Kyong Ran", "non-dropping-particle" : "", "parse-names" : false, "suffix" : "" }, { "dropping-particle" : "", "family" : "Lee", "given" : "Nam Yong", "non-dropping-particle" : "", "parse-names" : false, "suffix" : "" }, { "dropping-particle" : "", "family" : "Song", "given" : "Jae-Hoon", "non-dropping-particle" : "", "parse-names" : false, "suffix" : "" } ], "container-title" : "The Korean journal of internal medicine", "id" : "ITEM-3", "issue" : "2", "issued" : { "date-parts" : [ [ "2011", "6" ] ] }, "language" : "eng", "page" : "195-200", "publisher-place" : "Korea (South)", "title" : "Usefulness of C-reactive protein for evaluating clinical outcomes in cirrhotic patients with bacteremia.", "type" : "article-journal", "volume" : "26" }, "uris" : [ "http://www.mendeley.com/documents/?uuid=48235222-9a0d-4702-98ec-9621c7edb792" ] }, { "id" : "ITEM-4", "itemData" : { "DOI" : "10.1186/1741-7015-10-102", "ISSN" : "1741-7015 (Electronic)", "PMID" : "22967278", "abstract" : "BACKGROUND: Interleukin-22 (IL-22), recently identified as a crucial parameter of pathology in experimental liver damage, may determine survival in clinical end-stage liver disease. Systematic analysis of serum IL-22 in relation to morbidity and mortality of patients with advanced liver cirrhosis has not been performed so far. METHODS: This is a prospective cohort study including 120 liver cirrhosis patients and 40 healthy donors to analyze systemic levels of IL-22 in relation to survival and hepatic complications. RESULTS: A total of 71% of patients displayed liver cirrhosis-related complications at study inclusion. A total of 23% of the patients died during a mean follow-up of 196 +/- 165 days. Systemic IL-22 was detectable in 74% of patients but only in 10% of healthy donors (P &lt; 0.001). Elevated levels of IL-22 were associated with ascites (P = 0.006), hepatorenal syndrome (P &lt; 0.0001), and spontaneous bacterial peritonitis (P = 0.001). Patients with elevated IL-22 (&gt;18 pg/ml, n = 57) showed significantly reduced survival compared to patients with regular (&lt;/=18 pg/ml) levels of IL-22 (321 days versus 526 days, P = 0.003). Other factors associated with reduced overall survival were high CRP (&gt;/=2.9 mg/dl, P = 0.005, hazard ratio (HR) 0.314, confidence interval (CI) (0.141 to 0.702)), elevated serum creatinine (P = 0.05, HR 0.453, CI (0.203 to 1.012)), presence of liver-related complications (P = 0.028, HR 0.258, CI (0.077 to 0.862)), model of end stage liver disease (MELD) score &gt;/=20 (P = 0.017, HR 0.364, CI (0.159 to 0.835)) and age (P = 0.011, HR 0.955, CI (0.922 to 0.989)). Adjusted multivariate Cox proportional-hazards analysis identified elevated systemic IL-22 levels as independent predictors of reduced survival (P = 0.007, HR 0.218, CI (0.072 to 0.662)). CONCLUSIONS: In patients with liver cirrhosis, elevated systemic IL-22 levels are predictive for reduced survival independently from age, liver-related complications, CRP, creatinine and the MELD score. Thus, processes that lead to a rise in systemic interleukin-22 may be relevant for prognosis of advanced liver cirrhosis.", "author" : [ { "dropping-particle" : "", "family" : "Kronenberger", "given" : "Bernd", "non-dropping-particle" : "", "parse-names" : false, "suffix" : "" }, { "dropping-particle" : "", "family" : "Rudloff", "given" : "Ina", "non-dropping-particle" : "", "parse-names" : false, "suffix" : "" }, { "dropping-particle" : "", "family" : "Bachmann", "given" : "Malte", "non-dropping-particle" : "", "parse-names" : false, "suffix" : "" }, { "dropping-particle" : "", "family" : "Brunner", "given" : "Friederike", "non-dropping-particle" : "", "parse-names" : false, "suffix" : "" }, { "dropping-particle" : "", "family" : "Kapper", "given" : "Lisa", "non-dropping-particle" : "", "parse-names" : false, "suffix" : "" }, { "dropping-particle" : "", "family" : "Filmann", "given" : "Natalie", "non-dropping-particle" : "", "parse-names" : false, "suffix" : "" }, { "dropping-particle" : "", "family" : "Waidmann", "given" : "Oliver", "non-dropping-particle" : "", "parse-names" : false, "suffix" : "" }, { "dropping-particle" : "", "family" : "Herrmann", "given" : "Eva", "non-dropping-particle" : "", "parse-names" : false, "suffix" : "" }, { "dropping-particle" : "", "family" : "Pfeilschifter", "given" : "Josef", "non-dropping-particle" : "", "parse-names" : false, "suffix" : "" }, { "dropping-particle" : "", "family" : "Zeuzem", "given" : "Stefan", "non-dropping-particle" : "", "parse-names" : false, "suffix" : "" }, { "dropping-particle" : "", "family" : "Piiper", "given" : "Albrecht", "non-dropping-particle" : "", "parse-names" : false, "suffix" : "" }, { "dropping-particle" : "", "family" : "Muhl", "given" : "Heiko", "non-dropping-particle" : "", "parse-names" : false, "suffix" : "" } ], "container-title" : "BMC medicine", "id" : "ITEM-4", "issued" : { "date-parts" : [ [ "2012" ] ] }, "language" : "eng", "page" : "102", "publisher-place" : "England", "title" : "Interleukin-22 predicts severity and death in advanced liver cirrhosis: a prospective cohort study.", "type" : "article-journal", "volume" : "10" }, "uris" : [ "http://www.mendeley.com/documents/?uuid=6b4a3617-8aff-49b2-bcc5-34aaaf38796e" ] }, { "id" : "ITEM-5", "itemData" : { "DOI" : "10.1186/s12876-015-0378-z", "ISSN" : "1471-230X (Electronic)", "PMID" : "26498833", "abstract" : "BACKGROUND: The role of clinical parameters such as systemic inflammatory response syndrome (SIRS) criteria in predicting the infection remains unclear in cirrhosis patients. The aim was to evaluate the usefulness of inflammatory markers including C-reactive protein (CRP) and the neutrophil-to-lymphocyte ratio (NLR) for diagnosis of infection and predicting the outcomes in hospitalized cirrhotic patients. METHODS: The study included 184 cirrhotic patients consecutively hospitalized from 2011 to 2012. The presence of overt infection and survival was evaluated. CRP concentration, NLR, Model for End-Stage Liver Disease (MELD) score and the presence of SIRS were assessed. RESULTS: The main cause of admission was uncontrolled ascites (36.4 %), followed by varix bleeding (23.9 %), and hepatic encephalopathy (13.6 %). Fifty-eight patients (31.5 %) had overt infection during hospitalization and thirty-two patients (17.4 %) expired during the follow up period (median 38 months). Ninety-two patients (52.2 %) fulfilled the SIRS criteria and among them, only 32 patients (38.5 %) had the overt infection. For diagnose of the infection, baseline CRP concentration was a significant factor compared to the presence of SIRS (odds ratio 1.202, P = 0.003). For predicting one-month short-term survival, MELD score, NLR and WBC count were significant factors but in Child-Pugh class C patients, NLR was only an independent factor. CONCLUSIONS: CRP was a significant indicator of infection in hospitalized cirrhotic patients and a NLR was a useful predictor of 1-month survival, particularly in Child-Pugh class C patients. This study suggests that the inflammatory markers such as CRP and NLR can help identify cirrhotic patients at risk of unfavorable outcomes.", "author" : [ { "dropping-particle" : "", "family" : "Kwon", "given" : "Jung Hyun", "non-dropping-particle" : "", "parse-names" : false, "suffix" : "" }, { "dropping-particle" : "", "family" : "Jang", "given" : "Jeong Won", "non-dropping-particle" : "", "parse-names" : false, "suffix" : "" }, { "dropping-particle" : "", "family" : "Kim", "given" : "Young Woon", "non-dropping-particle" : "", "parse-names" : false, "suffix" : "" }, { "dropping-particle" : "", "family" : "Lee", "given" : "Sung Won", "non-dropping-particle" : "", "parse-names" : false, "suffix" : "" }, { "dropping-particle" : "", "family" : "Nam", "given" : "Soon Woo", "non-dropping-particle" : "", "parse-names" : false, "suffix" : "" }, { "dropping-particle" : "", "family" : "Jaegal", "given" : "Dongwook", "non-dropping-particle" : "", "parse-names" : false, "suffix" : "" }, { "dropping-particle" : "", "family" : "Lee", "given" : "Seungok", "non-dropping-particle" : "", "parse-names" : false, "suffix" : "" }, { "dropping-particle" : "", "family" : "Bae", "given" : "Si Hyun", "non-dropping-particle" : "", "parse-names" : false, "suffix" : "" } ], "container-title" : "BMC gastroenterology", "id" : "ITEM-5", "issued" : { "date-parts" : [ [ "2015" ] ] }, "language" : "eng", "page" : "146", "publisher-place" : "England", "title" : "The usefulness of C-reactive protein and neutrophil-to-lymphocyte ratio for predicting the outcome in hospitalized patients with liver cirrhosis.", "type" : "article-journal", "volume" : "15" }, "uris" : [ "http://www.mendeley.com/documents/?uuid=013dc955-2c88-49b4-a071-057c4f70cbf6" ] }, { "id" : "ITEM-6", "itemData" : { "DOI" : "10.1371/journal.pone.0086884", "ISSN" : "1932-6203 (Electronic)", "PMID" : "24466280", "abstract" : "BACKGROUND: Spontaneous bacterial peritonitis (SBP) is a common and life-threatening infection in patients with advanced cirrhosis. The prognostic value of a novel marker, the delta neutrophil index (DNI), was investigated relative to mortality in patients with SBP. MATERIALS &amp; METHODS: Seventy-five patients with SBP were studied from April 2010 to May 2012. DNI at initial diagnosis of SBP was determined and compared with 30-day mortality rates. RESULTS: Of the patients, 87.7% were men, and the median age of all patients was 59.0 yrs. The area under the receiver-operating characteristic (ROC) curve of DNI for 30-day mortality was 0.701 (95% confidence interval [CI], 0.553-0.849; p = 0.009), which was higher than that of C-reactive protein (0.640, 95% CI, 0.494-0.786; p = 0.076) or the model for end-stage liver disease score (0.592, 95% CI, 0.436-0.748; p = 0.235). From the ROC curve, with the sum of sensitivity and specificity, the cutoff value of DNI was determined to be 5.7%. In the high-DNI group (DNI &gt;/=5.7%), septic shock and 30-day mortality were more prevalent compared with the low-DNI group (84.2% vs. 48.2%, p = 0.007; 57.9% vs. 14.3%, p&lt;0.001, respectively). Patients with an elevated DNI had a higher risk of 30-day mortality compared with those with a low DNI (4.225, 95% CI, 1.631-10.949; p = 0.003). CONCLUSION: A higher DNI at the time of SBP diagnosis is an independent predictor of 30-day mortality in patients with SBP.", "author" : [ { "dropping-particle" : "", "family" : "Lim", "given" : "Tae Seop", "non-dropping-particle" : "", "parse-names" : false, "suffix" : "" }, { "dropping-particle" : "", "family" : "Kim", "given" : "Beom Kyung", "non-dropping-particle" : "", "parse-names" : false, "suffix" : "" }, { "dropping-particle" : "", "family" : "Lee", "given" : "Jong Wook", "non-dropping-particle" : "", "parse-names" : false, "suffix" : "" }, { "dropping-particle" : "", "family" : "Lee", "given" : "Young Ki", "non-dropping-particle" : "", "parse-names" : false, "suffix" : "" }, { "dropping-particle" : "", "family" : "Chang", "given" : "Sooyun", "non-dropping-particle" : "", "parse-names" : false, "suffix" : "" }, { "dropping-particle" : "", "family" : "Kim", "given" : "Seung Up", "non-dropping-particle" : "", "parse-names" : false, "suffix" : "" }, { "dropping-particle" : "", "family" : "Kim", "given" : "Do Young", "non-dropping-particle" : "", "parse-names" : false, "suffix" : "" }, { "dropping-particle" : "", "family" : "Ahn", "given" : "Sang Hoon", "non-dropping-particle" : "", "parse-names" : false, "suffix" : "" }, { "dropping-particle" : "", "family" : "Han", "given" : "Kwang-Hyub", "non-dropping-particle" : "", "parse-names" : false, "suffix" : "" }, { "dropping-particle" : "", "family" : "Chon", "given" : "Chae Yoon", "non-dropping-particle" : "", "parse-names" : false, "suffix" : "" }, { "dropping-particle" : "", "family" : "Park", "given" : "Jun Yong", "non-dropping-particle" : "", "parse-names" : false, "suffix" : "" } ], "container-title" : "PloS one", "id" : "ITEM-6", "issue" : "1", "issued" : { "date-parts" : [ [ "2014" ] ] }, "language" : "eng", "page" : "e86884", "publisher-place" : "United States", "title" : "Use of the delta neutrophil index as a prognostic factor of mortality in patients with spontaneous bacterial peritonitis: implications of a simple and useful marker.", "type" : "article-journal", "volume" : "9" }, "uris" : [ "http://www.mendeley.com/documents/?uuid=03e071eb-541c-47cc-b700-ad0d28f52c1b" ] }, { "id" : "ITEM-7", "itemData" : { "DOI" : "10.1111/liv.12175", "ISSN" : "1478-3231 (Electronic)", "PMID" : "23560938", "abstract" : "BACKGROUND &amp; AIM: Copeptin, secreted stoichiometrically with vasopressin, demonstrated its prognostic role in various diseases other than cirrhosis. METHODS: We investigated the association between severity of cirrhosis and plasma concentrations of copeptin, and the prognostic value of copeptin in 95 non-septic cirrhotic patients (34 Child-Pugh A, 29 CP-B, 32 CP-C), 30 septic patients with a Child-Pugh &gt;8 ('group D'), and 16 healthy volunteers. Patients were followed for at least 12 months to assess the composite endpoint death/liver transplantation. RESULTS: Median copeptin concentrations (interquartile range) increased through healthy volunteers group [5.95 (3.76-9.43) pmol/L] and 'group D' patients [18.81 (8.96-36.66) pmol/L; P &lt; 0.001)]. During a median follow-up of 11.0 +/- 6.1 months, 28 non-transplanted patients died and eight were transplanted. In receiver operated characteristic curves analysis, the area under the curve values were as follows: Child-Pugh score 0.80 (95% CI: 0.71-0.86), model of end-stage liver disease (MELD) score 0.80 (0.70-0.86), C-reactive protein (CRP) 0.71 (0.60-0.80) and copeptin 0.70 (0.57-0.79). By stratifying the values of these variables into tertiles, the risk of death/liver transplantation for patients belonging to the highest tertile of copeptin (&gt;13 pmol/L) was high (Log-rank test: P = 0.0002) and 2.3-fold higher than for patients with lower concentrations after adjusting for MELD score (&gt;21) and CRP (&gt;24 mg/L) in a Cox model. Other potential predictors (age, total cholesterol, natraemia and serum free cortisol) did not reach a significant level. CONCLUSION: In cirrhotic patients, copeptin concentrations increased along with the severity of liver disease. In our cohort, the 1-year mortality or liver transplantation was predicted by high MELD score and high concentrations of CRP and copeptin.", "author" : [ { "dropping-particle" : "", "family" : "Moreno", "given" : "Jose-Philippe", "non-dropping-particle" : "", "parse-names" : false, "suffix" : "" }, { "dropping-particle" : "", "family" : "Grandclement", "given" : "Emilie", "non-dropping-particle" : "", "parse-names" : false, "suffix" : "" }, { "dropping-particle" : "", "family" : "Monnet", "given" : "Elisabeth", "non-dropping-particle" : "", "parse-names" : false, "suffix" : "" }, { "dropping-particle" : "", "family" : "Clerc", "given" : "Beatrice", "non-dropping-particle" : "", "parse-names" : false, "suffix" : "" }, { "dropping-particle" : "", "family" : "Agin", "given" : "Arnaud", "non-dropping-particle" : "", "parse-names" : false, "suffix" : "" }, { "dropping-particle" : "", "family" : "Cervoni", "given" : "Jean-Paul", "non-dropping-particle" : "", "parse-names" : false, "suffix" : "" }, { "dropping-particle" : "", "family" : "Richou", "given" : "Carine", "non-dropping-particle" : "", "parse-names" : false, "suffix" : "" }, { "dropping-particle" : "", "family" : "Vanlemmens", "given" : "Claire", "non-dropping-particle" : "", "parse-names" : false, "suffix" : "" }, { "dropping-particle" : "", "family" : "Dritsas", "given" : "Stavros", "non-dropping-particle" : "", "parse-names" : false, "suffix" : "" }, { "dropping-particle" : "", "family" : "Dumoulin", "given" : "Gilles", "non-dropping-particle" : "", "parse-names" : false, "suffix" : "" }, { "dropping-particle" : "", "family" : "Martino", "given" : "Vincent", "non-dropping-particle" : "Di", "parse-names" : false, "suffix" : "" }, { "dropping-particle" : "", "family" : "Thevenot", "given" : "Thierry", "non-dropping-particle" : "", "parse-names" : false, "suffix" : "" } ], "container-title" : "Liver international : official journal of the International Association for the Study of the Liver", "id" : "ITEM-7", "issue" : "6", "issued" : { "date-parts" : [ [ "2013", "7" ] ] }, "language" : "eng", "page" : "843-851", "publisher-place" : "United States", "title" : "Plasma copeptin, a possible prognostic marker in cirrhosis.", "type" : "article-journal", "volume" : "33" }, "uris" : [ "http://www.mendeley.com/documents/?uuid=7ab06c9d-2376-4684-8967-33af468f90c8" ] }, { "id" : "ITEM-8", "itemData" : { "DOI" : "10.1097/MEG.0b013e328351db6e", "ISSN" : "1473-5687 (Electronic)", "PMID" : "22441510", "abstract" : "OBJECTIVES: Inflammation may be implicated in the haemodynamic deterioration and  in the development of complications in patients with cirrhosis. High-sensitivity C-reactive protein (hsCRP) is a marker of low-grade inflammation, and predicts outcomes in patients at risk of ischaemic heart disease. Proinflammatory cytokines reflect immune activation and have been found to be elevated in cirrhosis. We investigated a possible association between markers of inflammation and splanchnic and systemic haemodynamics, complications and survival in patients with cirrhosis. METHODS: In 45 stable patients with cirrhosis on the basis of alcohol consumption, we measured hsCRP, as well as monocyte chemoattractant protein-1, tumour necrosis factor-alpha, interleukin-6, interleukin-8 and vascular endothelial growth factor in patients and in 12 healthy controls. Systemic and splanchnic haemodynamics were investigated in patients. RESULTS: hsCRP levels were significantly higher in patients compared with controls (P&lt;0.05) and the highest in patients belonging to Child-Pugh class C. hsCRP levels correlated with markers of liver dysfunction and with the hepatic venous pressure gradient (r=0.48, P&lt;0.001). hsCRP values above the median level of 5.3 mg/l were associated with a highly increased mortality (P=0.001). Model for End-Stage Liver Disease score (P=0.01) and hsCRP (P&lt;0.05) provided independent prognostic information. Cytokines had no discernible value in predicting survival. CONCLUSION: hsCRP is elevated in patients with cirrhosis and is associated with portal hypertension and decreased survival. hsCRP is a promising prognostic marker in cirrhosis, which may improve the selection of candidates for liver transplantation.", "author" : [ { "dropping-particle" : "", "family" : "Mortensen", "given" : "Christian", "non-dropping-particle" : "", "parse-names" : false, "suffix" : "" }, { "dropping-particle" : "", "family" : "Andersen", "given" : "Ove", "non-dropping-particle" : "", "parse-names" : false, "suffix" : "" }, { "dropping-particle" : "", "family" : "Krag", "given" : "Aleksander", "non-dropping-particle" : "", "parse-names" : false, "suffix" : "" }, { "dropping-particle" : "", "family" : "Bendtsen", "given" : "Flemming", "non-dropping-particle" : "", "parse-names" : false, "suffix" : "" }, { "dropping-particle" : "", "family" : "Moller", "given" : "Soren", "non-dropping-particle" : "", "parse-names" : false, "suffix" : "" } ], "container-title" : "European journal of gastroenterology &amp; hepatology", "id" : "ITEM-8", "issue" : "6", "issued" : { "date-parts" : [ [ "2012", "6" ] ] }, "language" : "eng", "page" : "619-626", "publisher-place" : "England", "title" : "High-sensitivity C-reactive protein levels predict survival and are related to haemodynamics in alcoholic cirrhosis.", "type" : "article-journal", "volume" : "24" }, "uris" : [ "http://www.mendeley.com/documents/?uuid=0894c282-9f84-4709-aa42-21c65578efe0" ] }, { "id" : "ITEM-9", "itemData" : { "DOI" : "10.3346/jkms.2015.30.5.598", "ISSN" : "1598-6357 (Electronic)", "PMID" : "25931791", "abstract" : "Bacterial infection is an important cause of death in patients with liver cirrhosis. The aim of this study was to investigate the clinical characteristics and prognostic impact of bacterial infection in hospitalized patients with alcoholic liver disease (ALD). We retrospectively analyzed data from 409 patients consecutively admitted to a tertiary referral center with ALD diagnosis. Of a total of 544 admissions, 133 (24.4%) cases presented with bacterial infection, of which 116 were community-acquired whereas 17 were hospital-acquired. The common types of infection were pneumonia (38%), biliary tract infection (17%), soft tissue infection (12%), and spontaneous bacterial peritonitis (9%). Diabetes, serum Na &lt;135 mM/L, albumin &lt;2.5 g/dL, C-reactive protein &gt;/=20 mg/L, systemic inflammatory response syndrome (SIRS) positivity were independently associated with bacterial infection in patients with ALD. Overall 30-day and 90-day mortalities in patients with bacterial infection were significantly (P &lt; 0.001) higher than those without infection (22.3% vs. 5.1% and 32.3% vs. 8.2%, respectively). Furthermore, bacterial infection (HR, 2.2; 95% CI, 1.049-4.579, P = 0.037), SIRS positivity (HR, 2.5; 95% CI, 1.240-4.861, P = 0.010), Maddrey's discriminant function score &gt;/=32 (HR, 2.3; 95% CI, 1.036-5.222, P = 0.041), and hemoglobin &lt;12 g/dL (HR, 2.4; 95% CI, 1.081-5.450, P = 0.032) were independent predictors of short-term mortality. In conclusion, bacterial infection and SIRS positivity predicted short-term prognosis in hospitalized patients with ALD. A thorough evaluation at admission or on clinical deterioration is required to detect possible infection with prompt management.", "author" : [ { "dropping-particle" : "", "family" : "Park", "given" : "Jin Kyoung", "non-dropping-particle" : "", "parse-names" : false, "suffix" : "" }, { "dropping-particle" : "", "family" : "Lee", "given" : "Chang Hun", "non-dropping-particle" : "", "parse-names" : false, "suffix" : "" }, { "dropping-particle" : "", "family" : "Kim", "given" : "In Hee", "non-dropping-particle" : "", "parse-names" : false, "suffix" : "" }, { "dropping-particle" : "", "family" : "Kim", "given" : "Seon Min", "non-dropping-particle" : "", "parse-names" : false, "suffix" : "" }, { "dropping-particle" : "", "family" : "Jang", "given" : "Ji Won", "non-dropping-particle" : "", "parse-names" : false, "suffix" : "" }, { "dropping-particle" : "", "family" : "Kim", "given" : "Seong Hun", "non-dropping-particle" : "", "parse-names" : false, "suffix" : "" }, { "dropping-particle" : "", "family" : "Kim", "given" : "Sang Wook", "non-dropping-particle" : "", "parse-names" : false, "suffix" : "" }, { "dropping-particle" : "", "family" : "Lee", "given" : "Seung Ok", "non-dropping-particle" : "", "parse-names" : false, "suffix" : "" }, { "dropping-particle" : "", "family" : "Lee", "given" : "Soo Teik", "non-dropping-particle" : "", "parse-names" : false, "suffix" : "" }, { "dropping-particle" : "", "family" : "Kim", "given" : "Dae-Ghon", "non-dropping-particle" : "", "parse-names" : false, "suffix" : "" } ], "container-title" : "Journal of Korean medical science", "id" : "ITEM-9", "issue" : "5", "issued" : { "date-parts" : [ [ "2015", "5" ] ] }, "language" : "eng", "page" : "598-605", "publisher-place" : "Korea (South)", "title" : "Clinical characteristics and prognostic impact of bacterial infection in hospitalized patients with alcoholic liver disease.", "type" : "article-journal", "volume" : "30" }, "uris" : [ "http://www.mendeley.com/documents/?uuid=423278e7-1fb4-4345-9de8-bdc6b62feeda" ] }, { "id" : "ITEM-10", "itemData" : { "DOI" : "10.1111/liv.12029", "ISSN" : "1478-3231 (Electronic)", "PMID" : "23295053", "abstract" : "BACKGROUND: Bacterial infections increase mortality four-fold in patients with decompensated cirrhosis. However, specific mortality associated with urinary tract infections (UTI) in cirrhosis is not known. METHODS: Retrospective single-centre analysis of all hospitalized patients with cirrhosis and ascites who underwent first paracentesis between 2006 and 2011 to determine 90-day mortality associated with UTI defined as pyuria with significant bacteriuria using Cox proportional hazard models. RESULTS: A total of 108 patients with at least one episode of UTI and 291 with exclusion of UTI were identified. Bacterial infections other than UTI were diagnosed in 136 (34%) of patients at the time of urine analysis. Female gender, Child-Pugh stage C, higher grade of ascites and systemic inflammatory response syndrome were associated with UTI. After adjustment for liver function and co-morbidity, the hazard ratios (HR) of death within 90 days after urine analysis were 2.08 (95% CI 1.28-3.38) in patients with UTI, 2.93 (1.90-4.52) in patients with other bacterial infections and 3.39 (2.03-5.65) in patients with UTI and concomitant infection. Independent predictors of death after UTI were renal dysfunction at presentation (HR 2.52; 95% CI 2.52), subsequent acute kidney injury within 48 h after diagnosis (4.57; 2.54-8.24), concomitant bacterial infection (1.77; 1.04-3.00) and malignant comorbidity (1.85; 1.03-3.30). The combination of these factors was more accurate in predicting 90-day mortality than the MELD score or C-reactive protein. CONCLUSIONS: The presence of UTI indicates an increased risk of 90-day mortality in patients with advanced cirrhosis. Renal dysfunction and comorbidities are predictors of death in these patients.", "author" : [ { "dropping-particle" : "", "family" : "Reuken", "given" : "Philipp A", "non-dropping-particle" : "", "parse-names" : false, "suffix" : "" }, { "dropping-particle" : "", "family" : "Stallmach", "given" : "Andreas", "non-dropping-particle" : "", "parse-names" : false, "suffix" : "" }, { "dropping-particle" : "", "family" : "Bruns", "given" : "Tony", "non-dropping-particle" : "", "parse-names" : false, "suffix" : "" } ], "container-title" : "Liver international : official journal of the International Association for the Study of the Liver", "id" : "ITEM-10", "issue" : "2", "issued" : { "date-parts" : [ [ "2013", "2" ] ] }, "language" : "eng", "page" : "220-230", "publisher-place" : "United States", "title" : "Mortality after urinary tract infections in patients with advanced cirrhosis - Relevance of acute kidney injury and comorbidities.", "type" : "article-journal", "volume" : "33" }, "uris" : [ "http://www.mendeley.com/documents/?uuid=d02de5fa-b825-4376-997f-4dc63f25307f" ] }, { "id" : "ITEM-11", "itemData" : { "DOI" : "10.1111/liv.12795", "ISSN" : "1478-3231 (Electronic)", "PMID" : "25644943", "abstract" : "BACKGROUND: Patients with ascites are at risk for developing spontaneous bacterial peritonitis (SBP) - a severe complication associated with high mortality. We aimed to identify risk factors for SBP development and mortality to optimize stratification for primary prophylaxis and therapeutic strategies to improve survival. METHODS: 575 patients with cirrhosis and ascites undergoing paracentesis at a tertiary care hospital were included in this retrospective cohort study. Demographical, clinical and laboratory parameters were recorded at first paracentesis and during follow-up. Multivariate logistic regression analysis was used to identify independent predictors of SBP development and mortality. RESULTS: Child-Pugh stage C (OR: 3.323; P = 0.009), ascitic fluid polymorph-nuclear cell (PMN) count (OR: 1.544; P = 0.028) and low serum sodium (OR: 0.917; P = 0.029) emerged as independent risk factors for SBP development. SBP-naive patients undergoing paracentesis and presenting with PMN-counts &gt;/=100 cells/mul, or hyponatraemia &lt;125 mM were at highest risk for developing SBP. Increases in MELD and CRP levels indicated SBP development, while no changes where observed in a matched control group with sterile ascites at multiple paracenteses. MELD score (OR: 1.565; P = 0.001) and CRP (OR: 1.067; P = 0.037) were identified as independent risk factors for 30-day mortality after SBP diagnosis. In particular SBP patients with MELD&gt;/=22, CRP &gt;/=3.5 mg/dl and development of grade III/IV hepatic encephalopathy showed highest mortality. CONCLUSIONS: Low serum sodium levels, Child-Pugh stage C and elevated ascites PMN counts (&gt;/=100 cells/mul) indicate a significant risk for SBP development. SBP-related mortality is highest in patients with MELD&gt;/=22 and elevated CRP levels.", "author" : [ { "dropping-particle" : "", "family" : "Schwabl", "given" : "Philipp", "non-dropping-particle" : "", "parse-names" : false, "suffix" : "" }, { "dropping-particle" : "", "family" : "Bucsics", "given" : "Theresa", "non-dropping-particle" : "", "parse-names" : false, "suffix" : "" }, { "dropping-particle" : "", "family" : "Soucek", "given" : "Kathrin", "non-dropping-particle" : "", "parse-names" : false, "suffix" : "" }, { "dropping-particle" : "", "family" : "Mandorfer", "given" : "Mattias", "non-dropping-particle" : "", "parse-names" : false, "suffix" : "" }, { "dropping-particle" : "", "family" : "Bota", "given" : "Simona", "non-dropping-particle" : "", "parse-names" : false, "suffix" : "" }, { "dropping-particle" : "", "family" : "Blacky", "given" : "Alexander", "non-dropping-particle" : "", "parse-names" : false, "suffix" : "" }, { "dropping-particle" : "", "family" : "Hirschl", "given" : "Alexander M", "non-dropping-particle" : "", "parse-names" : false, "suffix" : "" }, { "dropping-particle" : "", "family" : "Ferlitsch", "given" : "Arnulf", "non-dropping-particle" : "", "parse-names" : false, "suffix" : "" }, { "dropping-particle" : "", "family" : "Trauner", "given" : "Michael", "non-dropping-particle" : "", "parse-names" : false, "suffix" : "" }, { "dropping-particle" : "", "family" : "Peck-Radosavljevic", "given" : "Markus", "non-dropping-particle" : "", "parse-names" : false, "suffix" : "" }, { "dropping-particle" : "", "family" : "Reiberger", "given" : "Thomas", "non-dropping-particle" : "", "parse-names" : false, "suffix" : "" } ], "container-title" : "Liver international : official journal of the International Association for the Study of the Liver", "id" : "ITEM-11", "issue" : "9", "issued" : { "date-parts" : [ [ "2015", "9" ] ] }, "language" : "eng", "page" : "2121-2128", "publisher-place" : "United States", "title" : "Risk factors for development of spontaneous bacterial peritonitis and subsequent  mortality in cirrhotic patients with ascites.", "type" : "article-journal", "volume" : "35" }, "uris" : [ "http://www.mendeley.com/documents/?uuid=500d2e53-9d45-4211-91c8-f38c9d20e5aa" ] }, { "id" : "ITEM-12", "itemData" : { "DOI" : "10.1111/liv.12428", "ISSN" : "1478-3231 (Electronic)", "PMID" : "24313898", "abstract" : "BACKGROUND &amp; AIMS: Inflammation and cardiac dysfunction plays an important role in the development of complications leading to increased mortality in patients with cirrhosis. Novel cardiac markers such as prohormone of ANP (proANP), copeptin and high-sensitivity troponin T (hs-TnT) and proinflammatory markers including soluble urokinase-type plasminogen activator receptor (suPAR) and high-sensitive C-reactive protein (hs-CRP) are related to these complications. We aimed to investigate if cardiac and proinflammatory markers are related to severity of liver disease, cardiac and haemodynamic changes, and long-term survival. METHODS: One hundred and ninety-three stable cirrhotic patients (Child class: A = 46; B = 97; C = 50) had a full haemodynamic investigation performed with measurement of splanchnic and systemic haemodynamics and measurement of circulating levels of proBNP, proANP, copeptin, hs-TnT, LBP, IL 6, IL 8, IP 10, VEGF, hs-CRP and suPAR. RESULTS: Soluble urokinase-type plasminogen activator receptor soluble urokinase-type plasminogen activator receptor, hs-CRP, and hs-TnT were significantly different throughout the Child classes (P &lt; 0.01; P &lt; 0.01; P &lt; 0.02). All markers except copeptin correlated with indicators of disease severity in cirrhosis; ProANP and suPAR correlated with hepatic venous pressure gradient (r = 0.24 and r = 0.34; P &lt; 0.001) and systemic vascular resistance (r = -0.24 and r = -0.33; P &lt; 0.001). Cardiac (proANP, hs-TnT; P &lt; 0.01) and proinflammatory (hs-CRP, suPAR; P &lt; 0.05) markers were associated with mortality in a univariate Cox analysis, however, the strongest predictors of mortality in a multivariate Cox analysis were hs-TnT, ascites and hepatic venous pressure gradient (reg.coeff.: 0.34, P &lt; 0.001; 0.16, P &lt; 0.001; 0.06, P = 0.04). CONCLUSION: Markers of cardiac dysfunction and inflammation are significantly associated with disease severity, degree of portal hypertension and survival in cirrhosis. In particular, hs-TnT and suPAR seem to contain prognostic information.", "author" : [ { "dropping-particle" : "", "family" : "Wiese", "given" : "Signe", "non-dropping-particle" : "", "parse-names" : false, "suffix" : "" }, { "dropping-particle" : "", "family" : "Mortensen", "given" : "Christian", "non-dropping-particle" : "", "parse-names" : false, "suffix" : "" }, { "dropping-particle" : "", "family" : "Gotze", "given" : "Jens P", "non-dropping-particle" : "", "parse-names" : false, "suffix" : "" }, { "dropping-particle" : "", "family" : "Christensen", "given" : "Erik", "non-dropping-particle" : "", "parse-names" : false, "suffix" : "" }, { "dropping-particle" : "", "family" : "Andersen", "given" : "Ove", "non-dropping-particle" : "", "parse-names" : false, "suffix" : "" }, { "dropping-particle" : "", "family" : "Bendtsen", "given" : "Flemming", "non-dropping-particle" : "", "parse-names" : false, "suffix" : "" }, { "dropping-particle" : "", "family" : "Moller", "given" : "Soren", "non-dropping-particle" : "", "parse-names" : false, "suffix" : "" } ], "container-title" : "Liver international : official journal of the International Association for the Study of the Liver", "id" : "ITEM-12", "issue" : "6", "issued" : { "date-parts" : [ [ "2014", "7" ] ] }, "language" : "eng", "page" : "e19-30", "publisher-place" : "United States", "title" : "Cardiac and proinflammatory markers predict prognosis in cirrhosis.", "type" : "article-journal", "volume" : "34" }, "uris" : [ "http://www.mendeley.com/documents/?uuid=7b498634-6359-4ef4-a0e6-91d48d61e772" ] }, { "id" : "ITEM-13", "itemData" : { "DOI" : "10.1016/j.ajem.2015.09.004", "ISSN" : "1532-8171 (Electronic)", "PMID" : "26423777", "abstract" : "BACKGROUND: Patients with cirrhosis have high risk of bacterial infections and cirrhosis decompensation, resulting in admission to emergency department (ED). However, there are no criteria developed in the ED to identify patients with cirrhosis with bacterial infection and with high mortality risk. STUDY OBJECTIVE: The objective of the study is to identify variables from ED arrival associated with bacterial infections and inhospital mortality. METHODS: This is a retrospective single-center study using a tertiary hospital's database to identify consecutive ED patients with decompensated cirrhosis. Clinical variables and laboratory results were obtained by chart review. Logistic regression models were built to determine variables independently associated with bacterial infection and mortality. Scores using these variables were designed. RESULTS: One hundred forty-nine patients were enrolled, most of them males (77.9%) with alcoholic cirrhosis (53%) and advanced liver disease (Child-Pugh C, 47.2%). Bacterial infections were diagnosed in 72 patients (48.3%), and 36 (24.2%) died during hospital stay. Variables independently associated with bacterial infection were lymphocytes less than or equal to 900/mm(3) (odds ratio [OR], 3.85 [95% confidence interval {CI}, 1.47-10]; P = .006) and C-reactive protein greater than 59.4 mg/L (OR, 5.05 [95% CI, 1.93-13.2]; P = .001). Variables independently associated with mortality were creatinine greater than 1.5 mg/dL (OR, 4.35 [95% CI, 1.87-10.1]; P = .001) and international normalized ratio greater than 1.65 (OR, 3.71 [95% CI, 1.6-8.61]; P = .002). Scores designed to predict bacterial infection and mortality (Mortality in Cirrhosis Emergency Department Score) had an area under the receiver operating characteristic curve of 0.82 and 0.801, respectively. The Mortality in Cirrhosis Emergency Department Score performed better than Model for End-Stage Liver Disease score. CONCLUSIONS: In this cohort of ED patients with decompensated cirrhosis, lymphopenia and elevated C-reactive protein were related to bacterial infections, and elevated creatinine and international normalized ratio were related to mortality. Scores built with these variables should be prospectively validated.", "author" : [ { "dropping-particle" : "", "family" : "Ximenes", "given" : "Rafael Oliveira", "non-dropping-particle" : "", "parse-names" : false, "suffix" : "" }, { "dropping-particle" : "", "family" : "Farias", "given" : "Alberto Queiroz", "non-dropping-particle" : "", "parse-names" : false, "suffix" : "" }, { "dropping-particle" : "", "family" : "Scalabrini Neto", "given" : "Augusto", "non-dropping-particle" : "", "parse-names" : false, "suffix" : "" }, { "dropping-particle" : "", "family" : "Diniz", "given" : "Marcio Augusto", "non-dropping-particle" : "", "parse-names" : false, "suffix" : "" }, { "dropping-particle" : "", "family" : "Kubota", "given" : "Gabriel Taricani", "non-dropping-particle" : "", "parse-names" : false, "suffix" : "" }, { "dropping-particle" : "", "family" : "Ivo", "given" : "Mauricio Menezes Aben-Athar", "non-dropping-particle" : "", "parse-names" : false, "suffix" : "" }, { "dropping-particle" : "", "family" : "Colacique", "given" : "Caroline Gracia Plena Sol", "non-dropping-particle" : "", "parse-names" : false, "suffix" : "" }, { "dropping-particle" : "", "family" : "D'Albuquerque", "given" : "Luiz Augusto Carneiro", "non-dropping-particle" : "", "parse-names" : false, "suffix" : "" }, { "dropping-particle" : "", "family" : "Daglius Dias", "given" : "Roger", "non-dropping-particle" : "", "parse-names" : false, "suffix" : "" } ], "container-title" : "The American journal of emergency medicine", "id" : "ITEM-13", "issue" : "1", "issued" : { "date-parts" : [ [ "2016", "1" ] ] }, "language" : "eng", "page" : "25-29", "publisher-place" : "United States", "title" : "Patients with cirrhosis in the ED: early predictors of infection and mortality.", "type" : "article-journal", "volume" : "34" }, "uris" : [ "http://www.mendeley.com/documents/?uuid=cba290a7-42d3-40b2-8049-5362bec3cc45" ] }, { "id" : "ITEM-14", "itemData" : { "DOI" : "10.1016/j.jhep.2011.12.030", "ISSN" : "1600-0641 (Electronic)", "PMID" : "22314431", "abstract" : "BACKGROUND &amp; AIMS: We aimed at improving prediction of short-term mortality in cirrhotic inpatients by evaluating C-reactive protein (CRP) as a surrogate marker of systemic inflammatory response syndrome (SIRS). METHODS: One-hundred and forty-eight consecutive cirrhotic patients with Child-Pugh score &gt;/= B8 and without hepatocellular carcinoma were prospectively included and followed for 182 days. The primary end point was 6-month survival. RESULTS: Main baseline characteristics were as follows: alcoholic liver disease in 88.5%; bacterial infection in 37%; hepatorenal syndrome in 7% of cases. CRP range was 1-240 mg/L (median 26 mg/L); 42 patients (28.4%) had SIRS as defined by ACCP/SCCM-criteria. CRP levels were higher in patients with SIRS (50 vs. 21 mg/L; p&lt;0.0001), infection (46 vs. 27 mg/L; p&lt;0.0001), and alcoholic hepatitis (44 vs. 32 mg/L, p=0.049). Forty-two patients died within the first 6 months of follow-up. Short-term mortality was associated with extrahepatic co-morbidities (p=0.002), high MELD score (p&lt;0.001; AUROC=0.67), renal failure (p=0.008), elevated blood lactates (p&lt;0.001), and high baseline CRP levels (p=0.003; AUROC=0.63; best cut-off value at 29 mg/L). Among patients with baseline CRP &gt;/= 29 mg/L, 32 still had CRP &gt;/= 29 mg/L at day 15 (group A). Group A was associated with 6-month mortality in the overall population (p&lt;0.001) and also through sensitivity analyses restricted to patients without infection or alcoholic hepatitis. Multivariate analysis (Cox) adjusted for age identified three predictors of mortality: high MELD score (HR=1.08; 95% CI: 1.03-1.12; p&lt;0.001), extrahepatic co-morbidities (HR=2.51; 95% CI: 1.31-4.84; p=0.006), and CRP level (group A) (HR=2.73; 95% CI: 1.41-5.26; p=0.003). The performance of the three variables taken together for predicting death was 0.80 (AUROC). CONCLUSIONS: In Child-Pugh score &gt;/= B8 cirrhotic patients, persistent CRP levels &gt;/= 29 mg/L predicted short-term mortality independently of age, MELD, and co-morbidities, and better than infection or clinically-assessed SIRS.", "author" : [ { "dropping-particle" : "", "family" : "Cervoni", "given" : "Jean-Paul", "non-dropping-particle" : "", "parse-names" : false, "suffix" : "" }, { "dropping-particle" : "", "family" : "Thevenot", "given" : "Thierry", "non-dropping-particle" : "", "parse-names" : false, "suffix" : "" }, { "dropping-particle" : "", "family" : "Weil", "given" : "Delphine", "non-dropping-particle" : "", "parse-names" : false, "suffix" : "" }, { "dropping-particle" : "", "family" : "Muel", "given" : "Emilie", "non-dropping-particle" : "", "parse-names" : false, "suffix" : "" }, { "dropping-particle" : "", "family" : "Barbot", "given" : "Olivier", "non-dropping-particle" : "", "parse-names" : false, "suffix" : "" }, { "dropping-particle" : "", "family" : "Sheppard", "given" : "Frances", "non-dropping-particle" : "", "parse-names" : false, "suffix" : "" }, { "dropping-particle" : "", "family" : "Monnet", "given" : "Elisabeth", "non-dropping-particle" : "", "parse-names" : false, "suffix" : "" }, { "dropping-particle" : "", "family" : "Martino", "given" : "Vincent", "non-dropping-particle" : "Di", "parse-names" : false, "suffix" : "" } ], "container-title" : "Journal of hepatology", "id" : "ITEM-14", "issue" : "6", "issued" : { "date-parts" : [ [ "2012", "6" ] ] }, "language" : "eng", "page" : "1299-1304", "publisher-place" : "England", "title" : "C-reactive protein predicts short-term mortality in patients with cirrhosis.", "type" : "article-journal", "volume" : "56" }, "uris" : [ "http://www.mendeley.com/documents/?uuid=7e96b1ac-19da-41e2-af38-0cb4dea7b91a" ] }, { "id" : "ITEM-15", "itemData" : { "ISSN" : "1665-2681 (Print)", "PMID" : "23813138", "abstract" : "INTRODUCTION: Bacterial infection is a frequent complication in patients with decompensated liver cirrhosis and is related to high mortality rates during follow-up of these individuals. We sought to evaluate the diagnostic value of C-reactive protein (CRP) and procalcitonin (PCT) in diagnosing infection and to investigate the relationship between these biomarkers and mortality after hospital admission. MATERIAL AND METHODS: Prospective study that included cirrhotic patients admitted to the hospital due to complications of the disease. The diagnostic accuracy of CRP and PCT for the diagnosis of infection was evaluated by estimating the sensitivity and specificity and by measuring the area under the receiver operating characteristics curve (AUROC). RESULTS: A total of 64 patients and 81 hospitalizations were analyzed during the study. The mean age was 54.31 +/- 11.87 years with male predominance (68.8%). Significantly higher median CRP and PCT levels were observed among infected patients (P &lt; 0.001). The AUROC of CRP and PCT for the diagnosis of infection were 0.835 +/- 0.052 and 0.860 +/- 0.047, respectively (P = 0.273). CRP levels &gt; 29.5 exhibited sensitivity of 82% and specificity of 81% for the diagnosis of bacterial infection. Similarly, PCT levels &gt; 1.10 showed sensitivity of 67% and specificity of 90%. Significantly higher levels of CRP (P = 0.026) and PCT (P = 0.001) were observed among those who died within three months after admission. CONCLUSION: CRP and PCT were reliable markers of bacterial infection in subjects admitted due to complications of liver cirrhosis and higher levels of these tests are related to short-term mortality in those patients.", "author" : [ { "dropping-particle" : "", "family" : "Lazzarotto", "given" : "Cesar", "non-dropping-particle" : "", "parse-names" : false, "suffix" : "" }, { "dropping-particle" : "", "family" : "Ronsoni", "given" : "Marcelo Fernando", "non-dropping-particle" : "", "parse-names" : false, "suffix" : "" }, { "dropping-particle" : "", "family" : "Fayad", "given" : "Leonardo", "non-dropping-particle" : "", "parse-names" : false, "suffix" : "" }, { "dropping-particle" : "", "family" : "Nogueira", "given" : "Christiane Lourenco", "non-dropping-particle" : "", "parse-names" : false, "suffix" : "" }, { "dropping-particle" : "", "family" : "Bazzo", "given" : "Maria Luiza", "non-dropping-particle" : "", "parse-names" : false, "suffix" : "" }, { "dropping-particle" : "", "family" : "Narciso-Schiavon", "given" : "Janaina Luz", "non-dropping-particle" : "", "parse-names" : false, "suffix" : "" }, { "dropping-particle" : "", "family" : "Lucca Schiavon", "given" : "Leonardo", "non-dropping-particle" : "de", "parse-names" : false, "suffix" : "" }, { "dropping-particle" : "", "family" : "Dantas-Correa", "given" : "Esther Buzaglo", "non-dropping-particle" : "", "parse-names" : false, "suffix" : "" } ], "container-title" : "Annals of hepatology", "id" : "ITEM-15", "issue" : "4", "issued" : { "date-parts" : [ [ "2013" ] ] }, "language" : "eng", "page" : "599-607", "publisher-place" : "Mexico", "title" : "Acute phase proteins for the diagnosis of bacterial infection and prediction of mortality in acute complications of cirrhosis.", "type" : "article-journal", "volume" : "12" }, "uris" : [ "http://www.mendeley.com/documents/?uuid=7526c82f-116d-4f14-8cce-c5d5ea7a01d8" ] } ], "mendeley" : { "formattedCitation" : "&lt;sup&gt;[19,20,63\u201375]&lt;/sup&gt;", "plainTextFormattedCitation" : "[19,20,63\u201375]", "previouslyFormattedCitation" : "&lt;sup&gt;[19,20,63\u201375]&lt;/sup&gt;"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[19,20,63–75]</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and PCT</w:t>
      </w:r>
      <w:r w:rsidRPr="00664A42">
        <w:rPr>
          <w:rFonts w:ascii="Book Antiqua" w:eastAsiaTheme="minorEastAsia" w:hAnsi="Book Antiqua"/>
          <w:lang w:val="en-GB" w:eastAsia="en-US"/>
        </w:rPr>
        <w:fldChar w:fldCharType="begin" w:fldLock="1"/>
      </w:r>
      <w:r w:rsidRPr="00664A42">
        <w:rPr>
          <w:rFonts w:ascii="Book Antiqua" w:eastAsiaTheme="minorEastAsia" w:hAnsi="Book Antiqua"/>
          <w:lang w:val="en-GB" w:eastAsia="en-US"/>
        </w:rPr>
        <w:instrText>ADDIN CSL_CITATION { "citationItems" : [ { "id" : "ITEM-1", "itemData" : { "ISSN" : "1433-6510 (Print)", "PMID" : "25134378", "abstract" : "BACKGROUND: Serum procalcitonin is commonly used to differentiate systemic inflammation due to infection from non-infectious causes. Limited data exist on the value of procalcitonin in predicting relative adrenal insufficiency (RAI). This study evaluated the value of procalcitonin in predicting RAI and mortality in cirrhotic patients with septic shock. METHODS: This was a post-hoc analysis of a randomized placebo-controlled trial that evaluated low-dose hydrocortisone in cirrhotic patients with septic shock. Extracted first study-day data included serum procalcitonin, baseline serum cortisol, cortisol level after 250 microg - adrenocorticotropic hormone stimulation test and 28 - day mortality. RAI was defined as a baseline serum cortisol &lt; 10 microg/dL or cortisol not rising by &gt; 9 microg/dL after stimulation. Procalcitonin &gt; 0.5 ng/mL was considered high. RESULTS: Forty-five patients had serum procalcitonin measured (mean = 2.7 +/- 3.2 ng/mL, first and third quartiles were 0.3 and 3.3 ng/mL, respectively). Most (78%) patients had high procalcitonin levels. RAI was present in 34 (76%) patients. Patients with high procalcitonin were more likely to have RAI (odds ratio, 4.8; 95% confidence interval, 1.1 - 22.1). Receiver operator characteristic curve analysis showed that the best cut-off for detecting RAI was 1.0 ng/mL (sensitivity = 79% and specificity = 55%). High serum procalcitonin was not associated with 28 -day mortality (80% for normal procalcitonin and 77% for high procalcitonin, p = 0.61). CONCLUSIONS: High serum procalcitonin was highly associated with RAI in cirrhotic patients with septic shock. Procalcitonin was not associated with 28 - day mortality in this patient population.", "author" : [ { "dropping-particle" : "", "family" : "Al-Dorzi", "given" : "Hasan M", "non-dropping-particle" : "", "parse-names" : false, "suffix" : "" }, { "dropping-particle" : "", "family" : "Rishu", "given" : "Asgar H", "non-dropping-particle" : "", "parse-names" : false, "suffix" : "" }, { "dropping-particle" : "", "family" : "Tamim", "given" : "Hani M", "non-dropping-particle" : "", "parse-names" : false, "suffix" : "" }, { "dropping-particle" : "", "family" : "Aljumah", "given" : "Abdulrahman", "non-dropping-particle" : "", "parse-names" : false, "suffix" : "" }, { "dropping-particle" : "", "family" : "Al-Tamimi", "given" : "Waleed", "non-dropping-particle" : "", "parse-names" : false, "suffix" : "" }, { "dropping-particle" : "", "family" : "Baharoon", "given" : "Salim", "non-dropping-particle" : "", "parse-names" : false, "suffix" : "" }, { "dropping-particle" : "", "family" : "Dabbagh", "given" : "Tarek", "non-dropping-particle" : "Al", "parse-names" : false, "suffix" : "" }, { "dropping-particle" : "", "family" : "Arabi", "given" : "Yaseen M", "non-dropping-particle" : "", "parse-names" : false, "suffix" : "" } ], "container-title" : "Clinical laboratory", "id" : "ITEM-1", "issue" : "7", "issued" : { "date-parts" : [ [ "2014" ] ] }, "language" : "eng", "page" : "1105-1114", "publisher-place" : "Germany", "title" : "Serum procalcitonin in cirrhotic patients with septic shock: relationship with adrenal insufficiency and clinical outcomes.", "type" : "article-journal", "volume" : "60" }, "uris" : [ "http://www.mendeley.com/documents/?uuid=9de1d4d5-5d4d-4beb-8183-57fd22c517de" ] }, { "id" : "ITEM-2", "itemData" : { "DOI" : "10.1111/j.1478-3231.2008.01870.x", "ISSN" : "1478-3231 (Electronic)", "PMID" : "18795898", "abstract" : "BACKGROUND: Critical illness in cirrhotic patients is associated with a poor prognosis and increased susceptibility to infections. Monocyte HLA-DR expression is decreased in cirrhotic patients, but its prognostic value has not been investigated prospectively. METHODS: Thirty-eight critically ill patients with decompensated liver cirrhosis were included in this prospective study. On admission to the intensive care unit (ICU), inflammatory parameters (C-reactive protein, procalcitonin and lipopolysaccharide-binding protein), interleukin (IL)-10, interferon (IFN)-gamma serum levels, tumour necrosis factor (TNF)-alpha ex vivo stimulation (whole blood assay) and HLA-DR expression on monocytes (FACS analysis) were determined. Immune parameters were furthermore measured every third day until discharge from the ICU or death of the patients. RESULTS: Intensive care unit mortality of the cirrhotic patients was 34.2%. During admission, TNF ex vivo, IFN-gamma and HLA-DR expression were lower in non-survivors (all P&lt;0.05), while IL-10 levels were increased in non-survivors compared with survivors (P=0.001). However, individual values clearly overlapped between groups. Prospective analysis revealed that monocyte HLA-DR expression remained stable or increased in survivors, but decreased in non-survivors (P=0.002). A decrease in HLA-DR expression between admission and day 3 was strongly associated with decreased IFN-gamma levels and increased ICU mortality (hazard ratio 3.36, P=0.008), mostly owing to late sepsis. This association was independent of the sequential organ failure assessment and model for end-stage liver disease score. CONCLUSIONS: Here we establish the relative HLA-DR expression (admission/day 3) as a prognostic marker for ICU mortality in critically ill cirrhotic patients. These results may guide the evaluation of immune-modulating therapies in these patients.", "author" : [ { "dropping-particle" : "", "family" : "Berres", "given" : "Marie-Luise", "non-dropping-particle" : "", "parse-names" : false, "suffix" : "" }, { "dropping-particle" : "", "family" : "Schnyder", "given" : "Barbara", "non-dropping-particle" : "", "parse-names" : false, "suffix" : "" }, { "dropping-particle" : "", "family" : "Yagmur", "given" : "Eray", "non-dropping-particle" : "", "parse-names" : false, "suffix" : "" }, { "dropping-particle" : "", "family" : "Inglis", "given" : "Brett", "non-dropping-particle" : "", "parse-names" : false, "suffix" : "" }, { "dropping-particle" : "", "family" : "Stanzel", "given" : "Sven", "non-dropping-particle" : "", "parse-names" : false, "suffix" : "" }, { "dropping-particle" : "", "family" : "Tischendorf", "given" : "Jens J W", "non-dropping-particle" : "", "parse-names" : false, "suffix" : "" }, { "dropping-particle" : "", "family" : "Koch", "given" : "Alexander", "non-dropping-particle" : "", "parse-names" : false, "suffix" : "" }, { "dropping-particle" : "", "family" : "Winograd", "given" : "Ron", "non-dropping-particle" : "", "parse-names" : false, "suffix" : "" }, { "dropping-particle" : "", "family" : "Trautwein", "given" : "Christian", "non-dropping-particle" : "", "parse-names" : false, "suffix" : "" }, { "dropping-particle" : "", "family" : "Wasmuth", "given" : "Hermann E", "non-dropping-particle" : "", "parse-names" : false, "suffix" : "" } ], "container-title" : "Liver international : official journal of the International Association for the Study of the Liver", "id" : "ITEM-2", "issue" : "4", "issued" : { "date-parts" : [ [ "2009", "4" ] ] }, "language" : "eng", "page" : "536-543", "publisher-place" : "England", "title" : "Longitudinal monocyte human leukocyte antigen-DR expression is a prognostic marker in critically ill patients with decompensated liver cirrhosis.", "type" : "article-journal", "volume" : "29" }, "uris" : [ "http://www.mendeley.com/documents/?uuid=4a39d694-2943-4752-9c72-4910d41b8b98" ] }, { "id" : "ITEM-3", "itemData" : { "DOI" : "10.1055/s-2003-37314", "ISSN" : "0044-2771 (Print)", "PMID" : "12592597", "abstract" : "BACKGROUND/AIMS: Bacterial infections are life-threatening complications in cirrhosis and early diagnosis is mandatory. Procalcitonin, a 116 amino acid propeptide of calcitonin, is an early marker of infection. The aim was to evaluate prospectively procalcitonin in the diagnosis of bacterial infection in cirrhosis. 127 patients with liver cirrhosis were analysed and stratified into three groups according bacteriological and morphological findings; decompensated patients with (group I = 36) and without (group II = 64) infection, and 27 non-decompensated and non-infected (group III). METHODS: Diagnosis of infection was made using standard criteria. Serum procalcitonin, tumour necrosis factor alpha, interleukin-6 and C-reactive protein were measured using commercially available methods. RESULTS: PCT serum levels were significantly different between group I (2.8 ng/ml [0.4 - 20.4]), group II (0.6 ng/ml [0.1 - 5.9]) and group III (0.4 ng/ml [0.1 - 1.2]), respectively. Levels above 0.58 ng/ml had a sensitivity of 92 % and specificity of 78 % for the diagnosis of infection and were associated with a 50 % mortality in the first two months. Interleukin-6, tumour necrosis factor alpha and C-reactive protein were less sensitive and specific for the diagnosis of infection. CONCLUSION: In decompensated cirrhosis procalcitonin serum levels provided the most sensitive and specific tool for the initial diagnosis of bacterial infection.", "author" : [ { "dropping-particle" : "", "family" : "Connert", "given" : "S", "non-dropping-particle" : "", "parse-names" : false, "suffix" : "" }, { "dropping-particle" : "", "family" : "Stremmel", "given" : "W", "non-dropping-particle" : "", "parse-names" : false, "suffix" : "" }, { "dropping-particle" : "", "family" : "Elsing", "given" : "C", "non-dropping-particle" : "", "parse-names" : false, "suffix" : "" } ], "container-title" : "Zeitschrift fur Gastroenterologie", "id" : "ITEM-3", "issue" : "2", "issued" : { "date-parts" : [ [ "2003", "2" ] ] }, "language" : "eng", "page" : "165-170", "publisher-place" : "Germany", "title" : "Procalcitonin is a valid marker of infection in decompensated cirrhosis.", "type" : "article-journal", "volume" : "41" }, "uris" : [ "http://www.mendeley.com/documents/?uuid=5ff45a95-cdff-48dc-8439-25fa9474a5b7" ] }, { "id" : "ITEM-4", "itemData" : { "DOI" : "10.1097/MEG.0b013e32835eb8f7", "ISSN" : "1473-5687 (Electronic)", "PMID" : "23411865", "abstract" : "BACKGROUND: Absolute eosinophil count (AEC) and procalcitonin (PCT) level may have a prognostic value in critically ill patients. However, their role in cirrhotic patients has never been studied. We evaluated the role of AEC and PCT, obtained at admission, in predicting in-hospital mortality in cirrhotic patients with systemic inflammatory response syndrome (SIRS). PATIENTS AND METHODS: In consecutive cirrhotic patients with SIRS (with or without sepsis), the levels of AEC and PCT were estimated at admission. Their outcome was correlated with these baseline parameters. RESULTS: One hundred patients were enrolled [median age 52 (range 17-78) years, 84% men]. The etiology of cirrhosis was alcohol (47%), cryptogenic (35%), viral (13%), and others (5%). Their median model for end-stage liver disease (MELD) and Child-Turcotte-Pugh scores were 24 (range 6-40) and 11 (range 5-15), respectively. Infection was present in 59 patients and the rest of the 41 patients had SIRS without infection. There was a significant difference between the median levels of AEC and PCT between patients who had infection and those who did not have infection (P&lt;0.01). Sixty-three patients recovered from SIRS and were discharged, 33 patients died, and four patients received orthotopic liver transplantation during the same admission. Baseline AEC and PCT levels were significantly different between patients who recovered and died. On multivariate analysis, baseline AEC values could independently predict in-hospital mortality, in addition to MELD and serum sodium. The area under receiver operating characteristic curve of AEC for predicting mortality was 0.785, and the best cutoff of AEC, obtained by Youden's index, was 104 cells/cumm, indicating that patients with baseline AEC values less than 104 cells/cumm had higher in-hospital mortality (sensitivity 78%, specificity 70%, positive predictive value 60%, negative predictive value 85%, and accuracy 73%). CONCLUSION: In critically ill cirrhotic patients with SIRS, a baseline AEC value of less than 104 cells/cumm accurately predicts in-hospital mortality. The prediction of mortality by AEC is independent of the MELD score and serum sodium.", "author" : [ { "dropping-particle" : "", "family" : "Kotecha", "given" : "Hardik L", "non-dropping-particle" : "", "parse-names" : false, "suffix" : "" }, { "dropping-particle" : "", "family" : "Arora", "given" : "Anil", "non-dropping-particle" : "", "parse-names" : false, "suffix" : "" }, { "dropping-particle" : "", "family" : "Chawlani", "given" : "Romesh", "non-dropping-particle" : "", "parse-names" : false, "suffix" : "" }, { "dropping-particle" : "", "family" : "Toshniwal", "given" : "Jay", "non-dropping-particle" : "", "parse-names" : false, "suffix" : "" }, { "dropping-particle" : "", "family" : "Bansal", "given" : "Naresh", "non-dropping-particle" : "", "parse-names" : false, "suffix" : "" }, { "dropping-particle" : "", "family" : "Tyagi", "given" : "Pankaj", "non-dropping-particle" : "", "parse-names" : false, "suffix" : "" }, { "dropping-particle" : "", "family" : "Sharma", "given" : "Praveen", "non-dropping-particle" : "", "parse-names" : false, "suffix" : "" }, { "dropping-particle" : "", "family" : "Kumar", "given" : "Mandhir", "non-dropping-particle" : "", "parse-names" : false, "suffix" : "" }, { "dropping-particle" : "", "family" : "Kumar", "given" : "Ashish", "non-dropping-particle" : "", "parse-names" : false, "suffix" : "" } ], "container-title" : "European journal of gastroenterology &amp; hepatology", "id" : "ITEM-4", "issue" : "6", "issued" : { "date-parts" : [ [ "2013", "6" ] ] }, "language" : "eng", "page" : "676-682", "publisher-place" : "England", "title" : "Low eosinophil count predicts in-hospital mortality in cirrhosis with systemic inflammatory response syndrome.", "type" : "article-journal", "volume" : "25" }, "uris" : [ "http://www.mendeley.com/documents/?uuid=d9b6ab6e-2a39-4a47-8bab-f97d702cdc4d" ] }, { "id" : "ITEM-5", "itemData" : { "DOI" : "10.1016/j.jcrc.2015.03.031", "ISSN" : "15578615", "PMID" : "25891645", "abstract" : "Objective: Liver cirrhosis is associated with frequent bacterial infections that increase the mortality rate. However, the early diagnosis and treatment of these infections are often difficult. In this retrospective-prospective observational study, the serum levels of interleukin-6 (IL-6) and procalcitonin (PCT) were measured in 233 cirrhotic patients to evaluate the early diagnostic and prognostic values of IL-6 and PCT for cirrhotic patients. Methods: Cirrhotic patients admitted to the Liver Research Center of the First Affiliated Hospital of Fujian Medical University between 1 October 2012 and 30 June 2014 were enrolled. They showed no evidence of infection on admission, and all had first onset of fever and met the systemic inflammatory response syndrome criteria 72 hours after admission. The serum IL-6 and PCT levels were determined on admission, at the onset of fever (0 hour) and 24 and 48 hours after fever onset. Results: A total of 233 cirrhotic patients, including 183 men and 50 women, with a median age of 56 (46-65) years were enrolled. A training group of 159 patients was retrospectively enrolled from 1 October 2012 to 31 December 2013, and a validation group of 74 patients was prospectively enrolled from 1 January 2014 to 30 June 2014. Among these patients, 134 were diagnosed with bacterial sepsis, 96 of whom were in the training group and 38 of whom were in the validation group; infections were ultimately ruled out in 99 patients: 63 training patients and 36 validation patients. At 0 hour, the IL-6 and PCT levels as well as the proportion of neutrophils were much higher in septic patients than in nonseptic ones. The IL-6 level and proportion of neutrophils peaked upon the onset of fever, 24 hours before the PCT levels and white blood cell count, and then sharply declined. The area under the receiver operating characteristic curve of IL-6 for diagnosing sepsis was largest at the onset of fever (area under the receiver operating characteristic curve, 0.983; 95% confidence interval, 0.967-0.999). The threshold of IL-6 for diagnosis was 135 pg/mL, with a sensitivity of 94.8% and a specificity of 93.7%. These diagnostic values were also confirmed in the validation group, with a sensitivity of 97.4% and specificity of 80.6%. Eleven (11.5%) patients died, and 85 (88.5%) patients recovered in the sepsis group of training patients after a 4-week follow-up. The IL-6 level was significantly higher in the nonsurvival group than that in the survival grou\u2026", "author" : [ { "dropping-particle" : "", "family" : "Lin", "given" : "Su", "non-dropping-particle" : "", "parse-names" : false, "suffix" : "" }, { "dropping-particle" : "", "family" : "Huang", "given" : "Zhongtao", "non-dropping-particle" : "", "parse-names" : false, "suffix" : "" }, { "dropping-particle" : "", "family" : "Wang", "given" : "Mingfang", "non-dropping-particle" : "", "parse-names" : false, "suffix" : "" }, { "dropping-particle" : "", "family" : "Weng", "given" : "Zhiyuan", "non-dropping-particle" : "", "parse-names" : false, "suffix" : "" }, { "dropping-particle" : "", "family" : "Zeng", "given" : "Dawu", "non-dropping-particle" : "", "parse-names" : false, "suffix" : "" }, { "dropping-particle" : "", "family" : "Zhang", "given" : "Yanliang", "non-dropping-particle" : "", "parse-names" : false, "suffix" : "" }, { "dropping-particle" : "", "family" : "Zhu", "given" : "Yueyong", "non-dropping-particle" : "", "parse-names" : false, "suffix" : "" }, { "dropping-particle" : "", "family" : "Jiang", "given" : "Jiaji", "non-dropping-particle" : "", "parse-names" : false, "suffix" : "" } ], "container-title" : "Journal of Critical Care", "id" : "ITEM-5", "issue" : "4", "issued" : { "date-parts" : [ [ "2015" ] ] }, "page" : "732-738", "publisher" : "Elsevier B.V.", "title" : "Interleukin-6 as an early diagnostic marker for bacterial sepsis in patients with liver cirrhosis", "type" : "article-journal", "volume" : "30" }, "uris" : [ "http://www.mendeley.com/documents/?uuid=e82c8ec6-5960-49d0-b611-ca92720a945b" ] } ], "mendeley" : { "formattedCitation" : "&lt;sup&gt;[76\u201380]&lt;/sup&gt;", "plainTextFormattedCitation" : "[76\u201380]", "previouslyFormattedCitation" : "&lt;sup&gt;[76\u201380]&lt;/sup&gt;" }, "properties" : { "noteIndex" : 0 }, "schema" : "https://github.com/citation-style-language/schema/raw/master/csl-citation.json" }</w:instrText>
      </w:r>
      <w:r w:rsidRPr="00664A42">
        <w:rPr>
          <w:rFonts w:ascii="Book Antiqua" w:eastAsiaTheme="minorEastAsia" w:hAnsi="Book Antiqua"/>
          <w:lang w:val="en-GB" w:eastAsia="en-US"/>
        </w:rPr>
        <w:fldChar w:fldCharType="separate"/>
      </w:r>
      <w:r w:rsidRPr="00664A42">
        <w:rPr>
          <w:rFonts w:ascii="Book Antiqua" w:eastAsiaTheme="minorEastAsia" w:hAnsi="Book Antiqua"/>
          <w:noProof/>
          <w:vertAlign w:val="superscript"/>
          <w:lang w:val="en-GB" w:eastAsia="en-US"/>
        </w:rPr>
        <w:t>[76–80]</w:t>
      </w:r>
      <w:r w:rsidRPr="00664A42">
        <w:rPr>
          <w:rFonts w:ascii="Book Antiqua" w:eastAsiaTheme="minorEastAsia" w:hAnsi="Book Antiqua"/>
          <w:lang w:val="en-GB" w:eastAsia="en-US"/>
        </w:rPr>
        <w:fldChar w:fldCharType="end"/>
      </w:r>
      <w:r w:rsidRPr="00664A42">
        <w:rPr>
          <w:rFonts w:ascii="Book Antiqua" w:eastAsiaTheme="minorEastAsia" w:hAnsi="Book Antiqua"/>
          <w:lang w:val="en-GB" w:eastAsia="en-US"/>
        </w:rPr>
        <w:t xml:space="preserve"> and their findings are not without controversies. In Table 6 we summarized available data on clinical significance of CRP and PCT in </w:t>
      </w:r>
      <w:r w:rsidRPr="00664A42">
        <w:rPr>
          <w:rFonts w:ascii="Book Antiqua" w:hAnsi="Book Antiqua" w:cs="Arial"/>
          <w:lang w:val="en-GB"/>
        </w:rPr>
        <w:t xml:space="preserve">short or long-term mortality of patients with cirrhosis. Most of the studies included </w:t>
      </w:r>
      <w:r w:rsidRPr="00664A42">
        <w:rPr>
          <w:rFonts w:ascii="Book Antiqua" w:hAnsi="Book Antiqua" w:cs="Arial"/>
          <w:lang w:val="en-US"/>
        </w:rPr>
        <w:t>both stable outpatients and patients with ongoing AD episodes with or without bacterial infections. Furthermore, evaluations often were done as a whole of these non-</w:t>
      </w:r>
      <w:r w:rsidRPr="00664A42">
        <w:rPr>
          <w:rFonts w:ascii="Book Antiqua" w:hAnsi="Book Antiqua" w:cs="Arial"/>
          <w:lang w:val="en-US"/>
        </w:rPr>
        <w:lastRenderedPageBreak/>
        <w:t xml:space="preserve">homogenous patient groups rendering direct comparison and single conclusion rather difficult. </w:t>
      </w:r>
      <w:r w:rsidRPr="00664A42">
        <w:rPr>
          <w:rFonts w:ascii="Book Antiqua" w:eastAsiaTheme="minorEastAsia" w:hAnsi="Book Antiqua"/>
          <w:lang w:val="en-GB" w:eastAsia="en-US"/>
        </w:rPr>
        <w:t>Recently, a</w:t>
      </w:r>
      <w:r w:rsidRPr="00664A42">
        <w:rPr>
          <w:rFonts w:ascii="Book Antiqua" w:eastAsiaTheme="minorEastAsia" w:hAnsi="Book Antiqua" w:cs="Times"/>
          <w:lang w:val="en-US" w:eastAsia="en-US"/>
        </w:rPr>
        <w:t>n important concept has been derived from the CANONIC study</w:t>
      </w:r>
      <w:r w:rsidRPr="00664A42">
        <w:rPr>
          <w:rFonts w:ascii="Book Antiqua" w:eastAsiaTheme="minorEastAsia" w:hAnsi="Book Antiqua" w:cs="Times"/>
          <w:lang w:val="en-US" w:eastAsia="en-US"/>
        </w:rPr>
        <w:fldChar w:fldCharType="begin" w:fldLock="1"/>
      </w:r>
      <w:r w:rsidRPr="00664A42">
        <w:rPr>
          <w:rFonts w:ascii="Book Antiqua" w:eastAsiaTheme="minorEastAsia" w:hAnsi="Book Antiqua" w:cs="Times"/>
          <w:lang w:val="en-US" w:eastAsia="en-US"/>
        </w:rPr>
        <w:instrText>ADDIN CSL_CITATION { "citationItems" : [ { "id" : "ITEM-1", "itemData" : { "DOI" : "10.1053/j.gastro.2013.02.042", "ISSN" : "1528-0012", "PMID" : "23474284", "abstract" : "BACKGROUND &amp; AIMS: Patients with cirrhosis hospitalized for an acute decompensation (AD) and organ failure are at risk for imminent death and considered to have acute-on-chronic liver failure (ACLF). However, there are no established diagnostic criteria for ACLF, so little is known about its development and progression. We aimed to identify diagnostic criteria of ACLF and describe the development of this syndrome in European patients with AD. METHODS: We collected data from 1343 hospitalized patients with cirrhosis and AD from February to September 2011 at 29 liver units in 8 European countries. We used the organ failure and mortality data to define ACLF grades, assess mortality, and identify differences between ACLF and AD. We established diagnostic criteria for ACLF based on analyses of patients with organ failure (defined by the chronic liver failure-sequential organ failure assessment [CLIF-SOFA] score) and high 28-day mortality rate (&gt;15%). RESULTS: Of the patients assessed, 303 had ACLF when the study began, 112 developed ACLF, and 928 did not have ACLF. The 28-day mortality rate among patients who had ACLF when the study began was 33.9%, among those who developed ACLF was 29.7%, and among those who did not have ACLF was 1.9%. Patients with ACLF were younger and more frequently alcoholic, had more associated bacterial infections, and had higher numbers of leukocytes and higher plasma levels of C-reactive protein than patients without ACLF (P &lt; .001). Higher CLIF-SOFA scores and leukocyte counts were independent predictors of mortality in patients with ACLF. In patients without a prior history of AD, ACLF was unexpectedly characterized by higher numbers of organ failures, leukocyte count, and mortality compared with ACLF in patients with a prior history of AD. CONCLUSIONS: We analyzed data from patients with cirrhosis and AD to establish diagnostic criteria for ACLF and showed that it is distinct from AD, based not only on the presence of organ failure(s) and high mortality rate but also on age, precipitating events, and systemic inflammation. ACLF mortality is associated with loss of organ function and high leukocyte counts. ACLF is especially severe in patients with no prior history of AD.", "author" : [ { "dropping-particle" : "", "family" : "Moreau", "given" : "Richard", "non-dropping-particle" : "", "parse-names" : false, "suffix" : "" }, { "dropping-particle" : "", "family" : "Jalan", "given" : "Rajiv", "non-dropping-particle" : "", "parse-names" : false, "suffix" : "" }, { "dropping-particle" : "", "family" : "Gines", "given" : "Pere", "non-dropping-particle" : "", "parse-names" : false, "suffix" : "" }, { "dropping-particle" : "", "family" : "Pavesi", "given" : "Marco", "non-dropping-particle" : "", "parse-names" : false, "suffix" : "" }, { "dropping-particle" : "", "family" : "Angeli", "given" : "Paolo", "non-dropping-particle" : "", "parse-names" : false, "suffix" : "" }, { "dropping-particle" : "", "family" : "Cordoba", "given" : "Juan", "non-dropping-particle" : "", "parse-names" : false, "suffix" : "" }, { "dropping-particle" : "", "family" : "Durand", "given" : "Francois", "non-dropping-particle" : "", "parse-names" : false, "suffix" : "" }, { "dropping-particle" : "", "family" : "Gustot", "given" : "Thierry", "non-dropping-particle" : "", "parse-names" : false, "suffix" : "" }, { "dropping-particle" : "", "family" : "Saliba", "given" : "Faouzi", "non-dropping-particle" : "", "parse-names" : false, "suffix" : "" }, { "dropping-particle" : "", "family" : "Domenicali", "given" : "Marco", "non-dropping-particle" : "", "parse-names" : false, "suffix" : "" }, { "dropping-particle" : "", "family" : "Gerbes", "given" : "Alexander", "non-dropping-particle" : "", "parse-names" : false, "suffix" : "" }, { "dropping-particle" : "", "family" : "Wendon", "given" : "Julia", "non-dropping-particle" : "", "parse-names" : false, "suffix" : "" }, { "dropping-particle" : "", "family" : "Alessandria", "given" : "Carlo", "non-dropping-particle" : "", "parse-names" : false, "suffix" : "" }, { "dropping-particle" : "", "family" : "Laleman", "given" : "Wim", "non-dropping-particle" : "", "parse-names" : false, "suffix" : "" }, { "dropping-particle" : "", "family" : "Zeuzem", "given" : "Stefan", "non-dropping-particle" : "", "parse-names" : false, "suffix" : "" }, { "dropping-particle" : "", "family" : "Trebicka", "given" : "Jonel", "non-dropping-particle" : "", "parse-names" : false, "suffix" : "" }, { "dropping-particle" : "", "family" : "Bernardi", "given" : "Mauro", "non-dropping-particle" : "", "parse-names" : false, "suffix" : "" }, { "dropping-particle" : "", "family" : "Arroyo", "given" : "Vicente", "non-dropping-particle" : "", "parse-names" : false, "suffix" : "" } ], "container-title" : "Gastroenterology", "id" : "ITEM-1", "issue" : "7", "issued" : { "date-parts" : [ [ "2013", "6" ] ] }, "page" : "1426-1437", "title" : "Acute-on-chronic liver failure is a distinct syndrome that develops in patients with acute decompensation of cirrhosis.", "type" : "article-journal", "volume" : "144" }, "uris" : [ "http://www.mendeley.com/documents/?uuid=73ee534a-42df-4d9a-b950-f6b301f6c0bf" ] } ], "mendeley" : { "formattedCitation" : "&lt;sup&gt;[3]&lt;/sup&gt;", "plainTextFormattedCitation" : "[3]", "previouslyFormattedCitation" : "&lt;sup&gt;[3]&lt;/sup&gt;" }, "properties" : { "noteIndex" : 0 }, "schema" : "https://github.com/citation-style-language/schema/raw/master/csl-citation.json" }</w:instrText>
      </w:r>
      <w:r w:rsidRPr="00664A42">
        <w:rPr>
          <w:rFonts w:ascii="Book Antiqua" w:eastAsiaTheme="minorEastAsia" w:hAnsi="Book Antiqua" w:cs="Times"/>
          <w:lang w:val="en-US" w:eastAsia="en-US"/>
        </w:rPr>
        <w:fldChar w:fldCharType="separate"/>
      </w:r>
      <w:r w:rsidRPr="00664A42">
        <w:rPr>
          <w:rFonts w:ascii="Book Antiqua" w:eastAsiaTheme="minorEastAsia" w:hAnsi="Book Antiqua" w:cs="Times"/>
          <w:noProof/>
          <w:vertAlign w:val="superscript"/>
          <w:lang w:val="en-US" w:eastAsia="en-US"/>
        </w:rPr>
        <w:t>[3]</w:t>
      </w:r>
      <w:r w:rsidRPr="00664A42">
        <w:rPr>
          <w:rFonts w:ascii="Book Antiqua" w:eastAsiaTheme="minorEastAsia" w:hAnsi="Book Antiqua" w:cs="Times"/>
          <w:lang w:val="en-US" w:eastAsia="en-US"/>
        </w:rPr>
        <w:fldChar w:fldCharType="end"/>
      </w:r>
      <w:r w:rsidRPr="00664A42">
        <w:rPr>
          <w:rFonts w:ascii="Book Antiqua" w:eastAsiaTheme="minorEastAsia" w:hAnsi="Book Antiqua" w:cs="Times"/>
          <w:lang w:val="en-US" w:eastAsia="en-US"/>
        </w:rPr>
        <w:t>.</w:t>
      </w:r>
      <w:r w:rsidRPr="00664A42">
        <w:rPr>
          <w:rFonts w:ascii="Book Antiqua" w:eastAsiaTheme="minorEastAsia" w:hAnsi="Book Antiqua" w:cs="Helvetica"/>
          <w:lang w:val="en-US" w:eastAsia="en-US"/>
        </w:rPr>
        <w:t xml:space="preserve"> A</w:t>
      </w:r>
      <w:r w:rsidRPr="00664A42">
        <w:rPr>
          <w:rFonts w:ascii="Book Antiqua" w:eastAsiaTheme="minorEastAsia" w:hAnsi="Book Antiqua" w:cs="Times"/>
          <w:lang w:val="en-US" w:eastAsia="en-US"/>
        </w:rPr>
        <w:t xml:space="preserve">cute-on-chronic liver failure (ACLF) is associated with systemic inflammation and </w:t>
      </w:r>
      <w:r w:rsidRPr="00664A42">
        <w:rPr>
          <w:rFonts w:ascii="Book Antiqua" w:eastAsiaTheme="minorEastAsia" w:hAnsi="Book Antiqua" w:cs="Helvetica"/>
          <w:lang w:val="en-US" w:eastAsia="en-US"/>
        </w:rPr>
        <w:t xml:space="preserve">robust inflammatory </w:t>
      </w:r>
      <w:r w:rsidRPr="00664A42">
        <w:rPr>
          <w:rFonts w:ascii="Book Antiqua" w:eastAsiaTheme="minorEastAsia" w:hAnsi="Book Antiqua" w:cs="Helvetica"/>
          <w:bCs/>
          <w:lang w:val="en-US" w:eastAsia="en-US"/>
        </w:rPr>
        <w:t xml:space="preserve">response as </w:t>
      </w:r>
      <w:r w:rsidRPr="00664A42">
        <w:rPr>
          <w:rFonts w:ascii="Book Antiqua" w:eastAsiaTheme="minorEastAsia" w:hAnsi="Book Antiqua" w:cs="Helvetica"/>
          <w:lang w:val="en-US" w:eastAsia="en-US"/>
        </w:rPr>
        <w:t xml:space="preserve">judged by presence of elevated CRP or elevated leukocyte count results in worse outcome. </w:t>
      </w:r>
      <w:r w:rsidRPr="00664A42">
        <w:rPr>
          <w:rFonts w:ascii="Book Antiqua" w:eastAsiaTheme="minorEastAsia" w:hAnsi="Book Antiqua" w:cs="Times"/>
          <w:lang w:val="en-US" w:eastAsia="en-US"/>
        </w:rPr>
        <w:t xml:space="preserve">Higher </w:t>
      </w:r>
      <w:r w:rsidRPr="00664A42">
        <w:rPr>
          <w:rFonts w:ascii="Book Antiqua" w:eastAsiaTheme="minorEastAsia" w:hAnsi="Book Antiqua" w:cs="Helvetica"/>
          <w:lang w:val="en-US" w:eastAsia="en-US"/>
        </w:rPr>
        <w:t xml:space="preserve">leukocyte count </w:t>
      </w:r>
      <w:r w:rsidRPr="00664A42">
        <w:rPr>
          <w:rFonts w:ascii="Book Antiqua" w:eastAsiaTheme="minorEastAsia" w:hAnsi="Book Antiqua" w:cs="Times"/>
          <w:lang w:val="en-US" w:eastAsia="en-US"/>
        </w:rPr>
        <w:t>was found to be an independent predictor of 28-day transplant-free mortality. Based on these it was reasonable to assume that excessive increase in the APP levels, as a representative of the exaggerated inflammatory process could be associated with higher risk of short-term mortality in cirrhosis during bacterial infections. In patients with increased level of PCT, CRP and presepsin, short-term mortality was significantly higher</w:t>
      </w:r>
      <w:r w:rsidRPr="00664A42">
        <w:rPr>
          <w:rFonts w:ascii="Book Antiqua" w:hAnsi="Book Antiqua" w:cs="Arial"/>
          <w:lang w:val="en-US"/>
        </w:rPr>
        <w:t xml:space="preserve">. Indeed, higher level of PCT, CRP and presepsin were associated with short-term mortality in our study. However, </w:t>
      </w:r>
      <w:r w:rsidRPr="00664A42">
        <w:rPr>
          <w:rFonts w:ascii="Book Antiqua" w:hAnsi="Book Antiqua" w:cs="Arial"/>
          <w:lang w:val="en-GB"/>
        </w:rPr>
        <w:t>after adjusting for diseases severity and leukocyte count,</w:t>
      </w:r>
      <w:r w:rsidRPr="00664A42">
        <w:rPr>
          <w:rFonts w:ascii="Book Antiqua" w:hAnsi="Book Antiqua" w:cs="Arial"/>
          <w:lang w:val="en-US"/>
        </w:rPr>
        <w:t xml:space="preserve"> this association was only preserved for PCT and not for CRP or presepsin</w:t>
      </w:r>
      <w:r w:rsidRPr="00664A42">
        <w:rPr>
          <w:rFonts w:ascii="Book Antiqua" w:hAnsi="Book Antiqua" w:cs="Arial"/>
          <w:lang w:val="en-GB"/>
        </w:rPr>
        <w:t>.</w:t>
      </w:r>
      <w:r w:rsidRPr="00664A42">
        <w:rPr>
          <w:rFonts w:ascii="Book Antiqua" w:hAnsi="Book Antiqua"/>
          <w:lang w:val="en-GB"/>
        </w:rPr>
        <w:t xml:space="preserve"> </w:t>
      </w:r>
      <w:r w:rsidRPr="00664A42">
        <w:rPr>
          <w:rFonts w:ascii="Book Antiqua" w:eastAsiaTheme="minorEastAsia" w:hAnsi="Book Antiqua" w:cs="Times"/>
          <w:lang w:val="en-GB" w:eastAsia="en-US"/>
        </w:rPr>
        <w:t xml:space="preserve">From biological point of view this finding might be explained by the fact that presepsin has a different profile. It belongs to a distinctive class of molecules, so-called </w:t>
      </w:r>
      <w:r w:rsidRPr="00664A42">
        <w:rPr>
          <w:rFonts w:ascii="Book Antiqua" w:hAnsi="Book Antiqua"/>
          <w:lang w:val="en-GB"/>
        </w:rPr>
        <w:t>“hormonkines”</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"DOI" : "10.1210/jcem.86.1.7089", "ISSN" : "0021-972X (Print)", "PMID" : "11232031", "abstract" : "Calcitonin precursors (CTpr), including procalcitonin, are important markers and  also potentially harmful mediators in response to microbial infections. The source and function of CTpr production in sepsis, however, remains an enigma. In the classical view, the transcription of the CT-I gene is restricted to neuroendocrine cells, in particular the C cells of the thyroid. To better understand the pathophysiology of CTpr induction in sepsis, we used an animal model analog to human sepsis, in which bacterial infection is induced in hamsters by implanting Escherichia coli pellets ip. Compared with control hamsters, levels of CTpr were elevated several fold in septic plasma and in nearly all septic hamster tissues analyzed. Unexpectedly, CT-messenger RNA was ubiquitously and uniformly expressed in multiple tissues throughout the body in response to sepsis. Notably, the transcriptional expression of CT-messenger RNA seemed more widely up-regulated in sepsis than were classical cytokines (e.g. tumor necrosis factor-alpha and interleukin-6). Our findings, which describe a potentially new mechanism of host response to a microbial infection mediated by CTpr, introduce a new pathophysiological role for the CT-I gene.", "author" : [ { "dropping-particle" : "", "family" : "Muller", "given" : "B", "non-dropping-particle" : "", "parse-names" : false, "suffix" : "" }, { "dropping-particle" : "", "family" : "White", "given" : "J C", "non-dropping-particle" : "", "parse-names" : false, "suffix" : "" }, { "dropping-particle" : "", "family" : "Nylen", "given" : "E S", "non-dropping-particle" : "", "parse-names" : false, "suffix" : "" }, { "dropping-particle" : "", "family" : "Snider", "given" : "R H", "non-dropping-particle" : "", "parse-names" : false, "suffix" : "" }, { "dropping-particle" : "", "family" : "Becker", "given" : "K L", "non-dropping-particle" : "", "parse-names" : false, "suffix" : "" }, { "dropping-particle" : "", "family" : "Habener", "given" : "J F", "non-dropping-particle" : "", "parse-names" : false, "suffix" : "" } ], "container-title" : "The Journal of clinical endocrinology and metabolism", "id" : "ITEM-1", "issue" : "1", "issued" : { "date-parts" : [ [ "2001", "1" ] ] }, "language" : "eng", "page" : "396-404", "publisher-place" : "United States", "title" : "Ubiquitous expression of the calcitonin-i gene in multiple tissues in response to sepsis.", "type" : "article-journal", "volume" : "86" }, "uris" : [ "http://www.mendeley.com/documents/?uuid=9874141e-c749-4877-bff1-16c5ce87e636" ] } ], "mendeley" : { "formattedCitation" : "&lt;sup&gt;[81]&lt;/sup&gt;", "plainTextFormattedCitation" : "[81]", "previouslyFormattedCitation" : "&lt;sup&gt;[81]&lt;/sup&gt;"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[81]</w:t>
      </w:r>
      <w:r w:rsidRPr="00664A42">
        <w:rPr>
          <w:rFonts w:ascii="Book Antiqua" w:hAnsi="Book Antiqua"/>
          <w:lang w:val="en-GB"/>
        </w:rPr>
        <w:fldChar w:fldCharType="end"/>
      </w:r>
      <w:r w:rsidRPr="00664A42">
        <w:rPr>
          <w:rFonts w:ascii="Book Antiqua" w:hAnsi="Book Antiqua"/>
          <w:lang w:val="en-GB"/>
        </w:rPr>
        <w:t>.</w:t>
      </w:r>
      <w:r w:rsidRPr="00664A42">
        <w:rPr>
          <w:rFonts w:ascii="Book Antiqua" w:eastAsiaTheme="minorEastAsia" w:hAnsi="Book Antiqua" w:cs="Times"/>
          <w:lang w:val="en-GB" w:eastAsia="en-US"/>
        </w:rPr>
        <w:t xml:space="preserve"> </w:t>
      </w:r>
      <w:r w:rsidRPr="00664A42">
        <w:rPr>
          <w:rFonts w:ascii="Book Antiqua" w:hAnsi="Book Antiqua"/>
          <w:lang w:val="en-GB"/>
        </w:rPr>
        <w:t xml:space="preserve">Procalcitonin has a </w:t>
      </w:r>
      <w:r w:rsidRPr="00664A42">
        <w:rPr>
          <w:rFonts w:ascii="Book Antiqua" w:eastAsiaTheme="minorEastAsia" w:hAnsi="Book Antiqua" w:cs="Times"/>
          <w:lang w:val="en-GB" w:eastAsia="en-US"/>
        </w:rPr>
        <w:t xml:space="preserve">cytokine-like behaviour during inflammation and infection. It is produced </w:t>
      </w:r>
      <w:r w:rsidRPr="00664A42">
        <w:rPr>
          <w:rFonts w:ascii="Book Antiqua" w:eastAsiaTheme="minorEastAsia" w:hAnsi="Book Antiqua" w:cs="Helvetica"/>
          <w:lang w:val="en-GB" w:eastAsia="en-US"/>
        </w:rPr>
        <w:t xml:space="preserve">primarily in </w:t>
      </w:r>
      <w:hyperlink r:id="rId8" w:history="1">
        <w:r w:rsidRPr="00664A42">
          <w:rPr>
            <w:rFonts w:ascii="Book Antiqua" w:eastAsiaTheme="minorEastAsia" w:hAnsi="Book Antiqua" w:cs="Helvetica"/>
            <w:lang w:val="en-GB" w:eastAsia="en-US"/>
          </w:rPr>
          <w:t>neuroendocrine cells</w:t>
        </w:r>
      </w:hyperlink>
      <w:r w:rsidRPr="00664A42">
        <w:rPr>
          <w:rFonts w:ascii="Book Antiqua" w:eastAsiaTheme="minorEastAsia" w:hAnsi="Book Antiqua" w:cs="Helvetica"/>
          <w:lang w:val="en-GB" w:eastAsia="en-US"/>
        </w:rPr>
        <w:t xml:space="preserve"> of various organs</w:t>
      </w:r>
      <w:r w:rsidRPr="00664A42">
        <w:rPr>
          <w:rFonts w:ascii="Book Antiqua" w:eastAsiaTheme="minorEastAsia" w:hAnsi="Book Antiqua" w:cs="Times"/>
          <w:lang w:val="en-GB" w:eastAsia="en-US"/>
        </w:rPr>
        <w:t xml:space="preserve"> and represents involvement of several instead of one </w:t>
      </w:r>
      <w:r w:rsidRPr="00664A42">
        <w:rPr>
          <w:rFonts w:ascii="Book Antiqua" w:eastAsiaTheme="minorEastAsia" w:hAnsi="Book Antiqua" w:cs="Helvetica"/>
          <w:lang w:val="en-GB" w:eastAsia="en-US"/>
        </w:rPr>
        <w:t>organ into the pro-inflammatory response</w:t>
      </w:r>
      <w:r w:rsidRPr="00664A42">
        <w:rPr>
          <w:rFonts w:ascii="Book Antiqua" w:eastAsiaTheme="minorEastAsia" w:hAnsi="Book Antiqua" w:cs="Helvetica"/>
          <w:lang w:val="en-GB" w:eastAsia="en-US"/>
        </w:rPr>
        <w:fldChar w:fldCharType="begin" w:fldLock="1"/>
      </w:r>
      <w:r w:rsidRPr="00664A42">
        <w:rPr>
          <w:rFonts w:ascii="Book Antiqua" w:eastAsiaTheme="minorEastAsia" w:hAnsi="Book Antiqua" w:cs="Helvetica"/>
          <w:lang w:val="en-GB" w:eastAsia="en-US"/>
        </w:rPr>
        <w:instrText>ADDIN CSL_CITATION { "citationItems" : [ { "id" : "ITEM-1", "itemData" : { "DOI" : "10.1007/s00011-012-0439-5", "ISSN" : "1420-908X (Electronic)", "PMID" : "22354317", "abstract" : "Procalcitonin (PCT) has recently emerged as a powerful biomarker for an early and accurate diagnosis of bacterial infection. Here we summarize our current understanding of the expression pathways of PCT, its potential cellular sources including immune cells, and factors inducing its secretion. Also addressed is the significance of increased blood PCT concentration, which may allow this molecule not only to act as a clinical biomarker but also as an active participant in the development and progression of infectious processes. Experimental approaches to delineate a better understanding of PCT functions, molecular pathways that modulate its expression and therapeutic opportunities to curtail its biological actions are discussed, as well.", "author" : [ { "dropping-particle" : "", "family" : "Matwiyoff", "given" : "G N", "non-dropping-particle" : "", "parse-names" : false, "suffix" : "" }, { "dropping-particle" : "", "family" : "Prahl", "given" : "J D", "non-dropping-particle" : "", "parse-names" : false, "suffix" : "" }, { "dropping-particle" : "", "family" : "Miller", "given" : "R J", "non-dropping-particle" : "", "parse-names" : false, "suffix" : "" }, { "dropping-particle" : "", "family" : "Carmichael", "given" : "J J", "non-dropping-particle" : "", "parse-names" : false, "suffix" : "" }, { "dropping-particle" : "", "family" : "Amundson", "given" : "D E", "non-dropping-particle" : "", "parse-names" : false, "suffix" : "" }, { "dropping-particle" : "", "family" : "Seda", "given" : "G", "non-dropping-particle" : "", "parse-names" : false, "suffix" : "" }, { "dropping-particle" : "", "family" : "Daheshia", "given" : "M", "non-dropping-particle" : "", "parse-names" : false, "suffix" : "" } ], "container-title" : "Inflammation research : official journal of the European Histamine Research Society ... [et al.]", "id" : "ITEM-1", "issue" : "5", "issued" : { "date-parts" : [ [ "2012", "5" ] ] }, "language" : "eng", "page" : "401-409", "publisher-place" : "Switzerland", "title" : "Immune regulation of procalcitonin: a biomarker and mediator of infection.", "type" : "article-journal", "volume" : "61" }, "uris" : [ "http://www.mendeley.com/documents/?uuid=ca8cb135-aef4-4ccb-89ef-70b557fd64a5" ] } ], "mendeley" : { "formattedCitation" : "&lt;sup&gt;[82]&lt;/sup&gt;", "plainTextFormattedCitation" : "[82]", "previouslyFormattedCitation" : "&lt;sup&gt;[82]&lt;/sup&gt;" }, "properties" : { "noteIndex" : 0 }, "schema" : "https://github.com/citation-style-language/schema/raw/master/csl-citation.json" }</w:instrText>
      </w:r>
      <w:r w:rsidRPr="00664A42">
        <w:rPr>
          <w:rFonts w:ascii="Book Antiqua" w:eastAsiaTheme="minorEastAsia" w:hAnsi="Book Antiqua" w:cs="Helvetica"/>
          <w:lang w:val="en-GB" w:eastAsia="en-US"/>
        </w:rPr>
        <w:fldChar w:fldCharType="separate"/>
      </w:r>
      <w:r w:rsidRPr="00664A42">
        <w:rPr>
          <w:rFonts w:ascii="Book Antiqua" w:eastAsiaTheme="minorEastAsia" w:hAnsi="Book Antiqua" w:cs="Helvetica"/>
          <w:noProof/>
          <w:vertAlign w:val="superscript"/>
          <w:lang w:val="en-GB" w:eastAsia="en-US"/>
        </w:rPr>
        <w:t>[82]</w:t>
      </w:r>
      <w:r w:rsidRPr="00664A42">
        <w:rPr>
          <w:rFonts w:ascii="Book Antiqua" w:eastAsiaTheme="minorEastAsia" w:hAnsi="Book Antiqua" w:cs="Helvetica"/>
          <w:lang w:val="en-GB" w:eastAsia="en-US"/>
        </w:rPr>
        <w:fldChar w:fldCharType="end"/>
      </w:r>
      <w:r w:rsidRPr="00664A42">
        <w:rPr>
          <w:rFonts w:ascii="Book Antiqua" w:eastAsiaTheme="minorEastAsia" w:hAnsi="Book Antiqua" w:cs="Helvetica"/>
          <w:lang w:val="en-GB" w:eastAsia="en-US"/>
        </w:rPr>
        <w:t xml:space="preserve">. </w:t>
      </w:r>
      <w:r w:rsidRPr="00664A42">
        <w:rPr>
          <w:rFonts w:ascii="Book Antiqua" w:hAnsi="Book Antiqua"/>
          <w:lang w:val="en-GB"/>
        </w:rPr>
        <w:t>Lastly, it has been demonstrated that PCT has various toxic effects and pose harm to the host. Administration of PCT to septic animals greatly increases mortality. Antibodies directed against PCT are able to ameliorate harmful effects of PCT with a marked decrease symptomatology and mortality of sepsis</w:t>
      </w:r>
      <w:r w:rsidRPr="00664A42">
        <w:rPr>
          <w:rFonts w:ascii="Book Antiqua" w:hAnsi="Book Antiqua"/>
          <w:lang w:val="en-GB"/>
        </w:rPr>
        <w:fldChar w:fldCharType="begin" w:fldLock="1"/>
      </w:r>
      <w:r w:rsidRPr="00664A42">
        <w:rPr>
          <w:rFonts w:ascii="Book Antiqua" w:hAnsi="Book Antiqua"/>
          <w:lang w:val="en-GB"/>
        </w:rPr>
        <w:instrText>ADDIN CSL_CITATION { "citationItems" : [ { "id" : "ITEM-1", "itemData" : { "ISSN" : "0090-3493 (Print)", "PMID" : "9635646", "abstract" : "OBJECTIVES: Procalcitonin (ProCT), the precursor to the calcitonin hormone, is abnormally increased in experimental and clinical systemic inflammation, including sepsis. Initially, we investigated the effects of supraphysiologic amounts of ProCT administered to animals with septic peritonitis. Subsequently, we evaluated the efficacy of prophylactic and therapeutic immune blockade of ProCT in this lethal model of sepsis. DESIGN: Prospective, experimental, controlled study. SETTING: Animal research laboratory approved by the American Association for the Accreditation of Laboratory Animal Care at a Veterans Affairs Medical Center. SUBJECTS: Young male Golden Syrian hamsters, weighing 90 to 120 g. INTERVENTIONS: In the first study, serum ProCT concentrations were measured in animals at 0, 3, 6, 12, and 24 hrs after induction of sepsis by intraperitoneal implantation of pellets containing Escherichia coli (5 x 10(8) colony-forming units/pellet). In the second study, with mortality as the end point, 30 microg/kg of isolated, purified human ProCT in 10% hamster serum (experimental) or an equal volume of 10% hamster serum (control) were administered intravenously at the time of the E. coli peritoneal implantation. In the third study, experimental animals received intraperitoneal injections of a multiregion-specific goat antiserum reactive to hamster ProCT 1 hr before and 24 hrs after E. coli implantation, while control animals received nonimmune goat serum at the same time points. In the final study, the same antiserum was administered in five divided doses during the 24 hrs after the insertion of E. coli. MEASUREMENTS AND MAIN RESULTS: In the initial study, ProCT concentrations were increased shortly after induction of sepsis and peaked at 12 hrs. Administration of exogenous ProCT to septic animals significantly increased mortality compared with control animals (93% vs. 43%, p=.02). Prophylactic blockade of ProCT almost completely protected the animals from the lethal effects of sepsis: the 102-hr mortality rate in the experimental group was 6% compared with 62% in the control group (p &lt; .003). In the therapeutic trial, the 102-hr mortality rate was 54% in experimental animals compared with 82% in control animals (p &lt; .045). CONCLUSIONS: These results demonstrate that increased ProCT exacerbates mortality in experimental sepsis, whereas neutralization of ProCT increases survival. Thus, ProCT, in addition to being an important marker of severity of systemic inf\u2026", "author" : [ { "dropping-particle" : "", "family" : "Nylen", "given" : "E S", "non-dropping-particle" : "", "parse-names" : false, "suffix" : "" }, { "dropping-particle" : "", "family" : "Whang", "given" : "K T", "non-dropping-particle" : "", "parse-names" : false, "suffix" : "" }, { "dropping-particle" : "", "family" : "Snider", "given" : "R H Jr", "non-dropping-particle" : "", "parse-names" : false, "suffix" : "" }, { "dropping-particle" : "", "family" : "Steinwald", "given" : "P M", "non-dropping-particle" : "", "parse-names" : false, "suffix" : "" }, { "dropping-particle" : "", "family" : "White", "given" : "J C", "non-dropping-particle" : "", "parse-names" : false, "suffix" : "" }, { "dropping-particle" : "", "family" : "Becker", "given" : "K L", "non-dropping-particle" : "", "parse-names" : false, "suffix" : "" } ], "container-title" : "Critical care medicine", "id" : "ITEM-1", "issue" : "6", "issued" : { "date-parts" : [ [ "1998", "6" ] ] }, "language" : "eng", "page" : "1001-1006", "publisher-place" : "UNITED STATES", "title" : "Mortality is increased by procalcitonin and decreased by an antiserum reactive to procalcitonin in experimental sepsis.", "type" : "article-journal", "volume" : "26" }, "uris" : [ "http://www.mendeley.com/documents/?uuid=ae848d84-f329-4b01-adf5-b1136822b402" ] } ], "mendeley" : { "formattedCitation" : "&lt;sup&gt;[83]&lt;/sup&gt;", "plainTextFormattedCitation" : "[83]", "previouslyFormattedCitation" : "&lt;sup&gt;[83]&lt;/sup&gt;" }, "properties" : { "noteIndex" : 0 }, "schema" : "https://github.com/citation-style-language/schema/raw/master/csl-citation.json" }</w:instrText>
      </w:r>
      <w:r w:rsidRPr="00664A42">
        <w:rPr>
          <w:rFonts w:ascii="Book Antiqua" w:hAnsi="Book Antiqua"/>
          <w:lang w:val="en-GB"/>
        </w:rPr>
        <w:fldChar w:fldCharType="separate"/>
      </w:r>
      <w:r w:rsidRPr="00664A42">
        <w:rPr>
          <w:rFonts w:ascii="Book Antiqua" w:hAnsi="Book Antiqua"/>
          <w:noProof/>
          <w:vertAlign w:val="superscript"/>
          <w:lang w:val="en-GB"/>
        </w:rPr>
        <w:t>[83]</w:t>
      </w:r>
      <w:r w:rsidRPr="00664A42">
        <w:rPr>
          <w:rFonts w:ascii="Book Antiqua" w:hAnsi="Book Antiqua"/>
          <w:lang w:val="en-GB"/>
        </w:rPr>
        <w:fldChar w:fldCharType="end"/>
      </w:r>
      <w:r w:rsidRPr="00664A42">
        <w:rPr>
          <w:rFonts w:ascii="Book Antiqua" w:hAnsi="Book Antiqua"/>
          <w:lang w:val="en-GB"/>
        </w:rPr>
        <w:t xml:space="preserve">. Presepsin represents activation of the monocyte-macrophage system during inflammatory process. Macrophages have a dual effect: production of excessive amount of inflammatory cytokines can cause tissue damage but involvement in the resolution of the inflammation promote tissue repair. This latter process is driven by </w:t>
      </w:r>
      <w:r w:rsidRPr="00664A42">
        <w:rPr>
          <w:rFonts w:ascii="Book Antiqua" w:eastAsiaTheme="minorEastAsia" w:hAnsi="Book Antiqua" w:cs="Times"/>
          <w:lang w:val="en-GB" w:eastAsia="en-US"/>
        </w:rPr>
        <w:t>M2-type macrophages in the presence of local microenvironmental anti-inflammatory signals such as IL-10</w:t>
      </w:r>
      <w:r w:rsidRPr="00664A42">
        <w:rPr>
          <w:rFonts w:ascii="Book Antiqua" w:eastAsiaTheme="minorEastAsia" w:hAnsi="Book Antiqua" w:cs="Times"/>
          <w:lang w:val="en-GB" w:eastAsia="en-US"/>
        </w:rPr>
        <w:fldChar w:fldCharType="begin" w:fldLock="1"/>
      </w:r>
      <w:r w:rsidRPr="00664A42">
        <w:rPr>
          <w:rFonts w:ascii="Book Antiqua" w:eastAsiaTheme="minorEastAsia" w:hAnsi="Book Antiqua" w:cs="Times"/>
          <w:lang w:val="en-GB" w:eastAsia="en-US"/>
        </w:rPr>
        <w:instrText>ADDIN CSL_CITATION { "citationItems" : [ { "id" : "ITEM-1", "itemData" : { "DOI" : "10.1172/JCI59643", "ISSN" : "1558-8238 (Electronic)", "PMID" : "22378047", "abstract" : "Diversity and plasticity are hallmarks of cells of the monocyte-macrophage lineage. In response to IFNs, Toll-like receptor engagement, or IL-4/IL-13 signaling, macrophages undergo M1 (classical) or M2 (alternative) activation, which represent extremes of a continuum in a universe of activation states. Progress has now been made in defining the signaling pathways, transcriptional networks, and epigenetic mechanisms underlying M1-M2 or M2-like polarized activation. Functional skewing of mononuclear phagocytes occurs in vivo under physiological conditions (e.g., ontogenesis and pregnancy) and in pathology (allergic and chronic inflammation, tissue repair, infection, and cancer). However, in selected preclinical and clinical conditions, coexistence of cells in different activation states and unique or mixed phenotypes have been observed, a reflection of dynamic changes and complex tissue-derived signals. The identification of mechanisms and molecules associated with macrophage plasticity and polarized activation provides a basis for macrophage-centered diagnostic and therapeutic strategies.", "author" : [ { "dropping-particle" : "", "family" : "Sica", "given" : "Antonio", "non-dropping-particle" : "", "parse-names" : false, "suffix" : "" }, { "dropping-particle" : "", "family" : "Mantovani", "given" : "Alberto", "non-dropping-particle" : "", "parse-names" : false, "suffix" : "" } ], "container-title" : "The Journal of clinical investigation", "id" : "ITEM-1", "issue" : "3", "issued" : { "date-parts" : [ [ "2012", "3" ] ] }, "language" : "eng", "page" : "787-795", "publisher-place" : "United States", "title" : "Macrophage plasticity and polarization: in vivo veritas.", "type" : "article-journal", "volume" : "122" }, "uris" : [ "http://www.mendeley.com/documents/?uuid=e3d3dbf7-d387-4e0c-beed-c4aab7db6fff" ] } ], "mendeley" : { "formattedCitation" : "&lt;sup&gt;[84]&lt;/sup&gt;", "plainTextFormattedCitation" : "[84]" }, "properties" : { "noteIndex" : 0 }, "schema" : "https://github.com/citation-style-language/schema/raw/master/csl-citation.json" }</w:instrText>
      </w:r>
      <w:r w:rsidRPr="00664A42">
        <w:rPr>
          <w:rFonts w:ascii="Book Antiqua" w:eastAsiaTheme="minorEastAsia" w:hAnsi="Book Antiqua" w:cs="Times"/>
          <w:lang w:val="en-GB" w:eastAsia="en-US"/>
        </w:rPr>
        <w:fldChar w:fldCharType="separate"/>
      </w:r>
      <w:r w:rsidRPr="00664A42">
        <w:rPr>
          <w:rFonts w:ascii="Book Antiqua" w:eastAsiaTheme="minorEastAsia" w:hAnsi="Book Antiqua" w:cs="Times"/>
          <w:noProof/>
          <w:vertAlign w:val="superscript"/>
          <w:lang w:val="en-GB" w:eastAsia="en-US"/>
        </w:rPr>
        <w:t>[84]</w:t>
      </w:r>
      <w:r w:rsidRPr="00664A42">
        <w:rPr>
          <w:rFonts w:ascii="Book Antiqua" w:eastAsiaTheme="minorEastAsia" w:hAnsi="Book Antiqua" w:cs="Times"/>
          <w:lang w:val="en-GB" w:eastAsia="en-US"/>
        </w:rPr>
        <w:fldChar w:fldCharType="end"/>
      </w:r>
      <w:r w:rsidRPr="00664A42">
        <w:rPr>
          <w:rFonts w:ascii="Book Antiqua" w:hAnsi="Book Antiqua"/>
          <w:lang w:val="en-GB"/>
        </w:rPr>
        <w:t>.</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en-US"/>
        </w:rPr>
      </w:pPr>
      <w:r w:rsidRPr="00664A42">
        <w:rPr>
          <w:rFonts w:ascii="Book Antiqua" w:hAnsi="Book Antiqua"/>
          <w:lang w:val="en-GB"/>
        </w:rPr>
        <w:lastRenderedPageBreak/>
        <w:tab/>
        <w:t xml:space="preserve">Plasma presepsin was only assessed at enrolment, and thus dynamic changes of the concentration were unknown, which is inevitably one of the limitations of the present study. For this reason, clinical study will be needed to further investigate serial changes in presepsin levels and their possible association with worse outcome during infection. </w:t>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hAnsi="Book Antiqua"/>
          <w:lang w:val="en-GB"/>
        </w:rPr>
        <w:tab/>
        <w:t xml:space="preserve">To conclude, the present study suggests that presepsin is a promising biomarker during diagnostic procedure of bacterial infections in cirrhosis for enhancing diagnostic capacity of CRP and reflecting more accurately the severity of infections. Performance of presepsin is equal to PCT in these clinical settings. Diagnostic accuracy of presepsin, however, decreases in advanced stage of the disease or in the presence of renal failure. Level of presepsin is </w:t>
      </w:r>
      <w:r w:rsidRPr="00664A42">
        <w:rPr>
          <w:rFonts w:ascii="Book Antiqua" w:eastAsia="MS Mincho" w:hAnsi="Book Antiqua"/>
          <w:lang w:val="en-GB" w:eastAsia="en-US"/>
        </w:rPr>
        <w:t xml:space="preserve">not associated with </w:t>
      </w:r>
      <w:r w:rsidRPr="00664A42">
        <w:rPr>
          <w:rFonts w:ascii="Book Antiqua" w:hAnsi="Book Antiqua"/>
          <w:lang w:val="en-GB"/>
        </w:rPr>
        <w:t>the pathogens causing infections. Procalcitonin but not presepsin is a biomarker for predicting infection-related short-term mortality in patients with cirrhosis.</w:t>
      </w:r>
    </w:p>
    <w:p w:rsidR="000A103F" w:rsidRPr="00664A42" w:rsidRDefault="000A103F" w:rsidP="003B01FB">
      <w:pPr>
        <w:spacing w:line="360" w:lineRule="auto"/>
        <w:jc w:val="both"/>
        <w:rPr>
          <w:rFonts w:ascii="Book Antiqua" w:hAnsi="Book Antiqua"/>
          <w:b/>
          <w:highlight w:val="yellow"/>
        </w:rPr>
      </w:pPr>
      <w:bookmarkStart w:id="53" w:name="OLE_LINK595"/>
      <w:bookmarkStart w:id="54" w:name="OLE_LINK596"/>
    </w:p>
    <w:bookmarkEnd w:id="53"/>
    <w:bookmarkEnd w:id="54"/>
    <w:p w:rsidR="000A103F" w:rsidRPr="00664A42" w:rsidRDefault="000A103F" w:rsidP="003B01FB">
      <w:pPr>
        <w:spacing w:line="360" w:lineRule="auto"/>
        <w:jc w:val="both"/>
        <w:rPr>
          <w:rFonts w:ascii="Book Antiqua" w:hAnsi="Book Antiqua"/>
          <w:b/>
        </w:rPr>
      </w:pPr>
      <w:r w:rsidRPr="00664A42">
        <w:rPr>
          <w:rFonts w:ascii="Book Antiqua" w:hAnsi="Book Antiqua"/>
          <w:b/>
        </w:rPr>
        <w:t>COMMENTS</w:t>
      </w:r>
    </w:p>
    <w:p w:rsidR="000A103F" w:rsidRPr="00664A42" w:rsidRDefault="000A103F" w:rsidP="003B01FB">
      <w:pPr>
        <w:spacing w:line="360" w:lineRule="auto"/>
        <w:jc w:val="both"/>
        <w:rPr>
          <w:rFonts w:ascii="Book Antiqua" w:hAnsi="Book Antiqua"/>
          <w:b/>
          <w:bCs/>
        </w:rPr>
      </w:pPr>
      <w:r w:rsidRPr="00664A42">
        <w:rPr>
          <w:rFonts w:ascii="Book Antiqua" w:hAnsi="Book Antiqua"/>
          <w:b/>
          <w:bCs/>
          <w:i/>
        </w:rPr>
        <w:t>Background</w:t>
      </w:r>
    </w:p>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hAnsi="Book Antiqua"/>
          <w:lang w:val="en-GB"/>
        </w:rPr>
        <w:t xml:space="preserve">Bacterial infections are frequent complications in cirrhosis and </w:t>
      </w:r>
      <w:r w:rsidRPr="00664A42">
        <w:rPr>
          <w:rFonts w:ascii="Book Antiqua" w:eastAsiaTheme="minorEastAsia" w:hAnsi="Book Antiqua"/>
          <w:lang w:val="en-US" w:eastAsia="en-US"/>
        </w:rPr>
        <w:t xml:space="preserve">often culminate in newly developed liver and/or extrahepatic organ failures, which is associated with </w:t>
      </w:r>
      <w:r w:rsidRPr="00664A42">
        <w:rPr>
          <w:rFonts w:ascii="Book Antiqua" w:hAnsi="Book Antiqua"/>
          <w:lang w:val="en-GB"/>
        </w:rPr>
        <w:t>significant mortality. Early laboratory diagnosis of these episodes is essential but challenging</w:t>
      </w:r>
      <w:r w:rsidRPr="00664A42">
        <w:rPr>
          <w:rFonts w:ascii="Book Antiqua" w:eastAsiaTheme="minorEastAsia" w:hAnsi="Book Antiqua"/>
          <w:lang w:val="en-US" w:eastAsia="en-US"/>
        </w:rPr>
        <w:t>.</w:t>
      </w:r>
      <w:r w:rsidRPr="00664A42">
        <w:rPr>
          <w:rFonts w:ascii="Book Antiqua" w:hAnsi="Book Antiqua"/>
          <w:lang w:val="en-GB"/>
        </w:rPr>
        <w:t xml:space="preserve"> </w:t>
      </w:r>
      <w:r w:rsidRPr="00664A42">
        <w:rPr>
          <w:rFonts w:ascii="Book Antiqua" w:eastAsiaTheme="minorEastAsia" w:hAnsi="Book Antiqua"/>
          <w:lang w:val="en-US" w:eastAsia="en-US"/>
        </w:rPr>
        <w:t xml:space="preserve">There is an evident lack of sensitivity and specificity of the conventional laboratory markers due to disease specific characteristics. </w:t>
      </w:r>
      <w:r w:rsidRPr="00664A42">
        <w:rPr>
          <w:rFonts w:ascii="Book Antiqua" w:hAnsi="Book Antiqua"/>
          <w:lang w:val="en-GB"/>
        </w:rPr>
        <w:t>Advanced stage of cirrhosis affects diagnostic accuracy of liver synthesised acute phase proteins (</w:t>
      </w:r>
      <w:r w:rsidRPr="00664A42">
        <w:rPr>
          <w:rFonts w:ascii="Book Antiqua" w:hAnsi="Book Antiqua"/>
          <w:i/>
          <w:lang w:val="en-GB"/>
        </w:rPr>
        <w:t>e.g.</w:t>
      </w:r>
      <w:r w:rsidR="00664A42" w:rsidRPr="00664A42">
        <w:rPr>
          <w:rFonts w:ascii="Book Antiqua" w:hAnsi="Book Antiqua" w:hint="eastAsia"/>
          <w:i/>
          <w:lang w:val="en-GB" w:eastAsia="zh-CN"/>
        </w:rPr>
        <w:t>,</w:t>
      </w:r>
      <w:r w:rsidRPr="00664A42">
        <w:rPr>
          <w:rFonts w:ascii="Book Antiqua" w:hAnsi="Book Antiqua"/>
          <w:i/>
          <w:lang w:val="en-GB"/>
        </w:rPr>
        <w:t xml:space="preserve"> </w:t>
      </w:r>
      <w:r w:rsidRPr="00664A42">
        <w:rPr>
          <w:rFonts w:ascii="Book Antiqua" w:hAnsi="Book Antiqua"/>
          <w:lang w:val="en-GB"/>
        </w:rPr>
        <w:t xml:space="preserve">C-reactive protein) whereas </w:t>
      </w:r>
      <w:r w:rsidRPr="00664A42">
        <w:rPr>
          <w:rFonts w:ascii="Book Antiqua" w:hAnsi="Book Antiqua"/>
          <w:lang w:val="en-US"/>
        </w:rPr>
        <w:t xml:space="preserve">acute kidney injury affects </w:t>
      </w:r>
      <w:r w:rsidRPr="00664A42">
        <w:rPr>
          <w:rFonts w:ascii="Book Antiqua" w:eastAsiaTheme="minorEastAsia" w:hAnsi="Book Antiqua" w:cs="Times"/>
          <w:lang w:val="en-US" w:eastAsia="en-US"/>
        </w:rPr>
        <w:t>renal clearance of small molecules (</w:t>
      </w:r>
      <w:r w:rsidR="00664A42" w:rsidRPr="00664A42">
        <w:rPr>
          <w:rFonts w:ascii="Book Antiqua" w:hAnsi="Book Antiqua"/>
          <w:i/>
          <w:lang w:val="en-GB"/>
        </w:rPr>
        <w:t>e.g.</w:t>
      </w:r>
      <w:r w:rsidR="00664A42" w:rsidRPr="00664A42">
        <w:rPr>
          <w:rFonts w:ascii="Book Antiqua" w:hAnsi="Book Antiqua" w:hint="eastAsia"/>
          <w:i/>
          <w:lang w:val="en-GB" w:eastAsia="zh-CN"/>
        </w:rPr>
        <w:t>,</w:t>
      </w:r>
      <w:r w:rsidR="00664A42" w:rsidRPr="00664A42">
        <w:rPr>
          <w:rFonts w:ascii="Book Antiqua" w:hAnsi="Book Antiqua"/>
          <w:i/>
          <w:lang w:val="en-GB"/>
        </w:rPr>
        <w:t xml:space="preserve"> </w:t>
      </w:r>
      <w:r w:rsidRPr="00664A42">
        <w:rPr>
          <w:rFonts w:ascii="Book Antiqua" w:eastAsiaTheme="minorEastAsia" w:hAnsi="Book Antiqua" w:cs="Times"/>
          <w:lang w:val="en-US" w:eastAsia="en-US"/>
        </w:rPr>
        <w:t xml:space="preserve">procalcitonin). Enhanced </w:t>
      </w:r>
      <w:r w:rsidRPr="00664A42">
        <w:rPr>
          <w:rFonts w:ascii="Book Antiqua" w:eastAsiaTheme="minorEastAsia" w:hAnsi="Book Antiqua"/>
          <w:lang w:val="en-GB" w:eastAsia="en-US"/>
        </w:rPr>
        <w:t>bacterial translocation induces significant elevation of</w:t>
      </w:r>
      <w:r w:rsidRPr="00664A42">
        <w:rPr>
          <w:rFonts w:ascii="Book Antiqua" w:eastAsiaTheme="minorEastAsia" w:hAnsi="Book Antiqua" w:cs="Times"/>
          <w:lang w:val="en-US" w:eastAsia="en-US"/>
        </w:rPr>
        <w:t xml:space="preserve"> </w:t>
      </w:r>
      <w:r w:rsidRPr="00664A42">
        <w:rPr>
          <w:rFonts w:ascii="Book Antiqua" w:eastAsiaTheme="minorEastAsia" w:hAnsi="Book Antiqua"/>
          <w:lang w:val="en-GB" w:eastAsia="en-US"/>
        </w:rPr>
        <w:t xml:space="preserve">inflammatory markers as well. Additional </w:t>
      </w:r>
      <w:r w:rsidRPr="00664A42">
        <w:rPr>
          <w:rFonts w:ascii="Book Antiqua" w:hAnsi="Book Antiqua"/>
          <w:lang w:val="en-GB"/>
        </w:rPr>
        <w:t xml:space="preserve">biomarkers are highly needed to optimize the diagnostic procedure and severity assessment of the infectious episodes in cirrhosis. Presepsin </w:t>
      </w:r>
      <w:r w:rsidRPr="00664A42">
        <w:rPr>
          <w:rFonts w:ascii="Book Antiqua" w:eastAsiaTheme="minorEastAsia" w:hAnsi="Book Antiqua"/>
          <w:lang w:val="en-US" w:eastAsia="en-US"/>
        </w:rPr>
        <w:t xml:space="preserve">is a novel biomarker of activated monocyte-macrophage in response to pathogens and </w:t>
      </w:r>
      <w:r w:rsidRPr="00664A42">
        <w:rPr>
          <w:rFonts w:ascii="Book Antiqua" w:eastAsiaTheme="minorEastAsia" w:hAnsi="Book Antiqua"/>
          <w:lang w:val="en-GB" w:eastAsia="en-US"/>
        </w:rPr>
        <w:t xml:space="preserve">specific and sensitive marker of the sepsis. </w:t>
      </w:r>
    </w:p>
    <w:p w:rsidR="000A103F" w:rsidRPr="00664A42" w:rsidRDefault="000A103F" w:rsidP="003B01FB">
      <w:pPr>
        <w:spacing w:line="360" w:lineRule="auto"/>
        <w:jc w:val="both"/>
        <w:rPr>
          <w:rFonts w:ascii="Book Antiqua" w:hAnsi="Book Antiqua"/>
          <w:b/>
          <w:bCs/>
          <w:highlight w:val="yellow"/>
        </w:rPr>
      </w:pPr>
    </w:p>
    <w:p w:rsidR="000A103F" w:rsidRPr="00664A42" w:rsidRDefault="000A103F" w:rsidP="003B01FB">
      <w:pPr>
        <w:spacing w:line="360" w:lineRule="auto"/>
        <w:jc w:val="both"/>
        <w:rPr>
          <w:rFonts w:ascii="Book Antiqua" w:hAnsi="Book Antiqua"/>
          <w:b/>
          <w:bCs/>
        </w:rPr>
      </w:pPr>
      <w:r w:rsidRPr="00664A42">
        <w:rPr>
          <w:rFonts w:ascii="Book Antiqua" w:hAnsi="Book Antiqua"/>
          <w:b/>
          <w:bCs/>
          <w:i/>
        </w:rPr>
        <w:t>Research frontiers</w:t>
      </w:r>
    </w:p>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US" w:eastAsia="en-US"/>
        </w:rPr>
        <w:t xml:space="preserve">Presepsin </w:t>
      </w:r>
      <w:r w:rsidRPr="00664A42">
        <w:rPr>
          <w:rFonts w:ascii="Book Antiqua" w:eastAsiaTheme="minorEastAsia" w:hAnsi="Book Antiqua"/>
          <w:lang w:val="en-GB" w:eastAsia="en-US"/>
        </w:rPr>
        <w:t xml:space="preserve">is worthy of studying in cirrhosis, where systemic infections are frequently associated with severe diseases course, such as acute development of </w:t>
      </w:r>
      <w:r w:rsidRPr="00664A42">
        <w:rPr>
          <w:rFonts w:ascii="Book Antiqua" w:eastAsiaTheme="minorEastAsia" w:hAnsi="Book Antiqua"/>
          <w:lang w:val="en-US" w:eastAsia="en-US"/>
        </w:rPr>
        <w:t>liver and/or extrahepatic organ failures</w:t>
      </w:r>
      <w:r w:rsidRPr="00664A42">
        <w:rPr>
          <w:rFonts w:ascii="Book Antiqua" w:eastAsiaTheme="minorEastAsia" w:hAnsi="Book Antiqua"/>
          <w:lang w:val="en-GB" w:eastAsia="en-US"/>
        </w:rPr>
        <w:t xml:space="preserve">. Contributive role of presepsin for the diagnosis and prognosis of cirrhosis associated bacterial infection, however, has not been assessed extensively so far. </w:t>
      </w:r>
    </w:p>
    <w:p w:rsidR="000A103F" w:rsidRPr="00664A42" w:rsidRDefault="000A103F" w:rsidP="003B01FB">
      <w:pPr>
        <w:spacing w:line="360" w:lineRule="auto"/>
        <w:jc w:val="both"/>
        <w:rPr>
          <w:rFonts w:ascii="Book Antiqua" w:hAnsi="Book Antiqua"/>
          <w:b/>
          <w:highlight w:val="yellow"/>
        </w:rPr>
      </w:pPr>
    </w:p>
    <w:p w:rsidR="000A103F" w:rsidRPr="00664A42" w:rsidRDefault="000A103F" w:rsidP="003B01FB">
      <w:pPr>
        <w:spacing w:line="360" w:lineRule="auto"/>
        <w:jc w:val="both"/>
        <w:rPr>
          <w:rFonts w:ascii="Book Antiqua" w:hAnsi="Book Antiqua"/>
          <w:b/>
          <w:bCs/>
          <w:i/>
        </w:rPr>
      </w:pPr>
      <w:r w:rsidRPr="00664A42">
        <w:rPr>
          <w:rFonts w:ascii="Book Antiqua" w:hAnsi="Book Antiqua"/>
          <w:b/>
          <w:bCs/>
          <w:i/>
        </w:rPr>
        <w:t>Innovations and breakthroughs</w:t>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hAnsi="Book Antiqua"/>
          <w:lang w:val="en-GB"/>
        </w:rPr>
        <w:t xml:space="preserve">To our knowledge, this is the first study in cirrhosis to investigate </w:t>
      </w:r>
      <w:r w:rsidRPr="00664A42">
        <w:rPr>
          <w:rFonts w:ascii="Book Antiqua" w:eastAsiaTheme="minorEastAsia" w:hAnsi="Book Antiqua"/>
          <w:lang w:val="en-US" w:eastAsia="en-US"/>
        </w:rPr>
        <w:t xml:space="preserve">the performance of presepsin </w:t>
      </w:r>
      <w:r w:rsidRPr="00664A42">
        <w:rPr>
          <w:rFonts w:ascii="Book Antiqua" w:eastAsiaTheme="minorEastAsia" w:hAnsi="Book Antiqua"/>
          <w:lang w:val="en-GB" w:eastAsia="en-US"/>
        </w:rPr>
        <w:t xml:space="preserve">in the diagnosis and prognosis of cirrhosis associated bacterial infections. </w:t>
      </w:r>
      <w:r w:rsidRPr="00664A42">
        <w:rPr>
          <w:rFonts w:ascii="Book Antiqua" w:eastAsiaTheme="minorEastAsia" w:hAnsi="Book Antiqua" w:cs="Times"/>
          <w:lang w:val="en-US" w:eastAsia="en-US"/>
        </w:rPr>
        <w:t>P</w:t>
      </w:r>
      <w:r w:rsidRPr="00664A42">
        <w:rPr>
          <w:rFonts w:ascii="Book Antiqua" w:hAnsi="Book Antiqua"/>
          <w:lang w:val="en-GB"/>
        </w:rPr>
        <w:t xml:space="preserve">resepsin is a promising biomarker of infection in terms of diagnostic but not the prognostic procedure. Presepsin enhances diagnostic capacity of C-reactive protein and reflects more accurately severity of infections. In these clinical settings its performance is equal to procalcitonin. Diagnostic accuracy of presepsin, however, decreases in advanced stage of the disease or in the presence of renal failure. Level of presepsin is </w:t>
      </w:r>
      <w:r w:rsidRPr="00664A42">
        <w:rPr>
          <w:rFonts w:ascii="Book Antiqua" w:eastAsia="MS Mincho" w:hAnsi="Book Antiqua"/>
          <w:lang w:val="en-GB" w:eastAsia="en-US"/>
        </w:rPr>
        <w:t xml:space="preserve">not associated to </w:t>
      </w:r>
      <w:r w:rsidRPr="00664A42">
        <w:rPr>
          <w:rFonts w:ascii="Book Antiqua" w:hAnsi="Book Antiqua"/>
          <w:lang w:val="en-GB"/>
        </w:rPr>
        <w:t xml:space="preserve">the pathogens causing infections. </w:t>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hAnsi="Book Antiqua"/>
          <w:lang w:val="en-GB"/>
        </w:rPr>
        <w:tab/>
        <w:t xml:space="preserve">A clear strength of our study is the large study population that </w:t>
      </w:r>
      <w:r w:rsidRPr="00664A42">
        <w:rPr>
          <w:rFonts w:ascii="Book Antiqua" w:eastAsiaTheme="minorEastAsia" w:hAnsi="Book Antiqua" w:cs="Times"/>
          <w:lang w:val="en-US" w:eastAsia="en-US"/>
        </w:rPr>
        <w:t xml:space="preserve">represents the </w:t>
      </w:r>
      <w:r w:rsidRPr="00664A42">
        <w:rPr>
          <w:rFonts w:ascii="Book Antiqua" w:eastAsiaTheme="minorEastAsia" w:hAnsi="Book Antiqua"/>
          <w:lang w:val="en-US" w:eastAsia="en-US"/>
        </w:rPr>
        <w:t>everyday clinical practice</w:t>
      </w:r>
      <w:r w:rsidRPr="00664A42">
        <w:rPr>
          <w:rFonts w:ascii="Book Antiqua" w:eastAsiaTheme="minorEastAsia" w:hAnsi="Book Antiqua" w:cs="Times"/>
          <w:lang w:val="en-US" w:eastAsia="en-US"/>
        </w:rPr>
        <w:t xml:space="preserve"> and assessment of presepsin in comparison with routinely used acute phase proteins. </w:t>
      </w:r>
      <w:r w:rsidRPr="00664A42">
        <w:rPr>
          <w:rFonts w:ascii="Book Antiqua" w:hAnsi="Book Antiqua"/>
          <w:lang w:val="en-GB"/>
        </w:rPr>
        <w:t xml:space="preserve">We also provide a profound overview about the significance of </w:t>
      </w:r>
      <w:r w:rsidRPr="00664A42">
        <w:rPr>
          <w:rFonts w:ascii="Book Antiqua" w:eastAsiaTheme="minorEastAsia" w:hAnsi="Book Antiqua" w:cs="Times"/>
          <w:lang w:val="en-US" w:eastAsia="en-US"/>
        </w:rPr>
        <w:t>routinely used acute phase proteins in the prognosis of cirrhosis.</w:t>
      </w:r>
    </w:p>
    <w:p w:rsidR="000A103F" w:rsidRPr="00664A42" w:rsidRDefault="000A103F" w:rsidP="003B01FB">
      <w:pPr>
        <w:spacing w:line="360" w:lineRule="auto"/>
        <w:jc w:val="both"/>
        <w:rPr>
          <w:rFonts w:ascii="Book Antiqua" w:hAnsi="Book Antiqua"/>
          <w:b/>
          <w:highlight w:val="yellow"/>
        </w:rPr>
      </w:pPr>
    </w:p>
    <w:p w:rsidR="000A103F" w:rsidRPr="00664A42" w:rsidRDefault="000A103F" w:rsidP="003B01FB">
      <w:pPr>
        <w:spacing w:line="360" w:lineRule="auto"/>
        <w:jc w:val="both"/>
        <w:rPr>
          <w:rFonts w:ascii="Book Antiqua" w:hAnsi="Book Antiqua"/>
          <w:b/>
          <w:bCs/>
          <w:lang w:val="en-GB"/>
        </w:rPr>
      </w:pPr>
      <w:r w:rsidRPr="00664A42">
        <w:rPr>
          <w:rFonts w:ascii="Book Antiqua" w:hAnsi="Book Antiqua"/>
          <w:b/>
          <w:bCs/>
          <w:i/>
          <w:lang w:val="en-GB"/>
        </w:rPr>
        <w:t>Applications</w:t>
      </w:r>
    </w:p>
    <w:p w:rsidR="000A103F" w:rsidRPr="00664A42" w:rsidRDefault="000A103F" w:rsidP="003B01FB">
      <w:pPr>
        <w:spacing w:line="360" w:lineRule="auto"/>
        <w:jc w:val="both"/>
        <w:rPr>
          <w:rFonts w:ascii="Book Antiqua" w:hAnsi="Book Antiqua"/>
          <w:lang w:val="en-GB"/>
        </w:rPr>
      </w:pPr>
      <w:r w:rsidRPr="00664A42">
        <w:rPr>
          <w:rFonts w:ascii="Book Antiqua" w:eastAsiaTheme="minorEastAsia" w:hAnsi="Book Antiqua" w:cs="Helvetica Neue"/>
          <w:bCs/>
          <w:lang w:val="en-US" w:eastAsia="en-US"/>
        </w:rPr>
        <w:t>In every day clinical practice</w:t>
      </w:r>
      <w:r w:rsidRPr="00664A42">
        <w:rPr>
          <w:rFonts w:ascii="Book Antiqua" w:hAnsi="Book Antiqua"/>
          <w:lang w:val="en-GB"/>
        </w:rPr>
        <w:t xml:space="preserve">, presepsin is a useful </w:t>
      </w:r>
      <w:r w:rsidRPr="00664A42">
        <w:rPr>
          <w:rFonts w:ascii="Book Antiqua" w:eastAsiaTheme="minorEastAsia" w:hAnsi="Book Antiqua" w:cs="Helvetica Neue"/>
          <w:lang w:val="en-US" w:eastAsia="en-US"/>
        </w:rPr>
        <w:t xml:space="preserve">complementary </w:t>
      </w:r>
      <w:r w:rsidRPr="00664A42">
        <w:rPr>
          <w:rFonts w:ascii="Book Antiqua" w:eastAsiaTheme="minorEastAsia" w:hAnsi="Book Antiqua" w:cs="Helvetica Neue"/>
          <w:bCs/>
          <w:lang w:val="en-US" w:eastAsia="en-US"/>
        </w:rPr>
        <w:t xml:space="preserve">adjunct to C-reactive protein and promising alternate of procalcitonin during the diagnostic procedure of cirrhosis associated bacterial infection. </w:t>
      </w:r>
      <w:r w:rsidRPr="00664A42">
        <w:rPr>
          <w:rFonts w:ascii="Book Antiqua" w:hAnsi="Book Antiqua"/>
          <w:lang w:val="en-GB"/>
        </w:rPr>
        <w:t xml:space="preserve">However, it </w:t>
      </w:r>
      <w:r w:rsidRPr="00664A42">
        <w:rPr>
          <w:rFonts w:ascii="Book Antiqua" w:eastAsiaTheme="minorEastAsia" w:hAnsi="Book Antiqua" w:cs="Times"/>
          <w:lang w:val="en-GB" w:eastAsia="en-US"/>
        </w:rPr>
        <w:t xml:space="preserve">is not devoid of the limitations of these classic acute phase proteins in the presence of advanced stage or certain acute complications of the disease. Larger prospective studies including </w:t>
      </w:r>
      <w:r w:rsidRPr="00664A42">
        <w:rPr>
          <w:rFonts w:ascii="Book Antiqua" w:hAnsi="Book Antiqua"/>
          <w:lang w:val="en-GB"/>
        </w:rPr>
        <w:t>serial changes in presepsin levels are</w:t>
      </w:r>
      <w:r w:rsidRPr="00664A42">
        <w:rPr>
          <w:rFonts w:ascii="Book Antiqua" w:eastAsiaTheme="minorEastAsia" w:hAnsi="Book Antiqua" w:cs="Times"/>
          <w:lang w:val="en-GB" w:eastAsia="en-US"/>
        </w:rPr>
        <w:t xml:space="preserve"> </w:t>
      </w:r>
      <w:r w:rsidRPr="00664A42">
        <w:rPr>
          <w:rFonts w:ascii="Book Antiqua" w:hAnsi="Book Antiqua"/>
          <w:lang w:val="en-GB"/>
        </w:rPr>
        <w:lastRenderedPageBreak/>
        <w:t>needed to further investigate any possible association of presepsin level with worse outcome during infection or any suggestion for more aggressive or pre-emptive antibiotic therapy according to presepsin level.</w:t>
      </w:r>
    </w:p>
    <w:p w:rsidR="000A103F" w:rsidRPr="00664A42" w:rsidRDefault="000A103F" w:rsidP="003B01FB">
      <w:pPr>
        <w:spacing w:line="360" w:lineRule="auto"/>
        <w:jc w:val="both"/>
        <w:rPr>
          <w:rFonts w:ascii="Book Antiqua" w:hAnsi="Book Antiqua" w:cs="Arial"/>
          <w:b/>
          <w:bCs/>
          <w:highlight w:val="yellow"/>
        </w:rPr>
      </w:pPr>
    </w:p>
    <w:p w:rsidR="000A103F" w:rsidRPr="00664A42" w:rsidRDefault="000A103F" w:rsidP="003B01FB">
      <w:pPr>
        <w:spacing w:line="360" w:lineRule="auto"/>
        <w:jc w:val="both"/>
        <w:rPr>
          <w:rFonts w:ascii="Book Antiqua" w:hAnsi="Book Antiqua" w:cs="Arial"/>
          <w:b/>
          <w:bCs/>
        </w:rPr>
      </w:pPr>
      <w:r w:rsidRPr="00664A42">
        <w:rPr>
          <w:rFonts w:ascii="Book Antiqua" w:hAnsi="Book Antiqua" w:cs="Arial"/>
          <w:b/>
          <w:bCs/>
          <w:i/>
        </w:rPr>
        <w:t>Terminology</w:t>
      </w:r>
    </w:p>
    <w:p w:rsidR="000A103F" w:rsidRPr="00664A42" w:rsidRDefault="000A103F" w:rsidP="003B01FB">
      <w:pPr>
        <w:spacing w:line="360" w:lineRule="auto"/>
        <w:jc w:val="both"/>
        <w:rPr>
          <w:rFonts w:ascii="Book Antiqua" w:hAnsi="Book Antiqua" w:cs="Arial"/>
          <w:highlight w:val="yellow"/>
        </w:rPr>
      </w:pPr>
      <w:r w:rsidRPr="00664A42">
        <w:rPr>
          <w:rFonts w:ascii="Book Antiqua" w:hAnsi="Book Antiqua"/>
          <w:lang w:val="en-GB"/>
        </w:rPr>
        <w:t xml:space="preserve">Presepsin or soluble CD14 subtype (sCD14-ST) </w:t>
      </w:r>
      <w:r w:rsidRPr="00664A42">
        <w:rPr>
          <w:rFonts w:ascii="Book Antiqua" w:eastAsiaTheme="minorEastAsia" w:hAnsi="Book Antiqua"/>
          <w:lang w:val="en-US" w:eastAsia="en-US"/>
        </w:rPr>
        <w:t xml:space="preserve">is a 13-kDa-cleavage product of CD14 receptor of monocyte-macrophage that recognizes different cell surface structure of both Gram-negative and positive bacteria. </w:t>
      </w:r>
      <w:bookmarkStart w:id="55" w:name="OLE_LINK13"/>
      <w:bookmarkStart w:id="56" w:name="OLE_LINK323"/>
      <w:bookmarkStart w:id="57" w:name="OLE_LINK349"/>
      <w:bookmarkStart w:id="58" w:name="OLE_LINK377"/>
      <w:bookmarkStart w:id="59" w:name="OLE_LINK386"/>
      <w:bookmarkStart w:id="60" w:name="OLE_LINK400"/>
      <w:bookmarkStart w:id="61" w:name="OLE_LINK416"/>
      <w:bookmarkStart w:id="62" w:name="OLE_LINK512"/>
      <w:r w:rsidRPr="00664A42">
        <w:rPr>
          <w:rFonts w:ascii="Book Antiqua" w:eastAsiaTheme="minorEastAsia" w:hAnsi="Book Antiqua" w:cs="Arial"/>
          <w:lang w:val="en-GB" w:eastAsia="en-US"/>
        </w:rPr>
        <w:t xml:space="preserve">Bacterial translocation is defined as an enhanced passage of bacteria and/or bacterial products from the intestinal tract to systemic circulation. </w:t>
      </w:r>
    </w:p>
    <w:p w:rsidR="000A103F" w:rsidRPr="00664A42" w:rsidRDefault="000A103F" w:rsidP="003B01FB">
      <w:pPr>
        <w:spacing w:line="360" w:lineRule="auto"/>
        <w:jc w:val="both"/>
        <w:rPr>
          <w:rFonts w:ascii="Book Antiqua" w:hAnsi="Book Antiqua"/>
          <w:b/>
          <w:i/>
          <w:highlight w:val="yellow"/>
        </w:rPr>
      </w:pPr>
    </w:p>
    <w:p w:rsidR="000A103F" w:rsidRPr="00664A42" w:rsidRDefault="000A103F" w:rsidP="003B01FB">
      <w:pPr>
        <w:spacing w:line="360" w:lineRule="auto"/>
        <w:jc w:val="both"/>
        <w:rPr>
          <w:rFonts w:ascii="Book Antiqua" w:hAnsi="Book Antiqua"/>
          <w:b/>
          <w:i/>
        </w:rPr>
      </w:pPr>
      <w:bookmarkStart w:id="63" w:name="OLE_LINK598"/>
      <w:bookmarkStart w:id="64" w:name="OLE_LINK599"/>
      <w:r w:rsidRPr="00664A42">
        <w:rPr>
          <w:rFonts w:ascii="Book Antiqua" w:hAnsi="Book Antiqua"/>
          <w:b/>
          <w:i/>
        </w:rPr>
        <w:t>Peer-review</w:t>
      </w:r>
      <w:bookmarkEnd w:id="55"/>
      <w:bookmarkEnd w:id="56"/>
      <w:bookmarkEnd w:id="57"/>
      <w:bookmarkEnd w:id="58"/>
      <w:bookmarkEnd w:id="59"/>
      <w:bookmarkEnd w:id="60"/>
      <w:bookmarkEnd w:id="61"/>
      <w:bookmarkEnd w:id="62"/>
      <w:bookmarkEnd w:id="63"/>
      <w:bookmarkEnd w:id="64"/>
    </w:p>
    <w:p w:rsidR="000A103F" w:rsidRPr="00664A42" w:rsidRDefault="000A103F" w:rsidP="003B01FB">
      <w:pPr>
        <w:spacing w:line="360" w:lineRule="auto"/>
        <w:jc w:val="both"/>
        <w:rPr>
          <w:rFonts w:ascii="Book Antiqua" w:hAnsi="Book Antiqua"/>
          <w:lang w:val="en-GB"/>
        </w:rPr>
      </w:pPr>
      <w:r w:rsidRPr="00664A42">
        <w:rPr>
          <w:rFonts w:ascii="Book Antiqua" w:hAnsi="Book Antiqua"/>
          <w:lang w:val="en-GB"/>
        </w:rPr>
        <w:t>This study suggests for the first time that presepsin is a promising biomarker during diagnostic procedure of bacterial infections in cirrhosis for enhancing diagnostic capacity of C-reactive protein and reflecting more accurately the severity of infections. Performance of presepsin is equal to procalcitonin in these clinical settings. Distinctly to procalcitonin and certain cytokines, p</w:t>
      </w:r>
      <w:r w:rsidRPr="00664A42">
        <w:rPr>
          <w:rFonts w:ascii="Book Antiqua" w:eastAsia="MS Mincho" w:hAnsi="Book Antiqua"/>
          <w:lang w:val="en-GB" w:eastAsia="en-US"/>
        </w:rPr>
        <w:t xml:space="preserve">resepsin level is not associated to </w:t>
      </w:r>
      <w:r w:rsidRPr="00664A42">
        <w:rPr>
          <w:rFonts w:ascii="Book Antiqua" w:hAnsi="Book Antiqua"/>
          <w:lang w:val="en-GB"/>
        </w:rPr>
        <w:t>the pathogens causing infections. Moreover, procalcitonin but not presepsin is a biomarker for predicting infection-related short-term mortality in patients with cirrhosis. Acute phase proteins are not simply surrogate markers of on-going inflammatory processes of the host organism but might also be active participants, hence exerting harmful or beneficial effects.</w:t>
      </w:r>
    </w:p>
    <w:p w:rsidR="00615305" w:rsidRDefault="00615305" w:rsidP="003B01FB">
      <w:pPr>
        <w:spacing w:after="160" w:line="259" w:lineRule="auto"/>
        <w:jc w:val="both"/>
        <w:rPr>
          <w:rFonts w:ascii="Book Antiqua" w:hAnsi="Book Antiqua"/>
          <w:b/>
        </w:rPr>
      </w:pPr>
      <w:r>
        <w:rPr>
          <w:rFonts w:ascii="Book Antiqua" w:hAnsi="Book Antiqua"/>
          <w:b/>
        </w:rPr>
        <w:br w:type="page"/>
      </w:r>
    </w:p>
    <w:p w:rsidR="00615305" w:rsidRDefault="00615305" w:rsidP="003B01FB">
      <w:pPr>
        <w:autoSpaceDE w:val="0"/>
        <w:autoSpaceDN w:val="0"/>
        <w:adjustRightInd w:val="0"/>
        <w:snapToGrid w:val="0"/>
        <w:spacing w:line="360" w:lineRule="auto"/>
        <w:jc w:val="both"/>
        <w:rPr>
          <w:rFonts w:ascii="Book Antiqua" w:eastAsiaTheme="minorEastAsia" w:hAnsi="Book Antiqua"/>
          <w:b/>
          <w:lang w:val="en-GB" w:eastAsia="zh-CN"/>
        </w:rPr>
      </w:pPr>
      <w:bookmarkStart w:id="65" w:name="OLE_LINK346"/>
      <w:bookmarkStart w:id="66" w:name="OLE_LINK347"/>
      <w:r w:rsidRPr="00664A42">
        <w:rPr>
          <w:rFonts w:ascii="Book Antiqua" w:hAnsi="Book Antiqua" w:cs="Arial"/>
          <w:b/>
        </w:rPr>
        <w:lastRenderedPageBreak/>
        <w:t>REFERENCES</w:t>
      </w:r>
      <w:bookmarkStart w:id="67" w:name="OLE_LINK427"/>
      <w:bookmarkStart w:id="68" w:name="OLE_LINK435"/>
      <w:bookmarkStart w:id="69" w:name="OLE_LINK516"/>
      <w:bookmarkStart w:id="70" w:name="OLE_LINK45"/>
      <w:bookmarkStart w:id="71" w:name="OLE_LINK132"/>
      <w:bookmarkStart w:id="72" w:name="OLE_LINK529"/>
      <w:bookmarkStart w:id="73" w:name="OLE_LINK541"/>
      <w:bookmarkStart w:id="74" w:name="OLE_LINK560"/>
      <w:bookmarkStart w:id="75" w:name="OLE_LINK558"/>
      <w:bookmarkEnd w:id="65"/>
      <w:bookmarkEnd w:id="66"/>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1 </w:t>
      </w:r>
      <w:r w:rsidRPr="00EE722D">
        <w:rPr>
          <w:rFonts w:ascii="Book Antiqua" w:eastAsia="SimSun" w:hAnsi="Book Antiqua" w:cs="SimSun"/>
          <w:b/>
          <w:bCs/>
        </w:rPr>
        <w:t>Jalan R</w:t>
      </w:r>
      <w:r w:rsidRPr="00EE722D">
        <w:rPr>
          <w:rFonts w:ascii="Book Antiqua" w:eastAsia="SimSun" w:hAnsi="Book Antiqua" w:cs="SimSun"/>
        </w:rPr>
        <w:t>, Fernandez J, Wiest R, Schnabl B, Moreau R, Angeli P, Stadlbauer V, Gustot T, Bernardi M, Canton R, Albillos A, Lammert F, Wilmer A, Mookerjee R, Vila J, Garcia-Martinez R, Wendon J, Such J, Cordoba J, Sanyal A, Garcia-Tsao G, Arroyo V, Burroughs A, Ginès P. Bacterial infections in cirrhosis: a position statement based on the EASL Special Conference 2013. </w:t>
      </w:r>
      <w:r w:rsidRPr="00EE722D">
        <w:rPr>
          <w:rFonts w:ascii="Book Antiqua" w:eastAsia="SimSun" w:hAnsi="Book Antiqua" w:cs="SimSun"/>
          <w:i/>
          <w:iCs/>
        </w:rPr>
        <w:t>J Hepatol</w:t>
      </w:r>
      <w:r w:rsidRPr="00EE722D">
        <w:rPr>
          <w:rFonts w:ascii="Book Antiqua" w:eastAsia="SimSun" w:hAnsi="Book Antiqua" w:cs="SimSun"/>
        </w:rPr>
        <w:t> 2014; </w:t>
      </w:r>
      <w:r w:rsidRPr="00EE722D">
        <w:rPr>
          <w:rFonts w:ascii="Book Antiqua" w:eastAsia="SimSun" w:hAnsi="Book Antiqua" w:cs="SimSun"/>
          <w:b/>
          <w:bCs/>
        </w:rPr>
        <w:t>60</w:t>
      </w:r>
      <w:r w:rsidRPr="00EE722D">
        <w:rPr>
          <w:rFonts w:ascii="Book Antiqua" w:eastAsia="SimSun" w:hAnsi="Book Antiqua" w:cs="SimSun"/>
        </w:rPr>
        <w:t>: 1310-1324 [PMID: 24530646 DOI: 10.1016/j.jhep.2014.01.024]Available]</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2 </w:t>
      </w:r>
      <w:r w:rsidRPr="00EE722D">
        <w:rPr>
          <w:rFonts w:ascii="Book Antiqua" w:eastAsia="SimSun" w:hAnsi="Book Antiqua" w:cs="SimSun"/>
          <w:b/>
          <w:bCs/>
        </w:rPr>
        <w:t>Bajaj JS</w:t>
      </w:r>
      <w:r w:rsidRPr="00EE722D">
        <w:rPr>
          <w:rFonts w:ascii="Book Antiqua" w:eastAsia="SimSun" w:hAnsi="Book Antiqua" w:cs="SimSun"/>
        </w:rPr>
        <w:t>, O'Leary JG, Reddy KR, Wong F, Biggins SW, Patton H, Fallon MB, Garcia-Tsao G, Maliakkal B, Malik R, Subramanian RM, Thacker LR, Kamath PS. Survival in infection-related acute-on-chronic liver failure is defined by extrahepatic organ failures. </w:t>
      </w:r>
      <w:r w:rsidRPr="00EE722D">
        <w:rPr>
          <w:rFonts w:ascii="Book Antiqua" w:eastAsia="SimSun" w:hAnsi="Book Antiqua" w:cs="SimSun"/>
          <w:i/>
          <w:iCs/>
        </w:rPr>
        <w:t>Hepatology</w:t>
      </w:r>
      <w:r w:rsidRPr="00EE722D">
        <w:rPr>
          <w:rFonts w:ascii="Book Antiqua" w:eastAsia="SimSun" w:hAnsi="Book Antiqua" w:cs="SimSun"/>
        </w:rPr>
        <w:t> 2014; </w:t>
      </w:r>
      <w:r w:rsidRPr="00EE722D">
        <w:rPr>
          <w:rFonts w:ascii="Book Antiqua" w:eastAsia="SimSun" w:hAnsi="Book Antiqua" w:cs="SimSun"/>
          <w:b/>
          <w:bCs/>
        </w:rPr>
        <w:t>60</w:t>
      </w:r>
      <w:r w:rsidRPr="00EE722D">
        <w:rPr>
          <w:rFonts w:ascii="Book Antiqua" w:eastAsia="SimSun" w:hAnsi="Book Antiqua" w:cs="SimSun"/>
        </w:rPr>
        <w:t>: 250-256 [PMID: 24677131 DOI: 10.1002/hep.27077]</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3 </w:t>
      </w:r>
      <w:r w:rsidRPr="00EE722D">
        <w:rPr>
          <w:rFonts w:ascii="Book Antiqua" w:eastAsia="SimSun" w:hAnsi="Book Antiqua" w:cs="SimSun"/>
          <w:b/>
          <w:bCs/>
        </w:rPr>
        <w:t>Moreau R</w:t>
      </w:r>
      <w:r w:rsidRPr="00EE722D">
        <w:rPr>
          <w:rFonts w:ascii="Book Antiqua" w:eastAsia="SimSun" w:hAnsi="Book Antiqua" w:cs="SimSun"/>
        </w:rPr>
        <w:t>, Jalan R, Gines P, Pavesi M, Angeli P, Cordoba J, Durand F, Gustot T, Saliba F, Domenicali M, Gerbes A, Wendon J, Alessandria C, Laleman W, Zeuzem S, Trebicka J, Bernardi M, Arroyo V. Acute-on-chronic liver failure is a distinct syndrome that develops in patients with acute decompensation of cirrhosis. </w:t>
      </w:r>
      <w:r w:rsidRPr="00EE722D">
        <w:rPr>
          <w:rFonts w:ascii="Book Antiqua" w:eastAsia="SimSun" w:hAnsi="Book Antiqua" w:cs="SimSun"/>
          <w:i/>
          <w:iCs/>
        </w:rPr>
        <w:t>Gastroenterology</w:t>
      </w:r>
      <w:r w:rsidRPr="00EE722D">
        <w:rPr>
          <w:rFonts w:ascii="Book Antiqua" w:eastAsia="SimSun" w:hAnsi="Book Antiqua" w:cs="SimSun"/>
        </w:rPr>
        <w:t> 2013; </w:t>
      </w:r>
      <w:r w:rsidRPr="00EE722D">
        <w:rPr>
          <w:rFonts w:ascii="Book Antiqua" w:eastAsia="SimSun" w:hAnsi="Book Antiqua" w:cs="SimSun"/>
          <w:b/>
          <w:bCs/>
        </w:rPr>
        <w:t>144</w:t>
      </w:r>
      <w:r w:rsidRPr="00EE722D">
        <w:rPr>
          <w:rFonts w:ascii="Book Antiqua" w:eastAsia="SimSun" w:hAnsi="Book Antiqua" w:cs="SimSun"/>
        </w:rPr>
        <w:t>: 1426-137, 1426-137, [PMID: 23474284 DOI: 10.1053/j.gastro.2013.02.042]Available]</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4 </w:t>
      </w:r>
      <w:r w:rsidRPr="00EE722D">
        <w:rPr>
          <w:rFonts w:ascii="Book Antiqua" w:eastAsia="SimSun" w:hAnsi="Book Antiqua" w:cs="SimSun"/>
          <w:b/>
          <w:bCs/>
        </w:rPr>
        <w:t>Wong F</w:t>
      </w:r>
      <w:r w:rsidRPr="00EE722D">
        <w:rPr>
          <w:rFonts w:ascii="Book Antiqua" w:eastAsia="SimSun" w:hAnsi="Book Antiqua" w:cs="SimSun"/>
        </w:rPr>
        <w:t>, Bernardi M, Balk R, Christman B, Moreau R, Garcia-Tsao G, Patch D, Soriano G, Hoefs J, Navasa M. Sepsis in cirrhosis: report on the 7th meeting of the International Ascites Club. </w:t>
      </w:r>
      <w:r w:rsidRPr="00EE722D">
        <w:rPr>
          <w:rFonts w:ascii="Book Antiqua" w:eastAsia="SimSun" w:hAnsi="Book Antiqua" w:cs="SimSun"/>
          <w:i/>
          <w:iCs/>
        </w:rPr>
        <w:t>Gut</w:t>
      </w:r>
      <w:r w:rsidRPr="00EE722D">
        <w:rPr>
          <w:rFonts w:ascii="Book Antiqua" w:eastAsia="SimSun" w:hAnsi="Book Antiqua" w:cs="SimSun"/>
        </w:rPr>
        <w:t> 2005; </w:t>
      </w:r>
      <w:r w:rsidRPr="00EE722D">
        <w:rPr>
          <w:rFonts w:ascii="Book Antiqua" w:eastAsia="SimSun" w:hAnsi="Book Antiqua" w:cs="SimSun"/>
          <w:b/>
          <w:bCs/>
        </w:rPr>
        <w:t>54</w:t>
      </w:r>
      <w:r w:rsidRPr="00EE722D">
        <w:rPr>
          <w:rFonts w:ascii="Book Antiqua" w:eastAsia="SimSun" w:hAnsi="Book Antiqua" w:cs="SimSun"/>
        </w:rPr>
        <w:t>: 718-725 [PMID: 15831923 DOI: 10.1136/gut.2004.038679]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 xml:space="preserve">5 </w:t>
      </w:r>
      <w:r>
        <w:rPr>
          <w:rFonts w:ascii="Book Antiqua" w:eastAsia="SimSun" w:hAnsi="Book Antiqua" w:cs="SimSun"/>
          <w:b/>
        </w:rPr>
        <w:t>Pieri G</w:t>
      </w:r>
      <w:r>
        <w:rPr>
          <w:rFonts w:ascii="Book Antiqua" w:eastAsia="SimSun" w:hAnsi="Book Antiqua" w:cs="SimSun"/>
        </w:rPr>
        <w:t>, Agarwal B, Burroughs AK</w:t>
      </w:r>
      <w:r w:rsidRPr="00EE722D">
        <w:rPr>
          <w:rFonts w:ascii="Book Antiqua" w:eastAsia="SimSun" w:hAnsi="Book Antiqua" w:cs="SimSun"/>
        </w:rPr>
        <w:t>.</w:t>
      </w:r>
      <w:r>
        <w:rPr>
          <w:rFonts w:ascii="Book Antiqua" w:eastAsia="SimSun" w:hAnsi="Book Antiqua" w:cs="SimSun" w:hint="eastAsia"/>
        </w:rPr>
        <w:t xml:space="preserve"> </w:t>
      </w:r>
      <w:r w:rsidRPr="00EE722D">
        <w:rPr>
          <w:rFonts w:ascii="Book Antiqua" w:eastAsia="SimSun" w:hAnsi="Book Antiqua" w:cs="SimSun"/>
        </w:rPr>
        <w:t>C-reactive protein and bacterial infection in cirrhosis. </w:t>
      </w:r>
      <w:r w:rsidRPr="00EE722D">
        <w:rPr>
          <w:rFonts w:ascii="Book Antiqua" w:eastAsia="SimSun" w:hAnsi="Book Antiqua" w:cs="SimSun"/>
          <w:i/>
          <w:iCs/>
        </w:rPr>
        <w:t>Ann Gastroenterol</w:t>
      </w:r>
      <w:r w:rsidRPr="00EE722D">
        <w:rPr>
          <w:rFonts w:ascii="Book Antiqua" w:eastAsia="SimSun" w:hAnsi="Book Antiqua" w:cs="SimSun"/>
        </w:rPr>
        <w:t> 2014; </w:t>
      </w:r>
      <w:r w:rsidRPr="00EE722D">
        <w:rPr>
          <w:rFonts w:ascii="Book Antiqua" w:eastAsia="SimSun" w:hAnsi="Book Antiqua" w:cs="SimSun"/>
          <w:b/>
          <w:bCs/>
        </w:rPr>
        <w:t>27</w:t>
      </w:r>
      <w:r w:rsidRPr="00EE722D">
        <w:rPr>
          <w:rFonts w:ascii="Book Antiqua" w:eastAsia="SimSun" w:hAnsi="Book Antiqua" w:cs="SimSun"/>
        </w:rPr>
        <w:t>: 113-120 [PMID: 24733601]</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6 </w:t>
      </w:r>
      <w:r w:rsidRPr="00EE722D">
        <w:rPr>
          <w:rFonts w:ascii="Book Antiqua" w:eastAsia="SimSun" w:hAnsi="Book Antiqua" w:cs="SimSun"/>
          <w:b/>
          <w:bCs/>
        </w:rPr>
        <w:t>Cazzaniga M</w:t>
      </w:r>
      <w:r w:rsidRPr="00EE722D">
        <w:rPr>
          <w:rFonts w:ascii="Book Antiqua" w:eastAsia="SimSun" w:hAnsi="Book Antiqua" w:cs="SimSun"/>
        </w:rPr>
        <w:t>, Dionigi E, Gobbo G, Fioretti A, Monti V, Salerno F. The systemic inflammatory response syndrome in cirrhotic patients: relationship with their in-hospital outcome. </w:t>
      </w:r>
      <w:r w:rsidRPr="00EE722D">
        <w:rPr>
          <w:rFonts w:ascii="Book Antiqua" w:eastAsia="SimSun" w:hAnsi="Book Antiqua" w:cs="SimSun"/>
          <w:i/>
          <w:iCs/>
        </w:rPr>
        <w:t>J Hepatol</w:t>
      </w:r>
      <w:r w:rsidRPr="00EE722D">
        <w:rPr>
          <w:rFonts w:ascii="Book Antiqua" w:eastAsia="SimSun" w:hAnsi="Book Antiqua" w:cs="SimSun"/>
        </w:rPr>
        <w:t> 2009; </w:t>
      </w:r>
      <w:r w:rsidRPr="00EE722D">
        <w:rPr>
          <w:rFonts w:ascii="Book Antiqua" w:eastAsia="SimSun" w:hAnsi="Book Antiqua" w:cs="SimSun"/>
          <w:b/>
          <w:bCs/>
        </w:rPr>
        <w:t>51</w:t>
      </w:r>
      <w:r w:rsidRPr="00EE722D">
        <w:rPr>
          <w:rFonts w:ascii="Book Antiqua" w:eastAsia="SimSun" w:hAnsi="Book Antiqua" w:cs="SimSun"/>
        </w:rPr>
        <w:t>: 475-482 [PMID: 19560225 DOI: 10.1016/j.jhep.2009.04.017]</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7 </w:t>
      </w:r>
      <w:r w:rsidRPr="00EE722D">
        <w:rPr>
          <w:rFonts w:ascii="Book Antiqua" w:eastAsia="SimSun" w:hAnsi="Book Antiqua" w:cs="SimSun"/>
          <w:b/>
          <w:bCs/>
        </w:rPr>
        <w:t>Bone RC</w:t>
      </w:r>
      <w:r w:rsidRPr="00EE722D">
        <w:rPr>
          <w:rFonts w:ascii="Book Antiqua" w:eastAsia="SimSun" w:hAnsi="Book Antiqua" w:cs="SimSun"/>
        </w:rPr>
        <w:t xml:space="preserve">, Balk RA, Cerra FB, Dellinger RP, Fein AM, Knaus WA, Schein RM, Sibbald WJ. Definitions for sepsis and organ failure and guidelines for </w:t>
      </w:r>
      <w:r w:rsidRPr="00EE722D">
        <w:rPr>
          <w:rFonts w:ascii="Book Antiqua" w:eastAsia="SimSun" w:hAnsi="Book Antiqua" w:cs="SimSun"/>
        </w:rPr>
        <w:lastRenderedPageBreak/>
        <w:t>the use of innovative therapies in sepsis. The ACCP/SCCM Consensus Conference Committee. American College of Chest Physicians/Society of Critical Care Medicine. </w:t>
      </w:r>
      <w:r w:rsidRPr="00EE722D">
        <w:rPr>
          <w:rFonts w:ascii="Book Antiqua" w:eastAsia="SimSun" w:hAnsi="Book Antiqua" w:cs="SimSun"/>
          <w:i/>
          <w:iCs/>
        </w:rPr>
        <w:t>Chest</w:t>
      </w:r>
      <w:r w:rsidRPr="00EE722D">
        <w:rPr>
          <w:rFonts w:ascii="Book Antiqua" w:eastAsia="SimSun" w:hAnsi="Book Antiqua" w:cs="SimSun"/>
        </w:rPr>
        <w:t> 1992; </w:t>
      </w:r>
      <w:r w:rsidRPr="00EE722D">
        <w:rPr>
          <w:rFonts w:ascii="Book Antiqua" w:eastAsia="SimSun" w:hAnsi="Book Antiqua" w:cs="SimSun"/>
          <w:b/>
          <w:bCs/>
        </w:rPr>
        <w:t>101</w:t>
      </w:r>
      <w:r w:rsidRPr="00EE722D">
        <w:rPr>
          <w:rFonts w:ascii="Book Antiqua" w:eastAsia="SimSun" w:hAnsi="Book Antiqua" w:cs="SimSun"/>
        </w:rPr>
        <w:t>: 1644-1655 [PMID: 1303622]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8 </w:t>
      </w:r>
      <w:r w:rsidRPr="00EE722D">
        <w:rPr>
          <w:rFonts w:ascii="Book Antiqua" w:eastAsia="SimSun" w:hAnsi="Book Antiqua" w:cs="SimSun"/>
          <w:b/>
          <w:bCs/>
        </w:rPr>
        <w:t>Gabay C</w:t>
      </w:r>
      <w:r w:rsidRPr="00EE722D">
        <w:rPr>
          <w:rFonts w:ascii="Book Antiqua" w:eastAsia="SimSun" w:hAnsi="Book Antiqua" w:cs="SimSun"/>
        </w:rPr>
        <w:t>, Kushner I. Acute-phase proteins and other systemic responses to inflammation. </w:t>
      </w:r>
      <w:r w:rsidRPr="00EE722D">
        <w:rPr>
          <w:rFonts w:ascii="Book Antiqua" w:eastAsia="SimSun" w:hAnsi="Book Antiqua" w:cs="SimSun"/>
          <w:i/>
          <w:iCs/>
        </w:rPr>
        <w:t>N Engl J Med</w:t>
      </w:r>
      <w:r w:rsidRPr="00EE722D">
        <w:rPr>
          <w:rFonts w:ascii="Book Antiqua" w:eastAsia="SimSun" w:hAnsi="Book Antiqua" w:cs="SimSun"/>
        </w:rPr>
        <w:t> 1999; </w:t>
      </w:r>
      <w:r w:rsidRPr="00EE722D">
        <w:rPr>
          <w:rFonts w:ascii="Book Antiqua" w:eastAsia="SimSun" w:hAnsi="Book Antiqua" w:cs="SimSun"/>
          <w:b/>
          <w:bCs/>
        </w:rPr>
        <w:t>340</w:t>
      </w:r>
      <w:r w:rsidRPr="00EE722D">
        <w:rPr>
          <w:rFonts w:ascii="Book Antiqua" w:eastAsia="SimSun" w:hAnsi="Book Antiqua" w:cs="SimSun"/>
        </w:rPr>
        <w:t>: 448-454 [PMID: 9971870 DOI: 10.1056/NEJM199902113400607]</w:t>
      </w:r>
    </w:p>
    <w:p w:rsidR="00615305" w:rsidRDefault="00615305" w:rsidP="003B01FB">
      <w:pPr>
        <w:spacing w:line="360" w:lineRule="auto"/>
        <w:jc w:val="both"/>
        <w:rPr>
          <w:rFonts w:ascii="Book Antiqua" w:eastAsia="SimSun" w:hAnsi="Book Antiqua" w:cs="SimSun"/>
        </w:rPr>
      </w:pPr>
      <w:r>
        <w:rPr>
          <w:rFonts w:ascii="Book Antiqua" w:eastAsia="SimSun" w:hAnsi="Book Antiqua" w:cs="SimSun"/>
        </w:rPr>
        <w:t xml:space="preserve">9 </w:t>
      </w:r>
      <w:r w:rsidRPr="00EE722D">
        <w:rPr>
          <w:rFonts w:ascii="Book Antiqua" w:eastAsia="SimSun" w:hAnsi="Book Antiqua" w:cs="SimSun"/>
          <w:b/>
        </w:rPr>
        <w:t>Papp M</w:t>
      </w:r>
      <w:r w:rsidRPr="00EE722D">
        <w:rPr>
          <w:rFonts w:ascii="Book Antiqua" w:eastAsia="SimSun" w:hAnsi="Book Antiqua" w:cs="SimSun"/>
        </w:rPr>
        <w:t xml:space="preserve">, Vitalis Z, Altorjay I, Tornai I, Udvardy M, Harsfalvi J, Vida A, Kappelmayer J, Lakatos PL, Antal-Szalmas P. Acute phase proteins in the diagnosis and prediction of cirrhosis associated bacterial infections. </w:t>
      </w:r>
      <w:r w:rsidRPr="00EE722D">
        <w:rPr>
          <w:rFonts w:ascii="Book Antiqua" w:eastAsia="SimSun" w:hAnsi="Book Antiqua" w:cs="SimSun"/>
          <w:i/>
        </w:rPr>
        <w:t xml:space="preserve">Liver Int </w:t>
      </w:r>
      <w:r w:rsidRPr="00EE722D">
        <w:rPr>
          <w:rFonts w:ascii="Book Antiqua" w:eastAsia="SimSun" w:hAnsi="Book Antiqua" w:cs="SimSun"/>
        </w:rPr>
        <w:t xml:space="preserve">2012; </w:t>
      </w:r>
      <w:r w:rsidRPr="00EE722D">
        <w:rPr>
          <w:rFonts w:ascii="Book Antiqua" w:eastAsia="SimSun" w:hAnsi="Book Antiqua" w:cs="SimSun"/>
          <w:b/>
        </w:rPr>
        <w:t>32</w:t>
      </w:r>
      <w:r w:rsidRPr="00EE722D">
        <w:rPr>
          <w:rFonts w:ascii="Book Antiqua" w:eastAsia="SimSun" w:hAnsi="Book Antiqua" w:cs="SimSun"/>
        </w:rPr>
        <w:t xml:space="preserve">: 603–11 [DOI: 10.1111/j.1478-3231.2011.02689.x] </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10 </w:t>
      </w:r>
      <w:r w:rsidRPr="00EE722D">
        <w:rPr>
          <w:rFonts w:ascii="Book Antiqua" w:eastAsia="SimSun" w:hAnsi="Book Antiqua" w:cs="SimSun"/>
          <w:b/>
          <w:bCs/>
        </w:rPr>
        <w:t>Park WB</w:t>
      </w:r>
      <w:r w:rsidRPr="00EE722D">
        <w:rPr>
          <w:rFonts w:ascii="Book Antiqua" w:eastAsia="SimSun" w:hAnsi="Book Antiqua" w:cs="SimSun"/>
        </w:rPr>
        <w:t>, Lee KD, Lee CS, Jang HC, Kim HB, Lee HS, Oh MD, Choe KW. Production of C-reactive protein in Escherichia coli-infected patients with liver dysfunction due to liver cirrhosis. </w:t>
      </w:r>
      <w:r w:rsidRPr="00EE722D">
        <w:rPr>
          <w:rFonts w:ascii="Book Antiqua" w:eastAsia="SimSun" w:hAnsi="Book Antiqua" w:cs="SimSun"/>
          <w:i/>
          <w:iCs/>
        </w:rPr>
        <w:t>Diagn Microbiol Infect Dis</w:t>
      </w:r>
      <w:r w:rsidRPr="00EE722D">
        <w:rPr>
          <w:rFonts w:ascii="Book Antiqua" w:eastAsia="SimSun" w:hAnsi="Book Antiqua" w:cs="SimSun"/>
        </w:rPr>
        <w:t> 2005; </w:t>
      </w:r>
      <w:r w:rsidRPr="00EE722D">
        <w:rPr>
          <w:rFonts w:ascii="Book Antiqua" w:eastAsia="SimSun" w:hAnsi="Book Antiqua" w:cs="SimSun"/>
          <w:b/>
          <w:bCs/>
        </w:rPr>
        <w:t>51</w:t>
      </w:r>
      <w:r w:rsidRPr="00EE722D">
        <w:rPr>
          <w:rFonts w:ascii="Book Antiqua" w:eastAsia="SimSun" w:hAnsi="Book Antiqua" w:cs="SimSun"/>
        </w:rPr>
        <w:t>: 227-230 [PMID: 15808312 DOI: 10.1016/j.diagmicrobio.2004.11.014]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11 </w:t>
      </w:r>
      <w:r w:rsidRPr="00EE722D">
        <w:rPr>
          <w:rFonts w:ascii="Book Antiqua" w:eastAsia="SimSun" w:hAnsi="Book Antiqua" w:cs="SimSun"/>
          <w:b/>
          <w:bCs/>
        </w:rPr>
        <w:t>Angeli P</w:t>
      </w:r>
      <w:r w:rsidRPr="00EE722D">
        <w:rPr>
          <w:rFonts w:ascii="Book Antiqua" w:eastAsia="SimSun" w:hAnsi="Book Antiqua" w:cs="SimSun"/>
        </w:rPr>
        <w:t>, Tonon M, Pilutti C, Morando F, Piano S. Sepsis-induced acute kidney injury in patients with cirrhosis. </w:t>
      </w:r>
      <w:r w:rsidRPr="00EE722D">
        <w:rPr>
          <w:rFonts w:ascii="Book Antiqua" w:eastAsia="SimSun" w:hAnsi="Book Antiqua" w:cs="SimSun"/>
          <w:i/>
          <w:iCs/>
        </w:rPr>
        <w:t>Hepatol Int</w:t>
      </w:r>
      <w:r w:rsidRPr="00EE722D">
        <w:rPr>
          <w:rFonts w:ascii="Book Antiqua" w:eastAsia="SimSun" w:hAnsi="Book Antiqua" w:cs="SimSun"/>
        </w:rPr>
        <w:t> 2016; </w:t>
      </w:r>
      <w:r w:rsidRPr="00EE722D">
        <w:rPr>
          <w:rFonts w:ascii="Book Antiqua" w:eastAsia="SimSun" w:hAnsi="Book Antiqua" w:cs="SimSun"/>
          <w:b/>
          <w:bCs/>
        </w:rPr>
        <w:t>10</w:t>
      </w:r>
      <w:r w:rsidRPr="00EE722D">
        <w:rPr>
          <w:rFonts w:ascii="Book Antiqua" w:eastAsia="SimSun" w:hAnsi="Book Antiqua" w:cs="SimSun"/>
        </w:rPr>
        <w:t>: 115-123 [PMID: 26141259 DOI: 10.1007/s12072-015-9641-1]</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12 </w:t>
      </w:r>
      <w:r w:rsidRPr="00EE722D">
        <w:rPr>
          <w:rFonts w:ascii="Book Antiqua" w:eastAsia="SimSun" w:hAnsi="Book Antiqua" w:cs="SimSun"/>
          <w:b/>
          <w:bCs/>
        </w:rPr>
        <w:t>Westhuyzen J</w:t>
      </w:r>
      <w:r w:rsidRPr="00EE722D">
        <w:rPr>
          <w:rFonts w:ascii="Book Antiqua" w:eastAsia="SimSun" w:hAnsi="Book Antiqua" w:cs="SimSun"/>
        </w:rPr>
        <w:t>, Healy H. Review: Biology and relevance of C-reactive protein in cardiovascular and renal disease. </w:t>
      </w:r>
      <w:r w:rsidRPr="00EE722D">
        <w:rPr>
          <w:rFonts w:ascii="Book Antiqua" w:eastAsia="SimSun" w:hAnsi="Book Antiqua" w:cs="SimSun"/>
          <w:i/>
          <w:iCs/>
        </w:rPr>
        <w:t>Ann Clin Lab Sci</w:t>
      </w:r>
      <w:r w:rsidRPr="00EE722D">
        <w:rPr>
          <w:rFonts w:ascii="Book Antiqua" w:eastAsia="SimSun" w:hAnsi="Book Antiqua" w:cs="SimSun"/>
        </w:rPr>
        <w:t> 2000; </w:t>
      </w:r>
      <w:r w:rsidRPr="00EE722D">
        <w:rPr>
          <w:rFonts w:ascii="Book Antiqua" w:eastAsia="SimSun" w:hAnsi="Book Antiqua" w:cs="SimSun"/>
          <w:b/>
          <w:bCs/>
        </w:rPr>
        <w:t>30</w:t>
      </w:r>
      <w:r w:rsidRPr="00EE722D">
        <w:rPr>
          <w:rFonts w:ascii="Book Antiqua" w:eastAsia="SimSun" w:hAnsi="Book Antiqua" w:cs="SimSun"/>
        </w:rPr>
        <w:t>: 133-143 [PMID: 10807156]</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13 </w:t>
      </w:r>
      <w:r w:rsidRPr="00EE722D">
        <w:rPr>
          <w:rFonts w:ascii="Book Antiqua" w:eastAsia="SimSun" w:hAnsi="Book Antiqua" w:cs="SimSun"/>
          <w:b/>
          <w:bCs/>
        </w:rPr>
        <w:t>Vigushin DM</w:t>
      </w:r>
      <w:r w:rsidRPr="00EE722D">
        <w:rPr>
          <w:rFonts w:ascii="Book Antiqua" w:eastAsia="SimSun" w:hAnsi="Book Antiqua" w:cs="SimSun"/>
        </w:rPr>
        <w:t>, Pepys MB, Hawkins PN. Metabolic and scintigraphic studies of radioiodinated human C-reactive protein in health and disease. </w:t>
      </w:r>
      <w:r w:rsidRPr="00EE722D">
        <w:rPr>
          <w:rFonts w:ascii="Book Antiqua" w:eastAsia="SimSun" w:hAnsi="Book Antiqua" w:cs="SimSun"/>
          <w:i/>
          <w:iCs/>
        </w:rPr>
        <w:t>J Clin Invest</w:t>
      </w:r>
      <w:r w:rsidRPr="00EE722D">
        <w:rPr>
          <w:rFonts w:ascii="Book Antiqua" w:eastAsia="SimSun" w:hAnsi="Book Antiqua" w:cs="SimSun"/>
        </w:rPr>
        <w:t> 1993; </w:t>
      </w:r>
      <w:r w:rsidRPr="00EE722D">
        <w:rPr>
          <w:rFonts w:ascii="Book Antiqua" w:eastAsia="SimSun" w:hAnsi="Book Antiqua" w:cs="SimSun"/>
          <w:b/>
          <w:bCs/>
        </w:rPr>
        <w:t>91</w:t>
      </w:r>
      <w:r w:rsidRPr="00EE722D">
        <w:rPr>
          <w:rFonts w:ascii="Book Antiqua" w:eastAsia="SimSun" w:hAnsi="Book Antiqua" w:cs="SimSun"/>
        </w:rPr>
        <w:t>: 1351-1357 [PMID: 8473487 DOI: 10.1172/JCI116336]</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14 </w:t>
      </w:r>
      <w:r w:rsidRPr="00EE722D">
        <w:rPr>
          <w:rFonts w:ascii="Book Antiqua" w:eastAsia="SimSun" w:hAnsi="Book Antiqua" w:cs="SimSun"/>
          <w:b/>
          <w:bCs/>
        </w:rPr>
        <w:t>Lu XL</w:t>
      </w:r>
      <w:r w:rsidRPr="00EE722D">
        <w:rPr>
          <w:rFonts w:ascii="Book Antiqua" w:eastAsia="SimSun" w:hAnsi="Book Antiqua" w:cs="SimSun"/>
        </w:rPr>
        <w:t>, Xiao ZH, Yang MY, Zhu YM. Diagnostic value of serum procalcitonin in patients with chronic renal insufficiency: a systematic review and meta-analysis. </w:t>
      </w:r>
      <w:r w:rsidRPr="00EE722D">
        <w:rPr>
          <w:rFonts w:ascii="Book Antiqua" w:eastAsia="SimSun" w:hAnsi="Book Antiqua" w:cs="SimSun"/>
          <w:i/>
          <w:iCs/>
        </w:rPr>
        <w:t>Nephrol Dial Transplant</w:t>
      </w:r>
      <w:r w:rsidRPr="00EE722D">
        <w:rPr>
          <w:rFonts w:ascii="Book Antiqua" w:eastAsia="SimSun" w:hAnsi="Book Antiqua" w:cs="SimSun"/>
        </w:rPr>
        <w:t> 2013; </w:t>
      </w:r>
      <w:r w:rsidRPr="00EE722D">
        <w:rPr>
          <w:rFonts w:ascii="Book Antiqua" w:eastAsia="SimSun" w:hAnsi="Book Antiqua" w:cs="SimSun"/>
          <w:b/>
          <w:bCs/>
        </w:rPr>
        <w:t>28</w:t>
      </w:r>
      <w:r w:rsidRPr="00EE722D">
        <w:rPr>
          <w:rFonts w:ascii="Book Antiqua" w:eastAsia="SimSun" w:hAnsi="Book Antiqua" w:cs="SimSun"/>
        </w:rPr>
        <w:t>: 122-129 [PMID: 23045429 DOI: 10.1093/ndt/gfs339]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15 </w:t>
      </w:r>
      <w:r w:rsidRPr="00EE722D">
        <w:rPr>
          <w:rFonts w:ascii="Book Antiqua" w:eastAsia="SimSun" w:hAnsi="Book Antiqua" w:cs="SimSun"/>
          <w:b/>
          <w:bCs/>
        </w:rPr>
        <w:t>Lee WS</w:t>
      </w:r>
      <w:r w:rsidRPr="00EE722D">
        <w:rPr>
          <w:rFonts w:ascii="Book Antiqua" w:eastAsia="SimSun" w:hAnsi="Book Antiqua" w:cs="SimSun"/>
        </w:rPr>
        <w:t>, Kang DW, Back JH, Kim HL, Chung JH, Shin BC. Cutoff value of serum procalcitonin as a diagnostic biomarker of infection in end-stage renal disease patients. </w:t>
      </w:r>
      <w:r w:rsidRPr="00EE722D">
        <w:rPr>
          <w:rFonts w:ascii="Book Antiqua" w:eastAsia="SimSun" w:hAnsi="Book Antiqua" w:cs="SimSun"/>
          <w:i/>
          <w:iCs/>
        </w:rPr>
        <w:t>Korean J Intern Med</w:t>
      </w:r>
      <w:r w:rsidRPr="00EE722D">
        <w:rPr>
          <w:rFonts w:ascii="Book Antiqua" w:eastAsia="SimSun" w:hAnsi="Book Antiqua" w:cs="SimSun"/>
        </w:rPr>
        <w:t> 2015; </w:t>
      </w:r>
      <w:r w:rsidRPr="00EE722D">
        <w:rPr>
          <w:rFonts w:ascii="Book Antiqua" w:eastAsia="SimSun" w:hAnsi="Book Antiqua" w:cs="SimSun"/>
          <w:b/>
          <w:bCs/>
        </w:rPr>
        <w:t>30</w:t>
      </w:r>
      <w:r w:rsidRPr="00EE722D">
        <w:rPr>
          <w:rFonts w:ascii="Book Antiqua" w:eastAsia="SimSun" w:hAnsi="Book Antiqua" w:cs="SimSun"/>
        </w:rPr>
        <w:t>: 198-204 [PMID: 25750561 DOI: 10.3904/kjim.2015.30.2.198]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lastRenderedPageBreak/>
        <w:t>16 </w:t>
      </w:r>
      <w:r w:rsidRPr="00EE722D">
        <w:rPr>
          <w:rFonts w:ascii="Book Antiqua" w:eastAsia="SimSun" w:hAnsi="Book Antiqua" w:cs="SimSun"/>
          <w:b/>
          <w:bCs/>
        </w:rPr>
        <w:t>El-Sayed D</w:t>
      </w:r>
      <w:r w:rsidRPr="00EE722D">
        <w:rPr>
          <w:rFonts w:ascii="Book Antiqua" w:eastAsia="SimSun" w:hAnsi="Book Antiqua" w:cs="SimSun"/>
        </w:rPr>
        <w:t>, Grotts J, Golgert WA, Sugar AM. Sensitivity and specificity of procalcitonin in predicting bacterial infections in patients with renal impairment. </w:t>
      </w:r>
      <w:r w:rsidRPr="00EE722D">
        <w:rPr>
          <w:rFonts w:ascii="Book Antiqua" w:eastAsia="SimSun" w:hAnsi="Book Antiqua" w:cs="SimSun"/>
          <w:i/>
          <w:iCs/>
        </w:rPr>
        <w:t>Open Forum Infect Dis</w:t>
      </w:r>
      <w:r w:rsidRPr="00EE722D">
        <w:rPr>
          <w:rFonts w:ascii="Book Antiqua" w:eastAsia="SimSun" w:hAnsi="Book Antiqua" w:cs="SimSun"/>
        </w:rPr>
        <w:t> 2014; </w:t>
      </w:r>
      <w:r w:rsidRPr="00EE722D">
        <w:rPr>
          <w:rFonts w:ascii="Book Antiqua" w:eastAsia="SimSun" w:hAnsi="Book Antiqua" w:cs="SimSun"/>
          <w:b/>
          <w:bCs/>
        </w:rPr>
        <w:t>1</w:t>
      </w:r>
      <w:r w:rsidRPr="00EE722D">
        <w:rPr>
          <w:rFonts w:ascii="Book Antiqua" w:eastAsia="SimSun" w:hAnsi="Book Antiqua" w:cs="SimSun"/>
        </w:rPr>
        <w:t>: ofu068 [PMID: 25734138 DOI: 10.1093/ofid/ofu068]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17 </w:t>
      </w:r>
      <w:r w:rsidRPr="00EE722D">
        <w:rPr>
          <w:rFonts w:ascii="Book Antiqua" w:eastAsia="SimSun" w:hAnsi="Book Antiqua" w:cs="SimSun"/>
          <w:b/>
          <w:bCs/>
        </w:rPr>
        <w:t>Caldini A</w:t>
      </w:r>
      <w:r w:rsidRPr="00EE722D">
        <w:rPr>
          <w:rFonts w:ascii="Book Antiqua" w:eastAsia="SimSun" w:hAnsi="Book Antiqua" w:cs="SimSun"/>
        </w:rPr>
        <w:t>, Chelazzi C, Terreni A, Biagioli T, Giannoni C, Villa G, Messeri G, De Gaudio AR. Is procalcitonin a reliable marker of sepsis in critically ill septic patients undergoing continuous veno-venous hemodiafiltration with "high cut-off" membranes (HCO-CVVHDF)? </w:t>
      </w:r>
      <w:r w:rsidRPr="00EE722D">
        <w:rPr>
          <w:rFonts w:ascii="Book Antiqua" w:eastAsia="SimSun" w:hAnsi="Book Antiqua" w:cs="SimSun"/>
          <w:i/>
          <w:iCs/>
        </w:rPr>
        <w:t>Clin Chem Lab Med</w:t>
      </w:r>
      <w:r w:rsidRPr="00EE722D">
        <w:rPr>
          <w:rFonts w:ascii="Book Antiqua" w:eastAsia="SimSun" w:hAnsi="Book Antiqua" w:cs="SimSun"/>
        </w:rPr>
        <w:t> 2013; </w:t>
      </w:r>
      <w:r w:rsidRPr="00EE722D">
        <w:rPr>
          <w:rFonts w:ascii="Book Antiqua" w:eastAsia="SimSun" w:hAnsi="Book Antiqua" w:cs="SimSun"/>
          <w:b/>
          <w:bCs/>
        </w:rPr>
        <w:t>51</w:t>
      </w:r>
      <w:r w:rsidRPr="00EE722D">
        <w:rPr>
          <w:rFonts w:ascii="Book Antiqua" w:eastAsia="SimSun" w:hAnsi="Book Antiqua" w:cs="SimSun"/>
        </w:rPr>
        <w:t>: e261-e263 [PMID: 23787472 DOI: 10.1515/cclm-2013-0257]</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18 </w:t>
      </w:r>
      <w:r w:rsidRPr="00EE722D">
        <w:rPr>
          <w:rFonts w:ascii="Book Antiqua" w:eastAsia="SimSun" w:hAnsi="Book Antiqua" w:cs="SimSun"/>
          <w:b/>
          <w:bCs/>
        </w:rPr>
        <w:t>Wiest R</w:t>
      </w:r>
      <w:r w:rsidRPr="00EE722D">
        <w:rPr>
          <w:rFonts w:ascii="Book Antiqua" w:eastAsia="SimSun" w:hAnsi="Book Antiqua" w:cs="SimSun"/>
        </w:rPr>
        <w:t>, Lawson M, Geuking M. Pathological bacterial translocation in liver cirrhosis. </w:t>
      </w:r>
      <w:r w:rsidRPr="00EE722D">
        <w:rPr>
          <w:rFonts w:ascii="Book Antiqua" w:eastAsia="SimSun" w:hAnsi="Book Antiqua" w:cs="SimSun"/>
          <w:i/>
          <w:iCs/>
        </w:rPr>
        <w:t>J Hepatol</w:t>
      </w:r>
      <w:r w:rsidRPr="00EE722D">
        <w:rPr>
          <w:rFonts w:ascii="Book Antiqua" w:eastAsia="SimSun" w:hAnsi="Book Antiqua" w:cs="SimSun"/>
        </w:rPr>
        <w:t> 2014; </w:t>
      </w:r>
      <w:r w:rsidRPr="00EE722D">
        <w:rPr>
          <w:rFonts w:ascii="Book Antiqua" w:eastAsia="SimSun" w:hAnsi="Book Antiqua" w:cs="SimSun"/>
          <w:b/>
          <w:bCs/>
        </w:rPr>
        <w:t>60</w:t>
      </w:r>
      <w:r w:rsidRPr="00EE722D">
        <w:rPr>
          <w:rFonts w:ascii="Book Antiqua" w:eastAsia="SimSun" w:hAnsi="Book Antiqua" w:cs="SimSun"/>
        </w:rPr>
        <w:t>: 197-209 [PMID: 23993913 DOI: 10.1016/j.jhep.2013.07.044]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19 </w:t>
      </w:r>
      <w:r w:rsidRPr="00EE722D">
        <w:rPr>
          <w:rFonts w:ascii="Book Antiqua" w:eastAsia="SimSun" w:hAnsi="Book Antiqua" w:cs="SimSun"/>
          <w:b/>
          <w:bCs/>
        </w:rPr>
        <w:t>Lazzarotto C</w:t>
      </w:r>
      <w:r w:rsidRPr="00EE722D">
        <w:rPr>
          <w:rFonts w:ascii="Book Antiqua" w:eastAsia="SimSun" w:hAnsi="Book Antiqua" w:cs="SimSun"/>
        </w:rPr>
        <w:t>, Ronsoni MF, Fayad L, Nogueira CL, Bazzo ML, Narciso-Schiavon JL, de Lucca Schiavon L, Dantas-Corrêa EB. Acute phase proteins for the diagnosis of bacterial infection and prediction of mortality in acute complications of cirrhosis. </w:t>
      </w:r>
      <w:r w:rsidRPr="00EE722D">
        <w:rPr>
          <w:rFonts w:ascii="Book Antiqua" w:eastAsia="SimSun" w:hAnsi="Book Antiqua" w:cs="SimSun"/>
          <w:i/>
          <w:iCs/>
        </w:rPr>
        <w:t>Ann Hepatol</w:t>
      </w:r>
      <w:r w:rsidRPr="00EE722D">
        <w:rPr>
          <w:rFonts w:ascii="Book Antiqua" w:eastAsia="SimSun" w:hAnsi="Book Antiqua" w:cs="SimSun"/>
        </w:rPr>
        <w:t> </w:t>
      </w:r>
      <w:r>
        <w:rPr>
          <w:rFonts w:ascii="Book Antiqua" w:eastAsia="SimSun" w:hAnsi="Book Antiqua" w:cs="SimSun" w:hint="eastAsia"/>
        </w:rPr>
        <w:t>2013</w:t>
      </w:r>
      <w:r w:rsidRPr="00EE722D">
        <w:rPr>
          <w:rFonts w:ascii="Book Antiqua" w:eastAsia="SimSun" w:hAnsi="Book Antiqua" w:cs="SimSun"/>
        </w:rPr>
        <w:t>; </w:t>
      </w:r>
      <w:r w:rsidRPr="00EE722D">
        <w:rPr>
          <w:rFonts w:ascii="Book Antiqua" w:eastAsia="SimSun" w:hAnsi="Book Antiqua" w:cs="SimSun"/>
          <w:b/>
          <w:bCs/>
        </w:rPr>
        <w:t>12</w:t>
      </w:r>
      <w:r w:rsidRPr="00EE722D">
        <w:rPr>
          <w:rFonts w:ascii="Book Antiqua" w:eastAsia="SimSun" w:hAnsi="Book Antiqua" w:cs="SimSun"/>
        </w:rPr>
        <w:t>: 599-607 [PMID: 23813138]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20 </w:t>
      </w:r>
      <w:r w:rsidRPr="00EE722D">
        <w:rPr>
          <w:rFonts w:ascii="Book Antiqua" w:eastAsia="SimSun" w:hAnsi="Book Antiqua" w:cs="SimSun"/>
          <w:b/>
          <w:bCs/>
        </w:rPr>
        <w:t>Cervoni JP</w:t>
      </w:r>
      <w:r w:rsidRPr="00EE722D">
        <w:rPr>
          <w:rFonts w:ascii="Book Antiqua" w:eastAsia="SimSun" w:hAnsi="Book Antiqua" w:cs="SimSun"/>
        </w:rPr>
        <w:t>, Thévenot T, Weil D, Muel E, Barbot O, Sheppard F, Monnet E, Di Martino V. C-reactive protein predicts short-term mortality in patients with cirrhosis. </w:t>
      </w:r>
      <w:r w:rsidRPr="00EE722D">
        <w:rPr>
          <w:rFonts w:ascii="Book Antiqua" w:eastAsia="SimSun" w:hAnsi="Book Antiqua" w:cs="SimSun"/>
          <w:i/>
          <w:iCs/>
        </w:rPr>
        <w:t>J Hepatol</w:t>
      </w:r>
      <w:r w:rsidRPr="00EE722D">
        <w:rPr>
          <w:rFonts w:ascii="Book Antiqua" w:eastAsia="SimSun" w:hAnsi="Book Antiqua" w:cs="SimSun"/>
        </w:rPr>
        <w:t> 2012; </w:t>
      </w:r>
      <w:r w:rsidRPr="00EE722D">
        <w:rPr>
          <w:rFonts w:ascii="Book Antiqua" w:eastAsia="SimSun" w:hAnsi="Book Antiqua" w:cs="SimSun"/>
          <w:b/>
          <w:bCs/>
        </w:rPr>
        <w:t>56</w:t>
      </w:r>
      <w:r w:rsidRPr="00EE722D">
        <w:rPr>
          <w:rFonts w:ascii="Book Antiqua" w:eastAsia="SimSun" w:hAnsi="Book Antiqua" w:cs="SimSun"/>
        </w:rPr>
        <w:t>: 1299-1304 [PMID: 22314431 DOI: 10.1016/j.jhep.2011.12.030]</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21 </w:t>
      </w:r>
      <w:r w:rsidRPr="00EE722D">
        <w:rPr>
          <w:rFonts w:ascii="Book Antiqua" w:eastAsia="SimSun" w:hAnsi="Book Antiqua" w:cs="SimSun"/>
          <w:b/>
          <w:bCs/>
        </w:rPr>
        <w:t>Li CH</w:t>
      </w:r>
      <w:r w:rsidRPr="00EE722D">
        <w:rPr>
          <w:rFonts w:ascii="Book Antiqua" w:eastAsia="SimSun" w:hAnsi="Book Antiqua" w:cs="SimSun"/>
        </w:rPr>
        <w:t>, Yang RB, Pang JH, Chang SS, Lin CC, Chen CH, Chen HY, Chiu TF. Procalcitonin as a biomarker for bacterial infections in patients with liver cirrhosis in the emergency department. </w:t>
      </w:r>
      <w:r w:rsidRPr="00EE722D">
        <w:rPr>
          <w:rFonts w:ascii="Book Antiqua" w:eastAsia="SimSun" w:hAnsi="Book Antiqua" w:cs="SimSun"/>
          <w:i/>
          <w:iCs/>
        </w:rPr>
        <w:t>Acad Emerg Med</w:t>
      </w:r>
      <w:r w:rsidRPr="00EE722D">
        <w:rPr>
          <w:rFonts w:ascii="Book Antiqua" w:eastAsia="SimSun" w:hAnsi="Book Antiqua" w:cs="SimSun"/>
        </w:rPr>
        <w:t> 2011; </w:t>
      </w:r>
      <w:r w:rsidRPr="00EE722D">
        <w:rPr>
          <w:rFonts w:ascii="Book Antiqua" w:eastAsia="SimSun" w:hAnsi="Book Antiqua" w:cs="SimSun"/>
          <w:b/>
          <w:bCs/>
        </w:rPr>
        <w:t>18</w:t>
      </w:r>
      <w:r w:rsidRPr="00EE722D">
        <w:rPr>
          <w:rFonts w:ascii="Book Antiqua" w:eastAsia="SimSun" w:hAnsi="Book Antiqua" w:cs="SimSun"/>
        </w:rPr>
        <w:t>: 121-126 [PMID: 21276124 DOI: 10.1111/j.1553-2712.2010.00991.x]</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22 </w:t>
      </w:r>
      <w:r w:rsidRPr="00EE722D">
        <w:rPr>
          <w:rFonts w:ascii="Book Antiqua" w:eastAsia="SimSun" w:hAnsi="Book Antiqua" w:cs="SimSun"/>
          <w:b/>
          <w:bCs/>
        </w:rPr>
        <w:t>Bota DP</w:t>
      </w:r>
      <w:r w:rsidRPr="00EE722D">
        <w:rPr>
          <w:rFonts w:ascii="Book Antiqua" w:eastAsia="SimSun" w:hAnsi="Book Antiqua" w:cs="SimSun"/>
        </w:rPr>
        <w:t>, Van Nuffelen M, Zakariah AN, Vincent JL. Serum levels of C-reactive protein and procalcitonin in critically ill patients with cirrhosis of the liver. </w:t>
      </w:r>
      <w:r w:rsidRPr="00EE722D">
        <w:rPr>
          <w:rFonts w:ascii="Book Antiqua" w:eastAsia="SimSun" w:hAnsi="Book Antiqua" w:cs="SimSun"/>
          <w:i/>
          <w:iCs/>
        </w:rPr>
        <w:t>J Lab Clin Med</w:t>
      </w:r>
      <w:r w:rsidRPr="00EE722D">
        <w:rPr>
          <w:rFonts w:ascii="Book Antiqua" w:eastAsia="SimSun" w:hAnsi="Book Antiqua" w:cs="SimSun"/>
        </w:rPr>
        <w:t> 2005; </w:t>
      </w:r>
      <w:r w:rsidRPr="00EE722D">
        <w:rPr>
          <w:rFonts w:ascii="Book Antiqua" w:eastAsia="SimSun" w:hAnsi="Book Antiqua" w:cs="SimSun"/>
          <w:b/>
          <w:bCs/>
        </w:rPr>
        <w:t>146</w:t>
      </w:r>
      <w:r w:rsidRPr="00EE722D">
        <w:rPr>
          <w:rFonts w:ascii="Book Antiqua" w:eastAsia="SimSun" w:hAnsi="Book Antiqua" w:cs="SimSun"/>
        </w:rPr>
        <w:t>: 347-351 [PMID: 16310518 DOI: 10.1016/j.lab.2005.08.005]</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23 </w:t>
      </w:r>
      <w:r w:rsidRPr="00EE722D">
        <w:rPr>
          <w:rFonts w:ascii="Book Antiqua" w:eastAsia="SimSun" w:hAnsi="Book Antiqua" w:cs="SimSun"/>
          <w:b/>
          <w:bCs/>
        </w:rPr>
        <w:t>Viallon A</w:t>
      </w:r>
      <w:r w:rsidRPr="00EE722D">
        <w:rPr>
          <w:rFonts w:ascii="Book Antiqua" w:eastAsia="SimSun" w:hAnsi="Book Antiqua" w:cs="SimSun"/>
        </w:rPr>
        <w:t xml:space="preserve">, Zeni F, Pouzet V, Lambert C, Quenet S, Aubert G, Guyomarch S, Tardy B, Bertrand JC. Serum and ascitic procalcitonin levels in cirrhotic patients with spontaneous bacterial peritonitis: diagnostic value and </w:t>
      </w:r>
      <w:r w:rsidRPr="00EE722D">
        <w:rPr>
          <w:rFonts w:ascii="Book Antiqua" w:eastAsia="SimSun" w:hAnsi="Book Antiqua" w:cs="SimSun"/>
        </w:rPr>
        <w:lastRenderedPageBreak/>
        <w:t>relationship to pro-inflammatory cytokines. </w:t>
      </w:r>
      <w:r w:rsidRPr="00EE722D">
        <w:rPr>
          <w:rFonts w:ascii="Book Antiqua" w:eastAsia="SimSun" w:hAnsi="Book Antiqua" w:cs="SimSun"/>
          <w:i/>
          <w:iCs/>
        </w:rPr>
        <w:t>Intensive Care Med</w:t>
      </w:r>
      <w:r w:rsidRPr="00EE722D">
        <w:rPr>
          <w:rFonts w:ascii="Book Antiqua" w:eastAsia="SimSun" w:hAnsi="Book Antiqua" w:cs="SimSun"/>
        </w:rPr>
        <w:t> 2000; </w:t>
      </w:r>
      <w:r w:rsidRPr="00EE722D">
        <w:rPr>
          <w:rFonts w:ascii="Book Antiqua" w:eastAsia="SimSun" w:hAnsi="Book Antiqua" w:cs="SimSun"/>
          <w:b/>
          <w:bCs/>
        </w:rPr>
        <w:t>26</w:t>
      </w:r>
      <w:r w:rsidRPr="00EE722D">
        <w:rPr>
          <w:rFonts w:ascii="Book Antiqua" w:eastAsia="SimSun" w:hAnsi="Book Antiqua" w:cs="SimSun"/>
        </w:rPr>
        <w:t>: 1082-1088 [PMID: 11030164]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24 </w:t>
      </w:r>
      <w:r w:rsidRPr="00EE722D">
        <w:rPr>
          <w:rFonts w:ascii="Book Antiqua" w:eastAsia="SimSun" w:hAnsi="Book Antiqua" w:cs="SimSun"/>
          <w:b/>
          <w:bCs/>
        </w:rPr>
        <w:t>Chenevier-Gobeaux C</w:t>
      </w:r>
      <w:r w:rsidRPr="00EE722D">
        <w:rPr>
          <w:rFonts w:ascii="Book Antiqua" w:eastAsia="SimSun" w:hAnsi="Book Antiqua" w:cs="SimSun"/>
        </w:rPr>
        <w:t>, Borderie D, Weiss N, Mallet-Coste T, Claessens YE. Presepsin (sCD14-ST), an innate immune response marker in sepsis. </w:t>
      </w:r>
      <w:r w:rsidRPr="00EE722D">
        <w:rPr>
          <w:rFonts w:ascii="Book Antiqua" w:eastAsia="SimSun" w:hAnsi="Book Antiqua" w:cs="SimSun"/>
          <w:i/>
          <w:iCs/>
        </w:rPr>
        <w:t>Clin Chim Acta</w:t>
      </w:r>
      <w:r w:rsidRPr="00EE722D">
        <w:rPr>
          <w:rFonts w:ascii="Book Antiqua" w:eastAsia="SimSun" w:hAnsi="Book Antiqua" w:cs="SimSun"/>
        </w:rPr>
        <w:t> 2015; </w:t>
      </w:r>
      <w:r w:rsidRPr="00EE722D">
        <w:rPr>
          <w:rFonts w:ascii="Book Antiqua" w:eastAsia="SimSun" w:hAnsi="Book Antiqua" w:cs="SimSun"/>
          <w:b/>
          <w:bCs/>
        </w:rPr>
        <w:t>450</w:t>
      </w:r>
      <w:r w:rsidRPr="00EE722D">
        <w:rPr>
          <w:rFonts w:ascii="Book Antiqua" w:eastAsia="SimSun" w:hAnsi="Book Antiqua" w:cs="SimSun"/>
        </w:rPr>
        <w:t>: 97-103 [PMID: 26164388 DOI: 10.1016/j.cca.2015.06.026]</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25 </w:t>
      </w:r>
      <w:r w:rsidRPr="00EE722D">
        <w:rPr>
          <w:rFonts w:ascii="Book Antiqua" w:eastAsia="SimSun" w:hAnsi="Book Antiqua" w:cs="SimSun"/>
          <w:b/>
          <w:bCs/>
        </w:rPr>
        <w:t>Dupuy AM</w:t>
      </w:r>
      <w:r w:rsidRPr="00EE722D">
        <w:rPr>
          <w:rFonts w:ascii="Book Antiqua" w:eastAsia="SimSun" w:hAnsi="Book Antiqua" w:cs="SimSun"/>
        </w:rPr>
        <w:t>, Philippart F, Péan Y, Lasocki S, Charles PE, Chalumeau M, Claessens YE, Quenot JP, Guen CG, Ruiz S, Luyt CE, Roche N, Stahl JP, Bedos JP, Pugin J, Gauzit R, Misset B, Brun-Buisson C. Role of biomarkers in the management of antibiotic therapy: an expert panel review: I - currently available biomarkers for clinical use in acute infections. </w:t>
      </w:r>
      <w:r w:rsidRPr="00EE722D">
        <w:rPr>
          <w:rFonts w:ascii="Book Antiqua" w:eastAsia="SimSun" w:hAnsi="Book Antiqua" w:cs="SimSun"/>
          <w:i/>
          <w:iCs/>
        </w:rPr>
        <w:t>Ann Intensive Care</w:t>
      </w:r>
      <w:r w:rsidRPr="00EE722D">
        <w:rPr>
          <w:rFonts w:ascii="Book Antiqua" w:eastAsia="SimSun" w:hAnsi="Book Antiqua" w:cs="SimSun"/>
        </w:rPr>
        <w:t> 2013; </w:t>
      </w:r>
      <w:r w:rsidRPr="00EE722D">
        <w:rPr>
          <w:rFonts w:ascii="Book Antiqua" w:eastAsia="SimSun" w:hAnsi="Book Antiqua" w:cs="SimSun"/>
          <w:b/>
          <w:bCs/>
        </w:rPr>
        <w:t>3</w:t>
      </w:r>
      <w:r w:rsidRPr="00EE722D">
        <w:rPr>
          <w:rFonts w:ascii="Book Antiqua" w:eastAsia="SimSun" w:hAnsi="Book Antiqua" w:cs="SimSun"/>
        </w:rPr>
        <w:t>: 22 [PMID: 23837559 DOI: 10.1186/2110-5820-3-22]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26 </w:t>
      </w:r>
      <w:r w:rsidRPr="00EE722D">
        <w:rPr>
          <w:rFonts w:ascii="Book Antiqua" w:eastAsia="SimSun" w:hAnsi="Book Antiqua" w:cs="SimSun"/>
          <w:b/>
          <w:bCs/>
        </w:rPr>
        <w:t>Tong X</w:t>
      </w:r>
      <w:r w:rsidRPr="00EE722D">
        <w:rPr>
          <w:rFonts w:ascii="Book Antiqua" w:eastAsia="SimSun" w:hAnsi="Book Antiqua" w:cs="SimSun"/>
        </w:rPr>
        <w:t>, Cao Y, Yu M, Han C. Presepsin as a diagnostic marker for sepsis: evidence from a bivariate meta-analysis. </w:t>
      </w:r>
      <w:r w:rsidRPr="00EE722D">
        <w:rPr>
          <w:rFonts w:ascii="Book Antiqua" w:eastAsia="SimSun" w:hAnsi="Book Antiqua" w:cs="SimSun"/>
          <w:i/>
          <w:iCs/>
        </w:rPr>
        <w:t>Ther Clin Risk Manag</w:t>
      </w:r>
      <w:r w:rsidRPr="00EE722D">
        <w:rPr>
          <w:rFonts w:ascii="Book Antiqua" w:eastAsia="SimSun" w:hAnsi="Book Antiqua" w:cs="SimSun"/>
        </w:rPr>
        <w:t> 2015; </w:t>
      </w:r>
      <w:r w:rsidRPr="00EE722D">
        <w:rPr>
          <w:rFonts w:ascii="Book Antiqua" w:eastAsia="SimSun" w:hAnsi="Book Antiqua" w:cs="SimSun"/>
          <w:b/>
          <w:bCs/>
        </w:rPr>
        <w:t>11</w:t>
      </w:r>
      <w:r w:rsidRPr="00EE722D">
        <w:rPr>
          <w:rFonts w:ascii="Book Antiqua" w:eastAsia="SimSun" w:hAnsi="Book Antiqua" w:cs="SimSun"/>
        </w:rPr>
        <w:t>: 1027-1033 [PMID: 26170681 DOI: 10.2147/TCRM.S84811]</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27 </w:t>
      </w:r>
      <w:r w:rsidRPr="00EE722D">
        <w:rPr>
          <w:rFonts w:ascii="Book Antiqua" w:eastAsia="SimSun" w:hAnsi="Book Antiqua" w:cs="SimSun"/>
          <w:b/>
          <w:bCs/>
        </w:rPr>
        <w:t>Wu J</w:t>
      </w:r>
      <w:r w:rsidRPr="00EE722D">
        <w:rPr>
          <w:rFonts w:ascii="Book Antiqua" w:eastAsia="SimSun" w:hAnsi="Book Antiqua" w:cs="SimSun"/>
        </w:rPr>
        <w:t>, Hu L, Zhang G, Wu F, He T. Accuracy of Presepsin in Sepsis Diagnosis: A Systematic Review and Meta-Analysis. </w:t>
      </w:r>
      <w:r w:rsidRPr="00EE722D">
        <w:rPr>
          <w:rFonts w:ascii="Book Antiqua" w:eastAsia="SimSun" w:hAnsi="Book Antiqua" w:cs="SimSun"/>
          <w:i/>
          <w:iCs/>
        </w:rPr>
        <w:t>PLoS One</w:t>
      </w:r>
      <w:r w:rsidRPr="00EE722D">
        <w:rPr>
          <w:rFonts w:ascii="Book Antiqua" w:eastAsia="SimSun" w:hAnsi="Book Antiqua" w:cs="SimSun"/>
        </w:rPr>
        <w:t> 2015; </w:t>
      </w:r>
      <w:r w:rsidRPr="00EE722D">
        <w:rPr>
          <w:rFonts w:ascii="Book Antiqua" w:eastAsia="SimSun" w:hAnsi="Book Antiqua" w:cs="SimSun"/>
          <w:b/>
          <w:bCs/>
        </w:rPr>
        <w:t>10</w:t>
      </w:r>
      <w:r w:rsidRPr="00EE722D">
        <w:rPr>
          <w:rFonts w:ascii="Book Antiqua" w:eastAsia="SimSun" w:hAnsi="Book Antiqua" w:cs="SimSun"/>
        </w:rPr>
        <w:t>: e0133057 [PMID: 26192602 DOI: 10.1371/journal.pone.0133057]</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28 </w:t>
      </w:r>
      <w:r w:rsidRPr="00EE722D">
        <w:rPr>
          <w:rFonts w:ascii="Book Antiqua" w:eastAsia="SimSun" w:hAnsi="Book Antiqua" w:cs="SimSun"/>
          <w:b/>
          <w:bCs/>
        </w:rPr>
        <w:t>Carey E</w:t>
      </w:r>
      <w:r w:rsidRPr="00EE722D">
        <w:rPr>
          <w:rFonts w:ascii="Book Antiqua" w:eastAsia="SimSun" w:hAnsi="Book Antiqua" w:cs="SimSun"/>
        </w:rPr>
        <w:t>, Carey WD. Noninvasive tests for liver disease, fibrosis, and cirrhosis: Is liver biopsy obsolete? </w:t>
      </w:r>
      <w:r w:rsidRPr="00EE722D">
        <w:rPr>
          <w:rFonts w:ascii="Book Antiqua" w:eastAsia="SimSun" w:hAnsi="Book Antiqua" w:cs="SimSun"/>
          <w:i/>
          <w:iCs/>
        </w:rPr>
        <w:t>Cleve Clin J Med</w:t>
      </w:r>
      <w:r w:rsidRPr="00EE722D">
        <w:rPr>
          <w:rFonts w:ascii="Book Antiqua" w:eastAsia="SimSun" w:hAnsi="Book Antiqua" w:cs="SimSun"/>
        </w:rPr>
        <w:t> 2010; </w:t>
      </w:r>
      <w:r w:rsidRPr="00EE722D">
        <w:rPr>
          <w:rFonts w:ascii="Book Antiqua" w:eastAsia="SimSun" w:hAnsi="Book Antiqua" w:cs="SimSun"/>
          <w:b/>
          <w:bCs/>
        </w:rPr>
        <w:t>77</w:t>
      </w:r>
      <w:r w:rsidRPr="00EE722D">
        <w:rPr>
          <w:rFonts w:ascii="Book Antiqua" w:eastAsia="SimSun" w:hAnsi="Book Antiqua" w:cs="SimSun"/>
        </w:rPr>
        <w:t>: 519-527 [PMID: 20682514 DOI: 10.3949/ccjm.77a.09138]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29 </w:t>
      </w:r>
      <w:r w:rsidRPr="00EE722D">
        <w:rPr>
          <w:rFonts w:ascii="Book Antiqua" w:eastAsia="SimSun" w:hAnsi="Book Antiqua" w:cs="SimSun"/>
          <w:b/>
          <w:bCs/>
        </w:rPr>
        <w:t>Durand F</w:t>
      </w:r>
      <w:r w:rsidRPr="00EE722D">
        <w:rPr>
          <w:rFonts w:ascii="Book Antiqua" w:eastAsia="SimSun" w:hAnsi="Book Antiqua" w:cs="SimSun"/>
        </w:rPr>
        <w:t>, Valla D. Assessment of the prognosis of cirrhosis: Child-Pugh versus MELD. </w:t>
      </w:r>
      <w:r w:rsidRPr="00EE722D">
        <w:rPr>
          <w:rFonts w:ascii="Book Antiqua" w:eastAsia="SimSun" w:hAnsi="Book Antiqua" w:cs="SimSun"/>
          <w:i/>
          <w:iCs/>
        </w:rPr>
        <w:t>J Hepatol</w:t>
      </w:r>
      <w:r w:rsidRPr="00EE722D">
        <w:rPr>
          <w:rFonts w:ascii="Book Antiqua" w:eastAsia="SimSun" w:hAnsi="Book Antiqua" w:cs="SimSun"/>
        </w:rPr>
        <w:t> 2005; </w:t>
      </w:r>
      <w:r w:rsidRPr="00EE722D">
        <w:rPr>
          <w:rFonts w:ascii="Book Antiqua" w:eastAsia="SimSun" w:hAnsi="Book Antiqua" w:cs="SimSun"/>
          <w:b/>
          <w:bCs/>
        </w:rPr>
        <w:t>42</w:t>
      </w:r>
      <w:r w:rsidRPr="00EE722D">
        <w:rPr>
          <w:rFonts w:ascii="Book Antiqua" w:eastAsia="SimSun" w:hAnsi="Book Antiqua" w:cs="SimSun"/>
          <w:bCs/>
        </w:rPr>
        <w:t xml:space="preserve"> Suppl</w:t>
      </w:r>
      <w:r w:rsidRPr="00EE722D">
        <w:rPr>
          <w:rFonts w:ascii="Book Antiqua" w:eastAsia="SimSun" w:hAnsi="Book Antiqua" w:cs="SimSun"/>
        </w:rPr>
        <w:t>: S100-S107 [PMID: 15777564 DOI: 10.1016/j.jhep.2004.11.015]</w:t>
      </w:r>
    </w:p>
    <w:p w:rsidR="00615305" w:rsidRDefault="00615305" w:rsidP="003B01FB">
      <w:pPr>
        <w:spacing w:line="360" w:lineRule="auto"/>
        <w:jc w:val="both"/>
        <w:rPr>
          <w:rFonts w:ascii="Book Antiqua" w:eastAsia="SimSun" w:hAnsi="Book Antiqua" w:cs="SimSun"/>
        </w:rPr>
      </w:pPr>
      <w:r w:rsidRPr="00EE722D">
        <w:rPr>
          <w:rFonts w:ascii="Book Antiqua" w:eastAsia="SimSun" w:hAnsi="Book Antiqua" w:cs="SimSun"/>
        </w:rPr>
        <w:t xml:space="preserve">30 </w:t>
      </w:r>
      <w:r w:rsidRPr="00DA5D99">
        <w:rPr>
          <w:rFonts w:ascii="Book Antiqua" w:eastAsia="SimSun" w:hAnsi="Book Antiqua" w:cs="SimSun"/>
          <w:b/>
        </w:rPr>
        <w:t>Jalan R,</w:t>
      </w:r>
      <w:r w:rsidRPr="00DA5D99">
        <w:rPr>
          <w:rFonts w:ascii="Book Antiqua" w:eastAsia="SimSun" w:hAnsi="Book Antiqua" w:cs="SimSun"/>
        </w:rPr>
        <w:t xml:space="preserve"> Saliba F, Pavesi M, Amoros A, Moreau R, Ginès P, Levesque E, Durand F, Angeli P, Caraceni P, Hopf C, Alessandria C, Rodriguez E, Solis-Muñoz P, Laleman W, Trebicka J, Zeuzem S, Gustot T, Mookerjee R, Elkrief L, Soriano G, Cordoba J, Morando F, Gerbes A, Agarwal B, Samuel D, Bernardi M, Arroyo V. Development and validation of a prognostic score to predict mortality in patients with acute-on-chronic liver failure.</w:t>
      </w:r>
      <w:r w:rsidRPr="00DA5D99">
        <w:rPr>
          <w:rFonts w:ascii="Book Antiqua" w:eastAsia="SimSun" w:hAnsi="Book Antiqua" w:cs="SimSun"/>
          <w:i/>
        </w:rPr>
        <w:t xml:space="preserve"> J Hepatol </w:t>
      </w:r>
      <w:r w:rsidRPr="00DA5D99">
        <w:rPr>
          <w:rFonts w:ascii="Book Antiqua" w:eastAsia="SimSun" w:hAnsi="Book Antiqua" w:cs="SimSun"/>
        </w:rPr>
        <w:t xml:space="preserve"> 2014;</w:t>
      </w:r>
      <w:r>
        <w:rPr>
          <w:rFonts w:ascii="Book Antiqua" w:eastAsia="SimSun" w:hAnsi="Book Antiqua" w:cs="SimSun" w:hint="eastAsia"/>
        </w:rPr>
        <w:t xml:space="preserve"> </w:t>
      </w:r>
      <w:r w:rsidRPr="00DA5D99">
        <w:rPr>
          <w:rFonts w:ascii="Book Antiqua" w:eastAsia="SimSun" w:hAnsi="Book Antiqua" w:cs="SimSun"/>
          <w:b/>
        </w:rPr>
        <w:t>61</w:t>
      </w:r>
      <w:r w:rsidRPr="00DA5D99">
        <w:rPr>
          <w:rFonts w:ascii="Book Antiqua" w:eastAsia="SimSun" w:hAnsi="Book Antiqua" w:cs="SimSun"/>
        </w:rPr>
        <w:t>:</w:t>
      </w:r>
      <w:r>
        <w:rPr>
          <w:rFonts w:ascii="Book Antiqua" w:eastAsia="SimSun" w:hAnsi="Book Antiqua" w:cs="SimSun" w:hint="eastAsia"/>
        </w:rPr>
        <w:t xml:space="preserve"> </w:t>
      </w:r>
      <w:r w:rsidRPr="00DA5D99">
        <w:rPr>
          <w:rFonts w:ascii="Book Antiqua" w:eastAsia="SimSun" w:hAnsi="Book Antiqua" w:cs="SimSun"/>
        </w:rPr>
        <w:t>1038–</w:t>
      </w:r>
      <w:r>
        <w:rPr>
          <w:rFonts w:ascii="Book Antiqua" w:eastAsia="SimSun" w:hAnsi="Book Antiqua" w:cs="SimSun" w:hint="eastAsia"/>
        </w:rPr>
        <w:t>10</w:t>
      </w:r>
      <w:r w:rsidRPr="00DA5D99">
        <w:rPr>
          <w:rFonts w:ascii="Book Antiqua" w:eastAsia="SimSun" w:hAnsi="Book Antiqua" w:cs="SimSun"/>
        </w:rPr>
        <w:t>47 [DOI: 10.1016/j.jhep.2014.06.012]</w:t>
      </w:r>
      <w:r>
        <w:rPr>
          <w:rFonts w:ascii="Book Antiqua" w:eastAsia="SimSun" w:hAnsi="Book Antiqua" w:cs="SimSun" w:hint="eastAsia"/>
        </w:rPr>
        <w:t xml:space="preserve"> </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lastRenderedPageBreak/>
        <w:t>31 </w:t>
      </w:r>
      <w:r w:rsidRPr="00EE722D">
        <w:rPr>
          <w:rFonts w:ascii="Book Antiqua" w:eastAsia="SimSun" w:hAnsi="Book Antiqua" w:cs="SimSun"/>
          <w:b/>
          <w:bCs/>
        </w:rPr>
        <w:t>Mohan P</w:t>
      </w:r>
      <w:r w:rsidRPr="00EE722D">
        <w:rPr>
          <w:rFonts w:ascii="Book Antiqua" w:eastAsia="SimSun" w:hAnsi="Book Antiqua" w:cs="SimSun"/>
        </w:rPr>
        <w:t>, Ramu B, Bhaskar E, Venkataraman J. Prevalence and risk factors for bacterial skin infection and mortality in cirrhosis. </w:t>
      </w:r>
      <w:r w:rsidRPr="00EE722D">
        <w:rPr>
          <w:rFonts w:ascii="Book Antiqua" w:eastAsia="SimSun" w:hAnsi="Book Antiqua" w:cs="SimSun"/>
          <w:i/>
          <w:iCs/>
        </w:rPr>
        <w:t>Ann Hepatol</w:t>
      </w:r>
      <w:r w:rsidRPr="00EE722D">
        <w:rPr>
          <w:rFonts w:ascii="Book Antiqua" w:eastAsia="SimSun" w:hAnsi="Book Antiqua" w:cs="SimSun"/>
        </w:rPr>
        <w:t> </w:t>
      </w:r>
      <w:r>
        <w:rPr>
          <w:rFonts w:ascii="Book Antiqua" w:eastAsia="SimSun" w:hAnsi="Book Antiqua" w:cs="SimSun" w:hint="eastAsia"/>
        </w:rPr>
        <w:t>2011</w:t>
      </w:r>
      <w:r w:rsidRPr="00EE722D">
        <w:rPr>
          <w:rFonts w:ascii="Book Antiqua" w:eastAsia="SimSun" w:hAnsi="Book Antiqua" w:cs="SimSun"/>
        </w:rPr>
        <w:t>; </w:t>
      </w:r>
      <w:r w:rsidRPr="00EE722D">
        <w:rPr>
          <w:rFonts w:ascii="Book Antiqua" w:eastAsia="SimSun" w:hAnsi="Book Antiqua" w:cs="SimSun"/>
          <w:b/>
          <w:bCs/>
        </w:rPr>
        <w:t>10</w:t>
      </w:r>
      <w:r w:rsidRPr="00EE722D">
        <w:rPr>
          <w:rFonts w:ascii="Book Antiqua" w:eastAsia="SimSun" w:hAnsi="Book Antiqua" w:cs="SimSun"/>
        </w:rPr>
        <w:t>: 15-20 [PMID: 21301004]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32 </w:t>
      </w:r>
      <w:r w:rsidRPr="00EE722D">
        <w:rPr>
          <w:rFonts w:ascii="Book Antiqua" w:eastAsia="SimSun" w:hAnsi="Book Antiqua" w:cs="SimSun"/>
          <w:b/>
          <w:bCs/>
        </w:rPr>
        <w:t>Fernández J</w:t>
      </w:r>
      <w:r w:rsidRPr="00EE722D">
        <w:rPr>
          <w:rFonts w:ascii="Book Antiqua" w:eastAsia="SimSun" w:hAnsi="Book Antiqua" w:cs="SimSun"/>
        </w:rPr>
        <w:t>, Navasa M, Gómez J, Colmenero J, Vila J, Arroyo V, Rodés J. Bacterial infections in cirrhosis: epidemiological changes with invasive procedures and norfloxacin prophylaxis. </w:t>
      </w:r>
      <w:r w:rsidRPr="00EE722D">
        <w:rPr>
          <w:rFonts w:ascii="Book Antiqua" w:eastAsia="SimSun" w:hAnsi="Book Antiqua" w:cs="SimSun"/>
          <w:i/>
          <w:iCs/>
        </w:rPr>
        <w:t>Hepatology</w:t>
      </w:r>
      <w:r w:rsidRPr="00EE722D">
        <w:rPr>
          <w:rFonts w:ascii="Book Antiqua" w:eastAsia="SimSun" w:hAnsi="Book Antiqua" w:cs="SimSun"/>
        </w:rPr>
        <w:t> 2002; </w:t>
      </w:r>
      <w:r w:rsidRPr="00EE722D">
        <w:rPr>
          <w:rFonts w:ascii="Book Antiqua" w:eastAsia="SimSun" w:hAnsi="Book Antiqua" w:cs="SimSun"/>
          <w:b/>
          <w:bCs/>
        </w:rPr>
        <w:t>35</w:t>
      </w:r>
      <w:r w:rsidRPr="00EE722D">
        <w:rPr>
          <w:rFonts w:ascii="Book Antiqua" w:eastAsia="SimSun" w:hAnsi="Book Antiqua" w:cs="SimSun"/>
        </w:rPr>
        <w:t>: 140-148 [PMID: 11786970 DOI: 10.1053/jhep.2002.30082]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33 </w:t>
      </w:r>
      <w:r w:rsidRPr="00EE722D">
        <w:rPr>
          <w:rFonts w:ascii="Book Antiqua" w:eastAsia="SimSun" w:hAnsi="Book Antiqua" w:cs="SimSun"/>
          <w:b/>
          <w:bCs/>
        </w:rPr>
        <w:t>Cadranel JF</w:t>
      </w:r>
      <w:r w:rsidRPr="00EE722D">
        <w:rPr>
          <w:rFonts w:ascii="Book Antiqua" w:eastAsia="SimSun" w:hAnsi="Book Antiqua" w:cs="SimSun"/>
        </w:rPr>
        <w:t>, Denis J, Pauwels A, Barbare JC, Eugène C, di Martino V, Poquet E, Medini A, Coutarel P, Latrive JP, Lemaître P, Devergie B. Prevalence and risk factors of bacteriuria in cirrhotic patients: a prospective case-control multicenter study in 244 patients. </w:t>
      </w:r>
      <w:r w:rsidRPr="00EE722D">
        <w:rPr>
          <w:rFonts w:ascii="Book Antiqua" w:eastAsia="SimSun" w:hAnsi="Book Antiqua" w:cs="SimSun"/>
          <w:i/>
          <w:iCs/>
        </w:rPr>
        <w:t>J Hepatol</w:t>
      </w:r>
      <w:r w:rsidRPr="00EE722D">
        <w:rPr>
          <w:rFonts w:ascii="Book Antiqua" w:eastAsia="SimSun" w:hAnsi="Book Antiqua" w:cs="SimSun"/>
        </w:rPr>
        <w:t> 1999; </w:t>
      </w:r>
      <w:r w:rsidRPr="00EE722D">
        <w:rPr>
          <w:rFonts w:ascii="Book Antiqua" w:eastAsia="SimSun" w:hAnsi="Book Antiqua" w:cs="SimSun"/>
          <w:b/>
          <w:bCs/>
        </w:rPr>
        <w:t>31</w:t>
      </w:r>
      <w:r w:rsidRPr="00EE722D">
        <w:rPr>
          <w:rFonts w:ascii="Book Antiqua" w:eastAsia="SimSun" w:hAnsi="Book Antiqua" w:cs="SimSun"/>
        </w:rPr>
        <w:t>: 464-468 [PMID: 10488705 DOI: 10.1016/S0168-8278(99)80038-5]</w:t>
      </w:r>
    </w:p>
    <w:p w:rsidR="00615305" w:rsidRPr="00EE722D" w:rsidRDefault="00615305" w:rsidP="003B01FB">
      <w:pPr>
        <w:spacing w:line="360" w:lineRule="auto"/>
        <w:jc w:val="both"/>
        <w:rPr>
          <w:rFonts w:ascii="Book Antiqua" w:eastAsia="SimSun" w:hAnsi="Book Antiqua" w:cs="SimSun"/>
        </w:rPr>
      </w:pPr>
      <w:r>
        <w:rPr>
          <w:rFonts w:ascii="Book Antiqua" w:eastAsia="SimSun" w:hAnsi="Book Antiqua" w:cs="SimSun"/>
        </w:rPr>
        <w:t>34</w:t>
      </w:r>
      <w:r w:rsidRPr="00DA5D99">
        <w:rPr>
          <w:rFonts w:ascii="Book Antiqua" w:eastAsia="SimSun" w:hAnsi="Book Antiqua" w:cs="SimSun"/>
          <w:b/>
        </w:rPr>
        <w:t xml:space="preserve"> European Association for the Study of the Liver.</w:t>
      </w:r>
      <w:r w:rsidRPr="00DA5D99">
        <w:rPr>
          <w:rFonts w:ascii="Book Antiqua" w:eastAsia="SimSun" w:hAnsi="Book Antiqua" w:cs="SimSun" w:hint="eastAsia"/>
          <w:b/>
        </w:rPr>
        <w:t xml:space="preserve"> </w:t>
      </w:r>
      <w:r w:rsidRPr="00EE722D">
        <w:rPr>
          <w:rFonts w:ascii="Book Antiqua" w:eastAsia="SimSun" w:hAnsi="Book Antiqua" w:cs="SimSun"/>
        </w:rPr>
        <w:t>EASL clinical practice guidelines on the management of ascites, spontaneous bacterial peritonitis, and hepatorenal syndrome in cirrhosis. </w:t>
      </w:r>
      <w:r w:rsidRPr="00EE722D">
        <w:rPr>
          <w:rFonts w:ascii="Book Antiqua" w:eastAsia="SimSun" w:hAnsi="Book Antiqua" w:cs="SimSun"/>
          <w:i/>
          <w:iCs/>
        </w:rPr>
        <w:t>J Hepatol</w:t>
      </w:r>
      <w:r w:rsidRPr="00EE722D">
        <w:rPr>
          <w:rFonts w:ascii="Book Antiqua" w:eastAsia="SimSun" w:hAnsi="Book Antiqua" w:cs="SimSun"/>
        </w:rPr>
        <w:t> 2010; </w:t>
      </w:r>
      <w:r w:rsidRPr="00EE722D">
        <w:rPr>
          <w:rFonts w:ascii="Book Antiqua" w:eastAsia="SimSun" w:hAnsi="Book Antiqua" w:cs="SimSun"/>
          <w:b/>
          <w:bCs/>
        </w:rPr>
        <w:t>53</w:t>
      </w:r>
      <w:r w:rsidRPr="00EE722D">
        <w:rPr>
          <w:rFonts w:ascii="Book Antiqua" w:eastAsia="SimSun" w:hAnsi="Book Antiqua" w:cs="SimSun"/>
        </w:rPr>
        <w:t>: 397-417 [PMID: 20633946 DOI: 10.1016/j.jhep.2010.05.004]Available]</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35 </w:t>
      </w:r>
      <w:r w:rsidRPr="00EE722D">
        <w:rPr>
          <w:rFonts w:ascii="Book Antiqua" w:eastAsia="SimSun" w:hAnsi="Book Antiqua" w:cs="SimSun"/>
          <w:b/>
          <w:bCs/>
        </w:rPr>
        <w:t>DeLong ER</w:t>
      </w:r>
      <w:r w:rsidRPr="00EE722D">
        <w:rPr>
          <w:rFonts w:ascii="Book Antiqua" w:eastAsia="SimSun" w:hAnsi="Book Antiqua" w:cs="SimSun"/>
        </w:rPr>
        <w:t>, DeLong DM, Clarke-Pearson DL. Comparing the areas under two or more correlated receiver operating characteristic curves: a nonparametric approach. </w:t>
      </w:r>
      <w:r w:rsidRPr="00EE722D">
        <w:rPr>
          <w:rFonts w:ascii="Book Antiqua" w:eastAsia="SimSun" w:hAnsi="Book Antiqua" w:cs="SimSun"/>
          <w:i/>
          <w:iCs/>
        </w:rPr>
        <w:t>Biometrics</w:t>
      </w:r>
      <w:r w:rsidRPr="00EE722D">
        <w:rPr>
          <w:rFonts w:ascii="Book Antiqua" w:eastAsia="SimSun" w:hAnsi="Book Antiqua" w:cs="SimSun"/>
        </w:rPr>
        <w:t> 1988; </w:t>
      </w:r>
      <w:r w:rsidRPr="00EE722D">
        <w:rPr>
          <w:rFonts w:ascii="Book Antiqua" w:eastAsia="SimSun" w:hAnsi="Book Antiqua" w:cs="SimSun"/>
          <w:b/>
          <w:bCs/>
        </w:rPr>
        <w:t>44</w:t>
      </w:r>
      <w:r w:rsidRPr="00EE722D">
        <w:rPr>
          <w:rFonts w:ascii="Book Antiqua" w:eastAsia="SimSun" w:hAnsi="Book Antiqua" w:cs="SimSun"/>
        </w:rPr>
        <w:t>: 837-845 [PMID: 3203132]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36 </w:t>
      </w:r>
      <w:r w:rsidRPr="00EE722D">
        <w:rPr>
          <w:rFonts w:ascii="Book Antiqua" w:eastAsia="SimSun" w:hAnsi="Book Antiqua" w:cs="SimSun"/>
          <w:b/>
          <w:bCs/>
        </w:rPr>
        <w:t>Tandon P</w:t>
      </w:r>
      <w:r w:rsidRPr="00EE722D">
        <w:rPr>
          <w:rFonts w:ascii="Book Antiqua" w:eastAsia="SimSun" w:hAnsi="Book Antiqua" w:cs="SimSun"/>
        </w:rPr>
        <w:t>, Garcia-Tsao G. Bacterial infections, sepsis, and multiorgan failure in cirrhosis. </w:t>
      </w:r>
      <w:r w:rsidRPr="00EE722D">
        <w:rPr>
          <w:rFonts w:ascii="Book Antiqua" w:eastAsia="SimSun" w:hAnsi="Book Antiqua" w:cs="SimSun"/>
          <w:i/>
          <w:iCs/>
        </w:rPr>
        <w:t>Semin Liver Dis</w:t>
      </w:r>
      <w:r w:rsidRPr="00EE722D">
        <w:rPr>
          <w:rFonts w:ascii="Book Antiqua" w:eastAsia="SimSun" w:hAnsi="Book Antiqua" w:cs="SimSun"/>
        </w:rPr>
        <w:t> 2008; </w:t>
      </w:r>
      <w:r w:rsidRPr="00EE722D">
        <w:rPr>
          <w:rFonts w:ascii="Book Antiqua" w:eastAsia="SimSun" w:hAnsi="Book Antiqua" w:cs="SimSun"/>
          <w:b/>
          <w:bCs/>
        </w:rPr>
        <w:t>28</w:t>
      </w:r>
      <w:r w:rsidRPr="00EE722D">
        <w:rPr>
          <w:rFonts w:ascii="Book Antiqua" w:eastAsia="SimSun" w:hAnsi="Book Antiqua" w:cs="SimSun"/>
        </w:rPr>
        <w:t>: 26-42 [PMID: 18293275 DOI: 10.1055/s-2008-1040319]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37 </w:t>
      </w:r>
      <w:r w:rsidRPr="00EE722D">
        <w:rPr>
          <w:rFonts w:ascii="Book Antiqua" w:eastAsia="SimSun" w:hAnsi="Book Antiqua" w:cs="SimSun"/>
          <w:b/>
          <w:bCs/>
        </w:rPr>
        <w:t>Thalheimer U</w:t>
      </w:r>
      <w:r w:rsidRPr="00EE722D">
        <w:rPr>
          <w:rFonts w:ascii="Book Antiqua" w:eastAsia="SimSun" w:hAnsi="Book Antiqua" w:cs="SimSun"/>
        </w:rPr>
        <w:t>, Triantos CK, Samonakis DN, Patch D, Burroughs AK. Infection, coagulation, and variceal bleeding in cirrhosis. </w:t>
      </w:r>
      <w:r w:rsidRPr="00EE722D">
        <w:rPr>
          <w:rFonts w:ascii="Book Antiqua" w:eastAsia="SimSun" w:hAnsi="Book Antiqua" w:cs="SimSun"/>
          <w:i/>
          <w:iCs/>
        </w:rPr>
        <w:t>Gut</w:t>
      </w:r>
      <w:r w:rsidRPr="00EE722D">
        <w:rPr>
          <w:rFonts w:ascii="Book Antiqua" w:eastAsia="SimSun" w:hAnsi="Book Antiqua" w:cs="SimSun"/>
        </w:rPr>
        <w:t> 2005; </w:t>
      </w:r>
      <w:r w:rsidRPr="00EE722D">
        <w:rPr>
          <w:rFonts w:ascii="Book Antiqua" w:eastAsia="SimSun" w:hAnsi="Book Antiqua" w:cs="SimSun"/>
          <w:b/>
          <w:bCs/>
        </w:rPr>
        <w:t>54</w:t>
      </w:r>
      <w:r w:rsidRPr="00EE722D">
        <w:rPr>
          <w:rFonts w:ascii="Book Antiqua" w:eastAsia="SimSun" w:hAnsi="Book Antiqua" w:cs="SimSun"/>
        </w:rPr>
        <w:t>: 556-563 [PMID: 15753544 DOI: 10.1136/gut.2004.048181]</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38 </w:t>
      </w:r>
      <w:r w:rsidRPr="00EE722D">
        <w:rPr>
          <w:rFonts w:ascii="Book Antiqua" w:eastAsia="SimSun" w:hAnsi="Book Antiqua" w:cs="SimSun"/>
          <w:b/>
          <w:bCs/>
        </w:rPr>
        <w:t>Levy MM</w:t>
      </w:r>
      <w:r w:rsidRPr="00EE722D">
        <w:rPr>
          <w:rFonts w:ascii="Book Antiqua" w:eastAsia="SimSun" w:hAnsi="Book Antiqua" w:cs="SimSun"/>
        </w:rPr>
        <w:t>, Fink MP, Marshall JC, Abraham E, Angus D, Cook D, Cohen J, Opal SM, Vincent JL, Ramsay G. 2001 SCCM/ESICM/ACCP/ATS/SIS International Sepsis Definitions Conference. </w:t>
      </w:r>
      <w:r w:rsidRPr="00EE722D">
        <w:rPr>
          <w:rFonts w:ascii="Book Antiqua" w:eastAsia="SimSun" w:hAnsi="Book Antiqua" w:cs="SimSun"/>
          <w:i/>
          <w:iCs/>
        </w:rPr>
        <w:t>Crit Care Med</w:t>
      </w:r>
      <w:r w:rsidRPr="00EE722D">
        <w:rPr>
          <w:rFonts w:ascii="Book Antiqua" w:eastAsia="SimSun" w:hAnsi="Book Antiqua" w:cs="SimSun"/>
        </w:rPr>
        <w:t> 2003; </w:t>
      </w:r>
      <w:r w:rsidRPr="00EE722D">
        <w:rPr>
          <w:rFonts w:ascii="Book Antiqua" w:eastAsia="SimSun" w:hAnsi="Book Antiqua" w:cs="SimSun"/>
          <w:b/>
          <w:bCs/>
        </w:rPr>
        <w:t>31</w:t>
      </w:r>
      <w:r w:rsidRPr="00EE722D">
        <w:rPr>
          <w:rFonts w:ascii="Book Antiqua" w:eastAsia="SimSun" w:hAnsi="Book Antiqua" w:cs="SimSun"/>
        </w:rPr>
        <w:t>: 1250-1256 [PMID: 12682500 DOI: 10.1097/01.CCM.0000050454.01978.3B]</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39 </w:t>
      </w:r>
      <w:r w:rsidRPr="00EE722D">
        <w:rPr>
          <w:rFonts w:ascii="Book Antiqua" w:eastAsia="SimSun" w:hAnsi="Book Antiqua" w:cs="SimSun"/>
          <w:b/>
          <w:bCs/>
        </w:rPr>
        <w:t>Shozushima T</w:t>
      </w:r>
      <w:r w:rsidRPr="00EE722D">
        <w:rPr>
          <w:rFonts w:ascii="Book Antiqua" w:eastAsia="SimSun" w:hAnsi="Book Antiqua" w:cs="SimSun"/>
        </w:rPr>
        <w:t xml:space="preserve">, Takahashi G, Matsumoto N, Kojika M, Okamura Y, Endo S. Usefulness of presepsin (sCD14-ST) measurements as a marker for the </w:t>
      </w:r>
      <w:r w:rsidRPr="00EE722D">
        <w:rPr>
          <w:rFonts w:ascii="Book Antiqua" w:eastAsia="SimSun" w:hAnsi="Book Antiqua" w:cs="SimSun"/>
        </w:rPr>
        <w:lastRenderedPageBreak/>
        <w:t>diagnosis and severity of sepsis that satisfied diagnostic criteria of systemic inflammatory response syndrome. </w:t>
      </w:r>
      <w:r w:rsidRPr="00EE722D">
        <w:rPr>
          <w:rFonts w:ascii="Book Antiqua" w:eastAsia="SimSun" w:hAnsi="Book Antiqua" w:cs="SimSun"/>
          <w:i/>
          <w:iCs/>
        </w:rPr>
        <w:t>J Infect Chemother</w:t>
      </w:r>
      <w:r w:rsidRPr="00EE722D">
        <w:rPr>
          <w:rFonts w:ascii="Book Antiqua" w:eastAsia="SimSun" w:hAnsi="Book Antiqua" w:cs="SimSun"/>
        </w:rPr>
        <w:t> 2011; </w:t>
      </w:r>
      <w:r w:rsidRPr="00EE722D">
        <w:rPr>
          <w:rFonts w:ascii="Book Antiqua" w:eastAsia="SimSun" w:hAnsi="Book Antiqua" w:cs="SimSun"/>
          <w:b/>
          <w:bCs/>
        </w:rPr>
        <w:t>17</w:t>
      </w:r>
      <w:r w:rsidRPr="00EE722D">
        <w:rPr>
          <w:rFonts w:ascii="Book Antiqua" w:eastAsia="SimSun" w:hAnsi="Book Antiqua" w:cs="SimSun"/>
        </w:rPr>
        <w:t>: 764-769 [PMID: 21560033 DOI: 10.1007/s10156-011-0254-x]</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40 </w:t>
      </w:r>
      <w:r w:rsidRPr="00EE722D">
        <w:rPr>
          <w:rFonts w:ascii="Book Antiqua" w:eastAsia="SimSun" w:hAnsi="Book Antiqua" w:cs="SimSun"/>
          <w:b/>
          <w:bCs/>
        </w:rPr>
        <w:t>Ulla M</w:t>
      </w:r>
      <w:r w:rsidRPr="00EE722D">
        <w:rPr>
          <w:rFonts w:ascii="Book Antiqua" w:eastAsia="SimSun" w:hAnsi="Book Antiqua" w:cs="SimSun"/>
        </w:rPr>
        <w:t>, Pizzolato E, Lucchiari M, Loiacono M, Soardo F, Forno D, Morello F, Lupia E, Moiraghi C, Mengozzi G, Battista S. Diagnostic and prognostic value of presepsin in the management of sepsis in the emergency department: a multicenter prospective study. </w:t>
      </w:r>
      <w:r w:rsidRPr="00EE722D">
        <w:rPr>
          <w:rFonts w:ascii="Book Antiqua" w:eastAsia="SimSun" w:hAnsi="Book Antiqua" w:cs="SimSun"/>
          <w:i/>
          <w:iCs/>
        </w:rPr>
        <w:t>Crit Care</w:t>
      </w:r>
      <w:r w:rsidRPr="00EE722D">
        <w:rPr>
          <w:rFonts w:ascii="Book Antiqua" w:eastAsia="SimSun" w:hAnsi="Book Antiqua" w:cs="SimSun"/>
        </w:rPr>
        <w:t> 2013; </w:t>
      </w:r>
      <w:r w:rsidRPr="00EE722D">
        <w:rPr>
          <w:rFonts w:ascii="Book Antiqua" w:eastAsia="SimSun" w:hAnsi="Book Antiqua" w:cs="SimSun"/>
          <w:b/>
          <w:bCs/>
        </w:rPr>
        <w:t>17</w:t>
      </w:r>
      <w:r w:rsidRPr="00EE722D">
        <w:rPr>
          <w:rFonts w:ascii="Book Antiqua" w:eastAsia="SimSun" w:hAnsi="Book Antiqua" w:cs="SimSun"/>
        </w:rPr>
        <w:t>: R168 [PMID: 23899120 DOI: 10.1186/cc12847]</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41 </w:t>
      </w:r>
      <w:r w:rsidRPr="00EE722D">
        <w:rPr>
          <w:rFonts w:ascii="Book Antiqua" w:eastAsia="SimSun" w:hAnsi="Book Antiqua" w:cs="SimSun"/>
          <w:b/>
          <w:bCs/>
        </w:rPr>
        <w:t>Zheng Z</w:t>
      </w:r>
      <w:r w:rsidRPr="00EE722D">
        <w:rPr>
          <w:rFonts w:ascii="Book Antiqua" w:eastAsia="SimSun" w:hAnsi="Book Antiqua" w:cs="SimSun"/>
        </w:rPr>
        <w:t>, Jiang L, Ye L, Gao Y, Tang L, Zhang M. The accuracy of presepsin for the diagnosis of sepsis from SIRS: a systematic review and meta-analysis. </w:t>
      </w:r>
      <w:r w:rsidRPr="00EE722D">
        <w:rPr>
          <w:rFonts w:ascii="Book Antiqua" w:eastAsia="SimSun" w:hAnsi="Book Antiqua" w:cs="SimSun"/>
          <w:i/>
          <w:iCs/>
        </w:rPr>
        <w:t>Ann Intensive Care</w:t>
      </w:r>
      <w:r w:rsidRPr="00EE722D">
        <w:rPr>
          <w:rFonts w:ascii="Book Antiqua" w:eastAsia="SimSun" w:hAnsi="Book Antiqua" w:cs="SimSun"/>
        </w:rPr>
        <w:t> 2015; </w:t>
      </w:r>
      <w:r w:rsidRPr="00EE722D">
        <w:rPr>
          <w:rFonts w:ascii="Book Antiqua" w:eastAsia="SimSun" w:hAnsi="Book Antiqua" w:cs="SimSun"/>
          <w:b/>
          <w:bCs/>
        </w:rPr>
        <w:t>5</w:t>
      </w:r>
      <w:r w:rsidRPr="00EE722D">
        <w:rPr>
          <w:rFonts w:ascii="Book Antiqua" w:eastAsia="SimSun" w:hAnsi="Book Antiqua" w:cs="SimSun"/>
        </w:rPr>
        <w:t>: 48 [PMID: 26642970 DOI: 10.1186/s13613-015-0089-1]</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42 </w:t>
      </w:r>
      <w:r w:rsidRPr="00EE722D">
        <w:rPr>
          <w:rFonts w:ascii="Book Antiqua" w:eastAsia="SimSun" w:hAnsi="Book Antiqua" w:cs="SimSun"/>
          <w:b/>
          <w:bCs/>
        </w:rPr>
        <w:t>Angeletti S</w:t>
      </w:r>
      <w:r w:rsidRPr="00EE722D">
        <w:rPr>
          <w:rFonts w:ascii="Book Antiqua" w:eastAsia="SimSun" w:hAnsi="Book Antiqua" w:cs="SimSun"/>
        </w:rPr>
        <w:t>, Spoto S, Fogolari M, Cortigiani M, Fioravanti M, De Florio L, Curcio B, Cavalieri D, Costantino S, Dicuonzo G. Diagnostic and prognostic role of procalcitonin (PCT) and MR-pro-Adrenomedullin (MR-proADM) in bacterial infections. </w:t>
      </w:r>
      <w:r w:rsidRPr="00EE722D">
        <w:rPr>
          <w:rFonts w:ascii="Book Antiqua" w:eastAsia="SimSun" w:hAnsi="Book Antiqua" w:cs="SimSun"/>
          <w:i/>
          <w:iCs/>
        </w:rPr>
        <w:t>APMIS</w:t>
      </w:r>
      <w:r w:rsidRPr="00EE722D">
        <w:rPr>
          <w:rFonts w:ascii="Book Antiqua" w:eastAsia="SimSun" w:hAnsi="Book Antiqua" w:cs="SimSun"/>
        </w:rPr>
        <w:t> 2015; </w:t>
      </w:r>
      <w:r w:rsidRPr="00EE722D">
        <w:rPr>
          <w:rFonts w:ascii="Book Antiqua" w:eastAsia="SimSun" w:hAnsi="Book Antiqua" w:cs="SimSun"/>
          <w:b/>
          <w:bCs/>
        </w:rPr>
        <w:t>123</w:t>
      </w:r>
      <w:r w:rsidRPr="00EE722D">
        <w:rPr>
          <w:rFonts w:ascii="Book Antiqua" w:eastAsia="SimSun" w:hAnsi="Book Antiqua" w:cs="SimSun"/>
        </w:rPr>
        <w:t>: 740-748 [PMID: 26058482 DOI: 10.1111/apm.12406]</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43 </w:t>
      </w:r>
      <w:r w:rsidRPr="00EE722D">
        <w:rPr>
          <w:rFonts w:ascii="Book Antiqua" w:eastAsia="SimSun" w:hAnsi="Book Antiqua" w:cs="SimSun"/>
          <w:b/>
          <w:bCs/>
        </w:rPr>
        <w:t>Leli C</w:t>
      </w:r>
      <w:r w:rsidRPr="00EE722D">
        <w:rPr>
          <w:rFonts w:ascii="Book Antiqua" w:eastAsia="SimSun" w:hAnsi="Book Antiqua" w:cs="SimSun"/>
        </w:rPr>
        <w:t>, Ferranti M, Moretti A, Al Dhahab ZS, Cenci E, Mencacci A. Procalcitonin levels in gram-positive, gram-negative, and fungal bloodstream infections. </w:t>
      </w:r>
      <w:r w:rsidRPr="00EE722D">
        <w:rPr>
          <w:rFonts w:ascii="Book Antiqua" w:eastAsia="SimSun" w:hAnsi="Book Antiqua" w:cs="SimSun"/>
          <w:i/>
          <w:iCs/>
        </w:rPr>
        <w:t>Dis Markers</w:t>
      </w:r>
      <w:r w:rsidRPr="00EE722D">
        <w:rPr>
          <w:rFonts w:ascii="Book Antiqua" w:eastAsia="SimSun" w:hAnsi="Book Antiqua" w:cs="SimSun"/>
        </w:rPr>
        <w:t> 2015; </w:t>
      </w:r>
      <w:r w:rsidRPr="00EE722D">
        <w:rPr>
          <w:rFonts w:ascii="Book Antiqua" w:eastAsia="SimSun" w:hAnsi="Book Antiqua" w:cs="SimSun"/>
          <w:b/>
          <w:bCs/>
        </w:rPr>
        <w:t>2015</w:t>
      </w:r>
      <w:r w:rsidRPr="00EE722D">
        <w:rPr>
          <w:rFonts w:ascii="Book Antiqua" w:eastAsia="SimSun" w:hAnsi="Book Antiqua" w:cs="SimSun"/>
        </w:rPr>
        <w:t>: 701480 [PMID: 25852221 DOI: 10.1155/2015/701480]</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44 </w:t>
      </w:r>
      <w:r w:rsidRPr="00EE722D">
        <w:rPr>
          <w:rFonts w:ascii="Book Antiqua" w:eastAsia="SimSun" w:hAnsi="Book Antiqua" w:cs="SimSun"/>
          <w:b/>
          <w:bCs/>
        </w:rPr>
        <w:t>Brodská H</w:t>
      </w:r>
      <w:r w:rsidRPr="00EE722D">
        <w:rPr>
          <w:rFonts w:ascii="Book Antiqua" w:eastAsia="SimSun" w:hAnsi="Book Antiqua" w:cs="SimSun"/>
        </w:rPr>
        <w:t>, Malí</w:t>
      </w:r>
      <w:r w:rsidRPr="00EE722D">
        <w:rPr>
          <w:rFonts w:ascii="Book Antiqua" w:eastAsia="MS Mincho" w:hAnsi="Book Antiqua" w:cs="MS Mincho"/>
        </w:rPr>
        <w:t>č</w:t>
      </w:r>
      <w:r w:rsidRPr="00EE722D">
        <w:rPr>
          <w:rFonts w:ascii="Book Antiqua" w:eastAsia="SimSun" w:hAnsi="Book Antiqua" w:cs="SimSun"/>
        </w:rPr>
        <w:t>ková K, Adámková V, Benáková H, Š</w:t>
      </w:r>
      <w:r w:rsidRPr="00EE722D">
        <w:rPr>
          <w:rFonts w:ascii="Book Antiqua" w:eastAsia="MS Mincho" w:hAnsi="Book Antiqua" w:cs="MS Mincho"/>
        </w:rPr>
        <w:t>ť</w:t>
      </w:r>
      <w:r w:rsidRPr="00EE722D">
        <w:rPr>
          <w:rFonts w:ascii="Book Antiqua" w:eastAsia="SimSun" w:hAnsi="Book Antiqua" w:cs="SimSun"/>
        </w:rPr>
        <w:t>astná MM, Zima T. Significantly higher procalcitonin levels could differentiate Gram-negative sepsis from Gram-positive and fungal sepsis. </w:t>
      </w:r>
      <w:r w:rsidRPr="00EE722D">
        <w:rPr>
          <w:rFonts w:ascii="Book Antiqua" w:eastAsia="SimSun" w:hAnsi="Book Antiqua" w:cs="SimSun"/>
          <w:i/>
          <w:iCs/>
        </w:rPr>
        <w:t>Clin Exp Med</w:t>
      </w:r>
      <w:r w:rsidRPr="00EE722D">
        <w:rPr>
          <w:rFonts w:ascii="Book Antiqua" w:eastAsia="SimSun" w:hAnsi="Book Antiqua" w:cs="SimSun"/>
        </w:rPr>
        <w:t> 2013; </w:t>
      </w:r>
      <w:r w:rsidRPr="00EE722D">
        <w:rPr>
          <w:rFonts w:ascii="Book Antiqua" w:eastAsia="SimSun" w:hAnsi="Book Antiqua" w:cs="SimSun"/>
          <w:b/>
          <w:bCs/>
        </w:rPr>
        <w:t>13</w:t>
      </w:r>
      <w:r w:rsidRPr="00EE722D">
        <w:rPr>
          <w:rFonts w:ascii="Book Antiqua" w:eastAsia="SimSun" w:hAnsi="Book Antiqua" w:cs="SimSun"/>
        </w:rPr>
        <w:t>: 165-170 [PMID: 22644264 DOI: 10.1007/s10238-012-0191-8]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45 </w:t>
      </w:r>
      <w:r w:rsidRPr="00EE722D">
        <w:rPr>
          <w:rFonts w:ascii="Book Antiqua" w:eastAsia="SimSun" w:hAnsi="Book Antiqua" w:cs="SimSun"/>
          <w:b/>
          <w:bCs/>
        </w:rPr>
        <w:t>Charles PE</w:t>
      </w:r>
      <w:r w:rsidRPr="00EE722D">
        <w:rPr>
          <w:rFonts w:ascii="Book Antiqua" w:eastAsia="SimSun" w:hAnsi="Book Antiqua" w:cs="SimSun"/>
        </w:rPr>
        <w:t>, Ladoire S, Aho S, Quenot JP, Doise JM, Prin S, Olsson NO, Blettery B. Serum procalcitonin elevation in critically ill patients at the onset of bacteremia caused by either Gram negative or Gram positive bacteria. </w:t>
      </w:r>
      <w:r w:rsidRPr="00EE722D">
        <w:rPr>
          <w:rFonts w:ascii="Book Antiqua" w:eastAsia="SimSun" w:hAnsi="Book Antiqua" w:cs="SimSun"/>
          <w:i/>
          <w:iCs/>
        </w:rPr>
        <w:t>BMC Infect Dis</w:t>
      </w:r>
      <w:r w:rsidRPr="00EE722D">
        <w:rPr>
          <w:rFonts w:ascii="Book Antiqua" w:eastAsia="SimSun" w:hAnsi="Book Antiqua" w:cs="SimSun"/>
        </w:rPr>
        <w:t> 2008; </w:t>
      </w:r>
      <w:r w:rsidRPr="00EE722D">
        <w:rPr>
          <w:rFonts w:ascii="Book Antiqua" w:eastAsia="SimSun" w:hAnsi="Book Antiqua" w:cs="SimSun"/>
          <w:b/>
          <w:bCs/>
        </w:rPr>
        <w:t>8</w:t>
      </w:r>
      <w:r w:rsidRPr="00EE722D">
        <w:rPr>
          <w:rFonts w:ascii="Book Antiqua" w:eastAsia="SimSun" w:hAnsi="Book Antiqua" w:cs="SimSun"/>
        </w:rPr>
        <w:t>: 38 [PMID: 18366777 DOI: 10.1186/1471-2334-8-38]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46 </w:t>
      </w:r>
      <w:r w:rsidRPr="00EE722D">
        <w:rPr>
          <w:rFonts w:ascii="Book Antiqua" w:eastAsia="SimSun" w:hAnsi="Book Antiqua" w:cs="SimSun"/>
          <w:b/>
          <w:bCs/>
        </w:rPr>
        <w:t>Xu XJ</w:t>
      </w:r>
      <w:r w:rsidRPr="00EE722D">
        <w:rPr>
          <w:rFonts w:ascii="Book Antiqua" w:eastAsia="SimSun" w:hAnsi="Book Antiqua" w:cs="SimSun"/>
        </w:rPr>
        <w:t xml:space="preserve">, Tang YM, Liao C, Song H, Yang SL, Xu WQ, Shi SW, Zhao N. Inflammatory cytokine measurement quickly discriminates gram-negative </w:t>
      </w:r>
      <w:r w:rsidRPr="00EE722D">
        <w:rPr>
          <w:rFonts w:ascii="Book Antiqua" w:eastAsia="SimSun" w:hAnsi="Book Antiqua" w:cs="SimSun"/>
        </w:rPr>
        <w:lastRenderedPageBreak/>
        <w:t>from gram-positive bacteremia in pediatric hematology/oncology patients with septic shock. </w:t>
      </w:r>
      <w:r w:rsidRPr="00EE722D">
        <w:rPr>
          <w:rFonts w:ascii="Book Antiqua" w:eastAsia="SimSun" w:hAnsi="Book Antiqua" w:cs="SimSun"/>
          <w:i/>
          <w:iCs/>
        </w:rPr>
        <w:t>Intensive Care Med</w:t>
      </w:r>
      <w:r w:rsidRPr="00EE722D">
        <w:rPr>
          <w:rFonts w:ascii="Book Antiqua" w:eastAsia="SimSun" w:hAnsi="Book Antiqua" w:cs="SimSun"/>
        </w:rPr>
        <w:t> 2013; </w:t>
      </w:r>
      <w:r w:rsidRPr="00EE722D">
        <w:rPr>
          <w:rFonts w:ascii="Book Antiqua" w:eastAsia="SimSun" w:hAnsi="Book Antiqua" w:cs="SimSun"/>
          <w:b/>
          <w:bCs/>
        </w:rPr>
        <w:t>39</w:t>
      </w:r>
      <w:r w:rsidRPr="00EE722D">
        <w:rPr>
          <w:rFonts w:ascii="Book Antiqua" w:eastAsia="SimSun" w:hAnsi="Book Antiqua" w:cs="SimSun"/>
        </w:rPr>
        <w:t>: 319-326 [PMID: 23179333 DOI: 10.1007/s00134-012-2752-4]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47 </w:t>
      </w:r>
      <w:r w:rsidRPr="00EE722D">
        <w:rPr>
          <w:rFonts w:ascii="Book Antiqua" w:eastAsia="SimSun" w:hAnsi="Book Antiqua" w:cs="SimSun"/>
          <w:b/>
          <w:bCs/>
        </w:rPr>
        <w:t>Huttunen R</w:t>
      </w:r>
      <w:r w:rsidRPr="00EE722D">
        <w:rPr>
          <w:rFonts w:ascii="Book Antiqua" w:eastAsia="SimSun" w:hAnsi="Book Antiqua" w:cs="SimSun"/>
        </w:rPr>
        <w:t>, Syrjänen J, Vuento R, Hurme M, Huhtala H, Laine J, Pessi T, Aittoniemi J. Plasma level of soluble urokinase-type plasminogen activator receptor as a predictor of disease severity and case fatality in patients with bacteraemia: a prospective cohort study. </w:t>
      </w:r>
      <w:r w:rsidRPr="00EE722D">
        <w:rPr>
          <w:rFonts w:ascii="Book Antiqua" w:eastAsia="SimSun" w:hAnsi="Book Antiqua" w:cs="SimSun"/>
          <w:i/>
          <w:iCs/>
        </w:rPr>
        <w:t>J Intern Med</w:t>
      </w:r>
      <w:r w:rsidRPr="00EE722D">
        <w:rPr>
          <w:rFonts w:ascii="Book Antiqua" w:eastAsia="SimSun" w:hAnsi="Book Antiqua" w:cs="SimSun"/>
        </w:rPr>
        <w:t> 2011; </w:t>
      </w:r>
      <w:r w:rsidRPr="00EE722D">
        <w:rPr>
          <w:rFonts w:ascii="Book Antiqua" w:eastAsia="SimSun" w:hAnsi="Book Antiqua" w:cs="SimSun"/>
          <w:b/>
          <w:bCs/>
        </w:rPr>
        <w:t>270</w:t>
      </w:r>
      <w:r w:rsidRPr="00EE722D">
        <w:rPr>
          <w:rFonts w:ascii="Book Antiqua" w:eastAsia="SimSun" w:hAnsi="Book Antiqua" w:cs="SimSun"/>
        </w:rPr>
        <w:t>: 32-40 [PMID: 21332843 DOI: 10.1111/j.1365-2796.2011.02363.x]</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48 </w:t>
      </w:r>
      <w:r w:rsidRPr="00EE722D">
        <w:rPr>
          <w:rFonts w:ascii="Book Antiqua" w:eastAsia="SimSun" w:hAnsi="Book Antiqua" w:cs="SimSun"/>
          <w:b/>
          <w:bCs/>
        </w:rPr>
        <w:t>Gaïni S</w:t>
      </w:r>
      <w:r w:rsidRPr="00EE722D">
        <w:rPr>
          <w:rFonts w:ascii="Book Antiqua" w:eastAsia="SimSun" w:hAnsi="Book Antiqua" w:cs="SimSun"/>
        </w:rPr>
        <w:t>, Pedersen SS, Koldkaer OG, Pedersen C, Moestrup SK, Møller HJ. New immunological serum markers in bacteraemia: anti-inflammatory soluble CD163, but not proinflammatory high mobility group-box 1 protein, is related to prognosis. </w:t>
      </w:r>
      <w:r w:rsidRPr="00EE722D">
        <w:rPr>
          <w:rFonts w:ascii="Book Antiqua" w:eastAsia="SimSun" w:hAnsi="Book Antiqua" w:cs="SimSun"/>
          <w:i/>
          <w:iCs/>
        </w:rPr>
        <w:t>Clin Exp Immunol</w:t>
      </w:r>
      <w:r w:rsidRPr="00EE722D">
        <w:rPr>
          <w:rFonts w:ascii="Book Antiqua" w:eastAsia="SimSun" w:hAnsi="Book Antiqua" w:cs="SimSun"/>
        </w:rPr>
        <w:t> 2008; </w:t>
      </w:r>
      <w:r w:rsidRPr="00EE722D">
        <w:rPr>
          <w:rFonts w:ascii="Book Antiqua" w:eastAsia="SimSun" w:hAnsi="Book Antiqua" w:cs="SimSun"/>
          <w:b/>
          <w:bCs/>
        </w:rPr>
        <w:t>151</w:t>
      </w:r>
      <w:r w:rsidRPr="00EE722D">
        <w:rPr>
          <w:rFonts w:ascii="Book Antiqua" w:eastAsia="SimSun" w:hAnsi="Book Antiqua" w:cs="SimSun"/>
        </w:rPr>
        <w:t>: 423-431 [PMID: 18190604 DOI: 10.1111/j.1365-2249.2007.03586.x]</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49 </w:t>
      </w:r>
      <w:r w:rsidRPr="00EE722D">
        <w:rPr>
          <w:rFonts w:ascii="Book Antiqua" w:eastAsia="SimSun" w:hAnsi="Book Antiqua" w:cs="SimSun"/>
          <w:b/>
          <w:bCs/>
        </w:rPr>
        <w:t>Burgmann H</w:t>
      </w:r>
      <w:r w:rsidRPr="00EE722D">
        <w:rPr>
          <w:rFonts w:ascii="Book Antiqua" w:eastAsia="SimSun" w:hAnsi="Book Antiqua" w:cs="SimSun"/>
        </w:rPr>
        <w:t>, Winkler S, Locker GJ, Presterl E, Laczika K, Staudinger T, Knapp S, Thalhammer F, Wenisch C, Zedwitz-Liebenstein K, Frass M, Graninger W. Increased serum concentration of soluble CD14 is a prognostic marker in gram-positive sepsis. </w:t>
      </w:r>
      <w:r w:rsidRPr="00EE722D">
        <w:rPr>
          <w:rFonts w:ascii="Book Antiqua" w:eastAsia="SimSun" w:hAnsi="Book Antiqua" w:cs="SimSun"/>
          <w:i/>
          <w:iCs/>
        </w:rPr>
        <w:t>Clin Immunol Immunopathol</w:t>
      </w:r>
      <w:r w:rsidRPr="00EE722D">
        <w:rPr>
          <w:rFonts w:ascii="Book Antiqua" w:eastAsia="SimSun" w:hAnsi="Book Antiqua" w:cs="SimSun"/>
        </w:rPr>
        <w:t> 1996; </w:t>
      </w:r>
      <w:r w:rsidRPr="00EE722D">
        <w:rPr>
          <w:rFonts w:ascii="Book Antiqua" w:eastAsia="SimSun" w:hAnsi="Book Antiqua" w:cs="SimSun"/>
          <w:b/>
          <w:bCs/>
        </w:rPr>
        <w:t>80</w:t>
      </w:r>
      <w:r w:rsidRPr="00EE722D">
        <w:rPr>
          <w:rFonts w:ascii="Book Antiqua" w:eastAsia="SimSun" w:hAnsi="Book Antiqua" w:cs="SimSun"/>
        </w:rPr>
        <w:t>: 307-310 [PMID: 8811052]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50</w:t>
      </w:r>
      <w:r>
        <w:rPr>
          <w:rFonts w:ascii="Book Antiqua" w:eastAsia="SimSun" w:hAnsi="Book Antiqua" w:cs="SimSun" w:hint="eastAsia"/>
        </w:rPr>
        <w:t xml:space="preserve"> </w:t>
      </w:r>
      <w:r w:rsidRPr="00DA5D99">
        <w:rPr>
          <w:rFonts w:ascii="Book Antiqua" w:eastAsia="SimSun" w:hAnsi="Book Antiqua" w:cs="SimSun"/>
          <w:b/>
        </w:rPr>
        <w:t>Tornai T,</w:t>
      </w:r>
      <w:r>
        <w:rPr>
          <w:rFonts w:ascii="Book Antiqua" w:eastAsia="SimSun" w:hAnsi="Book Antiqua" w:cs="SimSun"/>
        </w:rPr>
        <w:t xml:space="preserve"> Vitalis Z</w:t>
      </w:r>
      <w:r w:rsidRPr="00DA5D99">
        <w:rPr>
          <w:rFonts w:ascii="Book Antiqua" w:eastAsia="SimSun" w:hAnsi="Book Antiqua" w:cs="SimSun"/>
        </w:rPr>
        <w:t>,</w:t>
      </w:r>
      <w:r>
        <w:rPr>
          <w:rFonts w:ascii="Book Antiqua" w:eastAsia="SimSun" w:hAnsi="Book Antiqua" w:cs="SimSun"/>
        </w:rPr>
        <w:t xml:space="preserve"> Sipeki N, Dinya T, Tornai D, Antal-Szalmas P, Karanyi Z, Tornai I, Papp M</w:t>
      </w:r>
      <w:r w:rsidRPr="00DA5D99">
        <w:rPr>
          <w:rFonts w:ascii="Book Antiqua" w:eastAsia="SimSun" w:hAnsi="Book Antiqua" w:cs="SimSun"/>
        </w:rPr>
        <w:t>.</w:t>
      </w:r>
      <w:r>
        <w:rPr>
          <w:rFonts w:ascii="Book Antiqua" w:eastAsia="SimSun" w:hAnsi="Book Antiqua" w:cs="SimSun" w:hint="eastAsia"/>
        </w:rPr>
        <w:t xml:space="preserve"> </w:t>
      </w:r>
      <w:r w:rsidRPr="00EE722D">
        <w:rPr>
          <w:rFonts w:ascii="Book Antiqua" w:eastAsia="SimSun" w:hAnsi="Book Antiqua" w:cs="SimSun"/>
        </w:rPr>
        <w:t>Macrophage activation marker, soluble CD163 is an independent predictor of short-term mortality in patients with cirrhosis and bacterial infection. </w:t>
      </w:r>
      <w:r w:rsidRPr="00EE722D">
        <w:rPr>
          <w:rFonts w:ascii="Book Antiqua" w:eastAsia="SimSun" w:hAnsi="Book Antiqua" w:cs="SimSun"/>
          <w:i/>
          <w:iCs/>
        </w:rPr>
        <w:t>Liver Int</w:t>
      </w:r>
      <w:r w:rsidRPr="00EE722D">
        <w:rPr>
          <w:rFonts w:ascii="Book Antiqua" w:eastAsia="SimSun" w:hAnsi="Book Antiqua" w:cs="SimSun"/>
        </w:rPr>
        <w:t> 2016; </w:t>
      </w:r>
      <w:r w:rsidRPr="00DA5D99">
        <w:rPr>
          <w:rFonts w:ascii="Book Antiqua" w:eastAsia="SimSun" w:hAnsi="Book Antiqua" w:cs="SimSun"/>
        </w:rPr>
        <w:t xml:space="preserve">Epub ahead of print </w:t>
      </w:r>
      <w:r w:rsidRPr="00EE722D">
        <w:rPr>
          <w:rFonts w:ascii="Book Antiqua" w:eastAsia="SimSun" w:hAnsi="Book Antiqua" w:cs="SimSun"/>
        </w:rPr>
        <w:t>[PMID: 27031405 DOI: 10.1111/liv.13133]</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51 </w:t>
      </w:r>
      <w:r w:rsidRPr="00EE722D">
        <w:rPr>
          <w:rFonts w:ascii="Book Antiqua" w:eastAsia="SimSun" w:hAnsi="Book Antiqua" w:cs="SimSun"/>
          <w:b/>
          <w:bCs/>
        </w:rPr>
        <w:t>Endo S</w:t>
      </w:r>
      <w:r w:rsidRPr="00EE722D">
        <w:rPr>
          <w:rFonts w:ascii="Book Antiqua" w:eastAsia="SimSun" w:hAnsi="Book Antiqua" w:cs="SimSun"/>
        </w:rPr>
        <w:t>, Suzuki Y, Takahashi G, Shozushima T, Ishikura H, Murai A, Nishida T, Irie Y, Miura M, Iguchi H, Fukui Y, Tanaka K, Nojima T, Okamura Y. Usefulness of presepsin in the diagnosis of sepsis in a multicenter prospective study. </w:t>
      </w:r>
      <w:r w:rsidRPr="00EE722D">
        <w:rPr>
          <w:rFonts w:ascii="Book Antiqua" w:eastAsia="SimSun" w:hAnsi="Book Antiqua" w:cs="SimSun"/>
          <w:i/>
          <w:iCs/>
        </w:rPr>
        <w:t>J Infect Chemother</w:t>
      </w:r>
      <w:r w:rsidRPr="00EE722D">
        <w:rPr>
          <w:rFonts w:ascii="Book Antiqua" w:eastAsia="SimSun" w:hAnsi="Book Antiqua" w:cs="SimSun"/>
        </w:rPr>
        <w:t> 2012; </w:t>
      </w:r>
      <w:r w:rsidRPr="00EE722D">
        <w:rPr>
          <w:rFonts w:ascii="Book Antiqua" w:eastAsia="SimSun" w:hAnsi="Book Antiqua" w:cs="SimSun"/>
          <w:b/>
          <w:bCs/>
        </w:rPr>
        <w:t>18</w:t>
      </w:r>
      <w:r w:rsidRPr="00EE722D">
        <w:rPr>
          <w:rFonts w:ascii="Book Antiqua" w:eastAsia="SimSun" w:hAnsi="Book Antiqua" w:cs="SimSun"/>
        </w:rPr>
        <w:t>: 891-897 [PMID: 22692596 DOI: 10.1007/s10156-012-0435-2]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52 </w:t>
      </w:r>
      <w:r w:rsidRPr="00EE722D">
        <w:rPr>
          <w:rFonts w:ascii="Book Antiqua" w:eastAsia="SimSun" w:hAnsi="Book Antiqua" w:cs="SimSun"/>
          <w:b/>
          <w:bCs/>
        </w:rPr>
        <w:t>Enguix-Armada A</w:t>
      </w:r>
      <w:r w:rsidRPr="00EE722D">
        <w:rPr>
          <w:rFonts w:ascii="Book Antiqua" w:eastAsia="SimSun" w:hAnsi="Book Antiqua" w:cs="SimSun"/>
        </w:rPr>
        <w:t>, Escobar-Conesa R, García-De La Torre A, De La Torre-Prados MV. Usefulness of several biomarkers in the management of septic patients: C-reactive protein, procalcitonin, presepsin and mid-regional pro-</w:t>
      </w:r>
      <w:r w:rsidRPr="00EE722D">
        <w:rPr>
          <w:rFonts w:ascii="Book Antiqua" w:eastAsia="SimSun" w:hAnsi="Book Antiqua" w:cs="SimSun"/>
        </w:rPr>
        <w:lastRenderedPageBreak/>
        <w:t>adrenomedullin. </w:t>
      </w:r>
      <w:r w:rsidRPr="00EE722D">
        <w:rPr>
          <w:rFonts w:ascii="Book Antiqua" w:eastAsia="SimSun" w:hAnsi="Book Antiqua" w:cs="SimSun"/>
          <w:i/>
          <w:iCs/>
        </w:rPr>
        <w:t>Clin Chem Lab Med</w:t>
      </w:r>
      <w:r w:rsidRPr="00EE722D">
        <w:rPr>
          <w:rFonts w:ascii="Book Antiqua" w:eastAsia="SimSun" w:hAnsi="Book Antiqua" w:cs="SimSun"/>
        </w:rPr>
        <w:t> 2016; </w:t>
      </w:r>
      <w:r w:rsidRPr="00EE722D">
        <w:rPr>
          <w:rFonts w:ascii="Book Antiqua" w:eastAsia="SimSun" w:hAnsi="Book Antiqua" w:cs="SimSun"/>
          <w:b/>
          <w:bCs/>
        </w:rPr>
        <w:t>54</w:t>
      </w:r>
      <w:r w:rsidRPr="00EE722D">
        <w:rPr>
          <w:rFonts w:ascii="Book Antiqua" w:eastAsia="SimSun" w:hAnsi="Book Antiqua" w:cs="SimSun"/>
        </w:rPr>
        <w:t>: 163-168 [PMID: 26083268 DOI: 10.1515/cclm-2015-0243]</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53</w:t>
      </w:r>
      <w:r>
        <w:rPr>
          <w:rFonts w:ascii="Book Antiqua" w:eastAsia="SimSun" w:hAnsi="Book Antiqua" w:cs="SimSun" w:hint="eastAsia"/>
        </w:rPr>
        <w:t xml:space="preserve"> </w:t>
      </w:r>
      <w:r w:rsidRPr="00DA5D99">
        <w:rPr>
          <w:rFonts w:ascii="Book Antiqua" w:eastAsia="SimSun" w:hAnsi="Book Antiqua" w:cs="SimSun"/>
          <w:b/>
        </w:rPr>
        <w:t>Plesko M</w:t>
      </w:r>
      <w:r w:rsidRPr="00DA5D99">
        <w:rPr>
          <w:rFonts w:ascii="Book Antiqua" w:eastAsia="SimSun" w:hAnsi="Book Antiqua" w:cs="SimSun"/>
        </w:rPr>
        <w:t>, Suvada J, Makohusova M, Waczulikova I, Behulova D, Vasilenkova A, Vargova M, Stecova A, Kaiserova E, Kolenova A.</w:t>
      </w:r>
      <w:r w:rsidRPr="00EE722D">
        <w:rPr>
          <w:rFonts w:ascii="Book Antiqua" w:eastAsia="SimSun" w:hAnsi="Book Antiqua" w:cs="SimSun"/>
        </w:rPr>
        <w:t>The role of CRP, PCT, IL-6 and presepsin in early diagnosis of bacterial infectious complications in paediatric haemato-oncological patients. </w:t>
      </w:r>
      <w:r w:rsidRPr="00EE722D">
        <w:rPr>
          <w:rFonts w:ascii="Book Antiqua" w:eastAsia="SimSun" w:hAnsi="Book Antiqua" w:cs="SimSun"/>
          <w:i/>
          <w:iCs/>
        </w:rPr>
        <w:t>Neoplasma</w:t>
      </w:r>
      <w:r w:rsidRPr="00EE722D">
        <w:rPr>
          <w:rFonts w:ascii="Book Antiqua" w:eastAsia="SimSun" w:hAnsi="Book Antiqua" w:cs="SimSun"/>
        </w:rPr>
        <w:t> 2016; </w:t>
      </w:r>
      <w:r w:rsidRPr="00EE722D">
        <w:rPr>
          <w:rFonts w:ascii="Book Antiqua" w:eastAsia="SimSun" w:hAnsi="Book Antiqua" w:cs="SimSun"/>
          <w:b/>
          <w:bCs/>
        </w:rPr>
        <w:t>63</w:t>
      </w:r>
      <w:r w:rsidRPr="00EE722D">
        <w:rPr>
          <w:rFonts w:ascii="Book Antiqua" w:eastAsia="SimSun" w:hAnsi="Book Antiqua" w:cs="SimSun"/>
        </w:rPr>
        <w:t>: [PMID: 27468879 DOI: 10.4149/neo_2016_512]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54 </w:t>
      </w:r>
      <w:r w:rsidRPr="00EE722D">
        <w:rPr>
          <w:rFonts w:ascii="Book Antiqua" w:eastAsia="SimSun" w:hAnsi="Book Antiqua" w:cs="SimSun"/>
          <w:b/>
          <w:bCs/>
        </w:rPr>
        <w:t>Albillos A</w:t>
      </w:r>
      <w:r w:rsidRPr="00EE722D">
        <w:rPr>
          <w:rFonts w:ascii="Book Antiqua" w:eastAsia="SimSun" w:hAnsi="Book Antiqua" w:cs="SimSun"/>
        </w:rPr>
        <w:t>, de la Hera A, González M, Moya JL, Calleja JL, Monserrat J, Ruiz-del-Arbol L, Alvarez-Mon M. Increased lipopolysaccharide binding protein in cirrhotic patients with marked immune and hemodynamic derangement. </w:t>
      </w:r>
      <w:r w:rsidRPr="00EE722D">
        <w:rPr>
          <w:rFonts w:ascii="Book Antiqua" w:eastAsia="SimSun" w:hAnsi="Book Antiqua" w:cs="SimSun"/>
          <w:i/>
          <w:iCs/>
        </w:rPr>
        <w:t>Hepatology</w:t>
      </w:r>
      <w:r w:rsidRPr="00EE722D">
        <w:rPr>
          <w:rFonts w:ascii="Book Antiqua" w:eastAsia="SimSun" w:hAnsi="Book Antiqua" w:cs="SimSun"/>
        </w:rPr>
        <w:t> 2003; </w:t>
      </w:r>
      <w:r w:rsidRPr="00EE722D">
        <w:rPr>
          <w:rFonts w:ascii="Book Antiqua" w:eastAsia="SimSun" w:hAnsi="Book Antiqua" w:cs="SimSun"/>
          <w:b/>
          <w:bCs/>
        </w:rPr>
        <w:t>37</w:t>
      </w:r>
      <w:r w:rsidRPr="00EE722D">
        <w:rPr>
          <w:rFonts w:ascii="Book Antiqua" w:eastAsia="SimSun" w:hAnsi="Book Antiqua" w:cs="SimSun"/>
        </w:rPr>
        <w:t>: 208-217 [PMID: 12500206 DOI: 10.1053/jhep.2003.50038]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55 </w:t>
      </w:r>
      <w:r w:rsidRPr="00EE722D">
        <w:rPr>
          <w:rFonts w:ascii="Book Antiqua" w:eastAsia="SimSun" w:hAnsi="Book Antiqua" w:cs="SimSun"/>
          <w:b/>
          <w:bCs/>
        </w:rPr>
        <w:t>Márquez M</w:t>
      </w:r>
      <w:r w:rsidRPr="00EE722D">
        <w:rPr>
          <w:rFonts w:ascii="Book Antiqua" w:eastAsia="SimSun" w:hAnsi="Book Antiqua" w:cs="SimSun"/>
        </w:rPr>
        <w:t>, Fernández-Gutiérrez C, Montes-de-Oca M, Blanco MJ, Brun F, Rodríguez-Ramos C, Girón-González JA. Chronic antigenic stimuli as a possible explanation for the immunodepression caused by liver cirrhosis. </w:t>
      </w:r>
      <w:r w:rsidRPr="00EE722D">
        <w:rPr>
          <w:rFonts w:ascii="Book Antiqua" w:eastAsia="SimSun" w:hAnsi="Book Antiqua" w:cs="SimSun"/>
          <w:i/>
          <w:iCs/>
        </w:rPr>
        <w:t>Clin Exp Immunol</w:t>
      </w:r>
      <w:r w:rsidRPr="00EE722D">
        <w:rPr>
          <w:rFonts w:ascii="Book Antiqua" w:eastAsia="SimSun" w:hAnsi="Book Antiqua" w:cs="SimSun"/>
        </w:rPr>
        <w:t> 2009; </w:t>
      </w:r>
      <w:r w:rsidRPr="00EE722D">
        <w:rPr>
          <w:rFonts w:ascii="Book Antiqua" w:eastAsia="SimSun" w:hAnsi="Book Antiqua" w:cs="SimSun"/>
          <w:b/>
          <w:bCs/>
        </w:rPr>
        <w:t>158</w:t>
      </w:r>
      <w:r w:rsidRPr="00EE722D">
        <w:rPr>
          <w:rFonts w:ascii="Book Antiqua" w:eastAsia="SimSun" w:hAnsi="Book Antiqua" w:cs="SimSun"/>
        </w:rPr>
        <w:t>: 219-229 [PMID: 19737142 DOI: 10.1111/j.1365-2249.2009.04005.x]</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56 </w:t>
      </w:r>
      <w:r w:rsidRPr="00EE722D">
        <w:rPr>
          <w:rFonts w:ascii="Book Antiqua" w:eastAsia="SimSun" w:hAnsi="Book Antiqua" w:cs="SimSun"/>
          <w:b/>
          <w:bCs/>
        </w:rPr>
        <w:t>Cirera I</w:t>
      </w:r>
      <w:r w:rsidRPr="00EE722D">
        <w:rPr>
          <w:rFonts w:ascii="Book Antiqua" w:eastAsia="SimSun" w:hAnsi="Book Antiqua" w:cs="SimSun"/>
        </w:rPr>
        <w:t>, Bauer TM, Navasa M, Vila J, Grande L, Taurá P, Fuster J, García-Valdecasas JC, Lacy A, Suárez MJ, Rimola A, Rodés J. Bacterial translocation of enteric organisms in patients with cirrhosis. </w:t>
      </w:r>
      <w:r w:rsidRPr="00EE722D">
        <w:rPr>
          <w:rFonts w:ascii="Book Antiqua" w:eastAsia="SimSun" w:hAnsi="Book Antiqua" w:cs="SimSun"/>
          <w:i/>
          <w:iCs/>
        </w:rPr>
        <w:t>J Hepatol</w:t>
      </w:r>
      <w:r w:rsidRPr="00EE722D">
        <w:rPr>
          <w:rFonts w:ascii="Book Antiqua" w:eastAsia="SimSun" w:hAnsi="Book Antiqua" w:cs="SimSun"/>
        </w:rPr>
        <w:t> 2001; </w:t>
      </w:r>
      <w:r w:rsidRPr="00EE722D">
        <w:rPr>
          <w:rFonts w:ascii="Book Antiqua" w:eastAsia="SimSun" w:hAnsi="Book Antiqua" w:cs="SimSun"/>
          <w:b/>
          <w:bCs/>
        </w:rPr>
        <w:t>34</w:t>
      </w:r>
      <w:r w:rsidRPr="00EE722D">
        <w:rPr>
          <w:rFonts w:ascii="Book Antiqua" w:eastAsia="SimSun" w:hAnsi="Book Antiqua" w:cs="SimSun"/>
        </w:rPr>
        <w:t>: 32-37 [PMID: 11211904]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57 </w:t>
      </w:r>
      <w:r w:rsidRPr="00EE722D">
        <w:rPr>
          <w:rFonts w:ascii="Book Antiqua" w:eastAsia="SimSun" w:hAnsi="Book Antiqua" w:cs="SimSun"/>
          <w:b/>
          <w:bCs/>
        </w:rPr>
        <w:t>Garcia-Tsao G</w:t>
      </w:r>
      <w:r w:rsidRPr="00EE722D">
        <w:rPr>
          <w:rFonts w:ascii="Book Antiqua" w:eastAsia="SimSun" w:hAnsi="Book Antiqua" w:cs="SimSun"/>
        </w:rPr>
        <w:t>, Lee FY, Barden GE, Cartun R, West AB. Bacterial translocation to mesenteric lymph nodes is increased in cirrhotic rats with ascites. </w:t>
      </w:r>
      <w:r w:rsidRPr="00EE722D">
        <w:rPr>
          <w:rFonts w:ascii="Book Antiqua" w:eastAsia="SimSun" w:hAnsi="Book Antiqua" w:cs="SimSun"/>
          <w:i/>
          <w:iCs/>
        </w:rPr>
        <w:t>Gastroenterology</w:t>
      </w:r>
      <w:r w:rsidRPr="00EE722D">
        <w:rPr>
          <w:rFonts w:ascii="Book Antiqua" w:eastAsia="SimSun" w:hAnsi="Book Antiqua" w:cs="SimSun"/>
        </w:rPr>
        <w:t> 1995; </w:t>
      </w:r>
      <w:r w:rsidRPr="00EE722D">
        <w:rPr>
          <w:rFonts w:ascii="Book Antiqua" w:eastAsia="SimSun" w:hAnsi="Book Antiqua" w:cs="SimSun"/>
          <w:b/>
          <w:bCs/>
        </w:rPr>
        <w:t>108</w:t>
      </w:r>
      <w:r w:rsidRPr="00EE722D">
        <w:rPr>
          <w:rFonts w:ascii="Book Antiqua" w:eastAsia="SimSun" w:hAnsi="Book Antiqua" w:cs="SimSun"/>
        </w:rPr>
        <w:t>: 1835-1841 [PMID: 7768390]</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58 </w:t>
      </w:r>
      <w:r w:rsidRPr="00EE722D">
        <w:rPr>
          <w:rFonts w:ascii="Book Antiqua" w:eastAsia="SimSun" w:hAnsi="Book Antiqua" w:cs="SimSun"/>
          <w:b/>
          <w:bCs/>
        </w:rPr>
        <w:t>Okamura Y</w:t>
      </w:r>
      <w:r w:rsidRPr="00EE722D">
        <w:rPr>
          <w:rFonts w:ascii="Book Antiqua" w:eastAsia="SimSun" w:hAnsi="Book Antiqua" w:cs="SimSun"/>
        </w:rPr>
        <w:t>, Yokoi H. Development of a point-of-care assay system for measurement of presepsin (sCD14-ST). </w:t>
      </w:r>
      <w:r w:rsidRPr="00EE722D">
        <w:rPr>
          <w:rFonts w:ascii="Book Antiqua" w:eastAsia="SimSun" w:hAnsi="Book Antiqua" w:cs="SimSun"/>
          <w:i/>
          <w:iCs/>
        </w:rPr>
        <w:t>Clin Chim Acta</w:t>
      </w:r>
      <w:r w:rsidRPr="00EE722D">
        <w:rPr>
          <w:rFonts w:ascii="Book Antiqua" w:eastAsia="SimSun" w:hAnsi="Book Antiqua" w:cs="SimSun"/>
        </w:rPr>
        <w:t> 2011; </w:t>
      </w:r>
      <w:r w:rsidRPr="00EE722D">
        <w:rPr>
          <w:rFonts w:ascii="Book Antiqua" w:eastAsia="SimSun" w:hAnsi="Book Antiqua" w:cs="SimSun"/>
          <w:b/>
          <w:bCs/>
        </w:rPr>
        <w:t>412</w:t>
      </w:r>
      <w:r w:rsidRPr="00EE722D">
        <w:rPr>
          <w:rFonts w:ascii="Book Antiqua" w:eastAsia="SimSun" w:hAnsi="Book Antiqua" w:cs="SimSun"/>
        </w:rPr>
        <w:t>: 2157-2161 [PMID: 21839732 DOI: 10.1016/j.cca.2011.07.024]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59 </w:t>
      </w:r>
      <w:r w:rsidRPr="00EE722D">
        <w:rPr>
          <w:rFonts w:ascii="Book Antiqua" w:eastAsia="SimSun" w:hAnsi="Book Antiqua" w:cs="SimSun"/>
          <w:b/>
          <w:bCs/>
        </w:rPr>
        <w:t>Regner KR</w:t>
      </w:r>
      <w:r w:rsidRPr="00EE722D">
        <w:rPr>
          <w:rFonts w:ascii="Book Antiqua" w:eastAsia="SimSun" w:hAnsi="Book Antiqua" w:cs="SimSun"/>
        </w:rPr>
        <w:t>, Singbartl K. Kidney Injury in Liver Disease. </w:t>
      </w:r>
      <w:r w:rsidRPr="00EE722D">
        <w:rPr>
          <w:rFonts w:ascii="Book Antiqua" w:eastAsia="SimSun" w:hAnsi="Book Antiqua" w:cs="SimSun"/>
          <w:i/>
          <w:iCs/>
        </w:rPr>
        <w:t>Crit Care Clin</w:t>
      </w:r>
      <w:r w:rsidRPr="00EE722D">
        <w:rPr>
          <w:rFonts w:ascii="Book Antiqua" w:eastAsia="SimSun" w:hAnsi="Book Antiqua" w:cs="SimSun"/>
        </w:rPr>
        <w:t> 2016; </w:t>
      </w:r>
      <w:r w:rsidRPr="00EE722D">
        <w:rPr>
          <w:rFonts w:ascii="Book Antiqua" w:eastAsia="SimSun" w:hAnsi="Book Antiqua" w:cs="SimSun"/>
          <w:b/>
          <w:bCs/>
        </w:rPr>
        <w:t>32</w:t>
      </w:r>
      <w:r w:rsidRPr="00EE722D">
        <w:rPr>
          <w:rFonts w:ascii="Book Antiqua" w:eastAsia="SimSun" w:hAnsi="Book Antiqua" w:cs="SimSun"/>
        </w:rPr>
        <w:t>: 343-355 [PMID: 27339675 DOI: 10.1016/j.ccc.2016.03.005]</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60 </w:t>
      </w:r>
      <w:r w:rsidRPr="00EE722D">
        <w:rPr>
          <w:rFonts w:ascii="Book Antiqua" w:eastAsia="SimSun" w:hAnsi="Book Antiqua" w:cs="SimSun"/>
          <w:b/>
          <w:bCs/>
        </w:rPr>
        <w:t>Chenevier-Gobeaux C</w:t>
      </w:r>
      <w:r w:rsidRPr="00EE722D">
        <w:rPr>
          <w:rFonts w:ascii="Book Antiqua" w:eastAsia="SimSun" w:hAnsi="Book Antiqua" w:cs="SimSun"/>
        </w:rPr>
        <w:t xml:space="preserve">, Trabattoni E, Roelens M, Borderie D, Claessens YE. Presepsin (sCD14-ST) in emergency department: the need for adapted </w:t>
      </w:r>
      <w:r w:rsidRPr="00EE722D">
        <w:rPr>
          <w:rFonts w:ascii="Book Antiqua" w:eastAsia="SimSun" w:hAnsi="Book Antiqua" w:cs="SimSun"/>
        </w:rPr>
        <w:lastRenderedPageBreak/>
        <w:t>threshold values? </w:t>
      </w:r>
      <w:r w:rsidRPr="00EE722D">
        <w:rPr>
          <w:rFonts w:ascii="Book Antiqua" w:eastAsia="SimSun" w:hAnsi="Book Antiqua" w:cs="SimSun"/>
          <w:i/>
          <w:iCs/>
        </w:rPr>
        <w:t>Clin Chim Acta</w:t>
      </w:r>
      <w:r w:rsidRPr="00EE722D">
        <w:rPr>
          <w:rFonts w:ascii="Book Antiqua" w:eastAsia="SimSun" w:hAnsi="Book Antiqua" w:cs="SimSun"/>
        </w:rPr>
        <w:t> 2014; </w:t>
      </w:r>
      <w:r w:rsidRPr="00EE722D">
        <w:rPr>
          <w:rFonts w:ascii="Book Antiqua" w:eastAsia="SimSun" w:hAnsi="Book Antiqua" w:cs="SimSun"/>
          <w:b/>
          <w:bCs/>
        </w:rPr>
        <w:t>427</w:t>
      </w:r>
      <w:r w:rsidRPr="00EE722D">
        <w:rPr>
          <w:rFonts w:ascii="Book Antiqua" w:eastAsia="SimSun" w:hAnsi="Book Antiqua" w:cs="SimSun"/>
        </w:rPr>
        <w:t>: 34-36 [PMID: 24076253 DOI: 10.1016/j.cca.2013.09.019]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61 </w:t>
      </w:r>
      <w:r w:rsidRPr="00EE722D">
        <w:rPr>
          <w:rFonts w:ascii="Book Antiqua" w:eastAsia="SimSun" w:hAnsi="Book Antiqua" w:cs="SimSun"/>
          <w:b/>
          <w:bCs/>
        </w:rPr>
        <w:t>Nagata T</w:t>
      </w:r>
      <w:r w:rsidRPr="00EE722D">
        <w:rPr>
          <w:rFonts w:ascii="Book Antiqua" w:eastAsia="SimSun" w:hAnsi="Book Antiqua" w:cs="SimSun"/>
        </w:rPr>
        <w:t>, Yasuda Y, Ando M, Abe T, Katsuno T, Kato S, Tsuboi N, Matsuo S, Maruyama S. Clinical impact of kidney function on presepsin levels. </w:t>
      </w:r>
      <w:r w:rsidRPr="00EE722D">
        <w:rPr>
          <w:rFonts w:ascii="Book Antiqua" w:eastAsia="SimSun" w:hAnsi="Book Antiqua" w:cs="SimSun"/>
          <w:i/>
          <w:iCs/>
        </w:rPr>
        <w:t>PLoS One</w:t>
      </w:r>
      <w:r w:rsidRPr="00EE722D">
        <w:rPr>
          <w:rFonts w:ascii="Book Antiqua" w:eastAsia="SimSun" w:hAnsi="Book Antiqua" w:cs="SimSun"/>
        </w:rPr>
        <w:t> 2015; </w:t>
      </w:r>
      <w:r w:rsidRPr="00EE722D">
        <w:rPr>
          <w:rFonts w:ascii="Book Antiqua" w:eastAsia="SimSun" w:hAnsi="Book Antiqua" w:cs="SimSun"/>
          <w:b/>
          <w:bCs/>
        </w:rPr>
        <w:t>10</w:t>
      </w:r>
      <w:r w:rsidRPr="00EE722D">
        <w:rPr>
          <w:rFonts w:ascii="Book Antiqua" w:eastAsia="SimSun" w:hAnsi="Book Antiqua" w:cs="SimSun"/>
        </w:rPr>
        <w:t>: e0129159 [PMID: 26030716 DOI: 10.1371/journal.pone.0129159]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62 </w:t>
      </w:r>
      <w:r w:rsidRPr="00EE722D">
        <w:rPr>
          <w:rFonts w:ascii="Book Antiqua" w:eastAsia="SimSun" w:hAnsi="Book Antiqua" w:cs="SimSun"/>
          <w:b/>
          <w:bCs/>
        </w:rPr>
        <w:t>Nakamura Y</w:t>
      </w:r>
      <w:r w:rsidRPr="00EE722D">
        <w:rPr>
          <w:rFonts w:ascii="Book Antiqua" w:eastAsia="SimSun" w:hAnsi="Book Antiqua" w:cs="SimSun"/>
        </w:rPr>
        <w:t>, Ishikura H, Nishida T, Kawano Y, Yuge R, Ichiki R, Murai A. Usefulness of presepsin in the diagnosis of sepsis in patients with or without acute kidney injury. </w:t>
      </w:r>
      <w:r w:rsidRPr="00EE722D">
        <w:rPr>
          <w:rFonts w:ascii="Book Antiqua" w:eastAsia="SimSun" w:hAnsi="Book Antiqua" w:cs="SimSun"/>
          <w:i/>
          <w:iCs/>
        </w:rPr>
        <w:t>BMC Anesthesiol</w:t>
      </w:r>
      <w:r w:rsidRPr="00EE722D">
        <w:rPr>
          <w:rFonts w:ascii="Book Antiqua" w:eastAsia="SimSun" w:hAnsi="Book Antiqua" w:cs="SimSun"/>
        </w:rPr>
        <w:t> 2014; </w:t>
      </w:r>
      <w:r w:rsidRPr="00EE722D">
        <w:rPr>
          <w:rFonts w:ascii="Book Antiqua" w:eastAsia="SimSun" w:hAnsi="Book Antiqua" w:cs="SimSun"/>
          <w:b/>
          <w:bCs/>
        </w:rPr>
        <w:t>14</w:t>
      </w:r>
      <w:r w:rsidRPr="00EE722D">
        <w:rPr>
          <w:rFonts w:ascii="Book Antiqua" w:eastAsia="SimSun" w:hAnsi="Book Antiqua" w:cs="SimSun"/>
        </w:rPr>
        <w:t>: 88 [PMID: 25309126 DOI: 10.1186/1471-2253-14-88]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63 </w:t>
      </w:r>
      <w:r w:rsidRPr="00EE722D">
        <w:rPr>
          <w:rFonts w:ascii="Book Antiqua" w:eastAsia="SimSun" w:hAnsi="Book Antiqua" w:cs="SimSun"/>
          <w:b/>
          <w:bCs/>
        </w:rPr>
        <w:t>Cervoni JP</w:t>
      </w:r>
      <w:r w:rsidRPr="00EE722D">
        <w:rPr>
          <w:rFonts w:ascii="Book Antiqua" w:eastAsia="SimSun" w:hAnsi="Book Antiqua" w:cs="SimSun"/>
        </w:rPr>
        <w:t>, Amorós À, Bañares R, Luis Montero J, Soriano G, Weil D, Moreau R, Pavesi M, Thévenot T, Di Martino V. Prognostic value of C-reactive protein in cirrhosis: external validation from the CANONIC cohort. </w:t>
      </w:r>
      <w:r w:rsidRPr="00EE722D">
        <w:rPr>
          <w:rFonts w:ascii="Book Antiqua" w:eastAsia="SimSun" w:hAnsi="Book Antiqua" w:cs="SimSun"/>
          <w:i/>
          <w:iCs/>
        </w:rPr>
        <w:t>Eur J Gastroenterol Hepatol</w:t>
      </w:r>
      <w:r w:rsidRPr="00EE722D">
        <w:rPr>
          <w:rFonts w:ascii="Book Antiqua" w:eastAsia="SimSun" w:hAnsi="Book Antiqua" w:cs="SimSun"/>
        </w:rPr>
        <w:t> 2016; </w:t>
      </w:r>
      <w:r w:rsidRPr="00EE722D">
        <w:rPr>
          <w:rFonts w:ascii="Book Antiqua" w:eastAsia="SimSun" w:hAnsi="Book Antiqua" w:cs="SimSun"/>
          <w:b/>
          <w:bCs/>
        </w:rPr>
        <w:t>28</w:t>
      </w:r>
      <w:r w:rsidRPr="00EE722D">
        <w:rPr>
          <w:rFonts w:ascii="Book Antiqua" w:eastAsia="SimSun" w:hAnsi="Book Antiqua" w:cs="SimSun"/>
        </w:rPr>
        <w:t>: 1028-1034 [PMID: 27271159 DOI: 10.1097/MEG.0000000000000676]</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64 </w:t>
      </w:r>
      <w:r w:rsidRPr="00EE722D">
        <w:rPr>
          <w:rFonts w:ascii="Book Antiqua" w:eastAsia="SimSun" w:hAnsi="Book Antiqua" w:cs="SimSun"/>
          <w:b/>
          <w:bCs/>
        </w:rPr>
        <w:t>Di Martino V</w:t>
      </w:r>
      <w:r w:rsidRPr="00EE722D">
        <w:rPr>
          <w:rFonts w:ascii="Book Antiqua" w:eastAsia="SimSun" w:hAnsi="Book Antiqua" w:cs="SimSun"/>
        </w:rPr>
        <w:t>, Coutris C, Cervoni JP, Dritsas S, Weil D, Richou C, Vanlemmens C, Thevenot T. Prognostic value of C-reactive protein levels in patients with cirrhosis. </w:t>
      </w:r>
      <w:r w:rsidRPr="00EE722D">
        <w:rPr>
          <w:rFonts w:ascii="Book Antiqua" w:eastAsia="SimSun" w:hAnsi="Book Antiqua" w:cs="SimSun"/>
          <w:i/>
          <w:iCs/>
        </w:rPr>
        <w:t>Liver Transpl</w:t>
      </w:r>
      <w:r w:rsidRPr="00EE722D">
        <w:rPr>
          <w:rFonts w:ascii="Book Antiqua" w:eastAsia="SimSun" w:hAnsi="Book Antiqua" w:cs="SimSun"/>
        </w:rPr>
        <w:t> 2015; </w:t>
      </w:r>
      <w:r w:rsidRPr="00EE722D">
        <w:rPr>
          <w:rFonts w:ascii="Book Antiqua" w:eastAsia="SimSun" w:hAnsi="Book Antiqua" w:cs="SimSun"/>
          <w:b/>
          <w:bCs/>
        </w:rPr>
        <w:t>21</w:t>
      </w:r>
      <w:r w:rsidRPr="00EE722D">
        <w:rPr>
          <w:rFonts w:ascii="Book Antiqua" w:eastAsia="SimSun" w:hAnsi="Book Antiqua" w:cs="SimSun"/>
        </w:rPr>
        <w:t>: 753-760 [PMID: 25677965 DOI: 10.1002/lt.24088]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65 </w:t>
      </w:r>
      <w:r w:rsidRPr="00EE722D">
        <w:rPr>
          <w:rFonts w:ascii="Book Antiqua" w:eastAsia="SimSun" w:hAnsi="Book Antiqua" w:cs="SimSun"/>
          <w:b/>
          <w:bCs/>
        </w:rPr>
        <w:t>Ha YE</w:t>
      </w:r>
      <w:r w:rsidRPr="00EE722D">
        <w:rPr>
          <w:rFonts w:ascii="Book Antiqua" w:eastAsia="SimSun" w:hAnsi="Book Antiqua" w:cs="SimSun"/>
        </w:rPr>
        <w:t>, Kang CI, Joo EJ, Joung MK, Chung DR, Peck KR, Lee NY, Song JH. Usefulness of C-reactive protein for evaluating clinical outcomes in cirrhotic patients with bacteremia. </w:t>
      </w:r>
      <w:r w:rsidRPr="00EE722D">
        <w:rPr>
          <w:rFonts w:ascii="Book Antiqua" w:eastAsia="SimSun" w:hAnsi="Book Antiqua" w:cs="SimSun"/>
          <w:i/>
          <w:iCs/>
        </w:rPr>
        <w:t>Korean J Intern Med</w:t>
      </w:r>
      <w:r w:rsidRPr="00EE722D">
        <w:rPr>
          <w:rFonts w:ascii="Book Antiqua" w:eastAsia="SimSun" w:hAnsi="Book Antiqua" w:cs="SimSun"/>
        </w:rPr>
        <w:t> 2011; </w:t>
      </w:r>
      <w:r w:rsidRPr="00EE722D">
        <w:rPr>
          <w:rFonts w:ascii="Book Antiqua" w:eastAsia="SimSun" w:hAnsi="Book Antiqua" w:cs="SimSun"/>
          <w:b/>
          <w:bCs/>
        </w:rPr>
        <w:t>26</w:t>
      </w:r>
      <w:r w:rsidRPr="00EE722D">
        <w:rPr>
          <w:rFonts w:ascii="Book Antiqua" w:eastAsia="SimSun" w:hAnsi="Book Antiqua" w:cs="SimSun"/>
        </w:rPr>
        <w:t>: 195-200 [PMID: 21716910 DOI: 10.3904/kjim.2011.26.2.195]</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66 </w:t>
      </w:r>
      <w:r w:rsidRPr="00EE722D">
        <w:rPr>
          <w:rFonts w:ascii="Book Antiqua" w:eastAsia="SimSun" w:hAnsi="Book Antiqua" w:cs="SimSun"/>
          <w:b/>
          <w:bCs/>
        </w:rPr>
        <w:t>Kronenberger B</w:t>
      </w:r>
      <w:r w:rsidRPr="00EE722D">
        <w:rPr>
          <w:rFonts w:ascii="Book Antiqua" w:eastAsia="SimSun" w:hAnsi="Book Antiqua" w:cs="SimSun"/>
        </w:rPr>
        <w:t>, Rudloff I, Bachmann M, Brunner F, Kapper L, Filmann N, Waidmann O, Herrmann E, Pfeilschifter J, Zeuzem S, Piiper A, Mühl H. Interleukin-22 predicts severity and death in advanced liver cirrhosis: a prospective cohort study. </w:t>
      </w:r>
      <w:r w:rsidRPr="00EE722D">
        <w:rPr>
          <w:rFonts w:ascii="Book Antiqua" w:eastAsia="SimSun" w:hAnsi="Book Antiqua" w:cs="SimSun"/>
          <w:i/>
          <w:iCs/>
        </w:rPr>
        <w:t>BMC Med</w:t>
      </w:r>
      <w:r w:rsidRPr="00EE722D">
        <w:rPr>
          <w:rFonts w:ascii="Book Antiqua" w:eastAsia="SimSun" w:hAnsi="Book Antiqua" w:cs="SimSun"/>
        </w:rPr>
        <w:t> 2012; </w:t>
      </w:r>
      <w:r w:rsidRPr="00EE722D">
        <w:rPr>
          <w:rFonts w:ascii="Book Antiqua" w:eastAsia="SimSun" w:hAnsi="Book Antiqua" w:cs="SimSun"/>
          <w:b/>
          <w:bCs/>
        </w:rPr>
        <w:t>10</w:t>
      </w:r>
      <w:r w:rsidRPr="00EE722D">
        <w:rPr>
          <w:rFonts w:ascii="Book Antiqua" w:eastAsia="SimSun" w:hAnsi="Book Antiqua" w:cs="SimSun"/>
        </w:rPr>
        <w:t>: 102 [PMID: 22967278 DOI: 10.1186/1741-7015-10-102]</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67 </w:t>
      </w:r>
      <w:r w:rsidRPr="00EE722D">
        <w:rPr>
          <w:rFonts w:ascii="Book Antiqua" w:eastAsia="SimSun" w:hAnsi="Book Antiqua" w:cs="SimSun"/>
          <w:b/>
          <w:bCs/>
        </w:rPr>
        <w:t>Kwon JH</w:t>
      </w:r>
      <w:r w:rsidRPr="00EE722D">
        <w:rPr>
          <w:rFonts w:ascii="Book Antiqua" w:eastAsia="SimSun" w:hAnsi="Book Antiqua" w:cs="SimSun"/>
        </w:rPr>
        <w:t>, Jang JW, Kim YW, Lee SW, Nam SW, Jaegal D, Lee S, Bae SH. The usefulness of C-reactive protein and neutrophil-to-lymphocyte ratio for predicting the outcome in hospitalized patients with liver cirrhosis. </w:t>
      </w:r>
      <w:r w:rsidRPr="00EE722D">
        <w:rPr>
          <w:rFonts w:ascii="Book Antiqua" w:eastAsia="SimSun" w:hAnsi="Book Antiqua" w:cs="SimSun"/>
          <w:i/>
          <w:iCs/>
        </w:rPr>
        <w:t>BMC Gastroenterol</w:t>
      </w:r>
      <w:r w:rsidRPr="00EE722D">
        <w:rPr>
          <w:rFonts w:ascii="Book Antiqua" w:eastAsia="SimSun" w:hAnsi="Book Antiqua" w:cs="SimSun"/>
        </w:rPr>
        <w:t> 2015; </w:t>
      </w:r>
      <w:r w:rsidRPr="00EE722D">
        <w:rPr>
          <w:rFonts w:ascii="Book Antiqua" w:eastAsia="SimSun" w:hAnsi="Book Antiqua" w:cs="SimSun"/>
          <w:b/>
          <w:bCs/>
        </w:rPr>
        <w:t>15</w:t>
      </w:r>
      <w:r w:rsidRPr="00EE722D">
        <w:rPr>
          <w:rFonts w:ascii="Book Antiqua" w:eastAsia="SimSun" w:hAnsi="Book Antiqua" w:cs="SimSun"/>
        </w:rPr>
        <w:t>: 146 [PMID: 26498833 DOI: 10.1186/s12876-015-0378-z]</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lastRenderedPageBreak/>
        <w:t>68 </w:t>
      </w:r>
      <w:r w:rsidRPr="00EE722D">
        <w:rPr>
          <w:rFonts w:ascii="Book Antiqua" w:eastAsia="SimSun" w:hAnsi="Book Antiqua" w:cs="SimSun"/>
          <w:b/>
          <w:bCs/>
        </w:rPr>
        <w:t>Lim TS</w:t>
      </w:r>
      <w:r w:rsidRPr="00EE722D">
        <w:rPr>
          <w:rFonts w:ascii="Book Antiqua" w:eastAsia="SimSun" w:hAnsi="Book Antiqua" w:cs="SimSun"/>
        </w:rPr>
        <w:t>, Kim BK, Lee JW, Lee YK, Chang S, Kim SU, Kim DY, Ahn SH, Han KH, Chon CY, Park JY. Use of the delta neutrophil index as a prognostic factor of mortality in patients with spontaneous bacterial peritonitis: implications of a simple and useful marker. </w:t>
      </w:r>
      <w:r w:rsidRPr="00EE722D">
        <w:rPr>
          <w:rFonts w:ascii="Book Antiqua" w:eastAsia="SimSun" w:hAnsi="Book Antiqua" w:cs="SimSun"/>
          <w:i/>
          <w:iCs/>
        </w:rPr>
        <w:t>PLoS One</w:t>
      </w:r>
      <w:r w:rsidRPr="00EE722D">
        <w:rPr>
          <w:rFonts w:ascii="Book Antiqua" w:eastAsia="SimSun" w:hAnsi="Book Antiqua" w:cs="SimSun"/>
        </w:rPr>
        <w:t> 2014; </w:t>
      </w:r>
      <w:r w:rsidRPr="00EE722D">
        <w:rPr>
          <w:rFonts w:ascii="Book Antiqua" w:eastAsia="SimSun" w:hAnsi="Book Antiqua" w:cs="SimSun"/>
          <w:b/>
          <w:bCs/>
        </w:rPr>
        <w:t>9</w:t>
      </w:r>
      <w:r w:rsidRPr="00EE722D">
        <w:rPr>
          <w:rFonts w:ascii="Book Antiqua" w:eastAsia="SimSun" w:hAnsi="Book Antiqua" w:cs="SimSun"/>
        </w:rPr>
        <w:t>: e86884 [PMID: 24466280 DOI: 10.1371/journal.pone.0086884]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69 </w:t>
      </w:r>
      <w:r w:rsidRPr="00EE722D">
        <w:rPr>
          <w:rFonts w:ascii="Book Antiqua" w:eastAsia="SimSun" w:hAnsi="Book Antiqua" w:cs="SimSun"/>
          <w:b/>
          <w:bCs/>
        </w:rPr>
        <w:t>Moreno JP</w:t>
      </w:r>
      <w:r w:rsidRPr="00EE722D">
        <w:rPr>
          <w:rFonts w:ascii="Book Antiqua" w:eastAsia="SimSun" w:hAnsi="Book Antiqua" w:cs="SimSun"/>
        </w:rPr>
        <w:t>, Grandclement E, Monnet E, Clerc B, Agin A, Cervoni JP, Richou C, Vanlemmens C, Dritsas S, Dumoulin G, Di Martino V, Thevenot T. Plasma copeptin, a possible prognostic marker in cirrhosis. </w:t>
      </w:r>
      <w:r w:rsidRPr="00EE722D">
        <w:rPr>
          <w:rFonts w:ascii="Book Antiqua" w:eastAsia="SimSun" w:hAnsi="Book Antiqua" w:cs="SimSun"/>
          <w:i/>
          <w:iCs/>
        </w:rPr>
        <w:t>Liver Int</w:t>
      </w:r>
      <w:r w:rsidRPr="00EE722D">
        <w:rPr>
          <w:rFonts w:ascii="Book Antiqua" w:eastAsia="SimSun" w:hAnsi="Book Antiqua" w:cs="SimSun"/>
        </w:rPr>
        <w:t> 2013; </w:t>
      </w:r>
      <w:r w:rsidRPr="00EE722D">
        <w:rPr>
          <w:rFonts w:ascii="Book Antiqua" w:eastAsia="SimSun" w:hAnsi="Book Antiqua" w:cs="SimSun"/>
          <w:b/>
          <w:bCs/>
        </w:rPr>
        <w:t>33</w:t>
      </w:r>
      <w:r w:rsidRPr="00EE722D">
        <w:rPr>
          <w:rFonts w:ascii="Book Antiqua" w:eastAsia="SimSun" w:hAnsi="Book Antiqua" w:cs="SimSun"/>
        </w:rPr>
        <w:t>: 843-851 [PMID: 23560938 DOI: 10.1111/liv.12175]</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70 </w:t>
      </w:r>
      <w:r w:rsidRPr="00EE722D">
        <w:rPr>
          <w:rFonts w:ascii="Book Antiqua" w:eastAsia="SimSun" w:hAnsi="Book Antiqua" w:cs="SimSun"/>
          <w:b/>
          <w:bCs/>
        </w:rPr>
        <w:t>Mortensen C</w:t>
      </w:r>
      <w:r w:rsidRPr="00EE722D">
        <w:rPr>
          <w:rFonts w:ascii="Book Antiqua" w:eastAsia="SimSun" w:hAnsi="Book Antiqua" w:cs="SimSun"/>
        </w:rPr>
        <w:t>, Andersen O, Krag A, Bendtsen F, Møller S. High-sensitivity C-reactive protein levels predict survival and are related to haemodynamics in alcoholic cirrhosis. </w:t>
      </w:r>
      <w:r w:rsidRPr="00EE722D">
        <w:rPr>
          <w:rFonts w:ascii="Book Antiqua" w:eastAsia="SimSun" w:hAnsi="Book Antiqua" w:cs="SimSun"/>
          <w:i/>
          <w:iCs/>
        </w:rPr>
        <w:t>Eur J Gastroenterol Hepatol</w:t>
      </w:r>
      <w:r w:rsidRPr="00EE722D">
        <w:rPr>
          <w:rFonts w:ascii="Book Antiqua" w:eastAsia="SimSun" w:hAnsi="Book Antiqua" w:cs="SimSun"/>
        </w:rPr>
        <w:t> 2012; </w:t>
      </w:r>
      <w:r w:rsidRPr="00EE722D">
        <w:rPr>
          <w:rFonts w:ascii="Book Antiqua" w:eastAsia="SimSun" w:hAnsi="Book Antiqua" w:cs="SimSun"/>
          <w:b/>
          <w:bCs/>
        </w:rPr>
        <w:t>24</w:t>
      </w:r>
      <w:r w:rsidRPr="00EE722D">
        <w:rPr>
          <w:rFonts w:ascii="Book Antiqua" w:eastAsia="SimSun" w:hAnsi="Book Antiqua" w:cs="SimSun"/>
        </w:rPr>
        <w:t>: 619-626 [PMID: 22441510 DOI: 10.1097/MEG.0b013e328351db6e]</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71 </w:t>
      </w:r>
      <w:r w:rsidRPr="00EE722D">
        <w:rPr>
          <w:rFonts w:ascii="Book Antiqua" w:eastAsia="SimSun" w:hAnsi="Book Antiqua" w:cs="SimSun"/>
          <w:b/>
          <w:bCs/>
        </w:rPr>
        <w:t>Park JK</w:t>
      </w:r>
      <w:r w:rsidRPr="00EE722D">
        <w:rPr>
          <w:rFonts w:ascii="Book Antiqua" w:eastAsia="SimSun" w:hAnsi="Book Antiqua" w:cs="SimSun"/>
        </w:rPr>
        <w:t>, Lee CH, Kim IH, Kim SM, Jang JW, Kim SH, Kim SW, Lee SO, Lee ST, Kim DG. Clinical characteristics and prognostic impact of bacterial infection in hospitalized patients with alcoholic liver disease. </w:t>
      </w:r>
      <w:r w:rsidRPr="00EE722D">
        <w:rPr>
          <w:rFonts w:ascii="Book Antiqua" w:eastAsia="SimSun" w:hAnsi="Book Antiqua" w:cs="SimSun"/>
          <w:i/>
          <w:iCs/>
        </w:rPr>
        <w:t>J Korean Med Sci</w:t>
      </w:r>
      <w:r w:rsidRPr="00EE722D">
        <w:rPr>
          <w:rFonts w:ascii="Book Antiqua" w:eastAsia="SimSun" w:hAnsi="Book Antiqua" w:cs="SimSun"/>
        </w:rPr>
        <w:t> 2015; </w:t>
      </w:r>
      <w:r w:rsidRPr="00EE722D">
        <w:rPr>
          <w:rFonts w:ascii="Book Antiqua" w:eastAsia="SimSun" w:hAnsi="Book Antiqua" w:cs="SimSun"/>
          <w:b/>
          <w:bCs/>
        </w:rPr>
        <w:t>30</w:t>
      </w:r>
      <w:r w:rsidRPr="00EE722D">
        <w:rPr>
          <w:rFonts w:ascii="Book Antiqua" w:eastAsia="SimSun" w:hAnsi="Book Antiqua" w:cs="SimSun"/>
        </w:rPr>
        <w:t>: 598-605 [PMID: 25931791 DOI: 10.3346/jkms.2015.30.5.598]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72 </w:t>
      </w:r>
      <w:r w:rsidRPr="00EE722D">
        <w:rPr>
          <w:rFonts w:ascii="Book Antiqua" w:eastAsia="SimSun" w:hAnsi="Book Antiqua" w:cs="SimSun"/>
          <w:b/>
          <w:bCs/>
        </w:rPr>
        <w:t>Reuken PA</w:t>
      </w:r>
      <w:r w:rsidRPr="00EE722D">
        <w:rPr>
          <w:rFonts w:ascii="Book Antiqua" w:eastAsia="SimSun" w:hAnsi="Book Antiqua" w:cs="SimSun"/>
        </w:rPr>
        <w:t>, Stallmach A, Bruns T. Mortality after urinary tract infections in patients with advanced cirrhosis - Relevance of acute kidney injury and comorbidities. </w:t>
      </w:r>
      <w:r w:rsidRPr="00EE722D">
        <w:rPr>
          <w:rFonts w:ascii="Book Antiqua" w:eastAsia="SimSun" w:hAnsi="Book Antiqua" w:cs="SimSun"/>
          <w:i/>
          <w:iCs/>
        </w:rPr>
        <w:t>Liver Int</w:t>
      </w:r>
      <w:r w:rsidRPr="00EE722D">
        <w:rPr>
          <w:rFonts w:ascii="Book Antiqua" w:eastAsia="SimSun" w:hAnsi="Book Antiqua" w:cs="SimSun"/>
        </w:rPr>
        <w:t> 2013; </w:t>
      </w:r>
      <w:r w:rsidRPr="00EE722D">
        <w:rPr>
          <w:rFonts w:ascii="Book Antiqua" w:eastAsia="SimSun" w:hAnsi="Book Antiqua" w:cs="SimSun"/>
          <w:b/>
          <w:bCs/>
        </w:rPr>
        <w:t>33</w:t>
      </w:r>
      <w:r w:rsidRPr="00EE722D">
        <w:rPr>
          <w:rFonts w:ascii="Book Antiqua" w:eastAsia="SimSun" w:hAnsi="Book Antiqua" w:cs="SimSun"/>
        </w:rPr>
        <w:t>: 220-230 [PMID: 23295053 DOI: 10.1111/liv.12029]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73 </w:t>
      </w:r>
      <w:r w:rsidRPr="00EE722D">
        <w:rPr>
          <w:rFonts w:ascii="Book Antiqua" w:eastAsia="SimSun" w:hAnsi="Book Antiqua" w:cs="SimSun"/>
          <w:b/>
          <w:bCs/>
        </w:rPr>
        <w:t>Schwabl P</w:t>
      </w:r>
      <w:r w:rsidRPr="00EE722D">
        <w:rPr>
          <w:rFonts w:ascii="Book Antiqua" w:eastAsia="SimSun" w:hAnsi="Book Antiqua" w:cs="SimSun"/>
        </w:rPr>
        <w:t>, Bucsics T, Soucek K, Mandorfer M, Bota S, Blacky A, Hirschl AM, Ferlitsch A, Trauner M, Peck-Radosavljevic M, Reiberger T. Risk factors for development of spontaneous bacterial peritonitis and subsequent mortality in cirrhotic patients with ascites. </w:t>
      </w:r>
      <w:r w:rsidRPr="00EE722D">
        <w:rPr>
          <w:rFonts w:ascii="Book Antiqua" w:eastAsia="SimSun" w:hAnsi="Book Antiqua" w:cs="SimSun"/>
          <w:i/>
          <w:iCs/>
        </w:rPr>
        <w:t>Liver Int</w:t>
      </w:r>
      <w:r w:rsidRPr="00EE722D">
        <w:rPr>
          <w:rFonts w:ascii="Book Antiqua" w:eastAsia="SimSun" w:hAnsi="Book Antiqua" w:cs="SimSun"/>
        </w:rPr>
        <w:t> 2015; </w:t>
      </w:r>
      <w:r w:rsidRPr="00EE722D">
        <w:rPr>
          <w:rFonts w:ascii="Book Antiqua" w:eastAsia="SimSun" w:hAnsi="Book Antiqua" w:cs="SimSun"/>
          <w:b/>
          <w:bCs/>
        </w:rPr>
        <w:t>35</w:t>
      </w:r>
      <w:r w:rsidRPr="00EE722D">
        <w:rPr>
          <w:rFonts w:ascii="Book Antiqua" w:eastAsia="SimSun" w:hAnsi="Book Antiqua" w:cs="SimSun"/>
        </w:rPr>
        <w:t>: 2121-2128 [PMID: 25644943 DOI: 10.1111/liv.12795]</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74 </w:t>
      </w:r>
      <w:r w:rsidRPr="00EE722D">
        <w:rPr>
          <w:rFonts w:ascii="Book Antiqua" w:eastAsia="SimSun" w:hAnsi="Book Antiqua" w:cs="SimSun"/>
          <w:b/>
          <w:bCs/>
        </w:rPr>
        <w:t>Wiese S</w:t>
      </w:r>
      <w:r w:rsidRPr="00EE722D">
        <w:rPr>
          <w:rFonts w:ascii="Book Antiqua" w:eastAsia="SimSun" w:hAnsi="Book Antiqua" w:cs="SimSun"/>
        </w:rPr>
        <w:t>, Mortensen C, Gøtze JP, Christensen E, Andersen O, Bendtsen F, Møller S. Cardiac and proinflammatory markers predict prognosis in cirrhosis. </w:t>
      </w:r>
      <w:r w:rsidRPr="00EE722D">
        <w:rPr>
          <w:rFonts w:ascii="Book Antiqua" w:eastAsia="SimSun" w:hAnsi="Book Antiqua" w:cs="SimSun"/>
          <w:i/>
          <w:iCs/>
        </w:rPr>
        <w:t>Liver Int</w:t>
      </w:r>
      <w:r w:rsidRPr="00EE722D">
        <w:rPr>
          <w:rFonts w:ascii="Book Antiqua" w:eastAsia="SimSun" w:hAnsi="Book Antiqua" w:cs="SimSun"/>
        </w:rPr>
        <w:t> 2014; </w:t>
      </w:r>
      <w:r w:rsidRPr="00EE722D">
        <w:rPr>
          <w:rFonts w:ascii="Book Antiqua" w:eastAsia="SimSun" w:hAnsi="Book Antiqua" w:cs="SimSun"/>
          <w:b/>
          <w:bCs/>
        </w:rPr>
        <w:t>34</w:t>
      </w:r>
      <w:r w:rsidRPr="00EE722D">
        <w:rPr>
          <w:rFonts w:ascii="Book Antiqua" w:eastAsia="SimSun" w:hAnsi="Book Antiqua" w:cs="SimSun"/>
        </w:rPr>
        <w:t>: e19-e30 [PMID: 24313898 DOI: 10.1111/liv.12428]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75 </w:t>
      </w:r>
      <w:r w:rsidRPr="00EE722D">
        <w:rPr>
          <w:rFonts w:ascii="Book Antiqua" w:eastAsia="SimSun" w:hAnsi="Book Antiqua" w:cs="SimSun"/>
          <w:b/>
          <w:bCs/>
        </w:rPr>
        <w:t>Ximenes RO</w:t>
      </w:r>
      <w:r w:rsidRPr="00EE722D">
        <w:rPr>
          <w:rFonts w:ascii="Book Antiqua" w:eastAsia="SimSun" w:hAnsi="Book Antiqua" w:cs="SimSun"/>
        </w:rPr>
        <w:t xml:space="preserve">, Farias AQ, Scalabrini Neto A, Diniz MA, Kubota GT, Ivo MM, Colacique CG, D'Albuquerque LA, Daglius Dias R. Patients with </w:t>
      </w:r>
      <w:r w:rsidRPr="00EE722D">
        <w:rPr>
          <w:rFonts w:ascii="Book Antiqua" w:eastAsia="SimSun" w:hAnsi="Book Antiqua" w:cs="SimSun"/>
        </w:rPr>
        <w:lastRenderedPageBreak/>
        <w:t>cirrhosis in the ED: early predictors of infection and mortality. </w:t>
      </w:r>
      <w:r w:rsidRPr="00EE722D">
        <w:rPr>
          <w:rFonts w:ascii="Book Antiqua" w:eastAsia="SimSun" w:hAnsi="Book Antiqua" w:cs="SimSun"/>
          <w:i/>
          <w:iCs/>
        </w:rPr>
        <w:t>Am J Emerg Med</w:t>
      </w:r>
      <w:r w:rsidRPr="00EE722D">
        <w:rPr>
          <w:rFonts w:ascii="Book Antiqua" w:eastAsia="SimSun" w:hAnsi="Book Antiqua" w:cs="SimSun"/>
        </w:rPr>
        <w:t> 2016; </w:t>
      </w:r>
      <w:r w:rsidRPr="00EE722D">
        <w:rPr>
          <w:rFonts w:ascii="Book Antiqua" w:eastAsia="SimSun" w:hAnsi="Book Antiqua" w:cs="SimSun"/>
          <w:b/>
          <w:bCs/>
        </w:rPr>
        <w:t>34</w:t>
      </w:r>
      <w:r w:rsidRPr="00EE722D">
        <w:rPr>
          <w:rFonts w:ascii="Book Antiqua" w:eastAsia="SimSun" w:hAnsi="Book Antiqua" w:cs="SimSun"/>
        </w:rPr>
        <w:t>: 25-29 [PMID: 26423777 DOI: 10.1016/j.ajem.2015.09.004]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76 </w:t>
      </w:r>
      <w:r w:rsidRPr="00EE722D">
        <w:rPr>
          <w:rFonts w:ascii="Book Antiqua" w:eastAsia="SimSun" w:hAnsi="Book Antiqua" w:cs="SimSun"/>
          <w:b/>
          <w:bCs/>
        </w:rPr>
        <w:t>Al-Dorzi HM</w:t>
      </w:r>
      <w:r w:rsidRPr="00EE722D">
        <w:rPr>
          <w:rFonts w:ascii="Book Antiqua" w:eastAsia="SimSun" w:hAnsi="Book Antiqua" w:cs="SimSun"/>
        </w:rPr>
        <w:t>, Rishu AH, Tamim HM, Aljumah A, Al-Tamimi W, Baharoon S, Al Dabbagh T, Arabi YM. Serum procalcitonin in cirrhotic patients with septic shock: relationship with adrenal insufficiency and clinical outcomes. </w:t>
      </w:r>
      <w:r w:rsidRPr="00EE722D">
        <w:rPr>
          <w:rFonts w:ascii="Book Antiqua" w:eastAsia="SimSun" w:hAnsi="Book Antiqua" w:cs="SimSun"/>
          <w:i/>
          <w:iCs/>
        </w:rPr>
        <w:t>Clin Lab</w:t>
      </w:r>
      <w:r w:rsidRPr="00EE722D">
        <w:rPr>
          <w:rFonts w:ascii="Book Antiqua" w:eastAsia="SimSun" w:hAnsi="Book Antiqua" w:cs="SimSun"/>
        </w:rPr>
        <w:t> 2014; </w:t>
      </w:r>
      <w:r w:rsidRPr="00EE722D">
        <w:rPr>
          <w:rFonts w:ascii="Book Antiqua" w:eastAsia="SimSun" w:hAnsi="Book Antiqua" w:cs="SimSun"/>
          <w:b/>
          <w:bCs/>
        </w:rPr>
        <w:t>60</w:t>
      </w:r>
      <w:r w:rsidRPr="00EE722D">
        <w:rPr>
          <w:rFonts w:ascii="Book Antiqua" w:eastAsia="SimSun" w:hAnsi="Book Antiqua" w:cs="SimSun"/>
        </w:rPr>
        <w:t>: 1105-1114 [PMID: 25134378]</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77 </w:t>
      </w:r>
      <w:r w:rsidRPr="00EE722D">
        <w:rPr>
          <w:rFonts w:ascii="Book Antiqua" w:eastAsia="SimSun" w:hAnsi="Book Antiqua" w:cs="SimSun"/>
          <w:b/>
          <w:bCs/>
        </w:rPr>
        <w:t>Berres ML</w:t>
      </w:r>
      <w:r w:rsidRPr="00EE722D">
        <w:rPr>
          <w:rFonts w:ascii="Book Antiqua" w:eastAsia="SimSun" w:hAnsi="Book Antiqua" w:cs="SimSun"/>
        </w:rPr>
        <w:t>, Schnyder B, Yagmur E, Inglis B, Stanzel S, Tischendorf JJ, Koch A, Winograd R, Trautwein C, Wasmuth HE. Longitudinal monocyte human leukocyte antigen-DR expression is a prognostic marker in critically ill patients with decompensated liver cirrhosis. </w:t>
      </w:r>
      <w:r w:rsidRPr="00EE722D">
        <w:rPr>
          <w:rFonts w:ascii="Book Antiqua" w:eastAsia="SimSun" w:hAnsi="Book Antiqua" w:cs="SimSun"/>
          <w:i/>
          <w:iCs/>
        </w:rPr>
        <w:t>Liver Int</w:t>
      </w:r>
      <w:r w:rsidRPr="00EE722D">
        <w:rPr>
          <w:rFonts w:ascii="Book Antiqua" w:eastAsia="SimSun" w:hAnsi="Book Antiqua" w:cs="SimSun"/>
        </w:rPr>
        <w:t> 2009; </w:t>
      </w:r>
      <w:r w:rsidRPr="00EE722D">
        <w:rPr>
          <w:rFonts w:ascii="Book Antiqua" w:eastAsia="SimSun" w:hAnsi="Book Antiqua" w:cs="SimSun"/>
          <w:b/>
          <w:bCs/>
        </w:rPr>
        <w:t>29</w:t>
      </w:r>
      <w:r w:rsidRPr="00EE722D">
        <w:rPr>
          <w:rFonts w:ascii="Book Antiqua" w:eastAsia="SimSun" w:hAnsi="Book Antiqua" w:cs="SimSun"/>
        </w:rPr>
        <w:t>: 536-543 [PMID: 18795898 DOI: 10.1111/j.1478-3231.2008.01870.x]</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78 </w:t>
      </w:r>
      <w:r w:rsidRPr="00EE722D">
        <w:rPr>
          <w:rFonts w:ascii="Book Antiqua" w:eastAsia="SimSun" w:hAnsi="Book Antiqua" w:cs="SimSun"/>
          <w:b/>
          <w:bCs/>
        </w:rPr>
        <w:t>Connert S</w:t>
      </w:r>
      <w:r w:rsidRPr="00EE722D">
        <w:rPr>
          <w:rFonts w:ascii="Book Antiqua" w:eastAsia="SimSun" w:hAnsi="Book Antiqua" w:cs="SimSun"/>
        </w:rPr>
        <w:t>, Stremmel W, Elsing C. Procalcitonin is a valid marker of infection in decompensated cirrhosis. </w:t>
      </w:r>
      <w:r w:rsidRPr="00EE722D">
        <w:rPr>
          <w:rFonts w:ascii="Book Antiqua" w:eastAsia="SimSun" w:hAnsi="Book Antiqua" w:cs="SimSun"/>
          <w:i/>
          <w:iCs/>
        </w:rPr>
        <w:t>Z Gastroenterol</w:t>
      </w:r>
      <w:r w:rsidRPr="00EE722D">
        <w:rPr>
          <w:rFonts w:ascii="Book Antiqua" w:eastAsia="SimSun" w:hAnsi="Book Antiqua" w:cs="SimSun"/>
        </w:rPr>
        <w:t> 2003; </w:t>
      </w:r>
      <w:r w:rsidRPr="00EE722D">
        <w:rPr>
          <w:rFonts w:ascii="Book Antiqua" w:eastAsia="SimSun" w:hAnsi="Book Antiqua" w:cs="SimSun"/>
          <w:b/>
          <w:bCs/>
        </w:rPr>
        <w:t>41</w:t>
      </w:r>
      <w:r w:rsidRPr="00EE722D">
        <w:rPr>
          <w:rFonts w:ascii="Book Antiqua" w:eastAsia="SimSun" w:hAnsi="Book Antiqua" w:cs="SimSun"/>
        </w:rPr>
        <w:t>: 165-170 [PMID: 12592597 DOI: 10.1055/s-2003-37314]</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79 </w:t>
      </w:r>
      <w:r w:rsidRPr="00EE722D">
        <w:rPr>
          <w:rFonts w:ascii="Book Antiqua" w:eastAsia="SimSun" w:hAnsi="Book Antiqua" w:cs="SimSun"/>
          <w:b/>
          <w:bCs/>
        </w:rPr>
        <w:t>Kotecha HL</w:t>
      </w:r>
      <w:r w:rsidRPr="00EE722D">
        <w:rPr>
          <w:rFonts w:ascii="Book Antiqua" w:eastAsia="SimSun" w:hAnsi="Book Antiqua" w:cs="SimSun"/>
        </w:rPr>
        <w:t>, Arora A, Chawlani R, Toshniwal J, Bansal N, Tyagi P, Sharma P, Kumar M, Kumar A. Low eosinophil count predicts in-hospital mortality in cirrhosis with systemic inflammatory response syndrome. </w:t>
      </w:r>
      <w:r w:rsidRPr="00EE722D">
        <w:rPr>
          <w:rFonts w:ascii="Book Antiqua" w:eastAsia="SimSun" w:hAnsi="Book Antiqua" w:cs="SimSun"/>
          <w:i/>
          <w:iCs/>
        </w:rPr>
        <w:t>Eur J Gastroenterol Hepatol</w:t>
      </w:r>
      <w:r w:rsidRPr="00EE722D">
        <w:rPr>
          <w:rFonts w:ascii="Book Antiqua" w:eastAsia="SimSun" w:hAnsi="Book Antiqua" w:cs="SimSun"/>
        </w:rPr>
        <w:t> 2013; </w:t>
      </w:r>
      <w:r w:rsidRPr="00EE722D">
        <w:rPr>
          <w:rFonts w:ascii="Book Antiqua" w:eastAsia="SimSun" w:hAnsi="Book Antiqua" w:cs="SimSun"/>
          <w:b/>
          <w:bCs/>
        </w:rPr>
        <w:t>25</w:t>
      </w:r>
      <w:r w:rsidRPr="00EE722D">
        <w:rPr>
          <w:rFonts w:ascii="Book Antiqua" w:eastAsia="SimSun" w:hAnsi="Book Antiqua" w:cs="SimSun"/>
        </w:rPr>
        <w:t>: 676-682 [PMID: 23411865 DOI: 10.1097/MEG.0b013e32835eb8f7]</w:t>
      </w:r>
    </w:p>
    <w:p w:rsidR="00615305" w:rsidRPr="00EE722D" w:rsidRDefault="00615305" w:rsidP="003B01FB">
      <w:pPr>
        <w:spacing w:line="360" w:lineRule="auto"/>
        <w:jc w:val="both"/>
        <w:rPr>
          <w:rFonts w:ascii="Book Antiqua" w:eastAsia="SimSun" w:hAnsi="Book Antiqua" w:cs="SimSun"/>
          <w:lang w:eastAsia="zh-CN"/>
        </w:rPr>
      </w:pPr>
      <w:r w:rsidRPr="00EE722D">
        <w:rPr>
          <w:rFonts w:ascii="Book Antiqua" w:eastAsia="SimSun" w:hAnsi="Book Antiqua" w:cs="SimSun"/>
        </w:rPr>
        <w:t>80 </w:t>
      </w:r>
      <w:r w:rsidRPr="00EE722D">
        <w:rPr>
          <w:rFonts w:ascii="Book Antiqua" w:eastAsia="SimSun" w:hAnsi="Book Antiqua" w:cs="SimSun"/>
          <w:b/>
          <w:bCs/>
        </w:rPr>
        <w:t>Lin S</w:t>
      </w:r>
      <w:r w:rsidRPr="00EE722D">
        <w:rPr>
          <w:rFonts w:ascii="Book Antiqua" w:eastAsia="SimSun" w:hAnsi="Book Antiqua" w:cs="SimSun"/>
        </w:rPr>
        <w:t>, Huang Z, Wang M, Weng Z, Zeng D, Zhang Y, Zhu Y, Jiang J. Interleukin-6 as an early diagnostic marker for bacterial sepsis in patients with liver cirrhosis. </w:t>
      </w:r>
      <w:r w:rsidRPr="00EE722D">
        <w:rPr>
          <w:rFonts w:ascii="Book Antiqua" w:eastAsia="SimSun" w:hAnsi="Book Antiqua" w:cs="SimSun"/>
          <w:i/>
          <w:iCs/>
        </w:rPr>
        <w:t>J Crit Care</w:t>
      </w:r>
      <w:r w:rsidRPr="00EE722D">
        <w:rPr>
          <w:rFonts w:ascii="Book Antiqua" w:eastAsia="SimSun" w:hAnsi="Book Antiqua" w:cs="SimSun"/>
        </w:rPr>
        <w:t> 2015; </w:t>
      </w:r>
      <w:r w:rsidRPr="00EE722D">
        <w:rPr>
          <w:rFonts w:ascii="Book Antiqua" w:eastAsia="SimSun" w:hAnsi="Book Antiqua" w:cs="SimSun"/>
          <w:b/>
          <w:bCs/>
        </w:rPr>
        <w:t>30</w:t>
      </w:r>
      <w:r w:rsidRPr="00EE722D">
        <w:rPr>
          <w:rFonts w:ascii="Book Antiqua" w:eastAsia="SimSun" w:hAnsi="Book Antiqua" w:cs="SimSun"/>
        </w:rPr>
        <w:t>: 732-738 [PMID: 25891645 DOI: 10.1016/j.jcrc.2015.03.031]</w:t>
      </w:r>
      <w:r w:rsidR="00CE510E">
        <w:rPr>
          <w:rFonts w:ascii="Book Antiqua" w:eastAsia="SimSun" w:hAnsi="Book Antiqua" w:cs="SimSun" w:hint="eastAsia"/>
          <w:lang w:eastAsia="zh-CN"/>
        </w:rPr>
        <w:t xml:space="preserve"> </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81 </w:t>
      </w:r>
      <w:r w:rsidRPr="00EE722D">
        <w:rPr>
          <w:rFonts w:ascii="Book Antiqua" w:eastAsia="SimSun" w:hAnsi="Book Antiqua" w:cs="SimSun"/>
          <w:b/>
          <w:bCs/>
        </w:rPr>
        <w:t>Müller B</w:t>
      </w:r>
      <w:r w:rsidRPr="00EE722D">
        <w:rPr>
          <w:rFonts w:ascii="Book Antiqua" w:eastAsia="SimSun" w:hAnsi="Book Antiqua" w:cs="SimSun"/>
        </w:rPr>
        <w:t>, White JC, Nylén ES, Snider RH, Becker KL, Habener JF. Ubiquitous expression of the calcitonin-i gene in multiple tissues in response to sepsis. </w:t>
      </w:r>
      <w:r w:rsidRPr="00EE722D">
        <w:rPr>
          <w:rFonts w:ascii="Book Antiqua" w:eastAsia="SimSun" w:hAnsi="Book Antiqua" w:cs="SimSun"/>
          <w:i/>
          <w:iCs/>
        </w:rPr>
        <w:t>J Clin Endocrinol Metab</w:t>
      </w:r>
      <w:r w:rsidRPr="00EE722D">
        <w:rPr>
          <w:rFonts w:ascii="Book Antiqua" w:eastAsia="SimSun" w:hAnsi="Book Antiqua" w:cs="SimSun"/>
        </w:rPr>
        <w:t> 2001; </w:t>
      </w:r>
      <w:r w:rsidRPr="00EE722D">
        <w:rPr>
          <w:rFonts w:ascii="Book Antiqua" w:eastAsia="SimSun" w:hAnsi="Book Antiqua" w:cs="SimSun"/>
          <w:b/>
          <w:bCs/>
        </w:rPr>
        <w:t>86</w:t>
      </w:r>
      <w:r w:rsidRPr="00EE722D">
        <w:rPr>
          <w:rFonts w:ascii="Book Antiqua" w:eastAsia="SimSun" w:hAnsi="Book Antiqua" w:cs="SimSun"/>
        </w:rPr>
        <w:t>: 396-404 [PMID: 11232031 DOI: 10.1210/jcem.86.1.7089]</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82 </w:t>
      </w:r>
      <w:r w:rsidRPr="00EE722D">
        <w:rPr>
          <w:rFonts w:ascii="Book Antiqua" w:eastAsia="SimSun" w:hAnsi="Book Antiqua" w:cs="SimSun"/>
          <w:b/>
          <w:bCs/>
        </w:rPr>
        <w:t>Matwiyoff GN</w:t>
      </w:r>
      <w:r w:rsidRPr="00EE722D">
        <w:rPr>
          <w:rFonts w:ascii="Book Antiqua" w:eastAsia="SimSun" w:hAnsi="Book Antiqua" w:cs="SimSun"/>
        </w:rPr>
        <w:t>, Prahl JD, Miller RJ, Carmichael JJ, Amundson DE, Seda G, Daheshia M. Immune regulation of procalcitonin: a biomarker and mediator of infection. </w:t>
      </w:r>
      <w:r w:rsidRPr="00EE722D">
        <w:rPr>
          <w:rFonts w:ascii="Book Antiqua" w:eastAsia="SimSun" w:hAnsi="Book Antiqua" w:cs="SimSun"/>
          <w:i/>
          <w:iCs/>
        </w:rPr>
        <w:t>Inflamm Res</w:t>
      </w:r>
      <w:r w:rsidRPr="00EE722D">
        <w:rPr>
          <w:rFonts w:ascii="Book Antiqua" w:eastAsia="SimSun" w:hAnsi="Book Antiqua" w:cs="SimSun"/>
        </w:rPr>
        <w:t> 2012; </w:t>
      </w:r>
      <w:r w:rsidRPr="00EE722D">
        <w:rPr>
          <w:rFonts w:ascii="Book Antiqua" w:eastAsia="SimSun" w:hAnsi="Book Antiqua" w:cs="SimSun"/>
          <w:b/>
          <w:bCs/>
        </w:rPr>
        <w:t>61</w:t>
      </w:r>
      <w:r w:rsidRPr="00EE722D">
        <w:rPr>
          <w:rFonts w:ascii="Book Antiqua" w:eastAsia="SimSun" w:hAnsi="Book Antiqua" w:cs="SimSun"/>
        </w:rPr>
        <w:t>: 401-409 [PMID: 22354317 DOI: 10.1007/s00011-012-0439-5]</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lastRenderedPageBreak/>
        <w:t>83 </w:t>
      </w:r>
      <w:r w:rsidRPr="00EE722D">
        <w:rPr>
          <w:rFonts w:ascii="Book Antiqua" w:eastAsia="SimSun" w:hAnsi="Book Antiqua" w:cs="SimSun"/>
          <w:b/>
          <w:bCs/>
        </w:rPr>
        <w:t>Nylen ES</w:t>
      </w:r>
      <w:r w:rsidRPr="00EE722D">
        <w:rPr>
          <w:rFonts w:ascii="Book Antiqua" w:eastAsia="SimSun" w:hAnsi="Book Antiqua" w:cs="SimSun"/>
        </w:rPr>
        <w:t>, Whang KT, Snider RH, Steinwald PM, White JC, Becker KL. Mortality is increased by procalcitonin and decreased by an antiserum reactive to procalcitonin in experimental sepsis. </w:t>
      </w:r>
      <w:r w:rsidRPr="00EE722D">
        <w:rPr>
          <w:rFonts w:ascii="Book Antiqua" w:eastAsia="SimSun" w:hAnsi="Book Antiqua" w:cs="SimSun"/>
          <w:i/>
          <w:iCs/>
        </w:rPr>
        <w:t>Crit Care Med</w:t>
      </w:r>
      <w:r w:rsidRPr="00EE722D">
        <w:rPr>
          <w:rFonts w:ascii="Book Antiqua" w:eastAsia="SimSun" w:hAnsi="Book Antiqua" w:cs="SimSun"/>
        </w:rPr>
        <w:t> 1998; </w:t>
      </w:r>
      <w:r w:rsidRPr="00EE722D">
        <w:rPr>
          <w:rFonts w:ascii="Book Antiqua" w:eastAsia="SimSun" w:hAnsi="Book Antiqua" w:cs="SimSun"/>
          <w:b/>
          <w:bCs/>
        </w:rPr>
        <w:t>26</w:t>
      </w:r>
      <w:r w:rsidRPr="00EE722D">
        <w:rPr>
          <w:rFonts w:ascii="Book Antiqua" w:eastAsia="SimSun" w:hAnsi="Book Antiqua" w:cs="SimSun"/>
        </w:rPr>
        <w:t>: 1001-1006 [PMID: 9635646]</w:t>
      </w:r>
    </w:p>
    <w:p w:rsidR="00615305" w:rsidRPr="00EE722D" w:rsidRDefault="00615305" w:rsidP="003B01FB">
      <w:pPr>
        <w:spacing w:line="360" w:lineRule="auto"/>
        <w:jc w:val="both"/>
        <w:rPr>
          <w:rFonts w:ascii="Book Antiqua" w:eastAsia="SimSun" w:hAnsi="Book Antiqua" w:cs="SimSun"/>
        </w:rPr>
      </w:pPr>
      <w:r w:rsidRPr="00EE722D">
        <w:rPr>
          <w:rFonts w:ascii="Book Antiqua" w:eastAsia="SimSun" w:hAnsi="Book Antiqua" w:cs="SimSun"/>
        </w:rPr>
        <w:t>84 </w:t>
      </w:r>
      <w:r w:rsidRPr="00EE722D">
        <w:rPr>
          <w:rFonts w:ascii="Book Antiqua" w:eastAsia="SimSun" w:hAnsi="Book Antiqua" w:cs="SimSun"/>
          <w:b/>
          <w:bCs/>
        </w:rPr>
        <w:t>Sica A</w:t>
      </w:r>
      <w:r w:rsidRPr="00EE722D">
        <w:rPr>
          <w:rFonts w:ascii="Book Antiqua" w:eastAsia="SimSun" w:hAnsi="Book Antiqua" w:cs="SimSun"/>
        </w:rPr>
        <w:t>, Mantovani A. Macrophage plasticity and polarization: in vivo veritas. </w:t>
      </w:r>
      <w:r w:rsidRPr="00EE722D">
        <w:rPr>
          <w:rFonts w:ascii="Book Antiqua" w:eastAsia="SimSun" w:hAnsi="Book Antiqua" w:cs="SimSun"/>
          <w:i/>
          <w:iCs/>
        </w:rPr>
        <w:t>J Clin Invest</w:t>
      </w:r>
      <w:r w:rsidRPr="00EE722D">
        <w:rPr>
          <w:rFonts w:ascii="Book Antiqua" w:eastAsia="SimSun" w:hAnsi="Book Antiqua" w:cs="SimSun"/>
        </w:rPr>
        <w:t> 2012; </w:t>
      </w:r>
      <w:r w:rsidRPr="00EE722D">
        <w:rPr>
          <w:rFonts w:ascii="Book Antiqua" w:eastAsia="SimSun" w:hAnsi="Book Antiqua" w:cs="SimSun"/>
          <w:b/>
          <w:bCs/>
        </w:rPr>
        <w:t>122</w:t>
      </w:r>
      <w:r w:rsidRPr="00EE722D">
        <w:rPr>
          <w:rFonts w:ascii="Book Antiqua" w:eastAsia="SimSun" w:hAnsi="Book Antiqua" w:cs="SimSun"/>
        </w:rPr>
        <w:t>: 787-795 [PMID: 22378047 DOI: 10.1172/JCI59643]</w:t>
      </w:r>
    </w:p>
    <w:p w:rsidR="00615305" w:rsidRPr="00EE722D" w:rsidRDefault="00615305" w:rsidP="003B01FB">
      <w:pPr>
        <w:spacing w:line="360" w:lineRule="auto"/>
        <w:jc w:val="both"/>
        <w:rPr>
          <w:rFonts w:ascii="Book Antiqua" w:hAnsi="Book Antiqua"/>
        </w:rPr>
      </w:pPr>
    </w:p>
    <w:bookmarkEnd w:id="67"/>
    <w:bookmarkEnd w:id="68"/>
    <w:bookmarkEnd w:id="69"/>
    <w:bookmarkEnd w:id="70"/>
    <w:bookmarkEnd w:id="71"/>
    <w:bookmarkEnd w:id="72"/>
    <w:bookmarkEnd w:id="73"/>
    <w:bookmarkEnd w:id="74"/>
    <w:bookmarkEnd w:id="75"/>
    <w:p w:rsidR="00615305" w:rsidRPr="00615305" w:rsidRDefault="00615305" w:rsidP="003B01FB">
      <w:pPr>
        <w:spacing w:line="360" w:lineRule="auto"/>
        <w:ind w:right="120"/>
        <w:jc w:val="both"/>
        <w:rPr>
          <w:rFonts w:ascii="Book Antiqua" w:eastAsia="SimSun" w:hAnsi="Book Antiqua"/>
          <w:b/>
          <w:bCs/>
          <w:color w:val="000000"/>
          <w:lang w:eastAsia="zh-CN"/>
        </w:rPr>
      </w:pPr>
      <w:r w:rsidRPr="00615305">
        <w:rPr>
          <w:rStyle w:val="Strong"/>
          <w:rFonts w:ascii="Book Antiqua" w:hAnsi="Book Antiqua" w:cs="Arial"/>
          <w:bCs w:val="0"/>
          <w:noProof/>
          <w:color w:val="000000"/>
        </w:rPr>
        <w:t>P-Reviewer</w:t>
      </w:r>
      <w:r w:rsidRPr="00615305">
        <w:rPr>
          <w:rStyle w:val="Strong"/>
          <w:rFonts w:ascii="Book Antiqua" w:eastAsia="SimSun" w:hAnsi="Book Antiqua" w:cs="Arial"/>
          <w:bCs w:val="0"/>
          <w:noProof/>
          <w:color w:val="000000"/>
          <w:lang w:eastAsia="zh-CN"/>
        </w:rPr>
        <w:t>:</w:t>
      </w:r>
      <w:r w:rsidR="003214E7" w:rsidRPr="003214E7">
        <w:t xml:space="preserve"> </w:t>
      </w:r>
      <w:r w:rsidR="003214E7" w:rsidRPr="003214E7">
        <w:rPr>
          <w:rStyle w:val="Strong"/>
          <w:rFonts w:ascii="Book Antiqua" w:eastAsia="SimSun" w:hAnsi="Book Antiqua" w:cs="Arial"/>
          <w:b w:val="0"/>
          <w:bCs w:val="0"/>
          <w:noProof/>
          <w:color w:val="000000"/>
          <w:lang w:eastAsia="zh-CN"/>
        </w:rPr>
        <w:t xml:space="preserve">Angeletti </w:t>
      </w:r>
      <w:r w:rsidR="003214E7" w:rsidRPr="003214E7">
        <w:rPr>
          <w:rStyle w:val="Strong"/>
          <w:rFonts w:ascii="Book Antiqua" w:eastAsia="SimSun" w:hAnsi="Book Antiqua" w:cs="Arial" w:hint="eastAsia"/>
          <w:b w:val="0"/>
          <w:bCs w:val="0"/>
          <w:noProof/>
          <w:color w:val="000000"/>
          <w:lang w:eastAsia="zh-CN"/>
        </w:rPr>
        <w:t xml:space="preserve">S, </w:t>
      </w:r>
      <w:r w:rsidRPr="00615305">
        <w:rPr>
          <w:rFonts w:ascii="Book Antiqua" w:hAnsi="Book Antiqua"/>
          <w:bCs/>
          <w:color w:val="000000"/>
        </w:rPr>
        <w:t xml:space="preserve"> </w:t>
      </w:r>
      <w:r w:rsidR="003214E7">
        <w:rPr>
          <w:rFonts w:ascii="Book Antiqua" w:hAnsi="Book Antiqua"/>
          <w:bCs/>
          <w:color w:val="000000"/>
        </w:rPr>
        <w:t>Kim</w:t>
      </w:r>
      <w:r w:rsidR="003214E7">
        <w:rPr>
          <w:rFonts w:ascii="Book Antiqua" w:hAnsi="Book Antiqua" w:hint="eastAsia"/>
          <w:bCs/>
          <w:color w:val="000000"/>
          <w:lang w:eastAsia="zh-CN"/>
        </w:rPr>
        <w:t xml:space="preserve"> </w:t>
      </w:r>
      <w:r w:rsidR="003214E7" w:rsidRPr="003214E7">
        <w:rPr>
          <w:rFonts w:ascii="Book Antiqua" w:hAnsi="Book Antiqua"/>
          <w:bCs/>
          <w:color w:val="000000"/>
        </w:rPr>
        <w:t>IH</w:t>
      </w:r>
      <w:r w:rsidRPr="00615305">
        <w:rPr>
          <w:rFonts w:ascii="Book Antiqua" w:hAnsi="Book Antiqua"/>
          <w:bCs/>
          <w:color w:val="000000"/>
        </w:rPr>
        <w:t xml:space="preserve">   </w:t>
      </w:r>
      <w:r w:rsidRPr="00615305">
        <w:rPr>
          <w:rFonts w:ascii="Book Antiqua" w:hAnsi="Book Antiqua"/>
          <w:b/>
          <w:bCs/>
          <w:color w:val="000000"/>
        </w:rPr>
        <w:t>S-Editor</w:t>
      </w:r>
      <w:r w:rsidRPr="00615305">
        <w:rPr>
          <w:rFonts w:ascii="Book Antiqua" w:eastAsia="SimSun" w:hAnsi="Book Antiqua"/>
          <w:b/>
          <w:bCs/>
          <w:color w:val="000000"/>
          <w:lang w:eastAsia="zh-CN"/>
        </w:rPr>
        <w:t>:</w:t>
      </w:r>
      <w:r w:rsidRPr="00615305">
        <w:rPr>
          <w:rFonts w:ascii="Book Antiqua" w:hAnsi="Book Antiqua"/>
          <w:bCs/>
          <w:color w:val="000000"/>
        </w:rPr>
        <w:t xml:space="preserve"> </w:t>
      </w:r>
      <w:r w:rsidRPr="00615305">
        <w:rPr>
          <w:rFonts w:ascii="Book Antiqua" w:eastAsia="SimSun" w:hAnsi="Book Antiqua"/>
          <w:bCs/>
          <w:color w:val="000000"/>
          <w:lang w:eastAsia="zh-CN"/>
        </w:rPr>
        <w:t>Qi Y</w:t>
      </w:r>
      <w:r w:rsidRPr="00615305">
        <w:rPr>
          <w:rFonts w:ascii="Book Antiqua" w:hAnsi="Book Antiqua"/>
          <w:b/>
          <w:bCs/>
          <w:color w:val="000000"/>
        </w:rPr>
        <w:t xml:space="preserve">   L-Editor</w:t>
      </w:r>
      <w:r w:rsidRPr="00615305">
        <w:rPr>
          <w:rFonts w:ascii="Book Antiqua" w:eastAsia="SimSun" w:hAnsi="Book Antiqua"/>
          <w:b/>
          <w:bCs/>
          <w:color w:val="000000"/>
          <w:lang w:eastAsia="zh-CN"/>
        </w:rPr>
        <w:t>:</w:t>
      </w:r>
      <w:r w:rsidRPr="00615305">
        <w:rPr>
          <w:rFonts w:ascii="Book Antiqua" w:hAnsi="Book Antiqua"/>
          <w:b/>
          <w:bCs/>
          <w:color w:val="000000"/>
        </w:rPr>
        <w:t xml:space="preserve">   E-Editor</w:t>
      </w:r>
      <w:r w:rsidRPr="00615305">
        <w:rPr>
          <w:rFonts w:ascii="Book Antiqua" w:eastAsia="SimSun" w:hAnsi="Book Antiqua"/>
          <w:b/>
          <w:bCs/>
          <w:color w:val="000000"/>
          <w:lang w:eastAsia="zh-CN"/>
        </w:rPr>
        <w:t>:</w:t>
      </w:r>
    </w:p>
    <w:p w:rsidR="00CA0A95" w:rsidRDefault="00CA0A95" w:rsidP="003B01FB">
      <w:pPr>
        <w:shd w:val="clear" w:color="auto" w:fill="FFFFFF"/>
        <w:snapToGrid w:val="0"/>
        <w:spacing w:line="360" w:lineRule="auto"/>
        <w:jc w:val="both"/>
        <w:rPr>
          <w:rFonts w:ascii="Book Antiqua" w:eastAsia="SimSun" w:hAnsi="Book Antiqua" w:cs="Helvetica"/>
          <w:b/>
          <w:lang w:eastAsia="zh-CN"/>
        </w:rPr>
      </w:pPr>
    </w:p>
    <w:p w:rsidR="00615305" w:rsidRPr="008F0DB6" w:rsidRDefault="00615305" w:rsidP="003B01FB">
      <w:pPr>
        <w:shd w:val="clear" w:color="auto" w:fill="FFFFFF"/>
        <w:snapToGrid w:val="0"/>
        <w:spacing w:line="360" w:lineRule="auto"/>
        <w:jc w:val="both"/>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rsidR="00615305" w:rsidRPr="003214E7" w:rsidRDefault="00615305" w:rsidP="003B01FB">
      <w:pPr>
        <w:shd w:val="clear" w:color="auto" w:fill="FFFFFF"/>
        <w:snapToGrid w:val="0"/>
        <w:spacing w:line="360" w:lineRule="auto"/>
        <w:jc w:val="both"/>
        <w:rPr>
          <w:rFonts w:ascii="Book Antiqua" w:hAnsi="Book Antiqua" w:cs="Helvetica"/>
        </w:rPr>
      </w:pPr>
      <w:r w:rsidRPr="008F0DB6">
        <w:rPr>
          <w:rFonts w:ascii="Book Antiqua" w:hAnsi="Book Antiqua" w:cs="Helvetica"/>
          <w:b/>
        </w:rPr>
        <w:t xml:space="preserve">Country of origin: </w:t>
      </w:r>
      <w:r w:rsidR="003214E7" w:rsidRPr="003214E7">
        <w:rPr>
          <w:rFonts w:ascii="Book Antiqua" w:hAnsi="Book Antiqua" w:cs="Helvetica"/>
        </w:rPr>
        <w:t>Hungary</w:t>
      </w:r>
    </w:p>
    <w:p w:rsidR="00615305" w:rsidRPr="008F0DB6" w:rsidRDefault="00615305" w:rsidP="003B01FB">
      <w:pPr>
        <w:shd w:val="clear" w:color="auto" w:fill="FFFFFF"/>
        <w:snapToGrid w:val="0"/>
        <w:spacing w:line="360" w:lineRule="auto"/>
        <w:jc w:val="both"/>
        <w:rPr>
          <w:rFonts w:ascii="Book Antiqua" w:hAnsi="Book Antiqua" w:cs="Helvetica"/>
          <w:b/>
        </w:rPr>
      </w:pPr>
      <w:r w:rsidRPr="008F0DB6">
        <w:rPr>
          <w:rFonts w:ascii="Book Antiqua" w:hAnsi="Book Antiqua" w:cs="Helvetica"/>
          <w:b/>
        </w:rPr>
        <w:t>Peer-review report classification</w:t>
      </w:r>
    </w:p>
    <w:p w:rsidR="00615305" w:rsidRPr="008F0DB6" w:rsidRDefault="00615305" w:rsidP="003B01FB">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rsidR="00615305" w:rsidRPr="008F0DB6" w:rsidRDefault="00615305" w:rsidP="003B01FB">
      <w:pPr>
        <w:shd w:val="clear" w:color="auto" w:fill="FFFFFF"/>
        <w:snapToGrid w:val="0"/>
        <w:spacing w:line="360" w:lineRule="auto"/>
        <w:jc w:val="both"/>
        <w:rPr>
          <w:rFonts w:ascii="Book Antiqua" w:hAnsi="Book Antiqua" w:cs="Helvetica"/>
          <w:lang w:eastAsia="zh-CN"/>
        </w:rPr>
      </w:pPr>
      <w:r w:rsidRPr="008F0DB6">
        <w:rPr>
          <w:rFonts w:ascii="Book Antiqua" w:hAnsi="Book Antiqua" w:cs="Helvetica"/>
        </w:rPr>
        <w:t xml:space="preserve">Grade B (Very good): </w:t>
      </w:r>
      <w:r w:rsidR="003214E7">
        <w:rPr>
          <w:rFonts w:ascii="Book Antiqua" w:hAnsi="Book Antiqua" w:cs="Helvetica" w:hint="eastAsia"/>
          <w:lang w:eastAsia="zh-CN"/>
        </w:rPr>
        <w:t>B</w:t>
      </w:r>
    </w:p>
    <w:p w:rsidR="00615305" w:rsidRPr="008F0DB6" w:rsidRDefault="00615305" w:rsidP="003B01FB">
      <w:pPr>
        <w:shd w:val="clear" w:color="auto" w:fill="FFFFFF"/>
        <w:snapToGrid w:val="0"/>
        <w:spacing w:line="360" w:lineRule="auto"/>
        <w:jc w:val="both"/>
        <w:rPr>
          <w:rFonts w:ascii="Book Antiqua" w:hAnsi="Book Antiqua" w:cs="Helvetica"/>
          <w:lang w:eastAsia="zh-CN"/>
        </w:rPr>
      </w:pPr>
      <w:r w:rsidRPr="008F0DB6">
        <w:rPr>
          <w:rFonts w:ascii="Book Antiqua" w:hAnsi="Book Antiqua" w:cs="Helvetica"/>
        </w:rPr>
        <w:t xml:space="preserve">Grade C (Good): </w:t>
      </w:r>
      <w:r w:rsidR="003214E7">
        <w:rPr>
          <w:rFonts w:ascii="Book Antiqua" w:hAnsi="Book Antiqua" w:cs="Helvetica" w:hint="eastAsia"/>
          <w:lang w:eastAsia="zh-CN"/>
        </w:rPr>
        <w:t>C</w:t>
      </w:r>
    </w:p>
    <w:p w:rsidR="00615305" w:rsidRPr="008F0DB6" w:rsidRDefault="00615305" w:rsidP="003B01FB">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rsidR="00615305" w:rsidRPr="008F0DB6" w:rsidRDefault="00615305" w:rsidP="003B01FB">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rsidR="000A103F" w:rsidRPr="00664A42" w:rsidRDefault="000A103F" w:rsidP="003B01FB">
      <w:pPr>
        <w:widowControl w:val="0"/>
        <w:autoSpaceDE w:val="0"/>
        <w:autoSpaceDN w:val="0"/>
        <w:adjustRightInd w:val="0"/>
        <w:spacing w:line="360" w:lineRule="auto"/>
        <w:jc w:val="both"/>
        <w:rPr>
          <w:rFonts w:ascii="Book Antiqua" w:hAnsi="Book Antiqua"/>
          <w:lang w:val="en-GB"/>
        </w:rPr>
      </w:pPr>
      <w:r w:rsidRPr="00664A42">
        <w:rPr>
          <w:rFonts w:ascii="Book Antiqua" w:hAnsi="Book Antiqua"/>
          <w:b/>
        </w:rPr>
        <w:br w:type="column"/>
      </w:r>
    </w:p>
    <w:p w:rsidR="000A103F" w:rsidRPr="00664A42" w:rsidRDefault="00664A42" w:rsidP="003B01FB">
      <w:pPr>
        <w:widowControl w:val="0"/>
        <w:autoSpaceDE w:val="0"/>
        <w:autoSpaceDN w:val="0"/>
        <w:adjustRightInd w:val="0"/>
        <w:spacing w:line="360" w:lineRule="auto"/>
        <w:jc w:val="both"/>
        <w:rPr>
          <w:rFonts w:ascii="Book Antiqua" w:eastAsiaTheme="minorEastAsia" w:hAnsi="Book Antiqua"/>
          <w:b/>
          <w:lang w:val="en-GB" w:eastAsia="en-US"/>
        </w:rPr>
      </w:pPr>
      <w:r>
        <w:rPr>
          <w:rFonts w:ascii="Book Antiqua" w:eastAsiaTheme="minorEastAsia" w:hAnsi="Book Antiqua"/>
          <w:b/>
          <w:lang w:val="en-GB" w:eastAsia="en-US"/>
        </w:rPr>
        <w:t>Table 1</w:t>
      </w:r>
      <w:r>
        <w:rPr>
          <w:rFonts w:ascii="Book Antiqua" w:eastAsiaTheme="minorEastAsia" w:hAnsi="Book Antiqua" w:hint="eastAsia"/>
          <w:b/>
          <w:lang w:val="en-GB" w:eastAsia="zh-CN"/>
        </w:rPr>
        <w:t xml:space="preserve"> </w:t>
      </w:r>
      <w:r w:rsidR="000A103F" w:rsidRPr="00664A42">
        <w:rPr>
          <w:rFonts w:ascii="Book Antiqua" w:eastAsiaTheme="minorEastAsia" w:hAnsi="Book Antiqua"/>
          <w:b/>
          <w:lang w:val="en-GB" w:eastAsia="en-US"/>
        </w:rPr>
        <w:t>Demographic, clinical and laboratory characteristics of patients with or without bacterial infections</w:t>
      </w:r>
    </w:p>
    <w:tbl>
      <w:tblPr>
        <w:tblW w:w="9887" w:type="dxa"/>
        <w:jc w:val="center"/>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481"/>
        <w:gridCol w:w="1164"/>
        <w:gridCol w:w="1042"/>
        <w:gridCol w:w="1794"/>
        <w:gridCol w:w="1797"/>
        <w:gridCol w:w="1702"/>
        <w:gridCol w:w="907"/>
      </w:tblGrid>
      <w:tr w:rsidR="00664A42" w:rsidRPr="00664A42" w:rsidTr="00664A42">
        <w:trPr>
          <w:trHeight w:val="20"/>
          <w:jc w:val="center"/>
        </w:trPr>
        <w:tc>
          <w:tcPr>
            <w:tcW w:w="3687" w:type="dxa"/>
            <w:gridSpan w:val="3"/>
            <w:tcBorders>
              <w:top w:val="single" w:sz="4" w:space="0" w:color="auto"/>
              <w:bottom w:val="single" w:sz="4" w:space="0" w:color="auto"/>
            </w:tcBorders>
            <w:shd w:val="clear" w:color="auto" w:fill="auto"/>
            <w:vAlign w:val="bottom"/>
            <w:hideMark/>
          </w:tcPr>
          <w:p w:rsidR="000A103F" w:rsidRPr="00664A42" w:rsidRDefault="000A103F" w:rsidP="003B01FB">
            <w:pPr>
              <w:spacing w:line="360" w:lineRule="auto"/>
              <w:jc w:val="both"/>
              <w:rPr>
                <w:rFonts w:ascii="Book Antiqua" w:hAnsi="Book Antiqua"/>
                <w:b/>
                <w:lang w:val="en-US" w:eastAsia="en-US"/>
              </w:rPr>
            </w:pPr>
          </w:p>
        </w:tc>
        <w:tc>
          <w:tcPr>
            <w:tcW w:w="1794" w:type="dxa"/>
            <w:tcBorders>
              <w:top w:val="single" w:sz="4" w:space="0" w:color="auto"/>
              <w:bottom w:val="single" w:sz="4" w:space="0" w:color="auto"/>
            </w:tcBorders>
            <w:shd w:val="clear" w:color="auto" w:fill="auto"/>
            <w:noWrap/>
            <w:vAlign w:val="bottom"/>
            <w:hideMark/>
          </w:tcPr>
          <w:p w:rsidR="000A103F" w:rsidRPr="00664A42" w:rsidRDefault="000A103F" w:rsidP="003B01FB">
            <w:pPr>
              <w:spacing w:line="360" w:lineRule="auto"/>
              <w:jc w:val="both"/>
              <w:rPr>
                <w:rFonts w:ascii="Book Antiqua" w:hAnsi="Book Antiqua"/>
                <w:b/>
                <w:lang w:val="en-US" w:eastAsia="en-US"/>
              </w:rPr>
            </w:pPr>
            <w:r w:rsidRPr="00664A42">
              <w:rPr>
                <w:rFonts w:ascii="Book Antiqua" w:hAnsi="Book Antiqua"/>
                <w:b/>
                <w:lang w:val="en-US" w:eastAsia="en-US"/>
              </w:rPr>
              <w:t>Non-Infected</w:t>
            </w:r>
          </w:p>
        </w:tc>
        <w:tc>
          <w:tcPr>
            <w:tcW w:w="3499" w:type="dxa"/>
            <w:gridSpan w:val="2"/>
            <w:tcBorders>
              <w:top w:val="single" w:sz="4" w:space="0" w:color="auto"/>
              <w:bottom w:val="single" w:sz="4" w:space="0" w:color="auto"/>
            </w:tcBorders>
            <w:shd w:val="clear" w:color="auto" w:fill="auto"/>
            <w:noWrap/>
            <w:vAlign w:val="bottom"/>
            <w:hideMark/>
          </w:tcPr>
          <w:p w:rsidR="000A103F" w:rsidRPr="00664A42" w:rsidRDefault="000A103F" w:rsidP="003B01FB">
            <w:pPr>
              <w:spacing w:line="360" w:lineRule="auto"/>
              <w:jc w:val="both"/>
              <w:rPr>
                <w:rFonts w:ascii="Book Antiqua" w:hAnsi="Book Antiqua"/>
                <w:b/>
                <w:lang w:val="en-US" w:eastAsia="en-US"/>
              </w:rPr>
            </w:pPr>
            <w:r w:rsidRPr="00664A42">
              <w:rPr>
                <w:rFonts w:ascii="Book Antiqua" w:hAnsi="Book Antiqua"/>
                <w:b/>
                <w:lang w:val="en-US" w:eastAsia="en-US"/>
              </w:rPr>
              <w:t>Infected</w:t>
            </w:r>
          </w:p>
        </w:tc>
        <w:tc>
          <w:tcPr>
            <w:tcW w:w="907" w:type="dxa"/>
            <w:tcBorders>
              <w:top w:val="single" w:sz="4" w:space="0" w:color="auto"/>
              <w:bottom w:val="single" w:sz="4" w:space="0" w:color="auto"/>
            </w:tcBorders>
            <w:shd w:val="clear" w:color="auto" w:fill="auto"/>
            <w:noWrap/>
            <w:vAlign w:val="bottom"/>
            <w:hideMark/>
          </w:tcPr>
          <w:p w:rsidR="000A103F" w:rsidRPr="00664A42" w:rsidRDefault="000A103F" w:rsidP="003B01FB">
            <w:pPr>
              <w:spacing w:line="360" w:lineRule="auto"/>
              <w:jc w:val="both"/>
              <w:rPr>
                <w:rFonts w:ascii="Book Antiqua" w:hAnsi="Book Antiqua"/>
                <w:b/>
                <w:lang w:val="en-US" w:eastAsia="en-US"/>
              </w:rPr>
            </w:pPr>
            <w:r w:rsidRPr="00664A42">
              <w:rPr>
                <w:rFonts w:ascii="Book Antiqua" w:hAnsi="Book Antiqua"/>
                <w:b/>
                <w:i/>
                <w:lang w:val="en-US" w:eastAsia="en-US"/>
              </w:rPr>
              <w:t>P</w:t>
            </w:r>
            <w:r w:rsidR="00664A42" w:rsidRPr="00664A42">
              <w:rPr>
                <w:rFonts w:ascii="Book Antiqua" w:hAnsi="Book Antiqua" w:hint="eastAsia"/>
                <w:b/>
                <w:lang w:val="en-US" w:eastAsia="zh-CN"/>
              </w:rPr>
              <w:t xml:space="preserve"> </w:t>
            </w:r>
            <w:r w:rsidRPr="00664A42">
              <w:rPr>
                <w:rFonts w:ascii="Book Antiqua" w:hAnsi="Book Antiqua"/>
                <w:b/>
                <w:lang w:val="en-US" w:eastAsia="en-US"/>
              </w:rPr>
              <w:t>value</w:t>
            </w:r>
          </w:p>
        </w:tc>
      </w:tr>
      <w:tr w:rsidR="00664A42" w:rsidRPr="00664A42" w:rsidTr="00664A42">
        <w:trPr>
          <w:trHeight w:val="20"/>
          <w:jc w:val="center"/>
        </w:trPr>
        <w:tc>
          <w:tcPr>
            <w:tcW w:w="3687" w:type="dxa"/>
            <w:gridSpan w:val="3"/>
            <w:tcBorders>
              <w:top w:val="single" w:sz="4" w:space="0" w:color="auto"/>
            </w:tcBorders>
            <w:shd w:val="clear" w:color="auto" w:fill="auto"/>
            <w:vAlign w:val="bottom"/>
            <w:hideMark/>
          </w:tcPr>
          <w:p w:rsidR="000A103F" w:rsidRPr="00664A42" w:rsidRDefault="00664A42" w:rsidP="003B01FB">
            <w:pPr>
              <w:spacing w:line="360" w:lineRule="auto"/>
              <w:jc w:val="both"/>
              <w:rPr>
                <w:rFonts w:ascii="Book Antiqua" w:hAnsi="Book Antiqua"/>
                <w:i/>
                <w:lang w:val="en-US" w:eastAsia="en-US"/>
              </w:rPr>
            </w:pPr>
            <w:r w:rsidRPr="00664A42">
              <w:rPr>
                <w:rFonts w:ascii="Book Antiqua" w:hAnsi="Book Antiqua"/>
                <w:i/>
                <w:lang w:val="en-US" w:eastAsia="en-US"/>
              </w:rPr>
              <w:t>n</w:t>
            </w:r>
          </w:p>
        </w:tc>
        <w:tc>
          <w:tcPr>
            <w:tcW w:w="1794" w:type="dxa"/>
            <w:tcBorders>
              <w:top w:val="single" w:sz="4" w:space="0" w:color="auto"/>
            </w:tcBorders>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141</w:t>
            </w:r>
          </w:p>
        </w:tc>
        <w:tc>
          <w:tcPr>
            <w:tcW w:w="3499" w:type="dxa"/>
            <w:gridSpan w:val="2"/>
            <w:tcBorders>
              <w:top w:val="single" w:sz="4" w:space="0" w:color="auto"/>
            </w:tcBorders>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75</w:t>
            </w:r>
          </w:p>
        </w:tc>
        <w:tc>
          <w:tcPr>
            <w:tcW w:w="907" w:type="dxa"/>
            <w:tcBorders>
              <w:top w:val="single" w:sz="4" w:space="0" w:color="auto"/>
            </w:tcBorders>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Gender (male/female)</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77/64</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41/34</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N.S</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Age (</w:t>
            </w:r>
            <w:r w:rsidR="00664A42">
              <w:rPr>
                <w:rFonts w:ascii="Book Antiqua" w:hAnsi="Book Antiqua" w:hint="eastAsia"/>
                <w:lang w:val="en-US" w:eastAsia="zh-CN"/>
              </w:rPr>
              <w:t>yr</w:t>
            </w:r>
            <w:r w:rsidRPr="00664A42">
              <w:rPr>
                <w:rFonts w:ascii="Book Antiqua" w:hAnsi="Book Antiqua"/>
                <w:lang w:val="en-US" w:eastAsia="en-US"/>
              </w:rPr>
              <w:t>)</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57.3 ± 10.7</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58.1 ± 9.7</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N.S</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Child-Pugh score </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6.9 ± 1.7</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9.3 ± 2.2</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zh-CN"/>
              </w:rPr>
            </w:pPr>
            <w:r w:rsidRPr="00664A42">
              <w:rPr>
                <w:rFonts w:ascii="Book Antiqua" w:hAnsi="Book Antiqua"/>
                <w:lang w:val="en-US" w:eastAsia="en-US"/>
              </w:rPr>
              <w:t>Child-Pugh stage</w:t>
            </w:r>
            <w:r w:rsidR="00664A42">
              <w:rPr>
                <w:rFonts w:ascii="Book Antiqua" w:hAnsi="Book Antiqua" w:hint="eastAsia"/>
                <w:lang w:val="en-US" w:eastAsia="zh-CN"/>
              </w:rPr>
              <w:t xml:space="preserve">, </w:t>
            </w:r>
            <w:r w:rsidR="00664A42" w:rsidRPr="00664A42">
              <w:rPr>
                <w:rFonts w:ascii="Book Antiqua" w:hAnsi="Book Antiqua" w:hint="eastAsia"/>
                <w:i/>
                <w:lang w:val="en-US" w:eastAsia="zh-CN"/>
              </w:rPr>
              <w:t>n</w:t>
            </w:r>
            <w:r w:rsidR="00664A42">
              <w:rPr>
                <w:rFonts w:ascii="Book Antiqua" w:hAnsi="Book Antiqua" w:hint="eastAsia"/>
                <w:lang w:val="en-US" w:eastAsia="zh-CN"/>
              </w:rPr>
              <w:t xml:space="preserve"> (%)</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A</w:t>
            </w:r>
          </w:p>
        </w:tc>
        <w:tc>
          <w:tcPr>
            <w:tcW w:w="1794" w:type="dxa"/>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58 (41.1</w:t>
            </w:r>
            <w:r w:rsidR="000A103F" w:rsidRPr="00664A42">
              <w:rPr>
                <w:rFonts w:ascii="Book Antiqua" w:hAnsi="Book Antiqua"/>
                <w:lang w:val="en-US" w:eastAsia="en-US"/>
              </w:rPr>
              <w:t>)</w:t>
            </w: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6 (8.0</w:t>
            </w:r>
            <w:r w:rsidR="000A103F" w:rsidRPr="00664A42">
              <w:rPr>
                <w:rFonts w:ascii="Book Antiqua" w:hAnsi="Book Antiqua"/>
                <w:lang w:val="en-US" w:eastAsia="en-US"/>
              </w:rPr>
              <w:t>)</w:t>
            </w:r>
          </w:p>
        </w:tc>
        <w:tc>
          <w:tcPr>
            <w:tcW w:w="907" w:type="dxa"/>
            <w:vMerge w:val="restart"/>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B</w:t>
            </w:r>
          </w:p>
        </w:tc>
        <w:tc>
          <w:tcPr>
            <w:tcW w:w="1794" w:type="dxa"/>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65 (46.1</w:t>
            </w:r>
            <w:r w:rsidR="000A103F" w:rsidRPr="00664A42">
              <w:rPr>
                <w:rFonts w:ascii="Book Antiqua" w:hAnsi="Book Antiqua"/>
                <w:lang w:val="en-US" w:eastAsia="en-US"/>
              </w:rPr>
              <w:t>)</w:t>
            </w: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28 (37.3</w:t>
            </w:r>
            <w:r w:rsidR="000A103F" w:rsidRPr="00664A42">
              <w:rPr>
                <w:rFonts w:ascii="Book Antiqua" w:hAnsi="Book Antiqua"/>
                <w:lang w:val="en-US" w:eastAsia="en-US"/>
              </w:rPr>
              <w:t>)</w:t>
            </w:r>
          </w:p>
        </w:tc>
        <w:tc>
          <w:tcPr>
            <w:tcW w:w="907" w:type="dxa"/>
            <w:vMerge/>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C</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18 (12.8)</w:t>
            </w: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41 (54.7</w:t>
            </w:r>
            <w:r w:rsidR="000A103F" w:rsidRPr="00664A42">
              <w:rPr>
                <w:rFonts w:ascii="Book Antiqua" w:hAnsi="Book Antiqua"/>
                <w:lang w:val="en-US" w:eastAsia="en-US"/>
              </w:rPr>
              <w:t>)</w:t>
            </w:r>
          </w:p>
        </w:tc>
        <w:tc>
          <w:tcPr>
            <w:tcW w:w="907" w:type="dxa"/>
            <w:vMerge/>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MELD score</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12.3 ± 4.1</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19.1 ± 9.1</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Serum bilirubin (μmol/L)</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41.4 ± 38.3</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124.1 ± 147.4</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Serum albumin (g/L)</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35.4 ± 7.1</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28.1 ± 6.5</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INR</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1.3 ± 0.2</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1.6 ± 0.5</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Serum creatinine (μmol/L)</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83.8 ± 74.3</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131.2 ± 129.9</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Ascites present</w:t>
            </w:r>
            <w:r w:rsidR="00664A42">
              <w:rPr>
                <w:rFonts w:ascii="Book Antiqua" w:hAnsi="Book Antiqua" w:hint="eastAsia"/>
                <w:lang w:val="en-US" w:eastAsia="zh-CN"/>
              </w:rPr>
              <w:t xml:space="preserve">, </w:t>
            </w:r>
            <w:r w:rsidR="00664A42" w:rsidRPr="00664A42">
              <w:rPr>
                <w:rFonts w:ascii="Book Antiqua" w:hAnsi="Book Antiqua" w:hint="eastAsia"/>
                <w:i/>
                <w:lang w:val="en-US" w:eastAsia="zh-CN"/>
              </w:rPr>
              <w:t>n</w:t>
            </w:r>
            <w:r w:rsidR="00664A42">
              <w:rPr>
                <w:rFonts w:ascii="Book Antiqua" w:hAnsi="Book Antiqua" w:hint="eastAsia"/>
                <w:lang w:val="en-US" w:eastAsia="zh-CN"/>
              </w:rPr>
              <w:t xml:space="preserve"> (%)</w:t>
            </w:r>
          </w:p>
        </w:tc>
        <w:tc>
          <w:tcPr>
            <w:tcW w:w="1794" w:type="dxa"/>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58 (41.1</w:t>
            </w:r>
            <w:r w:rsidR="000A103F" w:rsidRPr="00664A42">
              <w:rPr>
                <w:rFonts w:ascii="Book Antiqua" w:hAnsi="Book Antiqua"/>
                <w:lang w:val="en-US" w:eastAsia="en-US"/>
              </w:rPr>
              <w:t>)</w:t>
            </w: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59 (78.7</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HCC</w:t>
            </w:r>
            <w:r w:rsidR="00664A42">
              <w:rPr>
                <w:rFonts w:ascii="Book Antiqua" w:hAnsi="Book Antiqua" w:hint="eastAsia"/>
                <w:lang w:val="en-US" w:eastAsia="zh-CN"/>
              </w:rPr>
              <w:t xml:space="preserve">, </w:t>
            </w:r>
            <w:r w:rsidR="00664A42" w:rsidRPr="00664A42">
              <w:rPr>
                <w:rFonts w:ascii="Book Antiqua" w:hAnsi="Book Antiqua" w:hint="eastAsia"/>
                <w:i/>
                <w:lang w:val="en-US" w:eastAsia="zh-CN"/>
              </w:rPr>
              <w:t>n</w:t>
            </w:r>
            <w:r w:rsidR="00664A42">
              <w:rPr>
                <w:rFonts w:ascii="Book Antiqua" w:hAnsi="Book Antiqua" w:hint="eastAsia"/>
                <w:lang w:val="en-US" w:eastAsia="zh-CN"/>
              </w:rPr>
              <w:t xml:space="preserve"> (%)</w:t>
            </w:r>
          </w:p>
        </w:tc>
        <w:tc>
          <w:tcPr>
            <w:tcW w:w="1794" w:type="dxa"/>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4 (2.8</w:t>
            </w:r>
            <w:r w:rsidR="000A103F" w:rsidRPr="00664A42">
              <w:rPr>
                <w:rFonts w:ascii="Book Antiqua" w:hAnsi="Book Antiqua"/>
                <w:lang w:val="en-US" w:eastAsia="en-US"/>
              </w:rPr>
              <w:t>)</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11 (14.7)</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0.003</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Comorbidities present</w:t>
            </w:r>
            <w:r w:rsidR="00664A42">
              <w:rPr>
                <w:rFonts w:ascii="Book Antiqua" w:hAnsi="Book Antiqua" w:hint="eastAsia"/>
                <w:lang w:val="en-US" w:eastAsia="zh-CN"/>
              </w:rPr>
              <w:t xml:space="preserve">, </w:t>
            </w:r>
            <w:r w:rsidR="00664A42" w:rsidRPr="00664A42">
              <w:rPr>
                <w:rFonts w:ascii="Book Antiqua" w:hAnsi="Book Antiqua" w:hint="eastAsia"/>
                <w:i/>
                <w:lang w:val="en-US" w:eastAsia="zh-CN"/>
              </w:rPr>
              <w:t>n</w:t>
            </w:r>
            <w:r w:rsidR="00664A42">
              <w:rPr>
                <w:rFonts w:ascii="Book Antiqua" w:hAnsi="Book Antiqua" w:hint="eastAsia"/>
                <w:lang w:val="en-US" w:eastAsia="zh-CN"/>
              </w:rPr>
              <w:t xml:space="preserve"> (%)</w:t>
            </w:r>
          </w:p>
        </w:tc>
        <w:tc>
          <w:tcPr>
            <w:tcW w:w="1794" w:type="dxa"/>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72 (51.1</w:t>
            </w:r>
            <w:r w:rsidR="000A103F" w:rsidRPr="00664A42">
              <w:rPr>
                <w:rFonts w:ascii="Book Antiqua" w:hAnsi="Book Antiqua"/>
                <w:lang w:val="en-US" w:eastAsia="en-US"/>
              </w:rPr>
              <w:t>)</w:t>
            </w: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45 (60.0</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N</w:t>
            </w:r>
            <w:r w:rsidR="000A103F" w:rsidRPr="00664A42">
              <w:rPr>
                <w:rFonts w:ascii="Book Antiqua" w:hAnsi="Book Antiqua"/>
                <w:lang w:val="en-US" w:eastAsia="en-US"/>
              </w:rPr>
              <w:t>S</w:t>
            </w: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b/>
                <w:bCs/>
                <w:lang w:val="en-US" w:eastAsia="en-US"/>
              </w:rPr>
            </w:pPr>
            <w:r w:rsidRPr="00664A42">
              <w:rPr>
                <w:rFonts w:ascii="Book Antiqua" w:hAnsi="Book Antiqua"/>
                <w:b/>
                <w:bCs/>
                <w:lang w:val="en-US" w:eastAsia="en-US"/>
              </w:rPr>
              <w:t>Type of bacterial infections</w:t>
            </w:r>
            <w:r w:rsidR="00664A42">
              <w:rPr>
                <w:rFonts w:ascii="Book Antiqua" w:hAnsi="Book Antiqua" w:hint="eastAsia"/>
                <w:lang w:val="en-US" w:eastAsia="zh-CN"/>
              </w:rPr>
              <w:t xml:space="preserve">, </w:t>
            </w:r>
            <w:r w:rsidR="00664A42" w:rsidRPr="00664A42">
              <w:rPr>
                <w:rFonts w:ascii="Book Antiqua" w:hAnsi="Book Antiqua" w:hint="eastAsia"/>
                <w:i/>
                <w:lang w:val="en-US" w:eastAsia="zh-CN"/>
              </w:rPr>
              <w:t>n</w:t>
            </w:r>
            <w:r w:rsidR="00664A42">
              <w:rPr>
                <w:rFonts w:ascii="Book Antiqua" w:hAnsi="Book Antiqua" w:hint="eastAsia"/>
                <w:lang w:val="en-US" w:eastAsia="zh-CN"/>
              </w:rPr>
              <w:t xml:space="preserve"> (%)</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UTI</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25 (29.4</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SBP</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20 (23.5</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Pneumonia</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18 (21.2</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SSTI</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4 (4.7</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Miscellaneous</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18 (21.2</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Multiple</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664A42" w:rsidP="003B01FB">
            <w:pPr>
              <w:spacing w:line="360" w:lineRule="auto"/>
              <w:jc w:val="both"/>
              <w:rPr>
                <w:rFonts w:ascii="Book Antiqua" w:hAnsi="Book Antiqua"/>
                <w:lang w:val="en-US" w:eastAsia="en-US"/>
              </w:rPr>
            </w:pPr>
            <w:r>
              <w:rPr>
                <w:rFonts w:ascii="Book Antiqua" w:hAnsi="Book Antiqua"/>
                <w:lang w:val="en-US" w:eastAsia="en-US"/>
              </w:rPr>
              <w:t>9 (10.6</w:t>
            </w:r>
            <w:r w:rsidR="000A103F" w:rsidRPr="00664A42">
              <w:rPr>
                <w:rFonts w:ascii="Book Antiqua" w:hAnsi="Book Antiqua"/>
                <w:lang w:val="en-US" w:eastAsia="en-US"/>
              </w:rPr>
              <w:t>)</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3687" w:type="dxa"/>
            <w:gridSpan w:val="3"/>
            <w:shd w:val="clear" w:color="auto" w:fill="auto"/>
            <w:vAlign w:val="bottom"/>
            <w:hideMark/>
          </w:tcPr>
          <w:p w:rsidR="000A103F" w:rsidRPr="00664A42" w:rsidRDefault="000A103F" w:rsidP="003B01FB">
            <w:pPr>
              <w:spacing w:line="360" w:lineRule="auto"/>
              <w:jc w:val="both"/>
              <w:rPr>
                <w:rFonts w:ascii="Book Antiqua" w:hAnsi="Book Antiqua"/>
                <w:b/>
                <w:bCs/>
                <w:lang w:val="en-US" w:eastAsia="en-US"/>
              </w:rPr>
            </w:pPr>
            <w:r w:rsidRPr="00664A42">
              <w:rPr>
                <w:rFonts w:ascii="Book Antiqua" w:hAnsi="Book Antiqua"/>
                <w:b/>
                <w:bCs/>
                <w:lang w:val="en-US" w:eastAsia="en-US"/>
              </w:rPr>
              <w:t xml:space="preserve">Acute phase proteins, </w:t>
            </w:r>
            <w:r w:rsidRPr="00664A42">
              <w:rPr>
                <w:rFonts w:ascii="Book Antiqua" w:hAnsi="Book Antiqua"/>
                <w:b/>
                <w:bCs/>
                <w:lang w:val="en-US" w:eastAsia="en-US"/>
              </w:rPr>
              <w:br/>
              <w:t>median [IQR]</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p>
        </w:tc>
      </w:tr>
      <w:tr w:rsidR="00664A42" w:rsidRPr="00664A42" w:rsidTr="00664A42">
        <w:trPr>
          <w:trHeight w:val="20"/>
          <w:jc w:val="center"/>
        </w:trPr>
        <w:tc>
          <w:tcPr>
            <w:tcW w:w="1481" w:type="dxa"/>
            <w:vMerge w:val="restart"/>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Presepsin </w:t>
            </w:r>
            <w:r w:rsidRPr="00664A42">
              <w:rPr>
                <w:rFonts w:ascii="Book Antiqua" w:hAnsi="Book Antiqua"/>
                <w:lang w:val="en-US" w:eastAsia="en-US"/>
              </w:rPr>
              <w:lastRenderedPageBreak/>
              <w:t xml:space="preserve">(pg/mL) </w:t>
            </w:r>
          </w:p>
        </w:tc>
        <w:tc>
          <w:tcPr>
            <w:tcW w:w="2206" w:type="dxa"/>
            <w:gridSpan w:val="2"/>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lastRenderedPageBreak/>
              <w:t>overall</w:t>
            </w:r>
          </w:p>
        </w:tc>
        <w:tc>
          <w:tcPr>
            <w:tcW w:w="1794"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477 [332-680]</w:t>
            </w:r>
          </w:p>
        </w:tc>
        <w:tc>
          <w:tcPr>
            <w:tcW w:w="3499" w:type="dxa"/>
            <w:gridSpan w:val="2"/>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1002 [575-2149]</w:t>
            </w:r>
          </w:p>
        </w:tc>
        <w:tc>
          <w:tcPr>
            <w:tcW w:w="90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1481" w:type="dxa"/>
            <w:vMerge/>
            <w:shd w:val="clear" w:color="auto" w:fill="auto"/>
            <w:vAlign w:val="bottom"/>
          </w:tcPr>
          <w:p w:rsidR="000A103F" w:rsidRPr="00664A42" w:rsidRDefault="000A103F" w:rsidP="003B01FB">
            <w:pPr>
              <w:spacing w:line="360" w:lineRule="auto"/>
              <w:jc w:val="both"/>
              <w:rPr>
                <w:rFonts w:ascii="Book Antiqua" w:hAnsi="Book Antiqua"/>
                <w:lang w:val="en-US" w:eastAsia="en-US"/>
              </w:rPr>
            </w:pPr>
          </w:p>
        </w:tc>
        <w:tc>
          <w:tcPr>
            <w:tcW w:w="1164"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OF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absent</w:t>
            </w:r>
          </w:p>
        </w:tc>
        <w:tc>
          <w:tcPr>
            <w:tcW w:w="1042"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OF</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present</w:t>
            </w:r>
          </w:p>
        </w:tc>
        <w:tc>
          <w:tcPr>
            <w:tcW w:w="1794"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p>
        </w:tc>
        <w:tc>
          <w:tcPr>
            <w:tcW w:w="179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710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[533-1277]</w:t>
            </w:r>
          </w:p>
        </w:tc>
        <w:tc>
          <w:tcPr>
            <w:tcW w:w="1702"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2357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[1398-3666]</w:t>
            </w:r>
          </w:p>
        </w:tc>
        <w:tc>
          <w:tcPr>
            <w:tcW w:w="90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1481" w:type="dxa"/>
            <w:vMerge w:val="restart"/>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CRP (mg/L)</w:t>
            </w:r>
          </w:p>
        </w:tc>
        <w:tc>
          <w:tcPr>
            <w:tcW w:w="2206" w:type="dxa"/>
            <w:gridSpan w:val="2"/>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overall</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4.6 [1.8-8.8]</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30.1 [11.3-57.4]</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1481" w:type="dxa"/>
            <w:vMerge/>
            <w:shd w:val="clear" w:color="auto" w:fill="auto"/>
            <w:vAlign w:val="bottom"/>
          </w:tcPr>
          <w:p w:rsidR="000A103F" w:rsidRPr="00664A42" w:rsidRDefault="000A103F" w:rsidP="003B01FB">
            <w:pPr>
              <w:spacing w:line="360" w:lineRule="auto"/>
              <w:jc w:val="both"/>
              <w:rPr>
                <w:rFonts w:ascii="Book Antiqua" w:hAnsi="Book Antiqua"/>
                <w:lang w:val="en-US" w:eastAsia="en-US"/>
              </w:rPr>
            </w:pPr>
          </w:p>
        </w:tc>
        <w:tc>
          <w:tcPr>
            <w:tcW w:w="1164"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OF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absent</w:t>
            </w:r>
          </w:p>
        </w:tc>
        <w:tc>
          <w:tcPr>
            <w:tcW w:w="1042"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OF</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present</w:t>
            </w:r>
          </w:p>
        </w:tc>
        <w:tc>
          <w:tcPr>
            <w:tcW w:w="1794"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p>
        </w:tc>
        <w:tc>
          <w:tcPr>
            <w:tcW w:w="179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25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[9.6-40.5]</w:t>
            </w:r>
          </w:p>
        </w:tc>
        <w:tc>
          <w:tcPr>
            <w:tcW w:w="1702"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52.2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[23.4-84]</w:t>
            </w:r>
          </w:p>
        </w:tc>
        <w:tc>
          <w:tcPr>
            <w:tcW w:w="90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0.027</w:t>
            </w:r>
          </w:p>
        </w:tc>
      </w:tr>
      <w:tr w:rsidR="00664A42" w:rsidRPr="00664A42" w:rsidTr="00664A42">
        <w:trPr>
          <w:trHeight w:val="20"/>
          <w:jc w:val="center"/>
        </w:trPr>
        <w:tc>
          <w:tcPr>
            <w:tcW w:w="1481" w:type="dxa"/>
            <w:vMerge w:val="restart"/>
            <w:shd w:val="clear" w:color="auto" w:fill="auto"/>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PCT (μmol/L)</w:t>
            </w:r>
          </w:p>
        </w:tc>
        <w:tc>
          <w:tcPr>
            <w:tcW w:w="2206" w:type="dxa"/>
            <w:gridSpan w:val="2"/>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overall</w:t>
            </w:r>
          </w:p>
        </w:tc>
        <w:tc>
          <w:tcPr>
            <w:tcW w:w="1794"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0.1 [0.1-0.2]</w:t>
            </w:r>
          </w:p>
        </w:tc>
        <w:tc>
          <w:tcPr>
            <w:tcW w:w="3499" w:type="dxa"/>
            <w:gridSpan w:val="2"/>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0.4 [0.1-1.2]</w:t>
            </w:r>
          </w:p>
        </w:tc>
        <w:tc>
          <w:tcPr>
            <w:tcW w:w="907" w:type="dxa"/>
            <w:shd w:val="clear" w:color="auto" w:fill="auto"/>
            <w:noWrap/>
            <w:vAlign w:val="bottom"/>
            <w:hideMark/>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r w:rsidR="00664A42" w:rsidRPr="00664A42" w:rsidTr="00664A42">
        <w:trPr>
          <w:trHeight w:val="20"/>
          <w:jc w:val="center"/>
        </w:trPr>
        <w:tc>
          <w:tcPr>
            <w:tcW w:w="1481" w:type="dxa"/>
            <w:vMerge/>
            <w:shd w:val="clear" w:color="auto" w:fill="auto"/>
            <w:vAlign w:val="bottom"/>
          </w:tcPr>
          <w:p w:rsidR="000A103F" w:rsidRPr="00664A42" w:rsidRDefault="000A103F" w:rsidP="003B01FB">
            <w:pPr>
              <w:spacing w:line="360" w:lineRule="auto"/>
              <w:jc w:val="both"/>
              <w:rPr>
                <w:rFonts w:ascii="Book Antiqua" w:hAnsi="Book Antiqua"/>
                <w:lang w:val="en-US" w:eastAsia="en-US"/>
              </w:rPr>
            </w:pPr>
          </w:p>
        </w:tc>
        <w:tc>
          <w:tcPr>
            <w:tcW w:w="1164"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OF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absent</w:t>
            </w:r>
          </w:p>
        </w:tc>
        <w:tc>
          <w:tcPr>
            <w:tcW w:w="1042"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OF</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present</w:t>
            </w:r>
          </w:p>
        </w:tc>
        <w:tc>
          <w:tcPr>
            <w:tcW w:w="1794"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p>
        </w:tc>
        <w:tc>
          <w:tcPr>
            <w:tcW w:w="179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0.2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[0.1-0.5]</w:t>
            </w:r>
          </w:p>
        </w:tc>
        <w:tc>
          <w:tcPr>
            <w:tcW w:w="1702" w:type="dxa"/>
            <w:shd w:val="clear" w:color="auto" w:fill="auto"/>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 xml:space="preserve">1.7 </w:t>
            </w:r>
          </w:p>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[0.6-5.3]</w:t>
            </w:r>
          </w:p>
        </w:tc>
        <w:tc>
          <w:tcPr>
            <w:tcW w:w="907" w:type="dxa"/>
            <w:shd w:val="clear" w:color="auto" w:fill="auto"/>
            <w:noWrap/>
            <w:vAlign w:val="bottom"/>
          </w:tcPr>
          <w:p w:rsidR="000A103F" w:rsidRPr="00664A42" w:rsidRDefault="000A103F" w:rsidP="003B01FB">
            <w:pPr>
              <w:spacing w:line="360" w:lineRule="auto"/>
              <w:jc w:val="both"/>
              <w:rPr>
                <w:rFonts w:ascii="Book Antiqua" w:hAnsi="Book Antiqua"/>
                <w:lang w:val="en-US" w:eastAsia="en-US"/>
              </w:rPr>
            </w:pPr>
            <w:r w:rsidRPr="00664A42">
              <w:rPr>
                <w:rFonts w:ascii="Book Antiqua" w:hAnsi="Book Antiqua"/>
                <w:lang w:val="en-US" w:eastAsia="en-US"/>
              </w:rPr>
              <w:t>&lt; 0.001</w:t>
            </w:r>
          </w:p>
        </w:tc>
      </w:tr>
    </w:tbl>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zh-CN"/>
        </w:rPr>
      </w:pPr>
      <w:r w:rsidRPr="00664A42">
        <w:rPr>
          <w:rFonts w:ascii="Book Antiqua" w:eastAsiaTheme="minorEastAsia" w:hAnsi="Book Antiqua"/>
          <w:lang w:val="en-US" w:eastAsia="en-US"/>
        </w:rPr>
        <w:t xml:space="preserve">Data are presented as mean </w:t>
      </w:r>
      <w:r w:rsidRPr="00664A42">
        <w:rPr>
          <w:rFonts w:ascii="Book Antiqua" w:hAnsi="Book Antiqua"/>
          <w:lang w:val="en-US" w:eastAsia="en-US"/>
        </w:rPr>
        <w:t xml:space="preserve">± SD or </w:t>
      </w:r>
      <w:r w:rsidRPr="00664A42">
        <w:rPr>
          <w:rFonts w:ascii="Book Antiqua" w:hAnsi="Book Antiqua"/>
          <w:i/>
          <w:lang w:val="en-US" w:eastAsia="en-US"/>
        </w:rPr>
        <w:t xml:space="preserve">n </w:t>
      </w:r>
      <w:r w:rsidRPr="00664A42">
        <w:rPr>
          <w:rFonts w:ascii="Book Antiqua" w:hAnsi="Book Antiqua"/>
          <w:lang w:val="en-US" w:eastAsia="en-US"/>
        </w:rPr>
        <w:t>(%) if not otherwise indicated</w:t>
      </w:r>
      <w:r w:rsidR="00664A42">
        <w:rPr>
          <w:rFonts w:ascii="Book Antiqua" w:hAnsi="Book Antiqua" w:hint="eastAsia"/>
          <w:lang w:val="en-US" w:eastAsia="zh-CN"/>
        </w:rPr>
        <w:t>.</w:t>
      </w:r>
      <w:r w:rsid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CRP: C-reactive protein</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HCC: </w:t>
      </w:r>
      <w:r w:rsidR="00664A42" w:rsidRPr="00664A42">
        <w:rPr>
          <w:rFonts w:ascii="Book Antiqua" w:eastAsiaTheme="minorEastAsia" w:hAnsi="Book Antiqua"/>
          <w:lang w:val="en-US" w:eastAsia="en-US"/>
        </w:rPr>
        <w:t xml:space="preserve">Hepatocellular </w:t>
      </w:r>
      <w:r w:rsidRPr="00664A42">
        <w:rPr>
          <w:rFonts w:ascii="Book Antiqua" w:eastAsiaTheme="minorEastAsia" w:hAnsi="Book Antiqua"/>
          <w:lang w:val="en-US" w:eastAsia="en-US"/>
        </w:rPr>
        <w:t>carcinoma</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IQR: </w:t>
      </w:r>
      <w:r w:rsidR="00664A42" w:rsidRPr="00664A42">
        <w:rPr>
          <w:rFonts w:ascii="Book Antiqua" w:eastAsiaTheme="minorEastAsia" w:hAnsi="Book Antiqua"/>
          <w:lang w:val="en-US" w:eastAsia="en-US"/>
        </w:rPr>
        <w:t xml:space="preserve">Interquartile </w:t>
      </w:r>
      <w:r w:rsidRPr="00664A42">
        <w:rPr>
          <w:rFonts w:ascii="Book Antiqua" w:eastAsiaTheme="minorEastAsia" w:hAnsi="Book Antiqua"/>
          <w:lang w:val="en-US" w:eastAsia="en-US"/>
        </w:rPr>
        <w:t>range</w:t>
      </w:r>
      <w:r w:rsidR="00664A42">
        <w:rPr>
          <w:rFonts w:ascii="Book Antiqua" w:eastAsiaTheme="minorEastAsia" w:hAnsi="Book Antiqua" w:hint="eastAsia"/>
          <w:lang w:val="en-US" w:eastAsia="zh-CN"/>
        </w:rPr>
        <w:t xml:space="preserve">; </w:t>
      </w:r>
      <w:r w:rsidRPr="00664A42">
        <w:rPr>
          <w:rFonts w:ascii="Book Antiqua" w:eastAsiaTheme="minorEastAsia" w:hAnsi="Book Antiqua"/>
          <w:lang w:val="en-US" w:eastAsia="en-US"/>
        </w:rPr>
        <w:t xml:space="preserve">INR: </w:t>
      </w:r>
      <w:r w:rsidR="00664A42" w:rsidRPr="00664A42">
        <w:rPr>
          <w:rFonts w:ascii="Book Antiqua" w:eastAsiaTheme="minorEastAsia" w:hAnsi="Book Antiqua"/>
          <w:lang w:val="en-US" w:eastAsia="en-US"/>
        </w:rPr>
        <w:t xml:space="preserve">International </w:t>
      </w:r>
      <w:r w:rsidRPr="00664A42">
        <w:rPr>
          <w:rFonts w:ascii="Book Antiqua" w:eastAsiaTheme="minorEastAsia" w:hAnsi="Book Antiqua"/>
          <w:lang w:val="en-US" w:eastAsia="en-US"/>
        </w:rPr>
        <w:t>normalized ratio</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MELD: </w:t>
      </w:r>
      <w:r w:rsidR="00664A42" w:rsidRPr="00664A42">
        <w:rPr>
          <w:rFonts w:ascii="Book Antiqua" w:eastAsiaTheme="minorEastAsia" w:hAnsi="Book Antiqua" w:cs="Times"/>
          <w:lang w:val="en-US" w:eastAsia="en-US"/>
        </w:rPr>
        <w:t xml:space="preserve">Model </w:t>
      </w:r>
      <w:r w:rsidRPr="00664A42">
        <w:rPr>
          <w:rFonts w:ascii="Book Antiqua" w:eastAsiaTheme="minorEastAsia" w:hAnsi="Book Antiqua" w:cs="Times"/>
          <w:lang w:val="en-US" w:eastAsia="en-US"/>
        </w:rPr>
        <w:t>for end-stage liver disease score</w:t>
      </w:r>
      <w:r w:rsidR="00664A42">
        <w:rPr>
          <w:rFonts w:ascii="Book Antiqua" w:eastAsiaTheme="minorEastAsia" w:hAnsi="Book Antiqua" w:hint="eastAsia"/>
          <w:lang w:val="en-US" w:eastAsia="zh-CN"/>
        </w:rPr>
        <w:t>;</w:t>
      </w:r>
      <w:r w:rsidR="00664A42">
        <w:rPr>
          <w:rFonts w:ascii="Book Antiqua" w:eastAsiaTheme="minorEastAsia" w:hAnsi="Book Antiqua"/>
          <w:lang w:val="en-US" w:eastAsia="en-US"/>
        </w:rPr>
        <w:t xml:space="preserve"> NS</w:t>
      </w:r>
      <w:r w:rsidRPr="00664A42">
        <w:rPr>
          <w:rFonts w:ascii="Book Antiqua" w:eastAsiaTheme="minorEastAsia" w:hAnsi="Book Antiqua"/>
          <w:lang w:val="en-US" w:eastAsia="en-US"/>
        </w:rPr>
        <w:t xml:space="preserve">: </w:t>
      </w:r>
      <w:r w:rsidR="00664A42" w:rsidRPr="00664A42">
        <w:rPr>
          <w:rFonts w:ascii="Book Antiqua" w:eastAsiaTheme="minorEastAsia" w:hAnsi="Book Antiqua"/>
          <w:lang w:val="en-US" w:eastAsia="en-US"/>
        </w:rPr>
        <w:t>Non</w:t>
      </w:r>
      <w:r w:rsidRPr="00664A42">
        <w:rPr>
          <w:rFonts w:ascii="Book Antiqua" w:eastAsiaTheme="minorEastAsia" w:hAnsi="Book Antiqua"/>
          <w:lang w:val="en-US" w:eastAsia="en-US"/>
        </w:rPr>
        <w:t>-significant</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PCT: </w:t>
      </w:r>
      <w:r w:rsidR="00664A42" w:rsidRPr="00664A42">
        <w:rPr>
          <w:rFonts w:ascii="Book Antiqua" w:eastAsiaTheme="minorEastAsia" w:hAnsi="Book Antiqua"/>
          <w:lang w:val="en-US" w:eastAsia="en-US"/>
        </w:rPr>
        <w:t>Procalcitonin</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SD: </w:t>
      </w:r>
      <w:r w:rsidR="00664A42" w:rsidRPr="00664A42">
        <w:rPr>
          <w:rFonts w:ascii="Book Antiqua" w:eastAsiaTheme="minorEastAsia" w:hAnsi="Book Antiqua"/>
          <w:lang w:val="en-US" w:eastAsia="en-US"/>
        </w:rPr>
        <w:t xml:space="preserve">Standard </w:t>
      </w:r>
      <w:r w:rsidRPr="00664A42">
        <w:rPr>
          <w:rFonts w:ascii="Book Antiqua" w:eastAsiaTheme="minorEastAsia" w:hAnsi="Book Antiqua"/>
          <w:lang w:val="en-US" w:eastAsia="en-US"/>
        </w:rPr>
        <w:t>deviation</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UTI: </w:t>
      </w:r>
      <w:r w:rsidR="00664A42" w:rsidRPr="00664A42">
        <w:rPr>
          <w:rFonts w:ascii="Book Antiqua" w:eastAsiaTheme="minorEastAsia" w:hAnsi="Book Antiqua"/>
          <w:lang w:val="en-US" w:eastAsia="en-US"/>
        </w:rPr>
        <w:t xml:space="preserve">Urinary </w:t>
      </w:r>
      <w:r w:rsidRPr="00664A42">
        <w:rPr>
          <w:rFonts w:ascii="Book Antiqua" w:eastAsiaTheme="minorEastAsia" w:hAnsi="Book Antiqua"/>
          <w:lang w:val="en-US" w:eastAsia="en-US"/>
        </w:rPr>
        <w:t>tract infection</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SBP: </w:t>
      </w:r>
      <w:r w:rsidR="00664A42" w:rsidRPr="00664A42">
        <w:rPr>
          <w:rFonts w:ascii="Book Antiqua" w:eastAsiaTheme="minorEastAsia" w:hAnsi="Book Antiqua"/>
          <w:lang w:val="en-US" w:eastAsia="en-US"/>
        </w:rPr>
        <w:t xml:space="preserve">Spontaneous </w:t>
      </w:r>
      <w:r w:rsidRPr="00664A42">
        <w:rPr>
          <w:rFonts w:ascii="Book Antiqua" w:eastAsiaTheme="minorEastAsia" w:hAnsi="Book Antiqua"/>
          <w:lang w:val="en-US" w:eastAsia="en-US"/>
        </w:rPr>
        <w:t>bacterial peritonitis</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SSTI: </w:t>
      </w:r>
      <w:r w:rsidR="00664A42" w:rsidRPr="00664A42">
        <w:rPr>
          <w:rFonts w:ascii="Book Antiqua" w:eastAsiaTheme="minorEastAsia" w:hAnsi="Book Antiqua"/>
          <w:lang w:val="en-US" w:eastAsia="en-US"/>
        </w:rPr>
        <w:t xml:space="preserve">Skin </w:t>
      </w:r>
      <w:r w:rsidRPr="00664A42">
        <w:rPr>
          <w:rFonts w:ascii="Book Antiqua" w:eastAsiaTheme="minorEastAsia" w:hAnsi="Book Antiqua"/>
          <w:lang w:val="en-US" w:eastAsia="en-US"/>
        </w:rPr>
        <w:t>and soft tissue infection</w:t>
      </w:r>
      <w:r w:rsidR="00664A42">
        <w:rPr>
          <w:rFonts w:ascii="Book Antiqua" w:eastAsiaTheme="minorEastAsia" w:hAnsi="Book Antiqua" w:hint="eastAsia"/>
          <w:lang w:val="en-US" w:eastAsia="zh-CN"/>
        </w:rPr>
        <w:t>.</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lang w:val="en-US" w:eastAsia="en-US"/>
        </w:rPr>
      </w:pPr>
      <w:r w:rsidRPr="00664A42">
        <w:rPr>
          <w:rFonts w:ascii="Book Antiqua" w:hAnsi="Book Antiqua"/>
        </w:rPr>
        <w:br w:type="column"/>
      </w:r>
      <w:r w:rsidR="00664A42">
        <w:rPr>
          <w:rFonts w:ascii="Book Antiqua" w:eastAsiaTheme="minorEastAsia" w:hAnsi="Book Antiqua"/>
          <w:b/>
          <w:lang w:val="en-GB" w:eastAsia="en-US"/>
        </w:rPr>
        <w:lastRenderedPageBreak/>
        <w:t>Table 2</w:t>
      </w:r>
      <w:r w:rsidRPr="00664A42">
        <w:rPr>
          <w:rFonts w:ascii="Book Antiqua" w:eastAsiaTheme="minorEastAsia" w:hAnsi="Book Antiqua"/>
          <w:b/>
          <w:lang w:val="en-GB" w:eastAsia="en-US"/>
        </w:rPr>
        <w:t xml:space="preserve"> </w:t>
      </w:r>
      <w:r w:rsidRPr="00664A42">
        <w:rPr>
          <w:rFonts w:ascii="Book Antiqua" w:eastAsiaTheme="minorEastAsia" w:hAnsi="Book Antiqua"/>
          <w:b/>
          <w:lang w:val="en-US" w:eastAsia="en-US"/>
        </w:rPr>
        <w:t xml:space="preserve">Correlations between presepsin and different laboratory parameters or liver-orientated scores </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b/>
          <w:lang w:val="en-US" w:eastAsia="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534"/>
        <w:gridCol w:w="2268"/>
      </w:tblGrid>
      <w:tr w:rsidR="00664A42" w:rsidRPr="00664A42" w:rsidTr="00AD3D8A">
        <w:trPr>
          <w:jc w:val="center"/>
        </w:trPr>
        <w:tc>
          <w:tcPr>
            <w:tcW w:w="2287" w:type="dxa"/>
            <w:tcBorders>
              <w:top w:val="single" w:sz="4" w:space="0" w:color="auto"/>
              <w:bottom w:val="single" w:sz="4" w:space="0" w:color="auto"/>
            </w:tcBorders>
          </w:tcPr>
          <w:p w:rsidR="000A103F" w:rsidRPr="00664A42" w:rsidRDefault="000A103F" w:rsidP="003B01FB">
            <w:pPr>
              <w:widowControl w:val="0"/>
              <w:autoSpaceDE w:val="0"/>
              <w:autoSpaceDN w:val="0"/>
              <w:adjustRightInd w:val="0"/>
              <w:spacing w:after="240" w:line="360" w:lineRule="auto"/>
              <w:jc w:val="both"/>
              <w:rPr>
                <w:rFonts w:ascii="Book Antiqua" w:eastAsiaTheme="minorEastAsia" w:hAnsi="Book Antiqua"/>
                <w:b/>
                <w:lang w:eastAsia="en-US"/>
              </w:rPr>
            </w:pPr>
            <w:r w:rsidRPr="00664A42">
              <w:rPr>
                <w:rFonts w:ascii="Book Antiqua" w:eastAsiaTheme="minorEastAsia" w:hAnsi="Book Antiqua"/>
                <w:b/>
                <w:lang w:eastAsia="en-US"/>
              </w:rPr>
              <w:t>Variable</w:t>
            </w:r>
          </w:p>
        </w:tc>
        <w:tc>
          <w:tcPr>
            <w:tcW w:w="2534" w:type="dxa"/>
            <w:tcBorders>
              <w:top w:val="single" w:sz="4" w:space="0" w:color="auto"/>
              <w:bottom w:val="single" w:sz="4" w:space="0" w:color="auto"/>
            </w:tcBorders>
          </w:tcPr>
          <w:p w:rsidR="000A103F" w:rsidRPr="00664A42" w:rsidRDefault="000A103F" w:rsidP="003B01FB">
            <w:pPr>
              <w:widowControl w:val="0"/>
              <w:autoSpaceDE w:val="0"/>
              <w:autoSpaceDN w:val="0"/>
              <w:adjustRightInd w:val="0"/>
              <w:spacing w:after="240" w:line="360" w:lineRule="auto"/>
              <w:jc w:val="both"/>
              <w:rPr>
                <w:rFonts w:ascii="Book Antiqua" w:eastAsiaTheme="minorEastAsia" w:hAnsi="Book Antiqua"/>
                <w:b/>
                <w:lang w:eastAsia="en-US"/>
              </w:rPr>
            </w:pPr>
            <w:r w:rsidRPr="00664A42">
              <w:rPr>
                <w:rFonts w:ascii="Book Antiqua" w:eastAsiaTheme="minorEastAsia" w:hAnsi="Book Antiqua"/>
                <w:b/>
                <w:lang w:eastAsia="en-US"/>
              </w:rPr>
              <w:t>Spearman’s rho</w:t>
            </w:r>
          </w:p>
        </w:tc>
        <w:tc>
          <w:tcPr>
            <w:tcW w:w="2268" w:type="dxa"/>
            <w:tcBorders>
              <w:top w:val="single" w:sz="4" w:space="0" w:color="auto"/>
              <w:bottom w:val="single" w:sz="4" w:space="0" w:color="auto"/>
            </w:tcBorders>
          </w:tcPr>
          <w:p w:rsidR="000A103F" w:rsidRPr="00664A42" w:rsidRDefault="00664A42" w:rsidP="003B01FB">
            <w:pPr>
              <w:widowControl w:val="0"/>
              <w:autoSpaceDE w:val="0"/>
              <w:autoSpaceDN w:val="0"/>
              <w:adjustRightInd w:val="0"/>
              <w:spacing w:after="240" w:line="360" w:lineRule="auto"/>
              <w:jc w:val="both"/>
              <w:rPr>
                <w:rFonts w:ascii="Book Antiqua" w:eastAsiaTheme="minorEastAsia" w:hAnsi="Book Antiqua"/>
                <w:b/>
                <w:lang w:eastAsia="en-US"/>
              </w:rPr>
            </w:pPr>
            <w:r w:rsidRPr="00664A42">
              <w:rPr>
                <w:rFonts w:ascii="Book Antiqua" w:eastAsiaTheme="minorEastAsia" w:hAnsi="Book Antiqua"/>
                <w:b/>
                <w:i/>
                <w:lang w:eastAsia="en-US"/>
              </w:rPr>
              <w:t>P</w:t>
            </w:r>
            <w:r>
              <w:rPr>
                <w:rFonts w:ascii="Book Antiqua" w:eastAsiaTheme="minorEastAsia" w:hAnsi="Book Antiqua" w:hint="eastAsia"/>
                <w:b/>
                <w:lang w:eastAsia="zh-CN"/>
              </w:rPr>
              <w:t xml:space="preserve"> </w:t>
            </w:r>
            <w:r w:rsidR="000A103F" w:rsidRPr="00664A42">
              <w:rPr>
                <w:rFonts w:ascii="Book Antiqua" w:eastAsiaTheme="minorEastAsia" w:hAnsi="Book Antiqua"/>
                <w:b/>
                <w:lang w:eastAsia="en-US"/>
              </w:rPr>
              <w:t>value</w:t>
            </w:r>
          </w:p>
        </w:tc>
      </w:tr>
      <w:tr w:rsidR="00664A42" w:rsidRPr="00664A42" w:rsidTr="00AD3D8A">
        <w:trPr>
          <w:jc w:val="center"/>
        </w:trPr>
        <w:tc>
          <w:tcPr>
            <w:tcW w:w="2287" w:type="dxa"/>
            <w:tcBorders>
              <w:top w:val="single" w:sz="4" w:space="0" w:color="auto"/>
            </w:tcBorders>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CRP</w:t>
            </w:r>
          </w:p>
        </w:tc>
        <w:tc>
          <w:tcPr>
            <w:tcW w:w="2534" w:type="dxa"/>
            <w:tcBorders>
              <w:top w:val="single" w:sz="4" w:space="0" w:color="auto"/>
            </w:tcBorders>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+0.63</w:t>
            </w:r>
          </w:p>
        </w:tc>
        <w:tc>
          <w:tcPr>
            <w:tcW w:w="2268" w:type="dxa"/>
            <w:tcBorders>
              <w:top w:val="single" w:sz="4" w:space="0" w:color="auto"/>
            </w:tcBorders>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PCT</w:t>
            </w:r>
          </w:p>
        </w:tc>
        <w:tc>
          <w:tcPr>
            <w:tcW w:w="2534"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hAnsi="Book Antiqua"/>
                <w:bCs/>
                <w:lang w:eastAsia="en-US"/>
              </w:rPr>
              <w:t>+0.53</w:t>
            </w:r>
          </w:p>
        </w:tc>
        <w:tc>
          <w:tcPr>
            <w:tcW w:w="2268"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eastAsia="en-US"/>
              </w:rPr>
              <w:t>Leucocyte count</w:t>
            </w:r>
          </w:p>
        </w:tc>
        <w:tc>
          <w:tcPr>
            <w:tcW w:w="2534" w:type="dxa"/>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+0.27</w:t>
            </w:r>
          </w:p>
        </w:tc>
        <w:tc>
          <w:tcPr>
            <w:tcW w:w="2268" w:type="dxa"/>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eastAsiaTheme="minorEastAsia" w:hAnsi="Book Antiqua"/>
                <w:lang w:eastAsia="en-US"/>
              </w:rPr>
              <w:t>Serum creatinine</w:t>
            </w:r>
          </w:p>
        </w:tc>
        <w:tc>
          <w:tcPr>
            <w:tcW w:w="2534"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eastAsiaTheme="minorEastAsia" w:hAnsi="Book Antiqua"/>
                <w:lang w:eastAsia="en-US"/>
              </w:rPr>
              <w:t>+0.36</w:t>
            </w:r>
          </w:p>
        </w:tc>
        <w:tc>
          <w:tcPr>
            <w:tcW w:w="2268"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eastAsiaTheme="minorEastAsia" w:hAnsi="Book Antiqua"/>
                <w:lang w:eastAsia="en-US"/>
              </w:rPr>
              <w:t>Serum bilirubin</w:t>
            </w:r>
          </w:p>
        </w:tc>
        <w:tc>
          <w:tcPr>
            <w:tcW w:w="2534"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+0.28</w:t>
            </w:r>
          </w:p>
        </w:tc>
        <w:tc>
          <w:tcPr>
            <w:tcW w:w="2268"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Serum albumin</w:t>
            </w:r>
          </w:p>
        </w:tc>
        <w:tc>
          <w:tcPr>
            <w:tcW w:w="2534"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eastAsiaTheme="minorEastAsia" w:hAnsi="Book Antiqua"/>
                <w:lang w:eastAsia="en-US"/>
              </w:rPr>
              <w:t>-0.40</w:t>
            </w:r>
          </w:p>
        </w:tc>
        <w:tc>
          <w:tcPr>
            <w:tcW w:w="2268" w:type="dxa"/>
          </w:tcPr>
          <w:p w:rsidR="000A103F" w:rsidRPr="00664A42" w:rsidRDefault="000A103F" w:rsidP="003B01FB">
            <w:pPr>
              <w:spacing w:line="360" w:lineRule="auto"/>
              <w:jc w:val="both"/>
              <w:rPr>
                <w:rFonts w:ascii="Book Antiqua" w:eastAsiaTheme="minorEastAsia" w:hAnsi="Book Antiqua"/>
                <w:b/>
                <w:lang w:val="en-GB"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INR</w:t>
            </w:r>
          </w:p>
        </w:tc>
        <w:tc>
          <w:tcPr>
            <w:tcW w:w="2534" w:type="dxa"/>
          </w:tcPr>
          <w:p w:rsidR="000A103F" w:rsidRPr="00664A42" w:rsidRDefault="000A103F" w:rsidP="003B01FB">
            <w:pPr>
              <w:spacing w:line="360" w:lineRule="auto"/>
              <w:jc w:val="both"/>
              <w:rPr>
                <w:rFonts w:ascii="Book Antiqua" w:eastAsiaTheme="minorEastAsia" w:hAnsi="Book Antiqua"/>
                <w:lang w:eastAsia="en-US"/>
              </w:rPr>
            </w:pPr>
            <w:r w:rsidRPr="00664A42">
              <w:rPr>
                <w:rFonts w:ascii="Book Antiqua" w:eastAsiaTheme="minorEastAsia" w:hAnsi="Book Antiqua"/>
                <w:lang w:eastAsia="en-US"/>
              </w:rPr>
              <w:t>+0.15</w:t>
            </w:r>
          </w:p>
        </w:tc>
        <w:tc>
          <w:tcPr>
            <w:tcW w:w="2268" w:type="dxa"/>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0.032</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CPs</w:t>
            </w:r>
          </w:p>
        </w:tc>
        <w:tc>
          <w:tcPr>
            <w:tcW w:w="2534" w:type="dxa"/>
          </w:tcPr>
          <w:p w:rsidR="000A103F" w:rsidRPr="00664A42" w:rsidRDefault="000A103F" w:rsidP="003B01FB">
            <w:pPr>
              <w:spacing w:line="360" w:lineRule="auto"/>
              <w:jc w:val="both"/>
              <w:rPr>
                <w:rFonts w:ascii="Book Antiqua" w:eastAsiaTheme="minorEastAsia" w:hAnsi="Book Antiqua"/>
                <w:lang w:eastAsia="en-US"/>
              </w:rPr>
            </w:pPr>
            <w:r w:rsidRPr="00664A42">
              <w:rPr>
                <w:rFonts w:ascii="Book Antiqua" w:eastAsiaTheme="minorEastAsia" w:hAnsi="Book Antiqua"/>
                <w:lang w:eastAsia="en-US"/>
              </w:rPr>
              <w:t>+0.42</w:t>
            </w:r>
          </w:p>
        </w:tc>
        <w:tc>
          <w:tcPr>
            <w:tcW w:w="2268" w:type="dxa"/>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&lt; 0.001</w:t>
            </w:r>
          </w:p>
        </w:tc>
      </w:tr>
      <w:tr w:rsidR="00664A42" w:rsidRPr="00664A42" w:rsidTr="00AD3D8A">
        <w:trPr>
          <w:jc w:val="center"/>
        </w:trPr>
        <w:tc>
          <w:tcPr>
            <w:tcW w:w="2287" w:type="dxa"/>
          </w:tcPr>
          <w:p w:rsidR="000A103F" w:rsidRPr="00664A42" w:rsidRDefault="000A103F" w:rsidP="003B01FB">
            <w:pPr>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MELD score</w:t>
            </w:r>
          </w:p>
        </w:tc>
        <w:tc>
          <w:tcPr>
            <w:tcW w:w="2534" w:type="dxa"/>
          </w:tcPr>
          <w:p w:rsidR="000A103F" w:rsidRPr="00664A42" w:rsidRDefault="000A103F" w:rsidP="003B01FB">
            <w:pPr>
              <w:spacing w:line="360" w:lineRule="auto"/>
              <w:jc w:val="both"/>
              <w:rPr>
                <w:rFonts w:ascii="Book Antiqua" w:eastAsiaTheme="minorEastAsia" w:hAnsi="Book Antiqua"/>
                <w:lang w:eastAsia="en-US"/>
              </w:rPr>
            </w:pPr>
            <w:r w:rsidRPr="00664A42">
              <w:rPr>
                <w:rFonts w:ascii="Book Antiqua" w:eastAsiaTheme="minorEastAsia" w:hAnsi="Book Antiqua"/>
                <w:lang w:eastAsia="en-US"/>
              </w:rPr>
              <w:t>+0.45</w:t>
            </w:r>
          </w:p>
        </w:tc>
        <w:tc>
          <w:tcPr>
            <w:tcW w:w="2268" w:type="dxa"/>
          </w:tcPr>
          <w:p w:rsidR="000A103F" w:rsidRPr="00664A42" w:rsidRDefault="000A103F" w:rsidP="003B01FB">
            <w:pPr>
              <w:spacing w:line="360" w:lineRule="auto"/>
              <w:jc w:val="both"/>
              <w:rPr>
                <w:rFonts w:ascii="Book Antiqua" w:hAnsi="Book Antiqua"/>
                <w:bCs/>
                <w:lang w:eastAsia="en-US"/>
              </w:rPr>
            </w:pPr>
            <w:r w:rsidRPr="00664A42">
              <w:rPr>
                <w:rFonts w:ascii="Book Antiqua" w:hAnsi="Book Antiqua"/>
                <w:bCs/>
                <w:lang w:eastAsia="en-US"/>
              </w:rPr>
              <w:t>&lt; 0.001</w:t>
            </w:r>
          </w:p>
        </w:tc>
      </w:tr>
    </w:tbl>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US" w:eastAsia="zh-CN"/>
        </w:rPr>
      </w:pPr>
      <w:r w:rsidRPr="00664A42">
        <w:rPr>
          <w:rFonts w:ascii="Book Antiqua" w:eastAsiaTheme="minorEastAsia" w:hAnsi="Book Antiqua"/>
          <w:lang w:val="en-US" w:eastAsia="en-US"/>
        </w:rPr>
        <w:t>CRP</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C-reactive protein; CPs</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Child-Pugh score</w:t>
      </w:r>
      <w:r w:rsidRPr="00664A42">
        <w:rPr>
          <w:rFonts w:ascii="Book Antiqua" w:eastAsiaTheme="minorEastAsia" w:hAnsi="Book Antiqua"/>
          <w:lang w:val="en-US" w:eastAsia="en-US"/>
        </w:rPr>
        <w:t>; INR</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w:t>
      </w:r>
      <w:r w:rsidR="00664A42" w:rsidRPr="00664A42">
        <w:rPr>
          <w:rFonts w:ascii="Book Antiqua" w:eastAsiaTheme="minorEastAsia" w:hAnsi="Book Antiqua"/>
          <w:lang w:val="en-US" w:eastAsia="en-US"/>
        </w:rPr>
        <w:t xml:space="preserve">International </w:t>
      </w:r>
      <w:r w:rsidRPr="00664A42">
        <w:rPr>
          <w:rFonts w:ascii="Book Antiqua" w:eastAsiaTheme="minorEastAsia" w:hAnsi="Book Antiqua"/>
          <w:lang w:val="en-US" w:eastAsia="en-US"/>
        </w:rPr>
        <w:t>normalized ratio; MELD score</w:t>
      </w:r>
      <w:r w:rsidR="00664A42">
        <w:rPr>
          <w:rFonts w:ascii="Book Antiqua" w:eastAsiaTheme="minorEastAsia" w:hAnsi="Book Antiqua" w:hint="eastAsia"/>
          <w:lang w:val="en-US" w:eastAsia="zh-CN"/>
        </w:rPr>
        <w:t>:</w:t>
      </w:r>
      <w:r w:rsidRPr="00664A42">
        <w:rPr>
          <w:rFonts w:ascii="Book Antiqua" w:eastAsiaTheme="minorEastAsia" w:hAnsi="Book Antiqua"/>
          <w:lang w:val="en-US" w:eastAsia="en-US"/>
        </w:rPr>
        <w:t xml:space="preserve"> </w:t>
      </w:r>
      <w:r w:rsidR="00664A42" w:rsidRPr="00664A42">
        <w:rPr>
          <w:rFonts w:ascii="Book Antiqua" w:eastAsiaTheme="minorEastAsia" w:hAnsi="Book Antiqua"/>
          <w:lang w:val="en-GB" w:eastAsia="en-US"/>
        </w:rPr>
        <w:t xml:space="preserve">Model </w:t>
      </w:r>
      <w:r w:rsidRPr="00664A42">
        <w:rPr>
          <w:rFonts w:ascii="Book Antiqua" w:eastAsiaTheme="minorEastAsia" w:hAnsi="Book Antiqua"/>
          <w:lang w:val="en-GB" w:eastAsia="en-US"/>
        </w:rPr>
        <w:t>for end-stage liver disease</w:t>
      </w:r>
      <w:r w:rsidRPr="00664A42">
        <w:rPr>
          <w:rFonts w:ascii="Book Antiqua" w:eastAsiaTheme="minorEastAsia" w:hAnsi="Book Antiqua"/>
          <w:lang w:val="en-US" w:eastAsia="en-US"/>
        </w:rPr>
        <w:t>; PCT</w:t>
      </w:r>
      <w:r w:rsidR="00664A42">
        <w:rPr>
          <w:rFonts w:ascii="Book Antiqua" w:eastAsiaTheme="minorEastAsia" w:hAnsi="Book Antiqua" w:hint="eastAsia"/>
          <w:lang w:val="en-US" w:eastAsia="zh-CN"/>
        </w:rPr>
        <w:t xml:space="preserve">: </w:t>
      </w:r>
      <w:r w:rsidR="00AD3D8A">
        <w:rPr>
          <w:rFonts w:ascii="Book Antiqua" w:eastAsiaTheme="minorEastAsia" w:hAnsi="Book Antiqua"/>
          <w:lang w:val="en-US" w:eastAsia="en-US"/>
        </w:rPr>
        <w:t>Procalcitonin</w:t>
      </w:r>
      <w:r w:rsidR="00AD3D8A">
        <w:rPr>
          <w:rFonts w:ascii="Book Antiqua" w:eastAsiaTheme="minorEastAsia" w:hAnsi="Book Antiqua" w:hint="eastAsia"/>
          <w:lang w:val="en-US" w:eastAsia="zh-CN"/>
        </w:rPr>
        <w:t>.</w:t>
      </w:r>
    </w:p>
    <w:p w:rsidR="000A103F" w:rsidRPr="00AD3D8A" w:rsidRDefault="000A103F" w:rsidP="003B01FB">
      <w:pPr>
        <w:widowControl w:val="0"/>
        <w:autoSpaceDE w:val="0"/>
        <w:autoSpaceDN w:val="0"/>
        <w:adjustRightInd w:val="0"/>
        <w:spacing w:line="360" w:lineRule="auto"/>
        <w:jc w:val="both"/>
        <w:rPr>
          <w:rFonts w:ascii="Book Antiqua" w:hAnsi="Book Antiqua"/>
          <w:lang w:val="en-US"/>
        </w:rPr>
        <w:sectPr w:rsidR="000A103F" w:rsidRPr="00AD3D8A" w:rsidSect="00E57C92">
          <w:headerReference w:type="even" r:id="rId9"/>
          <w:headerReference w:type="default" r:id="rId10"/>
          <w:endnotePr>
            <w:numFmt w:val="decimal"/>
          </w:endnotePr>
          <w:pgSz w:w="11900" w:h="16840"/>
          <w:pgMar w:top="1440" w:right="1800" w:bottom="1440" w:left="1800" w:header="708" w:footer="708" w:gutter="0"/>
          <w:cols w:space="708"/>
          <w:docGrid w:linePitch="360"/>
        </w:sectPr>
      </w:pPr>
    </w:p>
    <w:p w:rsidR="000A103F" w:rsidRPr="00664A42" w:rsidRDefault="00664A42" w:rsidP="003B01FB">
      <w:pPr>
        <w:widowControl w:val="0"/>
        <w:autoSpaceDE w:val="0"/>
        <w:autoSpaceDN w:val="0"/>
        <w:adjustRightInd w:val="0"/>
        <w:spacing w:line="360" w:lineRule="auto"/>
        <w:jc w:val="both"/>
        <w:rPr>
          <w:rFonts w:ascii="Book Antiqua" w:eastAsiaTheme="minorEastAsia" w:hAnsi="Book Antiqua"/>
          <w:b/>
          <w:lang w:val="en-GB" w:eastAsia="en-US"/>
        </w:rPr>
      </w:pPr>
      <w:r>
        <w:rPr>
          <w:rFonts w:ascii="Book Antiqua" w:eastAsiaTheme="minorEastAsia" w:hAnsi="Book Antiqua"/>
          <w:b/>
          <w:lang w:val="en-GB" w:eastAsia="en-US"/>
        </w:rPr>
        <w:lastRenderedPageBreak/>
        <w:t>Table 3</w:t>
      </w:r>
      <w:r>
        <w:rPr>
          <w:rFonts w:ascii="Book Antiqua" w:eastAsiaTheme="minorEastAsia" w:hAnsi="Book Antiqua" w:hint="eastAsia"/>
          <w:b/>
          <w:lang w:val="en-GB" w:eastAsia="zh-CN"/>
        </w:rPr>
        <w:t xml:space="preserve"> </w:t>
      </w:r>
      <w:r w:rsidR="000A103F" w:rsidRPr="00664A42">
        <w:rPr>
          <w:rFonts w:ascii="Book Antiqua" w:eastAsiaTheme="minorEastAsia" w:hAnsi="Book Antiqua"/>
          <w:b/>
          <w:lang w:val="en-GB" w:eastAsia="en-US"/>
        </w:rPr>
        <w:t>Performance characteristics of presepsin and other acute phase proteins during bacterial infections in patients with cirrhosis in various clinical settings</w:t>
      </w:r>
    </w:p>
    <w:tbl>
      <w:tblPr>
        <w:tblStyle w:val="TableGrid"/>
        <w:tblpPr w:leftFromText="180" w:rightFromText="180" w:vertAnchor="text" w:horzAnchor="page" w:tblpX="1369" w:tblpY="170"/>
        <w:tblOverlap w:val="nev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268"/>
        <w:gridCol w:w="1134"/>
        <w:gridCol w:w="1559"/>
        <w:gridCol w:w="1505"/>
        <w:gridCol w:w="1429"/>
        <w:gridCol w:w="1429"/>
        <w:gridCol w:w="1431"/>
        <w:gridCol w:w="1431"/>
      </w:tblGrid>
      <w:tr w:rsidR="00664A42" w:rsidRPr="00664A42" w:rsidTr="00664A42">
        <w:trPr>
          <w:trHeight w:val="702"/>
        </w:trPr>
        <w:tc>
          <w:tcPr>
            <w:tcW w:w="1951"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p>
          <w:p w:rsidR="000A103F" w:rsidRPr="00664A42" w:rsidRDefault="000A103F" w:rsidP="003B01FB">
            <w:pPr>
              <w:pStyle w:val="NoSpacing"/>
              <w:spacing w:line="360" w:lineRule="auto"/>
              <w:jc w:val="both"/>
              <w:rPr>
                <w:rFonts w:ascii="Book Antiqua" w:eastAsiaTheme="minorEastAsia" w:hAnsi="Book Antiqua"/>
                <w:b/>
                <w:lang w:val="en-GB" w:eastAsia="en-US"/>
              </w:rPr>
            </w:pPr>
          </w:p>
        </w:tc>
        <w:tc>
          <w:tcPr>
            <w:tcW w:w="2268"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Variable</w:t>
            </w:r>
          </w:p>
        </w:tc>
        <w:tc>
          <w:tcPr>
            <w:tcW w:w="1134"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Cut-off values</w:t>
            </w:r>
          </w:p>
        </w:tc>
        <w:tc>
          <w:tcPr>
            <w:tcW w:w="1559"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 xml:space="preserve">Sensitivity </w:t>
            </w:r>
          </w:p>
        </w:tc>
        <w:tc>
          <w:tcPr>
            <w:tcW w:w="1505"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Specificity</w:t>
            </w:r>
          </w:p>
          <w:p w:rsidR="000A103F" w:rsidRPr="00664A42" w:rsidRDefault="000A103F" w:rsidP="003B01FB">
            <w:pPr>
              <w:pStyle w:val="NoSpacing"/>
              <w:spacing w:line="360" w:lineRule="auto"/>
              <w:jc w:val="both"/>
              <w:rPr>
                <w:rFonts w:ascii="Book Antiqua" w:eastAsiaTheme="minorEastAsia" w:hAnsi="Book Antiqua"/>
                <w:b/>
                <w:lang w:val="en-GB" w:eastAsia="en-US"/>
              </w:rPr>
            </w:pPr>
          </w:p>
        </w:tc>
        <w:tc>
          <w:tcPr>
            <w:tcW w:w="1429"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PPV</w:t>
            </w:r>
          </w:p>
          <w:p w:rsidR="000A103F" w:rsidRPr="00664A42" w:rsidRDefault="000A103F" w:rsidP="003B01FB">
            <w:pPr>
              <w:pStyle w:val="NoSpacing"/>
              <w:spacing w:line="360" w:lineRule="auto"/>
              <w:jc w:val="both"/>
              <w:rPr>
                <w:rFonts w:ascii="Book Antiqua" w:eastAsiaTheme="minorEastAsia" w:hAnsi="Book Antiqua"/>
                <w:b/>
                <w:lang w:val="en-GB" w:eastAsia="en-US"/>
              </w:rPr>
            </w:pPr>
          </w:p>
        </w:tc>
        <w:tc>
          <w:tcPr>
            <w:tcW w:w="1429"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NPV</w:t>
            </w:r>
          </w:p>
          <w:p w:rsidR="000A103F" w:rsidRPr="00664A42" w:rsidRDefault="000A103F" w:rsidP="003B01FB">
            <w:pPr>
              <w:pStyle w:val="NoSpacing"/>
              <w:spacing w:line="360" w:lineRule="auto"/>
              <w:jc w:val="both"/>
              <w:rPr>
                <w:rFonts w:ascii="Book Antiqua" w:eastAsiaTheme="minorEastAsia" w:hAnsi="Book Antiqua"/>
                <w:b/>
                <w:lang w:val="en-GB" w:eastAsia="en-US"/>
              </w:rPr>
            </w:pPr>
          </w:p>
        </w:tc>
        <w:tc>
          <w:tcPr>
            <w:tcW w:w="1431"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LR+</w:t>
            </w:r>
          </w:p>
        </w:tc>
        <w:tc>
          <w:tcPr>
            <w:tcW w:w="1431" w:type="dxa"/>
            <w:tcBorders>
              <w:top w:val="single" w:sz="4" w:space="0" w:color="auto"/>
              <w:bottom w:val="single" w:sz="4" w:space="0" w:color="auto"/>
            </w:tcBorders>
          </w:tcPr>
          <w:p w:rsidR="000A103F" w:rsidRPr="00664A42" w:rsidRDefault="000A103F" w:rsidP="003B01FB">
            <w:pPr>
              <w:pStyle w:val="NoSpacing"/>
              <w:spacing w:line="360" w:lineRule="auto"/>
              <w:jc w:val="both"/>
              <w:rPr>
                <w:rFonts w:ascii="Book Antiqua" w:eastAsiaTheme="minorEastAsia" w:hAnsi="Book Antiqua"/>
                <w:b/>
                <w:lang w:val="en-GB" w:eastAsia="en-US"/>
              </w:rPr>
            </w:pPr>
            <w:r w:rsidRPr="00664A42">
              <w:rPr>
                <w:rFonts w:ascii="Book Antiqua" w:eastAsiaTheme="minorEastAsia" w:hAnsi="Book Antiqua"/>
                <w:b/>
                <w:lang w:val="en-GB" w:eastAsia="en-US"/>
              </w:rPr>
              <w:t>LR-</w:t>
            </w:r>
          </w:p>
        </w:tc>
      </w:tr>
      <w:tr w:rsidR="00664A42" w:rsidRPr="00664A42" w:rsidTr="00664A42">
        <w:trPr>
          <w:trHeight w:val="57"/>
        </w:trPr>
        <w:tc>
          <w:tcPr>
            <w:tcW w:w="1951"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INF Overall</w:t>
            </w:r>
          </w:p>
        </w:tc>
        <w:tc>
          <w:tcPr>
            <w:tcW w:w="2268"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Presepsin </w:t>
            </w:r>
            <w:r w:rsidRPr="00664A42">
              <w:rPr>
                <w:rFonts w:ascii="Book Antiqua" w:hAnsi="Book Antiqua"/>
                <w:lang w:eastAsia="en-US"/>
              </w:rPr>
              <w:t>(pg/mL)</w:t>
            </w:r>
          </w:p>
        </w:tc>
        <w:tc>
          <w:tcPr>
            <w:tcW w:w="1134"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844</w:t>
            </w:r>
          </w:p>
        </w:tc>
        <w:tc>
          <w:tcPr>
            <w:tcW w:w="1559"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60.0</w:t>
            </w:r>
            <w:r w:rsidR="00664A42">
              <w:rPr>
                <w:rFonts w:ascii="Book Antiqua" w:eastAsiaTheme="minorEastAsia" w:hAnsi="Book Antiqua" w:hint="eastAsia"/>
                <w:lang w:val="en-GB" w:eastAsia="zh-CN"/>
              </w:rPr>
              <w:t>%</w:t>
            </w:r>
          </w:p>
        </w:tc>
        <w:tc>
          <w:tcPr>
            <w:tcW w:w="1505"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84.4</w:t>
            </w:r>
            <w:r w:rsidR="00664A42">
              <w:rPr>
                <w:rFonts w:ascii="Book Antiqua" w:eastAsiaTheme="minorEastAsia" w:hAnsi="Book Antiqua" w:hint="eastAsia"/>
                <w:lang w:val="en-GB" w:eastAsia="zh-CN"/>
              </w:rPr>
              <w:t>5</w:t>
            </w:r>
          </w:p>
        </w:tc>
        <w:tc>
          <w:tcPr>
            <w:tcW w:w="1429"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67.2</w:t>
            </w:r>
            <w:r w:rsidR="00664A42">
              <w:rPr>
                <w:rFonts w:ascii="Book Antiqua" w:eastAsiaTheme="minorEastAsia" w:hAnsi="Book Antiqua" w:hint="eastAsia"/>
                <w:lang w:val="en-GB" w:eastAsia="zh-CN"/>
              </w:rPr>
              <w:t>%</w:t>
            </w:r>
          </w:p>
        </w:tc>
        <w:tc>
          <w:tcPr>
            <w:tcW w:w="1429"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79.9</w:t>
            </w:r>
            <w:r w:rsidR="00664A42">
              <w:rPr>
                <w:rFonts w:ascii="Book Antiqua" w:eastAsiaTheme="minorEastAsia" w:hAnsi="Book Antiqua" w:hint="eastAsia"/>
                <w:lang w:val="en-GB" w:eastAsia="zh-CN"/>
              </w:rPr>
              <w:t>%</w:t>
            </w:r>
          </w:p>
        </w:tc>
        <w:tc>
          <w:tcPr>
            <w:tcW w:w="1431"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3.85</w:t>
            </w:r>
          </w:p>
        </w:tc>
        <w:tc>
          <w:tcPr>
            <w:tcW w:w="1431"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0.47</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PCT </w:t>
            </w:r>
            <w:r w:rsidRPr="00664A42">
              <w:rPr>
                <w:rFonts w:ascii="Book Antiqua" w:hAnsi="Book Antiqua"/>
                <w:lang w:eastAsia="en-US"/>
              </w:rPr>
              <w:t>(μmol/L)</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0.39</w:t>
            </w: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53.3</w:t>
            </w:r>
            <w:r w:rsidR="00664A42">
              <w:rPr>
                <w:rFonts w:ascii="Book Antiqua" w:eastAsiaTheme="minorEastAsia" w:hAnsi="Book Antiqua" w:hint="eastAsia"/>
                <w:lang w:val="en-GB" w:eastAsia="zh-CN"/>
              </w:rPr>
              <w:t>%</w:t>
            </w: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93.6</w:t>
            </w:r>
            <w:r w:rsidR="00664A42">
              <w:rPr>
                <w:rFonts w:ascii="Book Antiqua" w:eastAsiaTheme="minorEastAsia" w:hAnsi="Book Antiqua" w:hint="eastAsia"/>
                <w:lang w:val="en-GB" w:eastAsia="zh-CN"/>
              </w:rPr>
              <w:t>5</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81.6</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79.0</w:t>
            </w:r>
            <w:r w:rsidR="00664A42">
              <w:rPr>
                <w:rFonts w:ascii="Book Antiqua" w:eastAsiaTheme="minorEastAsia" w:hAnsi="Book Antiqua" w:hint="eastAsia"/>
                <w:lang w:val="en-GB" w:eastAsia="zh-CN"/>
              </w:rPr>
              <w:t>%</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8.36</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0.50</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CRP </w:t>
            </w:r>
            <w:r w:rsidRPr="00664A42">
              <w:rPr>
                <w:rFonts w:ascii="Book Antiqua" w:hAnsi="Book Antiqua"/>
                <w:lang w:eastAsia="en-US"/>
              </w:rPr>
              <w:t>(mg/L)</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10.8</w:t>
            </w: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78.7</w:t>
            </w:r>
            <w:r w:rsidR="00664A42">
              <w:rPr>
                <w:rFonts w:ascii="Book Antiqua" w:eastAsiaTheme="minorEastAsia" w:hAnsi="Book Antiqua" w:hint="eastAsia"/>
                <w:lang w:val="en-GB" w:eastAsia="zh-CN"/>
              </w:rPr>
              <w:t>%</w:t>
            </w: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84.4</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78.2</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88.1</w:t>
            </w:r>
            <w:r w:rsidR="00664A42">
              <w:rPr>
                <w:rFonts w:ascii="Book Antiqua" w:eastAsiaTheme="minorEastAsia" w:hAnsi="Book Antiqua" w:hint="eastAsia"/>
                <w:lang w:val="en-GB" w:eastAsia="zh-CN"/>
              </w:rPr>
              <w:t>%</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5.04</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0.25</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At least one marker positive (Presepsin/CRP)</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88.0</w:t>
            </w:r>
            <w:r w:rsidR="00664A42">
              <w:rPr>
                <w:rFonts w:ascii="Book Antiqua" w:eastAsiaTheme="minorEastAsia" w:hAnsi="Book Antiqua" w:hint="eastAsia"/>
                <w:lang w:val="en-GB" w:eastAsia="zh-CN"/>
              </w:rPr>
              <w:t>%</w:t>
            </w: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74.5</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64.7</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92.1</w:t>
            </w:r>
            <w:r w:rsidR="00664A42">
              <w:rPr>
                <w:rFonts w:ascii="Book Antiqua" w:eastAsiaTheme="minorEastAsia" w:hAnsi="Book Antiqua" w:hint="eastAsia"/>
                <w:lang w:val="en-GB" w:eastAsia="zh-CN"/>
              </w:rPr>
              <w:t>%</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3.45</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0.16</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At least one marker positive </w:t>
            </w:r>
          </w:p>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(PCT/CRP)</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81.3</w:t>
            </w:r>
            <w:r w:rsidR="00664A42">
              <w:rPr>
                <w:rFonts w:ascii="Book Antiqua" w:eastAsiaTheme="minorEastAsia" w:hAnsi="Book Antiqua" w:hint="eastAsia"/>
                <w:lang w:val="en-GB" w:eastAsia="zh-CN"/>
              </w:rPr>
              <w:t>%</w:t>
            </w:r>
          </w:p>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84.2</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69.3</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91.1</w:t>
            </w:r>
            <w:r w:rsidR="00664A42">
              <w:rPr>
                <w:rFonts w:ascii="Book Antiqua" w:eastAsiaTheme="minorEastAsia" w:hAnsi="Book Antiqua" w:hint="eastAsia"/>
                <w:lang w:val="en-GB" w:eastAsia="zh-CN"/>
              </w:rPr>
              <w:t>%</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5.15</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0.22</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INF+OF</w:t>
            </w: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Presepsin </w:t>
            </w:r>
            <w:r w:rsidRPr="00664A42">
              <w:rPr>
                <w:rFonts w:ascii="Book Antiqua" w:hAnsi="Book Antiqua"/>
                <w:lang w:eastAsia="en-US"/>
              </w:rPr>
              <w:t>(pg/mL)</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1206</w:t>
            </w: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87.5</w:t>
            </w:r>
            <w:r w:rsidR="00664A42">
              <w:rPr>
                <w:rFonts w:ascii="Book Antiqua" w:eastAsiaTheme="minorEastAsia" w:hAnsi="Book Antiqua" w:hint="eastAsia"/>
                <w:lang w:val="en-GB" w:eastAsia="zh-CN"/>
              </w:rPr>
              <w:t>%</w:t>
            </w: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74.5</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61.8</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92.7</w:t>
            </w:r>
            <w:r w:rsidR="00664A42">
              <w:rPr>
                <w:rFonts w:ascii="Book Antiqua" w:eastAsiaTheme="minorEastAsia" w:hAnsi="Book Antiqua" w:hint="eastAsia"/>
                <w:lang w:val="en-GB" w:eastAsia="zh-CN"/>
              </w:rPr>
              <w:t>5</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3.43</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0.17</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PCT </w:t>
            </w:r>
            <w:r w:rsidRPr="00664A42">
              <w:rPr>
                <w:rFonts w:ascii="Book Antiqua" w:hAnsi="Book Antiqua"/>
                <w:lang w:eastAsia="en-US"/>
              </w:rPr>
              <w:t>(μmol/L)</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0.5</w:t>
            </w: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79.2</w:t>
            </w:r>
            <w:r w:rsidR="00664A42">
              <w:rPr>
                <w:rFonts w:ascii="Book Antiqua" w:eastAsiaTheme="minorEastAsia" w:hAnsi="Book Antiqua" w:hint="eastAsia"/>
                <w:lang w:val="en-GB" w:eastAsia="zh-CN"/>
              </w:rPr>
              <w:t>%</w:t>
            </w: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76.5</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61.3</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88.6</w:t>
            </w:r>
            <w:r w:rsidR="00664A42">
              <w:rPr>
                <w:rFonts w:ascii="Book Antiqua" w:eastAsiaTheme="minorEastAsia" w:hAnsi="Book Antiqua" w:hint="eastAsia"/>
                <w:lang w:val="en-GB" w:eastAsia="zh-CN"/>
              </w:rPr>
              <w:t>%</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3.36</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0.27</w:t>
            </w:r>
          </w:p>
        </w:tc>
      </w:tr>
      <w:tr w:rsidR="00664A42" w:rsidRPr="00664A42" w:rsidTr="00664A4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p>
        </w:tc>
        <w:tc>
          <w:tcPr>
            <w:tcW w:w="2268"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CRP </w:t>
            </w:r>
            <w:r w:rsidRPr="00664A42">
              <w:rPr>
                <w:rFonts w:ascii="Book Antiqua" w:hAnsi="Book Antiqua"/>
                <w:lang w:eastAsia="en-US"/>
              </w:rPr>
              <w:t>(mg/L)</w:t>
            </w:r>
          </w:p>
        </w:tc>
        <w:tc>
          <w:tcPr>
            <w:tcW w:w="1134"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40.5</w:t>
            </w:r>
          </w:p>
        </w:tc>
        <w:tc>
          <w:tcPr>
            <w:tcW w:w="155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62.5</w:t>
            </w:r>
            <w:r w:rsidR="00664A42">
              <w:rPr>
                <w:rFonts w:ascii="Book Antiqua" w:eastAsiaTheme="minorEastAsia" w:hAnsi="Book Antiqua" w:hint="eastAsia"/>
                <w:lang w:val="en-GB" w:eastAsia="zh-CN"/>
              </w:rPr>
              <w:t>%</w:t>
            </w:r>
          </w:p>
        </w:tc>
        <w:tc>
          <w:tcPr>
            <w:tcW w:w="1505"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76.5</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55.6</w:t>
            </w:r>
            <w:r w:rsidR="00664A42">
              <w:rPr>
                <w:rFonts w:ascii="Book Antiqua" w:eastAsiaTheme="minorEastAsia" w:hAnsi="Book Antiqua" w:hint="eastAsia"/>
                <w:lang w:val="en-GB" w:eastAsia="zh-CN"/>
              </w:rPr>
              <w:t>%</w:t>
            </w:r>
          </w:p>
        </w:tc>
        <w:tc>
          <w:tcPr>
            <w:tcW w:w="1429"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81.2</w:t>
            </w:r>
            <w:r w:rsidR="00664A42">
              <w:rPr>
                <w:rFonts w:ascii="Book Antiqua" w:eastAsiaTheme="minorEastAsia" w:hAnsi="Book Antiqua" w:hint="eastAsia"/>
                <w:lang w:val="en-GB" w:eastAsia="zh-CN"/>
              </w:rPr>
              <w:t>%</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2.66</w:t>
            </w:r>
          </w:p>
        </w:tc>
        <w:tc>
          <w:tcPr>
            <w:tcW w:w="143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0.49</w:t>
            </w:r>
          </w:p>
        </w:tc>
      </w:tr>
    </w:tbl>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PPV</w:t>
      </w:r>
      <w:r w:rsid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64A42" w:rsidRPr="00664A42">
        <w:rPr>
          <w:rFonts w:ascii="Book Antiqua" w:eastAsiaTheme="minorEastAsia" w:hAnsi="Book Antiqua"/>
          <w:lang w:val="en-GB" w:eastAsia="en-US"/>
        </w:rPr>
        <w:t xml:space="preserve">Positive </w:t>
      </w:r>
      <w:r w:rsidRPr="00664A42">
        <w:rPr>
          <w:rFonts w:ascii="Book Antiqua" w:eastAsiaTheme="minorEastAsia" w:hAnsi="Book Antiqua"/>
          <w:lang w:val="en-GB" w:eastAsia="en-US"/>
        </w:rPr>
        <w:t>predictive value</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NPV</w:t>
      </w:r>
      <w:r w:rsidR="00664A4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45FE2" w:rsidRPr="00664A42">
        <w:rPr>
          <w:rFonts w:ascii="Book Antiqua" w:eastAsiaTheme="minorEastAsia" w:hAnsi="Book Antiqua"/>
          <w:lang w:val="en-GB" w:eastAsia="en-US"/>
        </w:rPr>
        <w:t xml:space="preserve">Negative </w:t>
      </w:r>
      <w:r w:rsidRPr="00664A42">
        <w:rPr>
          <w:rFonts w:ascii="Book Antiqua" w:eastAsiaTheme="minorEastAsia" w:hAnsi="Book Antiqua"/>
          <w:lang w:val="en-GB" w:eastAsia="en-US"/>
        </w:rPr>
        <w:t>predictive value</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LR+</w:t>
      </w:r>
      <w:r w:rsidR="00645FE2">
        <w:rPr>
          <w:rFonts w:ascii="Book Antiqua" w:eastAsiaTheme="minorEastAsia" w:hAnsi="Book Antiqua" w:hint="eastAsia"/>
          <w:lang w:val="en-GB" w:eastAsia="zh-CN"/>
        </w:rPr>
        <w:t xml:space="preserve">: </w:t>
      </w:r>
      <w:r w:rsidR="00645FE2" w:rsidRPr="00664A42">
        <w:rPr>
          <w:rFonts w:ascii="Book Antiqua" w:eastAsiaTheme="minorEastAsia" w:hAnsi="Book Antiqua"/>
          <w:lang w:val="en-GB" w:eastAsia="en-US"/>
        </w:rPr>
        <w:t xml:space="preserve">Positive </w:t>
      </w:r>
      <w:r w:rsidRPr="00664A42">
        <w:rPr>
          <w:rFonts w:ascii="Book Antiqua" w:eastAsiaTheme="minorEastAsia" w:hAnsi="Book Antiqua"/>
          <w:lang w:val="en-GB" w:eastAsia="en-US"/>
        </w:rPr>
        <w:t>likelihood ratio</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LR-</w:t>
      </w:r>
      <w:r w:rsidR="00645FE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45FE2" w:rsidRPr="00664A42">
        <w:rPr>
          <w:rFonts w:ascii="Book Antiqua" w:eastAsiaTheme="minorEastAsia" w:hAnsi="Book Antiqua"/>
          <w:lang w:val="en-GB" w:eastAsia="en-US"/>
        </w:rPr>
        <w:t xml:space="preserve">Negative </w:t>
      </w:r>
      <w:r w:rsidRPr="00664A42">
        <w:rPr>
          <w:rFonts w:ascii="Book Antiqua" w:eastAsiaTheme="minorEastAsia" w:hAnsi="Book Antiqua"/>
          <w:lang w:val="en-GB" w:eastAsia="en-US"/>
        </w:rPr>
        <w:t>likelihood ratio</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PCT</w:t>
      </w:r>
      <w:r w:rsidR="00645FE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45FE2" w:rsidRPr="00664A42">
        <w:rPr>
          <w:rFonts w:ascii="Book Antiqua" w:eastAsiaTheme="minorEastAsia" w:hAnsi="Book Antiqua"/>
          <w:lang w:val="en-GB" w:eastAsia="en-US"/>
        </w:rPr>
        <w:t>Procalcitonin</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CRP</w:t>
      </w:r>
      <w:r w:rsidR="00645FE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C-reactive protein</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MELD</w:t>
      </w:r>
      <w:r w:rsidR="00645FE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45FE2" w:rsidRPr="00664A42">
        <w:rPr>
          <w:rFonts w:ascii="Book Antiqua" w:eastAsiaTheme="minorEastAsia" w:hAnsi="Book Antiqua"/>
          <w:lang w:val="en-GB" w:eastAsia="en-US"/>
        </w:rPr>
        <w:t xml:space="preserve">Model </w:t>
      </w:r>
      <w:r w:rsidRPr="00664A42">
        <w:rPr>
          <w:rFonts w:ascii="Book Antiqua" w:eastAsiaTheme="minorEastAsia" w:hAnsi="Book Antiqua"/>
          <w:lang w:val="en-GB" w:eastAsia="en-US"/>
        </w:rPr>
        <w:t>for end-stage liver disease</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INF</w:t>
      </w:r>
      <w:r w:rsidR="00645FE2">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w:t>
      </w:r>
      <w:r w:rsidR="00645FE2" w:rsidRPr="00664A42">
        <w:rPr>
          <w:rFonts w:ascii="Book Antiqua" w:eastAsiaTheme="minorEastAsia" w:hAnsi="Book Antiqua"/>
          <w:lang w:val="en-GB" w:eastAsia="en-US"/>
        </w:rPr>
        <w:t>Infection</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OF: </w:t>
      </w:r>
      <w:r w:rsidR="00645FE2" w:rsidRPr="00664A42">
        <w:rPr>
          <w:rFonts w:ascii="Book Antiqua" w:eastAsiaTheme="minorEastAsia" w:hAnsi="Book Antiqua"/>
          <w:lang w:val="en-GB" w:eastAsia="en-US"/>
        </w:rPr>
        <w:t xml:space="preserve">Organ </w:t>
      </w:r>
      <w:r w:rsidRPr="00664A42">
        <w:rPr>
          <w:rFonts w:ascii="Book Antiqua" w:eastAsiaTheme="minorEastAsia" w:hAnsi="Book Antiqua"/>
          <w:lang w:val="en-GB" w:eastAsia="en-US"/>
        </w:rPr>
        <w:t>failure</w:t>
      </w:r>
      <w:r w:rsidR="00645FE2">
        <w:rPr>
          <w:rFonts w:ascii="Book Antiqua" w:eastAsiaTheme="minorEastAsia" w:hAnsi="Book Antiqua" w:hint="eastAsia"/>
          <w:lang w:val="en-GB" w:eastAsia="zh-CN"/>
        </w:rPr>
        <w:t>.</w:t>
      </w:r>
    </w:p>
    <w:p w:rsidR="000A103F" w:rsidRPr="00664A42" w:rsidRDefault="000A103F" w:rsidP="003B01FB">
      <w:pPr>
        <w:autoSpaceDE w:val="0"/>
        <w:autoSpaceDN w:val="0"/>
        <w:adjustRightInd w:val="0"/>
        <w:spacing w:line="360" w:lineRule="auto"/>
        <w:jc w:val="both"/>
        <w:rPr>
          <w:rFonts w:ascii="Book Antiqua" w:hAnsi="Book Antiqua"/>
        </w:rPr>
      </w:pPr>
      <w:r w:rsidRPr="00664A42">
        <w:rPr>
          <w:rFonts w:ascii="Book Antiqua" w:eastAsiaTheme="minorEastAsia" w:hAnsi="Book Antiqua"/>
          <w:lang w:val="en-GB" w:eastAsia="en-US"/>
        </w:rPr>
        <w:br w:type="column"/>
      </w:r>
      <w:r w:rsidR="00645FE2">
        <w:rPr>
          <w:rFonts w:ascii="Book Antiqua" w:eastAsiaTheme="minorEastAsia" w:hAnsi="Book Antiqua"/>
          <w:b/>
          <w:lang w:val="en-GB" w:eastAsia="en-US"/>
        </w:rPr>
        <w:lastRenderedPageBreak/>
        <w:t>Table 4</w:t>
      </w:r>
      <w:r w:rsidRPr="00664A42">
        <w:rPr>
          <w:rFonts w:ascii="Book Antiqua" w:eastAsiaTheme="minorEastAsia" w:hAnsi="Book Antiqua"/>
          <w:b/>
          <w:lang w:val="en-GB" w:eastAsia="en-US"/>
        </w:rPr>
        <w:t xml:space="preserve"> </w:t>
      </w:r>
      <w:r w:rsidRPr="00664A42">
        <w:rPr>
          <w:rFonts w:ascii="Book Antiqua" w:eastAsiaTheme="minorEastAsia" w:hAnsi="Book Antiqua"/>
          <w:b/>
          <w:lang w:val="en-GB"/>
        </w:rPr>
        <w:t>Performance characteristics of presepsin, procalcitonin and C-reactive protein for prediction of short-term (28-day) mortality in patients with bacterial infection (</w:t>
      </w:r>
      <w:r w:rsidRPr="00645FE2">
        <w:rPr>
          <w:rFonts w:ascii="Book Antiqua" w:eastAsiaTheme="minorEastAsia" w:hAnsi="Book Antiqua"/>
          <w:b/>
          <w:i/>
          <w:lang w:val="en-GB"/>
        </w:rPr>
        <w:t>n</w:t>
      </w:r>
      <w:r w:rsidR="00645FE2" w:rsidRPr="00645FE2">
        <w:rPr>
          <w:rFonts w:ascii="Book Antiqua" w:eastAsiaTheme="minorEastAsia" w:hAnsi="Book Antiqua" w:hint="eastAsia"/>
          <w:b/>
          <w:i/>
          <w:lang w:val="en-GB" w:eastAsia="zh-CN"/>
        </w:rPr>
        <w:t xml:space="preserve"> </w:t>
      </w:r>
      <w:r w:rsidRPr="00664A42">
        <w:rPr>
          <w:rFonts w:ascii="Book Antiqua" w:eastAsiaTheme="minorEastAsia" w:hAnsi="Book Antiqua"/>
          <w:b/>
          <w:lang w:val="en-GB"/>
        </w:rPr>
        <w:t>=</w:t>
      </w:r>
      <w:r w:rsidR="00645FE2">
        <w:rPr>
          <w:rFonts w:ascii="Book Antiqua" w:eastAsiaTheme="minorEastAsia" w:hAnsi="Book Antiqua" w:hint="eastAsia"/>
          <w:b/>
          <w:lang w:val="en-GB" w:eastAsia="zh-CN"/>
        </w:rPr>
        <w:t xml:space="preserve"> </w:t>
      </w:r>
      <w:r w:rsidRPr="00664A42">
        <w:rPr>
          <w:rFonts w:ascii="Book Antiqua" w:eastAsiaTheme="minorEastAsia" w:hAnsi="Book Antiqua"/>
          <w:b/>
          <w:lang w:val="en-GB"/>
        </w:rPr>
        <w:t>75)</w:t>
      </w:r>
    </w:p>
    <w:p w:rsidR="000A103F" w:rsidRPr="00664A42" w:rsidRDefault="000A103F" w:rsidP="003B01FB">
      <w:pPr>
        <w:widowControl w:val="0"/>
        <w:autoSpaceDE w:val="0"/>
        <w:autoSpaceDN w:val="0"/>
        <w:adjustRightInd w:val="0"/>
        <w:jc w:val="both"/>
        <w:rPr>
          <w:rFonts w:ascii="Book Antiqua" w:eastAsiaTheme="minorEastAsia" w:hAnsi="Book Antiqua"/>
          <w:b/>
          <w:lang w:val="en-GB" w:eastAsia="en-US"/>
        </w:rPr>
      </w:pPr>
    </w:p>
    <w:tbl>
      <w:tblPr>
        <w:tblStyle w:val="TableGrid"/>
        <w:tblW w:w="111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992"/>
        <w:gridCol w:w="1985"/>
        <w:gridCol w:w="1417"/>
        <w:gridCol w:w="1418"/>
        <w:gridCol w:w="850"/>
        <w:gridCol w:w="851"/>
        <w:gridCol w:w="850"/>
        <w:gridCol w:w="851"/>
      </w:tblGrid>
      <w:tr w:rsidR="00645FE2" w:rsidRPr="00645FE2" w:rsidTr="00645FE2">
        <w:trPr>
          <w:trHeight w:val="702"/>
        </w:trPr>
        <w:tc>
          <w:tcPr>
            <w:tcW w:w="1951"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p>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Variable</w:t>
            </w:r>
          </w:p>
        </w:tc>
        <w:tc>
          <w:tcPr>
            <w:tcW w:w="992"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Cut-off values</w:t>
            </w:r>
          </w:p>
        </w:tc>
        <w:tc>
          <w:tcPr>
            <w:tcW w:w="1985"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AUC-ROC [95%CI]</w:t>
            </w:r>
          </w:p>
        </w:tc>
        <w:tc>
          <w:tcPr>
            <w:tcW w:w="1417"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Sensitivity</w:t>
            </w:r>
          </w:p>
          <w:p w:rsidR="000A103F" w:rsidRPr="00645FE2" w:rsidRDefault="000A103F" w:rsidP="003B01FB">
            <w:pPr>
              <w:pStyle w:val="NoSpacing"/>
              <w:spacing w:line="360" w:lineRule="auto"/>
              <w:jc w:val="both"/>
              <w:rPr>
                <w:rFonts w:ascii="Book Antiqua" w:eastAsiaTheme="minorEastAsia" w:hAnsi="Book Antiqua"/>
                <w:b/>
                <w:lang w:val="en-GB" w:eastAsia="en-US"/>
              </w:rPr>
            </w:pPr>
          </w:p>
        </w:tc>
        <w:tc>
          <w:tcPr>
            <w:tcW w:w="1418"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Specificity</w:t>
            </w:r>
          </w:p>
          <w:p w:rsidR="000A103F" w:rsidRPr="00645FE2" w:rsidRDefault="000A103F" w:rsidP="003B01FB">
            <w:pPr>
              <w:pStyle w:val="NoSpacing"/>
              <w:spacing w:line="360" w:lineRule="auto"/>
              <w:jc w:val="both"/>
              <w:rPr>
                <w:rFonts w:ascii="Book Antiqua" w:eastAsiaTheme="minorEastAsia" w:hAnsi="Book Antiqua"/>
                <w:b/>
                <w:lang w:val="en-GB" w:eastAsia="zh-CN"/>
              </w:rPr>
            </w:pPr>
          </w:p>
        </w:tc>
        <w:tc>
          <w:tcPr>
            <w:tcW w:w="850"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PPV</w:t>
            </w:r>
          </w:p>
          <w:p w:rsidR="000A103F" w:rsidRPr="00645FE2" w:rsidRDefault="000A103F" w:rsidP="003B01FB">
            <w:pPr>
              <w:pStyle w:val="NoSpacing"/>
              <w:spacing w:line="360" w:lineRule="auto"/>
              <w:jc w:val="both"/>
              <w:rPr>
                <w:rFonts w:ascii="Book Antiqua" w:eastAsiaTheme="minorEastAsia" w:hAnsi="Book Antiqua"/>
                <w:b/>
                <w:lang w:val="en-GB" w:eastAsia="en-US"/>
              </w:rPr>
            </w:pPr>
          </w:p>
        </w:tc>
        <w:tc>
          <w:tcPr>
            <w:tcW w:w="851"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NPV</w:t>
            </w:r>
          </w:p>
          <w:p w:rsidR="000A103F" w:rsidRPr="00645FE2" w:rsidRDefault="000A103F" w:rsidP="003B01FB">
            <w:pPr>
              <w:pStyle w:val="NoSpacing"/>
              <w:spacing w:line="360" w:lineRule="auto"/>
              <w:jc w:val="both"/>
              <w:rPr>
                <w:rFonts w:ascii="Book Antiqua" w:eastAsiaTheme="minorEastAsia" w:hAnsi="Book Antiqua"/>
                <w:b/>
                <w:lang w:val="en-GB" w:eastAsia="en-US"/>
              </w:rPr>
            </w:pPr>
          </w:p>
        </w:tc>
        <w:tc>
          <w:tcPr>
            <w:tcW w:w="850"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LR+</w:t>
            </w:r>
          </w:p>
        </w:tc>
        <w:tc>
          <w:tcPr>
            <w:tcW w:w="851" w:type="dxa"/>
            <w:tcBorders>
              <w:top w:val="single" w:sz="4" w:space="0" w:color="auto"/>
              <w:bottom w:val="single" w:sz="4" w:space="0" w:color="auto"/>
            </w:tcBorders>
          </w:tcPr>
          <w:p w:rsidR="000A103F" w:rsidRPr="00645FE2" w:rsidRDefault="000A103F" w:rsidP="003B01FB">
            <w:pPr>
              <w:pStyle w:val="NoSpacing"/>
              <w:spacing w:line="360" w:lineRule="auto"/>
              <w:jc w:val="both"/>
              <w:rPr>
                <w:rFonts w:ascii="Book Antiqua" w:eastAsiaTheme="minorEastAsia" w:hAnsi="Book Antiqua"/>
                <w:b/>
                <w:lang w:val="en-GB" w:eastAsia="en-US"/>
              </w:rPr>
            </w:pPr>
            <w:r w:rsidRPr="00645FE2">
              <w:rPr>
                <w:rFonts w:ascii="Book Antiqua" w:eastAsiaTheme="minorEastAsia" w:hAnsi="Book Antiqua"/>
                <w:b/>
                <w:lang w:val="en-GB" w:eastAsia="en-US"/>
              </w:rPr>
              <w:t>LR-</w:t>
            </w:r>
          </w:p>
        </w:tc>
      </w:tr>
      <w:tr w:rsidR="00645FE2" w:rsidRPr="00664A42" w:rsidTr="00645FE2">
        <w:trPr>
          <w:trHeight w:val="57"/>
        </w:trPr>
        <w:tc>
          <w:tcPr>
            <w:tcW w:w="1951"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Presepsin </w:t>
            </w:r>
            <w:r w:rsidRPr="00664A42">
              <w:rPr>
                <w:rFonts w:ascii="Book Antiqua" w:hAnsi="Book Antiqua"/>
                <w:lang w:eastAsia="en-US"/>
              </w:rPr>
              <w:t>(pg/mL)</w:t>
            </w:r>
          </w:p>
        </w:tc>
        <w:tc>
          <w:tcPr>
            <w:tcW w:w="992"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1277</w:t>
            </w:r>
          </w:p>
        </w:tc>
        <w:tc>
          <w:tcPr>
            <w:tcW w:w="1985"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0.76 [0.64-0.85]</w:t>
            </w:r>
          </w:p>
        </w:tc>
        <w:tc>
          <w:tcPr>
            <w:tcW w:w="1417"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75.0</w:t>
            </w:r>
            <w:r w:rsidR="00645FE2">
              <w:rPr>
                <w:rFonts w:ascii="Book Antiqua" w:eastAsiaTheme="minorEastAsia" w:hAnsi="Book Antiqua" w:hint="eastAsia"/>
                <w:lang w:val="en-GB" w:eastAsia="zh-CN"/>
              </w:rPr>
              <w:t>%</w:t>
            </w:r>
          </w:p>
        </w:tc>
        <w:tc>
          <w:tcPr>
            <w:tcW w:w="1418"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69.1</w:t>
            </w:r>
            <w:r w:rsidR="00645FE2">
              <w:rPr>
                <w:rFonts w:ascii="Book Antiqua" w:eastAsiaTheme="minorEastAsia" w:hAnsi="Book Antiqua" w:hint="eastAsia"/>
                <w:lang w:val="en-GB" w:eastAsia="zh-CN"/>
              </w:rPr>
              <w:t>%</w:t>
            </w:r>
          </w:p>
        </w:tc>
        <w:tc>
          <w:tcPr>
            <w:tcW w:w="850"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46.9</w:t>
            </w:r>
            <w:r w:rsidR="00645FE2">
              <w:rPr>
                <w:rFonts w:ascii="Book Antiqua" w:eastAsiaTheme="minorEastAsia" w:hAnsi="Book Antiqua" w:hint="eastAsia"/>
                <w:lang w:val="en-GB" w:eastAsia="zh-CN"/>
              </w:rPr>
              <w:t>%</w:t>
            </w:r>
          </w:p>
        </w:tc>
        <w:tc>
          <w:tcPr>
            <w:tcW w:w="851"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88.4</w:t>
            </w:r>
            <w:r w:rsidR="00645FE2">
              <w:rPr>
                <w:rFonts w:ascii="Book Antiqua" w:eastAsiaTheme="minorEastAsia" w:hAnsi="Book Antiqua" w:hint="eastAsia"/>
                <w:lang w:val="en-GB" w:eastAsia="zh-CN"/>
              </w:rPr>
              <w:t>%</w:t>
            </w:r>
          </w:p>
        </w:tc>
        <w:tc>
          <w:tcPr>
            <w:tcW w:w="850"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2.43</w:t>
            </w:r>
          </w:p>
        </w:tc>
        <w:tc>
          <w:tcPr>
            <w:tcW w:w="851" w:type="dxa"/>
            <w:tcBorders>
              <w:top w:val="single" w:sz="4" w:space="0" w:color="auto"/>
            </w:tcBorders>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0.36</w:t>
            </w:r>
          </w:p>
        </w:tc>
      </w:tr>
      <w:tr w:rsidR="00645FE2" w:rsidRPr="00664A42" w:rsidTr="00645FE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PCT </w:t>
            </w:r>
            <w:r w:rsidRPr="00664A42">
              <w:rPr>
                <w:rFonts w:ascii="Book Antiqua" w:hAnsi="Book Antiqua"/>
                <w:lang w:eastAsia="en-US"/>
              </w:rPr>
              <w:t>(μmol/L)</w:t>
            </w:r>
          </w:p>
        </w:tc>
        <w:tc>
          <w:tcPr>
            <w:tcW w:w="992"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0.48</w:t>
            </w:r>
          </w:p>
        </w:tc>
        <w:tc>
          <w:tcPr>
            <w:tcW w:w="1985"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0.87 [0.77-0.93]</w:t>
            </w:r>
          </w:p>
        </w:tc>
        <w:tc>
          <w:tcPr>
            <w:tcW w:w="1417"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90.0</w:t>
            </w:r>
            <w:r w:rsidR="00645FE2">
              <w:rPr>
                <w:rFonts w:ascii="Book Antiqua" w:eastAsiaTheme="minorEastAsia" w:hAnsi="Book Antiqua" w:hint="eastAsia"/>
                <w:lang w:val="en-GB" w:eastAsia="zh-CN"/>
              </w:rPr>
              <w:t>%</w:t>
            </w:r>
          </w:p>
        </w:tc>
        <w:tc>
          <w:tcPr>
            <w:tcW w:w="1418"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74.6</w:t>
            </w:r>
            <w:r w:rsidR="00645FE2">
              <w:rPr>
                <w:rFonts w:ascii="Book Antiqua" w:eastAsiaTheme="minorEastAsia" w:hAnsi="Book Antiqua" w:hint="eastAsia"/>
                <w:lang w:val="en-GB" w:eastAsia="zh-CN"/>
              </w:rPr>
              <w:t>%</w:t>
            </w:r>
          </w:p>
        </w:tc>
        <w:tc>
          <w:tcPr>
            <w:tcW w:w="850"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56.2</w:t>
            </w:r>
            <w:r w:rsidR="00645FE2">
              <w:rPr>
                <w:rFonts w:ascii="Book Antiqua" w:eastAsiaTheme="minorEastAsia" w:hAnsi="Book Antiqua" w:hint="eastAsia"/>
                <w:lang w:val="en-GB" w:eastAsia="zh-CN"/>
              </w:rPr>
              <w:t>%</w:t>
            </w:r>
          </w:p>
        </w:tc>
        <w:tc>
          <w:tcPr>
            <w:tcW w:w="851"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95.3</w:t>
            </w:r>
            <w:r w:rsidR="00645FE2">
              <w:rPr>
                <w:rFonts w:ascii="Book Antiqua" w:eastAsiaTheme="minorEastAsia" w:hAnsi="Book Antiqua" w:hint="eastAsia"/>
                <w:lang w:val="en-GB" w:eastAsia="zh-CN"/>
              </w:rPr>
              <w:t>%</w:t>
            </w:r>
          </w:p>
        </w:tc>
        <w:tc>
          <w:tcPr>
            <w:tcW w:w="850"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3.54</w:t>
            </w:r>
          </w:p>
        </w:tc>
        <w:tc>
          <w:tcPr>
            <w:tcW w:w="8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0.13</w:t>
            </w:r>
          </w:p>
        </w:tc>
      </w:tr>
      <w:tr w:rsidR="00645FE2" w:rsidRPr="00664A42" w:rsidTr="00645FE2">
        <w:trPr>
          <w:trHeight w:val="57"/>
        </w:trPr>
        <w:tc>
          <w:tcPr>
            <w:tcW w:w="19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 xml:space="preserve">CRP </w:t>
            </w:r>
            <w:r w:rsidRPr="00664A42">
              <w:rPr>
                <w:rFonts w:ascii="Book Antiqua" w:hAnsi="Book Antiqua"/>
                <w:lang w:eastAsia="en-US"/>
              </w:rPr>
              <w:t>(mg/L)</w:t>
            </w:r>
          </w:p>
        </w:tc>
        <w:tc>
          <w:tcPr>
            <w:tcW w:w="992"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39.6</w:t>
            </w:r>
          </w:p>
        </w:tc>
        <w:tc>
          <w:tcPr>
            <w:tcW w:w="1985"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0.74 [0.63-0.84]</w:t>
            </w:r>
          </w:p>
        </w:tc>
        <w:tc>
          <w:tcPr>
            <w:tcW w:w="1417"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75.0</w:t>
            </w:r>
            <w:r w:rsidR="00645FE2">
              <w:rPr>
                <w:rFonts w:ascii="Book Antiqua" w:eastAsiaTheme="minorEastAsia" w:hAnsi="Book Antiqua" w:hint="eastAsia"/>
                <w:lang w:val="en-GB" w:eastAsia="zh-CN"/>
              </w:rPr>
              <w:t>%</w:t>
            </w:r>
          </w:p>
        </w:tc>
        <w:tc>
          <w:tcPr>
            <w:tcW w:w="1418"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74.6</w:t>
            </w:r>
            <w:r w:rsidR="00645FE2">
              <w:rPr>
                <w:rFonts w:ascii="Book Antiqua" w:eastAsiaTheme="minorEastAsia" w:hAnsi="Book Antiqua" w:hint="eastAsia"/>
                <w:lang w:val="en-GB" w:eastAsia="zh-CN"/>
              </w:rPr>
              <w:t>%</w:t>
            </w:r>
          </w:p>
        </w:tc>
        <w:tc>
          <w:tcPr>
            <w:tcW w:w="850"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51.7</w:t>
            </w:r>
            <w:r w:rsidR="00645FE2">
              <w:rPr>
                <w:rFonts w:ascii="Book Antiqua" w:eastAsiaTheme="minorEastAsia" w:hAnsi="Book Antiqua" w:hint="eastAsia"/>
                <w:lang w:val="en-GB" w:eastAsia="zh-CN"/>
              </w:rPr>
              <w:t>%</w:t>
            </w:r>
          </w:p>
        </w:tc>
        <w:tc>
          <w:tcPr>
            <w:tcW w:w="851" w:type="dxa"/>
          </w:tcPr>
          <w:p w:rsidR="000A103F" w:rsidRPr="00664A42" w:rsidRDefault="000A103F" w:rsidP="003B01FB">
            <w:pPr>
              <w:pStyle w:val="NoSpacing"/>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89.1</w:t>
            </w:r>
            <w:r w:rsidR="00645FE2">
              <w:rPr>
                <w:rFonts w:ascii="Book Antiqua" w:eastAsiaTheme="minorEastAsia" w:hAnsi="Book Antiqua" w:hint="eastAsia"/>
                <w:lang w:val="en-GB" w:eastAsia="zh-CN"/>
              </w:rPr>
              <w:t>%</w:t>
            </w:r>
          </w:p>
        </w:tc>
        <w:tc>
          <w:tcPr>
            <w:tcW w:w="850"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2.95</w:t>
            </w:r>
          </w:p>
        </w:tc>
        <w:tc>
          <w:tcPr>
            <w:tcW w:w="851" w:type="dxa"/>
          </w:tcPr>
          <w:p w:rsidR="000A103F" w:rsidRPr="00664A42" w:rsidRDefault="000A103F" w:rsidP="003B01FB">
            <w:pPr>
              <w:pStyle w:val="NoSpacing"/>
              <w:spacing w:line="360" w:lineRule="auto"/>
              <w:jc w:val="both"/>
              <w:rPr>
                <w:rFonts w:ascii="Book Antiqua" w:eastAsiaTheme="minorEastAsia" w:hAnsi="Book Antiqua"/>
                <w:lang w:val="en-GB" w:eastAsia="en-US"/>
              </w:rPr>
            </w:pPr>
            <w:r w:rsidRPr="00664A42">
              <w:rPr>
                <w:rFonts w:ascii="Book Antiqua" w:eastAsiaTheme="minorEastAsia" w:hAnsi="Book Antiqua"/>
                <w:lang w:val="en-GB" w:eastAsia="en-US"/>
              </w:rPr>
              <w:t>0.34</w:t>
            </w:r>
          </w:p>
        </w:tc>
      </w:tr>
    </w:tbl>
    <w:p w:rsidR="00645FE2" w:rsidRPr="00664A42" w:rsidRDefault="00645FE2" w:rsidP="003B01FB">
      <w:pPr>
        <w:widowControl w:val="0"/>
        <w:autoSpaceDE w:val="0"/>
        <w:autoSpaceDN w:val="0"/>
        <w:adjustRightInd w:val="0"/>
        <w:spacing w:line="360" w:lineRule="auto"/>
        <w:jc w:val="both"/>
        <w:rPr>
          <w:rFonts w:ascii="Book Antiqua" w:eastAsiaTheme="minorEastAsia" w:hAnsi="Book Antiqua"/>
          <w:lang w:val="en-GB" w:eastAsia="zh-CN"/>
        </w:rPr>
      </w:pPr>
      <w:r w:rsidRPr="00664A42">
        <w:rPr>
          <w:rFonts w:ascii="Book Antiqua" w:eastAsiaTheme="minorEastAsia" w:hAnsi="Book Antiqua"/>
          <w:lang w:val="en-GB" w:eastAsia="en-US"/>
        </w:rPr>
        <w:t>PPV</w:t>
      </w:r>
      <w:r>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Positive predictive value</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NPV</w:t>
      </w:r>
      <w:r>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Negative predictive value</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LR+</w:t>
      </w:r>
      <w:r>
        <w:rPr>
          <w:rFonts w:ascii="Book Antiqua" w:eastAsiaTheme="minorEastAsia" w:hAnsi="Book Antiqua" w:hint="eastAsia"/>
          <w:lang w:val="en-GB" w:eastAsia="zh-CN"/>
        </w:rPr>
        <w:t xml:space="preserve">: </w:t>
      </w:r>
      <w:r w:rsidRPr="00664A42">
        <w:rPr>
          <w:rFonts w:ascii="Book Antiqua" w:eastAsiaTheme="minorEastAsia" w:hAnsi="Book Antiqua"/>
          <w:lang w:val="en-GB" w:eastAsia="en-US"/>
        </w:rPr>
        <w:t>Positive likelihood ratio</w:t>
      </w:r>
      <w:r w:rsidRPr="00664A42">
        <w:rPr>
          <w:rFonts w:ascii="Book Antiqua" w:eastAsiaTheme="minorEastAsia" w:hAnsi="Book Antiqua"/>
          <w:lang w:val="en-US" w:eastAsia="en-US"/>
        </w:rPr>
        <w:t>;</w:t>
      </w:r>
      <w:r w:rsidRPr="00664A42">
        <w:rPr>
          <w:rFonts w:ascii="Book Antiqua" w:eastAsiaTheme="minorEastAsia" w:hAnsi="Book Antiqua"/>
          <w:lang w:val="en-GB" w:eastAsia="en-US"/>
        </w:rPr>
        <w:t xml:space="preserve"> LR-</w:t>
      </w:r>
      <w:r>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Negative likelihood ratio</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PCT</w:t>
      </w:r>
      <w:r>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Procalcitonin</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CRP</w:t>
      </w:r>
      <w:r>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C-reactive protein</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MELD</w:t>
      </w:r>
      <w:r>
        <w:rPr>
          <w:rFonts w:ascii="Book Antiqua" w:eastAsiaTheme="minorEastAsia" w:hAnsi="Book Antiqua" w:hint="eastAsia"/>
          <w:lang w:val="en-GB" w:eastAsia="zh-CN"/>
        </w:rPr>
        <w:t>:</w:t>
      </w:r>
      <w:r w:rsidRPr="00664A42">
        <w:rPr>
          <w:rFonts w:ascii="Book Antiqua" w:eastAsiaTheme="minorEastAsia" w:hAnsi="Book Antiqua"/>
          <w:lang w:val="en-GB" w:eastAsia="en-US"/>
        </w:rPr>
        <w:t xml:space="preserve"> Model for end-stage liver disease</w:t>
      </w:r>
      <w:r>
        <w:rPr>
          <w:rFonts w:ascii="Book Antiqua" w:eastAsiaTheme="minorEastAsia" w:hAnsi="Book Antiqua" w:hint="eastAsia"/>
          <w:lang w:val="en-US" w:eastAsia="zh-CN"/>
        </w:rPr>
        <w:t>.</w:t>
      </w:r>
    </w:p>
    <w:p w:rsidR="00645FE2" w:rsidRPr="00645FE2" w:rsidRDefault="00645FE2" w:rsidP="003B01FB">
      <w:pPr>
        <w:widowControl w:val="0"/>
        <w:autoSpaceDE w:val="0"/>
        <w:autoSpaceDN w:val="0"/>
        <w:adjustRightInd w:val="0"/>
        <w:jc w:val="both"/>
        <w:rPr>
          <w:rFonts w:ascii="Book Antiqua" w:eastAsiaTheme="minorEastAsia" w:hAnsi="Book Antiqua"/>
          <w:b/>
          <w:lang w:val="en-GB" w:eastAsia="zh-CN"/>
        </w:rPr>
        <w:sectPr w:rsidR="00645FE2" w:rsidRPr="00645FE2" w:rsidSect="00E57C92">
          <w:pgSz w:w="16840" w:h="11900" w:orient="landscape"/>
          <w:pgMar w:top="1800" w:right="1440" w:bottom="1800" w:left="1440" w:header="708" w:footer="708" w:gutter="0"/>
          <w:cols w:space="708"/>
          <w:docGrid w:linePitch="360"/>
        </w:sectPr>
      </w:pPr>
    </w:p>
    <w:p w:rsidR="000A103F" w:rsidRPr="00AD3D8A" w:rsidRDefault="00645FE2" w:rsidP="003B01FB">
      <w:pPr>
        <w:spacing w:line="360" w:lineRule="auto"/>
        <w:jc w:val="both"/>
        <w:rPr>
          <w:rFonts w:ascii="Book Antiqua" w:eastAsiaTheme="minorEastAsia" w:hAnsi="Book Antiqua"/>
          <w:b/>
          <w:lang w:val="en-US" w:eastAsia="zh-CN"/>
        </w:rPr>
      </w:pPr>
      <w:r>
        <w:rPr>
          <w:rFonts w:ascii="Book Antiqua" w:hAnsi="Book Antiqua"/>
          <w:b/>
          <w:lang w:val="en-US"/>
        </w:rPr>
        <w:lastRenderedPageBreak/>
        <w:t>Table 5</w:t>
      </w:r>
      <w:r w:rsidR="000A103F" w:rsidRPr="00664A42">
        <w:rPr>
          <w:rFonts w:ascii="Book Antiqua" w:hAnsi="Book Antiqua"/>
          <w:b/>
          <w:lang w:val="en-US"/>
        </w:rPr>
        <w:t xml:space="preserve"> Association of presepsin, procalcitonin and C-reactive protein levels with short-term (28-day) mortality in patients with ci</w:t>
      </w:r>
      <w:r w:rsidR="00AD3D8A">
        <w:rPr>
          <w:rFonts w:ascii="Book Antiqua" w:hAnsi="Book Antiqua"/>
          <w:b/>
          <w:lang w:val="en-US"/>
        </w:rPr>
        <w:t>rrhosis and bacterial infection</w:t>
      </w:r>
    </w:p>
    <w:p w:rsidR="000A103F" w:rsidRPr="00664A42" w:rsidRDefault="000A103F" w:rsidP="003B01FB">
      <w:pPr>
        <w:jc w:val="both"/>
        <w:rPr>
          <w:rFonts w:ascii="Book Antiqua" w:hAnsi="Book Antiqua"/>
          <w:lang w:val="en-US"/>
        </w:rPr>
      </w:pPr>
    </w:p>
    <w:tbl>
      <w:tblPr>
        <w:tblW w:w="11171" w:type="dxa"/>
        <w:jc w:val="center"/>
        <w:tblBorders>
          <w:top w:val="single" w:sz="4" w:space="0" w:color="auto"/>
          <w:bottom w:val="single" w:sz="4" w:space="0" w:color="auto"/>
        </w:tblBorders>
        <w:tblCellMar>
          <w:top w:w="57" w:type="dxa"/>
          <w:left w:w="70" w:type="dxa"/>
          <w:bottom w:w="57" w:type="dxa"/>
          <w:right w:w="70" w:type="dxa"/>
        </w:tblCellMar>
        <w:tblLook w:val="04A0" w:firstRow="1" w:lastRow="0" w:firstColumn="1" w:lastColumn="0" w:noHBand="0" w:noVBand="1"/>
      </w:tblPr>
      <w:tblGrid>
        <w:gridCol w:w="1765"/>
        <w:gridCol w:w="1420"/>
        <w:gridCol w:w="851"/>
        <w:gridCol w:w="1527"/>
        <w:gridCol w:w="740"/>
        <w:gridCol w:w="1300"/>
        <w:gridCol w:w="740"/>
        <w:gridCol w:w="1459"/>
        <w:gridCol w:w="184"/>
        <w:gridCol w:w="1225"/>
      </w:tblGrid>
      <w:tr w:rsidR="00645FE2" w:rsidRPr="00664A42" w:rsidTr="00645FE2">
        <w:trPr>
          <w:trHeight w:val="300"/>
          <w:jc w:val="center"/>
        </w:trPr>
        <w:tc>
          <w:tcPr>
            <w:tcW w:w="1765" w:type="dxa"/>
            <w:tcBorders>
              <w:top w:val="single" w:sz="4" w:space="0" w:color="auto"/>
              <w:bottom w:val="nil"/>
            </w:tcBorders>
            <w:shd w:val="clear" w:color="auto" w:fill="auto"/>
            <w:noWrap/>
            <w:vAlign w:val="bottom"/>
          </w:tcPr>
          <w:p w:rsidR="000A103F" w:rsidRPr="00645FE2" w:rsidRDefault="000A103F" w:rsidP="003B01FB">
            <w:pPr>
              <w:jc w:val="both"/>
              <w:rPr>
                <w:rFonts w:ascii="Book Antiqua" w:hAnsi="Book Antiqua"/>
                <w:b/>
                <w:lang w:val="en-US"/>
              </w:rPr>
            </w:pPr>
          </w:p>
        </w:tc>
        <w:tc>
          <w:tcPr>
            <w:tcW w:w="9406" w:type="dxa"/>
            <w:gridSpan w:val="9"/>
            <w:tcBorders>
              <w:top w:val="single" w:sz="4" w:space="0" w:color="auto"/>
              <w:bottom w:val="single" w:sz="4" w:space="0" w:color="auto"/>
            </w:tcBorders>
            <w:shd w:val="clear" w:color="auto" w:fill="auto"/>
            <w:noWrap/>
            <w:vAlign w:val="bottom"/>
          </w:tcPr>
          <w:p w:rsidR="000A103F" w:rsidRPr="00645FE2" w:rsidRDefault="000A103F" w:rsidP="003B01FB">
            <w:pPr>
              <w:jc w:val="both"/>
              <w:rPr>
                <w:rFonts w:ascii="Book Antiqua" w:hAnsi="Book Antiqua"/>
                <w:b/>
                <w:lang w:val="en-US"/>
              </w:rPr>
            </w:pPr>
            <w:r w:rsidRPr="00645FE2">
              <w:rPr>
                <w:rFonts w:ascii="Book Antiqua" w:hAnsi="Book Antiqua"/>
                <w:b/>
                <w:lang w:val="en-US"/>
              </w:rPr>
              <w:t xml:space="preserve">Binary </w:t>
            </w:r>
            <w:r w:rsidR="00645FE2" w:rsidRPr="00645FE2">
              <w:rPr>
                <w:rFonts w:ascii="Book Antiqua" w:hAnsi="Book Antiqua"/>
                <w:b/>
                <w:lang w:val="en-US"/>
              </w:rPr>
              <w:t>logistic regression analysis</w:t>
            </w:r>
          </w:p>
        </w:tc>
      </w:tr>
      <w:tr w:rsidR="00645FE2" w:rsidRPr="00664A42" w:rsidTr="00645FE2">
        <w:trPr>
          <w:trHeight w:val="300"/>
          <w:jc w:val="center"/>
        </w:trPr>
        <w:tc>
          <w:tcPr>
            <w:tcW w:w="1765" w:type="dxa"/>
            <w:tcBorders>
              <w:top w:val="nil"/>
              <w:bottom w:val="nil"/>
            </w:tcBorders>
            <w:shd w:val="clear" w:color="auto" w:fill="auto"/>
            <w:noWrap/>
            <w:vAlign w:val="bottom"/>
            <w:hideMark/>
          </w:tcPr>
          <w:p w:rsidR="000A103F" w:rsidRPr="00645FE2" w:rsidRDefault="000A103F" w:rsidP="003B01FB">
            <w:pPr>
              <w:jc w:val="both"/>
              <w:rPr>
                <w:rFonts w:ascii="Book Antiqua" w:hAnsi="Book Antiqua"/>
                <w:b/>
                <w:lang w:val="en-US"/>
              </w:rPr>
            </w:pPr>
          </w:p>
        </w:tc>
        <w:tc>
          <w:tcPr>
            <w:tcW w:w="2231" w:type="dxa"/>
            <w:gridSpan w:val="2"/>
            <w:tcBorders>
              <w:top w:val="single" w:sz="4" w:space="0" w:color="auto"/>
              <w:bottom w:val="single" w:sz="4" w:space="0" w:color="auto"/>
            </w:tcBorders>
            <w:shd w:val="clear" w:color="auto" w:fill="auto"/>
            <w:noWrap/>
            <w:vAlign w:val="bottom"/>
            <w:hideMark/>
          </w:tcPr>
          <w:p w:rsidR="000A103F" w:rsidRPr="00645FE2" w:rsidRDefault="000A103F" w:rsidP="003B01FB">
            <w:pPr>
              <w:jc w:val="both"/>
              <w:rPr>
                <w:rFonts w:ascii="Book Antiqua" w:hAnsi="Book Antiqua"/>
                <w:b/>
                <w:lang w:val="en-US"/>
              </w:rPr>
            </w:pPr>
            <w:r w:rsidRPr="00645FE2">
              <w:rPr>
                <w:rFonts w:ascii="Book Antiqua" w:hAnsi="Book Antiqua"/>
                <w:b/>
                <w:lang w:val="en-US"/>
              </w:rPr>
              <w:t>Univariate</w:t>
            </w:r>
          </w:p>
        </w:tc>
        <w:tc>
          <w:tcPr>
            <w:tcW w:w="7175" w:type="dxa"/>
            <w:gridSpan w:val="7"/>
            <w:tcBorders>
              <w:top w:val="single" w:sz="4" w:space="0" w:color="auto"/>
              <w:bottom w:val="single" w:sz="4" w:space="0" w:color="auto"/>
            </w:tcBorders>
            <w:shd w:val="clear" w:color="auto" w:fill="auto"/>
            <w:noWrap/>
            <w:vAlign w:val="bottom"/>
            <w:hideMark/>
          </w:tcPr>
          <w:p w:rsidR="000A103F" w:rsidRPr="00645FE2" w:rsidRDefault="000A103F" w:rsidP="003B01FB">
            <w:pPr>
              <w:jc w:val="both"/>
              <w:rPr>
                <w:rFonts w:ascii="Book Antiqua" w:hAnsi="Book Antiqua"/>
                <w:b/>
                <w:lang w:val="en-US"/>
              </w:rPr>
            </w:pPr>
            <w:r w:rsidRPr="00645FE2">
              <w:rPr>
                <w:rFonts w:ascii="Book Antiqua" w:hAnsi="Book Antiqua"/>
                <w:b/>
                <w:lang w:val="en-US"/>
              </w:rPr>
              <w:t>Multivariate</w:t>
            </w:r>
          </w:p>
        </w:tc>
      </w:tr>
      <w:tr w:rsidR="00645FE2" w:rsidRPr="00664A42" w:rsidTr="00645FE2">
        <w:trPr>
          <w:trHeight w:val="318"/>
          <w:jc w:val="center"/>
        </w:trPr>
        <w:tc>
          <w:tcPr>
            <w:tcW w:w="1765" w:type="dxa"/>
            <w:tcBorders>
              <w:top w:val="nil"/>
              <w:bottom w:val="single" w:sz="4" w:space="0" w:color="auto"/>
            </w:tcBorders>
            <w:shd w:val="clear" w:color="auto" w:fill="auto"/>
            <w:noWrap/>
            <w:vAlign w:val="bottom"/>
            <w:hideMark/>
          </w:tcPr>
          <w:p w:rsidR="000A103F" w:rsidRPr="00645FE2" w:rsidRDefault="000A103F" w:rsidP="003B01FB">
            <w:pPr>
              <w:jc w:val="both"/>
              <w:rPr>
                <w:rFonts w:ascii="Book Antiqua" w:hAnsi="Book Antiqua"/>
                <w:b/>
                <w:lang w:val="en-US"/>
              </w:rPr>
            </w:pPr>
          </w:p>
        </w:tc>
        <w:tc>
          <w:tcPr>
            <w:tcW w:w="1380" w:type="dxa"/>
            <w:tcBorders>
              <w:top w:val="single" w:sz="4" w:space="0" w:color="auto"/>
              <w:bottom w:val="single" w:sz="4" w:space="0" w:color="auto"/>
            </w:tcBorders>
            <w:shd w:val="clear" w:color="auto" w:fill="auto"/>
            <w:noWrap/>
            <w:vAlign w:val="bottom"/>
            <w:hideMark/>
          </w:tcPr>
          <w:p w:rsidR="000A103F" w:rsidRPr="00645FE2" w:rsidRDefault="00645FE2" w:rsidP="003B01FB">
            <w:pPr>
              <w:jc w:val="both"/>
              <w:rPr>
                <w:rFonts w:ascii="Book Antiqua" w:hAnsi="Book Antiqua"/>
                <w:b/>
                <w:lang w:val="en-US"/>
              </w:rPr>
            </w:pPr>
            <w:r w:rsidRPr="00645FE2">
              <w:rPr>
                <w:rFonts w:ascii="Book Antiqua" w:hAnsi="Book Antiqua"/>
                <w:b/>
                <w:lang w:val="en-US"/>
              </w:rPr>
              <w:t>Unadjusted</w:t>
            </w:r>
          </w:p>
        </w:tc>
        <w:tc>
          <w:tcPr>
            <w:tcW w:w="851" w:type="dxa"/>
            <w:tcBorders>
              <w:top w:val="single" w:sz="4" w:space="0" w:color="auto"/>
              <w:bottom w:val="single" w:sz="4" w:space="0" w:color="auto"/>
            </w:tcBorders>
            <w:shd w:val="clear" w:color="auto" w:fill="auto"/>
            <w:noWrap/>
            <w:vAlign w:val="bottom"/>
            <w:hideMark/>
          </w:tcPr>
          <w:p w:rsidR="00645FE2" w:rsidRPr="00645FE2" w:rsidRDefault="00645FE2" w:rsidP="003B01FB">
            <w:pPr>
              <w:jc w:val="both"/>
              <w:rPr>
                <w:rFonts w:ascii="Book Antiqua" w:eastAsiaTheme="minorEastAsia" w:hAnsi="Book Antiqua"/>
                <w:b/>
                <w:i/>
                <w:lang w:val="en-US" w:eastAsia="zh-CN"/>
              </w:rPr>
            </w:pPr>
            <w:r w:rsidRPr="00645FE2">
              <w:rPr>
                <w:rFonts w:ascii="Book Antiqua" w:hAnsi="Book Antiqua"/>
                <w:b/>
                <w:i/>
                <w:lang w:val="en-US"/>
              </w:rPr>
              <w:t>P</w:t>
            </w:r>
          </w:p>
          <w:p w:rsidR="000A103F" w:rsidRPr="00645FE2" w:rsidRDefault="00645FE2" w:rsidP="003B01FB">
            <w:pPr>
              <w:jc w:val="both"/>
              <w:rPr>
                <w:rFonts w:ascii="Book Antiqua" w:hAnsi="Book Antiqua"/>
                <w:b/>
                <w:lang w:val="en-US"/>
              </w:rPr>
            </w:pPr>
            <w:r w:rsidRPr="00645FE2">
              <w:rPr>
                <w:rFonts w:ascii="Book Antiqua" w:hAnsi="Book Antiqua"/>
                <w:b/>
                <w:lang w:val="en-US"/>
              </w:rPr>
              <w:t>value</w:t>
            </w:r>
          </w:p>
        </w:tc>
        <w:tc>
          <w:tcPr>
            <w:tcW w:w="1527" w:type="dxa"/>
            <w:tcBorders>
              <w:top w:val="single" w:sz="4" w:space="0" w:color="auto"/>
              <w:bottom w:val="single" w:sz="4" w:space="0" w:color="auto"/>
            </w:tcBorders>
            <w:shd w:val="clear" w:color="auto" w:fill="auto"/>
            <w:vAlign w:val="bottom"/>
            <w:hideMark/>
          </w:tcPr>
          <w:p w:rsidR="000A103F" w:rsidRPr="00645FE2" w:rsidRDefault="000A103F" w:rsidP="003B01FB">
            <w:pPr>
              <w:jc w:val="both"/>
              <w:rPr>
                <w:rFonts w:ascii="Book Antiqua" w:hAnsi="Book Antiqua"/>
                <w:b/>
                <w:lang w:val="en-US"/>
              </w:rPr>
            </w:pPr>
            <w:r w:rsidRPr="00645FE2">
              <w:rPr>
                <w:rFonts w:ascii="Book Antiqua" w:hAnsi="Book Antiqua"/>
                <w:b/>
                <w:lang w:val="en-US"/>
              </w:rPr>
              <w:t>adjusted</w:t>
            </w:r>
          </w:p>
          <w:p w:rsidR="000A103F" w:rsidRPr="00645FE2" w:rsidRDefault="000A103F" w:rsidP="003B01FB">
            <w:pPr>
              <w:jc w:val="both"/>
              <w:rPr>
                <w:rFonts w:ascii="Book Antiqua" w:hAnsi="Book Antiqua"/>
                <w:b/>
                <w:lang w:val="en-US"/>
              </w:rPr>
            </w:pPr>
            <w:r w:rsidRPr="00645FE2">
              <w:rPr>
                <w:rFonts w:ascii="Book Antiqua" w:hAnsi="Book Antiqua"/>
                <w:b/>
                <w:lang w:val="en-US"/>
              </w:rPr>
              <w:t>for MELD</w:t>
            </w:r>
          </w:p>
        </w:tc>
        <w:tc>
          <w:tcPr>
            <w:tcW w:w="740" w:type="dxa"/>
            <w:tcBorders>
              <w:top w:val="single" w:sz="4" w:space="0" w:color="auto"/>
              <w:bottom w:val="single" w:sz="4" w:space="0" w:color="auto"/>
            </w:tcBorders>
            <w:shd w:val="clear" w:color="auto" w:fill="auto"/>
            <w:vAlign w:val="bottom"/>
            <w:hideMark/>
          </w:tcPr>
          <w:p w:rsidR="00645FE2" w:rsidRPr="00645FE2" w:rsidRDefault="00645FE2" w:rsidP="003B01FB">
            <w:pPr>
              <w:jc w:val="both"/>
              <w:rPr>
                <w:rFonts w:ascii="Book Antiqua" w:eastAsiaTheme="minorEastAsia" w:hAnsi="Book Antiqua"/>
                <w:b/>
                <w:i/>
                <w:lang w:val="en-US" w:eastAsia="zh-CN"/>
              </w:rPr>
            </w:pPr>
            <w:r w:rsidRPr="00645FE2">
              <w:rPr>
                <w:rFonts w:ascii="Book Antiqua" w:hAnsi="Book Antiqua"/>
                <w:b/>
                <w:i/>
                <w:lang w:val="en-US"/>
              </w:rPr>
              <w:t>P</w:t>
            </w:r>
          </w:p>
          <w:p w:rsidR="000A103F" w:rsidRPr="00645FE2" w:rsidRDefault="00645FE2" w:rsidP="003B01FB">
            <w:pPr>
              <w:jc w:val="both"/>
              <w:rPr>
                <w:rFonts w:ascii="Book Antiqua" w:hAnsi="Book Antiqua"/>
                <w:b/>
                <w:lang w:val="en-US"/>
              </w:rPr>
            </w:pPr>
            <w:r w:rsidRPr="00645FE2">
              <w:rPr>
                <w:rFonts w:ascii="Book Antiqua" w:hAnsi="Book Antiqua"/>
                <w:b/>
                <w:lang w:val="en-US"/>
              </w:rPr>
              <w:t>value</w:t>
            </w:r>
          </w:p>
        </w:tc>
        <w:tc>
          <w:tcPr>
            <w:tcW w:w="1300" w:type="dxa"/>
            <w:tcBorders>
              <w:top w:val="single" w:sz="4" w:space="0" w:color="auto"/>
              <w:bottom w:val="single" w:sz="4" w:space="0" w:color="auto"/>
            </w:tcBorders>
            <w:shd w:val="clear" w:color="auto" w:fill="auto"/>
            <w:vAlign w:val="bottom"/>
            <w:hideMark/>
          </w:tcPr>
          <w:p w:rsidR="000A103F" w:rsidRPr="00645FE2" w:rsidRDefault="000A103F" w:rsidP="003B01FB">
            <w:pPr>
              <w:jc w:val="both"/>
              <w:rPr>
                <w:rFonts w:ascii="Book Antiqua" w:hAnsi="Book Antiqua"/>
                <w:b/>
                <w:lang w:val="en-US"/>
              </w:rPr>
            </w:pPr>
            <w:r w:rsidRPr="00645FE2">
              <w:rPr>
                <w:rFonts w:ascii="Book Antiqua" w:hAnsi="Book Antiqua"/>
                <w:b/>
                <w:lang w:val="en-US"/>
              </w:rPr>
              <w:t>adjusted</w:t>
            </w:r>
          </w:p>
          <w:p w:rsidR="000A103F" w:rsidRPr="00645FE2" w:rsidRDefault="000A103F" w:rsidP="003B01FB">
            <w:pPr>
              <w:jc w:val="both"/>
              <w:rPr>
                <w:rFonts w:ascii="Book Antiqua" w:hAnsi="Book Antiqua"/>
                <w:b/>
                <w:lang w:val="en-US"/>
              </w:rPr>
            </w:pPr>
            <w:r w:rsidRPr="00645FE2">
              <w:rPr>
                <w:rFonts w:ascii="Book Antiqua" w:hAnsi="Book Antiqua"/>
                <w:b/>
                <w:lang w:val="en-US"/>
              </w:rPr>
              <w:t>for leucocyte count</w:t>
            </w:r>
          </w:p>
        </w:tc>
        <w:tc>
          <w:tcPr>
            <w:tcW w:w="740" w:type="dxa"/>
            <w:tcBorders>
              <w:top w:val="single" w:sz="4" w:space="0" w:color="auto"/>
              <w:bottom w:val="single" w:sz="4" w:space="0" w:color="auto"/>
            </w:tcBorders>
            <w:shd w:val="clear" w:color="auto" w:fill="auto"/>
            <w:vAlign w:val="bottom"/>
            <w:hideMark/>
          </w:tcPr>
          <w:p w:rsidR="00645FE2" w:rsidRPr="00645FE2" w:rsidRDefault="00645FE2" w:rsidP="003B01FB">
            <w:pPr>
              <w:jc w:val="both"/>
              <w:rPr>
                <w:rFonts w:ascii="Book Antiqua" w:eastAsiaTheme="minorEastAsia" w:hAnsi="Book Antiqua"/>
                <w:b/>
                <w:i/>
                <w:lang w:val="en-US" w:eastAsia="zh-CN"/>
              </w:rPr>
            </w:pPr>
            <w:r w:rsidRPr="00645FE2">
              <w:rPr>
                <w:rFonts w:ascii="Book Antiqua" w:hAnsi="Book Antiqua"/>
                <w:b/>
                <w:i/>
                <w:lang w:val="en-US"/>
              </w:rPr>
              <w:t>P</w:t>
            </w:r>
          </w:p>
          <w:p w:rsidR="000A103F" w:rsidRPr="00645FE2" w:rsidRDefault="00645FE2" w:rsidP="003B01FB">
            <w:pPr>
              <w:jc w:val="both"/>
              <w:rPr>
                <w:rFonts w:ascii="Book Antiqua" w:hAnsi="Book Antiqua"/>
                <w:b/>
                <w:lang w:val="en-US"/>
              </w:rPr>
            </w:pPr>
            <w:r w:rsidRPr="00645FE2">
              <w:rPr>
                <w:rFonts w:ascii="Book Antiqua" w:hAnsi="Book Antiqua"/>
                <w:b/>
                <w:lang w:val="en-US"/>
              </w:rPr>
              <w:t>value</w:t>
            </w:r>
          </w:p>
        </w:tc>
        <w:tc>
          <w:tcPr>
            <w:tcW w:w="1643" w:type="dxa"/>
            <w:gridSpan w:val="2"/>
            <w:tcBorders>
              <w:top w:val="single" w:sz="4" w:space="0" w:color="auto"/>
              <w:bottom w:val="single" w:sz="4" w:space="0" w:color="auto"/>
            </w:tcBorders>
            <w:shd w:val="clear" w:color="auto" w:fill="auto"/>
            <w:vAlign w:val="bottom"/>
            <w:hideMark/>
          </w:tcPr>
          <w:p w:rsidR="000A103F" w:rsidRPr="00645FE2" w:rsidRDefault="000A103F" w:rsidP="003B01FB">
            <w:pPr>
              <w:jc w:val="both"/>
              <w:rPr>
                <w:rFonts w:ascii="Book Antiqua" w:hAnsi="Book Antiqua"/>
                <w:b/>
                <w:lang w:val="en-US"/>
              </w:rPr>
            </w:pPr>
            <w:r w:rsidRPr="00645FE2">
              <w:rPr>
                <w:rFonts w:ascii="Book Antiqua" w:hAnsi="Book Antiqua"/>
                <w:b/>
                <w:lang w:val="en-US"/>
              </w:rPr>
              <w:t>adjusted</w:t>
            </w:r>
          </w:p>
          <w:p w:rsidR="000A103F" w:rsidRPr="00645FE2" w:rsidRDefault="000A103F" w:rsidP="003B01FB">
            <w:pPr>
              <w:jc w:val="both"/>
              <w:rPr>
                <w:rFonts w:ascii="Book Antiqua" w:hAnsi="Book Antiqua"/>
                <w:b/>
                <w:lang w:val="en-US"/>
              </w:rPr>
            </w:pPr>
            <w:r w:rsidRPr="00645FE2">
              <w:rPr>
                <w:rFonts w:ascii="Book Antiqua" w:hAnsi="Book Antiqua"/>
                <w:b/>
                <w:lang w:val="en-US"/>
              </w:rPr>
              <w:t>for MELD</w:t>
            </w:r>
          </w:p>
          <w:p w:rsidR="000A103F" w:rsidRPr="00645FE2" w:rsidRDefault="000A103F" w:rsidP="003B01FB">
            <w:pPr>
              <w:jc w:val="both"/>
              <w:rPr>
                <w:rFonts w:ascii="Book Antiqua" w:hAnsi="Book Antiqua"/>
                <w:b/>
                <w:lang w:val="en-US"/>
              </w:rPr>
            </w:pPr>
            <w:r w:rsidRPr="00645FE2">
              <w:rPr>
                <w:rFonts w:ascii="Book Antiqua" w:hAnsi="Book Antiqua"/>
                <w:b/>
                <w:lang w:val="en-US"/>
              </w:rPr>
              <w:t>and leucocyte count</w:t>
            </w:r>
          </w:p>
        </w:tc>
        <w:tc>
          <w:tcPr>
            <w:tcW w:w="1225" w:type="dxa"/>
            <w:tcBorders>
              <w:top w:val="single" w:sz="4" w:space="0" w:color="auto"/>
              <w:bottom w:val="single" w:sz="4" w:space="0" w:color="auto"/>
            </w:tcBorders>
            <w:shd w:val="clear" w:color="auto" w:fill="auto"/>
            <w:vAlign w:val="bottom"/>
            <w:hideMark/>
          </w:tcPr>
          <w:p w:rsidR="000A103F" w:rsidRPr="00645FE2" w:rsidRDefault="00645FE2" w:rsidP="003B01FB">
            <w:pPr>
              <w:jc w:val="both"/>
              <w:rPr>
                <w:rFonts w:ascii="Book Antiqua" w:eastAsiaTheme="minorEastAsia" w:hAnsi="Book Antiqua"/>
                <w:b/>
                <w:i/>
                <w:lang w:val="en-US" w:eastAsia="zh-CN"/>
              </w:rPr>
            </w:pPr>
            <w:r w:rsidRPr="00645FE2">
              <w:rPr>
                <w:rFonts w:ascii="Book Antiqua" w:hAnsi="Book Antiqua"/>
                <w:b/>
                <w:i/>
                <w:lang w:val="en-US"/>
              </w:rPr>
              <w:t>P</w:t>
            </w:r>
          </w:p>
          <w:p w:rsidR="000A103F" w:rsidRPr="00645FE2" w:rsidRDefault="000A103F" w:rsidP="003B01FB">
            <w:pPr>
              <w:jc w:val="both"/>
              <w:rPr>
                <w:rFonts w:ascii="Book Antiqua" w:hAnsi="Book Antiqua"/>
                <w:b/>
                <w:lang w:val="en-US"/>
              </w:rPr>
            </w:pPr>
            <w:r w:rsidRPr="00645FE2">
              <w:rPr>
                <w:rFonts w:ascii="Book Antiqua" w:hAnsi="Book Antiqua"/>
                <w:b/>
                <w:lang w:val="en-US"/>
              </w:rPr>
              <w:t>value</w:t>
            </w:r>
          </w:p>
        </w:tc>
      </w:tr>
      <w:tr w:rsidR="00645FE2" w:rsidRPr="00664A42" w:rsidTr="00645FE2">
        <w:trPr>
          <w:trHeight w:val="300"/>
          <w:jc w:val="center"/>
        </w:trPr>
        <w:tc>
          <w:tcPr>
            <w:tcW w:w="1765" w:type="dxa"/>
            <w:tcBorders>
              <w:top w:val="single" w:sz="4" w:space="0" w:color="auto"/>
            </w:tcBorders>
            <w:shd w:val="clear" w:color="auto" w:fill="auto"/>
            <w:noWrap/>
            <w:vAlign w:val="bottom"/>
          </w:tcPr>
          <w:p w:rsidR="000A103F" w:rsidRPr="00664A42" w:rsidRDefault="000A103F" w:rsidP="003B01FB">
            <w:pPr>
              <w:jc w:val="both"/>
              <w:rPr>
                <w:rFonts w:ascii="Book Antiqua" w:hAnsi="Book Antiqua"/>
                <w:lang w:val="en-US"/>
              </w:rPr>
            </w:pPr>
            <w:r w:rsidRPr="00664A42">
              <w:rPr>
                <w:rFonts w:ascii="Book Antiqua" w:hAnsi="Book Antiqua"/>
                <w:lang w:val="en-US"/>
              </w:rPr>
              <w:t>ln(Presepsin)</w:t>
            </w:r>
          </w:p>
        </w:tc>
        <w:tc>
          <w:tcPr>
            <w:tcW w:w="1380"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3.59</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(1.65-7.84)</w:t>
            </w:r>
          </w:p>
        </w:tc>
        <w:tc>
          <w:tcPr>
            <w:tcW w:w="851"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0.001</w:t>
            </w:r>
          </w:p>
        </w:tc>
        <w:tc>
          <w:tcPr>
            <w:tcW w:w="1527"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1.90</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(0.81-4.43)</w:t>
            </w:r>
          </w:p>
        </w:tc>
        <w:tc>
          <w:tcPr>
            <w:tcW w:w="740"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0.138</w:t>
            </w:r>
          </w:p>
        </w:tc>
        <w:tc>
          <w:tcPr>
            <w:tcW w:w="1300"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2.91</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(1.28-6.64)</w:t>
            </w:r>
          </w:p>
        </w:tc>
        <w:tc>
          <w:tcPr>
            <w:tcW w:w="740"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0.011</w:t>
            </w:r>
          </w:p>
        </w:tc>
        <w:tc>
          <w:tcPr>
            <w:tcW w:w="1459" w:type="dxa"/>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1.61</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(0.65-3.97)</w:t>
            </w:r>
          </w:p>
        </w:tc>
        <w:tc>
          <w:tcPr>
            <w:tcW w:w="1409" w:type="dxa"/>
            <w:gridSpan w:val="2"/>
            <w:tcBorders>
              <w:top w:val="single" w:sz="4" w:space="0" w:color="auto"/>
            </w:tcBorders>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0.303</w:t>
            </w:r>
          </w:p>
        </w:tc>
      </w:tr>
      <w:tr w:rsidR="00645FE2" w:rsidRPr="00664A42" w:rsidTr="00645FE2">
        <w:trPr>
          <w:trHeight w:val="300"/>
          <w:jc w:val="center"/>
        </w:trPr>
        <w:tc>
          <w:tcPr>
            <w:tcW w:w="1765" w:type="dxa"/>
            <w:shd w:val="clear" w:color="auto" w:fill="auto"/>
            <w:noWrap/>
            <w:vAlign w:val="bottom"/>
          </w:tcPr>
          <w:p w:rsidR="000A103F" w:rsidRPr="00664A42" w:rsidRDefault="000A103F" w:rsidP="003B01FB">
            <w:pPr>
              <w:jc w:val="both"/>
              <w:rPr>
                <w:rFonts w:ascii="Book Antiqua" w:hAnsi="Book Antiqua"/>
                <w:lang w:val="en-US"/>
              </w:rPr>
            </w:pPr>
            <w:r w:rsidRPr="00664A42">
              <w:rPr>
                <w:rFonts w:ascii="Book Antiqua" w:hAnsi="Book Antiqua"/>
                <w:lang w:val="en-US"/>
              </w:rPr>
              <w:t>ln(PCT)</w:t>
            </w:r>
          </w:p>
        </w:tc>
        <w:tc>
          <w:tcPr>
            <w:tcW w:w="1380"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2.54</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(1.55-4.16)</w:t>
            </w:r>
          </w:p>
        </w:tc>
        <w:tc>
          <w:tcPr>
            <w:tcW w:w="851"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&lt;</w:t>
            </w:r>
            <w:r w:rsidR="00645FE2">
              <w:rPr>
                <w:rFonts w:ascii="Book Antiqua" w:hAnsi="Book Antiqua" w:cs="Arial" w:hint="eastAsia"/>
                <w:lang w:val="en-US" w:eastAsia="zh-CN"/>
              </w:rPr>
              <w:t xml:space="preserve"> </w:t>
            </w:r>
            <w:r w:rsidRPr="00664A42">
              <w:rPr>
                <w:rFonts w:ascii="Book Antiqua" w:hAnsi="Book Antiqua" w:cs="Arial"/>
                <w:lang w:val="en-US"/>
              </w:rPr>
              <w:t>0.001</w:t>
            </w:r>
          </w:p>
        </w:tc>
        <w:tc>
          <w:tcPr>
            <w:tcW w:w="1527"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1.89</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(1.14-3.14)</w:t>
            </w:r>
          </w:p>
        </w:tc>
        <w:tc>
          <w:tcPr>
            <w:tcW w:w="740"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0.014</w:t>
            </w:r>
          </w:p>
        </w:tc>
        <w:tc>
          <w:tcPr>
            <w:tcW w:w="1300"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2.33</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(1.42-3.83)</w:t>
            </w:r>
          </w:p>
        </w:tc>
        <w:tc>
          <w:tcPr>
            <w:tcW w:w="740"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0.001</w:t>
            </w:r>
          </w:p>
        </w:tc>
        <w:tc>
          <w:tcPr>
            <w:tcW w:w="1459" w:type="dxa"/>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1.81</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(1.09-3.01)</w:t>
            </w:r>
          </w:p>
        </w:tc>
        <w:tc>
          <w:tcPr>
            <w:tcW w:w="1409" w:type="dxa"/>
            <w:gridSpan w:val="2"/>
            <w:shd w:val="clear" w:color="auto" w:fill="auto"/>
            <w:noWrap/>
            <w:vAlign w:val="center"/>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0.022</w:t>
            </w:r>
          </w:p>
        </w:tc>
      </w:tr>
      <w:tr w:rsidR="00645FE2" w:rsidRPr="00664A42" w:rsidTr="00645FE2">
        <w:trPr>
          <w:trHeight w:val="300"/>
          <w:jc w:val="center"/>
        </w:trPr>
        <w:tc>
          <w:tcPr>
            <w:tcW w:w="1765" w:type="dxa"/>
            <w:shd w:val="clear" w:color="auto" w:fill="auto"/>
            <w:noWrap/>
            <w:vAlign w:val="bottom"/>
            <w:hideMark/>
          </w:tcPr>
          <w:p w:rsidR="000A103F" w:rsidRPr="00664A42" w:rsidRDefault="000A103F" w:rsidP="003B01FB">
            <w:pPr>
              <w:jc w:val="both"/>
              <w:rPr>
                <w:rFonts w:ascii="Book Antiqua" w:hAnsi="Book Antiqua"/>
                <w:lang w:val="en-US"/>
              </w:rPr>
            </w:pPr>
            <w:r w:rsidRPr="00664A42">
              <w:rPr>
                <w:rFonts w:ascii="Book Antiqua" w:hAnsi="Book Antiqua"/>
                <w:lang w:val="en-US"/>
              </w:rPr>
              <w:t>ln(CRP)</w:t>
            </w:r>
          </w:p>
        </w:tc>
        <w:tc>
          <w:tcPr>
            <w:tcW w:w="1380"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2.17</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(1.23-3.81)</w:t>
            </w:r>
          </w:p>
        </w:tc>
        <w:tc>
          <w:tcPr>
            <w:tcW w:w="851"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0.007</w:t>
            </w:r>
          </w:p>
        </w:tc>
        <w:tc>
          <w:tcPr>
            <w:tcW w:w="1527"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1.73</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(0.93-3.21)</w:t>
            </w:r>
          </w:p>
        </w:tc>
        <w:tc>
          <w:tcPr>
            <w:tcW w:w="740"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0.081</w:t>
            </w:r>
          </w:p>
        </w:tc>
        <w:tc>
          <w:tcPr>
            <w:tcW w:w="1300"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1.84</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(1.03-3.31)</w:t>
            </w:r>
          </w:p>
        </w:tc>
        <w:tc>
          <w:tcPr>
            <w:tcW w:w="740"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0.040</w:t>
            </w:r>
          </w:p>
        </w:tc>
        <w:tc>
          <w:tcPr>
            <w:tcW w:w="1459" w:type="dxa"/>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1.56</w:t>
            </w:r>
          </w:p>
          <w:p w:rsidR="000A103F" w:rsidRPr="00664A42" w:rsidRDefault="000A103F" w:rsidP="003B01FB">
            <w:pPr>
              <w:jc w:val="both"/>
              <w:rPr>
                <w:rFonts w:ascii="Book Antiqua" w:hAnsi="Book Antiqua" w:cs="Arial"/>
                <w:lang w:val="en-US"/>
              </w:rPr>
            </w:pPr>
            <w:r w:rsidRPr="00664A42">
              <w:rPr>
                <w:rFonts w:ascii="Book Antiqua" w:hAnsi="Book Antiqua" w:cs="Arial"/>
                <w:lang w:val="en-US"/>
              </w:rPr>
              <w:t>(0.81-2.99)</w:t>
            </w:r>
          </w:p>
        </w:tc>
        <w:tc>
          <w:tcPr>
            <w:tcW w:w="1409" w:type="dxa"/>
            <w:gridSpan w:val="2"/>
            <w:shd w:val="clear" w:color="auto" w:fill="auto"/>
            <w:noWrap/>
            <w:vAlign w:val="center"/>
            <w:hideMark/>
          </w:tcPr>
          <w:p w:rsidR="000A103F" w:rsidRPr="00664A42" w:rsidRDefault="000A103F" w:rsidP="003B01FB">
            <w:pPr>
              <w:jc w:val="both"/>
              <w:rPr>
                <w:rFonts w:ascii="Book Antiqua" w:hAnsi="Book Antiqua" w:cs="Arial"/>
                <w:lang w:val="en-US"/>
              </w:rPr>
            </w:pPr>
            <w:r w:rsidRPr="00664A42">
              <w:rPr>
                <w:rFonts w:ascii="Book Antiqua" w:hAnsi="Book Antiqua" w:cs="Arial"/>
                <w:lang w:val="en-US"/>
              </w:rPr>
              <w:t>0.180</w:t>
            </w:r>
          </w:p>
        </w:tc>
      </w:tr>
    </w:tbl>
    <w:p w:rsidR="000A103F" w:rsidRPr="00645FE2" w:rsidRDefault="000A103F" w:rsidP="003B01FB">
      <w:pPr>
        <w:spacing w:line="360" w:lineRule="auto"/>
        <w:jc w:val="both"/>
        <w:rPr>
          <w:rFonts w:ascii="Book Antiqua" w:hAnsi="Book Antiqua"/>
          <w:lang w:val="en-US"/>
        </w:rPr>
      </w:pPr>
      <w:r w:rsidRPr="00664A42">
        <w:rPr>
          <w:rFonts w:ascii="Book Antiqua" w:hAnsi="Book Antiqua"/>
          <w:lang w:val="en-US"/>
        </w:rPr>
        <w:t>Associations are expressed as odds ratios and 95%</w:t>
      </w:r>
      <w:r w:rsidR="003214E7">
        <w:rPr>
          <w:rFonts w:ascii="Book Antiqua" w:hAnsi="Book Antiqua" w:hint="eastAsia"/>
          <w:lang w:val="en-US" w:eastAsia="zh-CN"/>
        </w:rPr>
        <w:t>CI</w:t>
      </w:r>
      <w:r w:rsidRPr="00664A42">
        <w:rPr>
          <w:rFonts w:ascii="Book Antiqua" w:hAnsi="Book Antiqua"/>
          <w:lang w:val="en-US"/>
        </w:rPr>
        <w:t xml:space="preserve"> per 1 log</w:t>
      </w:r>
      <w:r w:rsidRPr="00664A42">
        <w:rPr>
          <w:rFonts w:ascii="Book Antiqua" w:hAnsi="Book Antiqua"/>
          <w:vertAlign w:val="subscript"/>
          <w:lang w:val="en-US"/>
        </w:rPr>
        <w:t>e</w:t>
      </w:r>
      <w:r w:rsidR="00645FE2">
        <w:rPr>
          <w:rFonts w:ascii="Book Antiqua" w:hAnsi="Book Antiqua"/>
          <w:lang w:val="en-US"/>
        </w:rPr>
        <w:t>-unit increase.</w:t>
      </w:r>
      <w:r w:rsidR="00645FE2">
        <w:rPr>
          <w:rFonts w:ascii="Book Antiqua" w:eastAsiaTheme="minorEastAsia" w:hAnsi="Book Antiqua" w:hint="eastAsia"/>
          <w:lang w:val="en-US" w:eastAsia="zh-CN"/>
        </w:rPr>
        <w:t xml:space="preserve"> </w:t>
      </w:r>
      <w:r w:rsidRPr="00664A42">
        <w:rPr>
          <w:rFonts w:ascii="Book Antiqua" w:eastAsiaTheme="minorEastAsia" w:hAnsi="Book Antiqua"/>
          <w:lang w:val="en-GB" w:eastAsia="en-US"/>
        </w:rPr>
        <w:t xml:space="preserve">MELD: </w:t>
      </w:r>
      <w:r w:rsidR="00645FE2" w:rsidRPr="00664A42">
        <w:rPr>
          <w:rFonts w:ascii="Book Antiqua" w:eastAsiaTheme="minorEastAsia" w:hAnsi="Book Antiqua"/>
          <w:lang w:val="en-GB" w:eastAsia="en-US"/>
        </w:rPr>
        <w:t xml:space="preserve">Model </w:t>
      </w:r>
      <w:r w:rsidRPr="00664A42">
        <w:rPr>
          <w:rFonts w:ascii="Book Antiqua" w:eastAsiaTheme="minorEastAsia" w:hAnsi="Book Antiqua"/>
          <w:lang w:val="en-GB" w:eastAsia="en-US"/>
        </w:rPr>
        <w:t>for end-stage liver disease</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 xml:space="preserve">PCT: </w:t>
      </w:r>
      <w:r w:rsidR="00645FE2" w:rsidRPr="00664A42">
        <w:rPr>
          <w:rFonts w:ascii="Book Antiqua" w:eastAsiaTheme="minorEastAsia" w:hAnsi="Book Antiqua"/>
          <w:lang w:val="en-GB" w:eastAsia="en-US"/>
        </w:rPr>
        <w:t>Procalcitonin</w:t>
      </w:r>
      <w:r w:rsidRPr="00664A42">
        <w:rPr>
          <w:rFonts w:ascii="Book Antiqua" w:eastAsiaTheme="minorEastAsia" w:hAnsi="Book Antiqua"/>
          <w:lang w:val="en-US" w:eastAsia="en-US"/>
        </w:rPr>
        <w:t xml:space="preserve">; </w:t>
      </w:r>
      <w:r w:rsidRPr="00664A42">
        <w:rPr>
          <w:rFonts w:ascii="Book Antiqua" w:eastAsiaTheme="minorEastAsia" w:hAnsi="Book Antiqua"/>
          <w:lang w:val="en-GB" w:eastAsia="en-US"/>
        </w:rPr>
        <w:t>CRP: C-reactive protein</w:t>
      </w:r>
      <w:r w:rsidR="00645FE2">
        <w:rPr>
          <w:rFonts w:ascii="Book Antiqua" w:eastAsiaTheme="minorEastAsia" w:hAnsi="Book Antiqua" w:hint="eastAsia"/>
          <w:lang w:val="en-GB" w:eastAsia="zh-CN"/>
        </w:rPr>
        <w:t>.</w:t>
      </w:r>
      <w:r w:rsidRPr="00664A42">
        <w:rPr>
          <w:rFonts w:ascii="Book Antiqua" w:eastAsiaTheme="minorEastAsia" w:hAnsi="Book Antiqua"/>
          <w:lang w:val="en-US" w:eastAsia="en-US"/>
        </w:rPr>
        <w:t xml:space="preserve"> </w:t>
      </w:r>
    </w:p>
    <w:p w:rsidR="000A103F" w:rsidRDefault="00645FE2" w:rsidP="003B01FB">
      <w:pPr>
        <w:spacing w:line="360" w:lineRule="auto"/>
        <w:jc w:val="both"/>
        <w:rPr>
          <w:rFonts w:ascii="Book Antiqua" w:eastAsiaTheme="minorEastAsia" w:hAnsi="Book Antiqua"/>
          <w:b/>
          <w:lang w:val="en-US" w:eastAsia="zh-CN"/>
        </w:rPr>
      </w:pPr>
      <w:r w:rsidRPr="00664A42">
        <w:rPr>
          <w:rFonts w:ascii="Book Antiqua" w:eastAsiaTheme="minorEastAsia" w:hAnsi="Book Antiqua"/>
          <w:lang w:val="en-US" w:eastAsia="en-US"/>
        </w:rPr>
        <w:br w:type="column"/>
      </w:r>
      <w:r w:rsidR="000A103F" w:rsidRPr="00664A42">
        <w:rPr>
          <w:rFonts w:ascii="Book Antiqua" w:hAnsi="Book Antiqua"/>
          <w:b/>
          <w:lang w:val="en-US"/>
        </w:rPr>
        <w:lastRenderedPageBreak/>
        <w:t>Table 6 Association of classic acute phase proteins with morta</w:t>
      </w:r>
      <w:r>
        <w:rPr>
          <w:rFonts w:ascii="Book Antiqua" w:hAnsi="Book Antiqua"/>
          <w:b/>
          <w:lang w:val="en-US"/>
        </w:rPr>
        <w:t>lity in patients with cirrhosis</w:t>
      </w:r>
      <w:r w:rsidR="000A103F" w:rsidRPr="00664A42">
        <w:rPr>
          <w:rFonts w:ascii="Book Antiqua" w:hAnsi="Book Antiqua"/>
          <w:b/>
          <w:lang w:val="en-US"/>
        </w:rPr>
        <w:t xml:space="preserve"> </w:t>
      </w:r>
    </w:p>
    <w:tbl>
      <w:tblPr>
        <w:tblW w:w="12631" w:type="dxa"/>
        <w:tblInd w:w="93" w:type="dxa"/>
        <w:tblBorders>
          <w:top w:val="single" w:sz="4" w:space="0" w:color="auto"/>
          <w:bottom w:val="single" w:sz="8" w:space="0" w:color="auto"/>
        </w:tblBorders>
        <w:tblLook w:val="04A0" w:firstRow="1" w:lastRow="0" w:firstColumn="1" w:lastColumn="0" w:noHBand="0" w:noVBand="1"/>
      </w:tblPr>
      <w:tblGrid>
        <w:gridCol w:w="1697"/>
        <w:gridCol w:w="710"/>
        <w:gridCol w:w="2647"/>
        <w:gridCol w:w="1967"/>
        <w:gridCol w:w="660"/>
        <w:gridCol w:w="1281"/>
        <w:gridCol w:w="1279"/>
        <w:gridCol w:w="2390"/>
      </w:tblGrid>
      <w:tr w:rsidR="00645FE2" w:rsidRPr="00C53E60" w:rsidTr="00AD3D8A">
        <w:trPr>
          <w:trHeight w:val="330"/>
        </w:trPr>
        <w:tc>
          <w:tcPr>
            <w:tcW w:w="1697" w:type="dxa"/>
            <w:tcBorders>
              <w:top w:val="single" w:sz="4" w:space="0" w:color="auto"/>
              <w:bottom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Author</w:t>
            </w:r>
          </w:p>
        </w:tc>
        <w:tc>
          <w:tcPr>
            <w:tcW w:w="710" w:type="dxa"/>
            <w:tcBorders>
              <w:top w:val="single" w:sz="4" w:space="0" w:color="auto"/>
              <w:bottom w:val="single" w:sz="4" w:space="0" w:color="auto"/>
            </w:tcBorders>
            <w:shd w:val="clear" w:color="auto" w:fill="auto"/>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Year</w:t>
            </w:r>
          </w:p>
        </w:tc>
        <w:tc>
          <w:tcPr>
            <w:tcW w:w="2647" w:type="dxa"/>
            <w:tcBorders>
              <w:top w:val="single" w:sz="4" w:space="0" w:color="auto"/>
              <w:bottom w:val="single" w:sz="4" w:space="0" w:color="auto"/>
            </w:tcBorders>
            <w:shd w:val="clear" w:color="auto" w:fill="auto"/>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Journal</w:t>
            </w:r>
          </w:p>
        </w:tc>
        <w:tc>
          <w:tcPr>
            <w:tcW w:w="1967" w:type="dxa"/>
            <w:tcBorders>
              <w:top w:val="single" w:sz="4" w:space="0" w:color="auto"/>
              <w:bottom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Population</w:t>
            </w:r>
          </w:p>
        </w:tc>
        <w:tc>
          <w:tcPr>
            <w:tcW w:w="660" w:type="dxa"/>
            <w:tcBorders>
              <w:top w:val="single" w:sz="4" w:space="0" w:color="auto"/>
              <w:bottom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i/>
                <w:color w:val="000000"/>
              </w:rPr>
            </w:pPr>
            <w:r w:rsidRPr="00C53E60">
              <w:rPr>
                <w:rFonts w:ascii="Book Antiqua" w:eastAsia="SimSun" w:hAnsi="Book Antiqua" w:cs="SimSun"/>
                <w:b/>
                <w:i/>
                <w:color w:val="000000"/>
              </w:rPr>
              <w:t>n</w:t>
            </w:r>
          </w:p>
        </w:tc>
        <w:tc>
          <w:tcPr>
            <w:tcW w:w="1281" w:type="dxa"/>
            <w:tcBorders>
              <w:top w:val="single" w:sz="4" w:space="0" w:color="auto"/>
              <w:bottom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Outcome</w:t>
            </w:r>
          </w:p>
        </w:tc>
        <w:tc>
          <w:tcPr>
            <w:tcW w:w="1279" w:type="dxa"/>
            <w:tcBorders>
              <w:top w:val="single" w:sz="4" w:space="0" w:color="auto"/>
              <w:bottom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Measure</w:t>
            </w:r>
          </w:p>
        </w:tc>
        <w:tc>
          <w:tcPr>
            <w:tcW w:w="2390" w:type="dxa"/>
            <w:tcBorders>
              <w:top w:val="single" w:sz="4" w:space="0" w:color="auto"/>
              <w:bottom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Value</w:t>
            </w:r>
          </w:p>
        </w:tc>
      </w:tr>
      <w:tr w:rsidR="00645FE2" w:rsidRPr="00C53E60" w:rsidTr="00AD3D8A">
        <w:trPr>
          <w:trHeight w:val="330"/>
        </w:trPr>
        <w:tc>
          <w:tcPr>
            <w:tcW w:w="1697" w:type="dxa"/>
            <w:tcBorders>
              <w:top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C-reactive protein</w:t>
            </w:r>
          </w:p>
        </w:tc>
        <w:tc>
          <w:tcPr>
            <w:tcW w:w="710" w:type="dxa"/>
            <w:tcBorders>
              <w:top w:val="single" w:sz="4" w:space="0" w:color="auto"/>
            </w:tcBorders>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c>
          <w:tcPr>
            <w:tcW w:w="2647" w:type="dxa"/>
            <w:tcBorders>
              <w:top w:val="single" w:sz="4" w:space="0" w:color="auto"/>
            </w:tcBorders>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c>
          <w:tcPr>
            <w:tcW w:w="1967" w:type="dxa"/>
            <w:tcBorders>
              <w:top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c>
          <w:tcPr>
            <w:tcW w:w="660" w:type="dxa"/>
            <w:tcBorders>
              <w:top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c>
          <w:tcPr>
            <w:tcW w:w="1281" w:type="dxa"/>
            <w:tcBorders>
              <w:top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c>
          <w:tcPr>
            <w:tcW w:w="1279" w:type="dxa"/>
            <w:tcBorders>
              <w:top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c>
          <w:tcPr>
            <w:tcW w:w="2390" w:type="dxa"/>
            <w:tcBorders>
              <w:top w:val="single" w:sz="4" w:space="0" w:color="auto"/>
            </w:tcBorders>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r>
      <w:tr w:rsidR="00645FE2" w:rsidRPr="00C53E60" w:rsidTr="00AD3D8A">
        <w:trPr>
          <w:trHeight w:val="1275"/>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Reuken</w:t>
            </w:r>
            <w:r w:rsidRPr="00C53E60">
              <w:rPr>
                <w:rFonts w:ascii="Book Antiqua" w:eastAsia="SimSun" w:hAnsi="Book Antiqua" w:cs="SimSun"/>
                <w:i/>
                <w:color w:val="000000"/>
              </w:rPr>
              <w:t xml:space="preserve"> et al</w:t>
            </w:r>
            <w:r w:rsidRPr="00C53E60">
              <w:rPr>
                <w:rFonts w:ascii="Book Antiqua" w:eastAsia="SimSun" w:hAnsi="Book Antiqua" w:cs="SimSun"/>
                <w:color w:val="000000"/>
                <w:vertAlign w:val="superscript"/>
              </w:rPr>
              <w:t>[72]</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2013</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Liver Int.</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ascites</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108</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90-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AUC</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0.69 (0.59-0.79),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0.001</w:t>
            </w:r>
          </w:p>
        </w:tc>
      </w:tr>
      <w:tr w:rsidR="00645FE2" w:rsidRPr="00C53E60" w:rsidTr="00AD3D8A">
        <w:trPr>
          <w:trHeight w:val="960"/>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Moreno</w:t>
            </w:r>
            <w:r w:rsidRPr="00C53E60">
              <w:rPr>
                <w:rFonts w:ascii="Book Antiqua" w:eastAsia="SimSun" w:hAnsi="Book Antiqua" w:cs="SimSun"/>
                <w:i/>
                <w:color w:val="000000"/>
              </w:rPr>
              <w:t xml:space="preserve"> 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69</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2013</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Liver Int.</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non-septic</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95</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w:t>
            </w:r>
            <w:r w:rsidR="00615305">
              <w:rPr>
                <w:rFonts w:ascii="Book Antiqua" w:eastAsia="SimSun" w:hAnsi="Book Antiqua" w:cs="SimSun" w:hint="eastAsia"/>
                <w:color w:val="000000"/>
                <w:lang w:eastAsia="zh-CN"/>
              </w:rPr>
              <w:t>yr</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AUC</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0.71 (0.6-0.8), </w:t>
            </w:r>
            <w:r w:rsidRPr="00C53E60">
              <w:rPr>
                <w:rFonts w:ascii="Book Antiqua" w:eastAsia="SimSun" w:hAnsi="Book Antiqua" w:cs="SimSun"/>
                <w:i/>
                <w:color w:val="000000"/>
              </w:rPr>
              <w:t>P</w:t>
            </w:r>
            <w:r w:rsidRPr="00C53E60">
              <w:rPr>
                <w:rFonts w:ascii="Book Antiqua" w:eastAsia="SimSun" w:hAnsi="Book Antiqua" w:cs="SimSun"/>
                <w:color w:val="000000"/>
              </w:rPr>
              <w:t xml:space="preserve"> &lt;</w:t>
            </w:r>
            <w:r>
              <w:rPr>
                <w:rFonts w:ascii="Book Antiqua" w:eastAsia="SimSun" w:hAnsi="Book Antiqua" w:cs="SimSun" w:hint="eastAsia"/>
                <w:color w:val="000000"/>
              </w:rPr>
              <w:t xml:space="preserve"> </w:t>
            </w:r>
            <w:r w:rsidRPr="00C53E60">
              <w:rPr>
                <w:rFonts w:ascii="Book Antiqua" w:eastAsia="SimSun" w:hAnsi="Book Antiqua" w:cs="SimSun"/>
                <w:color w:val="000000"/>
              </w:rPr>
              <w:t>0.001</w:t>
            </w:r>
          </w:p>
        </w:tc>
      </w:tr>
      <w:tr w:rsidR="00645FE2" w:rsidRPr="00C53E60" w:rsidTr="00AD3D8A">
        <w:trPr>
          <w:trHeight w:val="945"/>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Mortensen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70</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2012</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Eur. J. Gastroenterol. Hepatol.</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stable alcohol cirrhosis</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45</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long term mortality</w:t>
            </w:r>
          </w:p>
        </w:tc>
        <w:tc>
          <w:tcPr>
            <w:tcW w:w="1279"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r w:rsidRPr="00C53E60">
              <w:rPr>
                <w:rFonts w:ascii="Book Antiqua" w:eastAsia="SimSun" w:hAnsi="Book Antiqua" w:cs="SimSun"/>
                <w:color w:val="000000"/>
                <w:vertAlign w:val="superscript"/>
              </w:rPr>
              <w:t>a</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w:t>
            </w:r>
          </w:p>
        </w:tc>
      </w:tr>
      <w:tr w:rsidR="00645FE2" w:rsidRPr="00C53E60" w:rsidTr="00AD3D8A">
        <w:trPr>
          <w:trHeight w:val="1275"/>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w:t>
            </w:r>
            <w:r w:rsidR="00615305">
              <w:rPr>
                <w:rFonts w:ascii="Book Antiqua" w:eastAsia="SimSun" w:hAnsi="Book Antiqua" w:cs="SimSun" w:hint="eastAsia"/>
                <w:color w:val="000000"/>
                <w:lang w:eastAsia="zh-CN"/>
              </w:rPr>
              <w:t xml:space="preserve">about </w:t>
            </w:r>
            <w:r w:rsidRPr="00C53E60">
              <w:rPr>
                <w:rFonts w:ascii="Book Antiqua" w:eastAsia="SimSun" w:hAnsi="Book Antiqua" w:cs="SimSun"/>
                <w:color w:val="000000"/>
              </w:rPr>
              <w:t>6</w:t>
            </w:r>
            <w:r w:rsidR="00615305">
              <w:rPr>
                <w:rFonts w:ascii="Book Antiqua" w:eastAsia="SimSun" w:hAnsi="Book Antiqua" w:cs="SimSun" w:hint="eastAsia"/>
                <w:color w:val="000000"/>
                <w:lang w:eastAsia="zh-CN"/>
              </w:rPr>
              <w:t>- yr</w:t>
            </w:r>
            <w:r w:rsidRPr="00C53E60">
              <w:rPr>
                <w:rFonts w:ascii="Book Antiqua" w:eastAsia="SimSun" w:hAnsi="Book Antiqua" w:cs="SimSun"/>
                <w:color w:val="000000"/>
              </w:rPr>
              <w:t>)</w:t>
            </w: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1.074 (1.001-1.153),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0.046</w:t>
            </w:r>
          </w:p>
        </w:tc>
      </w:tr>
      <w:tr w:rsidR="00645FE2" w:rsidRPr="00C53E60" w:rsidTr="00AD3D8A">
        <w:trPr>
          <w:trHeight w:val="705"/>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Wiese</w:t>
            </w:r>
            <w:r w:rsidRPr="00C53E60">
              <w:rPr>
                <w:rFonts w:ascii="Book Antiqua" w:eastAsia="SimSun" w:hAnsi="Book Antiqua" w:cs="SimSun"/>
                <w:i/>
                <w:color w:val="000000"/>
              </w:rPr>
              <w:t xml:space="preserve"> 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74</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2014</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Liver Int.</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stable cirrhotic</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193</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w:t>
            </w:r>
            <w:r w:rsidR="00615305">
              <w:rPr>
                <w:rFonts w:ascii="Book Antiqua" w:eastAsia="SimSun" w:hAnsi="Book Antiqua" w:cs="SimSun" w:hint="eastAsia"/>
                <w:color w:val="000000"/>
                <w:lang w:eastAsia="zh-CN"/>
              </w:rPr>
              <w:t xml:space="preserve"> yr</w:t>
            </w:r>
            <w:r w:rsidRPr="00C53E60">
              <w:rPr>
                <w:rFonts w:ascii="Book Antiqua" w:eastAsia="SimSun" w:hAnsi="Book Antiqua" w:cs="SimSun"/>
                <w:color w:val="000000"/>
              </w:rPr>
              <w:t xml:space="preserve"> survival</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lang w:eastAsia="zh-CN"/>
              </w:rPr>
            </w:pPr>
            <w:r w:rsidRPr="00C53E60">
              <w:rPr>
                <w:rFonts w:ascii="Book Antiqua" w:eastAsia="SimSun" w:hAnsi="Book Antiqua" w:cs="SimSun"/>
                <w:color w:val="000000"/>
              </w:rPr>
              <w:t xml:space="preserve">1.18,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 xml:space="preserve">0.048 </w:t>
            </w:r>
            <w:r w:rsidR="00615305">
              <w:rPr>
                <w:rFonts w:ascii="Book Antiqua" w:eastAsia="SimSun" w:hAnsi="Book Antiqua" w:cs="SimSun" w:hint="eastAsia"/>
                <w:color w:val="000000"/>
                <w:vertAlign w:val="superscript"/>
                <w:lang w:eastAsia="zh-CN"/>
              </w:rPr>
              <w:t>3</w:t>
            </w:r>
          </w:p>
        </w:tc>
      </w:tr>
      <w:tr w:rsidR="00645FE2" w:rsidRPr="00C53E60" w:rsidTr="00AD3D8A">
        <w:trPr>
          <w:trHeight w:val="1260"/>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lastRenderedPageBreak/>
              <w:t xml:space="preserve">Lim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68</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2014</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Plos One</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SBP</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75</w:t>
            </w:r>
          </w:p>
        </w:tc>
        <w:tc>
          <w:tcPr>
            <w:tcW w:w="1281"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30-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AUC</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0.64 (0.49-0.79),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0.076</w:t>
            </w:r>
          </w:p>
        </w:tc>
      </w:tr>
      <w:tr w:rsidR="00645FE2" w:rsidRPr="00C53E60" w:rsidTr="00AD3D8A">
        <w:trPr>
          <w:trHeight w:val="645"/>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ND,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0.064</w:t>
            </w:r>
          </w:p>
        </w:tc>
      </w:tr>
      <w:tr w:rsidR="00645FE2" w:rsidRPr="00C53E60" w:rsidTr="00AD3D8A">
        <w:trPr>
          <w:trHeight w:val="1275"/>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Schwabl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73</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2015</w:t>
            </w:r>
          </w:p>
        </w:tc>
        <w:tc>
          <w:tcPr>
            <w:tcW w:w="2647" w:type="dxa"/>
            <w:shd w:val="clear" w:color="auto" w:fill="auto"/>
            <w:vAlign w:val="center"/>
            <w:hideMark/>
          </w:tcPr>
          <w:p w:rsidR="00645FE2" w:rsidRPr="00C53E60" w:rsidRDefault="00CE510E" w:rsidP="003B01FB">
            <w:pPr>
              <w:spacing w:line="360" w:lineRule="auto"/>
              <w:jc w:val="both"/>
              <w:rPr>
                <w:rFonts w:ascii="Book Antiqua" w:eastAsia="SimSun" w:hAnsi="Book Antiqua" w:cs="SimSun"/>
                <w:color w:val="000000"/>
                <w:lang w:eastAsia="zh-CN"/>
              </w:rPr>
            </w:pPr>
            <w:r>
              <w:rPr>
                <w:rFonts w:ascii="Book Antiqua" w:eastAsia="SimSun" w:hAnsi="Book Antiqua" w:cs="SimSun"/>
                <w:color w:val="000000"/>
              </w:rPr>
              <w:t>Liver Int</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SBP</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168</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30-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r w:rsidRPr="00C53E60">
              <w:rPr>
                <w:rFonts w:ascii="Book Antiqua" w:eastAsia="SimSun" w:hAnsi="Book Antiqua" w:cs="SimSun"/>
                <w:color w:val="000000"/>
                <w:vertAlign w:val="superscript"/>
              </w:rPr>
              <w:t>a</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1.067 (1.004-1.134), </w:t>
            </w:r>
            <w:r w:rsidRPr="00C53E60">
              <w:rPr>
                <w:rFonts w:ascii="Book Antiqua" w:eastAsia="SimSun" w:hAnsi="Book Antiqua" w:cs="SimSun"/>
                <w:i/>
                <w:color w:val="000000"/>
              </w:rPr>
              <w:t>P</w:t>
            </w:r>
            <w:r w:rsidRPr="00C53E60">
              <w:rPr>
                <w:rFonts w:ascii="Book Antiqua" w:eastAsia="SimSun" w:hAnsi="Book Antiqua" w:cs="SimSun"/>
                <w:color w:val="000000"/>
              </w:rPr>
              <w:t xml:space="preserve"> = 0.037</w:t>
            </w:r>
          </w:p>
        </w:tc>
      </w:tr>
      <w:tr w:rsidR="00645FE2" w:rsidRPr="00C53E60" w:rsidTr="00AD3D8A">
        <w:trPr>
          <w:trHeight w:val="1005"/>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Ha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65</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2011</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Korean J. Intern. Med.</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bacteraemia</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202</w:t>
            </w:r>
          </w:p>
        </w:tc>
        <w:tc>
          <w:tcPr>
            <w:tcW w:w="1281"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30-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difference</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survivor </w:t>
            </w:r>
            <w:r w:rsidRPr="00C53E60">
              <w:rPr>
                <w:rFonts w:ascii="Book Antiqua" w:eastAsia="SimSun" w:hAnsi="Book Antiqua" w:cs="SimSun"/>
                <w:i/>
                <w:color w:val="000000"/>
              </w:rPr>
              <w:t>vs</w:t>
            </w:r>
            <w:r w:rsidRPr="00C53E60">
              <w:rPr>
                <w:rFonts w:ascii="Book Antiqua" w:eastAsia="SimSun" w:hAnsi="Book Antiqua" w:cs="SimSun"/>
                <w:color w:val="000000"/>
              </w:rPr>
              <w:t xml:space="preserve"> non-survivor</w:t>
            </w:r>
            <w:r w:rsidRPr="00C53E60">
              <w:rPr>
                <w:rFonts w:ascii="Book Antiqua" w:eastAsia="SimSun" w:hAnsi="Book Antiqua" w:cs="SimSun"/>
                <w:color w:val="000000"/>
                <w:vertAlign w:val="superscript"/>
              </w:rPr>
              <w:t>b</w:t>
            </w:r>
          </w:p>
        </w:tc>
      </w:tr>
      <w:tr w:rsidR="00645FE2" w:rsidRPr="00C53E60" w:rsidTr="00AD3D8A">
        <w:trPr>
          <w:trHeight w:val="1275"/>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Pr>
                <w:rFonts w:ascii="Book Antiqua" w:eastAsia="SimSun" w:hAnsi="Book Antiqua" w:cs="SimSun"/>
                <w:color w:val="000000"/>
              </w:rPr>
              <w:t xml:space="preserve">37.8 </w:t>
            </w:r>
            <w:r w:rsidRPr="00C53E60">
              <w:rPr>
                <w:rFonts w:ascii="Book Antiqua" w:eastAsia="SimSun" w:hAnsi="Book Antiqua" w:cs="SimSun"/>
                <w:i/>
                <w:color w:val="000000"/>
              </w:rPr>
              <w:t>vs</w:t>
            </w:r>
            <w:r w:rsidRPr="00C53E60">
              <w:rPr>
                <w:rFonts w:ascii="Book Antiqua" w:eastAsia="SimSun" w:hAnsi="Book Antiqua" w:cs="SimSun"/>
                <w:color w:val="000000"/>
              </w:rPr>
              <w:t xml:space="preserve"> 34.3 mg/L,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0.721</w:t>
            </w:r>
          </w:p>
        </w:tc>
      </w:tr>
      <w:tr w:rsidR="00645FE2" w:rsidRPr="00C53E60" w:rsidTr="00AD3D8A">
        <w:trPr>
          <w:trHeight w:val="1260"/>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Cervoni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20</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2012</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J. Hepatol.</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CPs &gt; 7</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148</w:t>
            </w:r>
          </w:p>
        </w:tc>
        <w:tc>
          <w:tcPr>
            <w:tcW w:w="1281"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180-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AUC</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0.63 (0.51-0.73),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ND</w:t>
            </w:r>
          </w:p>
        </w:tc>
      </w:tr>
      <w:tr w:rsidR="00645FE2" w:rsidRPr="00C53E60" w:rsidTr="00AD3D8A">
        <w:trPr>
          <w:trHeight w:val="1275"/>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r w:rsidRPr="00C53E60">
              <w:rPr>
                <w:rFonts w:ascii="Book Antiqua" w:eastAsia="SimSun" w:hAnsi="Book Antiqua" w:cs="SimSun"/>
                <w:color w:val="000000"/>
                <w:vertAlign w:val="superscript"/>
              </w:rPr>
              <w:t>a,d</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2.73 (1.41-5.26),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0.003</w:t>
            </w:r>
          </w:p>
        </w:tc>
      </w:tr>
      <w:tr w:rsidR="00645FE2" w:rsidRPr="00C53E60" w:rsidTr="00AD3D8A">
        <w:trPr>
          <w:trHeight w:val="1275"/>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lastRenderedPageBreak/>
              <w:t xml:space="preserve">Di Martino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64</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2015</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Liver Transplant.</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CPs &gt; 7</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109</w:t>
            </w:r>
          </w:p>
        </w:tc>
        <w:tc>
          <w:tcPr>
            <w:tcW w:w="1281"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90-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r w:rsidR="00615305">
              <w:rPr>
                <w:rFonts w:ascii="Book Antiqua" w:eastAsia="SimSun" w:hAnsi="Book Antiqua" w:cs="SimSun" w:hint="eastAsia"/>
                <w:color w:val="000000"/>
                <w:vertAlign w:val="superscript"/>
                <w:lang w:eastAsia="zh-CN"/>
              </w:rPr>
              <w:t>1</w:t>
            </w:r>
            <w:r w:rsidR="00615305" w:rsidRPr="00C53E60">
              <w:rPr>
                <w:rFonts w:ascii="Book Antiqua" w:eastAsia="SimSun" w:hAnsi="Book Antiqua" w:cs="SimSun"/>
                <w:color w:val="000000"/>
                <w:vertAlign w:val="superscript"/>
              </w:rPr>
              <w:t>,</w:t>
            </w:r>
            <w:r w:rsidR="00615305">
              <w:rPr>
                <w:rFonts w:ascii="Book Antiqua" w:eastAsia="SimSun" w:hAnsi="Book Antiqua" w:cs="SimSun" w:hint="eastAsia"/>
                <w:color w:val="000000"/>
                <w:vertAlign w:val="superscript"/>
                <w:lang w:eastAsia="zh-CN"/>
              </w:rPr>
              <w:t>4</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2.21 (1.03-4.76),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0.042</w:t>
            </w:r>
          </w:p>
        </w:tc>
      </w:tr>
      <w:tr w:rsidR="00645FE2" w:rsidRPr="00C53E60" w:rsidTr="00AD3D8A">
        <w:trPr>
          <w:trHeight w:val="1275"/>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Cervoni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63</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2016</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Eur. J. Gastroenterol.Hepatol.</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CPs &gt; 7</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583</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90-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lang w:eastAsia="zh-CN"/>
              </w:rPr>
            </w:pPr>
            <w:r w:rsidRPr="00C53E60">
              <w:rPr>
                <w:rFonts w:ascii="Book Antiqua" w:eastAsia="SimSun" w:hAnsi="Book Antiqua" w:cs="SimSun"/>
                <w:color w:val="000000"/>
              </w:rPr>
              <w:t>HR</w:t>
            </w:r>
            <w:r w:rsidR="00615305">
              <w:rPr>
                <w:rFonts w:ascii="Book Antiqua" w:eastAsia="SimSun" w:hAnsi="Book Antiqua" w:cs="SimSun" w:hint="eastAsia"/>
                <w:color w:val="000000"/>
                <w:vertAlign w:val="superscript"/>
                <w:lang w:eastAsia="zh-CN"/>
              </w:rPr>
              <w:t>1</w:t>
            </w:r>
            <w:r w:rsidRPr="00C53E60">
              <w:rPr>
                <w:rFonts w:ascii="Book Antiqua" w:eastAsia="SimSun" w:hAnsi="Book Antiqua" w:cs="SimSun"/>
                <w:color w:val="000000"/>
                <w:vertAlign w:val="superscript"/>
              </w:rPr>
              <w:t>,</w:t>
            </w:r>
            <w:r w:rsidR="00615305">
              <w:rPr>
                <w:rFonts w:ascii="Book Antiqua" w:eastAsia="SimSun" w:hAnsi="Book Antiqua" w:cs="SimSun" w:hint="eastAsia"/>
                <w:color w:val="000000"/>
                <w:vertAlign w:val="superscript"/>
                <w:lang w:eastAsia="zh-CN"/>
              </w:rPr>
              <w:t>4</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1.69 (1.01-2.81),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0.046</w:t>
            </w:r>
          </w:p>
        </w:tc>
      </w:tr>
      <w:tr w:rsidR="00645FE2" w:rsidRPr="00C53E60" w:rsidTr="00AD3D8A">
        <w:trPr>
          <w:trHeight w:val="1260"/>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Park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71</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2015</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J. Korean Med. Sci.</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alcoholic cirrhosis various reasons </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409</w:t>
            </w:r>
          </w:p>
        </w:tc>
        <w:tc>
          <w:tcPr>
            <w:tcW w:w="1281"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30-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OR</w:t>
            </w:r>
          </w:p>
        </w:tc>
        <w:tc>
          <w:tcPr>
            <w:tcW w:w="239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„CRP &gt;20 not independent predictor”</w:t>
            </w:r>
          </w:p>
        </w:tc>
      </w:tr>
      <w:tr w:rsidR="00645FE2" w:rsidRPr="00C53E60" w:rsidTr="00AD3D8A">
        <w:trPr>
          <w:trHeight w:val="96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for admission</w:t>
            </w: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r>
      <w:tr w:rsidR="00645FE2" w:rsidRPr="00C53E60" w:rsidTr="00AD3D8A">
        <w:trPr>
          <w:trHeight w:val="960"/>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Ximenes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75</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2016</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Am. J. Emerg. Med.</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hepatic decompensation</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149</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inhospital mortality</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OR</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OR: ND, </w:t>
            </w:r>
            <w:r w:rsidRPr="00C53E60">
              <w:rPr>
                <w:rFonts w:ascii="Book Antiqua" w:eastAsia="SimSun" w:hAnsi="Book Antiqua" w:cs="SimSun"/>
                <w:i/>
                <w:color w:val="000000"/>
              </w:rPr>
              <w:t>P</w:t>
            </w:r>
            <w:r w:rsidRPr="00C53E60">
              <w:rPr>
                <w:rFonts w:ascii="Book Antiqua" w:eastAsia="SimSun" w:hAnsi="Book Antiqua" w:cs="SimSun"/>
                <w:color w:val="000000"/>
              </w:rPr>
              <w:t xml:space="preserve"> &gt;</w:t>
            </w:r>
            <w:r>
              <w:rPr>
                <w:rFonts w:ascii="Book Antiqua" w:eastAsia="SimSun" w:hAnsi="Book Antiqua" w:cs="SimSun" w:hint="eastAsia"/>
                <w:color w:val="000000"/>
              </w:rPr>
              <w:t xml:space="preserve"> </w:t>
            </w:r>
            <w:r w:rsidRPr="00C53E60">
              <w:rPr>
                <w:rFonts w:ascii="Book Antiqua" w:eastAsia="SimSun" w:hAnsi="Book Antiqua" w:cs="SimSun"/>
                <w:color w:val="000000"/>
              </w:rPr>
              <w:t>0.100</w:t>
            </w:r>
          </w:p>
        </w:tc>
      </w:tr>
      <w:tr w:rsidR="00645FE2" w:rsidRPr="00C53E60" w:rsidTr="00AD3D8A">
        <w:trPr>
          <w:trHeight w:val="960"/>
        </w:trPr>
        <w:tc>
          <w:tcPr>
            <w:tcW w:w="169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Kwon</w:t>
            </w:r>
            <w:r w:rsidRPr="00C53E60">
              <w:rPr>
                <w:rFonts w:ascii="Book Antiqua" w:eastAsia="SimSun" w:hAnsi="Book Antiqua" w:cs="SimSun"/>
                <w:i/>
                <w:color w:val="000000"/>
              </w:rPr>
              <w:t xml:space="preserve"> 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67</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2015</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BMC Gastroenterol.</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acute decompensation</w:t>
            </w:r>
          </w:p>
        </w:tc>
        <w:tc>
          <w:tcPr>
            <w:tcW w:w="66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184</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30 </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survival</w:t>
            </w:r>
          </w:p>
        </w:tc>
        <w:tc>
          <w:tcPr>
            <w:tcW w:w="1279"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OR</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OR: ND,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0.122</w:t>
            </w:r>
          </w:p>
        </w:tc>
      </w:tr>
      <w:tr w:rsidR="00645FE2" w:rsidRPr="00C53E60" w:rsidTr="00AD3D8A">
        <w:trPr>
          <w:trHeight w:val="1320"/>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Lazzarotto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19</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2013</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Ann. Hepatol.</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acute decompensation</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64</w:t>
            </w:r>
          </w:p>
        </w:tc>
        <w:tc>
          <w:tcPr>
            <w:tcW w:w="1281"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90 </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survival</w:t>
            </w:r>
          </w:p>
        </w:tc>
        <w:tc>
          <w:tcPr>
            <w:tcW w:w="1279"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difference</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lang w:eastAsia="zh-CN"/>
              </w:rPr>
            </w:pPr>
            <w:r w:rsidRPr="00C53E60">
              <w:rPr>
                <w:rFonts w:ascii="Book Antiqua" w:eastAsia="SimSun" w:hAnsi="Book Antiqua" w:cs="SimSun"/>
                <w:color w:val="000000"/>
              </w:rPr>
              <w:t xml:space="preserve">survivor </w:t>
            </w:r>
            <w:r w:rsidR="00615305" w:rsidRPr="00C53E60">
              <w:rPr>
                <w:rFonts w:ascii="Book Antiqua" w:eastAsia="SimSun" w:hAnsi="Book Antiqua" w:cs="SimSun"/>
                <w:i/>
                <w:color w:val="000000"/>
              </w:rPr>
              <w:t>vs</w:t>
            </w:r>
            <w:r w:rsidR="00615305" w:rsidRPr="00C53E60">
              <w:rPr>
                <w:rFonts w:ascii="Book Antiqua" w:eastAsia="SimSun" w:hAnsi="Book Antiqua" w:cs="SimSun"/>
                <w:color w:val="000000"/>
              </w:rPr>
              <w:t xml:space="preserve"> </w:t>
            </w:r>
            <w:r w:rsidRPr="00C53E60">
              <w:rPr>
                <w:rFonts w:ascii="Book Antiqua" w:eastAsia="SimSun" w:hAnsi="Book Antiqua" w:cs="SimSun"/>
                <w:color w:val="000000"/>
              </w:rPr>
              <w:t xml:space="preserve">non-survivor </w:t>
            </w:r>
            <w:r w:rsidR="00615305">
              <w:rPr>
                <w:rFonts w:ascii="Book Antiqua" w:eastAsia="SimSun" w:hAnsi="Book Antiqua" w:cs="SimSun" w:hint="eastAsia"/>
                <w:color w:val="000000"/>
                <w:vertAlign w:val="superscript"/>
                <w:lang w:eastAsia="zh-CN"/>
              </w:rPr>
              <w:t>2</w:t>
            </w:r>
          </w:p>
        </w:tc>
      </w:tr>
      <w:tr w:rsidR="00645FE2" w:rsidRPr="00C53E60" w:rsidTr="00AD3D8A">
        <w:trPr>
          <w:trHeight w:val="96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Pr>
                <w:rFonts w:ascii="Book Antiqua" w:eastAsia="SimSun" w:hAnsi="Book Antiqua" w:cs="SimSun"/>
                <w:color w:val="000000"/>
              </w:rPr>
              <w:t xml:space="preserve">7 </w:t>
            </w:r>
            <w:r w:rsidRPr="00C53E60">
              <w:rPr>
                <w:rFonts w:ascii="Book Antiqua" w:eastAsia="SimSun" w:hAnsi="Book Antiqua" w:cs="SimSun"/>
                <w:i/>
                <w:color w:val="000000"/>
              </w:rPr>
              <w:t>vs</w:t>
            </w:r>
            <w:r w:rsidRPr="00C53E60">
              <w:rPr>
                <w:rFonts w:ascii="Book Antiqua" w:eastAsia="SimSun" w:hAnsi="Book Antiqua" w:cs="SimSun"/>
                <w:color w:val="000000"/>
              </w:rPr>
              <w:t xml:space="preserve"> 41 mg/L,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0.026</w:t>
            </w:r>
          </w:p>
        </w:tc>
      </w:tr>
      <w:tr w:rsidR="00645FE2" w:rsidRPr="00C53E60" w:rsidTr="00AD3D8A">
        <w:trPr>
          <w:trHeight w:val="1575"/>
        </w:trPr>
        <w:tc>
          <w:tcPr>
            <w:tcW w:w="169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Kronenberger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66</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2012</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BMC Med.</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acute decompensation + outpatients</w:t>
            </w:r>
          </w:p>
        </w:tc>
        <w:tc>
          <w:tcPr>
            <w:tcW w:w="66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120</w:t>
            </w: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Overall survival </w:t>
            </w:r>
          </w:p>
        </w:tc>
        <w:tc>
          <w:tcPr>
            <w:tcW w:w="1279"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HR</w:t>
            </w: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univariate: 0.314 (0.141-0.702) ,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0.005</w:t>
            </w:r>
          </w:p>
        </w:tc>
      </w:tr>
      <w:tr w:rsidR="00645FE2" w:rsidRPr="00C53E60" w:rsidTr="00AD3D8A">
        <w:trPr>
          <w:trHeight w:val="96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(196+-165</w:t>
            </w:r>
            <w:r w:rsidR="00615305">
              <w:rPr>
                <w:rFonts w:ascii="Book Antiqua" w:eastAsia="SimSun" w:hAnsi="Book Antiqua" w:cs="SimSun" w:hint="eastAsia"/>
                <w:color w:val="000000"/>
                <w:lang w:eastAsia="zh-CN"/>
              </w:rPr>
              <w:t xml:space="preserve"> d</w:t>
            </w:r>
            <w:r w:rsidRPr="00C53E60">
              <w:rPr>
                <w:rFonts w:ascii="Book Antiqua" w:eastAsia="SimSun" w:hAnsi="Book Antiqua" w:cs="SimSun"/>
                <w:color w:val="000000"/>
              </w:rPr>
              <w:t>)</w:t>
            </w: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multivariate: ND,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0.077</w:t>
            </w:r>
          </w:p>
        </w:tc>
      </w:tr>
      <w:tr w:rsidR="00645FE2" w:rsidRPr="00C53E60" w:rsidTr="00AD3D8A">
        <w:trPr>
          <w:trHeight w:val="285"/>
        </w:trPr>
        <w:tc>
          <w:tcPr>
            <w:tcW w:w="2407" w:type="dxa"/>
            <w:gridSpan w:val="2"/>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b/>
                <w:color w:val="000000"/>
              </w:rPr>
            </w:pPr>
            <w:r w:rsidRPr="00C53E60">
              <w:rPr>
                <w:rFonts w:ascii="Book Antiqua" w:eastAsia="SimSun" w:hAnsi="Book Antiqua" w:cs="SimSun"/>
                <w:b/>
                <w:color w:val="000000"/>
              </w:rPr>
              <w:t>Procalcitonin</w:t>
            </w:r>
          </w:p>
        </w:tc>
        <w:tc>
          <w:tcPr>
            <w:tcW w:w="2647" w:type="dxa"/>
            <w:shd w:val="clear" w:color="auto" w:fill="auto"/>
            <w:noWrap/>
            <w:vAlign w:val="center"/>
            <w:hideMark/>
          </w:tcPr>
          <w:p w:rsidR="00645FE2" w:rsidRPr="00C53E60" w:rsidRDefault="00645FE2" w:rsidP="003B01FB">
            <w:pPr>
              <w:spacing w:line="360" w:lineRule="auto"/>
              <w:jc w:val="both"/>
              <w:rPr>
                <w:rFonts w:ascii="SimSun" w:eastAsia="SimSun" w:hAnsi="SimSun" w:cs="SimSun"/>
                <w:color w:val="000000"/>
                <w:sz w:val="22"/>
              </w:rPr>
            </w:pPr>
          </w:p>
        </w:tc>
        <w:tc>
          <w:tcPr>
            <w:tcW w:w="1967" w:type="dxa"/>
            <w:shd w:val="clear" w:color="auto" w:fill="auto"/>
            <w:noWrap/>
            <w:vAlign w:val="center"/>
            <w:hideMark/>
          </w:tcPr>
          <w:p w:rsidR="00645FE2" w:rsidRPr="00C53E60" w:rsidRDefault="00645FE2" w:rsidP="003B01FB">
            <w:pPr>
              <w:spacing w:line="360" w:lineRule="auto"/>
              <w:jc w:val="both"/>
              <w:rPr>
                <w:rFonts w:ascii="SimSun" w:eastAsia="SimSun" w:hAnsi="SimSun" w:cs="SimSun"/>
                <w:color w:val="000000"/>
                <w:sz w:val="22"/>
              </w:rPr>
            </w:pPr>
          </w:p>
        </w:tc>
        <w:tc>
          <w:tcPr>
            <w:tcW w:w="660" w:type="dxa"/>
            <w:shd w:val="clear" w:color="auto" w:fill="auto"/>
            <w:noWrap/>
            <w:vAlign w:val="center"/>
            <w:hideMark/>
          </w:tcPr>
          <w:p w:rsidR="00645FE2" w:rsidRPr="00C53E60" w:rsidRDefault="00645FE2" w:rsidP="003B01FB">
            <w:pPr>
              <w:spacing w:line="360" w:lineRule="auto"/>
              <w:jc w:val="both"/>
              <w:rPr>
                <w:rFonts w:ascii="SimSun" w:eastAsia="SimSun" w:hAnsi="SimSun" w:cs="SimSun"/>
                <w:color w:val="000000"/>
                <w:sz w:val="22"/>
              </w:rPr>
            </w:pPr>
          </w:p>
        </w:tc>
        <w:tc>
          <w:tcPr>
            <w:tcW w:w="1281" w:type="dxa"/>
            <w:shd w:val="clear" w:color="auto" w:fill="auto"/>
            <w:noWrap/>
            <w:vAlign w:val="center"/>
            <w:hideMark/>
          </w:tcPr>
          <w:p w:rsidR="00645FE2" w:rsidRPr="00C53E60" w:rsidRDefault="00645FE2" w:rsidP="003B01FB">
            <w:pPr>
              <w:spacing w:line="360" w:lineRule="auto"/>
              <w:jc w:val="both"/>
              <w:rPr>
                <w:rFonts w:ascii="SimSun" w:eastAsia="SimSun" w:hAnsi="SimSun" w:cs="SimSun"/>
                <w:color w:val="000000"/>
                <w:sz w:val="22"/>
              </w:rPr>
            </w:pPr>
          </w:p>
        </w:tc>
        <w:tc>
          <w:tcPr>
            <w:tcW w:w="1279" w:type="dxa"/>
            <w:shd w:val="clear" w:color="auto" w:fill="auto"/>
            <w:noWrap/>
            <w:vAlign w:val="center"/>
            <w:hideMark/>
          </w:tcPr>
          <w:p w:rsidR="00645FE2" w:rsidRPr="00C53E60" w:rsidRDefault="00645FE2" w:rsidP="003B01FB">
            <w:pPr>
              <w:spacing w:line="360" w:lineRule="auto"/>
              <w:jc w:val="both"/>
              <w:rPr>
                <w:rFonts w:ascii="SimSun" w:eastAsia="SimSun" w:hAnsi="SimSun" w:cs="SimSun"/>
                <w:color w:val="000000"/>
                <w:sz w:val="22"/>
              </w:rPr>
            </w:pPr>
          </w:p>
        </w:tc>
        <w:tc>
          <w:tcPr>
            <w:tcW w:w="2390" w:type="dxa"/>
            <w:shd w:val="clear" w:color="auto" w:fill="auto"/>
            <w:noWrap/>
            <w:vAlign w:val="center"/>
            <w:hideMark/>
          </w:tcPr>
          <w:p w:rsidR="00645FE2" w:rsidRPr="00C53E60" w:rsidRDefault="00645FE2" w:rsidP="003B01FB">
            <w:pPr>
              <w:spacing w:line="360" w:lineRule="auto"/>
              <w:jc w:val="both"/>
              <w:rPr>
                <w:rFonts w:ascii="SimSun" w:eastAsia="SimSun" w:hAnsi="SimSun" w:cs="SimSun"/>
                <w:color w:val="000000"/>
                <w:sz w:val="22"/>
              </w:rPr>
            </w:pPr>
          </w:p>
        </w:tc>
      </w:tr>
      <w:tr w:rsidR="00645FE2" w:rsidRPr="00C53E60" w:rsidTr="00AD3D8A">
        <w:trPr>
          <w:trHeight w:val="615"/>
        </w:trPr>
        <w:tc>
          <w:tcPr>
            <w:tcW w:w="1697"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Lin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80</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2015</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J.Crit.Care</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acute decompensation</w:t>
            </w:r>
          </w:p>
        </w:tc>
        <w:tc>
          <w:tcPr>
            <w:tcW w:w="660"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96</w:t>
            </w:r>
          </w:p>
        </w:tc>
        <w:tc>
          <w:tcPr>
            <w:tcW w:w="1281"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sepsis in-hospital </w:t>
            </w:r>
          </w:p>
        </w:tc>
        <w:tc>
          <w:tcPr>
            <w:tcW w:w="1279"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AUC</w:t>
            </w:r>
          </w:p>
        </w:tc>
        <w:tc>
          <w:tcPr>
            <w:tcW w:w="2390"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0.692</w:t>
            </w:r>
          </w:p>
        </w:tc>
      </w:tr>
      <w:tr w:rsidR="00645FE2" w:rsidRPr="00C53E60" w:rsidTr="00AD3D8A">
        <w:trPr>
          <w:trHeight w:val="33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mortality</w:t>
            </w: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r>
      <w:tr w:rsidR="00645FE2" w:rsidRPr="00C53E60" w:rsidTr="00AD3D8A">
        <w:trPr>
          <w:trHeight w:val="315"/>
        </w:trPr>
        <w:tc>
          <w:tcPr>
            <w:tcW w:w="1697"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Kotecha</w:t>
            </w:r>
            <w:r w:rsidRPr="00C53E60">
              <w:rPr>
                <w:rFonts w:ascii="Book Antiqua" w:eastAsia="SimSun" w:hAnsi="Book Antiqua" w:cs="SimSun"/>
                <w:i/>
                <w:color w:val="000000"/>
              </w:rPr>
              <w:t xml:space="preserve"> 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79</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2013</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Eur.J.</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cirrhosis + SIRS</w:t>
            </w:r>
          </w:p>
        </w:tc>
        <w:tc>
          <w:tcPr>
            <w:tcW w:w="660"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100</w:t>
            </w:r>
          </w:p>
        </w:tc>
        <w:tc>
          <w:tcPr>
            <w:tcW w:w="1281"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in-hospital survival</w:t>
            </w:r>
          </w:p>
        </w:tc>
        <w:tc>
          <w:tcPr>
            <w:tcW w:w="1279"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lang w:eastAsia="zh-CN"/>
              </w:rPr>
            </w:pPr>
            <w:r w:rsidRPr="00C53E60">
              <w:rPr>
                <w:rFonts w:ascii="Book Antiqua" w:eastAsia="SimSun" w:hAnsi="Book Antiqua" w:cs="SimSun"/>
                <w:color w:val="000000"/>
              </w:rPr>
              <w:t>OR</w:t>
            </w:r>
            <w:r w:rsidR="00615305">
              <w:rPr>
                <w:rFonts w:ascii="Book Antiqua" w:eastAsia="SimSun" w:hAnsi="Book Antiqua" w:cs="SimSun" w:hint="eastAsia"/>
                <w:color w:val="000000"/>
                <w:vertAlign w:val="superscript"/>
                <w:lang w:eastAsia="zh-CN"/>
              </w:rPr>
              <w:t>1</w:t>
            </w:r>
          </w:p>
        </w:tc>
        <w:tc>
          <w:tcPr>
            <w:tcW w:w="2390"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0.949 (0.868-1.037),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0.249</w:t>
            </w:r>
          </w:p>
        </w:tc>
      </w:tr>
      <w:tr w:rsidR="00645FE2" w:rsidRPr="00C53E60" w:rsidTr="00AD3D8A">
        <w:trPr>
          <w:trHeight w:val="63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Gastroenterol.</w:t>
            </w: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r>
      <w:tr w:rsidR="00645FE2" w:rsidRPr="00C53E60" w:rsidTr="00AD3D8A">
        <w:trPr>
          <w:trHeight w:val="33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Hepatol</w:t>
            </w: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r>
      <w:tr w:rsidR="00645FE2" w:rsidRPr="00C53E60" w:rsidTr="00AD3D8A">
        <w:trPr>
          <w:trHeight w:val="630"/>
        </w:trPr>
        <w:tc>
          <w:tcPr>
            <w:tcW w:w="1697"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Connert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78</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2003</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Z.Gastroenterol</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compensated +</w:t>
            </w:r>
          </w:p>
        </w:tc>
        <w:tc>
          <w:tcPr>
            <w:tcW w:w="660"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100</w:t>
            </w:r>
          </w:p>
        </w:tc>
        <w:tc>
          <w:tcPr>
            <w:tcW w:w="1281"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60-</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percent died</w:t>
            </w:r>
          </w:p>
        </w:tc>
        <w:tc>
          <w:tcPr>
            <w:tcW w:w="2390"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&lt;</w:t>
            </w:r>
            <w:r>
              <w:rPr>
                <w:rFonts w:ascii="Book Antiqua" w:eastAsia="SimSun" w:hAnsi="Book Antiqua" w:cs="SimSun" w:hint="eastAsia"/>
                <w:color w:val="000000"/>
              </w:rPr>
              <w:t xml:space="preserve"> </w:t>
            </w:r>
            <w:r w:rsidRPr="00C53E60">
              <w:rPr>
                <w:rFonts w:ascii="Book Antiqua" w:eastAsia="SimSun" w:hAnsi="Book Antiqua" w:cs="SimSun"/>
                <w:color w:val="000000"/>
              </w:rPr>
              <w:t xml:space="preserve">0.58 </w:t>
            </w:r>
            <w:r w:rsidRPr="00C53E60">
              <w:rPr>
                <w:rFonts w:ascii="Book Antiqua" w:eastAsia="SimSun" w:hAnsi="Book Antiqua" w:cs="SimSun"/>
                <w:i/>
                <w:color w:val="000000"/>
              </w:rPr>
              <w:t>vs</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0.58:</w:t>
            </w:r>
          </w:p>
        </w:tc>
      </w:tr>
      <w:tr w:rsidR="00645FE2" w:rsidRPr="00C53E60" w:rsidTr="00AD3D8A">
        <w:trPr>
          <w:trHeight w:val="645"/>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decompensated</w:t>
            </w: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 9.1%</w:t>
            </w:r>
            <w:r w:rsidRPr="00C53E60">
              <w:rPr>
                <w:rFonts w:ascii="Book Antiqua" w:eastAsia="SimSun" w:hAnsi="Book Antiqua" w:cs="SimSun"/>
                <w:i/>
                <w:color w:val="000000"/>
              </w:rPr>
              <w:t xml:space="preserve"> vs</w:t>
            </w:r>
            <w:r w:rsidRPr="00C53E60">
              <w:rPr>
                <w:rFonts w:ascii="Book Antiqua" w:eastAsia="SimSun" w:hAnsi="Book Antiqua" w:cs="SimSun"/>
                <w:color w:val="000000"/>
              </w:rPr>
              <w:t xml:space="preserve"> 46.7%, </w:t>
            </w:r>
            <w:r w:rsidRPr="00C53E60">
              <w:rPr>
                <w:rFonts w:ascii="Book Antiqua" w:eastAsia="SimSun" w:hAnsi="Book Antiqua" w:cs="SimSun"/>
                <w:i/>
                <w:color w:val="000000"/>
              </w:rPr>
              <w:t>P</w:t>
            </w:r>
            <w:r w:rsidRPr="00C53E60">
              <w:rPr>
                <w:rFonts w:ascii="Book Antiqua" w:eastAsia="SimSun" w:hAnsi="Book Antiqua" w:cs="SimSun"/>
                <w:color w:val="000000"/>
              </w:rPr>
              <w:t xml:space="preserve"> &lt;</w:t>
            </w:r>
            <w:r>
              <w:rPr>
                <w:rFonts w:ascii="Book Antiqua" w:eastAsia="SimSun" w:hAnsi="Book Antiqua" w:cs="SimSun" w:hint="eastAsia"/>
                <w:color w:val="000000"/>
              </w:rPr>
              <w:t xml:space="preserve"> </w:t>
            </w:r>
            <w:r w:rsidRPr="00C53E60">
              <w:rPr>
                <w:rFonts w:ascii="Book Antiqua" w:eastAsia="SimSun" w:hAnsi="Book Antiqua" w:cs="SimSun"/>
                <w:color w:val="000000"/>
              </w:rPr>
              <w:lastRenderedPageBreak/>
              <w:t>0.001</w:t>
            </w:r>
          </w:p>
        </w:tc>
      </w:tr>
      <w:tr w:rsidR="00645FE2" w:rsidRPr="00C53E60" w:rsidTr="00AD3D8A">
        <w:trPr>
          <w:trHeight w:val="315"/>
        </w:trPr>
        <w:tc>
          <w:tcPr>
            <w:tcW w:w="1697"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lastRenderedPageBreak/>
              <w:t xml:space="preserve">Al-Dorzi </w:t>
            </w:r>
            <w:r w:rsidRPr="00C53E60">
              <w:rPr>
                <w:rFonts w:ascii="Book Antiqua" w:eastAsia="SimSun" w:hAnsi="Book Antiqua" w:cs="SimSun"/>
                <w:i/>
                <w:color w:val="000000"/>
              </w:rPr>
              <w:t>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76</w:t>
            </w:r>
            <w:r w:rsidRPr="00C53E60">
              <w:rPr>
                <w:rFonts w:ascii="Book Antiqua" w:eastAsia="SimSun" w:hAnsi="Book Antiqua" w:cs="SimSun"/>
                <w:color w:val="000000"/>
                <w:vertAlign w:val="superscript"/>
              </w:rPr>
              <w:t>]</w:t>
            </w:r>
          </w:p>
        </w:tc>
        <w:tc>
          <w:tcPr>
            <w:tcW w:w="710"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2014</w:t>
            </w:r>
          </w:p>
        </w:tc>
        <w:tc>
          <w:tcPr>
            <w:tcW w:w="264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Clin. Lab</w:t>
            </w:r>
          </w:p>
        </w:tc>
        <w:tc>
          <w:tcPr>
            <w:tcW w:w="1967" w:type="dxa"/>
            <w:vMerge w:val="restart"/>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septic shock</w:t>
            </w:r>
          </w:p>
        </w:tc>
        <w:tc>
          <w:tcPr>
            <w:tcW w:w="660"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45</w:t>
            </w:r>
          </w:p>
        </w:tc>
        <w:tc>
          <w:tcPr>
            <w:tcW w:w="1281"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28-</w:t>
            </w:r>
            <w:r w:rsidR="00615305">
              <w:rPr>
                <w:rFonts w:ascii="Book Antiqua" w:eastAsia="SimSun" w:hAnsi="Book Antiqua" w:cs="SimSun" w:hint="eastAsia"/>
                <w:color w:val="000000"/>
                <w:lang w:eastAsia="zh-CN"/>
              </w:rPr>
              <w:t>d</w:t>
            </w:r>
            <w:r w:rsidRPr="00C53E60">
              <w:rPr>
                <w:rFonts w:ascii="Book Antiqua" w:eastAsia="SimSun" w:hAnsi="Book Antiqua" w:cs="SimSun"/>
                <w:color w:val="000000"/>
              </w:rPr>
              <w:t xml:space="preserve"> mortality</w:t>
            </w:r>
          </w:p>
        </w:tc>
        <w:tc>
          <w:tcPr>
            <w:tcW w:w="1279" w:type="dxa"/>
            <w:vMerge w:val="restart"/>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difference</w:t>
            </w:r>
          </w:p>
        </w:tc>
        <w:tc>
          <w:tcPr>
            <w:tcW w:w="2390"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 xml:space="preserve">low PCT </w:t>
            </w:r>
            <w:r w:rsidRPr="00C53E60">
              <w:rPr>
                <w:rFonts w:ascii="Book Antiqua" w:eastAsia="SimSun" w:hAnsi="Book Antiqua" w:cs="SimSun"/>
                <w:i/>
                <w:color w:val="000000"/>
              </w:rPr>
              <w:t>vs</w:t>
            </w:r>
            <w:r w:rsidRPr="00C53E60">
              <w:rPr>
                <w:rFonts w:ascii="Book Antiqua" w:eastAsia="SimSun" w:hAnsi="Book Antiqua" w:cs="SimSun"/>
                <w:color w:val="000000"/>
              </w:rPr>
              <w:t xml:space="preserve"> high PCT: </w:t>
            </w:r>
          </w:p>
        </w:tc>
      </w:tr>
      <w:tr w:rsidR="00645FE2" w:rsidRPr="00C53E60" w:rsidTr="00AD3D8A">
        <w:trPr>
          <w:trHeight w:val="330"/>
        </w:trPr>
        <w:tc>
          <w:tcPr>
            <w:tcW w:w="169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71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64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967"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660"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81"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1279" w:type="dxa"/>
            <w:vMerge/>
            <w:vAlign w:val="center"/>
            <w:hideMark/>
          </w:tcPr>
          <w:p w:rsidR="00645FE2" w:rsidRPr="00C53E60" w:rsidRDefault="00645FE2" w:rsidP="003B01FB">
            <w:pPr>
              <w:spacing w:line="360" w:lineRule="auto"/>
              <w:jc w:val="both"/>
              <w:rPr>
                <w:rFonts w:ascii="Book Antiqua" w:eastAsia="SimSun" w:hAnsi="Book Antiqua" w:cs="SimSun"/>
                <w:color w:val="000000"/>
              </w:rPr>
            </w:pPr>
          </w:p>
        </w:tc>
        <w:tc>
          <w:tcPr>
            <w:tcW w:w="2390"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Pr>
                <w:rFonts w:ascii="Book Antiqua" w:eastAsia="SimSun" w:hAnsi="Book Antiqua" w:cs="SimSun"/>
                <w:color w:val="000000"/>
              </w:rPr>
              <w:t xml:space="preserve">80% </w:t>
            </w:r>
            <w:r w:rsidRPr="00C53E60">
              <w:rPr>
                <w:rFonts w:ascii="Book Antiqua" w:eastAsia="SimSun" w:hAnsi="Book Antiqua" w:cs="SimSun"/>
                <w:i/>
                <w:color w:val="000000"/>
              </w:rPr>
              <w:t>vs</w:t>
            </w:r>
            <w:r w:rsidRPr="00C53E60">
              <w:rPr>
                <w:rFonts w:ascii="Book Antiqua" w:eastAsia="SimSun" w:hAnsi="Book Antiqua" w:cs="SimSun"/>
                <w:color w:val="000000"/>
              </w:rPr>
              <w:t xml:space="preserve"> 77%</w:t>
            </w:r>
            <w:r>
              <w:rPr>
                <w:rFonts w:ascii="Book Antiqua" w:eastAsia="SimSun" w:hAnsi="Book Antiqua" w:cs="SimSun" w:hint="eastAsia"/>
                <w:color w:val="000000"/>
              </w:rPr>
              <w:t>,</w:t>
            </w:r>
            <w:r w:rsidRPr="00C53E60">
              <w:rPr>
                <w:rFonts w:ascii="Book Antiqua" w:eastAsia="SimSun" w:hAnsi="Book Antiqua" w:cs="SimSun"/>
                <w:color w:val="000000"/>
              </w:rPr>
              <w:t xml:space="preserve"> </w:t>
            </w:r>
            <w:r w:rsidRPr="00C53E60">
              <w:rPr>
                <w:rFonts w:ascii="Book Antiqua" w:eastAsia="SimSun" w:hAnsi="Book Antiqua" w:cs="SimSun"/>
                <w:i/>
                <w:color w:val="000000"/>
              </w:rPr>
              <w:t>P</w:t>
            </w:r>
            <w:r w:rsidRPr="00C53E60">
              <w:rPr>
                <w:rFonts w:ascii="Book Antiqua" w:eastAsia="SimSun" w:hAnsi="Book Antiqua" w:cs="SimSun"/>
                <w:color w:val="000000"/>
              </w:rPr>
              <w:t xml:space="preserve"> =</w:t>
            </w:r>
            <w:r>
              <w:rPr>
                <w:rFonts w:ascii="Book Antiqua" w:eastAsia="SimSun" w:hAnsi="Book Antiqua" w:cs="SimSun" w:hint="eastAsia"/>
                <w:color w:val="000000"/>
              </w:rPr>
              <w:t xml:space="preserve"> </w:t>
            </w:r>
            <w:r w:rsidRPr="00C53E60">
              <w:rPr>
                <w:rFonts w:ascii="Book Antiqua" w:eastAsia="SimSun" w:hAnsi="Book Antiqua" w:cs="SimSun"/>
                <w:color w:val="000000"/>
              </w:rPr>
              <w:t>0.61</w:t>
            </w:r>
          </w:p>
        </w:tc>
      </w:tr>
      <w:tr w:rsidR="00645FE2" w:rsidRPr="00C53E60" w:rsidTr="00AD3D8A">
        <w:trPr>
          <w:trHeight w:val="645"/>
        </w:trPr>
        <w:tc>
          <w:tcPr>
            <w:tcW w:w="1697"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Berres</w:t>
            </w:r>
            <w:r w:rsidRPr="00C53E60">
              <w:rPr>
                <w:rFonts w:ascii="Book Antiqua" w:eastAsia="SimSun" w:hAnsi="Book Antiqua" w:cs="SimSun"/>
                <w:i/>
                <w:color w:val="000000"/>
              </w:rPr>
              <w:t xml:space="preserve"> et al</w:t>
            </w:r>
            <w:r w:rsidRPr="00C53E60">
              <w:rPr>
                <w:rFonts w:ascii="Book Antiqua" w:eastAsia="SimSun" w:hAnsi="Book Antiqua" w:cs="SimSun"/>
                <w:color w:val="000000"/>
                <w:vertAlign w:val="superscript"/>
              </w:rPr>
              <w:t>[</w:t>
            </w:r>
            <w:r>
              <w:rPr>
                <w:rFonts w:ascii="Book Antiqua" w:eastAsia="SimSun" w:hAnsi="Book Antiqua" w:cs="SimSun" w:hint="eastAsia"/>
                <w:color w:val="000000"/>
                <w:vertAlign w:val="superscript"/>
              </w:rPr>
              <w:t>77</w:t>
            </w:r>
            <w:r w:rsidRPr="00C53E60">
              <w:rPr>
                <w:rFonts w:ascii="Book Antiqua" w:eastAsia="SimSun" w:hAnsi="Book Antiqua" w:cs="SimSun"/>
                <w:color w:val="000000"/>
                <w:vertAlign w:val="superscript"/>
              </w:rPr>
              <w:t>]</w:t>
            </w:r>
          </w:p>
        </w:tc>
        <w:tc>
          <w:tcPr>
            <w:tcW w:w="710"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2009</w:t>
            </w:r>
          </w:p>
        </w:tc>
        <w:tc>
          <w:tcPr>
            <w:tcW w:w="264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Liver Int</w:t>
            </w:r>
          </w:p>
        </w:tc>
        <w:tc>
          <w:tcPr>
            <w:tcW w:w="1967" w:type="dxa"/>
            <w:shd w:val="clear" w:color="auto" w:fill="auto"/>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critically ill</w:t>
            </w:r>
          </w:p>
        </w:tc>
        <w:tc>
          <w:tcPr>
            <w:tcW w:w="660"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38</w:t>
            </w:r>
          </w:p>
        </w:tc>
        <w:tc>
          <w:tcPr>
            <w:tcW w:w="1281"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ICU mortality</w:t>
            </w:r>
          </w:p>
        </w:tc>
        <w:tc>
          <w:tcPr>
            <w:tcW w:w="1279"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difference</w:t>
            </w:r>
          </w:p>
        </w:tc>
        <w:tc>
          <w:tcPr>
            <w:tcW w:w="2390" w:type="dxa"/>
            <w:shd w:val="clear" w:color="auto" w:fill="auto"/>
            <w:noWrap/>
            <w:vAlign w:val="center"/>
            <w:hideMark/>
          </w:tcPr>
          <w:p w:rsidR="00645FE2" w:rsidRPr="00C53E60" w:rsidRDefault="00645FE2" w:rsidP="003B01FB">
            <w:pPr>
              <w:spacing w:line="360" w:lineRule="auto"/>
              <w:jc w:val="both"/>
              <w:rPr>
                <w:rFonts w:ascii="Book Antiqua" w:eastAsia="SimSun" w:hAnsi="Book Antiqua" w:cs="SimSun"/>
                <w:color w:val="000000"/>
              </w:rPr>
            </w:pPr>
            <w:r w:rsidRPr="00C53E60">
              <w:rPr>
                <w:rFonts w:ascii="Book Antiqua" w:eastAsia="SimSun" w:hAnsi="Book Antiqua" w:cs="SimSun"/>
                <w:color w:val="000000"/>
              </w:rPr>
              <w:t>NA,</w:t>
            </w:r>
            <w:r w:rsidRPr="00C53E60">
              <w:rPr>
                <w:rFonts w:ascii="Book Antiqua" w:eastAsia="SimSun" w:hAnsi="Book Antiqua" w:cs="SimSun"/>
                <w:i/>
                <w:color w:val="000000"/>
              </w:rPr>
              <w:t xml:space="preserve"> P</w:t>
            </w:r>
            <w:r>
              <w:rPr>
                <w:rFonts w:ascii="Book Antiqua" w:eastAsia="SimSun" w:hAnsi="Book Antiqua" w:cs="SimSun" w:hint="eastAsia"/>
                <w:color w:val="000000"/>
              </w:rPr>
              <w:t xml:space="preserve"> </w:t>
            </w:r>
            <w:r w:rsidRPr="00C53E60">
              <w:rPr>
                <w:rFonts w:ascii="Book Antiqua" w:eastAsia="SimSun" w:hAnsi="Book Antiqua" w:cs="SimSun"/>
                <w:color w:val="000000"/>
              </w:rPr>
              <w:t>=</w:t>
            </w:r>
            <w:r>
              <w:rPr>
                <w:rFonts w:ascii="Book Antiqua" w:eastAsia="SimSun" w:hAnsi="Book Antiqua" w:cs="SimSun" w:hint="eastAsia"/>
                <w:color w:val="000000"/>
              </w:rPr>
              <w:t xml:space="preserve"> NS</w:t>
            </w:r>
          </w:p>
        </w:tc>
      </w:tr>
    </w:tbl>
    <w:p w:rsidR="000A103F" w:rsidRPr="00CE510E" w:rsidRDefault="00615305" w:rsidP="003B01FB">
      <w:pPr>
        <w:spacing w:line="360" w:lineRule="auto"/>
        <w:jc w:val="both"/>
        <w:rPr>
          <w:rFonts w:ascii="Book Antiqua" w:eastAsiaTheme="minorEastAsia" w:hAnsi="Book Antiqua"/>
          <w:lang w:val="en-US" w:eastAsia="zh-CN"/>
        </w:rPr>
      </w:pPr>
      <w:r>
        <w:rPr>
          <w:rFonts w:ascii="Book Antiqua" w:hAnsi="Book Antiqua" w:hint="eastAsia"/>
          <w:vertAlign w:val="superscript"/>
          <w:lang w:val="en-US" w:eastAsia="zh-CN"/>
        </w:rPr>
        <w:t>1</w:t>
      </w:r>
      <w:r w:rsidRPr="00664A42">
        <w:rPr>
          <w:rFonts w:ascii="Book Antiqua" w:hAnsi="Book Antiqua"/>
          <w:lang w:val="en-US"/>
        </w:rPr>
        <w:t>Adjusted for MELD score</w:t>
      </w:r>
      <w:r w:rsidRPr="00664A42">
        <w:rPr>
          <w:rFonts w:ascii="Book Antiqua" w:eastAsiaTheme="minorEastAsia" w:hAnsi="Book Antiqua"/>
          <w:lang w:val="en-US" w:eastAsia="en-US"/>
        </w:rPr>
        <w:t>;</w:t>
      </w:r>
      <w:r w:rsidRPr="00615305">
        <w:rPr>
          <w:rFonts w:ascii="Book Antiqua" w:hAnsi="Book Antiqua" w:hint="eastAsia"/>
          <w:vertAlign w:val="superscript"/>
          <w:lang w:val="en-US" w:eastAsia="zh-CN"/>
        </w:rPr>
        <w:t xml:space="preserve"> </w:t>
      </w:r>
      <w:r>
        <w:rPr>
          <w:rFonts w:ascii="Book Antiqua" w:hAnsi="Book Antiqua" w:hint="eastAsia"/>
          <w:vertAlign w:val="superscript"/>
          <w:lang w:val="en-US" w:eastAsia="zh-CN"/>
        </w:rPr>
        <w:t>2</w:t>
      </w:r>
      <w:r w:rsidRPr="00664A42">
        <w:rPr>
          <w:rFonts w:ascii="Book Antiqua" w:hAnsi="Book Antiqua"/>
          <w:lang w:val="en-US"/>
        </w:rPr>
        <w:t>Median values</w:t>
      </w:r>
      <w:r w:rsidRPr="00664A42">
        <w:rPr>
          <w:rFonts w:ascii="Book Antiqua" w:eastAsiaTheme="minorEastAsia" w:hAnsi="Book Antiqua"/>
          <w:lang w:val="en-US" w:eastAsia="en-US"/>
        </w:rPr>
        <w:t>;</w:t>
      </w:r>
      <w:r w:rsidRPr="00615305">
        <w:rPr>
          <w:rFonts w:ascii="Book Antiqua" w:hAnsi="Book Antiqua" w:hint="eastAsia"/>
          <w:vertAlign w:val="superscript"/>
          <w:lang w:val="en-US" w:eastAsia="zh-CN"/>
        </w:rPr>
        <w:t xml:space="preserve"> </w:t>
      </w:r>
      <w:r>
        <w:rPr>
          <w:rFonts w:ascii="Book Antiqua" w:hAnsi="Book Antiqua" w:hint="eastAsia"/>
          <w:vertAlign w:val="superscript"/>
          <w:lang w:val="en-US" w:eastAsia="zh-CN"/>
        </w:rPr>
        <w:t>3</w:t>
      </w:r>
      <w:r w:rsidRPr="00664A42">
        <w:rPr>
          <w:rFonts w:ascii="Book Antiqua" w:hAnsi="Book Antiqua"/>
          <w:lang w:val="en-US"/>
        </w:rPr>
        <w:t>Not significant in the log-rank test</w:t>
      </w:r>
      <w:r w:rsidRPr="00664A42">
        <w:rPr>
          <w:rFonts w:ascii="Book Antiqua" w:eastAsiaTheme="minorEastAsia" w:hAnsi="Book Antiqua"/>
          <w:lang w:val="en-US" w:eastAsia="en-US"/>
        </w:rPr>
        <w:t>;</w:t>
      </w:r>
      <w:r w:rsidRPr="00664A42">
        <w:rPr>
          <w:rFonts w:ascii="Book Antiqua" w:hAnsi="Book Antiqua"/>
          <w:lang w:val="en-US"/>
        </w:rPr>
        <w:t xml:space="preserve"> </w:t>
      </w:r>
      <w:r>
        <w:rPr>
          <w:rFonts w:ascii="Book Antiqua" w:hAnsi="Book Antiqua" w:hint="eastAsia"/>
          <w:vertAlign w:val="superscript"/>
          <w:lang w:val="en-US" w:eastAsia="zh-CN"/>
        </w:rPr>
        <w:t>4</w:t>
      </w:r>
      <w:r w:rsidRPr="00664A42">
        <w:rPr>
          <w:rFonts w:ascii="Book Antiqua" w:hAnsi="Book Antiqua"/>
          <w:lang w:val="en-US"/>
        </w:rPr>
        <w:t xml:space="preserve">CRP variation over 15 </w:t>
      </w:r>
      <w:r>
        <w:rPr>
          <w:rFonts w:ascii="Book Antiqua" w:hAnsi="Book Antiqua" w:hint="eastAsia"/>
          <w:lang w:val="en-US" w:eastAsia="zh-CN"/>
        </w:rPr>
        <w:t xml:space="preserve">d. </w:t>
      </w:r>
      <w:r w:rsidR="000A103F" w:rsidRPr="00664A42">
        <w:rPr>
          <w:rFonts w:ascii="Book Antiqua" w:hAnsi="Book Antiqua"/>
          <w:lang w:val="en-US"/>
        </w:rPr>
        <w:t xml:space="preserve">SBP: </w:t>
      </w:r>
      <w:r w:rsidR="00645FE2" w:rsidRPr="00664A42">
        <w:rPr>
          <w:rFonts w:ascii="Book Antiqua" w:hAnsi="Book Antiqua"/>
          <w:lang w:val="en-US"/>
        </w:rPr>
        <w:t xml:space="preserve">Spontaneous </w:t>
      </w:r>
      <w:r w:rsidR="000A103F" w:rsidRPr="00664A42">
        <w:rPr>
          <w:rFonts w:ascii="Book Antiqua" w:hAnsi="Book Antiqua"/>
          <w:lang w:val="en-US"/>
        </w:rPr>
        <w:t>bacterial peritonitis</w:t>
      </w:r>
      <w:r w:rsidR="000A103F" w:rsidRPr="00664A42">
        <w:rPr>
          <w:rFonts w:ascii="Book Antiqua" w:eastAsiaTheme="minorEastAsia" w:hAnsi="Book Antiqua"/>
          <w:lang w:val="en-US" w:eastAsia="en-US"/>
        </w:rPr>
        <w:t>;</w:t>
      </w:r>
      <w:r w:rsidR="000A103F" w:rsidRPr="00664A42">
        <w:rPr>
          <w:rFonts w:ascii="Book Antiqua" w:hAnsi="Book Antiqua"/>
          <w:lang w:val="en-US"/>
        </w:rPr>
        <w:t xml:space="preserve"> HR: </w:t>
      </w:r>
      <w:r w:rsidR="00645FE2" w:rsidRPr="00664A42">
        <w:rPr>
          <w:rFonts w:ascii="Book Antiqua" w:hAnsi="Book Antiqua"/>
          <w:lang w:val="en-US"/>
        </w:rPr>
        <w:t xml:space="preserve">Hazard </w:t>
      </w:r>
      <w:r w:rsidR="000A103F" w:rsidRPr="00664A42">
        <w:rPr>
          <w:rFonts w:ascii="Book Antiqua" w:hAnsi="Book Antiqua"/>
          <w:lang w:val="en-US"/>
        </w:rPr>
        <w:t>ratio</w:t>
      </w:r>
      <w:r w:rsidR="000A103F" w:rsidRPr="00664A42">
        <w:rPr>
          <w:rFonts w:ascii="Book Antiqua" w:eastAsiaTheme="minorEastAsia" w:hAnsi="Book Antiqua"/>
          <w:lang w:val="en-US" w:eastAsia="en-US"/>
        </w:rPr>
        <w:t>;</w:t>
      </w:r>
      <w:r w:rsidR="000A103F" w:rsidRPr="00664A42">
        <w:rPr>
          <w:rFonts w:ascii="Book Antiqua" w:hAnsi="Book Antiqua"/>
          <w:lang w:val="en-US"/>
        </w:rPr>
        <w:t xml:space="preserve"> AUC: </w:t>
      </w:r>
      <w:r w:rsidR="00645FE2" w:rsidRPr="00664A42">
        <w:rPr>
          <w:rFonts w:ascii="Book Antiqua" w:hAnsi="Book Antiqua"/>
          <w:lang w:val="en-US"/>
        </w:rPr>
        <w:t xml:space="preserve">Area </w:t>
      </w:r>
      <w:r w:rsidR="000A103F" w:rsidRPr="00664A42">
        <w:rPr>
          <w:rFonts w:ascii="Book Antiqua" w:hAnsi="Book Antiqua"/>
          <w:lang w:val="en-US"/>
        </w:rPr>
        <w:t>under the curve</w:t>
      </w:r>
      <w:r w:rsidR="000A103F" w:rsidRPr="00664A42">
        <w:rPr>
          <w:rFonts w:ascii="Book Antiqua" w:eastAsiaTheme="minorEastAsia" w:hAnsi="Book Antiqua"/>
          <w:lang w:val="en-US" w:eastAsia="en-US"/>
        </w:rPr>
        <w:t>;</w:t>
      </w:r>
      <w:r w:rsidR="000A103F" w:rsidRPr="00664A42">
        <w:rPr>
          <w:rFonts w:ascii="Book Antiqua" w:hAnsi="Book Antiqua"/>
          <w:lang w:val="en-US"/>
        </w:rPr>
        <w:t xml:space="preserve"> OR</w:t>
      </w:r>
      <w:r w:rsidR="00645FE2" w:rsidRPr="00664A42">
        <w:rPr>
          <w:rFonts w:ascii="Book Antiqua" w:hAnsi="Book Antiqua"/>
          <w:lang w:val="en-US"/>
        </w:rPr>
        <w:t xml:space="preserve">: Odds </w:t>
      </w:r>
      <w:r w:rsidR="000A103F" w:rsidRPr="00664A42">
        <w:rPr>
          <w:rFonts w:ascii="Book Antiqua" w:hAnsi="Book Antiqua"/>
          <w:lang w:val="en-US"/>
        </w:rPr>
        <w:t>ratio</w:t>
      </w:r>
      <w:r w:rsidR="000A103F" w:rsidRPr="00664A42">
        <w:rPr>
          <w:rFonts w:ascii="Book Antiqua" w:eastAsiaTheme="minorEastAsia" w:hAnsi="Book Antiqua"/>
          <w:lang w:val="en-US" w:eastAsia="en-US"/>
        </w:rPr>
        <w:t>;</w:t>
      </w:r>
      <w:r w:rsidR="000A103F" w:rsidRPr="00664A42">
        <w:rPr>
          <w:rFonts w:ascii="Book Antiqua" w:hAnsi="Book Antiqua"/>
          <w:lang w:val="en-US"/>
        </w:rPr>
        <w:t xml:space="preserve"> CPs: Child-Pugh score</w:t>
      </w:r>
      <w:r w:rsidR="000A103F" w:rsidRPr="00664A42">
        <w:rPr>
          <w:rFonts w:ascii="Book Antiqua" w:eastAsiaTheme="minorEastAsia" w:hAnsi="Book Antiqua"/>
          <w:lang w:val="en-US" w:eastAsia="en-US"/>
        </w:rPr>
        <w:t>;</w:t>
      </w:r>
      <w:r w:rsidR="000A103F" w:rsidRPr="00664A42">
        <w:rPr>
          <w:rFonts w:ascii="Book Antiqua" w:hAnsi="Book Antiqua"/>
          <w:lang w:val="en-US"/>
        </w:rPr>
        <w:t xml:space="preserve"> ICU: </w:t>
      </w:r>
      <w:r w:rsidR="00645FE2" w:rsidRPr="00664A42">
        <w:rPr>
          <w:rFonts w:ascii="Book Antiqua" w:hAnsi="Book Antiqua"/>
          <w:lang w:val="en-US"/>
        </w:rPr>
        <w:t xml:space="preserve">Intensive </w:t>
      </w:r>
      <w:r w:rsidR="000A103F" w:rsidRPr="00664A42">
        <w:rPr>
          <w:rFonts w:ascii="Book Antiqua" w:hAnsi="Book Antiqua"/>
          <w:lang w:val="en-US"/>
        </w:rPr>
        <w:t>care unit</w:t>
      </w:r>
      <w:r w:rsidR="000A103F" w:rsidRPr="00664A42">
        <w:rPr>
          <w:rFonts w:ascii="Book Antiqua" w:eastAsiaTheme="minorEastAsia" w:hAnsi="Book Antiqua"/>
          <w:lang w:val="en-US" w:eastAsia="en-US"/>
        </w:rPr>
        <w:t>;</w:t>
      </w:r>
      <w:r w:rsidR="000A103F" w:rsidRPr="00664A42">
        <w:rPr>
          <w:rFonts w:ascii="Book Antiqua" w:hAnsi="Book Antiqua"/>
          <w:lang w:val="en-US"/>
        </w:rPr>
        <w:t xml:space="preserve"> SIRS: </w:t>
      </w:r>
      <w:r w:rsidR="00645FE2" w:rsidRPr="00664A42">
        <w:rPr>
          <w:rFonts w:ascii="Book Antiqua" w:hAnsi="Book Antiqua"/>
          <w:lang w:val="en-US"/>
        </w:rPr>
        <w:t xml:space="preserve">Systemic </w:t>
      </w:r>
      <w:r w:rsidR="000A103F" w:rsidRPr="00664A42">
        <w:rPr>
          <w:rFonts w:ascii="Book Antiqua" w:hAnsi="Book Antiqua"/>
          <w:lang w:val="en-US"/>
        </w:rPr>
        <w:t>inflammatory response syndrome</w:t>
      </w:r>
      <w:r w:rsidR="00CE510E">
        <w:rPr>
          <w:rFonts w:ascii="Book Antiqua" w:hAnsi="Book Antiqua" w:hint="eastAsia"/>
          <w:lang w:val="en-US" w:eastAsia="zh-CN"/>
        </w:rPr>
        <w:t>.</w:t>
      </w:r>
    </w:p>
    <w:p w:rsidR="000A103F" w:rsidRPr="00615305" w:rsidRDefault="000A103F" w:rsidP="003B01FB">
      <w:pPr>
        <w:widowControl w:val="0"/>
        <w:autoSpaceDE w:val="0"/>
        <w:autoSpaceDN w:val="0"/>
        <w:adjustRightInd w:val="0"/>
        <w:spacing w:line="360" w:lineRule="auto"/>
        <w:jc w:val="both"/>
        <w:rPr>
          <w:rFonts w:ascii="Book Antiqua" w:hAnsi="Book Antiqua"/>
          <w:lang w:val="en-US"/>
        </w:rPr>
        <w:sectPr w:rsidR="000A103F" w:rsidRPr="00615305" w:rsidSect="00E57C92">
          <w:endnotePr>
            <w:numFmt w:val="decimal"/>
          </w:endnotePr>
          <w:pgSz w:w="16840" w:h="11900" w:orient="landscape"/>
          <w:pgMar w:top="1800" w:right="1440" w:bottom="1800" w:left="1440" w:header="708" w:footer="708" w:gutter="0"/>
          <w:cols w:space="708"/>
          <w:docGrid w:linePitch="360"/>
        </w:sectPr>
      </w:pPr>
    </w:p>
    <w:p w:rsidR="000A103F" w:rsidRPr="00664A42" w:rsidRDefault="00615305" w:rsidP="003B01FB">
      <w:pPr>
        <w:widowControl w:val="0"/>
        <w:autoSpaceDE w:val="0"/>
        <w:autoSpaceDN w:val="0"/>
        <w:adjustRightInd w:val="0"/>
        <w:spacing w:line="360" w:lineRule="auto"/>
        <w:jc w:val="both"/>
        <w:rPr>
          <w:rFonts w:ascii="Book Antiqua" w:eastAsiaTheme="minorEastAsia" w:hAnsi="Book Antiqua" w:cs="Arial"/>
          <w:lang w:val="en-GB" w:eastAsia="zh-CN"/>
        </w:rPr>
      </w:pPr>
      <w:r w:rsidRPr="00664A42">
        <w:rPr>
          <w:rFonts w:ascii="Book Antiqua" w:eastAsiaTheme="minorEastAsia" w:hAnsi="Book Antiqua"/>
          <w:b/>
          <w:noProof/>
          <w:lang w:val="en-US" w:eastAsia="zh-CN"/>
        </w:rPr>
        <w:lastRenderedPageBreak/>
        <w:drawing>
          <wp:inline distT="0" distB="0" distL="0" distR="0" wp14:anchorId="71250C08" wp14:editId="354B87FE">
            <wp:extent cx="5038725" cy="5219700"/>
            <wp:effectExtent l="0" t="0" r="0" b="0"/>
            <wp:docPr id="1" name="Kép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5219700"/>
                    </a:xfrm>
                    <a:prstGeom prst="rect">
                      <a:avLst/>
                    </a:prstGeom>
                    <a:noFill/>
                    <a:ln>
                      <a:noFill/>
                    </a:ln>
                  </pic:spPr>
                </pic:pic>
              </a:graphicData>
            </a:graphic>
          </wp:inline>
        </w:drawing>
      </w:r>
      <w:r>
        <w:rPr>
          <w:rFonts w:ascii="Book Antiqua" w:eastAsiaTheme="minorEastAsia" w:hAnsi="Book Antiqua" w:cs="Arial"/>
          <w:b/>
          <w:lang w:val="en-GB" w:eastAsia="en-US"/>
        </w:rPr>
        <w:t xml:space="preserve"> Figure 1</w:t>
      </w:r>
      <w:r w:rsidR="000A103F" w:rsidRPr="00664A42">
        <w:rPr>
          <w:rFonts w:ascii="Book Antiqua" w:eastAsiaTheme="minorEastAsia" w:hAnsi="Book Antiqua" w:cs="Arial"/>
          <w:b/>
          <w:lang w:val="en-GB" w:eastAsia="en-US"/>
        </w:rPr>
        <w:t xml:space="preserve"> Presepsin levels in patients with cirrhosis according to presence or absence and severity of bacterial infections (</w:t>
      </w:r>
      <w:r w:rsidR="000A103F" w:rsidRPr="00615305">
        <w:rPr>
          <w:rFonts w:ascii="Book Antiqua" w:eastAsiaTheme="minorEastAsia" w:hAnsi="Book Antiqua" w:cs="Arial"/>
          <w:b/>
          <w:i/>
          <w:lang w:val="en-GB" w:eastAsia="en-US"/>
        </w:rPr>
        <w:t>n</w:t>
      </w:r>
      <w:r>
        <w:rPr>
          <w:rFonts w:ascii="Book Antiqua" w:eastAsiaTheme="minorEastAsia" w:hAnsi="Book Antiqua" w:cs="Arial" w:hint="eastAsia"/>
          <w:b/>
          <w:lang w:val="en-GB" w:eastAsia="zh-CN"/>
        </w:rPr>
        <w:t xml:space="preserve"> </w:t>
      </w:r>
      <w:r w:rsidR="000A103F" w:rsidRPr="00664A42">
        <w:rPr>
          <w:rFonts w:ascii="Book Antiqua" w:eastAsiaTheme="minorEastAsia" w:hAnsi="Book Antiqua" w:cs="Arial"/>
          <w:b/>
          <w:lang w:val="en-GB" w:eastAsia="en-US"/>
        </w:rPr>
        <w:t>=</w:t>
      </w:r>
      <w:r>
        <w:rPr>
          <w:rFonts w:ascii="Book Antiqua" w:eastAsiaTheme="minorEastAsia" w:hAnsi="Book Antiqua" w:cs="Arial" w:hint="eastAsia"/>
          <w:b/>
          <w:lang w:val="en-GB" w:eastAsia="zh-CN"/>
        </w:rPr>
        <w:t xml:space="preserve"> </w:t>
      </w:r>
      <w:r w:rsidR="000A103F" w:rsidRPr="00664A42">
        <w:rPr>
          <w:rFonts w:ascii="Book Antiqua" w:eastAsiaTheme="minorEastAsia" w:hAnsi="Book Antiqua" w:cs="Arial"/>
          <w:b/>
          <w:lang w:val="en-GB" w:eastAsia="en-US"/>
        </w:rPr>
        <w:t xml:space="preserve">216). </w:t>
      </w:r>
      <w:r w:rsidR="000A103F" w:rsidRPr="00664A42">
        <w:rPr>
          <w:rFonts w:ascii="Book Antiqua" w:hAnsi="Book Antiqua" w:cs="Arial"/>
          <w:lang w:val="en-US"/>
        </w:rPr>
        <w:t xml:space="preserve">Median presepsin levels are significantly higher in patients with infection as compared to those without and associated to the severity of the infection. </w:t>
      </w:r>
      <w:r w:rsidR="000A103F" w:rsidRPr="00664A42">
        <w:rPr>
          <w:rFonts w:ascii="Book Antiqua" w:eastAsiaTheme="minorEastAsia" w:hAnsi="Book Antiqua" w:cs="Arial"/>
          <w:lang w:val="en-GB" w:eastAsia="en-US"/>
        </w:rPr>
        <w:t>Lines denote median values, boxes represent 25</w:t>
      </w:r>
      <w:r w:rsidR="00AD3D8A" w:rsidRPr="00615305">
        <w:rPr>
          <w:rFonts w:ascii="Book Antiqua" w:eastAsiaTheme="minorEastAsia" w:hAnsi="Book Antiqua" w:cs="Arial"/>
          <w:vertAlign w:val="superscript"/>
          <w:lang w:val="en-GB" w:eastAsia="en-US"/>
        </w:rPr>
        <w:t>th</w:t>
      </w:r>
      <w:r w:rsidR="000A103F" w:rsidRPr="00664A42">
        <w:rPr>
          <w:rFonts w:ascii="Book Antiqua" w:eastAsiaTheme="minorEastAsia" w:hAnsi="Book Antiqua" w:cs="Arial"/>
          <w:lang w:val="en-GB" w:eastAsia="en-US"/>
        </w:rPr>
        <w:t>-75</w:t>
      </w:r>
      <w:r w:rsidR="000A103F" w:rsidRPr="00615305">
        <w:rPr>
          <w:rFonts w:ascii="Book Antiqua" w:eastAsiaTheme="minorEastAsia" w:hAnsi="Book Antiqua" w:cs="Arial"/>
          <w:vertAlign w:val="superscript"/>
          <w:lang w:val="en-GB" w:eastAsia="en-US"/>
        </w:rPr>
        <w:t xml:space="preserve">th </w:t>
      </w:r>
      <w:r w:rsidR="000A103F" w:rsidRPr="00664A42">
        <w:rPr>
          <w:rFonts w:ascii="Book Antiqua" w:eastAsiaTheme="minorEastAsia" w:hAnsi="Book Antiqua" w:cs="Arial"/>
          <w:lang w:val="en-GB" w:eastAsia="en-US"/>
        </w:rPr>
        <w:t>percentiles and whiskers indicate the 5</w:t>
      </w:r>
      <w:r w:rsidR="00AD3D8A" w:rsidRPr="00615305">
        <w:rPr>
          <w:rFonts w:ascii="Book Antiqua" w:eastAsiaTheme="minorEastAsia" w:hAnsi="Book Antiqua" w:cs="Arial"/>
          <w:vertAlign w:val="superscript"/>
          <w:lang w:val="en-GB" w:eastAsia="en-US"/>
        </w:rPr>
        <w:t>th</w:t>
      </w:r>
      <w:r w:rsidR="000A103F" w:rsidRPr="00664A42">
        <w:rPr>
          <w:rFonts w:ascii="Book Antiqua" w:eastAsiaTheme="minorEastAsia" w:hAnsi="Book Antiqua" w:cs="Arial"/>
          <w:lang w:val="en-GB" w:eastAsia="en-US"/>
        </w:rPr>
        <w:t>-95</w:t>
      </w:r>
      <w:r w:rsidR="000A103F" w:rsidRPr="00615305">
        <w:rPr>
          <w:rFonts w:ascii="Book Antiqua" w:eastAsiaTheme="minorEastAsia" w:hAnsi="Book Antiqua" w:cs="Arial"/>
          <w:vertAlign w:val="superscript"/>
          <w:lang w:val="en-GB" w:eastAsia="en-US"/>
        </w:rPr>
        <w:t xml:space="preserve">th </w:t>
      </w:r>
      <w:r w:rsidR="000A103F" w:rsidRPr="00664A42">
        <w:rPr>
          <w:rFonts w:ascii="Book Antiqua" w:eastAsiaTheme="minorEastAsia" w:hAnsi="Book Antiqua" w:cs="Arial"/>
          <w:lang w:val="en-GB" w:eastAsia="en-US"/>
        </w:rPr>
        <w:t xml:space="preserve">range. </w:t>
      </w:r>
      <w:r w:rsidR="000A103F" w:rsidRPr="00664A42">
        <w:rPr>
          <w:rFonts w:ascii="Book Antiqua" w:hAnsi="Book Antiqua" w:cs="Arial"/>
          <w:i/>
          <w:lang w:val="en-US"/>
        </w:rPr>
        <w:t>P</w:t>
      </w:r>
      <w:r w:rsidR="000A103F" w:rsidRPr="00664A42">
        <w:rPr>
          <w:rFonts w:ascii="Book Antiqua" w:hAnsi="Book Antiqua" w:cs="Arial"/>
          <w:lang w:val="en-US"/>
        </w:rPr>
        <w:t xml:space="preserve"> values were calculated by Mann-Whitney </w:t>
      </w:r>
      <w:r w:rsidR="000A103F" w:rsidRPr="00615305">
        <w:rPr>
          <w:rFonts w:ascii="Book Antiqua" w:hAnsi="Book Antiqua" w:cs="Arial"/>
          <w:i/>
          <w:lang w:val="en-US"/>
        </w:rPr>
        <w:t>U</w:t>
      </w:r>
      <w:r w:rsidR="000A103F" w:rsidRPr="00664A42">
        <w:rPr>
          <w:rFonts w:ascii="Book Antiqua" w:hAnsi="Book Antiqua" w:cs="Arial"/>
          <w:lang w:val="en-US"/>
        </w:rPr>
        <w:t xml:space="preserve">-test or </w:t>
      </w:r>
      <w:r w:rsidR="000A103F" w:rsidRPr="00664A42">
        <w:rPr>
          <w:rFonts w:ascii="Book Antiqua" w:hAnsi="Book Antiqua" w:cs="Arial"/>
          <w:lang w:val="en-GB"/>
        </w:rPr>
        <w:t>Kruskal-Wallis H-test as appropriate.</w:t>
      </w:r>
      <w:r w:rsidR="000A103F" w:rsidRPr="00664A42">
        <w:rPr>
          <w:rFonts w:ascii="Book Antiqua" w:eastAsiaTheme="minorEastAsia" w:hAnsi="Book Antiqua" w:cs="Arial"/>
          <w:b/>
          <w:lang w:val="en-GB" w:eastAsia="en-US"/>
        </w:rPr>
        <w:t xml:space="preserve"> </w:t>
      </w:r>
      <w:r w:rsidR="000A103F" w:rsidRPr="00664A42">
        <w:rPr>
          <w:rFonts w:ascii="Book Antiqua" w:eastAsiaTheme="minorEastAsia" w:hAnsi="Book Antiqua" w:cs="Arial"/>
          <w:lang w:val="en-GB" w:eastAsia="en-US"/>
        </w:rPr>
        <w:t xml:space="preserve">INF: </w:t>
      </w:r>
      <w:r w:rsidRPr="00664A42">
        <w:rPr>
          <w:rFonts w:ascii="Book Antiqua" w:eastAsiaTheme="minorEastAsia" w:hAnsi="Book Antiqua" w:cs="Arial"/>
          <w:lang w:val="en-GB" w:eastAsia="en-US"/>
        </w:rPr>
        <w:t xml:space="preserve">Bacterial </w:t>
      </w:r>
      <w:r w:rsidR="000A103F" w:rsidRPr="00664A42">
        <w:rPr>
          <w:rFonts w:ascii="Book Antiqua" w:eastAsiaTheme="minorEastAsia" w:hAnsi="Book Antiqua" w:cs="Arial"/>
          <w:lang w:val="en-GB" w:eastAsia="en-US"/>
        </w:rPr>
        <w:t>infection</w:t>
      </w:r>
      <w:r>
        <w:rPr>
          <w:rFonts w:ascii="Book Antiqua" w:eastAsiaTheme="minorEastAsia" w:hAnsi="Book Antiqua" w:cs="Arial" w:hint="eastAsia"/>
          <w:lang w:val="en-GB" w:eastAsia="zh-CN"/>
        </w:rPr>
        <w:t>.</w:t>
      </w:r>
    </w:p>
    <w:p w:rsidR="000A103F" w:rsidRPr="00664A42" w:rsidRDefault="000A103F" w:rsidP="003B01FB">
      <w:pPr>
        <w:widowControl w:val="0"/>
        <w:autoSpaceDE w:val="0"/>
        <w:autoSpaceDN w:val="0"/>
        <w:adjustRightInd w:val="0"/>
        <w:spacing w:line="360" w:lineRule="auto"/>
        <w:jc w:val="both"/>
        <w:rPr>
          <w:rFonts w:ascii="Book Antiqua" w:eastAsiaTheme="minorEastAsia" w:hAnsi="Book Antiqua" w:cs="Arial"/>
          <w:lang w:val="en-GB" w:eastAsia="en-US"/>
        </w:rPr>
      </w:pPr>
    </w:p>
    <w:p w:rsidR="000A103F" w:rsidRPr="00664A42" w:rsidRDefault="000A103F" w:rsidP="003B01FB">
      <w:pPr>
        <w:widowControl w:val="0"/>
        <w:autoSpaceDE w:val="0"/>
        <w:autoSpaceDN w:val="0"/>
        <w:adjustRightInd w:val="0"/>
        <w:spacing w:line="480" w:lineRule="auto"/>
        <w:jc w:val="both"/>
        <w:rPr>
          <w:rFonts w:ascii="Book Antiqua" w:eastAsiaTheme="minorEastAsia" w:hAnsi="Book Antiqua"/>
          <w:b/>
          <w:lang w:val="en-GB" w:eastAsia="en-US"/>
        </w:rPr>
      </w:pPr>
    </w:p>
    <w:p w:rsidR="000A103F" w:rsidRPr="00664A42" w:rsidRDefault="000A103F" w:rsidP="003B01FB">
      <w:pPr>
        <w:widowControl w:val="0"/>
        <w:autoSpaceDE w:val="0"/>
        <w:autoSpaceDN w:val="0"/>
        <w:adjustRightInd w:val="0"/>
        <w:spacing w:line="360" w:lineRule="auto"/>
        <w:jc w:val="both"/>
        <w:rPr>
          <w:rFonts w:ascii="Book Antiqua" w:hAnsi="Book Antiqua" w:cs="Arial"/>
          <w:lang w:val="en-GB"/>
        </w:rPr>
      </w:pPr>
      <w:r w:rsidRPr="00664A42">
        <w:rPr>
          <w:rFonts w:ascii="Book Antiqua" w:hAnsi="Book Antiqua" w:cs="Arial"/>
          <w:b/>
          <w:lang w:val="en-GB"/>
        </w:rPr>
        <w:br w:type="column"/>
      </w:r>
      <w:r w:rsidR="00615305" w:rsidRPr="00664A42">
        <w:rPr>
          <w:rFonts w:ascii="Book Antiqua" w:hAnsi="Book Antiqua" w:cs="Arial"/>
          <w:noProof/>
          <w:lang w:val="en-US" w:eastAsia="zh-CN"/>
        </w:rPr>
        <w:lastRenderedPageBreak/>
        <w:drawing>
          <wp:inline distT="0" distB="0" distL="0" distR="0" wp14:anchorId="2DACE322" wp14:editId="5C924A3E">
            <wp:extent cx="5038725" cy="5457825"/>
            <wp:effectExtent l="0" t="0" r="0" b="0"/>
            <wp:docPr id="2" name="Kép 2" descr="Fig 2 child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childab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25" cy="5457825"/>
                    </a:xfrm>
                    <a:prstGeom prst="rect">
                      <a:avLst/>
                    </a:prstGeom>
                    <a:noFill/>
                    <a:ln>
                      <a:noFill/>
                    </a:ln>
                  </pic:spPr>
                </pic:pic>
              </a:graphicData>
            </a:graphic>
          </wp:inline>
        </w:drawing>
      </w:r>
      <w:r w:rsidR="00615305">
        <w:rPr>
          <w:rFonts w:ascii="Book Antiqua" w:hAnsi="Book Antiqua" w:cs="Arial"/>
          <w:b/>
          <w:lang w:val="en-GB"/>
        </w:rPr>
        <w:t xml:space="preserve"> </w:t>
      </w:r>
      <w:r w:rsidR="00615305" w:rsidRPr="00664A42">
        <w:rPr>
          <w:rFonts w:ascii="Book Antiqua" w:hAnsi="Book Antiqua" w:cs="Arial"/>
          <w:noProof/>
          <w:lang w:val="en-US" w:eastAsia="zh-CN"/>
        </w:rPr>
        <w:lastRenderedPageBreak/>
        <w:drawing>
          <wp:inline distT="0" distB="0" distL="0" distR="0" wp14:anchorId="733723E2" wp14:editId="25687C81">
            <wp:extent cx="5038725" cy="5648325"/>
            <wp:effectExtent l="0" t="0" r="0" b="0"/>
            <wp:docPr id="3" name="Kép 3" descr="fig 2 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as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5648325"/>
                    </a:xfrm>
                    <a:prstGeom prst="rect">
                      <a:avLst/>
                    </a:prstGeom>
                    <a:noFill/>
                    <a:ln>
                      <a:noFill/>
                    </a:ln>
                  </pic:spPr>
                </pic:pic>
              </a:graphicData>
            </a:graphic>
          </wp:inline>
        </w:drawing>
      </w:r>
      <w:r w:rsidR="00615305">
        <w:rPr>
          <w:rFonts w:ascii="Book Antiqua" w:hAnsi="Book Antiqua" w:cs="Arial"/>
          <w:b/>
          <w:lang w:val="en-GB"/>
        </w:rPr>
        <w:t xml:space="preserve"> </w:t>
      </w:r>
      <w:r w:rsidR="00615305" w:rsidRPr="00664A42">
        <w:rPr>
          <w:rFonts w:ascii="Book Antiqua" w:hAnsi="Book Antiqua" w:cs="Arial"/>
          <w:noProof/>
          <w:lang w:val="en-US" w:eastAsia="zh-CN"/>
        </w:rPr>
        <w:lastRenderedPageBreak/>
        <w:drawing>
          <wp:inline distT="0" distB="0" distL="0" distR="0" wp14:anchorId="347D2DD1" wp14:editId="4153734F">
            <wp:extent cx="5038725" cy="5648325"/>
            <wp:effectExtent l="0" t="0" r="0" b="0"/>
            <wp:docPr id="4" name="Kép 4" descr="fig 2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2 r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5648325"/>
                    </a:xfrm>
                    <a:prstGeom prst="rect">
                      <a:avLst/>
                    </a:prstGeom>
                    <a:noFill/>
                    <a:ln>
                      <a:noFill/>
                    </a:ln>
                  </pic:spPr>
                </pic:pic>
              </a:graphicData>
            </a:graphic>
          </wp:inline>
        </w:drawing>
      </w:r>
      <w:r w:rsidR="00615305">
        <w:rPr>
          <w:rFonts w:ascii="Book Antiqua" w:hAnsi="Book Antiqua" w:cs="Arial"/>
          <w:b/>
          <w:lang w:val="en-GB"/>
        </w:rPr>
        <w:t xml:space="preserve"> Figure 2</w:t>
      </w:r>
      <w:r w:rsidRPr="00664A42">
        <w:rPr>
          <w:rFonts w:ascii="Book Antiqua" w:hAnsi="Book Antiqua" w:cs="Arial"/>
          <w:b/>
          <w:lang w:val="en-GB"/>
        </w:rPr>
        <w:t xml:space="preserve"> </w:t>
      </w:r>
      <w:r w:rsidRPr="00664A42">
        <w:rPr>
          <w:rFonts w:ascii="Book Antiqua" w:eastAsiaTheme="minorEastAsia" w:hAnsi="Book Antiqua" w:cs="Arial"/>
          <w:b/>
          <w:lang w:val="en-GB" w:eastAsia="en-US"/>
        </w:rPr>
        <w:t>Presepsin levels in subgroups of patients with different diseases severity according to presence or absence of bacterial infections (</w:t>
      </w:r>
      <w:r w:rsidRPr="00615305">
        <w:rPr>
          <w:rFonts w:ascii="Book Antiqua" w:eastAsiaTheme="minorEastAsia" w:hAnsi="Book Antiqua" w:cs="Arial"/>
          <w:b/>
          <w:i/>
          <w:lang w:val="en-GB" w:eastAsia="en-US"/>
        </w:rPr>
        <w:t>n</w:t>
      </w:r>
      <w:r w:rsidR="00615305" w:rsidRPr="00615305">
        <w:rPr>
          <w:rFonts w:ascii="Book Antiqua" w:eastAsiaTheme="minorEastAsia" w:hAnsi="Book Antiqua" w:cs="Arial" w:hint="eastAsia"/>
          <w:b/>
          <w:i/>
          <w:lang w:val="en-GB" w:eastAsia="zh-CN"/>
        </w:rPr>
        <w:t xml:space="preserve"> </w:t>
      </w:r>
      <w:r w:rsidRPr="00664A42">
        <w:rPr>
          <w:rFonts w:ascii="Book Antiqua" w:eastAsiaTheme="minorEastAsia" w:hAnsi="Book Antiqua" w:cs="Arial"/>
          <w:b/>
          <w:lang w:val="en-GB" w:eastAsia="en-US"/>
        </w:rPr>
        <w:t>=</w:t>
      </w:r>
      <w:r w:rsidR="00615305">
        <w:rPr>
          <w:rFonts w:ascii="Book Antiqua" w:eastAsiaTheme="minorEastAsia" w:hAnsi="Book Antiqua" w:cs="Arial" w:hint="eastAsia"/>
          <w:b/>
          <w:lang w:val="en-GB" w:eastAsia="zh-CN"/>
        </w:rPr>
        <w:t xml:space="preserve"> </w:t>
      </w:r>
      <w:r w:rsidRPr="00664A42">
        <w:rPr>
          <w:rFonts w:ascii="Book Antiqua" w:eastAsiaTheme="minorEastAsia" w:hAnsi="Book Antiqua" w:cs="Arial"/>
          <w:b/>
          <w:lang w:val="en-GB" w:eastAsia="en-US"/>
        </w:rPr>
        <w:t xml:space="preserve">216). </w:t>
      </w:r>
      <w:r w:rsidRPr="00664A42">
        <w:rPr>
          <w:rFonts w:ascii="Book Antiqua" w:eastAsiaTheme="minorEastAsia" w:hAnsi="Book Antiqua" w:cs="Arial"/>
          <w:lang w:val="en-US" w:eastAsia="en-US"/>
        </w:rPr>
        <w:t>Significant differences in median presepsin levels between non-infected and infected patients are observed in all disease severity subgroups according to Child-Pugh stage (A) or the presence of ascites (B). However, no significant difference is observed in renal failure subgroup (C). Among non-infected patients, a significant increase in median presepsin levels is observed according to disease severity or in the presence of renal failure.</w:t>
      </w:r>
      <w:r w:rsidRPr="00664A42">
        <w:rPr>
          <w:rFonts w:ascii="Book Antiqua" w:hAnsi="Book Antiqua" w:cs="Arial"/>
          <w:b/>
          <w:lang w:val="en-GB"/>
        </w:rPr>
        <w:t xml:space="preserve"> </w:t>
      </w:r>
      <w:r w:rsidRPr="00664A42">
        <w:rPr>
          <w:rFonts w:ascii="Book Antiqua" w:eastAsiaTheme="minorEastAsia" w:hAnsi="Book Antiqua" w:cs="Arial"/>
          <w:lang w:val="en-GB" w:eastAsia="en-US"/>
        </w:rPr>
        <w:t>Lines denote median values, boxes represent 25</w:t>
      </w:r>
      <w:r w:rsidR="00AD3D8A" w:rsidRPr="00615305">
        <w:rPr>
          <w:rFonts w:ascii="Book Antiqua" w:eastAsiaTheme="minorEastAsia" w:hAnsi="Book Antiqua" w:cs="Arial"/>
          <w:vertAlign w:val="superscript"/>
          <w:lang w:val="en-GB" w:eastAsia="en-US"/>
        </w:rPr>
        <w:t>th</w:t>
      </w:r>
      <w:r w:rsidRPr="00664A42">
        <w:rPr>
          <w:rFonts w:ascii="Book Antiqua" w:eastAsiaTheme="minorEastAsia" w:hAnsi="Book Antiqua" w:cs="Arial"/>
          <w:lang w:val="en-GB" w:eastAsia="en-US"/>
        </w:rPr>
        <w:t>-75</w:t>
      </w:r>
      <w:r w:rsidRPr="00615305">
        <w:rPr>
          <w:rFonts w:ascii="Book Antiqua" w:eastAsiaTheme="minorEastAsia" w:hAnsi="Book Antiqua" w:cs="Arial"/>
          <w:vertAlign w:val="superscript"/>
          <w:lang w:val="en-GB" w:eastAsia="en-US"/>
        </w:rPr>
        <w:t xml:space="preserve">th </w:t>
      </w:r>
      <w:r w:rsidRPr="00664A42">
        <w:rPr>
          <w:rFonts w:ascii="Book Antiqua" w:eastAsiaTheme="minorEastAsia" w:hAnsi="Book Antiqua" w:cs="Arial"/>
          <w:lang w:val="en-GB" w:eastAsia="en-US"/>
        </w:rPr>
        <w:t>percentiles and whiskers indicate the 5</w:t>
      </w:r>
      <w:r w:rsidR="00AD3D8A" w:rsidRPr="00615305">
        <w:rPr>
          <w:rFonts w:ascii="Book Antiqua" w:eastAsiaTheme="minorEastAsia" w:hAnsi="Book Antiqua" w:cs="Arial"/>
          <w:vertAlign w:val="superscript"/>
          <w:lang w:val="en-GB" w:eastAsia="en-US"/>
        </w:rPr>
        <w:t>th</w:t>
      </w:r>
      <w:r w:rsidRPr="00664A42">
        <w:rPr>
          <w:rFonts w:ascii="Book Antiqua" w:eastAsiaTheme="minorEastAsia" w:hAnsi="Book Antiqua" w:cs="Arial"/>
          <w:lang w:val="en-GB" w:eastAsia="en-US"/>
        </w:rPr>
        <w:t>-95</w:t>
      </w:r>
      <w:r w:rsidRPr="00615305">
        <w:rPr>
          <w:rFonts w:ascii="Book Antiqua" w:eastAsiaTheme="minorEastAsia" w:hAnsi="Book Antiqua" w:cs="Arial"/>
          <w:vertAlign w:val="superscript"/>
          <w:lang w:val="en-GB" w:eastAsia="en-US"/>
        </w:rPr>
        <w:t>th</w:t>
      </w:r>
      <w:r w:rsidRPr="00664A42">
        <w:rPr>
          <w:rFonts w:ascii="Book Antiqua" w:eastAsiaTheme="minorEastAsia" w:hAnsi="Book Antiqua" w:cs="Arial"/>
          <w:lang w:val="en-GB" w:eastAsia="en-US"/>
        </w:rPr>
        <w:t xml:space="preserve"> range. </w:t>
      </w:r>
      <w:r w:rsidRPr="00664A42">
        <w:rPr>
          <w:rFonts w:ascii="Book Antiqua" w:hAnsi="Book Antiqua" w:cs="Arial"/>
          <w:i/>
          <w:lang w:val="en-US"/>
        </w:rPr>
        <w:t>P</w:t>
      </w:r>
      <w:r w:rsidRPr="00664A42">
        <w:rPr>
          <w:rFonts w:ascii="Book Antiqua" w:hAnsi="Book Antiqua" w:cs="Arial"/>
          <w:lang w:val="en-US"/>
        </w:rPr>
        <w:t xml:space="preserve">-values were calculated by the Mann-Whitney </w:t>
      </w:r>
      <w:r w:rsidRPr="00615305">
        <w:rPr>
          <w:rFonts w:ascii="Book Antiqua" w:hAnsi="Book Antiqua" w:cs="Arial"/>
          <w:i/>
          <w:lang w:val="en-US"/>
        </w:rPr>
        <w:t xml:space="preserve">U </w:t>
      </w:r>
      <w:r w:rsidRPr="00664A42">
        <w:rPr>
          <w:rFonts w:ascii="Book Antiqua" w:hAnsi="Book Antiqua" w:cs="Arial"/>
          <w:lang w:val="en-US"/>
        </w:rPr>
        <w:t xml:space="preserve">or the </w:t>
      </w:r>
      <w:r w:rsidRPr="00664A42">
        <w:rPr>
          <w:rFonts w:ascii="Book Antiqua" w:hAnsi="Book Antiqua" w:cs="Arial"/>
          <w:lang w:val="en-GB"/>
        </w:rPr>
        <w:t xml:space="preserve">Kruskal-Wallis </w:t>
      </w:r>
      <w:r w:rsidRPr="00AD3D8A">
        <w:rPr>
          <w:rFonts w:ascii="Book Antiqua" w:hAnsi="Book Antiqua" w:cs="Arial"/>
          <w:i/>
          <w:lang w:val="en-GB"/>
        </w:rPr>
        <w:t>H</w:t>
      </w:r>
      <w:r w:rsidRPr="00664A42">
        <w:rPr>
          <w:rFonts w:ascii="Book Antiqua" w:hAnsi="Book Antiqua" w:cs="Arial"/>
          <w:lang w:val="en-GB"/>
        </w:rPr>
        <w:t xml:space="preserve">-test as appropriate. Creatinine values of 4 patients were </w:t>
      </w:r>
      <w:r w:rsidRPr="00664A42">
        <w:rPr>
          <w:rFonts w:ascii="Book Antiqua" w:hAnsi="Book Antiqua" w:cs="Arial"/>
          <w:lang w:val="en-GB"/>
        </w:rPr>
        <w:lastRenderedPageBreak/>
        <w:t>missing in the non-infected group.</w:t>
      </w:r>
    </w:p>
    <w:p w:rsidR="000A103F" w:rsidRPr="00664A42" w:rsidRDefault="000A103F" w:rsidP="003B01FB">
      <w:pPr>
        <w:widowControl w:val="0"/>
        <w:autoSpaceDE w:val="0"/>
        <w:autoSpaceDN w:val="0"/>
        <w:adjustRightInd w:val="0"/>
        <w:spacing w:line="360" w:lineRule="auto"/>
        <w:jc w:val="both"/>
        <w:rPr>
          <w:rFonts w:ascii="Book Antiqua" w:hAnsi="Book Antiqua" w:cs="Arial"/>
          <w:lang w:val="en-GB"/>
        </w:rPr>
      </w:pPr>
    </w:p>
    <w:p w:rsidR="000A103F" w:rsidRPr="00664A42" w:rsidRDefault="000A103F" w:rsidP="003B01FB">
      <w:pPr>
        <w:widowControl w:val="0"/>
        <w:autoSpaceDE w:val="0"/>
        <w:autoSpaceDN w:val="0"/>
        <w:adjustRightInd w:val="0"/>
        <w:spacing w:line="360" w:lineRule="auto"/>
        <w:jc w:val="both"/>
        <w:rPr>
          <w:rFonts w:ascii="Book Antiqua" w:hAnsi="Book Antiqua" w:cs="Arial"/>
          <w:lang w:val="en-GB"/>
        </w:rPr>
      </w:pPr>
    </w:p>
    <w:p w:rsidR="000A103F" w:rsidRPr="00664A42" w:rsidRDefault="000A103F" w:rsidP="003B01FB">
      <w:pPr>
        <w:widowControl w:val="0"/>
        <w:autoSpaceDE w:val="0"/>
        <w:autoSpaceDN w:val="0"/>
        <w:adjustRightInd w:val="0"/>
        <w:spacing w:line="360" w:lineRule="auto"/>
        <w:jc w:val="both"/>
        <w:rPr>
          <w:rFonts w:ascii="Book Antiqua" w:hAnsi="Book Antiqua" w:cs="Arial"/>
          <w:lang w:val="en-GB"/>
        </w:rPr>
      </w:pPr>
    </w:p>
    <w:p w:rsidR="000A103F" w:rsidRPr="00664A42" w:rsidRDefault="000A103F" w:rsidP="003B01FB">
      <w:pPr>
        <w:widowControl w:val="0"/>
        <w:autoSpaceDE w:val="0"/>
        <w:autoSpaceDN w:val="0"/>
        <w:adjustRightInd w:val="0"/>
        <w:spacing w:line="360" w:lineRule="auto"/>
        <w:jc w:val="both"/>
        <w:rPr>
          <w:rFonts w:ascii="Book Antiqua" w:hAnsi="Book Antiqua" w:cs="Arial"/>
          <w:lang w:val="en-GB"/>
        </w:rPr>
      </w:pPr>
    </w:p>
    <w:p w:rsidR="000A103F" w:rsidRPr="00664A42" w:rsidRDefault="000A103F" w:rsidP="003B01FB">
      <w:pPr>
        <w:widowControl w:val="0"/>
        <w:autoSpaceDE w:val="0"/>
        <w:autoSpaceDN w:val="0"/>
        <w:adjustRightInd w:val="0"/>
        <w:spacing w:line="360" w:lineRule="auto"/>
        <w:jc w:val="both"/>
        <w:rPr>
          <w:rFonts w:ascii="Book Antiqua" w:hAnsi="Book Antiqua" w:cs="Arial"/>
          <w:noProof/>
        </w:rPr>
      </w:pPr>
    </w:p>
    <w:p w:rsidR="000A103F" w:rsidRPr="00664A42" w:rsidRDefault="000A103F" w:rsidP="003B01FB">
      <w:pPr>
        <w:widowControl w:val="0"/>
        <w:autoSpaceDE w:val="0"/>
        <w:autoSpaceDN w:val="0"/>
        <w:adjustRightInd w:val="0"/>
        <w:spacing w:line="360" w:lineRule="auto"/>
        <w:jc w:val="both"/>
        <w:rPr>
          <w:rFonts w:ascii="Book Antiqua" w:hAnsi="Book Antiqua" w:cs="Arial"/>
          <w:noProof/>
        </w:rPr>
      </w:pPr>
      <w:r w:rsidRPr="00664A42">
        <w:rPr>
          <w:rFonts w:ascii="Book Antiqua" w:hAnsi="Book Antiqua" w:cs="Arial"/>
          <w:noProof/>
          <w:lang w:val="en-US" w:eastAsia="zh-CN"/>
        </w:rPr>
        <w:drawing>
          <wp:inline distT="0" distB="0" distL="0" distR="0" wp14:anchorId="397B6302" wp14:editId="4D921E3D">
            <wp:extent cx="5038725" cy="4933950"/>
            <wp:effectExtent l="0" t="0" r="0" b="0"/>
            <wp:docPr id="5" name="Kép 5" descr="fig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3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4933950"/>
                    </a:xfrm>
                    <a:prstGeom prst="rect">
                      <a:avLst/>
                    </a:prstGeom>
                    <a:noFill/>
                    <a:ln>
                      <a:noFill/>
                    </a:ln>
                  </pic:spPr>
                </pic:pic>
              </a:graphicData>
            </a:graphic>
          </wp:inline>
        </w:drawing>
      </w:r>
    </w:p>
    <w:p w:rsidR="000A103F" w:rsidRPr="00664A42" w:rsidRDefault="000A103F" w:rsidP="003B01FB">
      <w:pPr>
        <w:widowControl w:val="0"/>
        <w:autoSpaceDE w:val="0"/>
        <w:autoSpaceDN w:val="0"/>
        <w:adjustRightInd w:val="0"/>
        <w:spacing w:line="360" w:lineRule="auto"/>
        <w:jc w:val="both"/>
        <w:rPr>
          <w:rFonts w:ascii="Book Antiqua" w:hAnsi="Book Antiqua" w:cs="Arial"/>
          <w:noProof/>
        </w:rPr>
      </w:pPr>
    </w:p>
    <w:p w:rsidR="000A103F" w:rsidRPr="00664A42" w:rsidRDefault="000A103F" w:rsidP="003B01FB">
      <w:pPr>
        <w:widowControl w:val="0"/>
        <w:autoSpaceDE w:val="0"/>
        <w:autoSpaceDN w:val="0"/>
        <w:adjustRightInd w:val="0"/>
        <w:spacing w:line="360" w:lineRule="auto"/>
        <w:jc w:val="both"/>
        <w:rPr>
          <w:rFonts w:ascii="Book Antiqua" w:hAnsi="Book Antiqua" w:cs="Arial"/>
          <w:noProof/>
        </w:rPr>
      </w:pPr>
      <w:r w:rsidRPr="00664A42">
        <w:rPr>
          <w:rFonts w:ascii="Book Antiqua" w:hAnsi="Book Antiqua" w:cs="Arial"/>
          <w:noProof/>
          <w:lang w:val="en-US" w:eastAsia="zh-CN"/>
        </w:rPr>
        <w:lastRenderedPageBreak/>
        <w:drawing>
          <wp:inline distT="0" distB="0" distL="0" distR="0" wp14:anchorId="799EF42E" wp14:editId="620A89BC">
            <wp:extent cx="5038725" cy="4933950"/>
            <wp:effectExtent l="0" t="0" r="0" b="0"/>
            <wp:docPr id="6" name="Kép 6" descr="Fig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3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25" cy="4933950"/>
                    </a:xfrm>
                    <a:prstGeom prst="rect">
                      <a:avLst/>
                    </a:prstGeom>
                    <a:noFill/>
                    <a:ln>
                      <a:noFill/>
                    </a:ln>
                  </pic:spPr>
                </pic:pic>
              </a:graphicData>
            </a:graphic>
          </wp:inline>
        </w:drawing>
      </w:r>
    </w:p>
    <w:p w:rsidR="00615305" w:rsidRPr="00615305" w:rsidRDefault="00615305" w:rsidP="003B01FB">
      <w:pPr>
        <w:autoSpaceDE w:val="0"/>
        <w:autoSpaceDN w:val="0"/>
        <w:adjustRightInd w:val="0"/>
        <w:spacing w:line="360" w:lineRule="auto"/>
        <w:jc w:val="both"/>
        <w:rPr>
          <w:rFonts w:ascii="Book Antiqua" w:eastAsia="MS Mincho" w:hAnsi="Book Antiqua" w:cs="Arial"/>
          <w:lang w:val="en-GB" w:eastAsia="zh-CN"/>
        </w:rPr>
      </w:pPr>
      <w:r>
        <w:rPr>
          <w:rFonts w:ascii="Book Antiqua" w:eastAsia="MS Mincho" w:hAnsi="Book Antiqua" w:cs="Arial"/>
          <w:b/>
          <w:lang w:val="en-GB" w:eastAsia="en-US"/>
        </w:rPr>
        <w:t>Figure 3</w:t>
      </w:r>
      <w:r w:rsidRPr="00664A42">
        <w:rPr>
          <w:rFonts w:ascii="Book Antiqua" w:eastAsia="MS Mincho" w:hAnsi="Book Antiqua" w:cs="Arial"/>
          <w:b/>
          <w:lang w:val="en-GB" w:eastAsia="en-US"/>
        </w:rPr>
        <w:t xml:space="preserve"> Receiver-operating characteristic curves of presepsin, procalcitonin and C-reactive protein for the identification of bacterial infection overall (A) or bacterial infection complicated by organ failure (B). </w:t>
      </w:r>
      <w:r w:rsidRPr="00664A42">
        <w:rPr>
          <w:rFonts w:ascii="Book Antiqua" w:eastAsia="MS Mincho" w:hAnsi="Book Antiqua" w:cs="Arial"/>
          <w:lang w:val="en-GB" w:eastAsia="en-US"/>
        </w:rPr>
        <w:t>ROC analysis were performed (A) in the whole cohort (</w:t>
      </w:r>
      <w:r w:rsidRPr="00615305">
        <w:rPr>
          <w:rFonts w:ascii="Book Antiqua" w:eastAsia="MS Mincho" w:hAnsi="Book Antiqua" w:cs="Arial"/>
          <w:i/>
          <w:lang w:val="en-GB" w:eastAsia="en-US"/>
        </w:rPr>
        <w:t>n</w:t>
      </w:r>
      <w:r w:rsidRPr="00615305">
        <w:rPr>
          <w:rFonts w:ascii="Book Antiqua" w:eastAsia="MS Mincho" w:hAnsi="Book Antiqua" w:cs="Arial" w:hint="eastAsia"/>
          <w:i/>
          <w:lang w:val="en-GB" w:eastAsia="zh-CN"/>
        </w:rPr>
        <w:t xml:space="preserve"> </w:t>
      </w:r>
      <w:r w:rsidRPr="00664A42">
        <w:rPr>
          <w:rFonts w:ascii="Book Antiqua" w:eastAsia="MS Mincho" w:hAnsi="Book Antiqua" w:cs="Arial"/>
          <w:lang w:val="en-GB" w:eastAsia="en-US"/>
        </w:rPr>
        <w:t>=</w:t>
      </w:r>
      <w:r>
        <w:rPr>
          <w:rFonts w:ascii="Book Antiqua" w:eastAsia="MS Mincho" w:hAnsi="Book Antiqua" w:cs="Arial" w:hint="eastAsia"/>
          <w:lang w:val="en-GB" w:eastAsia="zh-CN"/>
        </w:rPr>
        <w:t xml:space="preserve"> </w:t>
      </w:r>
      <w:r w:rsidRPr="00664A42">
        <w:rPr>
          <w:rFonts w:ascii="Book Antiqua" w:eastAsia="MS Mincho" w:hAnsi="Book Antiqua" w:cs="Arial"/>
          <w:lang w:val="en-GB" w:eastAsia="en-US"/>
        </w:rPr>
        <w:t xml:space="preserve">216) </w:t>
      </w:r>
      <w:r w:rsidRPr="00664A42">
        <w:rPr>
          <w:rFonts w:ascii="Book Antiqua" w:hAnsi="Book Antiqua"/>
        </w:rPr>
        <w:t xml:space="preserve">or (B) </w:t>
      </w:r>
      <w:r w:rsidRPr="00664A42">
        <w:rPr>
          <w:rFonts w:ascii="Book Antiqua" w:eastAsia="MS Mincho" w:hAnsi="Book Antiqua" w:cs="Arial"/>
          <w:lang w:val="en-GB" w:eastAsia="en-US"/>
        </w:rPr>
        <w:t xml:space="preserve">in </w:t>
      </w:r>
      <w:r w:rsidRPr="00664A42">
        <w:rPr>
          <w:rFonts w:ascii="Book Antiqua" w:hAnsi="Book Antiqua"/>
        </w:rPr>
        <w:t>patients with bacterial infection (</w:t>
      </w:r>
      <w:r w:rsidRPr="00615305">
        <w:rPr>
          <w:rFonts w:ascii="Book Antiqua" w:eastAsia="MS Mincho" w:hAnsi="Book Antiqua" w:cs="Arial"/>
          <w:i/>
          <w:lang w:val="en-GB" w:eastAsia="en-US"/>
        </w:rPr>
        <w:t>n</w:t>
      </w:r>
      <w:r w:rsidRPr="00615305">
        <w:rPr>
          <w:rFonts w:ascii="Book Antiqua" w:eastAsia="MS Mincho" w:hAnsi="Book Antiqua" w:cs="Arial" w:hint="eastAsia"/>
          <w:i/>
          <w:lang w:val="en-GB" w:eastAsia="zh-CN"/>
        </w:rPr>
        <w:t xml:space="preserve"> </w:t>
      </w:r>
      <w:r w:rsidRPr="00664A42">
        <w:rPr>
          <w:rFonts w:ascii="Book Antiqua" w:hAnsi="Book Antiqua"/>
        </w:rPr>
        <w:t>=</w:t>
      </w:r>
      <w:r>
        <w:rPr>
          <w:rFonts w:ascii="Book Antiqua" w:hAnsi="Book Antiqua" w:hint="eastAsia"/>
          <w:lang w:eastAsia="zh-CN"/>
        </w:rPr>
        <w:t xml:space="preserve"> </w:t>
      </w:r>
      <w:r w:rsidRPr="00664A42">
        <w:rPr>
          <w:rFonts w:ascii="Book Antiqua" w:hAnsi="Book Antiqua"/>
        </w:rPr>
        <w:t>75).</w:t>
      </w:r>
      <w:r w:rsidRPr="00664A42">
        <w:rPr>
          <w:rFonts w:ascii="Book Antiqua" w:eastAsia="MS Mincho" w:hAnsi="Book Antiqua" w:cs="Arial"/>
          <w:lang w:val="en-GB" w:eastAsia="en-US"/>
        </w:rPr>
        <w:t xml:space="preserve"> The control group comprised (A) patients without bacterial infection (</w:t>
      </w:r>
      <w:r w:rsidRPr="00615305">
        <w:rPr>
          <w:rFonts w:ascii="Book Antiqua" w:eastAsia="MS Mincho" w:hAnsi="Book Antiqua" w:cs="Arial"/>
          <w:i/>
          <w:lang w:val="en-GB" w:eastAsia="en-US"/>
        </w:rPr>
        <w:t>n</w:t>
      </w:r>
      <w:r w:rsidRPr="00615305">
        <w:rPr>
          <w:rFonts w:ascii="Book Antiqua" w:eastAsia="MS Mincho" w:hAnsi="Book Antiqua" w:cs="Arial" w:hint="eastAsia"/>
          <w:i/>
          <w:lang w:val="en-GB" w:eastAsia="zh-CN"/>
        </w:rPr>
        <w:t xml:space="preserve"> </w:t>
      </w:r>
      <w:r w:rsidRPr="00664A42">
        <w:rPr>
          <w:rFonts w:ascii="Book Antiqua" w:eastAsia="MS Mincho" w:hAnsi="Book Antiqua" w:cs="Arial"/>
          <w:lang w:val="en-GB" w:eastAsia="en-US"/>
        </w:rPr>
        <w:t>=</w:t>
      </w:r>
      <w:r>
        <w:rPr>
          <w:rFonts w:ascii="Book Antiqua" w:eastAsia="MS Mincho" w:hAnsi="Book Antiqua" w:cs="Arial" w:hint="eastAsia"/>
          <w:lang w:val="en-GB" w:eastAsia="zh-CN"/>
        </w:rPr>
        <w:t xml:space="preserve"> </w:t>
      </w:r>
      <w:r w:rsidRPr="00664A42">
        <w:rPr>
          <w:rFonts w:ascii="Book Antiqua" w:eastAsia="MS Mincho" w:hAnsi="Book Antiqua" w:cs="Arial"/>
          <w:lang w:val="en-GB" w:eastAsia="en-US"/>
        </w:rPr>
        <w:t>141), or (B) patients with bacterial infection without organ failure (</w:t>
      </w:r>
      <w:r w:rsidRPr="00615305">
        <w:rPr>
          <w:rFonts w:ascii="Book Antiqua" w:eastAsia="MS Mincho" w:hAnsi="Book Antiqua" w:cs="Arial"/>
          <w:i/>
          <w:lang w:val="en-GB" w:eastAsia="en-US"/>
        </w:rPr>
        <w:t>n</w:t>
      </w:r>
      <w:r w:rsidRPr="00615305">
        <w:rPr>
          <w:rFonts w:ascii="Book Antiqua" w:eastAsia="MS Mincho" w:hAnsi="Book Antiqua" w:cs="Arial" w:hint="eastAsia"/>
          <w:i/>
          <w:lang w:val="en-GB" w:eastAsia="zh-CN"/>
        </w:rPr>
        <w:t xml:space="preserve"> </w:t>
      </w:r>
      <w:r w:rsidRPr="00664A42">
        <w:rPr>
          <w:rFonts w:ascii="Book Antiqua" w:eastAsia="MS Mincho" w:hAnsi="Book Antiqua" w:cs="Arial"/>
          <w:lang w:val="en-GB" w:eastAsia="en-US"/>
        </w:rPr>
        <w:t>=</w:t>
      </w:r>
      <w:r>
        <w:rPr>
          <w:rFonts w:ascii="Book Antiqua" w:eastAsia="MS Mincho" w:hAnsi="Book Antiqua" w:cs="Arial" w:hint="eastAsia"/>
          <w:lang w:val="en-GB" w:eastAsia="zh-CN"/>
        </w:rPr>
        <w:t xml:space="preserve"> </w:t>
      </w:r>
      <w:r>
        <w:rPr>
          <w:rFonts w:ascii="Book Antiqua" w:eastAsia="MS Mincho" w:hAnsi="Book Antiqua" w:cs="Arial"/>
          <w:lang w:val="en-GB" w:eastAsia="en-US"/>
        </w:rPr>
        <w:t>51).</w:t>
      </w:r>
      <w:r>
        <w:rPr>
          <w:rFonts w:ascii="Book Antiqua" w:eastAsiaTheme="minorEastAsia" w:hAnsi="Book Antiqua" w:cs="Arial" w:hint="eastAsia"/>
          <w:lang w:val="en-GB" w:eastAsia="zh-CN"/>
        </w:rPr>
        <w:t xml:space="preserve"> </w:t>
      </w:r>
      <w:r w:rsidRPr="00664A42">
        <w:rPr>
          <w:rFonts w:ascii="Book Antiqua" w:eastAsia="MS Mincho" w:hAnsi="Book Antiqua" w:cs="Arial"/>
          <w:lang w:val="en-GB" w:eastAsia="en-US"/>
        </w:rPr>
        <w:t>AUC: Area under curve</w:t>
      </w:r>
      <w:r>
        <w:rPr>
          <w:rFonts w:ascii="Book Antiqua" w:eastAsia="MS Mincho" w:hAnsi="Book Antiqua" w:hint="eastAsia"/>
          <w:lang w:eastAsia="zh-CN"/>
        </w:rPr>
        <w:t>;</w:t>
      </w:r>
      <w:r w:rsidRPr="00664A42">
        <w:rPr>
          <w:rFonts w:ascii="Book Antiqua" w:eastAsia="MS Mincho" w:hAnsi="Book Antiqua" w:cs="Arial"/>
          <w:lang w:val="en-GB" w:eastAsia="en-US"/>
        </w:rPr>
        <w:t xml:space="preserve"> CI: Confidence interval</w:t>
      </w:r>
      <w:r>
        <w:rPr>
          <w:rFonts w:ascii="Book Antiqua" w:eastAsia="MS Mincho" w:hAnsi="Book Antiqua" w:hint="eastAsia"/>
          <w:lang w:eastAsia="zh-CN"/>
        </w:rPr>
        <w:t xml:space="preserve">; </w:t>
      </w:r>
      <w:r w:rsidRPr="00664A42">
        <w:rPr>
          <w:rFonts w:ascii="Book Antiqua" w:eastAsia="MS Mincho" w:hAnsi="Book Antiqua"/>
          <w:lang w:eastAsia="en-US"/>
        </w:rPr>
        <w:t>CRP: C-reactive protein</w:t>
      </w:r>
      <w:r>
        <w:rPr>
          <w:rFonts w:ascii="Book Antiqua" w:eastAsia="MS Mincho" w:hAnsi="Book Antiqua" w:hint="eastAsia"/>
          <w:lang w:eastAsia="zh-CN"/>
        </w:rPr>
        <w:t>;</w:t>
      </w:r>
      <w:r w:rsidRPr="00664A42">
        <w:rPr>
          <w:rFonts w:ascii="Book Antiqua" w:eastAsia="MS Mincho" w:hAnsi="Book Antiqua"/>
          <w:lang w:eastAsia="en-US"/>
        </w:rPr>
        <w:t xml:space="preserve"> PCT: Procalcitonin</w:t>
      </w:r>
      <w:r>
        <w:rPr>
          <w:rFonts w:ascii="Book Antiqua" w:eastAsia="MS Mincho" w:hAnsi="Book Antiqua" w:hint="eastAsia"/>
          <w:lang w:eastAsia="zh-CN"/>
        </w:rPr>
        <w:t>.</w:t>
      </w:r>
    </w:p>
    <w:p w:rsidR="00615305" w:rsidRPr="00664A42" w:rsidRDefault="00615305" w:rsidP="003B01FB">
      <w:pPr>
        <w:widowControl w:val="0"/>
        <w:autoSpaceDE w:val="0"/>
        <w:autoSpaceDN w:val="0"/>
        <w:adjustRightInd w:val="0"/>
        <w:spacing w:line="360" w:lineRule="auto"/>
        <w:jc w:val="both"/>
        <w:rPr>
          <w:rFonts w:ascii="Book Antiqua" w:hAnsi="Book Antiqua" w:cs="Arial"/>
          <w:noProof/>
        </w:rPr>
      </w:pPr>
    </w:p>
    <w:p w:rsidR="00615305" w:rsidRPr="00664A42" w:rsidRDefault="00615305" w:rsidP="003B01FB">
      <w:pPr>
        <w:widowControl w:val="0"/>
        <w:autoSpaceDE w:val="0"/>
        <w:autoSpaceDN w:val="0"/>
        <w:adjustRightInd w:val="0"/>
        <w:spacing w:line="360" w:lineRule="auto"/>
        <w:jc w:val="both"/>
        <w:rPr>
          <w:rFonts w:ascii="Book Antiqua" w:hAnsi="Book Antiqua" w:cs="Arial"/>
          <w:noProof/>
        </w:rPr>
      </w:pPr>
    </w:p>
    <w:p w:rsidR="000A103F" w:rsidRPr="00664A42" w:rsidRDefault="000A103F" w:rsidP="003B01FB">
      <w:pPr>
        <w:widowControl w:val="0"/>
        <w:autoSpaceDE w:val="0"/>
        <w:autoSpaceDN w:val="0"/>
        <w:adjustRightInd w:val="0"/>
        <w:spacing w:line="360" w:lineRule="auto"/>
        <w:jc w:val="both"/>
        <w:rPr>
          <w:rFonts w:ascii="Book Antiqua" w:hAnsi="Book Antiqua" w:cs="Arial"/>
          <w:lang w:val="en-GB"/>
        </w:rPr>
      </w:pPr>
    </w:p>
    <w:p w:rsidR="000A103F" w:rsidRPr="00664A42" w:rsidRDefault="000A103F" w:rsidP="003B01FB">
      <w:pPr>
        <w:widowControl w:val="0"/>
        <w:autoSpaceDE w:val="0"/>
        <w:autoSpaceDN w:val="0"/>
        <w:adjustRightInd w:val="0"/>
        <w:spacing w:line="480" w:lineRule="auto"/>
        <w:ind w:left="640" w:hanging="640"/>
        <w:jc w:val="both"/>
        <w:rPr>
          <w:rFonts w:ascii="Book Antiqua" w:eastAsiaTheme="minorEastAsia" w:hAnsi="Book Antiqua"/>
          <w:b/>
          <w:lang w:val="en-GB" w:eastAsia="en-US"/>
        </w:rPr>
      </w:pPr>
    </w:p>
    <w:p w:rsidR="006364D7" w:rsidRPr="00664A42" w:rsidRDefault="006364D7" w:rsidP="003B01FB">
      <w:pPr>
        <w:jc w:val="both"/>
        <w:rPr>
          <w:rFonts w:ascii="Book Antiqua" w:hAnsi="Book Antiqua"/>
        </w:rPr>
      </w:pPr>
    </w:p>
    <w:sectPr w:rsidR="006364D7" w:rsidRPr="00664A42" w:rsidSect="00E57C92">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857" w:rsidRDefault="00AD2857">
      <w:r>
        <w:separator/>
      </w:r>
    </w:p>
  </w:endnote>
  <w:endnote w:type="continuationSeparator" w:id="0">
    <w:p w:rsidR="00AD2857" w:rsidRDefault="00AD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Lucida Grande">
    <w:charset w:val="00"/>
    <w:family w:val="auto"/>
    <w:pitch w:val="variable"/>
    <w:sig w:usb0="A1002AE7" w:usb1="C0000063" w:usb2="00000038" w:usb3="00000000" w:csb0="000000BF" w:csb1="00000000"/>
  </w:font>
  <w:font w:name="Times">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857" w:rsidRDefault="00AD2857">
      <w:r>
        <w:separator/>
      </w:r>
    </w:p>
  </w:footnote>
  <w:footnote w:type="continuationSeparator" w:id="0">
    <w:p w:rsidR="00AD2857" w:rsidRDefault="00AD2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B" w:rsidRDefault="00125D0B" w:rsidP="00E57C9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5D0B" w:rsidRDefault="00125D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B" w:rsidRPr="00D556A4" w:rsidRDefault="00125D0B" w:rsidP="00E57C92">
    <w:pPr>
      <w:pStyle w:val="Header"/>
      <w:framePr w:wrap="around" w:vAnchor="text" w:hAnchor="margin" w:xAlign="center" w:y="1"/>
      <w:rPr>
        <w:rStyle w:val="PageNumber"/>
        <w:rFonts w:ascii="Book Antiqua" w:hAnsi="Book Antiqua"/>
      </w:rPr>
    </w:pPr>
    <w:r>
      <w:rPr>
        <w:rStyle w:val="PageNumber"/>
      </w:rPr>
      <w:fldChar w:fldCharType="begin"/>
    </w:r>
    <w:r w:rsidRPr="00007736">
      <w:rPr>
        <w:rStyle w:val="PageNumber"/>
      </w:rPr>
      <w:instrText xml:space="preserve">PAGE  </w:instrText>
    </w:r>
    <w:r>
      <w:rPr>
        <w:rStyle w:val="PageNumber"/>
      </w:rPr>
      <w:fldChar w:fldCharType="separate"/>
    </w:r>
    <w:r w:rsidR="000A5F1E">
      <w:rPr>
        <w:rStyle w:val="PageNumber"/>
        <w:noProof/>
      </w:rPr>
      <w:t>51</w:t>
    </w:r>
    <w:r>
      <w:rPr>
        <w:rStyle w:val="PageNumber"/>
      </w:rPr>
      <w:fldChar w:fldCharType="end"/>
    </w:r>
  </w:p>
  <w:p w:rsidR="00125D0B" w:rsidRPr="00D556A4" w:rsidRDefault="00125D0B">
    <w:pPr>
      <w:pStyle w:val="Header"/>
      <w:rPr>
        <w:rFonts w:ascii="Book Antiqua" w:hAnsi="Book Antiqua"/>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F5C57"/>
    <w:multiLevelType w:val="hybridMultilevel"/>
    <w:tmpl w:val="0F36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F706E"/>
    <w:multiLevelType w:val="hybridMultilevel"/>
    <w:tmpl w:val="47FC2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51785E"/>
    <w:multiLevelType w:val="hybridMultilevel"/>
    <w:tmpl w:val="FB40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709B1"/>
    <w:multiLevelType w:val="hybridMultilevel"/>
    <w:tmpl w:val="4548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D0496"/>
    <w:multiLevelType w:val="hybridMultilevel"/>
    <w:tmpl w:val="604A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F1D6F"/>
    <w:multiLevelType w:val="hybridMultilevel"/>
    <w:tmpl w:val="9A5E77D2"/>
    <w:lvl w:ilvl="0" w:tplc="78E0AF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03F"/>
    <w:rsid w:val="000A103F"/>
    <w:rsid w:val="000A5F1E"/>
    <w:rsid w:val="00125D0B"/>
    <w:rsid w:val="00162D5F"/>
    <w:rsid w:val="001A6CCC"/>
    <w:rsid w:val="00242A36"/>
    <w:rsid w:val="00260149"/>
    <w:rsid w:val="003214E7"/>
    <w:rsid w:val="003B01FB"/>
    <w:rsid w:val="00615305"/>
    <w:rsid w:val="006364D7"/>
    <w:rsid w:val="00645FE2"/>
    <w:rsid w:val="00664A42"/>
    <w:rsid w:val="00743A2B"/>
    <w:rsid w:val="00750080"/>
    <w:rsid w:val="00787FAC"/>
    <w:rsid w:val="0089422B"/>
    <w:rsid w:val="00AD2857"/>
    <w:rsid w:val="00AD3D8A"/>
    <w:rsid w:val="00B97587"/>
    <w:rsid w:val="00CA0A95"/>
    <w:rsid w:val="00CE510E"/>
    <w:rsid w:val="00E57C92"/>
    <w:rsid w:val="00FD2A83"/>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7C9835-4F01-4BC5-833D-DD50886C3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03F"/>
    <w:pPr>
      <w:spacing w:after="0" w:line="240" w:lineRule="auto"/>
    </w:pPr>
    <w:rPr>
      <w:rFonts w:ascii="Times New Roman" w:eastAsia="Times New Roman" w:hAnsi="Times New Roman" w:cs="Times New Roman"/>
      <w:sz w:val="24"/>
      <w:szCs w:val="24"/>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A103F"/>
    <w:pPr>
      <w:jc w:val="both"/>
    </w:pPr>
    <w:rPr>
      <w:b/>
      <w:bCs/>
      <w:lang w:val="en-GB"/>
    </w:rPr>
  </w:style>
  <w:style w:type="character" w:customStyle="1" w:styleId="BodyTextChar">
    <w:name w:val="Body Text Char"/>
    <w:basedOn w:val="DefaultParagraphFont"/>
    <w:link w:val="BodyText"/>
    <w:rsid w:val="000A103F"/>
    <w:rPr>
      <w:rFonts w:ascii="Times New Roman" w:eastAsia="Times New Roman" w:hAnsi="Times New Roman" w:cs="Times New Roman"/>
      <w:b/>
      <w:bCs/>
      <w:sz w:val="24"/>
      <w:szCs w:val="24"/>
      <w:lang w:val="en-GB" w:eastAsia="hu-HU"/>
    </w:rPr>
  </w:style>
  <w:style w:type="character" w:styleId="Hyperlink">
    <w:name w:val="Hyperlink"/>
    <w:basedOn w:val="DefaultParagraphFont"/>
    <w:uiPriority w:val="99"/>
    <w:unhideWhenUsed/>
    <w:rsid w:val="000A103F"/>
    <w:rPr>
      <w:color w:val="0563C1" w:themeColor="hyperlink"/>
      <w:u w:val="single"/>
    </w:rPr>
  </w:style>
  <w:style w:type="paragraph" w:styleId="FootnoteText">
    <w:name w:val="footnote text"/>
    <w:basedOn w:val="Normal"/>
    <w:link w:val="FootnoteTextChar"/>
    <w:uiPriority w:val="99"/>
    <w:unhideWhenUsed/>
    <w:rsid w:val="000A103F"/>
  </w:style>
  <w:style w:type="character" w:customStyle="1" w:styleId="FootnoteTextChar">
    <w:name w:val="Footnote Text Char"/>
    <w:basedOn w:val="DefaultParagraphFont"/>
    <w:link w:val="FootnoteText"/>
    <w:uiPriority w:val="99"/>
    <w:rsid w:val="000A103F"/>
    <w:rPr>
      <w:rFonts w:ascii="Times New Roman" w:eastAsia="Times New Roman" w:hAnsi="Times New Roman" w:cs="Times New Roman"/>
      <w:sz w:val="24"/>
      <w:szCs w:val="24"/>
      <w:lang w:eastAsia="hu-HU"/>
    </w:rPr>
  </w:style>
  <w:style w:type="character" w:styleId="FootnoteReference">
    <w:name w:val="footnote reference"/>
    <w:basedOn w:val="DefaultParagraphFont"/>
    <w:uiPriority w:val="99"/>
    <w:unhideWhenUsed/>
    <w:rsid w:val="000A103F"/>
    <w:rPr>
      <w:vertAlign w:val="superscript"/>
    </w:rPr>
  </w:style>
  <w:style w:type="paragraph" w:styleId="EndnoteText">
    <w:name w:val="endnote text"/>
    <w:basedOn w:val="Normal"/>
    <w:link w:val="EndnoteTextChar"/>
    <w:uiPriority w:val="99"/>
    <w:unhideWhenUsed/>
    <w:rsid w:val="000A103F"/>
  </w:style>
  <w:style w:type="character" w:customStyle="1" w:styleId="EndnoteTextChar">
    <w:name w:val="Endnote Text Char"/>
    <w:basedOn w:val="DefaultParagraphFont"/>
    <w:link w:val="EndnoteText"/>
    <w:uiPriority w:val="99"/>
    <w:rsid w:val="000A103F"/>
    <w:rPr>
      <w:rFonts w:ascii="Times New Roman" w:eastAsia="Times New Roman" w:hAnsi="Times New Roman" w:cs="Times New Roman"/>
      <w:sz w:val="24"/>
      <w:szCs w:val="24"/>
      <w:lang w:eastAsia="hu-HU"/>
    </w:rPr>
  </w:style>
  <w:style w:type="character" w:styleId="EndnoteReference">
    <w:name w:val="endnote reference"/>
    <w:basedOn w:val="DefaultParagraphFont"/>
    <w:uiPriority w:val="99"/>
    <w:unhideWhenUsed/>
    <w:rsid w:val="000A103F"/>
    <w:rPr>
      <w:vertAlign w:val="superscript"/>
    </w:rPr>
  </w:style>
  <w:style w:type="paragraph" w:styleId="ListParagraph">
    <w:name w:val="List Paragraph"/>
    <w:basedOn w:val="Normal"/>
    <w:uiPriority w:val="34"/>
    <w:qFormat/>
    <w:rsid w:val="000A103F"/>
    <w:pPr>
      <w:ind w:left="720"/>
      <w:contextualSpacing/>
    </w:pPr>
  </w:style>
  <w:style w:type="table" w:styleId="TableGrid">
    <w:name w:val="Table Grid"/>
    <w:basedOn w:val="TableNormal"/>
    <w:uiPriority w:val="59"/>
    <w:rsid w:val="000A103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103F"/>
    <w:pPr>
      <w:tabs>
        <w:tab w:val="center" w:pos="4153"/>
        <w:tab w:val="right" w:pos="8306"/>
      </w:tabs>
    </w:pPr>
  </w:style>
  <w:style w:type="character" w:customStyle="1" w:styleId="HeaderChar">
    <w:name w:val="Header Char"/>
    <w:basedOn w:val="DefaultParagraphFont"/>
    <w:link w:val="Header"/>
    <w:uiPriority w:val="99"/>
    <w:rsid w:val="000A103F"/>
    <w:rPr>
      <w:rFonts w:ascii="Times New Roman" w:eastAsia="Times New Roman" w:hAnsi="Times New Roman" w:cs="Times New Roman"/>
      <w:sz w:val="24"/>
      <w:szCs w:val="24"/>
      <w:lang w:eastAsia="hu-HU"/>
    </w:rPr>
  </w:style>
  <w:style w:type="character" w:styleId="PageNumber">
    <w:name w:val="page number"/>
    <w:basedOn w:val="DefaultParagraphFont"/>
    <w:uiPriority w:val="99"/>
    <w:semiHidden/>
    <w:unhideWhenUsed/>
    <w:rsid w:val="000A103F"/>
  </w:style>
  <w:style w:type="paragraph" w:styleId="BalloonText">
    <w:name w:val="Balloon Text"/>
    <w:basedOn w:val="Normal"/>
    <w:link w:val="BalloonTextChar"/>
    <w:uiPriority w:val="99"/>
    <w:semiHidden/>
    <w:unhideWhenUsed/>
    <w:rsid w:val="000A10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03F"/>
    <w:rPr>
      <w:rFonts w:ascii="Lucida Grande" w:eastAsia="Times New Roman" w:hAnsi="Lucida Grande" w:cs="Lucida Grande"/>
      <w:sz w:val="18"/>
      <w:szCs w:val="18"/>
      <w:lang w:eastAsia="hu-HU"/>
    </w:rPr>
  </w:style>
  <w:style w:type="paragraph" w:styleId="NoSpacing">
    <w:name w:val="No Spacing"/>
    <w:uiPriority w:val="1"/>
    <w:qFormat/>
    <w:rsid w:val="000A103F"/>
    <w:pPr>
      <w:spacing w:after="0" w:line="240" w:lineRule="auto"/>
    </w:pPr>
    <w:rPr>
      <w:rFonts w:ascii="Times New Roman" w:eastAsia="Times New Roman" w:hAnsi="Times New Roman" w:cs="Times New Roman"/>
      <w:sz w:val="24"/>
      <w:szCs w:val="24"/>
      <w:lang w:eastAsia="hu-HU"/>
    </w:rPr>
  </w:style>
  <w:style w:type="paragraph" w:styleId="Footer">
    <w:name w:val="footer"/>
    <w:basedOn w:val="Normal"/>
    <w:link w:val="FooterChar"/>
    <w:uiPriority w:val="99"/>
    <w:unhideWhenUsed/>
    <w:rsid w:val="000A103F"/>
    <w:pPr>
      <w:tabs>
        <w:tab w:val="center" w:pos="4153"/>
        <w:tab w:val="right" w:pos="8306"/>
      </w:tabs>
    </w:pPr>
  </w:style>
  <w:style w:type="character" w:customStyle="1" w:styleId="FooterChar">
    <w:name w:val="Footer Char"/>
    <w:basedOn w:val="DefaultParagraphFont"/>
    <w:link w:val="Footer"/>
    <w:uiPriority w:val="99"/>
    <w:rsid w:val="000A103F"/>
    <w:rPr>
      <w:rFonts w:ascii="Times New Roman" w:eastAsia="Times New Roman" w:hAnsi="Times New Roman" w:cs="Times New Roman"/>
      <w:sz w:val="24"/>
      <w:szCs w:val="24"/>
      <w:lang w:eastAsia="hu-HU"/>
    </w:rPr>
  </w:style>
  <w:style w:type="character" w:styleId="CommentReference">
    <w:name w:val="annotation reference"/>
    <w:basedOn w:val="DefaultParagraphFont"/>
    <w:unhideWhenUsed/>
    <w:rsid w:val="000A103F"/>
    <w:rPr>
      <w:sz w:val="18"/>
      <w:szCs w:val="18"/>
    </w:rPr>
  </w:style>
  <w:style w:type="paragraph" w:styleId="CommentText">
    <w:name w:val="annotation text"/>
    <w:basedOn w:val="Normal"/>
    <w:link w:val="CommentTextChar"/>
    <w:unhideWhenUsed/>
    <w:rsid w:val="000A103F"/>
  </w:style>
  <w:style w:type="character" w:customStyle="1" w:styleId="CommentTextChar">
    <w:name w:val="Comment Text Char"/>
    <w:basedOn w:val="DefaultParagraphFont"/>
    <w:link w:val="CommentText"/>
    <w:rsid w:val="000A103F"/>
    <w:rPr>
      <w:rFonts w:ascii="Times New Roman" w:eastAsia="Times New Roman" w:hAnsi="Times New Roman" w:cs="Times New Roman"/>
      <w:sz w:val="24"/>
      <w:szCs w:val="24"/>
      <w:lang w:eastAsia="hu-HU"/>
    </w:rPr>
  </w:style>
  <w:style w:type="paragraph" w:styleId="CommentSubject">
    <w:name w:val="annotation subject"/>
    <w:basedOn w:val="CommentText"/>
    <w:next w:val="CommentText"/>
    <w:link w:val="CommentSubjectChar"/>
    <w:uiPriority w:val="99"/>
    <w:semiHidden/>
    <w:unhideWhenUsed/>
    <w:rsid w:val="000A103F"/>
    <w:rPr>
      <w:b/>
      <w:bCs/>
      <w:sz w:val="20"/>
      <w:szCs w:val="20"/>
    </w:rPr>
  </w:style>
  <w:style w:type="character" w:customStyle="1" w:styleId="CommentSubjectChar">
    <w:name w:val="Comment Subject Char"/>
    <w:basedOn w:val="CommentTextChar"/>
    <w:link w:val="CommentSubject"/>
    <w:uiPriority w:val="99"/>
    <w:semiHidden/>
    <w:rsid w:val="000A103F"/>
    <w:rPr>
      <w:rFonts w:ascii="Times New Roman" w:eastAsia="Times New Roman" w:hAnsi="Times New Roman" w:cs="Times New Roman"/>
      <w:b/>
      <w:bCs/>
      <w:sz w:val="20"/>
      <w:szCs w:val="20"/>
      <w:lang w:eastAsia="hu-HU"/>
    </w:rPr>
  </w:style>
  <w:style w:type="paragraph" w:styleId="Revision">
    <w:name w:val="Revision"/>
    <w:hidden/>
    <w:uiPriority w:val="99"/>
    <w:semiHidden/>
    <w:rsid w:val="000A103F"/>
    <w:pPr>
      <w:spacing w:after="0"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DefaultParagraphFont"/>
    <w:rsid w:val="000A103F"/>
  </w:style>
  <w:style w:type="character" w:customStyle="1" w:styleId="il">
    <w:name w:val="il"/>
    <w:basedOn w:val="DefaultParagraphFont"/>
    <w:rsid w:val="000A103F"/>
  </w:style>
  <w:style w:type="paragraph" w:styleId="NormalWeb">
    <w:name w:val="Normal (Web)"/>
    <w:basedOn w:val="Normal"/>
    <w:uiPriority w:val="99"/>
    <w:unhideWhenUsed/>
    <w:rsid w:val="000A103F"/>
    <w:pPr>
      <w:spacing w:before="100" w:beforeAutospacing="1" w:after="100" w:afterAutospacing="1"/>
    </w:pPr>
    <w:rPr>
      <w:rFonts w:ascii="Times" w:eastAsiaTheme="minorEastAsia" w:hAnsi="Times"/>
      <w:sz w:val="20"/>
      <w:szCs w:val="20"/>
      <w:lang w:eastAsia="en-US"/>
    </w:rPr>
  </w:style>
  <w:style w:type="character" w:styleId="Strong">
    <w:name w:val="Strong"/>
    <w:uiPriority w:val="22"/>
    <w:qFormat/>
    <w:rsid w:val="000A103F"/>
    <w:rPr>
      <w:b/>
      <w:bCs/>
    </w:rPr>
  </w:style>
  <w:style w:type="paragraph" w:customStyle="1" w:styleId="p0">
    <w:name w:val="p0"/>
    <w:basedOn w:val="Normal"/>
    <w:rsid w:val="000A103F"/>
    <w:pPr>
      <w:spacing w:line="240" w:lineRule="atLeast"/>
    </w:pPr>
    <w:rPr>
      <w:rFonts w:ascii="Century" w:eastAsia="SimSun" w:hAnsi="Century" w:cs="SimSun"/>
      <w:sz w:val="21"/>
      <w:szCs w:val="21"/>
      <w:lang w:val="en-US" w:eastAsia="zh-CN"/>
    </w:rPr>
  </w:style>
  <w:style w:type="character" w:customStyle="1" w:styleId="labellist1">
    <w:name w:val="label_list1"/>
    <w:rsid w:val="000A103F"/>
  </w:style>
  <w:style w:type="character" w:styleId="FollowedHyperlink">
    <w:name w:val="FollowedHyperlink"/>
    <w:basedOn w:val="DefaultParagraphFont"/>
    <w:uiPriority w:val="99"/>
    <w:semiHidden/>
    <w:unhideWhenUsed/>
    <w:rsid w:val="000A10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Neuroendocrine_cel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pp.maria@med.unideb.hu"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63149</Words>
  <Characters>359953</Characters>
  <Application>Microsoft Office Word</Application>
  <DocSecurity>0</DocSecurity>
  <Lines>2999</Lines>
  <Paragraphs>844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422258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Tamas</dc:creator>
  <cp:keywords/>
  <dc:description/>
  <cp:lastModifiedBy>LS Ma</cp:lastModifiedBy>
  <cp:revision>2</cp:revision>
  <dcterms:created xsi:type="dcterms:W3CDTF">2016-09-27T20:16:00Z</dcterms:created>
  <dcterms:modified xsi:type="dcterms:W3CDTF">2016-09-27T20:16:00Z</dcterms:modified>
</cp:coreProperties>
</file>