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30" w:rsidRDefault="00E05030" w:rsidP="00E05030">
      <w:pPr>
        <w:pStyle w:val="a3"/>
        <w:spacing w:line="360" w:lineRule="auto"/>
        <w:rPr>
          <w:rFonts w:ascii="Book Antiqua" w:eastAsia="ＭＳ ゴシック" w:hAnsi="Book Antiqua" w:cs="Times New Roman"/>
          <w:b/>
          <w:noProof/>
          <w:sz w:val="24"/>
          <w:szCs w:val="24"/>
        </w:rPr>
      </w:pPr>
      <w:r>
        <w:rPr>
          <w:rFonts w:ascii="Book Antiqua" w:eastAsia="ＭＳ ゴシック" w:hAnsi="Book Antiqua" w:cs="Times New Roman" w:hint="eastAsia"/>
          <w:b/>
          <w:noProof/>
          <w:sz w:val="24"/>
          <w:szCs w:val="24"/>
        </w:rPr>
        <w:t>SUPPLEMENTARY MATERIALS</w:t>
      </w:r>
    </w:p>
    <w:p w:rsidR="00E05030" w:rsidRDefault="00E05030" w:rsidP="00E05030">
      <w:pPr>
        <w:pStyle w:val="a3"/>
        <w:spacing w:line="360" w:lineRule="auto"/>
        <w:rPr>
          <w:rFonts w:ascii="Book Antiqua" w:eastAsia="ＭＳ ゴシック" w:hAnsi="Book Antiqua" w:cs="Times New Roman"/>
          <w:b/>
          <w:noProof/>
          <w:sz w:val="24"/>
          <w:szCs w:val="24"/>
        </w:rPr>
      </w:pPr>
    </w:p>
    <w:p w:rsidR="00E05030" w:rsidRDefault="00E05030" w:rsidP="00E05030">
      <w:pPr>
        <w:pStyle w:val="a3"/>
        <w:spacing w:line="360" w:lineRule="auto"/>
        <w:rPr>
          <w:rFonts w:ascii="Book Antiqua" w:eastAsia="ＭＳ ゴシック" w:hAnsi="Book Antiqua" w:cs="Times New Roman"/>
          <w:b/>
          <w:noProof/>
          <w:sz w:val="24"/>
          <w:szCs w:val="24"/>
        </w:rPr>
      </w:pPr>
    </w:p>
    <w:p w:rsidR="00E05030" w:rsidRPr="009820BA" w:rsidRDefault="00E05030" w:rsidP="00E05030">
      <w:pPr>
        <w:pStyle w:val="a3"/>
        <w:spacing w:line="360" w:lineRule="auto"/>
        <w:rPr>
          <w:rFonts w:ascii="Book Antiqua" w:eastAsia="ＭＳ ゴシック" w:hAnsi="Book Antiqua" w:cs="Times New Roman"/>
          <w:b/>
          <w:sz w:val="24"/>
          <w:szCs w:val="24"/>
        </w:rPr>
      </w:pPr>
      <w:r>
        <w:rPr>
          <w:rFonts w:ascii="Book Antiqua" w:eastAsia="ＭＳ ゴシック" w:hAnsi="Book Antiqua" w:cs="Times New Roman"/>
          <w:b/>
          <w:noProof/>
          <w:sz w:val="24"/>
          <w:szCs w:val="24"/>
        </w:rPr>
        <w:drawing>
          <wp:inline distT="0" distB="0" distL="0" distR="0" wp14:anchorId="11A69393" wp14:editId="3E782DF1">
            <wp:extent cx="5334000" cy="246570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uppFig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0" cy="2465705"/>
                    </a:xfrm>
                    <a:prstGeom prst="rect">
                      <a:avLst/>
                    </a:prstGeom>
                  </pic:spPr>
                </pic:pic>
              </a:graphicData>
            </a:graphic>
          </wp:inline>
        </w:drawing>
      </w:r>
    </w:p>
    <w:p w:rsidR="00E05030" w:rsidRPr="009820BA" w:rsidRDefault="00E05030" w:rsidP="00E05030">
      <w:pPr>
        <w:pStyle w:val="a3"/>
        <w:spacing w:line="360" w:lineRule="auto"/>
        <w:rPr>
          <w:rFonts w:ascii="Book Antiqua" w:eastAsia="ＭＳ ゴシック" w:hAnsi="Book Antiqua" w:cs="Times New Roman"/>
          <w:sz w:val="24"/>
          <w:szCs w:val="24"/>
        </w:rPr>
      </w:pPr>
      <w:r w:rsidRPr="009820BA">
        <w:rPr>
          <w:rFonts w:ascii="Book Antiqua" w:eastAsia="ＭＳ ゴシック" w:hAnsi="Book Antiqua" w:cs="Times New Roman"/>
          <w:sz w:val="24"/>
          <w:szCs w:val="24"/>
        </w:rPr>
        <w:t>Supplementary Figure S1</w:t>
      </w:r>
    </w:p>
    <w:p w:rsidR="00E05030" w:rsidRPr="009820BA" w:rsidRDefault="00E05030" w:rsidP="00E05030">
      <w:pPr>
        <w:pStyle w:val="a3"/>
        <w:spacing w:line="360" w:lineRule="auto"/>
        <w:rPr>
          <w:rFonts w:ascii="Book Antiqua" w:eastAsia="ＭＳ ゴシック" w:hAnsi="Book Antiqua" w:cs="Times New Roman"/>
          <w:sz w:val="24"/>
          <w:szCs w:val="24"/>
        </w:rPr>
      </w:pPr>
      <w:r w:rsidRPr="009820BA">
        <w:rPr>
          <w:rFonts w:ascii="Book Antiqua" w:eastAsia="ＭＳ ゴシック" w:hAnsi="Book Antiqua" w:cs="Times New Roman"/>
          <w:sz w:val="24"/>
          <w:szCs w:val="24"/>
        </w:rPr>
        <w:t xml:space="preserve">Specificity of anti-TRPV1 antibodies used in the present study. Immunostaining with GFAP and 2 TRPV1 antibodies in serial sections prepared from the jejunum of WT mice. These antibodies gave essentially the same immunostaining pattern. Scale bar represented 200 </w:t>
      </w:r>
      <w:proofErr w:type="spellStart"/>
      <w:r w:rsidRPr="009820BA">
        <w:rPr>
          <w:rFonts w:ascii="Book Antiqua" w:eastAsia="ＭＳ ゴシック" w:hAnsi="Book Antiqua" w:cs="Times New Roman"/>
          <w:sz w:val="24"/>
          <w:szCs w:val="24"/>
        </w:rPr>
        <w:t>μm</w:t>
      </w:r>
      <w:proofErr w:type="spellEnd"/>
      <w:r w:rsidRPr="009820BA">
        <w:rPr>
          <w:rFonts w:ascii="Book Antiqua" w:eastAsia="ＭＳ ゴシック" w:hAnsi="Book Antiqua" w:cs="Times New Roman"/>
          <w:sz w:val="24"/>
          <w:szCs w:val="24"/>
        </w:rPr>
        <w:t xml:space="preserve">. </w:t>
      </w:r>
    </w:p>
    <w:p w:rsidR="00E05030" w:rsidRDefault="00E05030" w:rsidP="00E05030">
      <w:pPr>
        <w:widowControl/>
        <w:jc w:val="left"/>
        <w:rPr>
          <w:rFonts w:ascii="Book Antiqua" w:eastAsia="ＭＳ ゴシック" w:hAnsi="Book Antiqua" w:cs="Times New Roman"/>
          <w:sz w:val="24"/>
          <w:szCs w:val="24"/>
        </w:rPr>
      </w:pPr>
      <w:r>
        <w:rPr>
          <w:rFonts w:ascii="Book Antiqua" w:eastAsia="ＭＳ ゴシック" w:hAnsi="Book Antiqua" w:cs="Times New Roman"/>
          <w:sz w:val="24"/>
          <w:szCs w:val="24"/>
        </w:rPr>
        <w:br w:type="page"/>
      </w:r>
    </w:p>
    <w:p w:rsidR="00E05030" w:rsidRPr="009820BA" w:rsidRDefault="00E05030" w:rsidP="00E05030">
      <w:pPr>
        <w:pStyle w:val="a3"/>
        <w:spacing w:line="360" w:lineRule="auto"/>
        <w:rPr>
          <w:rFonts w:ascii="Book Antiqua" w:eastAsia="ＭＳ ゴシック" w:hAnsi="Book Antiqua" w:cs="Times New Roman"/>
          <w:sz w:val="24"/>
          <w:szCs w:val="24"/>
        </w:rPr>
      </w:pPr>
      <w:r>
        <w:rPr>
          <w:rFonts w:ascii="Book Antiqua" w:eastAsia="ＭＳ ゴシック" w:hAnsi="Book Antiqua" w:cs="Times New Roman"/>
          <w:noProof/>
          <w:sz w:val="24"/>
          <w:szCs w:val="24"/>
        </w:rPr>
        <w:lastRenderedPageBreak/>
        <w:drawing>
          <wp:inline distT="0" distB="0" distL="0" distR="0" wp14:anchorId="23875197" wp14:editId="1951DBEF">
            <wp:extent cx="4867951" cy="5650301"/>
            <wp:effectExtent l="0" t="0" r="889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uppFig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0577" cy="5653349"/>
                    </a:xfrm>
                    <a:prstGeom prst="rect">
                      <a:avLst/>
                    </a:prstGeom>
                  </pic:spPr>
                </pic:pic>
              </a:graphicData>
            </a:graphic>
          </wp:inline>
        </w:drawing>
      </w:r>
    </w:p>
    <w:p w:rsidR="00E05030" w:rsidRPr="009820BA" w:rsidRDefault="00E05030" w:rsidP="00E05030">
      <w:pPr>
        <w:pStyle w:val="a3"/>
        <w:spacing w:line="360" w:lineRule="auto"/>
        <w:rPr>
          <w:rFonts w:ascii="Book Antiqua" w:eastAsia="ＭＳ ゴシック" w:hAnsi="Book Antiqua" w:cs="Times New Roman"/>
          <w:sz w:val="24"/>
          <w:szCs w:val="24"/>
        </w:rPr>
      </w:pPr>
      <w:r w:rsidRPr="009820BA">
        <w:rPr>
          <w:rFonts w:ascii="Book Antiqua" w:eastAsia="ＭＳ ゴシック" w:hAnsi="Book Antiqua" w:cs="Times New Roman"/>
          <w:sz w:val="24"/>
          <w:szCs w:val="24"/>
        </w:rPr>
        <w:t>Supplementary Figure S2</w:t>
      </w:r>
    </w:p>
    <w:p w:rsidR="00E05030" w:rsidRDefault="00E05030" w:rsidP="00E05030">
      <w:pPr>
        <w:pStyle w:val="a3"/>
        <w:spacing w:line="360" w:lineRule="auto"/>
        <w:rPr>
          <w:rFonts w:ascii="Book Antiqua" w:eastAsia="ＭＳ ゴシック" w:hAnsi="Book Antiqua" w:cs="Times New Roman"/>
          <w:sz w:val="24"/>
          <w:szCs w:val="24"/>
        </w:rPr>
      </w:pPr>
      <w:proofErr w:type="gramStart"/>
      <w:r w:rsidRPr="009820BA">
        <w:rPr>
          <w:rFonts w:ascii="Book Antiqua" w:eastAsia="ＭＳ ゴシック" w:hAnsi="Book Antiqua" w:cs="Times New Roman"/>
          <w:sz w:val="24"/>
          <w:szCs w:val="24"/>
        </w:rPr>
        <w:t>Immunocytochemistry with two anti-TRPV1 antibodies in TRPV1-expressing and control cells.</w:t>
      </w:r>
      <w:proofErr w:type="gramEnd"/>
      <w:r w:rsidRPr="009820BA">
        <w:rPr>
          <w:rFonts w:ascii="Book Antiqua" w:eastAsia="ＭＳ ゴシック" w:hAnsi="Book Antiqua" w:cs="Times New Roman"/>
          <w:sz w:val="24"/>
          <w:szCs w:val="24"/>
        </w:rPr>
        <w:t xml:space="preserve"> Recombinant rat (middle) and rat TRPV1 (right) were stably expressed in Rex293 cells. Mock-transfected control cells (left) had no TRPV1-IR signals. Nuclei were stained with DAPI. The generation and activity of the recombinant TRPV1 cells were described in our previous paper (Kubota K. et al, Am J </w:t>
      </w:r>
      <w:proofErr w:type="spellStart"/>
      <w:r w:rsidRPr="009820BA">
        <w:rPr>
          <w:rFonts w:ascii="Book Antiqua" w:eastAsia="ＭＳ ゴシック" w:hAnsi="Book Antiqua" w:cs="Times New Roman"/>
          <w:sz w:val="24"/>
          <w:szCs w:val="24"/>
        </w:rPr>
        <w:t>Phsyiol</w:t>
      </w:r>
      <w:proofErr w:type="spellEnd"/>
      <w:r w:rsidRPr="009820BA">
        <w:rPr>
          <w:rFonts w:ascii="Book Antiqua" w:eastAsia="ＭＳ ゴシック" w:hAnsi="Book Antiqua" w:cs="Times New Roman"/>
          <w:sz w:val="24"/>
          <w:szCs w:val="24"/>
        </w:rPr>
        <w:t>. 2015; 308: G579–G590).</w:t>
      </w:r>
    </w:p>
    <w:p w:rsidR="00E05030" w:rsidRDefault="00E05030" w:rsidP="00E05030">
      <w:pPr>
        <w:widowControl/>
        <w:jc w:val="left"/>
        <w:rPr>
          <w:rFonts w:ascii="Book Antiqua" w:eastAsia="ＭＳ ゴシック" w:hAnsi="Book Antiqua" w:cs="Times New Roman"/>
          <w:sz w:val="24"/>
          <w:szCs w:val="24"/>
        </w:rPr>
      </w:pPr>
      <w:r>
        <w:rPr>
          <w:rFonts w:ascii="Book Antiqua" w:eastAsia="ＭＳ ゴシック" w:hAnsi="Book Antiqua" w:cs="Times New Roman"/>
          <w:sz w:val="24"/>
          <w:szCs w:val="24"/>
        </w:rPr>
        <w:br w:type="page"/>
      </w:r>
    </w:p>
    <w:p w:rsidR="00E05030" w:rsidRPr="009820BA" w:rsidRDefault="00E05030" w:rsidP="00E05030">
      <w:pPr>
        <w:pStyle w:val="a3"/>
        <w:spacing w:line="360" w:lineRule="auto"/>
        <w:rPr>
          <w:rFonts w:ascii="Book Antiqua" w:eastAsia="ＭＳ ゴシック" w:hAnsi="Book Antiqua" w:cs="Times New Roman"/>
          <w:sz w:val="24"/>
          <w:szCs w:val="24"/>
        </w:rPr>
      </w:pPr>
      <w:r>
        <w:rPr>
          <w:rFonts w:ascii="Book Antiqua" w:eastAsia="ＭＳ ゴシック" w:hAnsi="Book Antiqua" w:cs="Times New Roman"/>
          <w:noProof/>
          <w:sz w:val="24"/>
          <w:szCs w:val="24"/>
        </w:rPr>
        <w:lastRenderedPageBreak/>
        <w:drawing>
          <wp:inline distT="0" distB="0" distL="0" distR="0" wp14:anchorId="746F1DA3" wp14:editId="65D0F0CC">
            <wp:extent cx="5334000" cy="129984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uppFigS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0" cy="1299845"/>
                    </a:xfrm>
                    <a:prstGeom prst="rect">
                      <a:avLst/>
                    </a:prstGeom>
                  </pic:spPr>
                </pic:pic>
              </a:graphicData>
            </a:graphic>
          </wp:inline>
        </w:drawing>
      </w:r>
    </w:p>
    <w:p w:rsidR="00E05030" w:rsidRPr="009820BA" w:rsidRDefault="00E05030" w:rsidP="00E05030">
      <w:pPr>
        <w:pStyle w:val="a3"/>
        <w:spacing w:line="360" w:lineRule="auto"/>
        <w:rPr>
          <w:rFonts w:ascii="Book Antiqua" w:eastAsia="ＭＳ ゴシック" w:hAnsi="Book Antiqua" w:cs="Times New Roman"/>
          <w:sz w:val="24"/>
          <w:szCs w:val="24"/>
        </w:rPr>
      </w:pPr>
      <w:r w:rsidRPr="009820BA">
        <w:rPr>
          <w:rFonts w:ascii="Book Antiqua" w:eastAsia="ＭＳ ゴシック" w:hAnsi="Book Antiqua" w:cs="Times New Roman"/>
          <w:sz w:val="24"/>
          <w:szCs w:val="24"/>
        </w:rPr>
        <w:t>Supplementary Figure S3</w:t>
      </w:r>
    </w:p>
    <w:p w:rsidR="00E05030" w:rsidRPr="009820BA" w:rsidRDefault="00E05030" w:rsidP="00E05030">
      <w:pPr>
        <w:pStyle w:val="a3"/>
        <w:spacing w:line="360" w:lineRule="auto"/>
        <w:rPr>
          <w:rFonts w:ascii="Book Antiqua" w:eastAsia="ＭＳ ゴシック" w:hAnsi="Book Antiqua" w:cs="Times New Roman"/>
          <w:sz w:val="24"/>
          <w:szCs w:val="24"/>
        </w:rPr>
      </w:pPr>
      <w:proofErr w:type="gramStart"/>
      <w:r w:rsidRPr="009820BA">
        <w:rPr>
          <w:rFonts w:ascii="Book Antiqua" w:eastAsia="ＭＳ ゴシック" w:hAnsi="Book Antiqua" w:cs="Times New Roman"/>
          <w:sz w:val="24"/>
          <w:szCs w:val="24"/>
        </w:rPr>
        <w:t>Immunostaining with αSMA and GFAP in a co-culture system of MPC and SMC.</w:t>
      </w:r>
      <w:proofErr w:type="gramEnd"/>
      <w:r w:rsidRPr="009820BA">
        <w:rPr>
          <w:rFonts w:ascii="Book Antiqua" w:eastAsia="ＭＳ ゴシック" w:hAnsi="Book Antiqua" w:cs="Times New Roman"/>
          <w:sz w:val="24"/>
          <w:szCs w:val="24"/>
        </w:rPr>
        <w:t xml:space="preserve"> The cells in the co-culture system are predominantly SMC with a small number of EGC. SMC are stained with αSMA. Nuclei were stained with DAPI. Portions of EGC are stained with GFAP. Scale bar represents 20 </w:t>
      </w:r>
      <w:proofErr w:type="spellStart"/>
      <w:r w:rsidRPr="009820BA">
        <w:rPr>
          <w:rFonts w:ascii="Book Antiqua" w:eastAsia="ＭＳ ゴシック" w:hAnsi="Book Antiqua" w:cs="Times New Roman"/>
          <w:sz w:val="24"/>
          <w:szCs w:val="24"/>
        </w:rPr>
        <w:t>μm</w:t>
      </w:r>
      <w:proofErr w:type="spellEnd"/>
      <w:r w:rsidRPr="009820BA">
        <w:rPr>
          <w:rFonts w:ascii="Book Antiqua" w:eastAsia="ＭＳ ゴシック" w:hAnsi="Book Antiqua" w:cs="Times New Roman"/>
          <w:sz w:val="24"/>
          <w:szCs w:val="24"/>
        </w:rPr>
        <w:t>.</w:t>
      </w:r>
    </w:p>
    <w:p w:rsidR="00E05030" w:rsidRDefault="00E05030" w:rsidP="00E05030">
      <w:pPr>
        <w:widowControl/>
        <w:jc w:val="left"/>
        <w:rPr>
          <w:rFonts w:ascii="Book Antiqua" w:eastAsia="ＭＳ ゴシック" w:hAnsi="Book Antiqua" w:cs="Times New Roman"/>
          <w:sz w:val="24"/>
          <w:szCs w:val="24"/>
        </w:rPr>
      </w:pPr>
      <w:r>
        <w:rPr>
          <w:rFonts w:ascii="Book Antiqua" w:eastAsia="ＭＳ ゴシック" w:hAnsi="Book Antiqua" w:cs="Times New Roman"/>
          <w:sz w:val="24"/>
          <w:szCs w:val="24"/>
        </w:rPr>
        <w:br w:type="page"/>
      </w:r>
    </w:p>
    <w:p w:rsidR="00E05030" w:rsidRPr="009820BA" w:rsidRDefault="00E05030" w:rsidP="00E05030">
      <w:pPr>
        <w:pStyle w:val="a3"/>
        <w:spacing w:line="360" w:lineRule="auto"/>
        <w:rPr>
          <w:rFonts w:ascii="Book Antiqua" w:eastAsia="ＭＳ ゴシック" w:hAnsi="Book Antiqua" w:cs="Times New Roman"/>
          <w:sz w:val="24"/>
          <w:szCs w:val="24"/>
        </w:rPr>
      </w:pPr>
      <w:r>
        <w:rPr>
          <w:rFonts w:ascii="Book Antiqua" w:eastAsia="ＭＳ ゴシック" w:hAnsi="Book Antiqua" w:cs="Times New Roman"/>
          <w:noProof/>
          <w:sz w:val="24"/>
          <w:szCs w:val="24"/>
        </w:rPr>
        <w:drawing>
          <wp:inline distT="0" distB="0" distL="0" distR="0" wp14:anchorId="1BB2A23F" wp14:editId="2F070016">
            <wp:extent cx="2329132" cy="204409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uppFigS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0364" cy="2045179"/>
                    </a:xfrm>
                    <a:prstGeom prst="rect">
                      <a:avLst/>
                    </a:prstGeom>
                  </pic:spPr>
                </pic:pic>
              </a:graphicData>
            </a:graphic>
          </wp:inline>
        </w:drawing>
      </w:r>
    </w:p>
    <w:p w:rsidR="00E05030" w:rsidRPr="009820BA" w:rsidRDefault="00E05030" w:rsidP="00E05030">
      <w:pPr>
        <w:pStyle w:val="a3"/>
        <w:spacing w:line="360" w:lineRule="auto"/>
        <w:rPr>
          <w:rFonts w:ascii="Book Antiqua" w:eastAsia="ＭＳ ゴシック" w:hAnsi="Book Antiqua" w:cs="Times New Roman"/>
          <w:sz w:val="24"/>
          <w:szCs w:val="24"/>
        </w:rPr>
      </w:pPr>
      <w:r w:rsidRPr="009820BA">
        <w:rPr>
          <w:rFonts w:ascii="Book Antiqua" w:eastAsia="ＭＳ ゴシック" w:hAnsi="Book Antiqua" w:cs="Times New Roman"/>
          <w:sz w:val="24"/>
          <w:szCs w:val="24"/>
        </w:rPr>
        <w:t>Supplementary Figure S4</w:t>
      </w:r>
    </w:p>
    <w:p w:rsidR="00E05030" w:rsidRPr="009820BA" w:rsidRDefault="00E05030" w:rsidP="00E05030">
      <w:pPr>
        <w:pStyle w:val="a3"/>
        <w:spacing w:line="360" w:lineRule="auto"/>
        <w:rPr>
          <w:rFonts w:ascii="Book Antiqua" w:eastAsia="ＭＳ ゴシック" w:hAnsi="Book Antiqua" w:cs="Times New Roman"/>
          <w:sz w:val="24"/>
          <w:szCs w:val="24"/>
        </w:rPr>
      </w:pPr>
      <w:proofErr w:type="gramStart"/>
      <w:r w:rsidRPr="009820BA">
        <w:rPr>
          <w:rFonts w:ascii="Book Antiqua" w:eastAsia="ＭＳ ゴシック" w:hAnsi="Book Antiqua" w:cs="Times New Roman"/>
          <w:sz w:val="24"/>
          <w:szCs w:val="24"/>
        </w:rPr>
        <w:t>DAPI staining in a co-culture system of MPC and SMC.</w:t>
      </w:r>
      <w:proofErr w:type="gramEnd"/>
      <w:r w:rsidRPr="009820BA">
        <w:rPr>
          <w:rFonts w:ascii="Book Antiqua" w:eastAsia="ＭＳ ゴシック" w:hAnsi="Book Antiqua" w:cs="Times New Roman"/>
          <w:sz w:val="24"/>
          <w:szCs w:val="24"/>
        </w:rPr>
        <w:t xml:space="preserve"> Nuclei of SMC are indicated by blue arrows. Nuclei of MPC (virtually EGC) were unmarked. SMC nuclei are generally larger and dimmer than EGC nuclei. Some SMC nuclei are similar in size to EGC nuclei but still fainter. Co-gating by size and fluorescence intensity using imaging analysis software can easily discriminate between SMC and EGC. Scale bar represents 20 </w:t>
      </w:r>
      <w:proofErr w:type="spellStart"/>
      <w:r w:rsidRPr="009820BA">
        <w:rPr>
          <w:rFonts w:ascii="Book Antiqua" w:eastAsia="ＭＳ ゴシック" w:hAnsi="Book Antiqua" w:cs="Times New Roman"/>
          <w:sz w:val="24"/>
          <w:szCs w:val="24"/>
        </w:rPr>
        <w:t>μm</w:t>
      </w:r>
      <w:proofErr w:type="spellEnd"/>
      <w:r w:rsidRPr="009820BA">
        <w:rPr>
          <w:rFonts w:ascii="Book Antiqua" w:eastAsia="ＭＳ ゴシック" w:hAnsi="Book Antiqua" w:cs="Times New Roman"/>
          <w:sz w:val="24"/>
          <w:szCs w:val="24"/>
        </w:rPr>
        <w:t>.</w:t>
      </w:r>
    </w:p>
    <w:p w:rsidR="00E05030" w:rsidRDefault="00E05030" w:rsidP="00E05030">
      <w:pPr>
        <w:widowControl/>
        <w:jc w:val="left"/>
        <w:rPr>
          <w:rFonts w:ascii="Book Antiqua" w:eastAsia="ＭＳ ゴシック" w:hAnsi="Book Antiqua" w:cs="Times New Roman"/>
          <w:sz w:val="24"/>
          <w:szCs w:val="24"/>
        </w:rPr>
      </w:pPr>
      <w:r>
        <w:rPr>
          <w:rFonts w:ascii="Book Antiqua" w:eastAsia="ＭＳ ゴシック" w:hAnsi="Book Antiqua" w:cs="Times New Roman"/>
          <w:sz w:val="24"/>
          <w:szCs w:val="24"/>
        </w:rPr>
        <w:br w:type="page"/>
      </w:r>
    </w:p>
    <w:p w:rsidR="00E05030" w:rsidRPr="009820BA" w:rsidRDefault="00E05030" w:rsidP="00E05030">
      <w:pPr>
        <w:pStyle w:val="a3"/>
        <w:spacing w:line="360" w:lineRule="auto"/>
        <w:rPr>
          <w:rFonts w:ascii="Book Antiqua" w:eastAsia="ＭＳ ゴシック" w:hAnsi="Book Antiqua" w:cs="Times New Roman"/>
          <w:sz w:val="24"/>
          <w:szCs w:val="24"/>
        </w:rPr>
      </w:pPr>
      <w:r>
        <w:rPr>
          <w:rFonts w:ascii="Book Antiqua" w:eastAsia="ＭＳ ゴシック" w:hAnsi="Book Antiqua" w:cs="Times New Roman"/>
          <w:noProof/>
          <w:sz w:val="24"/>
          <w:szCs w:val="24"/>
        </w:rPr>
        <w:drawing>
          <wp:inline distT="0" distB="0" distL="0" distR="0" wp14:anchorId="3A9B247C" wp14:editId="6CD37060">
            <wp:extent cx="5334000" cy="133921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uppFigS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0" cy="1339215"/>
                    </a:xfrm>
                    <a:prstGeom prst="rect">
                      <a:avLst/>
                    </a:prstGeom>
                  </pic:spPr>
                </pic:pic>
              </a:graphicData>
            </a:graphic>
          </wp:inline>
        </w:drawing>
      </w:r>
    </w:p>
    <w:p w:rsidR="00E05030" w:rsidRPr="009820BA" w:rsidRDefault="00E05030" w:rsidP="00E05030">
      <w:pPr>
        <w:pStyle w:val="a3"/>
        <w:spacing w:line="360" w:lineRule="auto"/>
        <w:rPr>
          <w:rFonts w:ascii="Book Antiqua" w:eastAsia="ＭＳ ゴシック" w:hAnsi="Book Antiqua" w:cs="Times New Roman"/>
          <w:sz w:val="24"/>
          <w:szCs w:val="24"/>
        </w:rPr>
      </w:pPr>
      <w:r w:rsidRPr="009820BA">
        <w:rPr>
          <w:rFonts w:ascii="Book Antiqua" w:eastAsia="ＭＳ ゴシック" w:hAnsi="Book Antiqua" w:cs="Times New Roman"/>
          <w:sz w:val="24"/>
          <w:szCs w:val="24"/>
        </w:rPr>
        <w:t>Supplementary Figure S5</w:t>
      </w:r>
    </w:p>
    <w:p w:rsidR="00E05030" w:rsidRPr="009820BA" w:rsidRDefault="00E05030" w:rsidP="00E05030">
      <w:pPr>
        <w:pStyle w:val="a3"/>
        <w:spacing w:line="360" w:lineRule="auto"/>
        <w:rPr>
          <w:rFonts w:ascii="Book Antiqua" w:eastAsia="ＭＳ ゴシック" w:hAnsi="Book Antiqua" w:cs="Times New Roman"/>
          <w:sz w:val="24"/>
          <w:szCs w:val="24"/>
        </w:rPr>
      </w:pPr>
      <w:r w:rsidRPr="009820BA">
        <w:rPr>
          <w:rFonts w:ascii="Book Antiqua" w:eastAsia="ＭＳ ゴシック" w:hAnsi="Book Antiqua" w:cs="Times New Roman"/>
          <w:sz w:val="24"/>
          <w:szCs w:val="24"/>
        </w:rPr>
        <w:t>Immunostaining with αSMA and S-100B in enriched EGC culture. The enriched EGC culture consists mainly of EGC. Most cells were S100</w:t>
      </w:r>
      <w:r w:rsidRPr="009820BA">
        <w:rPr>
          <w:rFonts w:ascii="Book Antiqua" w:eastAsia="ＭＳ Ｐゴシック" w:hAnsi="Book Antiqua" w:cs="Times New Roman"/>
          <w:sz w:val="24"/>
          <w:szCs w:val="24"/>
        </w:rPr>
        <w:t>B</w:t>
      </w:r>
      <w:r w:rsidRPr="009820BA">
        <w:rPr>
          <w:rFonts w:ascii="Book Antiqua" w:eastAsia="ＭＳ Ｐゴシック" w:hAnsi="Book Antiqua" w:cs="Times New Roman"/>
          <w:sz w:val="24"/>
          <w:szCs w:val="24"/>
          <w:vertAlign w:val="superscript"/>
        </w:rPr>
        <w:t>+</w:t>
      </w:r>
      <w:r w:rsidRPr="009820BA">
        <w:rPr>
          <w:rFonts w:ascii="Book Antiqua" w:eastAsia="ＭＳ Ｐゴシック" w:hAnsi="Book Antiqua" w:cs="Times New Roman"/>
          <w:sz w:val="24"/>
          <w:szCs w:val="24"/>
        </w:rPr>
        <w:t>, GFAP</w:t>
      </w:r>
      <w:r w:rsidRPr="009820BA">
        <w:rPr>
          <w:rFonts w:ascii="Book Antiqua" w:eastAsia="ＭＳ Ｐゴシック" w:hAnsi="Book Antiqua" w:cs="Times New Roman"/>
          <w:sz w:val="24"/>
          <w:szCs w:val="24"/>
          <w:vertAlign w:val="superscript"/>
        </w:rPr>
        <w:t>+</w:t>
      </w:r>
      <w:r w:rsidRPr="009820BA">
        <w:rPr>
          <w:rFonts w:ascii="Book Antiqua" w:eastAsia="ＭＳ Ｐゴシック" w:hAnsi="Book Antiqua" w:cs="Times New Roman"/>
          <w:sz w:val="24"/>
          <w:szCs w:val="24"/>
        </w:rPr>
        <w:t xml:space="preserve"> or </w:t>
      </w:r>
      <w:r w:rsidRPr="009820BA">
        <w:rPr>
          <w:rFonts w:ascii="Book Antiqua" w:eastAsia="ＭＳ ゴシック" w:hAnsi="Book Antiqua" w:cs="Times New Roman"/>
          <w:sz w:val="24"/>
          <w:szCs w:val="24"/>
        </w:rPr>
        <w:t>S100B</w:t>
      </w:r>
      <w:r w:rsidRPr="009820BA">
        <w:rPr>
          <w:rFonts w:ascii="Book Antiqua" w:eastAsia="ＭＳ Ｐゴシック" w:hAnsi="Book Antiqua" w:cs="Times New Roman"/>
          <w:sz w:val="24"/>
          <w:szCs w:val="24"/>
          <w:vertAlign w:val="superscript"/>
        </w:rPr>
        <w:t>+</w:t>
      </w:r>
      <w:r w:rsidRPr="009820BA">
        <w:rPr>
          <w:rFonts w:ascii="Book Antiqua" w:eastAsia="ＭＳ Ｐゴシック" w:hAnsi="Book Antiqua" w:cs="Times New Roman"/>
          <w:sz w:val="24"/>
          <w:szCs w:val="24"/>
        </w:rPr>
        <w:t>GFAP</w:t>
      </w:r>
      <w:r w:rsidRPr="009820BA">
        <w:rPr>
          <w:rFonts w:ascii="Book Antiqua" w:eastAsia="ＭＳ Ｐゴシック" w:hAnsi="Book Antiqua" w:cs="Times New Roman"/>
          <w:sz w:val="24"/>
          <w:szCs w:val="24"/>
          <w:vertAlign w:val="superscript"/>
        </w:rPr>
        <w:t>+</w:t>
      </w:r>
      <w:r w:rsidRPr="009820BA">
        <w:rPr>
          <w:rFonts w:ascii="Book Antiqua" w:eastAsia="ＭＳ Ｐゴシック" w:hAnsi="Book Antiqua" w:cs="Times New Roman"/>
          <w:sz w:val="24"/>
          <w:szCs w:val="24"/>
        </w:rPr>
        <w:t xml:space="preserve">. </w:t>
      </w:r>
      <w:r w:rsidRPr="009820BA">
        <w:rPr>
          <w:rFonts w:ascii="Book Antiqua" w:eastAsia="ＭＳ ゴシック" w:hAnsi="Book Antiqua" w:cs="Times New Roman"/>
          <w:sz w:val="24"/>
          <w:szCs w:val="24"/>
        </w:rPr>
        <w:t xml:space="preserve">Nuclei were stained with DAPI. Scale bar represents 20 </w:t>
      </w:r>
      <w:proofErr w:type="spellStart"/>
      <w:r w:rsidRPr="009820BA">
        <w:rPr>
          <w:rFonts w:ascii="Book Antiqua" w:eastAsia="ＭＳ ゴシック" w:hAnsi="Book Antiqua" w:cs="Times New Roman"/>
          <w:sz w:val="24"/>
          <w:szCs w:val="24"/>
        </w:rPr>
        <w:t>μm</w:t>
      </w:r>
      <w:proofErr w:type="spellEnd"/>
      <w:r w:rsidRPr="009820BA">
        <w:rPr>
          <w:rFonts w:ascii="Book Antiqua" w:eastAsia="ＭＳ ゴシック" w:hAnsi="Book Antiqua" w:cs="Times New Roman"/>
          <w:sz w:val="24"/>
          <w:szCs w:val="24"/>
        </w:rPr>
        <w:t>.</w:t>
      </w:r>
    </w:p>
    <w:p w:rsidR="00B55C0E" w:rsidRDefault="00D9290A">
      <w:pPr>
        <w:rPr>
          <w:rFonts w:ascii="Book Antiqua" w:eastAsia="ＭＳ ゴシック" w:hAnsi="Book Antiqua" w:cs="Times New Roman"/>
          <w:sz w:val="24"/>
          <w:szCs w:val="24"/>
        </w:rPr>
      </w:pPr>
    </w:p>
    <w:p w:rsidR="00AE6B25" w:rsidRDefault="00AE6B25">
      <w:pPr>
        <w:widowControl/>
        <w:jc w:val="left"/>
        <w:rPr>
          <w:rFonts w:ascii="Book Antiqua" w:eastAsia="ＭＳ ゴシック" w:hAnsi="Book Antiqua" w:cs="Times New Roman"/>
          <w:sz w:val="24"/>
          <w:szCs w:val="24"/>
        </w:rPr>
      </w:pPr>
      <w:r>
        <w:rPr>
          <w:rFonts w:ascii="Book Antiqua" w:eastAsia="ＭＳ ゴシック" w:hAnsi="Book Antiqua" w:cs="Times New Roman"/>
          <w:sz w:val="24"/>
          <w:szCs w:val="24"/>
        </w:rPr>
        <w:br w:type="page"/>
      </w:r>
    </w:p>
    <w:p w:rsidR="00AE6B25" w:rsidRDefault="003F5C25" w:rsidP="00AE6B25">
      <w:pPr>
        <w:widowControl/>
        <w:jc w:val="left"/>
        <w:rPr>
          <w:rFonts w:ascii="Book Antiqua" w:eastAsia="ＭＳ ゴシック" w:hAnsi="Book Antiqua" w:cs="Times New Roman"/>
          <w:sz w:val="24"/>
          <w:szCs w:val="24"/>
        </w:rPr>
      </w:pPr>
      <w:r>
        <w:rPr>
          <w:rFonts w:ascii="Book Antiqua" w:eastAsia="ＭＳ ゴシック" w:hAnsi="Book Antiqua" w:cs="Times New Roman"/>
          <w:noProof/>
          <w:sz w:val="24"/>
          <w:szCs w:val="24"/>
        </w:rPr>
        <w:drawing>
          <wp:inline distT="0" distB="0" distL="0" distR="0">
            <wp:extent cx="5334000" cy="5867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S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0" cy="5867400"/>
                    </a:xfrm>
                    <a:prstGeom prst="rect">
                      <a:avLst/>
                    </a:prstGeom>
                  </pic:spPr>
                </pic:pic>
              </a:graphicData>
            </a:graphic>
          </wp:inline>
        </w:drawing>
      </w:r>
    </w:p>
    <w:p w:rsidR="003E5990" w:rsidRPr="00B71357" w:rsidRDefault="003E5990" w:rsidP="00AE6B25">
      <w:pPr>
        <w:widowControl/>
        <w:jc w:val="left"/>
        <w:rPr>
          <w:rFonts w:ascii="Book Antiqua" w:eastAsia="ＭＳ ゴシック" w:hAnsi="Book Antiqua" w:cs="Times New Roman"/>
          <w:color w:val="FF0000"/>
          <w:sz w:val="24"/>
          <w:szCs w:val="24"/>
        </w:rPr>
      </w:pPr>
      <w:r w:rsidRPr="00B71357">
        <w:rPr>
          <w:rFonts w:ascii="Book Antiqua" w:eastAsia="ＭＳ ゴシック" w:hAnsi="Book Antiqua" w:cs="Times New Roman" w:hint="eastAsia"/>
          <w:color w:val="FF0000"/>
          <w:sz w:val="24"/>
          <w:szCs w:val="24"/>
        </w:rPr>
        <w:t>Supplementary F</w:t>
      </w:r>
      <w:r w:rsidRPr="00B71357">
        <w:rPr>
          <w:rFonts w:ascii="Book Antiqua" w:eastAsia="ＭＳ ゴシック" w:hAnsi="Book Antiqua" w:cs="Times New Roman"/>
          <w:color w:val="FF0000"/>
          <w:sz w:val="24"/>
          <w:szCs w:val="24"/>
        </w:rPr>
        <w:t>i</w:t>
      </w:r>
      <w:r w:rsidRPr="00B71357">
        <w:rPr>
          <w:rFonts w:ascii="Book Antiqua" w:eastAsia="ＭＳ ゴシック" w:hAnsi="Book Antiqua" w:cs="Times New Roman" w:hint="eastAsia"/>
          <w:color w:val="FF0000"/>
          <w:sz w:val="24"/>
          <w:szCs w:val="24"/>
        </w:rPr>
        <w:t>gure S6</w:t>
      </w:r>
    </w:p>
    <w:p w:rsidR="00AE6B25" w:rsidRPr="00B71357" w:rsidRDefault="00AE6B25" w:rsidP="00AE6B25">
      <w:pPr>
        <w:widowControl/>
        <w:jc w:val="left"/>
        <w:rPr>
          <w:rFonts w:ascii="Book Antiqua" w:eastAsia="ＭＳ ゴシック" w:hAnsi="Book Antiqua" w:cs="Times New Roman"/>
          <w:color w:val="FF0000"/>
          <w:sz w:val="24"/>
          <w:szCs w:val="24"/>
        </w:rPr>
      </w:pPr>
      <w:r w:rsidRPr="00B71357">
        <w:rPr>
          <w:rFonts w:ascii="Book Antiqua" w:eastAsia="ＭＳ ゴシック" w:hAnsi="Book Antiqua" w:cs="Times New Roman" w:hint="eastAsia"/>
          <w:color w:val="FF0000"/>
          <w:sz w:val="24"/>
          <w:szCs w:val="24"/>
        </w:rPr>
        <w:t xml:space="preserve">Negative controls of immunostaining performed in this study. </w:t>
      </w:r>
      <w:r w:rsidR="00822D28" w:rsidRPr="00B71357">
        <w:rPr>
          <w:rFonts w:ascii="Book Antiqua" w:eastAsia="ＭＳ ゴシック" w:hAnsi="Book Antiqua" w:cs="Times New Roman" w:hint="eastAsia"/>
          <w:color w:val="FF0000"/>
          <w:sz w:val="24"/>
          <w:szCs w:val="24"/>
        </w:rPr>
        <w:t>F</w:t>
      </w:r>
      <w:r w:rsidR="00822D28" w:rsidRPr="00B71357">
        <w:rPr>
          <w:rFonts w:ascii="Book Antiqua" w:eastAsia="ＭＳ ゴシック" w:hAnsi="Book Antiqua" w:cs="Times New Roman"/>
          <w:color w:val="FF0000"/>
          <w:sz w:val="24"/>
          <w:szCs w:val="24"/>
        </w:rPr>
        <w:t>o</w:t>
      </w:r>
      <w:r w:rsidR="00822D28" w:rsidRPr="00B71357">
        <w:rPr>
          <w:rFonts w:ascii="Book Antiqua" w:eastAsia="ＭＳ ゴシック" w:hAnsi="Book Antiqua" w:cs="Times New Roman" w:hint="eastAsia"/>
          <w:color w:val="FF0000"/>
          <w:sz w:val="24"/>
          <w:szCs w:val="24"/>
        </w:rPr>
        <w:t>r F</w:t>
      </w:r>
      <w:r w:rsidR="00822D28" w:rsidRPr="00B71357">
        <w:rPr>
          <w:rFonts w:ascii="Book Antiqua" w:eastAsia="ＭＳ ゴシック" w:hAnsi="Book Antiqua" w:cs="Times New Roman"/>
          <w:color w:val="FF0000"/>
          <w:sz w:val="24"/>
          <w:szCs w:val="24"/>
        </w:rPr>
        <w:t>i</w:t>
      </w:r>
      <w:r w:rsidR="00822D28" w:rsidRPr="00B71357">
        <w:rPr>
          <w:rFonts w:ascii="Book Antiqua" w:eastAsia="ＭＳ ゴシック" w:hAnsi="Book Antiqua" w:cs="Times New Roman" w:hint="eastAsia"/>
          <w:color w:val="FF0000"/>
          <w:sz w:val="24"/>
          <w:szCs w:val="24"/>
        </w:rPr>
        <w:t>gure 3, DAPI image was added to show the presence of the cells.</w:t>
      </w:r>
      <w:bookmarkStart w:id="0" w:name="_GoBack"/>
      <w:bookmarkEnd w:id="0"/>
    </w:p>
    <w:sectPr w:rsidR="00AE6B25" w:rsidRPr="00B71357" w:rsidSect="00FC7E10">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30"/>
    <w:rsid w:val="001121E3"/>
    <w:rsid w:val="003D2A68"/>
    <w:rsid w:val="003E5990"/>
    <w:rsid w:val="003F5C25"/>
    <w:rsid w:val="006052A2"/>
    <w:rsid w:val="00822D28"/>
    <w:rsid w:val="00AE6B25"/>
    <w:rsid w:val="00AF2859"/>
    <w:rsid w:val="00B71357"/>
    <w:rsid w:val="00D9290A"/>
    <w:rsid w:val="00E0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05030"/>
    <w:rPr>
      <w:rFonts w:ascii="ＭＳ 明朝" w:eastAsia="ＭＳ 明朝" w:hAnsi="Courier New" w:cs="Courier New"/>
      <w:szCs w:val="21"/>
    </w:rPr>
  </w:style>
  <w:style w:type="character" w:customStyle="1" w:styleId="a4">
    <w:name w:val="書式なし (文字)"/>
    <w:basedOn w:val="a0"/>
    <w:link w:val="a3"/>
    <w:uiPriority w:val="99"/>
    <w:rsid w:val="00E05030"/>
    <w:rPr>
      <w:rFonts w:ascii="ＭＳ 明朝" w:eastAsia="ＭＳ 明朝" w:hAnsi="Courier New" w:cs="Courier New"/>
      <w:szCs w:val="21"/>
    </w:rPr>
  </w:style>
  <w:style w:type="paragraph" w:styleId="a5">
    <w:name w:val="Balloon Text"/>
    <w:basedOn w:val="a"/>
    <w:link w:val="a6"/>
    <w:uiPriority w:val="99"/>
    <w:semiHidden/>
    <w:unhideWhenUsed/>
    <w:rsid w:val="00E050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50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05030"/>
    <w:rPr>
      <w:rFonts w:ascii="ＭＳ 明朝" w:eastAsia="ＭＳ 明朝" w:hAnsi="Courier New" w:cs="Courier New"/>
      <w:szCs w:val="21"/>
    </w:rPr>
  </w:style>
  <w:style w:type="character" w:customStyle="1" w:styleId="a4">
    <w:name w:val="書式なし (文字)"/>
    <w:basedOn w:val="a0"/>
    <w:link w:val="a3"/>
    <w:uiPriority w:val="99"/>
    <w:rsid w:val="00E05030"/>
    <w:rPr>
      <w:rFonts w:ascii="ＭＳ 明朝" w:eastAsia="ＭＳ 明朝" w:hAnsi="Courier New" w:cs="Courier New"/>
      <w:szCs w:val="21"/>
    </w:rPr>
  </w:style>
  <w:style w:type="paragraph" w:styleId="a5">
    <w:name w:val="Balloon Text"/>
    <w:basedOn w:val="a"/>
    <w:link w:val="a6"/>
    <w:uiPriority w:val="99"/>
    <w:semiHidden/>
    <w:unhideWhenUsed/>
    <w:rsid w:val="00E050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5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dcterms:created xsi:type="dcterms:W3CDTF">2016-09-08T02:41:00Z</dcterms:created>
  <dcterms:modified xsi:type="dcterms:W3CDTF">2016-09-16T08:41:00Z</dcterms:modified>
</cp:coreProperties>
</file>