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E1B" w:rsidRDefault="00E95E1B" w:rsidP="00E95E1B">
      <w:pPr>
        <w:pStyle w:val="Heading3"/>
        <w:numPr>
          <w:ilvl w:val="0"/>
          <w:numId w:val="0"/>
        </w:numPr>
        <w:spacing w:after="240" w:line="480" w:lineRule="auto"/>
        <w:ind w:left="720" w:hanging="720"/>
        <w:rPr>
          <w:rFonts w:asciiTheme="minorHAnsi" w:hAnsiTheme="minorHAnsi" w:cstheme="minorHAnsi"/>
          <w:b w:val="0"/>
          <w:color w:val="auto"/>
          <w:sz w:val="24"/>
          <w:szCs w:val="24"/>
        </w:rPr>
      </w:pPr>
      <w:bookmarkStart w:id="0" w:name="_Toc415210393"/>
      <w:r>
        <w:rPr>
          <w:rFonts w:asciiTheme="minorHAnsi" w:hAnsiTheme="minorHAnsi" w:cstheme="minorHAnsi"/>
          <w:b w:val="0"/>
          <w:color w:val="auto"/>
          <w:sz w:val="24"/>
          <w:szCs w:val="24"/>
        </w:rPr>
        <w:t>Statistical analysis</w:t>
      </w:r>
      <w:bookmarkEnd w:id="0"/>
    </w:p>
    <w:p w:rsidR="00E95E1B" w:rsidRDefault="00E95E1B" w:rsidP="00E95E1B">
      <w:pPr>
        <w:autoSpaceDE w:val="0"/>
        <w:autoSpaceDN w:val="0"/>
        <w:adjustRightInd w:val="0"/>
        <w:spacing w:after="0" w:line="480" w:lineRule="auto"/>
        <w:rPr>
          <w:rFonts w:asciiTheme="minorHAnsi" w:hAnsiTheme="minorHAnsi" w:cstheme="minorHAnsi"/>
          <w:sz w:val="24"/>
          <w:szCs w:val="24"/>
        </w:rPr>
      </w:pPr>
      <w:r>
        <w:rPr>
          <w:rFonts w:asciiTheme="minorHAnsi" w:hAnsiTheme="minorHAnsi" w:cstheme="minorHAnsi"/>
          <w:sz w:val="24"/>
          <w:szCs w:val="24"/>
        </w:rPr>
        <w:t xml:space="preserve">Data are presented as mean ± standard deviation or median (interquartile range) depending on the distribution. Data were checked for normality using Shapiro-Wilk and Kolmogorov-Smirnov values. Independent samples t tests were used to determine differences between subjects with type 1 and type 2 diabetes for continuous variables and chi squared tests were used for categorical variables. Pearson’s correlation was used to determine clinical and dietary predictors of mean and mean maximum CCA IMT. Clinical variables that were correlated (p&lt;0.1) with CCA IMT were entered into stepwise linear regression (includes both forwards and backwards selection) to determine predictors. For inclusion in the model p&lt;0.05.  Bivariate correlations adjusted for age, sex and weight were used to determine the dietary predictors of CCA IMT. Serum carotenoids and serum lipid concentrations were normalised to their respective interquartile ranges to account for the variation in relative abundance in serum. P values for the serum lipid species were corrected for multiple comparisons using the </w:t>
      </w:r>
      <w:proofErr w:type="spellStart"/>
      <w:r>
        <w:rPr>
          <w:rFonts w:asciiTheme="minorHAnsi" w:hAnsiTheme="minorHAnsi" w:cstheme="minorHAnsi"/>
          <w:sz w:val="24"/>
          <w:szCs w:val="24"/>
        </w:rPr>
        <w:t>Benjamini</w:t>
      </w:r>
      <w:proofErr w:type="spellEnd"/>
      <w:r>
        <w:rPr>
          <w:rFonts w:asciiTheme="minorHAnsi" w:hAnsiTheme="minorHAnsi" w:cstheme="minorHAnsi"/>
          <w:sz w:val="24"/>
          <w:szCs w:val="24"/>
        </w:rPr>
        <w:t xml:space="preserve"> Hochberg approach </w:t>
      </w:r>
      <w:r>
        <w:rPr>
          <w:rFonts w:asciiTheme="minorHAnsi" w:hAnsiTheme="minorHAnsi" w:cstheme="minorHAnsi"/>
          <w:sz w:val="24"/>
          <w:szCs w:val="24"/>
        </w:rPr>
        <w:fldChar w:fldCharType="begin"/>
      </w:r>
      <w:r>
        <w:rPr>
          <w:rFonts w:asciiTheme="minorHAnsi" w:hAnsiTheme="minorHAnsi" w:cstheme="minorHAnsi"/>
          <w:sz w:val="24"/>
          <w:szCs w:val="24"/>
        </w:rPr>
        <w:instrText xml:space="preserve"> ADDIN EN.CITE &lt;EndNote&gt;&lt;Cite&gt;&lt;Author&gt;Benjamini&lt;/Author&gt;&lt;Year&gt;1995&lt;/Year&gt;&lt;RecNum&gt;1480&lt;/RecNum&gt;&lt;DisplayText&gt;[18]&lt;/DisplayText&gt;&lt;record&gt;&lt;rec-number&gt;1480&lt;/rec-number&gt;&lt;foreign-keys&gt;&lt;key app="EN" db-id="esxrtepavswfese59pjxerxifeff5zz2e99d" timestamp="1404362740"&gt;1480&lt;/key&gt;&lt;/foreign-keys&gt;&lt;ref-type name="Journal Article"&gt;17&lt;/ref-type&gt;&lt;contributors&gt;&lt;authors&gt;&lt;author&gt;Benjamini, Yoav&lt;/author&gt;&lt;author&gt;Hochberg, Yosef&lt;/author&gt;&lt;/authors&gt;&lt;/contributors&gt;&lt;titles&gt;&lt;title&gt;Controlling the False Discovery Rate: A Practical and Powerful Approach to Multiple Testing&lt;/title&gt;&lt;secondary-title&gt;J. Roy. Statist. Soc. Ser. B &lt;/secondary-title&gt;&lt;/titles&gt;&lt;periodical&gt;&lt;full-title&gt;J. Roy. Statist. Soc. Ser. B&lt;/full-title&gt;&lt;/periodical&gt;&lt;pages&gt;289-300&lt;/pages&gt;&lt;volume&gt;57&lt;/volume&gt;&lt;number&gt;1&lt;/number&gt;&lt;dates&gt;&lt;year&gt;1995&lt;/year&gt;&lt;/dates&gt;&lt;publisher&gt;Wiley for the Royal Statistical Society&lt;/publisher&gt;&lt;isbn&gt;00359246&lt;/isbn&gt;&lt;urls&gt;&lt;related-urls&gt;&lt;url&gt;http://www.jstor.org/stable/2346101&lt;/url&gt;&lt;/related-urls&gt;&lt;/urls&gt;&lt;electronic-resource-num&gt;10.2307/2346101&lt;/electronic-resource-num&gt;&lt;/record&gt;&lt;/Cite&gt;&lt;/EndNote&gt;</w:instrText>
      </w:r>
      <w:r>
        <w:rPr>
          <w:rFonts w:asciiTheme="minorHAnsi" w:hAnsiTheme="minorHAnsi" w:cstheme="minorHAnsi"/>
          <w:sz w:val="24"/>
          <w:szCs w:val="24"/>
        </w:rPr>
        <w:fldChar w:fldCharType="separate"/>
      </w:r>
      <w:r>
        <w:rPr>
          <w:rFonts w:asciiTheme="minorHAnsi" w:hAnsiTheme="minorHAnsi" w:cstheme="minorHAnsi"/>
          <w:noProof/>
          <w:sz w:val="24"/>
          <w:szCs w:val="24"/>
        </w:rPr>
        <w:t>[</w:t>
      </w:r>
      <w:hyperlink r:id="rId5" w:anchor="_ENREF_21" w:tooltip="Benjamini, 1995 #1480" w:history="1">
        <w:r>
          <w:rPr>
            <w:rStyle w:val="Hyperlink"/>
            <w:rFonts w:asciiTheme="minorHAnsi" w:hAnsiTheme="minorHAnsi" w:cstheme="minorHAnsi"/>
            <w:noProof/>
            <w:color w:val="auto"/>
            <w:sz w:val="24"/>
            <w:szCs w:val="24"/>
          </w:rPr>
          <w:t>18</w:t>
        </w:r>
      </w:hyperlink>
      <w:r>
        <w:rPr>
          <w:rFonts w:asciiTheme="minorHAnsi" w:hAnsiTheme="minorHAnsi" w:cstheme="minorHAnsi"/>
          <w:noProof/>
          <w:sz w:val="24"/>
          <w:szCs w:val="24"/>
        </w:rPr>
        <w:t>]</w:t>
      </w:r>
      <w:r>
        <w:rPr>
          <w:rFonts w:asciiTheme="minorHAnsi" w:hAnsiTheme="minorHAnsi" w:cstheme="minorHAnsi"/>
          <w:sz w:val="24"/>
          <w:szCs w:val="24"/>
        </w:rPr>
        <w:fldChar w:fldCharType="end"/>
      </w:r>
      <w:r>
        <w:rPr>
          <w:rFonts w:asciiTheme="minorHAnsi" w:hAnsiTheme="minorHAnsi" w:cstheme="minorHAnsi"/>
          <w:sz w:val="24"/>
          <w:szCs w:val="24"/>
        </w:rPr>
        <w:t xml:space="preserve">. Analysis was performed using SPSS (version 19, 2010, SPSS </w:t>
      </w:r>
      <w:proofErr w:type="spellStart"/>
      <w:r>
        <w:rPr>
          <w:rFonts w:asciiTheme="minorHAnsi" w:hAnsiTheme="minorHAnsi" w:cstheme="minorHAnsi"/>
          <w:sz w:val="24"/>
          <w:szCs w:val="24"/>
        </w:rPr>
        <w:t>Inc</w:t>
      </w:r>
      <w:proofErr w:type="spellEnd"/>
      <w:r>
        <w:rPr>
          <w:rFonts w:asciiTheme="minorHAnsi" w:hAnsiTheme="minorHAnsi" w:cstheme="minorHAnsi"/>
          <w:sz w:val="24"/>
          <w:szCs w:val="24"/>
        </w:rPr>
        <w:t>, Chicago, IL). Statistical significance was set at p&lt;0.05.</w:t>
      </w:r>
    </w:p>
    <w:p w:rsidR="00E70EB2" w:rsidRDefault="00E95E1B">
      <w:bookmarkStart w:id="1" w:name="_GoBack"/>
      <w:bookmarkEnd w:id="1"/>
    </w:p>
    <w:sectPr w:rsidR="00E70E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CF3EA5"/>
    <w:multiLevelType w:val="multilevel"/>
    <w:tmpl w:val="43C8CDD8"/>
    <w:lvl w:ilvl="0">
      <w:start w:val="1"/>
      <w:numFmt w:val="decimal"/>
      <w:pStyle w:val="Heading1"/>
      <w:lvlText w:val="%1"/>
      <w:lvlJc w:val="left"/>
      <w:pPr>
        <w:ind w:left="432" w:hanging="432"/>
      </w:pPr>
      <w:rPr>
        <w:color w:val="auto"/>
      </w:rPr>
    </w:lvl>
    <w:lvl w:ilvl="1">
      <w:start w:val="1"/>
      <w:numFmt w:val="decimal"/>
      <w:pStyle w:val="Heading2"/>
      <w:lvlText w:val="%1.%2"/>
      <w:lvlJc w:val="left"/>
      <w:pPr>
        <w:ind w:left="1286" w:hanging="576"/>
      </w:pPr>
      <w:rPr>
        <w:b/>
        <w:i w:val="0"/>
        <w:color w:val="auto"/>
        <w:sz w:val="26"/>
        <w:szCs w:val="26"/>
      </w:rPr>
    </w:lvl>
    <w:lvl w:ilvl="2">
      <w:start w:val="1"/>
      <w:numFmt w:val="decimal"/>
      <w:pStyle w:val="Heading3"/>
      <w:lvlText w:val="%1.%2.%3"/>
      <w:lvlJc w:val="left"/>
      <w:pPr>
        <w:ind w:left="862" w:hanging="720"/>
      </w:pPr>
      <w:rPr>
        <w:rFonts w:asciiTheme="majorHAnsi" w:hAnsiTheme="majorHAnsi" w:cstheme="minorHAnsi" w:hint="default"/>
        <w:b w:val="0"/>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E1B"/>
    <w:rsid w:val="007B39D8"/>
    <w:rsid w:val="00A55F1D"/>
    <w:rsid w:val="00E95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C5FB25-81F3-45F0-8950-94D59E57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E1B"/>
    <w:pPr>
      <w:spacing w:after="200" w:line="276" w:lineRule="auto"/>
    </w:pPr>
    <w:rPr>
      <w:rFonts w:ascii="Calibri" w:eastAsia="Calibri" w:hAnsi="Calibri" w:cs="Times New Roman"/>
      <w:lang w:val="en-AU"/>
    </w:rPr>
  </w:style>
  <w:style w:type="paragraph" w:styleId="Heading1">
    <w:name w:val="heading 1"/>
    <w:basedOn w:val="Normal"/>
    <w:next w:val="Normal"/>
    <w:link w:val="Heading1Char"/>
    <w:uiPriority w:val="9"/>
    <w:qFormat/>
    <w:rsid w:val="00E95E1B"/>
    <w:pPr>
      <w:keepNext/>
      <w:keepLines/>
      <w:numPr>
        <w:numId w:val="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E95E1B"/>
    <w:pPr>
      <w:keepNext/>
      <w:keepLines/>
      <w:numPr>
        <w:ilvl w:val="1"/>
        <w:numId w:val="1"/>
      </w:numPr>
      <w:spacing w:before="200" w:after="0"/>
      <w:ind w:left="576"/>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E95E1B"/>
    <w:pPr>
      <w:keepNext/>
      <w:keepLines/>
      <w:numPr>
        <w:ilvl w:val="2"/>
        <w:numId w:val="1"/>
      </w:numPr>
      <w:spacing w:before="200" w:after="0"/>
      <w:ind w:left="72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E95E1B"/>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E95E1B"/>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E95E1B"/>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95E1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5E1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5E1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E1B"/>
    <w:rPr>
      <w:rFonts w:asciiTheme="majorHAnsi" w:eastAsiaTheme="majorEastAsia" w:hAnsiTheme="majorHAnsi" w:cstheme="majorBidi"/>
      <w:b/>
      <w:bCs/>
      <w:color w:val="2E74B5" w:themeColor="accent1" w:themeShade="BF"/>
      <w:sz w:val="28"/>
      <w:szCs w:val="28"/>
      <w:lang w:val="en-AU"/>
    </w:rPr>
  </w:style>
  <w:style w:type="character" w:customStyle="1" w:styleId="Heading2Char">
    <w:name w:val="Heading 2 Char"/>
    <w:basedOn w:val="DefaultParagraphFont"/>
    <w:link w:val="Heading2"/>
    <w:uiPriority w:val="9"/>
    <w:semiHidden/>
    <w:rsid w:val="00E95E1B"/>
    <w:rPr>
      <w:rFonts w:asciiTheme="majorHAnsi" w:eastAsiaTheme="majorEastAsia" w:hAnsiTheme="majorHAnsi" w:cstheme="majorBidi"/>
      <w:b/>
      <w:bCs/>
      <w:color w:val="5B9BD5" w:themeColor="accent1"/>
      <w:sz w:val="26"/>
      <w:szCs w:val="26"/>
      <w:lang w:val="en-AU"/>
    </w:rPr>
  </w:style>
  <w:style w:type="character" w:customStyle="1" w:styleId="Heading3Char">
    <w:name w:val="Heading 3 Char"/>
    <w:basedOn w:val="DefaultParagraphFont"/>
    <w:link w:val="Heading3"/>
    <w:uiPriority w:val="9"/>
    <w:semiHidden/>
    <w:rsid w:val="00E95E1B"/>
    <w:rPr>
      <w:rFonts w:asciiTheme="majorHAnsi" w:eastAsiaTheme="majorEastAsia" w:hAnsiTheme="majorHAnsi" w:cstheme="majorBidi"/>
      <w:b/>
      <w:bCs/>
      <w:color w:val="5B9BD5" w:themeColor="accent1"/>
      <w:lang w:val="en-AU"/>
    </w:rPr>
  </w:style>
  <w:style w:type="character" w:customStyle="1" w:styleId="Heading4Char">
    <w:name w:val="Heading 4 Char"/>
    <w:basedOn w:val="DefaultParagraphFont"/>
    <w:link w:val="Heading4"/>
    <w:uiPriority w:val="9"/>
    <w:semiHidden/>
    <w:rsid w:val="00E95E1B"/>
    <w:rPr>
      <w:rFonts w:asciiTheme="majorHAnsi" w:eastAsiaTheme="majorEastAsia" w:hAnsiTheme="majorHAnsi" w:cstheme="majorBidi"/>
      <w:b/>
      <w:bCs/>
      <w:i/>
      <w:iCs/>
      <w:color w:val="5B9BD5" w:themeColor="accent1"/>
      <w:lang w:val="en-AU"/>
    </w:rPr>
  </w:style>
  <w:style w:type="character" w:customStyle="1" w:styleId="Heading5Char">
    <w:name w:val="Heading 5 Char"/>
    <w:basedOn w:val="DefaultParagraphFont"/>
    <w:link w:val="Heading5"/>
    <w:uiPriority w:val="9"/>
    <w:semiHidden/>
    <w:rsid w:val="00E95E1B"/>
    <w:rPr>
      <w:rFonts w:asciiTheme="majorHAnsi" w:eastAsiaTheme="majorEastAsia" w:hAnsiTheme="majorHAnsi" w:cstheme="majorBidi"/>
      <w:color w:val="1F4D78" w:themeColor="accent1" w:themeShade="7F"/>
      <w:lang w:val="en-AU"/>
    </w:rPr>
  </w:style>
  <w:style w:type="character" w:customStyle="1" w:styleId="Heading6Char">
    <w:name w:val="Heading 6 Char"/>
    <w:basedOn w:val="DefaultParagraphFont"/>
    <w:link w:val="Heading6"/>
    <w:uiPriority w:val="9"/>
    <w:semiHidden/>
    <w:rsid w:val="00E95E1B"/>
    <w:rPr>
      <w:rFonts w:asciiTheme="majorHAnsi" w:eastAsiaTheme="majorEastAsia" w:hAnsiTheme="majorHAnsi" w:cstheme="majorBidi"/>
      <w:i/>
      <w:iCs/>
      <w:color w:val="1F4D78" w:themeColor="accent1" w:themeShade="7F"/>
      <w:lang w:val="en-AU"/>
    </w:rPr>
  </w:style>
  <w:style w:type="character" w:customStyle="1" w:styleId="Heading7Char">
    <w:name w:val="Heading 7 Char"/>
    <w:basedOn w:val="DefaultParagraphFont"/>
    <w:link w:val="Heading7"/>
    <w:uiPriority w:val="9"/>
    <w:semiHidden/>
    <w:rsid w:val="00E95E1B"/>
    <w:rPr>
      <w:rFonts w:asciiTheme="majorHAnsi" w:eastAsiaTheme="majorEastAsia" w:hAnsiTheme="majorHAnsi" w:cstheme="majorBidi"/>
      <w:i/>
      <w:iCs/>
      <w:color w:val="404040" w:themeColor="text1" w:themeTint="BF"/>
      <w:lang w:val="en-AU"/>
    </w:rPr>
  </w:style>
  <w:style w:type="character" w:customStyle="1" w:styleId="Heading8Char">
    <w:name w:val="Heading 8 Char"/>
    <w:basedOn w:val="DefaultParagraphFont"/>
    <w:link w:val="Heading8"/>
    <w:uiPriority w:val="9"/>
    <w:semiHidden/>
    <w:rsid w:val="00E95E1B"/>
    <w:rPr>
      <w:rFonts w:asciiTheme="majorHAnsi" w:eastAsiaTheme="majorEastAsia" w:hAnsiTheme="majorHAnsi" w:cstheme="majorBidi"/>
      <w:color w:val="404040" w:themeColor="text1" w:themeTint="BF"/>
      <w:sz w:val="20"/>
      <w:szCs w:val="20"/>
      <w:lang w:val="en-AU"/>
    </w:rPr>
  </w:style>
  <w:style w:type="character" w:customStyle="1" w:styleId="Heading9Char">
    <w:name w:val="Heading 9 Char"/>
    <w:basedOn w:val="DefaultParagraphFont"/>
    <w:link w:val="Heading9"/>
    <w:uiPriority w:val="9"/>
    <w:semiHidden/>
    <w:rsid w:val="00E95E1B"/>
    <w:rPr>
      <w:rFonts w:asciiTheme="majorHAnsi" w:eastAsiaTheme="majorEastAsia" w:hAnsiTheme="majorHAnsi" w:cstheme="majorBidi"/>
      <w:i/>
      <w:iCs/>
      <w:color w:val="404040" w:themeColor="text1" w:themeTint="BF"/>
      <w:sz w:val="20"/>
      <w:szCs w:val="20"/>
      <w:lang w:val="en-AU"/>
    </w:rPr>
  </w:style>
  <w:style w:type="character" w:styleId="Hyperlink">
    <w:name w:val="Hyperlink"/>
    <w:basedOn w:val="DefaultParagraphFont"/>
    <w:uiPriority w:val="99"/>
    <w:semiHidden/>
    <w:unhideWhenUsed/>
    <w:rsid w:val="00E95E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53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peter\Dropbox\manuscript%20nutrients.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Clifton</dc:creator>
  <cp:keywords/>
  <dc:description/>
  <cp:lastModifiedBy>Peter Clifton</cp:lastModifiedBy>
  <cp:revision>1</cp:revision>
  <dcterms:created xsi:type="dcterms:W3CDTF">2016-07-06T08:51:00Z</dcterms:created>
  <dcterms:modified xsi:type="dcterms:W3CDTF">2016-07-06T08:51:00Z</dcterms:modified>
</cp:coreProperties>
</file>