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DF" w:rsidRPr="008D3B68" w:rsidRDefault="00D32ADF" w:rsidP="00352D86">
      <w:pPr>
        <w:spacing w:line="360" w:lineRule="auto"/>
        <w:rPr>
          <w:rFonts w:ascii="Book Antiqua" w:hAnsi="Book Antiqua" w:cs="Times New Roman"/>
          <w:b/>
          <w:bCs/>
          <w:i/>
          <w:iCs/>
          <w:kern w:val="0"/>
          <w:sz w:val="24"/>
          <w:szCs w:val="24"/>
        </w:rPr>
      </w:pPr>
      <w:r w:rsidRPr="008D3B68">
        <w:rPr>
          <w:rFonts w:ascii="Book Antiqua" w:hAnsi="Book Antiqua" w:cs="Times New Roman"/>
          <w:b/>
          <w:bCs/>
          <w:kern w:val="0"/>
          <w:sz w:val="24"/>
          <w:szCs w:val="24"/>
        </w:rPr>
        <w:t xml:space="preserve">Name of Journal: </w:t>
      </w:r>
      <w:r w:rsidRPr="008D3B68">
        <w:rPr>
          <w:rFonts w:ascii="Book Antiqua" w:hAnsi="Book Antiqua" w:cs="Times New Roman"/>
          <w:b/>
          <w:bCs/>
          <w:i/>
          <w:iCs/>
          <w:kern w:val="0"/>
          <w:sz w:val="24"/>
          <w:szCs w:val="24"/>
        </w:rPr>
        <w:t xml:space="preserve">World Journal of </w:t>
      </w:r>
      <w:r w:rsidR="00A52BFF" w:rsidRPr="008D3B68">
        <w:rPr>
          <w:rFonts w:ascii="Book Antiqua" w:hAnsi="Book Antiqua" w:cs="Times New Roman"/>
          <w:b/>
          <w:bCs/>
          <w:i/>
          <w:iCs/>
          <w:kern w:val="0"/>
          <w:sz w:val="24"/>
          <w:szCs w:val="24"/>
        </w:rPr>
        <w:t>Hepatology</w:t>
      </w:r>
    </w:p>
    <w:p w:rsidR="006A1197" w:rsidRPr="008D3B68" w:rsidRDefault="006A1197" w:rsidP="00352D86">
      <w:pPr>
        <w:spacing w:line="360" w:lineRule="auto"/>
        <w:rPr>
          <w:rFonts w:ascii="Book Antiqua" w:hAnsi="Book Antiqua" w:cs="Times New Roman"/>
          <w:b/>
          <w:bCs/>
          <w:iCs/>
          <w:kern w:val="0"/>
          <w:sz w:val="24"/>
          <w:szCs w:val="24"/>
        </w:rPr>
      </w:pPr>
      <w:r w:rsidRPr="008D3B68">
        <w:rPr>
          <w:rFonts w:ascii="Book Antiqua" w:hAnsi="Book Antiqua" w:cs="Times New Roman"/>
          <w:b/>
          <w:bCs/>
          <w:iCs/>
          <w:kern w:val="0"/>
          <w:sz w:val="24"/>
          <w:szCs w:val="24"/>
        </w:rPr>
        <w:t>ESPS Manuscript NO: 28671</w:t>
      </w:r>
    </w:p>
    <w:p w:rsidR="000B09D9" w:rsidRPr="008D3B68" w:rsidRDefault="000B09D9" w:rsidP="00352D86">
      <w:pPr>
        <w:spacing w:line="360" w:lineRule="auto"/>
        <w:rPr>
          <w:rFonts w:ascii="Book Antiqua" w:eastAsia="宋体" w:hAnsi="Book Antiqua"/>
          <w:b/>
          <w:sz w:val="24"/>
          <w:szCs w:val="24"/>
        </w:rPr>
      </w:pPr>
      <w:r w:rsidRPr="008D3B68">
        <w:rPr>
          <w:rFonts w:ascii="Book Antiqua" w:hAnsi="Book Antiqua"/>
          <w:b/>
          <w:sz w:val="24"/>
          <w:szCs w:val="24"/>
        </w:rPr>
        <w:t>Manuscript Type:</w:t>
      </w:r>
      <w:r w:rsidRPr="008D3B68">
        <w:rPr>
          <w:rFonts w:ascii="Book Antiqua" w:eastAsia="宋体" w:hAnsi="Book Antiqua"/>
          <w:b/>
          <w:sz w:val="24"/>
          <w:szCs w:val="24"/>
        </w:rPr>
        <w:t xml:space="preserve"> Original Article</w:t>
      </w:r>
    </w:p>
    <w:p w:rsidR="000B09D9" w:rsidRPr="008D3B68" w:rsidRDefault="000B09D9" w:rsidP="00352D86">
      <w:pPr>
        <w:spacing w:line="360" w:lineRule="auto"/>
        <w:rPr>
          <w:rFonts w:ascii="Book Antiqua" w:eastAsia="宋体" w:hAnsi="Book Antiqua" w:cs="Times New Roman"/>
          <w:bCs/>
          <w:kern w:val="0"/>
          <w:sz w:val="24"/>
          <w:szCs w:val="24"/>
        </w:rPr>
      </w:pPr>
    </w:p>
    <w:p w:rsidR="00D32ADF" w:rsidRPr="008D3B68" w:rsidRDefault="00D32ADF" w:rsidP="00352D86">
      <w:pPr>
        <w:spacing w:line="360" w:lineRule="auto"/>
        <w:rPr>
          <w:rFonts w:ascii="Book Antiqua" w:hAnsi="Book Antiqua" w:cs="Times New Roman"/>
          <w:b/>
          <w:bCs/>
          <w:i/>
          <w:kern w:val="0"/>
          <w:sz w:val="24"/>
          <w:szCs w:val="24"/>
        </w:rPr>
      </w:pPr>
      <w:r w:rsidRPr="008D3B68">
        <w:rPr>
          <w:rFonts w:ascii="Book Antiqua" w:hAnsi="Book Antiqua" w:cs="Times New Roman"/>
          <w:b/>
          <w:bCs/>
          <w:i/>
          <w:kern w:val="0"/>
          <w:sz w:val="24"/>
          <w:szCs w:val="24"/>
        </w:rPr>
        <w:t>R</w:t>
      </w:r>
      <w:r w:rsidR="000B09D9" w:rsidRPr="008D3B68">
        <w:rPr>
          <w:rFonts w:ascii="Book Antiqua" w:hAnsi="Book Antiqua" w:cs="Times New Roman"/>
          <w:b/>
          <w:bCs/>
          <w:i/>
          <w:kern w:val="0"/>
          <w:sz w:val="24"/>
          <w:szCs w:val="24"/>
        </w:rPr>
        <w:t>etrospective</w:t>
      </w:r>
      <w:r w:rsidRPr="008D3B68">
        <w:rPr>
          <w:rFonts w:ascii="Book Antiqua" w:hAnsi="Book Antiqua" w:cs="Times New Roman"/>
          <w:b/>
          <w:bCs/>
          <w:i/>
          <w:kern w:val="0"/>
          <w:sz w:val="24"/>
          <w:szCs w:val="24"/>
        </w:rPr>
        <w:t xml:space="preserve"> S</w:t>
      </w:r>
      <w:r w:rsidR="000B09D9" w:rsidRPr="008D3B68">
        <w:rPr>
          <w:rFonts w:ascii="Book Antiqua" w:hAnsi="Book Antiqua" w:cs="Times New Roman"/>
          <w:b/>
          <w:bCs/>
          <w:i/>
          <w:kern w:val="0"/>
          <w:sz w:val="24"/>
          <w:szCs w:val="24"/>
        </w:rPr>
        <w:t>tudy</w:t>
      </w:r>
    </w:p>
    <w:p w:rsidR="00D32ADF" w:rsidRPr="008D3B68" w:rsidRDefault="00D32ADF" w:rsidP="00352D86">
      <w:pPr>
        <w:spacing w:line="360" w:lineRule="auto"/>
        <w:rPr>
          <w:rFonts w:ascii="Book Antiqua" w:hAnsi="Book Antiqua" w:cs="Times New Roman"/>
          <w:b/>
          <w:bCs/>
          <w:kern w:val="0"/>
          <w:sz w:val="24"/>
          <w:szCs w:val="24"/>
        </w:rPr>
      </w:pPr>
    </w:p>
    <w:p w:rsidR="009A0A8D" w:rsidRPr="008D3B68" w:rsidRDefault="00A9672D" w:rsidP="00352D86">
      <w:pPr>
        <w:spacing w:line="360" w:lineRule="auto"/>
        <w:rPr>
          <w:rFonts w:ascii="Book Antiqua" w:eastAsia="宋体" w:hAnsi="Book Antiqua" w:cs="Times New Roman"/>
          <w:b/>
          <w:sz w:val="24"/>
          <w:szCs w:val="24"/>
        </w:rPr>
      </w:pPr>
      <w:r w:rsidRPr="008D3B68">
        <w:rPr>
          <w:rFonts w:ascii="Book Antiqua" w:hAnsi="Book Antiqua" w:cs="Times New Roman"/>
          <w:b/>
          <w:sz w:val="24"/>
          <w:szCs w:val="24"/>
        </w:rPr>
        <w:t xml:space="preserve">Clinical usefulness of ursodeoxycholic acid for </w:t>
      </w:r>
      <w:r w:rsidR="008F634F" w:rsidRPr="008D3B68">
        <w:rPr>
          <w:rFonts w:ascii="Book Antiqua" w:hAnsi="Book Antiqua" w:cs="Times New Roman"/>
          <w:b/>
          <w:sz w:val="24"/>
          <w:szCs w:val="24"/>
        </w:rPr>
        <w:t>Japanese patients with autoimmune hepatitis</w:t>
      </w:r>
    </w:p>
    <w:p w:rsidR="00522397" w:rsidRPr="008D3B68" w:rsidRDefault="00522397" w:rsidP="00352D86">
      <w:pPr>
        <w:spacing w:line="360" w:lineRule="auto"/>
        <w:rPr>
          <w:rFonts w:ascii="Book Antiqua" w:eastAsia="宋体" w:hAnsi="Book Antiqua" w:cs="Times New Roman"/>
          <w:b/>
          <w:sz w:val="24"/>
          <w:szCs w:val="24"/>
        </w:rPr>
      </w:pPr>
    </w:p>
    <w:p w:rsidR="00D32ADF" w:rsidRPr="008D3B68" w:rsidRDefault="00D32ADF" w:rsidP="00352D86">
      <w:pPr>
        <w:autoSpaceDE w:val="0"/>
        <w:autoSpaceDN w:val="0"/>
        <w:adjustRightInd w:val="0"/>
        <w:spacing w:line="360" w:lineRule="auto"/>
        <w:rPr>
          <w:rFonts w:ascii="Book Antiqua" w:hAnsi="Book Antiqua" w:cs="Times New Roman"/>
          <w:bCs/>
          <w:kern w:val="0"/>
          <w:sz w:val="24"/>
          <w:szCs w:val="24"/>
        </w:rPr>
      </w:pPr>
      <w:r w:rsidRPr="008D3B68">
        <w:rPr>
          <w:rFonts w:ascii="Book Antiqua" w:hAnsi="Book Antiqua" w:cs="Times New Roman"/>
          <w:bCs/>
          <w:kern w:val="0"/>
          <w:sz w:val="24"/>
          <w:szCs w:val="24"/>
        </w:rPr>
        <w:t>Torisu Y</w:t>
      </w:r>
      <w:r w:rsidRPr="008D3B68">
        <w:rPr>
          <w:rFonts w:ascii="Book Antiqua" w:hAnsi="Book Antiqua" w:cs="Times New Roman"/>
          <w:bCs/>
          <w:i/>
          <w:kern w:val="0"/>
          <w:sz w:val="24"/>
          <w:szCs w:val="24"/>
        </w:rPr>
        <w:t xml:space="preserve"> et al</w:t>
      </w:r>
      <w:r w:rsidRPr="008D3B68">
        <w:rPr>
          <w:rFonts w:ascii="Book Antiqua" w:hAnsi="Book Antiqua" w:cs="Times New Roman"/>
          <w:bCs/>
          <w:kern w:val="0"/>
          <w:sz w:val="24"/>
          <w:szCs w:val="24"/>
        </w:rPr>
        <w:t>. UDCA for AIH</w:t>
      </w:r>
    </w:p>
    <w:p w:rsidR="00D32ADF" w:rsidRPr="008D3B68" w:rsidRDefault="00D32ADF" w:rsidP="00352D86">
      <w:pPr>
        <w:autoSpaceDE w:val="0"/>
        <w:autoSpaceDN w:val="0"/>
        <w:adjustRightInd w:val="0"/>
        <w:spacing w:line="360" w:lineRule="auto"/>
        <w:rPr>
          <w:rFonts w:ascii="Book Antiqua" w:hAnsi="Book Antiqua" w:cs="Times New Roman"/>
          <w:b/>
          <w:bCs/>
          <w:kern w:val="0"/>
          <w:sz w:val="24"/>
          <w:szCs w:val="24"/>
        </w:rPr>
      </w:pPr>
    </w:p>
    <w:p w:rsidR="0041663B" w:rsidRPr="008D3B68" w:rsidRDefault="0041663B" w:rsidP="00352D86">
      <w:pPr>
        <w:spacing w:line="360" w:lineRule="auto"/>
        <w:rPr>
          <w:rFonts w:ascii="Book Antiqua" w:hAnsi="Book Antiqua" w:cs="Times New Roman"/>
          <w:b/>
          <w:kern w:val="0"/>
          <w:sz w:val="24"/>
          <w:szCs w:val="24"/>
        </w:rPr>
      </w:pPr>
      <w:r w:rsidRPr="008D3B68">
        <w:rPr>
          <w:rFonts w:ascii="Book Antiqua" w:hAnsi="Book Antiqua" w:cs="Times New Roman"/>
          <w:b/>
          <w:kern w:val="0"/>
          <w:sz w:val="24"/>
          <w:szCs w:val="24"/>
        </w:rPr>
        <w:t>Yuichi Torisu, Masanori Nakano,</w:t>
      </w:r>
      <w:r w:rsidR="00EB4F8C" w:rsidRPr="008D3B68">
        <w:rPr>
          <w:rFonts w:ascii="Book Antiqua" w:hAnsi="Book Antiqua" w:cs="Times New Roman"/>
          <w:b/>
          <w:kern w:val="0"/>
          <w:sz w:val="24"/>
          <w:szCs w:val="24"/>
        </w:rPr>
        <w:t xml:space="preserve"> Keiko Takano,</w:t>
      </w:r>
      <w:r w:rsidRPr="008D3B68">
        <w:rPr>
          <w:rFonts w:ascii="Book Antiqua" w:hAnsi="Book Antiqua" w:cs="Times New Roman"/>
          <w:b/>
          <w:kern w:val="0"/>
          <w:sz w:val="24"/>
          <w:szCs w:val="24"/>
        </w:rPr>
        <w:t xml:space="preserve"> Ryo Nakagawa, Chisato Saeki, Atsushi Hokari, Tomohisa Ishikawa, </w:t>
      </w:r>
      <w:r w:rsidR="00CA57C5" w:rsidRPr="008D3B68">
        <w:rPr>
          <w:rFonts w:ascii="Book Antiqua" w:hAnsi="Book Antiqua" w:cs="Times New Roman"/>
          <w:b/>
          <w:kern w:val="0"/>
          <w:sz w:val="24"/>
          <w:szCs w:val="24"/>
        </w:rPr>
        <w:t>Masayuki Saruta</w:t>
      </w:r>
      <w:r w:rsidR="005B51F7" w:rsidRPr="008D3B68">
        <w:rPr>
          <w:rFonts w:ascii="Book Antiqua" w:hAnsi="Book Antiqua" w:cs="Times New Roman"/>
          <w:b/>
          <w:kern w:val="0"/>
          <w:sz w:val="24"/>
          <w:szCs w:val="24"/>
        </w:rPr>
        <w:t>, Mikio Zeniya</w:t>
      </w:r>
    </w:p>
    <w:p w:rsidR="00C124FD" w:rsidRPr="008D3B68" w:rsidRDefault="00C124FD" w:rsidP="00352D86">
      <w:pPr>
        <w:spacing w:line="360" w:lineRule="auto"/>
        <w:rPr>
          <w:rFonts w:ascii="Book Antiqua" w:hAnsi="Book Antiqua" w:cs="Times New Roman"/>
          <w:kern w:val="0"/>
          <w:sz w:val="24"/>
          <w:szCs w:val="24"/>
        </w:rPr>
      </w:pPr>
    </w:p>
    <w:p w:rsidR="004942DB" w:rsidRPr="008D3B68" w:rsidRDefault="00CA57C5" w:rsidP="00352D86">
      <w:pPr>
        <w:spacing w:line="360" w:lineRule="auto"/>
        <w:rPr>
          <w:rFonts w:ascii="Book Antiqua" w:hAnsi="Book Antiqua" w:cs="Times New Roman"/>
          <w:kern w:val="0"/>
          <w:sz w:val="24"/>
          <w:szCs w:val="24"/>
        </w:rPr>
      </w:pPr>
      <w:r w:rsidRPr="008D3B68">
        <w:rPr>
          <w:rFonts w:ascii="Book Antiqua" w:hAnsi="Book Antiqua" w:cs="Times New Roman"/>
          <w:b/>
          <w:kern w:val="0"/>
          <w:sz w:val="24"/>
          <w:szCs w:val="24"/>
        </w:rPr>
        <w:t>Yuichi Torisu, Masanori Nakano, Keiko Takano, Ryo Nakagawa, Chisato Saeki, Atsushi Hokari, Tomohisa Ishikawa, Masayuki Saruta</w:t>
      </w:r>
      <w:r w:rsidR="004942DB" w:rsidRPr="008D3B68">
        <w:rPr>
          <w:rFonts w:ascii="Book Antiqua" w:hAnsi="Book Antiqua" w:cs="Times New Roman"/>
          <w:b/>
          <w:kern w:val="0"/>
          <w:sz w:val="24"/>
          <w:szCs w:val="24"/>
        </w:rPr>
        <w:t xml:space="preserve">, </w:t>
      </w:r>
      <w:r w:rsidR="004942DB" w:rsidRPr="008D3B68">
        <w:rPr>
          <w:rFonts w:ascii="Book Antiqua" w:hAnsi="Book Antiqua" w:cs="Times New Roman"/>
          <w:kern w:val="0"/>
          <w:sz w:val="24"/>
          <w:szCs w:val="24"/>
        </w:rPr>
        <w:t>D</w:t>
      </w:r>
      <w:r w:rsidR="004942DB" w:rsidRPr="008D3B68">
        <w:rPr>
          <w:rFonts w:ascii="Book Antiqua" w:hAnsi="Book Antiqua" w:cs="Times New Roman"/>
          <w:sz w:val="24"/>
          <w:szCs w:val="24"/>
        </w:rPr>
        <w:t>ivision of Gastroenterology and Hepatology, Department of Internal Medicine, The Jikei University School of Medicine</w:t>
      </w:r>
      <w:r w:rsidR="004942DB" w:rsidRPr="008D3B68">
        <w:rPr>
          <w:rFonts w:ascii="Book Antiqua" w:hAnsi="Book Antiqua" w:cs="Times New Roman"/>
          <w:kern w:val="0"/>
          <w:sz w:val="24"/>
          <w:szCs w:val="24"/>
        </w:rPr>
        <w:t>, Tokyo</w:t>
      </w:r>
      <w:r w:rsidR="006E60CC" w:rsidRPr="008D3B68">
        <w:rPr>
          <w:rFonts w:ascii="Book Antiqua" w:eastAsia="宋体" w:hAnsi="Book Antiqua" w:cs="Times New Roman" w:hint="eastAsia"/>
          <w:kern w:val="0"/>
          <w:sz w:val="24"/>
          <w:szCs w:val="24"/>
        </w:rPr>
        <w:t xml:space="preserve"> </w:t>
      </w:r>
      <w:r w:rsidR="004942DB" w:rsidRPr="008D3B68">
        <w:rPr>
          <w:rFonts w:ascii="Book Antiqua" w:hAnsi="Book Antiqua" w:cs="Times New Roman"/>
          <w:kern w:val="0"/>
          <w:sz w:val="24"/>
          <w:szCs w:val="24"/>
        </w:rPr>
        <w:t>105-8461, Japan</w:t>
      </w:r>
    </w:p>
    <w:p w:rsidR="00CA57C5" w:rsidRPr="008D3B68" w:rsidRDefault="00CA57C5" w:rsidP="00352D86">
      <w:pPr>
        <w:spacing w:line="360" w:lineRule="auto"/>
        <w:rPr>
          <w:rFonts w:ascii="Book Antiqua" w:hAnsi="Book Antiqua" w:cs="Times New Roman"/>
          <w:kern w:val="0"/>
          <w:sz w:val="24"/>
          <w:szCs w:val="24"/>
        </w:rPr>
      </w:pPr>
    </w:p>
    <w:p w:rsidR="004942DB" w:rsidRPr="008D3B68" w:rsidRDefault="004942DB" w:rsidP="00352D86">
      <w:pPr>
        <w:spacing w:line="360" w:lineRule="auto"/>
        <w:rPr>
          <w:rFonts w:ascii="Book Antiqua" w:eastAsia="MS PGothic" w:hAnsi="Book Antiqua" w:cs="Times New Roman"/>
          <w:sz w:val="24"/>
          <w:szCs w:val="24"/>
        </w:rPr>
      </w:pPr>
      <w:r w:rsidRPr="008D3B68">
        <w:rPr>
          <w:rFonts w:ascii="Book Antiqua" w:hAnsi="Book Antiqua" w:cs="Times New Roman"/>
          <w:b/>
          <w:kern w:val="0"/>
          <w:sz w:val="24"/>
          <w:szCs w:val="24"/>
        </w:rPr>
        <w:t xml:space="preserve">Yuichi Torisu, Masanori Nakano, </w:t>
      </w:r>
      <w:r w:rsidRPr="008D3B68">
        <w:rPr>
          <w:rFonts w:ascii="Book Antiqua" w:hAnsi="Book Antiqua" w:cs="Times New Roman"/>
          <w:sz w:val="24"/>
          <w:szCs w:val="24"/>
        </w:rPr>
        <w:t>Department of Internal Medicine, Fuji City General Hospital,</w:t>
      </w:r>
      <w:r w:rsidRPr="008D3B68">
        <w:rPr>
          <w:rFonts w:ascii="Book Antiqua" w:eastAsia="MS PGothic" w:hAnsi="Book Antiqua" w:cs="Times New Roman"/>
          <w:sz w:val="24"/>
          <w:szCs w:val="24"/>
        </w:rPr>
        <w:t xml:space="preserve"> Shizuoka</w:t>
      </w:r>
      <w:r w:rsidR="00950CD2" w:rsidRPr="008D3B68">
        <w:rPr>
          <w:rFonts w:ascii="Book Antiqua" w:eastAsia="宋体" w:hAnsi="Book Antiqua" w:cs="Times New Roman" w:hint="eastAsia"/>
          <w:sz w:val="24"/>
          <w:szCs w:val="24"/>
        </w:rPr>
        <w:t xml:space="preserve"> </w:t>
      </w:r>
      <w:r w:rsidRPr="008D3B68">
        <w:rPr>
          <w:rFonts w:ascii="Book Antiqua" w:eastAsia="MS PGothic" w:hAnsi="Book Antiqua" w:cs="Times New Roman"/>
          <w:sz w:val="24"/>
          <w:szCs w:val="24"/>
        </w:rPr>
        <w:t>417-8567, Japan</w:t>
      </w:r>
    </w:p>
    <w:p w:rsidR="00CA57C5" w:rsidRPr="008D3B68" w:rsidRDefault="00CA57C5" w:rsidP="00352D86">
      <w:pPr>
        <w:spacing w:line="360" w:lineRule="auto"/>
        <w:rPr>
          <w:rFonts w:ascii="Book Antiqua" w:hAnsi="Book Antiqua" w:cs="Times New Roman"/>
          <w:kern w:val="0"/>
          <w:sz w:val="24"/>
          <w:szCs w:val="24"/>
        </w:rPr>
      </w:pPr>
    </w:p>
    <w:p w:rsidR="004942DB" w:rsidRPr="008D3B68" w:rsidRDefault="004942DB" w:rsidP="00352D86">
      <w:pPr>
        <w:spacing w:line="360" w:lineRule="auto"/>
        <w:rPr>
          <w:rFonts w:ascii="Book Antiqua" w:hAnsi="Book Antiqua" w:cs="Times New Roman"/>
          <w:kern w:val="0"/>
          <w:sz w:val="24"/>
          <w:szCs w:val="24"/>
        </w:rPr>
      </w:pPr>
      <w:r w:rsidRPr="008D3B68">
        <w:rPr>
          <w:rFonts w:ascii="Book Antiqua" w:hAnsi="Book Antiqua" w:cs="Times New Roman"/>
          <w:b/>
          <w:kern w:val="0"/>
          <w:sz w:val="24"/>
          <w:szCs w:val="24"/>
        </w:rPr>
        <w:t xml:space="preserve">Mikio Zeniya, </w:t>
      </w:r>
      <w:r w:rsidR="00DD10A4" w:rsidRPr="008D3B68">
        <w:rPr>
          <w:rFonts w:ascii="Book Antiqua" w:hAnsi="Book Antiqua" w:cs="Times New Roman"/>
          <w:sz w:val="24"/>
          <w:szCs w:val="24"/>
        </w:rPr>
        <w:t>Department of Internal Medicine</w:t>
      </w:r>
      <w:r w:rsidRPr="008D3B68">
        <w:rPr>
          <w:rFonts w:ascii="Book Antiqua" w:hAnsi="Book Antiqua" w:cs="Times New Roman"/>
          <w:sz w:val="24"/>
          <w:szCs w:val="24"/>
        </w:rPr>
        <w:t xml:space="preserve">, Sanno </w:t>
      </w:r>
      <w:r w:rsidR="003B7D50" w:rsidRPr="008D3B68">
        <w:rPr>
          <w:rFonts w:ascii="Book Antiqua" w:hAnsi="Book Antiqua" w:cs="Times New Roman"/>
          <w:sz w:val="24"/>
          <w:szCs w:val="24"/>
        </w:rPr>
        <w:t>Medical Center</w:t>
      </w:r>
      <w:r w:rsidRPr="008D3B68">
        <w:rPr>
          <w:rFonts w:ascii="Book Antiqua" w:hAnsi="Book Antiqua" w:cs="Times New Roman"/>
          <w:sz w:val="24"/>
          <w:szCs w:val="24"/>
        </w:rPr>
        <w:t>,</w:t>
      </w:r>
      <w:r w:rsidRPr="008D3B68">
        <w:rPr>
          <w:rFonts w:ascii="Book Antiqua" w:hAnsi="Book Antiqua" w:cs="Times New Roman"/>
          <w:kern w:val="0"/>
          <w:sz w:val="24"/>
          <w:szCs w:val="24"/>
        </w:rPr>
        <w:t xml:space="preserve"> </w:t>
      </w:r>
      <w:r w:rsidR="003B7D50" w:rsidRPr="008D3B68">
        <w:rPr>
          <w:rFonts w:ascii="Book Antiqua" w:hAnsi="Book Antiqua" w:cs="Times New Roman"/>
          <w:kern w:val="0"/>
          <w:sz w:val="24"/>
          <w:szCs w:val="24"/>
        </w:rPr>
        <w:t>8-5-35</w:t>
      </w:r>
      <w:r w:rsidRPr="008D3B68">
        <w:rPr>
          <w:rFonts w:ascii="Book Antiqua" w:hAnsi="Book Antiqua" w:cs="Times New Roman"/>
          <w:kern w:val="0"/>
          <w:sz w:val="24"/>
          <w:szCs w:val="24"/>
        </w:rPr>
        <w:t>, Akasaka,</w:t>
      </w:r>
      <w:r w:rsidR="00B75EE1" w:rsidRPr="008D3B68">
        <w:rPr>
          <w:rFonts w:ascii="Book Antiqua" w:eastAsia="宋体" w:hAnsi="Book Antiqua" w:cs="Times New Roman" w:hint="eastAsia"/>
          <w:kern w:val="0"/>
          <w:sz w:val="24"/>
          <w:szCs w:val="24"/>
        </w:rPr>
        <w:t xml:space="preserve"> </w:t>
      </w:r>
      <w:r w:rsidRPr="008D3B68">
        <w:rPr>
          <w:rFonts w:ascii="Book Antiqua" w:hAnsi="Book Antiqua" w:cs="Times New Roman"/>
          <w:kern w:val="0"/>
          <w:sz w:val="24"/>
          <w:szCs w:val="24"/>
        </w:rPr>
        <w:t>Tokyo</w:t>
      </w:r>
      <w:r w:rsidR="00B75EE1" w:rsidRPr="008D3B68">
        <w:rPr>
          <w:rFonts w:ascii="Book Antiqua" w:eastAsia="宋体" w:hAnsi="Book Antiqua" w:cs="Times New Roman" w:hint="eastAsia"/>
          <w:kern w:val="0"/>
          <w:sz w:val="24"/>
          <w:szCs w:val="24"/>
        </w:rPr>
        <w:t xml:space="preserve"> </w:t>
      </w:r>
      <w:r w:rsidRPr="008D3B68">
        <w:rPr>
          <w:rFonts w:ascii="Book Antiqua" w:hAnsi="Book Antiqua" w:cs="Times New Roman"/>
          <w:kern w:val="0"/>
          <w:sz w:val="24"/>
          <w:szCs w:val="24"/>
        </w:rPr>
        <w:t>107-0052, Japan</w:t>
      </w:r>
    </w:p>
    <w:p w:rsidR="00620AE7" w:rsidRPr="008D3B68" w:rsidRDefault="00620AE7" w:rsidP="00352D86">
      <w:pPr>
        <w:autoSpaceDE w:val="0"/>
        <w:autoSpaceDN w:val="0"/>
        <w:adjustRightInd w:val="0"/>
        <w:spacing w:line="360" w:lineRule="auto"/>
        <w:rPr>
          <w:rFonts w:ascii="Book Antiqua" w:hAnsi="Book Antiqua" w:cs="Times New Roman"/>
          <w:b/>
          <w:bCs/>
          <w:kern w:val="0"/>
          <w:sz w:val="24"/>
          <w:szCs w:val="24"/>
        </w:rPr>
      </w:pPr>
    </w:p>
    <w:p w:rsidR="004C187F" w:rsidRPr="008D3B68" w:rsidRDefault="004942DB" w:rsidP="00352D86">
      <w:pPr>
        <w:spacing w:line="360" w:lineRule="auto"/>
        <w:rPr>
          <w:rFonts w:ascii="Book Antiqua" w:eastAsia="MS PGothic" w:hAnsi="Book Antiqua" w:cs="Times New Roman"/>
          <w:bCs/>
          <w:sz w:val="24"/>
          <w:szCs w:val="24"/>
        </w:rPr>
      </w:pPr>
      <w:r w:rsidRPr="008D3B68">
        <w:rPr>
          <w:rFonts w:ascii="Book Antiqua" w:eastAsia="MS PGothic" w:hAnsi="Book Antiqua" w:cs="Times New Roman"/>
          <w:b/>
          <w:bCs/>
          <w:sz w:val="24"/>
          <w:szCs w:val="24"/>
        </w:rPr>
        <w:t>Author contributions:</w:t>
      </w:r>
      <w:r w:rsidR="004C187F" w:rsidRPr="008D3B68">
        <w:rPr>
          <w:rFonts w:ascii="Book Antiqua" w:hAnsi="Book Antiqua" w:cs="TimesNewRomanPSMT"/>
          <w:kern w:val="0"/>
          <w:sz w:val="24"/>
          <w:szCs w:val="24"/>
        </w:rPr>
        <w:t xml:space="preserve"> </w:t>
      </w:r>
      <w:r w:rsidR="00A66BD6" w:rsidRPr="008D3B68">
        <w:rPr>
          <w:rFonts w:ascii="Book Antiqua" w:eastAsia="MS PGothic" w:hAnsi="Book Antiqua" w:cs="Times New Roman"/>
          <w:bCs/>
          <w:sz w:val="24"/>
          <w:szCs w:val="24"/>
        </w:rPr>
        <w:t xml:space="preserve">Torisu Y and Zeniya M designed the research; </w:t>
      </w:r>
      <w:r w:rsidR="00E32546" w:rsidRPr="008D3B68">
        <w:rPr>
          <w:rFonts w:ascii="Book Antiqua" w:hAnsi="Book Antiqua" w:cs="Times New Roman"/>
          <w:kern w:val="0"/>
          <w:sz w:val="24"/>
          <w:szCs w:val="24"/>
        </w:rPr>
        <w:t>Torisu Y</w:t>
      </w:r>
      <w:r w:rsidR="00E32546" w:rsidRPr="008D3B68">
        <w:rPr>
          <w:rFonts w:ascii="Book Antiqua" w:eastAsia="MS PGothic" w:hAnsi="Book Antiqua" w:cs="Times New Roman"/>
          <w:bCs/>
          <w:sz w:val="24"/>
          <w:szCs w:val="24"/>
        </w:rPr>
        <w:t xml:space="preserve"> </w:t>
      </w:r>
      <w:r w:rsidR="00A66BD6" w:rsidRPr="008D3B68">
        <w:rPr>
          <w:rFonts w:ascii="Book Antiqua" w:hAnsi="Book Antiqua" w:cs="Book Antiqua"/>
          <w:kern w:val="0"/>
          <w:sz w:val="24"/>
          <w:szCs w:val="24"/>
        </w:rPr>
        <w:t>collected and analyzed the data</w:t>
      </w:r>
      <w:r w:rsidR="00A66BD6" w:rsidRPr="008D3B68">
        <w:rPr>
          <w:rFonts w:ascii="Book Antiqua" w:eastAsia="MS PGothic" w:hAnsi="Book Antiqua" w:cs="Times New Roman"/>
          <w:bCs/>
          <w:sz w:val="24"/>
          <w:szCs w:val="24"/>
        </w:rPr>
        <w:t xml:space="preserve">; </w:t>
      </w:r>
      <w:r w:rsidR="00E32546" w:rsidRPr="008D3B68">
        <w:rPr>
          <w:rFonts w:ascii="Book Antiqua" w:eastAsia="MS PGothic" w:hAnsi="Book Antiqua" w:cs="Times New Roman"/>
          <w:bCs/>
          <w:sz w:val="24"/>
          <w:szCs w:val="24"/>
        </w:rPr>
        <w:t xml:space="preserve">Nakano M, Takano K, Nakagawa R, Saeki C, Hokari A, </w:t>
      </w:r>
      <w:r w:rsidR="00A66BD6" w:rsidRPr="008D3B68">
        <w:rPr>
          <w:rFonts w:ascii="Book Antiqua" w:eastAsia="MS PGothic" w:hAnsi="Book Antiqua" w:cs="Times New Roman"/>
          <w:bCs/>
          <w:sz w:val="24"/>
          <w:szCs w:val="24"/>
        </w:rPr>
        <w:t>Ishikawa T</w:t>
      </w:r>
      <w:r w:rsidR="00E32546" w:rsidRPr="008D3B68">
        <w:rPr>
          <w:rFonts w:ascii="Book Antiqua" w:eastAsia="MS PGothic" w:hAnsi="Book Antiqua" w:cs="Times New Roman"/>
          <w:bCs/>
          <w:sz w:val="24"/>
          <w:szCs w:val="24"/>
        </w:rPr>
        <w:t xml:space="preserve"> and </w:t>
      </w:r>
      <w:r w:rsidR="00A66BD6" w:rsidRPr="008D3B68">
        <w:rPr>
          <w:rFonts w:ascii="Book Antiqua" w:eastAsia="MS PGothic" w:hAnsi="Book Antiqua" w:cs="Times New Roman"/>
          <w:bCs/>
          <w:sz w:val="24"/>
          <w:szCs w:val="24"/>
        </w:rPr>
        <w:t>Saruta M</w:t>
      </w:r>
      <w:r w:rsidR="00E32546" w:rsidRPr="008D3B68">
        <w:rPr>
          <w:rFonts w:ascii="Book Antiqua" w:eastAsia="MS PGothic" w:hAnsi="Book Antiqua" w:cs="Times New Roman"/>
          <w:bCs/>
          <w:sz w:val="24"/>
          <w:szCs w:val="24"/>
        </w:rPr>
        <w:t xml:space="preserve"> </w:t>
      </w:r>
      <w:r w:rsidR="00A66BD6" w:rsidRPr="008D3B68">
        <w:rPr>
          <w:rFonts w:ascii="Book Antiqua" w:eastAsia="MS PGothic" w:hAnsi="Book Antiqua" w:cs="Times New Roman"/>
          <w:bCs/>
          <w:sz w:val="24"/>
          <w:szCs w:val="24"/>
        </w:rPr>
        <w:t>revised the manuscript for important intellectual content</w:t>
      </w:r>
      <w:r w:rsidR="00E32546" w:rsidRPr="008D3B68">
        <w:rPr>
          <w:rFonts w:ascii="Book Antiqua" w:eastAsia="MS PGothic" w:hAnsi="Book Antiqua" w:cs="Times New Roman"/>
          <w:bCs/>
          <w:sz w:val="24"/>
          <w:szCs w:val="24"/>
        </w:rPr>
        <w:t xml:space="preserve">; </w:t>
      </w:r>
      <w:r w:rsidR="00E32546" w:rsidRPr="008D3B68">
        <w:rPr>
          <w:rFonts w:ascii="Book Antiqua" w:hAnsi="Book Antiqua" w:cs="Times New Roman"/>
          <w:kern w:val="0"/>
          <w:sz w:val="24"/>
          <w:szCs w:val="24"/>
        </w:rPr>
        <w:t>Torisu Y</w:t>
      </w:r>
      <w:r w:rsidR="00E32546" w:rsidRPr="008D3B68">
        <w:rPr>
          <w:rFonts w:ascii="Book Antiqua" w:eastAsia="MS PGothic" w:hAnsi="Book Antiqua" w:cs="Times New Roman"/>
          <w:bCs/>
          <w:sz w:val="24"/>
          <w:szCs w:val="24"/>
        </w:rPr>
        <w:t xml:space="preserve"> and Zeniya M</w:t>
      </w:r>
      <w:r w:rsidR="00B57FA0" w:rsidRPr="008D3B68">
        <w:rPr>
          <w:rFonts w:ascii="Book Antiqua" w:eastAsia="MS PGothic" w:hAnsi="Book Antiqua" w:cs="Times New Roman"/>
          <w:bCs/>
          <w:sz w:val="24"/>
          <w:szCs w:val="24"/>
        </w:rPr>
        <w:t xml:space="preserve"> wrote the paper; all authors</w:t>
      </w:r>
      <w:r w:rsidR="003D6849" w:rsidRPr="008D3B68">
        <w:rPr>
          <w:rFonts w:ascii="Book Antiqua" w:eastAsia="宋体" w:hAnsi="Book Antiqua" w:cs="Times New Roman" w:hint="eastAsia"/>
          <w:bCs/>
          <w:sz w:val="24"/>
          <w:szCs w:val="24"/>
        </w:rPr>
        <w:t xml:space="preserve"> </w:t>
      </w:r>
      <w:r w:rsidR="00B57FA0" w:rsidRPr="008D3B68">
        <w:rPr>
          <w:rFonts w:ascii="Book Antiqua" w:eastAsia="MS PGothic" w:hAnsi="Book Antiqua" w:cs="Times New Roman"/>
          <w:bCs/>
          <w:sz w:val="24"/>
          <w:szCs w:val="24"/>
        </w:rPr>
        <w:t>have read and approved the final version to be published.</w:t>
      </w:r>
    </w:p>
    <w:p w:rsidR="00600F4A" w:rsidRPr="008D3B68" w:rsidRDefault="00600F4A" w:rsidP="00352D86">
      <w:pPr>
        <w:spacing w:line="360" w:lineRule="auto"/>
        <w:rPr>
          <w:rFonts w:ascii="Book Antiqua" w:eastAsia="MS PGothic" w:hAnsi="Book Antiqua" w:cs="Times New Roman"/>
          <w:b/>
          <w:bCs/>
          <w:sz w:val="24"/>
          <w:szCs w:val="24"/>
        </w:rPr>
      </w:pPr>
    </w:p>
    <w:p w:rsidR="00600F4A" w:rsidRPr="008D3B68" w:rsidRDefault="004C187F" w:rsidP="00352D86">
      <w:pPr>
        <w:spacing w:line="360" w:lineRule="auto"/>
        <w:rPr>
          <w:rFonts w:ascii="Book Antiqua" w:hAnsi="Book Antiqua" w:cs="Times New Roman"/>
          <w:sz w:val="24"/>
          <w:szCs w:val="24"/>
        </w:rPr>
      </w:pPr>
      <w:r w:rsidRPr="008D3B68">
        <w:rPr>
          <w:rFonts w:ascii="Book Antiqua" w:eastAsia="MS PGothic" w:hAnsi="Book Antiqua" w:cs="Times New Roman"/>
          <w:b/>
          <w:bCs/>
          <w:sz w:val="24"/>
          <w:szCs w:val="24"/>
        </w:rPr>
        <w:t>Institutional review board statement:</w:t>
      </w:r>
      <w:r w:rsidR="00600F4A" w:rsidRPr="008D3B68">
        <w:rPr>
          <w:rFonts w:ascii="Book Antiqua" w:eastAsia="MS PGothic" w:hAnsi="Book Antiqua" w:cs="Times New Roman"/>
          <w:b/>
          <w:bCs/>
          <w:sz w:val="24"/>
          <w:szCs w:val="24"/>
        </w:rPr>
        <w:t xml:space="preserve"> </w:t>
      </w:r>
      <w:r w:rsidR="00523B59" w:rsidRPr="008D3B68">
        <w:rPr>
          <w:rFonts w:ascii="Book Antiqua" w:hAnsi="Book Antiqua" w:cs="Times New Roman"/>
          <w:sz w:val="24"/>
          <w:szCs w:val="24"/>
        </w:rPr>
        <w:t>The study was reviewed and approved by</w:t>
      </w:r>
      <w:r w:rsidR="005B51F7" w:rsidRPr="008D3B68">
        <w:rPr>
          <w:rFonts w:ascii="Book Antiqua" w:hAnsi="Book Antiqua" w:cs="Times New Roman"/>
          <w:sz w:val="24"/>
          <w:szCs w:val="24"/>
        </w:rPr>
        <w:t xml:space="preserve"> </w:t>
      </w:r>
      <w:r w:rsidR="00523B59" w:rsidRPr="008D3B68">
        <w:rPr>
          <w:rFonts w:ascii="Book Antiqua" w:hAnsi="Book Antiqua" w:cs="Times New Roman"/>
          <w:sz w:val="24"/>
          <w:szCs w:val="24"/>
        </w:rPr>
        <w:t>the Jikei University School of Medicine Institutional Review Board</w:t>
      </w:r>
      <w:r w:rsidR="00766651" w:rsidRPr="008D3B68">
        <w:rPr>
          <w:rFonts w:ascii="Book Antiqua" w:hAnsi="Book Antiqua" w:cs="Times New Roman"/>
          <w:sz w:val="24"/>
          <w:szCs w:val="24"/>
        </w:rPr>
        <w:t>; IRB Protocol No: 26-321(7827)</w:t>
      </w:r>
      <w:r w:rsidR="00523B59" w:rsidRPr="008D3B68">
        <w:rPr>
          <w:rFonts w:ascii="Book Antiqua" w:hAnsi="Book Antiqua" w:cs="Times New Roman"/>
          <w:sz w:val="24"/>
          <w:szCs w:val="24"/>
        </w:rPr>
        <w:t>.</w:t>
      </w:r>
    </w:p>
    <w:p w:rsidR="00E32546" w:rsidRPr="008D3B68" w:rsidRDefault="00E32546" w:rsidP="009516A3">
      <w:pPr>
        <w:spacing w:line="360" w:lineRule="auto"/>
        <w:ind w:firstLineChars="50" w:firstLine="130"/>
        <w:rPr>
          <w:rFonts w:ascii="Book Antiqua" w:eastAsia="MS PGothic" w:hAnsi="Book Antiqua" w:cs="Times New Roman"/>
          <w:b/>
          <w:bCs/>
          <w:sz w:val="24"/>
          <w:szCs w:val="24"/>
        </w:rPr>
      </w:pPr>
    </w:p>
    <w:p w:rsidR="00523B59" w:rsidRPr="008D3B68" w:rsidRDefault="004C187F" w:rsidP="00352D86">
      <w:pPr>
        <w:autoSpaceDE w:val="0"/>
        <w:autoSpaceDN w:val="0"/>
        <w:adjustRightInd w:val="0"/>
        <w:spacing w:line="360" w:lineRule="auto"/>
        <w:rPr>
          <w:rFonts w:ascii="Book Antiqua" w:hAnsi="Book Antiqua" w:cs="Times New Roman"/>
          <w:sz w:val="24"/>
          <w:szCs w:val="24"/>
        </w:rPr>
      </w:pPr>
      <w:r w:rsidRPr="008D3B68">
        <w:rPr>
          <w:rFonts w:ascii="Book Antiqua" w:eastAsia="MS PGothic" w:hAnsi="Book Antiqua" w:cs="Times New Roman"/>
          <w:b/>
          <w:bCs/>
          <w:sz w:val="24"/>
          <w:szCs w:val="24"/>
        </w:rPr>
        <w:t>Informed consent statement:</w:t>
      </w:r>
      <w:r w:rsidR="00523B59" w:rsidRPr="008D3B68">
        <w:rPr>
          <w:rFonts w:ascii="Book Antiqua" w:eastAsia="MS PGothic" w:hAnsi="Book Antiqua" w:cs="Times New Roman"/>
          <w:b/>
          <w:bCs/>
          <w:sz w:val="24"/>
          <w:szCs w:val="24"/>
        </w:rPr>
        <w:t xml:space="preserve"> </w:t>
      </w:r>
      <w:r w:rsidR="00523B59" w:rsidRPr="008D3B68">
        <w:rPr>
          <w:rFonts w:ascii="Book Antiqua" w:hAnsi="Book Antiqua" w:cs="Times New Roman"/>
          <w:sz w:val="24"/>
          <w:szCs w:val="24"/>
        </w:rPr>
        <w:t>Written, informed consent for participation in this study was not obtained from the patients, because this study did not report on a clinical trial and the data were retrospective in nature and analyzed anonymously.</w:t>
      </w:r>
      <w:r w:rsidR="00533570" w:rsidRPr="008D3B68">
        <w:rPr>
          <w:rFonts w:ascii="Book Antiqua" w:hAnsi="Book Antiqua" w:cs="Times New Roman"/>
          <w:sz w:val="24"/>
          <w:szCs w:val="24"/>
        </w:rPr>
        <w:t xml:space="preserve"> </w:t>
      </w:r>
    </w:p>
    <w:p w:rsidR="00600F4A" w:rsidRPr="008D3B68" w:rsidRDefault="00600F4A" w:rsidP="00352D86">
      <w:pPr>
        <w:spacing w:line="360" w:lineRule="auto"/>
        <w:rPr>
          <w:rFonts w:ascii="Book Antiqua" w:eastAsia="MS PGothic" w:hAnsi="Book Antiqua" w:cs="Times New Roman"/>
          <w:b/>
          <w:bCs/>
          <w:sz w:val="24"/>
          <w:szCs w:val="24"/>
        </w:rPr>
      </w:pPr>
    </w:p>
    <w:p w:rsidR="004C187F" w:rsidRPr="008D3B68" w:rsidRDefault="004C187F" w:rsidP="00352D86">
      <w:pPr>
        <w:spacing w:line="360" w:lineRule="auto"/>
        <w:rPr>
          <w:rFonts w:ascii="Book Antiqua" w:eastAsia="MS PGothic" w:hAnsi="Book Antiqua" w:cs="Times New Roman"/>
          <w:bCs/>
          <w:sz w:val="24"/>
          <w:szCs w:val="24"/>
        </w:rPr>
      </w:pPr>
      <w:r w:rsidRPr="008D3B68">
        <w:rPr>
          <w:rFonts w:ascii="Book Antiqua" w:eastAsia="MS PGothic" w:hAnsi="Book Antiqua" w:cs="Times New Roman"/>
          <w:b/>
          <w:bCs/>
          <w:sz w:val="24"/>
          <w:szCs w:val="24"/>
        </w:rPr>
        <w:t>Conflict-of-interest statement:</w:t>
      </w:r>
      <w:r w:rsidR="00600F4A" w:rsidRPr="008D3B68">
        <w:rPr>
          <w:rFonts w:ascii="Book Antiqua" w:hAnsi="Book Antiqua" w:cs="TimesNewRomanPSMT"/>
          <w:kern w:val="0"/>
          <w:sz w:val="24"/>
          <w:szCs w:val="24"/>
        </w:rPr>
        <w:t xml:space="preserve"> </w:t>
      </w:r>
      <w:r w:rsidR="00B64A75" w:rsidRPr="008D3B68">
        <w:rPr>
          <w:rFonts w:ascii="Book Antiqua" w:eastAsia="MS PGothic" w:hAnsi="Book Antiqua" w:cs="Times New Roman"/>
          <w:bCs/>
          <w:sz w:val="24"/>
          <w:szCs w:val="24"/>
        </w:rPr>
        <w:t>We have no financial relationships to disclose.</w:t>
      </w:r>
    </w:p>
    <w:p w:rsidR="00600F4A" w:rsidRPr="008D3B68" w:rsidRDefault="00600F4A" w:rsidP="00352D86">
      <w:pPr>
        <w:spacing w:line="360" w:lineRule="auto"/>
        <w:rPr>
          <w:rFonts w:ascii="Book Antiqua" w:eastAsia="MS PGothic" w:hAnsi="Book Antiqua" w:cs="Times New Roman"/>
          <w:b/>
          <w:bCs/>
          <w:sz w:val="24"/>
          <w:szCs w:val="24"/>
        </w:rPr>
      </w:pPr>
    </w:p>
    <w:p w:rsidR="004C187F" w:rsidRPr="008D3B68" w:rsidRDefault="004C187F" w:rsidP="00352D86">
      <w:pPr>
        <w:spacing w:line="360" w:lineRule="auto"/>
        <w:rPr>
          <w:rFonts w:ascii="Book Antiqua" w:eastAsia="MS PGothic" w:hAnsi="Book Antiqua" w:cs="Times New Roman"/>
          <w:b/>
          <w:bCs/>
          <w:sz w:val="24"/>
          <w:szCs w:val="24"/>
        </w:rPr>
      </w:pPr>
      <w:r w:rsidRPr="008D3B68">
        <w:rPr>
          <w:rFonts w:ascii="Book Antiqua" w:eastAsia="MS PGothic" w:hAnsi="Book Antiqua" w:cs="Times New Roman"/>
          <w:b/>
          <w:bCs/>
          <w:sz w:val="24"/>
          <w:szCs w:val="24"/>
        </w:rPr>
        <w:t>Data sharing statement:</w:t>
      </w:r>
      <w:r w:rsidR="00600F4A" w:rsidRPr="008D3B68">
        <w:rPr>
          <w:rFonts w:ascii="Book Antiqua" w:eastAsia="MS PGothic" w:hAnsi="Book Antiqua" w:cs="Times New Roman"/>
          <w:b/>
          <w:bCs/>
          <w:sz w:val="24"/>
          <w:szCs w:val="24"/>
        </w:rPr>
        <w:t xml:space="preserve"> </w:t>
      </w:r>
      <w:r w:rsidR="00600F4A" w:rsidRPr="008D3B68">
        <w:rPr>
          <w:rFonts w:ascii="Book Antiqua" w:eastAsia="MS PGothic" w:hAnsi="Book Antiqua" w:cs="Times New Roman"/>
          <w:bCs/>
          <w:sz w:val="24"/>
          <w:szCs w:val="24"/>
        </w:rPr>
        <w:t>No additional data are available.</w:t>
      </w:r>
    </w:p>
    <w:p w:rsidR="00600F4A" w:rsidRPr="008D3B68" w:rsidRDefault="00600F4A" w:rsidP="00352D86">
      <w:pPr>
        <w:spacing w:line="360" w:lineRule="auto"/>
        <w:rPr>
          <w:rFonts w:ascii="Book Antiqua" w:eastAsia="MS PGothic" w:hAnsi="Book Antiqua" w:cs="Times New Roman"/>
          <w:b/>
          <w:bCs/>
          <w:sz w:val="24"/>
          <w:szCs w:val="24"/>
        </w:rPr>
      </w:pPr>
    </w:p>
    <w:p w:rsidR="00352D86" w:rsidRPr="008D3B68" w:rsidRDefault="00352D86" w:rsidP="00352D86">
      <w:pPr>
        <w:spacing w:line="360" w:lineRule="auto"/>
        <w:rPr>
          <w:rFonts w:ascii="Book Antiqua" w:eastAsia="宋体" w:hAnsi="Book Antiqua" w:cs="Times New Roman"/>
          <w:sz w:val="24"/>
          <w:szCs w:val="24"/>
        </w:rPr>
      </w:pPr>
      <w:bookmarkStart w:id="0" w:name="OLE_LINK507"/>
      <w:bookmarkStart w:id="1" w:name="OLE_LINK506"/>
      <w:bookmarkStart w:id="2" w:name="OLE_LINK496"/>
      <w:bookmarkStart w:id="3" w:name="OLE_LINK479"/>
      <w:bookmarkStart w:id="4" w:name="OLE_LINK297"/>
      <w:bookmarkStart w:id="5" w:name="OLE_LINK298"/>
      <w:r w:rsidRPr="00352D86">
        <w:rPr>
          <w:rFonts w:ascii="Book Antiqua" w:eastAsia="宋体" w:hAnsi="Book Antiqua" w:cs="Times New Roman"/>
          <w:b/>
          <w:sz w:val="24"/>
          <w:szCs w:val="24"/>
        </w:rPr>
        <w:t xml:space="preserve">Open-Access: </w:t>
      </w:r>
      <w:r w:rsidRPr="00352D86">
        <w:rPr>
          <w:rFonts w:ascii="Book Antiqua" w:eastAsia="宋体"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352D86">
        <w:rPr>
          <w:rFonts w:ascii="Book Antiqua" w:eastAsia="宋体" w:hAnsi="Book Antiqua" w:cs="Times New Roman"/>
          <w:sz w:val="24"/>
          <w:szCs w:val="24"/>
        </w:rPr>
        <w:lastRenderedPageBreak/>
        <w:t xml:space="preserve">adapt, build upon this work non-commercially, and license their derivative works on different terms, provided the original work is properly cited and the use is non-commercial. See: </w:t>
      </w:r>
      <w:hyperlink r:id="rId8" w:history="1">
        <w:r w:rsidRPr="008D3B68">
          <w:rPr>
            <w:rFonts w:ascii="Book Antiqua" w:eastAsia="宋体" w:hAnsi="Book Antiqua" w:cs="Times New Roman"/>
            <w:sz w:val="24"/>
            <w:szCs w:val="24"/>
          </w:rPr>
          <w:t>http://creativecommons.org/licenses/by-nc/4.0/</w:t>
        </w:r>
      </w:hyperlink>
      <w:bookmarkEnd w:id="0"/>
      <w:bookmarkEnd w:id="1"/>
      <w:bookmarkEnd w:id="2"/>
      <w:bookmarkEnd w:id="3"/>
    </w:p>
    <w:bookmarkEnd w:id="4"/>
    <w:bookmarkEnd w:id="5"/>
    <w:p w:rsidR="00352D86" w:rsidRPr="008D3B68" w:rsidRDefault="00352D86" w:rsidP="00352D86">
      <w:pPr>
        <w:spacing w:line="360" w:lineRule="auto"/>
        <w:rPr>
          <w:rFonts w:ascii="Book Antiqua" w:eastAsia="宋体" w:hAnsi="Book Antiqua" w:cs="Times New Roman"/>
          <w:b/>
          <w:sz w:val="24"/>
          <w:szCs w:val="24"/>
        </w:rPr>
      </w:pPr>
    </w:p>
    <w:p w:rsidR="00352D86" w:rsidRPr="00352D86" w:rsidRDefault="00352D86" w:rsidP="00352D86">
      <w:pPr>
        <w:spacing w:line="360" w:lineRule="auto"/>
        <w:rPr>
          <w:rFonts w:ascii="Book Antiqua" w:eastAsia="宋体" w:hAnsi="Book Antiqua" w:cs="Times New Roman"/>
          <w:sz w:val="24"/>
          <w:szCs w:val="24"/>
        </w:rPr>
      </w:pPr>
      <w:r w:rsidRPr="00352D86">
        <w:rPr>
          <w:rFonts w:ascii="Book Antiqua" w:eastAsia="宋体" w:hAnsi="Book Antiqua" w:cs="Times New Roman"/>
          <w:b/>
          <w:sz w:val="24"/>
          <w:szCs w:val="24"/>
        </w:rPr>
        <w:t xml:space="preserve">Manuscript source: </w:t>
      </w:r>
      <w:r w:rsidRPr="00352D86">
        <w:rPr>
          <w:rFonts w:ascii="Book Antiqua" w:eastAsia="宋体" w:hAnsi="Book Antiqua" w:cs="Times New Roman"/>
          <w:sz w:val="24"/>
          <w:szCs w:val="24"/>
        </w:rPr>
        <w:t>Unsolicited manuscript</w:t>
      </w:r>
    </w:p>
    <w:p w:rsidR="00654D22" w:rsidRPr="008D3B68" w:rsidRDefault="00654D22" w:rsidP="00352D86">
      <w:pPr>
        <w:spacing w:line="360" w:lineRule="auto"/>
        <w:rPr>
          <w:rFonts w:ascii="Book Antiqua" w:eastAsia="MS PGothic" w:hAnsi="Book Antiqua" w:cs="Times New Roman"/>
          <w:b/>
          <w:bCs/>
          <w:sz w:val="24"/>
          <w:szCs w:val="24"/>
        </w:rPr>
      </w:pPr>
    </w:p>
    <w:p w:rsidR="00600F4A" w:rsidRPr="008D3B68" w:rsidRDefault="004C187F" w:rsidP="00352D86">
      <w:pPr>
        <w:spacing w:line="360" w:lineRule="auto"/>
        <w:rPr>
          <w:rFonts w:ascii="Book Antiqua" w:hAnsi="Book Antiqua" w:cs="Times New Roman"/>
          <w:kern w:val="0"/>
          <w:sz w:val="24"/>
          <w:szCs w:val="24"/>
        </w:rPr>
      </w:pPr>
      <w:r w:rsidRPr="008D3B68">
        <w:rPr>
          <w:rFonts w:ascii="Book Antiqua" w:eastAsia="MS PGothic" w:hAnsi="Book Antiqua" w:cs="Times New Roman"/>
          <w:b/>
          <w:bCs/>
          <w:sz w:val="24"/>
          <w:szCs w:val="24"/>
        </w:rPr>
        <w:t>Correspondence to:</w:t>
      </w:r>
      <w:r w:rsidR="00600F4A" w:rsidRPr="008D3B68">
        <w:rPr>
          <w:rFonts w:ascii="Book Antiqua" w:eastAsia="MS PGothic" w:hAnsi="Book Antiqua" w:cs="Times New Roman"/>
          <w:b/>
          <w:bCs/>
          <w:sz w:val="24"/>
          <w:szCs w:val="24"/>
        </w:rPr>
        <w:t xml:space="preserve"> </w:t>
      </w:r>
      <w:r w:rsidR="00600F4A" w:rsidRPr="008D3B68">
        <w:rPr>
          <w:rFonts w:ascii="Book Antiqua" w:hAnsi="Book Antiqua" w:cs="Times New Roman"/>
          <w:b/>
          <w:kern w:val="0"/>
          <w:sz w:val="24"/>
          <w:szCs w:val="24"/>
        </w:rPr>
        <w:t xml:space="preserve">Yuichi Torisu, MD, </w:t>
      </w:r>
      <w:r w:rsidR="00600F4A" w:rsidRPr="008D3B68">
        <w:rPr>
          <w:rFonts w:ascii="Book Antiqua" w:hAnsi="Book Antiqua" w:cs="Times New Roman"/>
          <w:kern w:val="0"/>
          <w:sz w:val="24"/>
          <w:szCs w:val="24"/>
        </w:rPr>
        <w:t>D</w:t>
      </w:r>
      <w:r w:rsidR="00600F4A" w:rsidRPr="008D3B68">
        <w:rPr>
          <w:rFonts w:ascii="Book Antiqua" w:hAnsi="Book Antiqua" w:cs="Times New Roman"/>
          <w:sz w:val="24"/>
          <w:szCs w:val="24"/>
        </w:rPr>
        <w:t>ivision of Gastroenterology and Hepatology, Department of Internal Medicine, The Jikei University School of Medicine</w:t>
      </w:r>
      <w:r w:rsidR="00600F4A" w:rsidRPr="008D3B68">
        <w:rPr>
          <w:rFonts w:ascii="Book Antiqua" w:hAnsi="Book Antiqua" w:cs="Times New Roman"/>
          <w:kern w:val="0"/>
          <w:sz w:val="24"/>
          <w:szCs w:val="24"/>
        </w:rPr>
        <w:t>, 3-25-8 Nishishinbashi, Minato-ku</w:t>
      </w:r>
      <w:r w:rsidR="001928BB" w:rsidRPr="008D3B68">
        <w:rPr>
          <w:rFonts w:ascii="Book Antiqua" w:eastAsia="宋体" w:hAnsi="Book Antiqua" w:cs="Times New Roman" w:hint="eastAsia"/>
          <w:kern w:val="0"/>
          <w:sz w:val="24"/>
          <w:szCs w:val="24"/>
        </w:rPr>
        <w:t>,</w:t>
      </w:r>
      <w:r w:rsidR="00600F4A" w:rsidRPr="008D3B68">
        <w:rPr>
          <w:rFonts w:ascii="Book Antiqua" w:hAnsi="Book Antiqua" w:cs="Times New Roman"/>
          <w:kern w:val="0"/>
          <w:sz w:val="24"/>
          <w:szCs w:val="24"/>
        </w:rPr>
        <w:t xml:space="preserve"> Tokyo</w:t>
      </w:r>
      <w:r w:rsidR="001928BB" w:rsidRPr="008D3B68">
        <w:rPr>
          <w:rFonts w:ascii="Book Antiqua" w:eastAsia="宋体" w:hAnsi="Book Antiqua" w:cs="Times New Roman" w:hint="eastAsia"/>
          <w:kern w:val="0"/>
          <w:sz w:val="24"/>
          <w:szCs w:val="24"/>
        </w:rPr>
        <w:t xml:space="preserve"> </w:t>
      </w:r>
      <w:r w:rsidR="00600F4A" w:rsidRPr="008D3B68">
        <w:rPr>
          <w:rFonts w:ascii="Book Antiqua" w:hAnsi="Book Antiqua" w:cs="Times New Roman"/>
          <w:kern w:val="0"/>
          <w:sz w:val="24"/>
          <w:szCs w:val="24"/>
        </w:rPr>
        <w:t>105-8461, Japan. torisu@</w:t>
      </w:r>
      <w:r w:rsidR="006F5795" w:rsidRPr="008D3B68">
        <w:rPr>
          <w:rFonts w:ascii="Book Antiqua" w:hAnsi="Book Antiqua" w:cs="Times New Roman"/>
          <w:kern w:val="0"/>
          <w:sz w:val="24"/>
          <w:szCs w:val="24"/>
        </w:rPr>
        <w:t>yb4.so-net.ne.jp</w:t>
      </w:r>
    </w:p>
    <w:p w:rsidR="00600F4A" w:rsidRPr="008D3B68" w:rsidRDefault="00600F4A" w:rsidP="00352D86">
      <w:pPr>
        <w:spacing w:line="360" w:lineRule="auto"/>
        <w:rPr>
          <w:rFonts w:ascii="Book Antiqua" w:eastAsia="MS PGothic" w:hAnsi="Book Antiqua" w:cs="Times New Roman"/>
          <w:bCs/>
          <w:sz w:val="24"/>
          <w:szCs w:val="24"/>
        </w:rPr>
      </w:pPr>
      <w:r w:rsidRPr="008D3B68">
        <w:rPr>
          <w:rFonts w:ascii="Book Antiqua" w:eastAsia="MS PGothic" w:hAnsi="Book Antiqua" w:cs="Times New Roman"/>
          <w:b/>
          <w:bCs/>
          <w:sz w:val="24"/>
          <w:szCs w:val="24"/>
        </w:rPr>
        <w:t>Telephone:</w:t>
      </w:r>
      <w:r w:rsidRPr="008D3B68">
        <w:rPr>
          <w:rFonts w:ascii="Book Antiqua" w:eastAsia="MS PGothic" w:hAnsi="Book Antiqua" w:cs="Times New Roman"/>
          <w:bCs/>
          <w:sz w:val="24"/>
          <w:szCs w:val="24"/>
        </w:rPr>
        <w:t xml:space="preserve"> +81-03-34331111</w:t>
      </w:r>
    </w:p>
    <w:p w:rsidR="00DD2B21" w:rsidRPr="008D3B68" w:rsidRDefault="00600F4A" w:rsidP="00352D86">
      <w:pPr>
        <w:spacing w:line="360" w:lineRule="auto"/>
        <w:rPr>
          <w:rFonts w:ascii="Book Antiqua" w:eastAsia="MS PGothic" w:hAnsi="Book Antiqua" w:cs="Times New Roman"/>
          <w:bCs/>
          <w:sz w:val="24"/>
          <w:szCs w:val="24"/>
        </w:rPr>
      </w:pPr>
      <w:r w:rsidRPr="008D3B68">
        <w:rPr>
          <w:rFonts w:ascii="Book Antiqua" w:eastAsia="MS PGothic" w:hAnsi="Book Antiqua" w:cs="Times New Roman"/>
          <w:b/>
          <w:bCs/>
          <w:sz w:val="24"/>
          <w:szCs w:val="24"/>
        </w:rPr>
        <w:t>Fax:</w:t>
      </w:r>
      <w:r w:rsidRPr="008D3B68">
        <w:rPr>
          <w:rFonts w:ascii="Book Antiqua" w:eastAsia="MS PGothic" w:hAnsi="Book Antiqua" w:cs="Times New Roman"/>
          <w:bCs/>
          <w:sz w:val="24"/>
          <w:szCs w:val="24"/>
        </w:rPr>
        <w:t xml:space="preserve"> +81-03-34350569</w:t>
      </w:r>
    </w:p>
    <w:p w:rsidR="00E522D2" w:rsidRPr="008D3B68" w:rsidRDefault="00E522D2" w:rsidP="00352D86">
      <w:pPr>
        <w:spacing w:line="360" w:lineRule="auto"/>
        <w:rPr>
          <w:rFonts w:ascii="Book Antiqua" w:eastAsia="MS PGothic" w:hAnsi="Book Antiqua" w:cs="Times New Roman"/>
          <w:b/>
          <w:bCs/>
          <w:sz w:val="24"/>
          <w:szCs w:val="24"/>
        </w:rPr>
      </w:pPr>
    </w:p>
    <w:p w:rsidR="00ED42C4" w:rsidRPr="008D3B68" w:rsidRDefault="00ED42C4" w:rsidP="00ED42C4">
      <w:pPr>
        <w:pStyle w:val="PlainText"/>
        <w:spacing w:line="360" w:lineRule="auto"/>
        <w:rPr>
          <w:rFonts w:ascii="Book Antiqua" w:hAnsi="Book Antiqua" w:cs="Times New Roman"/>
          <w:b/>
          <w:sz w:val="24"/>
          <w:szCs w:val="24"/>
        </w:rPr>
      </w:pPr>
      <w:bookmarkStart w:id="6" w:name="OLE_LINK284"/>
      <w:bookmarkStart w:id="7" w:name="OLE_LINK285"/>
      <w:r w:rsidRPr="008D3B68">
        <w:rPr>
          <w:rFonts w:ascii="Book Antiqua" w:hAnsi="Book Antiqua" w:cs="Times New Roman"/>
          <w:b/>
          <w:sz w:val="24"/>
          <w:szCs w:val="24"/>
        </w:rPr>
        <w:t>Received:</w:t>
      </w:r>
      <w:r w:rsidRPr="008D3B68">
        <w:rPr>
          <w:rFonts w:ascii="Book Antiqua" w:hAnsi="Book Antiqua" w:cs="Times New Roman"/>
          <w:sz w:val="24"/>
          <w:szCs w:val="24"/>
        </w:rPr>
        <w:t xml:space="preserve"> </w:t>
      </w:r>
      <w:r w:rsidR="00BE5C13" w:rsidRPr="008D3B68">
        <w:rPr>
          <w:rFonts w:ascii="Book Antiqua" w:hAnsi="Book Antiqua" w:cs="Times New Roman" w:hint="eastAsia"/>
          <w:sz w:val="24"/>
          <w:szCs w:val="24"/>
        </w:rPr>
        <w:t>July</w:t>
      </w:r>
      <w:r w:rsidRPr="008D3B68">
        <w:rPr>
          <w:rFonts w:ascii="Book Antiqua" w:hAnsi="Book Antiqua" w:cs="Times New Roman"/>
          <w:sz w:val="24"/>
          <w:szCs w:val="24"/>
        </w:rPr>
        <w:t xml:space="preserve"> </w:t>
      </w:r>
      <w:r w:rsidR="00BE5C13" w:rsidRPr="008D3B68">
        <w:rPr>
          <w:rFonts w:ascii="Book Antiqua" w:hAnsi="Book Antiqua" w:cs="Times New Roman" w:hint="eastAsia"/>
          <w:sz w:val="24"/>
          <w:szCs w:val="24"/>
        </w:rPr>
        <w:t>10</w:t>
      </w:r>
      <w:r w:rsidRPr="008D3B68">
        <w:rPr>
          <w:rFonts w:ascii="Book Antiqua" w:hAnsi="Book Antiqua" w:cs="Times New Roman"/>
          <w:sz w:val="24"/>
          <w:szCs w:val="24"/>
        </w:rPr>
        <w:t>, 2016</w:t>
      </w:r>
    </w:p>
    <w:p w:rsidR="00ED42C4" w:rsidRPr="008D3B68" w:rsidRDefault="00ED42C4" w:rsidP="00ED42C4">
      <w:pPr>
        <w:pStyle w:val="PlainText"/>
        <w:spacing w:line="360" w:lineRule="auto"/>
        <w:rPr>
          <w:rFonts w:ascii="Book Antiqua" w:hAnsi="Book Antiqua" w:cs="Times New Roman"/>
          <w:b/>
          <w:sz w:val="24"/>
          <w:szCs w:val="24"/>
        </w:rPr>
      </w:pPr>
      <w:r w:rsidRPr="008D3B68">
        <w:rPr>
          <w:rFonts w:ascii="Book Antiqua" w:hAnsi="Book Antiqua" w:cs="Times New Roman"/>
          <w:b/>
          <w:sz w:val="24"/>
          <w:szCs w:val="24"/>
        </w:rPr>
        <w:t>Peer-review started:</w:t>
      </w:r>
      <w:r w:rsidRPr="008D3B68">
        <w:rPr>
          <w:rFonts w:ascii="Book Antiqua" w:hAnsi="Book Antiqua" w:cs="Times New Roman"/>
          <w:sz w:val="24"/>
          <w:szCs w:val="24"/>
        </w:rPr>
        <w:t xml:space="preserve"> </w:t>
      </w:r>
      <w:r w:rsidR="00BE5C13" w:rsidRPr="008D3B68">
        <w:rPr>
          <w:rFonts w:ascii="Book Antiqua" w:hAnsi="Book Antiqua" w:cs="Times New Roman" w:hint="eastAsia"/>
          <w:sz w:val="24"/>
          <w:szCs w:val="24"/>
        </w:rPr>
        <w:t>July</w:t>
      </w:r>
      <w:r w:rsidR="00BE5C13" w:rsidRPr="008D3B68">
        <w:rPr>
          <w:rFonts w:ascii="Book Antiqua" w:hAnsi="Book Antiqua" w:cs="Times New Roman"/>
          <w:sz w:val="24"/>
          <w:szCs w:val="24"/>
        </w:rPr>
        <w:t xml:space="preserve"> </w:t>
      </w:r>
      <w:r w:rsidRPr="008D3B68">
        <w:rPr>
          <w:rFonts w:ascii="Book Antiqua" w:hAnsi="Book Antiqua" w:cs="Times New Roman" w:hint="eastAsia"/>
          <w:sz w:val="24"/>
          <w:szCs w:val="24"/>
        </w:rPr>
        <w:t>1</w:t>
      </w:r>
      <w:r w:rsidR="00BE5C13" w:rsidRPr="008D3B68">
        <w:rPr>
          <w:rFonts w:ascii="Book Antiqua" w:hAnsi="Book Antiqua" w:cs="Times New Roman" w:hint="eastAsia"/>
          <w:sz w:val="24"/>
          <w:szCs w:val="24"/>
        </w:rPr>
        <w:t>4</w:t>
      </w:r>
      <w:r w:rsidRPr="008D3B68">
        <w:rPr>
          <w:rFonts w:ascii="Book Antiqua" w:hAnsi="Book Antiqua" w:cs="Times New Roman"/>
          <w:sz w:val="24"/>
          <w:szCs w:val="24"/>
        </w:rPr>
        <w:t>, 2016</w:t>
      </w:r>
    </w:p>
    <w:p w:rsidR="00ED42C4" w:rsidRPr="008D3B68" w:rsidRDefault="00ED42C4" w:rsidP="00ED42C4">
      <w:pPr>
        <w:pStyle w:val="PlainText"/>
        <w:spacing w:line="360" w:lineRule="auto"/>
        <w:rPr>
          <w:rFonts w:ascii="Book Antiqua" w:hAnsi="Book Antiqua" w:cs="Times New Roman"/>
          <w:b/>
          <w:sz w:val="24"/>
          <w:szCs w:val="24"/>
        </w:rPr>
      </w:pPr>
      <w:r w:rsidRPr="008D3B68">
        <w:rPr>
          <w:rFonts w:ascii="Book Antiqua" w:hAnsi="Book Antiqua" w:cs="Times New Roman"/>
          <w:b/>
          <w:sz w:val="24"/>
          <w:szCs w:val="24"/>
        </w:rPr>
        <w:t>First decision:</w:t>
      </w:r>
      <w:r w:rsidRPr="008D3B68">
        <w:rPr>
          <w:rFonts w:ascii="Book Antiqua" w:hAnsi="Book Antiqua" w:cs="Times New Roman"/>
          <w:sz w:val="24"/>
          <w:szCs w:val="24"/>
        </w:rPr>
        <w:t xml:space="preserve"> </w:t>
      </w:r>
      <w:r w:rsidRPr="008D3B68">
        <w:rPr>
          <w:rFonts w:ascii="Book Antiqua" w:hAnsi="Book Antiqua" w:cs="Times New Roman" w:hint="eastAsia"/>
          <w:sz w:val="24"/>
          <w:szCs w:val="24"/>
        </w:rPr>
        <w:t>September</w:t>
      </w:r>
      <w:r w:rsidRPr="008D3B68">
        <w:rPr>
          <w:rFonts w:ascii="Book Antiqua" w:hAnsi="Book Antiqua" w:cs="Times New Roman"/>
          <w:sz w:val="24"/>
          <w:szCs w:val="24"/>
        </w:rPr>
        <w:t xml:space="preserve"> </w:t>
      </w:r>
      <w:r w:rsidRPr="008D3B68">
        <w:rPr>
          <w:rFonts w:ascii="Book Antiqua" w:hAnsi="Book Antiqua" w:cs="Times New Roman" w:hint="eastAsia"/>
          <w:sz w:val="24"/>
          <w:szCs w:val="24"/>
        </w:rPr>
        <w:t>12</w:t>
      </w:r>
      <w:r w:rsidRPr="008D3B68">
        <w:rPr>
          <w:rFonts w:ascii="Book Antiqua" w:hAnsi="Book Antiqua" w:cs="Times New Roman"/>
          <w:sz w:val="24"/>
          <w:szCs w:val="24"/>
        </w:rPr>
        <w:t>, 2016</w:t>
      </w:r>
    </w:p>
    <w:p w:rsidR="00ED42C4" w:rsidRPr="008D3B68" w:rsidRDefault="00ED42C4" w:rsidP="00ED42C4">
      <w:pPr>
        <w:pStyle w:val="PlainText"/>
        <w:spacing w:line="360" w:lineRule="auto"/>
        <w:rPr>
          <w:rFonts w:ascii="Book Antiqua" w:hAnsi="Book Antiqua" w:cs="Times New Roman"/>
          <w:b/>
          <w:sz w:val="24"/>
          <w:szCs w:val="24"/>
        </w:rPr>
      </w:pPr>
      <w:r w:rsidRPr="008D3B68">
        <w:rPr>
          <w:rFonts w:ascii="Book Antiqua" w:hAnsi="Book Antiqua" w:cs="Times New Roman"/>
          <w:b/>
          <w:sz w:val="24"/>
          <w:szCs w:val="24"/>
        </w:rPr>
        <w:t xml:space="preserve">Revised: </w:t>
      </w:r>
      <w:r w:rsidR="005109D3" w:rsidRPr="008D3B68">
        <w:rPr>
          <w:rFonts w:ascii="Book Antiqua" w:hAnsi="Book Antiqua" w:cs="Times New Roman" w:hint="eastAsia"/>
          <w:sz w:val="24"/>
          <w:szCs w:val="24"/>
        </w:rPr>
        <w:t>September</w:t>
      </w:r>
      <w:r w:rsidR="005109D3" w:rsidRPr="008D3B68">
        <w:rPr>
          <w:rFonts w:ascii="Book Antiqua" w:hAnsi="Book Antiqua" w:cs="Times New Roman"/>
          <w:sz w:val="24"/>
          <w:szCs w:val="24"/>
        </w:rPr>
        <w:t xml:space="preserve"> </w:t>
      </w:r>
      <w:r w:rsidR="005109D3" w:rsidRPr="008D3B68">
        <w:rPr>
          <w:rFonts w:ascii="Book Antiqua" w:hAnsi="Book Antiqua" w:cs="Times New Roman" w:hint="eastAsia"/>
          <w:sz w:val="24"/>
          <w:szCs w:val="24"/>
        </w:rPr>
        <w:t>25</w:t>
      </w:r>
      <w:r w:rsidRPr="008D3B68">
        <w:rPr>
          <w:rFonts w:ascii="Book Antiqua" w:hAnsi="Book Antiqua" w:cs="Times New Roman"/>
          <w:sz w:val="24"/>
          <w:szCs w:val="24"/>
        </w:rPr>
        <w:t>, 2016</w:t>
      </w:r>
    </w:p>
    <w:p w:rsidR="00ED42C4" w:rsidRPr="009516A3" w:rsidRDefault="00ED42C4" w:rsidP="009516A3">
      <w:pPr>
        <w:rPr>
          <w:rFonts w:ascii="Book Antiqua" w:hAnsi="Book Antiqua"/>
          <w:iCs/>
          <w:sz w:val="24"/>
        </w:rPr>
      </w:pPr>
      <w:r w:rsidRPr="008D3B68">
        <w:rPr>
          <w:rFonts w:ascii="Book Antiqua" w:hAnsi="Book Antiqua" w:cs="Times New Roman"/>
          <w:b/>
          <w:sz w:val="24"/>
          <w:szCs w:val="24"/>
        </w:rPr>
        <w:t xml:space="preserve">Accepted: </w:t>
      </w:r>
      <w:r w:rsidR="009516A3">
        <w:rPr>
          <w:rStyle w:val="Emphasis"/>
        </w:rPr>
        <w:t>November</w:t>
      </w:r>
      <w:r w:rsidR="009516A3">
        <w:rPr>
          <w:rStyle w:val="Emphasis"/>
          <w:rFonts w:ascii="宋体" w:hAnsi="宋体" w:cs="宋体" w:hint="eastAsia"/>
        </w:rPr>
        <w:t xml:space="preserve"> 21</w:t>
      </w:r>
      <w:r w:rsidR="009516A3" w:rsidRPr="00235CD4">
        <w:rPr>
          <w:rStyle w:val="Emphasis"/>
        </w:rPr>
        <w:t>,</w:t>
      </w:r>
      <w:r w:rsidR="009516A3">
        <w:rPr>
          <w:rStyle w:val="Emphasis"/>
        </w:rPr>
        <w:t xml:space="preserve"> 2016</w:t>
      </w:r>
      <w:bookmarkStart w:id="8" w:name="_GoBack"/>
      <w:bookmarkEnd w:id="8"/>
    </w:p>
    <w:p w:rsidR="00ED42C4" w:rsidRPr="008D3B68" w:rsidRDefault="00ED42C4" w:rsidP="00ED42C4">
      <w:pPr>
        <w:pStyle w:val="PlainText"/>
        <w:spacing w:line="360" w:lineRule="auto"/>
        <w:rPr>
          <w:rFonts w:ascii="Book Antiqua" w:hAnsi="Book Antiqua" w:cs="Times New Roman"/>
          <w:b/>
          <w:sz w:val="24"/>
          <w:szCs w:val="24"/>
        </w:rPr>
      </w:pPr>
      <w:r w:rsidRPr="008D3B68">
        <w:rPr>
          <w:rFonts w:ascii="Book Antiqua" w:hAnsi="Book Antiqua" w:cs="Times New Roman"/>
          <w:b/>
          <w:sz w:val="24"/>
          <w:szCs w:val="24"/>
        </w:rPr>
        <w:t xml:space="preserve">Article in press: </w:t>
      </w:r>
    </w:p>
    <w:p w:rsidR="00ED42C4" w:rsidRPr="008D3B68" w:rsidRDefault="00ED42C4" w:rsidP="00ED42C4">
      <w:pPr>
        <w:pStyle w:val="PlainText"/>
        <w:spacing w:line="360" w:lineRule="auto"/>
        <w:rPr>
          <w:rFonts w:ascii="Book Antiqua" w:hAnsi="Book Antiqua" w:cs="Times New Roman"/>
          <w:b/>
          <w:sz w:val="24"/>
          <w:szCs w:val="24"/>
        </w:rPr>
      </w:pPr>
      <w:r w:rsidRPr="008D3B68">
        <w:rPr>
          <w:rFonts w:ascii="Book Antiqua" w:hAnsi="Book Antiqua" w:cs="Times New Roman"/>
          <w:b/>
          <w:sz w:val="24"/>
          <w:szCs w:val="24"/>
        </w:rPr>
        <w:t xml:space="preserve">Published online: </w:t>
      </w:r>
    </w:p>
    <w:bookmarkEnd w:id="6"/>
    <w:bookmarkEnd w:id="7"/>
    <w:p w:rsidR="00DD2B21" w:rsidRPr="008D3B68" w:rsidRDefault="00DD2B21" w:rsidP="00352D86">
      <w:pPr>
        <w:spacing w:line="360" w:lineRule="auto"/>
        <w:rPr>
          <w:rFonts w:ascii="Book Antiqua" w:eastAsia="MS PGothic" w:hAnsi="Book Antiqua" w:cs="Times New Roman"/>
          <w:b/>
          <w:bCs/>
          <w:sz w:val="24"/>
          <w:szCs w:val="24"/>
        </w:rPr>
      </w:pPr>
    </w:p>
    <w:p w:rsidR="00DD2B21" w:rsidRPr="008D3B68" w:rsidRDefault="00DD2B21" w:rsidP="00352D86">
      <w:pPr>
        <w:spacing w:line="360" w:lineRule="auto"/>
        <w:rPr>
          <w:rFonts w:ascii="Book Antiqua" w:hAnsi="Book Antiqua" w:cs="Times New Roman"/>
          <w:b/>
          <w:sz w:val="24"/>
          <w:szCs w:val="24"/>
        </w:rPr>
      </w:pPr>
    </w:p>
    <w:p w:rsidR="00AB6AD3" w:rsidRPr="008D3B68" w:rsidRDefault="00AB6AD3" w:rsidP="00352D86">
      <w:pPr>
        <w:spacing w:line="360" w:lineRule="auto"/>
        <w:rPr>
          <w:rFonts w:ascii="Book Antiqua" w:hAnsi="Book Antiqua" w:cs="Times New Roman"/>
          <w:b/>
          <w:sz w:val="24"/>
          <w:szCs w:val="24"/>
        </w:rPr>
      </w:pPr>
    </w:p>
    <w:p w:rsidR="005109D3" w:rsidRPr="008D3B68" w:rsidRDefault="005109D3">
      <w:pPr>
        <w:widowControl/>
        <w:jc w:val="left"/>
        <w:rPr>
          <w:rFonts w:ascii="Book Antiqua" w:hAnsi="Book Antiqua" w:cs="Times New Roman"/>
          <w:b/>
          <w:sz w:val="24"/>
          <w:szCs w:val="24"/>
        </w:rPr>
      </w:pPr>
      <w:r w:rsidRPr="008D3B68">
        <w:rPr>
          <w:rFonts w:ascii="Book Antiqua" w:hAnsi="Book Antiqua" w:cs="Times New Roman"/>
          <w:b/>
          <w:sz w:val="24"/>
          <w:szCs w:val="24"/>
        </w:rPr>
        <w:br w:type="page"/>
      </w:r>
    </w:p>
    <w:p w:rsidR="000969F7" w:rsidRPr="008D3B68" w:rsidRDefault="00A9672D" w:rsidP="00352D86">
      <w:pPr>
        <w:spacing w:line="360" w:lineRule="auto"/>
        <w:rPr>
          <w:rFonts w:ascii="Book Antiqua" w:hAnsi="Book Antiqua" w:cs="Times New Roman"/>
          <w:b/>
          <w:sz w:val="24"/>
          <w:szCs w:val="24"/>
        </w:rPr>
      </w:pPr>
      <w:r w:rsidRPr="008D3B68">
        <w:rPr>
          <w:rFonts w:ascii="Book Antiqua" w:hAnsi="Book Antiqua" w:cs="Times New Roman"/>
          <w:b/>
          <w:sz w:val="24"/>
          <w:szCs w:val="24"/>
        </w:rPr>
        <w:lastRenderedPageBreak/>
        <w:t>Abstract</w:t>
      </w:r>
    </w:p>
    <w:p w:rsidR="005109D3" w:rsidRPr="008D3B68" w:rsidRDefault="00A64F4C" w:rsidP="00352D86">
      <w:pPr>
        <w:spacing w:line="360" w:lineRule="auto"/>
        <w:rPr>
          <w:rFonts w:ascii="Book Antiqua" w:eastAsia="宋体" w:hAnsi="Book Antiqua" w:cs="Times New Roman"/>
          <w:b/>
          <w:i/>
          <w:sz w:val="24"/>
          <w:szCs w:val="24"/>
        </w:rPr>
      </w:pPr>
      <w:r w:rsidRPr="008D3B68">
        <w:rPr>
          <w:rFonts w:ascii="Book Antiqua" w:hAnsi="Book Antiqua" w:cs="Times New Roman"/>
          <w:b/>
          <w:i/>
          <w:sz w:val="24"/>
          <w:szCs w:val="24"/>
        </w:rPr>
        <w:t>AIM</w:t>
      </w:r>
    </w:p>
    <w:p w:rsidR="00270E50" w:rsidRPr="008D3B68" w:rsidRDefault="00A64F4C" w:rsidP="00352D86">
      <w:pPr>
        <w:spacing w:line="360" w:lineRule="auto"/>
        <w:rPr>
          <w:rFonts w:ascii="Book Antiqua" w:eastAsia="宋体" w:hAnsi="Book Antiqua" w:cs="Times New Roman"/>
          <w:sz w:val="24"/>
          <w:szCs w:val="24"/>
        </w:rPr>
      </w:pPr>
      <w:r w:rsidRPr="008D3B68">
        <w:rPr>
          <w:rFonts w:ascii="Book Antiqua" w:hAnsi="Book Antiqua" w:cs="Times New Roman"/>
          <w:sz w:val="24"/>
          <w:szCs w:val="24"/>
        </w:rPr>
        <w:t>T</w:t>
      </w:r>
      <w:r w:rsidR="00542DCC" w:rsidRPr="008D3B68">
        <w:rPr>
          <w:rFonts w:ascii="Book Antiqua" w:hAnsi="Book Antiqua" w:cs="Times New Roman"/>
          <w:sz w:val="24"/>
          <w:szCs w:val="24"/>
        </w:rPr>
        <w:t>o evaluate t</w:t>
      </w:r>
      <w:r w:rsidR="00A9672D" w:rsidRPr="008D3B68">
        <w:rPr>
          <w:rFonts w:ascii="Book Antiqua" w:hAnsi="Book Antiqua" w:cs="Times New Roman"/>
          <w:sz w:val="24"/>
          <w:szCs w:val="24"/>
        </w:rPr>
        <w:t>he therapeutic effects</w:t>
      </w:r>
      <w:r w:rsidR="002E7BC3" w:rsidRPr="008D3B68">
        <w:rPr>
          <w:rFonts w:ascii="Book Antiqua" w:hAnsi="Book Antiqua" w:cs="Times New Roman"/>
          <w:sz w:val="24"/>
          <w:szCs w:val="24"/>
        </w:rPr>
        <w:t xml:space="preserve"> of ursodeoxycholic acid (UDCA) </w:t>
      </w:r>
      <w:r w:rsidR="00A9672D" w:rsidRPr="008D3B68">
        <w:rPr>
          <w:rFonts w:ascii="Book Antiqua" w:hAnsi="Book Antiqua" w:cs="Times New Roman"/>
          <w:sz w:val="24"/>
          <w:szCs w:val="24"/>
        </w:rPr>
        <w:t>on autoimmune hepatitis (AIH).</w:t>
      </w:r>
    </w:p>
    <w:p w:rsidR="005109D3" w:rsidRPr="008D3B68" w:rsidRDefault="005109D3" w:rsidP="00352D86">
      <w:pPr>
        <w:spacing w:line="360" w:lineRule="auto"/>
        <w:rPr>
          <w:rFonts w:ascii="Book Antiqua" w:eastAsia="宋体" w:hAnsi="Book Antiqua" w:cs="Times New Roman"/>
          <w:b/>
          <w:sz w:val="24"/>
          <w:szCs w:val="24"/>
        </w:rPr>
      </w:pPr>
    </w:p>
    <w:p w:rsidR="005109D3" w:rsidRPr="008D3B68" w:rsidRDefault="00A64F4C" w:rsidP="00352D86">
      <w:pPr>
        <w:spacing w:line="360" w:lineRule="auto"/>
        <w:rPr>
          <w:rFonts w:ascii="Book Antiqua" w:eastAsia="宋体" w:hAnsi="Book Antiqua" w:cs="Times New Roman"/>
          <w:b/>
          <w:i/>
          <w:sz w:val="24"/>
          <w:szCs w:val="24"/>
        </w:rPr>
      </w:pPr>
      <w:r w:rsidRPr="008D3B68">
        <w:rPr>
          <w:rFonts w:ascii="Book Antiqua" w:hAnsi="Book Antiqua" w:cs="Times New Roman"/>
          <w:b/>
          <w:i/>
          <w:sz w:val="24"/>
          <w:szCs w:val="24"/>
        </w:rPr>
        <w:t>METHODS</w:t>
      </w:r>
    </w:p>
    <w:p w:rsidR="006674C3" w:rsidRPr="008D3B68" w:rsidRDefault="006674C3" w:rsidP="00352D86">
      <w:pPr>
        <w:spacing w:line="360" w:lineRule="auto"/>
        <w:rPr>
          <w:rFonts w:ascii="Book Antiqua" w:eastAsia="宋体" w:hAnsi="Book Antiqua" w:cs="Times New Roman"/>
          <w:sz w:val="24"/>
          <w:szCs w:val="24"/>
        </w:rPr>
      </w:pPr>
      <w:r w:rsidRPr="008D3B68">
        <w:rPr>
          <w:rFonts w:ascii="Book Antiqua" w:hAnsi="Book Antiqua" w:cs="Times New Roman"/>
          <w:sz w:val="24"/>
          <w:szCs w:val="24"/>
        </w:rPr>
        <w:t>A total 136 patients who were diagnosed with AIH were included in our study.</w:t>
      </w:r>
      <w:r w:rsidRPr="008D3B68">
        <w:rPr>
          <w:rFonts w:ascii="Book Antiqua" w:hAnsi="Book Antiqua" w:cs="Times New Roman"/>
          <w:b/>
          <w:sz w:val="24"/>
          <w:szCs w:val="24"/>
        </w:rPr>
        <w:t xml:space="preserve"> </w:t>
      </w:r>
      <w:r w:rsidRPr="008D3B68">
        <w:rPr>
          <w:rFonts w:ascii="Book Antiqua" w:hAnsi="Book Antiqua" w:cs="Times New Roman"/>
          <w:sz w:val="24"/>
          <w:szCs w:val="24"/>
        </w:rPr>
        <w:t xml:space="preserve">All of the patients underwent a liver biopsy, and had at least a probable diagnosis on the basis of either the revised scoring system or the simplified scores. Initial treatment included UDCA monotherapy (Group U, </w:t>
      </w:r>
      <w:r w:rsidRPr="008D3B68">
        <w:rPr>
          <w:rFonts w:ascii="Book Antiqua" w:hAnsi="Book Antiqua" w:cs="Times New Roman"/>
          <w:i/>
          <w:sz w:val="24"/>
          <w:szCs w:val="24"/>
        </w:rPr>
        <w:t>n</w:t>
      </w:r>
      <w:r w:rsidR="005109D3" w:rsidRPr="008D3B68">
        <w:rPr>
          <w:rFonts w:ascii="Book Antiqua" w:eastAsia="宋体" w:hAnsi="Book Antiqua" w:cs="Times New Roman" w:hint="eastAsia"/>
          <w:sz w:val="24"/>
          <w:szCs w:val="24"/>
        </w:rPr>
        <w:t xml:space="preserve"> </w:t>
      </w:r>
      <w:r w:rsidRPr="008D3B68">
        <w:rPr>
          <w:rFonts w:ascii="Book Antiqua" w:hAnsi="Book Antiqua" w:cs="Times New Roman"/>
          <w:sz w:val="24"/>
          <w:szCs w:val="24"/>
        </w:rPr>
        <w:t xml:space="preserve">= 48) and prednisolone (PSL) monotherapy (Group P, </w:t>
      </w:r>
      <w:r w:rsidR="005109D3" w:rsidRPr="008D3B68">
        <w:rPr>
          <w:rFonts w:ascii="Book Antiqua" w:hAnsi="Book Antiqua" w:cs="Times New Roman"/>
          <w:i/>
          <w:sz w:val="24"/>
          <w:szCs w:val="24"/>
        </w:rPr>
        <w:t>n</w:t>
      </w:r>
      <w:r w:rsidR="005109D3" w:rsidRPr="008D3B68">
        <w:rPr>
          <w:rFonts w:ascii="Book Antiqua" w:eastAsia="宋体" w:hAnsi="Book Antiqua" w:cs="Times New Roman" w:hint="eastAsia"/>
          <w:sz w:val="24"/>
          <w:szCs w:val="24"/>
        </w:rPr>
        <w:t xml:space="preserve"> </w:t>
      </w:r>
      <w:r w:rsidR="005109D3" w:rsidRPr="008D3B68">
        <w:rPr>
          <w:rFonts w:ascii="Book Antiqua" w:hAnsi="Book Antiqua" w:cs="Times New Roman"/>
          <w:sz w:val="24"/>
          <w:szCs w:val="24"/>
        </w:rPr>
        <w:t xml:space="preserve">= </w:t>
      </w:r>
      <w:r w:rsidRPr="008D3B68">
        <w:rPr>
          <w:rFonts w:ascii="Book Antiqua" w:hAnsi="Book Antiqua" w:cs="Times New Roman"/>
          <w:sz w:val="24"/>
          <w:szCs w:val="24"/>
        </w:rPr>
        <w:t>88). Group U was further classified into two subgroups</w:t>
      </w:r>
      <w:r w:rsidR="00E94E7D" w:rsidRPr="008D3B68">
        <w:rPr>
          <w:rFonts w:ascii="Book Antiqua" w:hAnsi="Book Antiqua" w:cs="Times New Roman"/>
          <w:sz w:val="24"/>
          <w:szCs w:val="24"/>
        </w:rPr>
        <w:t xml:space="preserve"> according to the effect of UDCA</w:t>
      </w:r>
      <w:r w:rsidRPr="008D3B68">
        <w:rPr>
          <w:rFonts w:ascii="Book Antiqua" w:hAnsi="Book Antiqua" w:cs="Times New Roman"/>
          <w:sz w:val="24"/>
          <w:szCs w:val="24"/>
        </w:rPr>
        <w:t xml:space="preserve">: </w:t>
      </w:r>
      <w:r w:rsidR="00604128" w:rsidRPr="008D3B68">
        <w:rPr>
          <w:rFonts w:ascii="Book Antiqua" w:hAnsi="Book Antiqua" w:cs="Times New Roman"/>
          <w:sz w:val="24"/>
          <w:szCs w:val="24"/>
        </w:rPr>
        <w:t>P</w:t>
      </w:r>
      <w:r w:rsidRPr="008D3B68">
        <w:rPr>
          <w:rFonts w:ascii="Book Antiqua" w:hAnsi="Book Antiqua" w:cs="Times New Roman"/>
          <w:sz w:val="24"/>
          <w:szCs w:val="24"/>
        </w:rPr>
        <w:t xml:space="preserve">atients who had achieved remission induction with UDCA monotherapy and showed no sign of relapse (Subgroup U1, </w:t>
      </w:r>
      <w:r w:rsidR="005109D3" w:rsidRPr="008D3B68">
        <w:rPr>
          <w:rFonts w:ascii="Book Antiqua" w:hAnsi="Book Antiqua" w:cs="Times New Roman"/>
          <w:i/>
          <w:sz w:val="24"/>
          <w:szCs w:val="24"/>
        </w:rPr>
        <w:t>n</w:t>
      </w:r>
      <w:r w:rsidR="005109D3" w:rsidRPr="008D3B68">
        <w:rPr>
          <w:rFonts w:ascii="Book Antiqua" w:eastAsia="宋体" w:hAnsi="Book Antiqua" w:cs="Times New Roman" w:hint="eastAsia"/>
          <w:sz w:val="24"/>
          <w:szCs w:val="24"/>
        </w:rPr>
        <w:t xml:space="preserve"> </w:t>
      </w:r>
      <w:r w:rsidR="005109D3" w:rsidRPr="008D3B68">
        <w:rPr>
          <w:rFonts w:ascii="Book Antiqua" w:hAnsi="Book Antiqua" w:cs="Times New Roman"/>
          <w:sz w:val="24"/>
          <w:szCs w:val="24"/>
        </w:rPr>
        <w:t xml:space="preserve">= </w:t>
      </w:r>
      <w:r w:rsidRPr="008D3B68">
        <w:rPr>
          <w:rFonts w:ascii="Book Antiqua" w:hAnsi="Book Antiqua" w:cs="Times New Roman"/>
          <w:sz w:val="24"/>
          <w:szCs w:val="24"/>
        </w:rPr>
        <w:t xml:space="preserve">34) and patients who additionally received PSL during follow-up (Subgroup U2 </w:t>
      </w:r>
      <w:r w:rsidR="005109D3" w:rsidRPr="008D3B68">
        <w:rPr>
          <w:rFonts w:ascii="Book Antiqua" w:hAnsi="Book Antiqua" w:cs="Times New Roman"/>
          <w:i/>
          <w:sz w:val="24"/>
          <w:szCs w:val="24"/>
        </w:rPr>
        <w:t>n</w:t>
      </w:r>
      <w:r w:rsidR="005109D3" w:rsidRPr="008D3B68">
        <w:rPr>
          <w:rFonts w:ascii="Book Antiqua" w:eastAsia="宋体" w:hAnsi="Book Antiqua" w:cs="Times New Roman" w:hint="eastAsia"/>
          <w:sz w:val="24"/>
          <w:szCs w:val="24"/>
        </w:rPr>
        <w:t xml:space="preserve"> </w:t>
      </w:r>
      <w:r w:rsidR="005109D3" w:rsidRPr="008D3B68">
        <w:rPr>
          <w:rFonts w:ascii="Book Antiqua" w:hAnsi="Book Antiqua" w:cs="Times New Roman"/>
          <w:sz w:val="24"/>
          <w:szCs w:val="24"/>
        </w:rPr>
        <w:t xml:space="preserve">= </w:t>
      </w:r>
      <w:r w:rsidRPr="008D3B68">
        <w:rPr>
          <w:rFonts w:ascii="Book Antiqua" w:hAnsi="Book Antiqua" w:cs="Times New Roman"/>
          <w:sz w:val="24"/>
          <w:szCs w:val="24"/>
        </w:rPr>
        <w:t>14). We compared the clinical and histological findings between each groups, and investigated factors contributing to the response to UDCA monotherapy.</w:t>
      </w:r>
    </w:p>
    <w:p w:rsidR="00604128" w:rsidRPr="008D3B68" w:rsidRDefault="00604128" w:rsidP="00352D86">
      <w:pPr>
        <w:spacing w:line="360" w:lineRule="auto"/>
        <w:rPr>
          <w:rFonts w:ascii="Book Antiqua" w:eastAsia="宋体" w:hAnsi="Book Antiqua" w:cs="Times New Roman"/>
          <w:sz w:val="24"/>
          <w:szCs w:val="24"/>
        </w:rPr>
      </w:pPr>
    </w:p>
    <w:p w:rsidR="00604128" w:rsidRPr="008D3B68" w:rsidRDefault="00A64F4C" w:rsidP="00352D86">
      <w:pPr>
        <w:spacing w:line="360" w:lineRule="auto"/>
        <w:rPr>
          <w:rFonts w:ascii="Book Antiqua" w:eastAsia="宋体" w:hAnsi="Book Antiqua" w:cs="Times New Roman"/>
          <w:b/>
          <w:i/>
          <w:sz w:val="24"/>
          <w:szCs w:val="24"/>
        </w:rPr>
      </w:pPr>
      <w:r w:rsidRPr="008D3B68">
        <w:rPr>
          <w:rFonts w:ascii="Book Antiqua" w:hAnsi="Book Antiqua" w:cs="Times New Roman"/>
          <w:b/>
          <w:i/>
          <w:sz w:val="24"/>
          <w:szCs w:val="24"/>
        </w:rPr>
        <w:t>RESULTS</w:t>
      </w:r>
    </w:p>
    <w:p w:rsidR="00542DCC" w:rsidRPr="008D3B68" w:rsidRDefault="006C4C80" w:rsidP="00352D86">
      <w:pPr>
        <w:spacing w:line="360" w:lineRule="auto"/>
        <w:rPr>
          <w:rFonts w:ascii="Book Antiqua" w:eastAsia="宋体" w:hAnsi="Book Antiqua" w:cs="Times New Roman"/>
          <w:sz w:val="24"/>
          <w:szCs w:val="24"/>
        </w:rPr>
      </w:pPr>
      <w:r w:rsidRPr="008D3B68">
        <w:rPr>
          <w:rFonts w:ascii="Book Antiqua" w:hAnsi="Book Antiqua" w:cs="Times New Roman"/>
          <w:sz w:val="24"/>
          <w:szCs w:val="24"/>
        </w:rPr>
        <w:t xml:space="preserve">In </w:t>
      </w:r>
      <w:r w:rsidR="00CC53A2" w:rsidRPr="008D3B68">
        <w:rPr>
          <w:rFonts w:ascii="Book Antiqua" w:hAnsi="Book Antiqua" w:cs="Times New Roman"/>
          <w:sz w:val="24"/>
          <w:szCs w:val="24"/>
        </w:rPr>
        <w:t>Group U, 34</w:t>
      </w:r>
      <w:r w:rsidR="00C1712A" w:rsidRPr="008D3B68">
        <w:rPr>
          <w:rFonts w:ascii="Book Antiqua" w:hAnsi="Book Antiqua" w:cs="Times New Roman"/>
          <w:sz w:val="24"/>
          <w:szCs w:val="24"/>
        </w:rPr>
        <w:t xml:space="preserve"> patients (71%) achieved and maintained remission </w:t>
      </w:r>
      <w:r w:rsidR="00E95AAB" w:rsidRPr="008D3B68">
        <w:rPr>
          <w:rFonts w:ascii="Book Antiqua" w:hAnsi="Book Antiqua" w:cs="Times New Roman"/>
          <w:sz w:val="24"/>
          <w:szCs w:val="24"/>
        </w:rPr>
        <w:t xml:space="preserve">over </w:t>
      </w:r>
      <w:r w:rsidR="00E95AAB" w:rsidRPr="008D3B68">
        <w:rPr>
          <w:rFonts w:ascii="Book Antiqua" w:hAnsi="Book Antiqua" w:cs="Times New Roman"/>
          <w:color w:val="000000" w:themeColor="text1"/>
          <w:sz w:val="24"/>
          <w:szCs w:val="24"/>
        </w:rPr>
        <w:t>49 (</w:t>
      </w:r>
      <w:r w:rsidR="00E95AAB" w:rsidRPr="008D3B68">
        <w:rPr>
          <w:rFonts w:ascii="Book Antiqua" w:hAnsi="Book Antiqua" w:cs="Times New Roman"/>
          <w:color w:val="000000" w:themeColor="text1"/>
          <w:kern w:val="0"/>
          <w:sz w:val="24"/>
          <w:szCs w:val="24"/>
        </w:rPr>
        <w:t>range</w:t>
      </w:r>
      <w:r w:rsidR="00604128" w:rsidRPr="008D3B68">
        <w:rPr>
          <w:rFonts w:ascii="Book Antiqua" w:eastAsia="宋体" w:hAnsi="Book Antiqua" w:cs="Times New Roman" w:hint="eastAsia"/>
          <w:color w:val="000000" w:themeColor="text1"/>
          <w:kern w:val="0"/>
          <w:sz w:val="24"/>
          <w:szCs w:val="24"/>
        </w:rPr>
        <w:t xml:space="preserve">: </w:t>
      </w:r>
      <w:r w:rsidR="00E95AAB" w:rsidRPr="008D3B68">
        <w:rPr>
          <w:rFonts w:ascii="Book Antiqua" w:hAnsi="Book Antiqua" w:cs="Times New Roman"/>
          <w:color w:val="000000" w:themeColor="text1"/>
          <w:sz w:val="24"/>
          <w:szCs w:val="24"/>
        </w:rPr>
        <w:t>8</w:t>
      </w:r>
      <w:r w:rsidR="00604128" w:rsidRPr="008D3B68">
        <w:rPr>
          <w:rFonts w:ascii="Book Antiqua" w:eastAsia="宋体" w:hAnsi="Book Antiqua" w:cs="Times New Roman" w:hint="eastAsia"/>
          <w:color w:val="000000" w:themeColor="text1"/>
          <w:sz w:val="24"/>
          <w:szCs w:val="24"/>
        </w:rPr>
        <w:t>-</w:t>
      </w:r>
      <w:r w:rsidR="00E95AAB" w:rsidRPr="008D3B68">
        <w:rPr>
          <w:rFonts w:ascii="Book Antiqua" w:hAnsi="Book Antiqua" w:cs="Times New Roman"/>
          <w:color w:val="000000" w:themeColor="text1"/>
          <w:sz w:val="24"/>
          <w:szCs w:val="24"/>
        </w:rPr>
        <w:t xml:space="preserve">90) </w:t>
      </w:r>
      <w:r w:rsidR="00E95AAB" w:rsidRPr="008D3B68">
        <w:rPr>
          <w:rFonts w:ascii="Book Antiqua" w:hAnsi="Book Antiqua" w:cs="Times New Roman"/>
          <w:sz w:val="24"/>
          <w:szCs w:val="24"/>
        </w:rPr>
        <w:t xml:space="preserve">mo </w:t>
      </w:r>
      <w:r w:rsidR="00C1712A" w:rsidRPr="008D3B68">
        <w:rPr>
          <w:rFonts w:ascii="Book Antiqua" w:hAnsi="Book Antiqua" w:cs="Times New Roman"/>
          <w:sz w:val="24"/>
          <w:szCs w:val="24"/>
        </w:rPr>
        <w:t>(Subgroup U1) and 14 patients (29%) additionally received PSL (Subgroup U2) during follow</w:t>
      </w:r>
      <w:r w:rsidR="009D6E56" w:rsidRPr="008D3B68">
        <w:rPr>
          <w:rFonts w:ascii="Book Antiqua" w:hAnsi="Book Antiqua" w:cs="Times New Roman"/>
          <w:sz w:val="24"/>
          <w:szCs w:val="24"/>
        </w:rPr>
        <w:t>-</w:t>
      </w:r>
      <w:r w:rsidR="00C1712A" w:rsidRPr="008D3B68">
        <w:rPr>
          <w:rFonts w:ascii="Book Antiqua" w:hAnsi="Book Antiqua" w:cs="Times New Roman"/>
          <w:sz w:val="24"/>
          <w:szCs w:val="24"/>
        </w:rPr>
        <w:t xml:space="preserve">up. </w:t>
      </w:r>
      <w:r w:rsidR="00E94E7D" w:rsidRPr="008D3B68">
        <w:rPr>
          <w:rFonts w:ascii="Book Antiqua" w:hAnsi="Book Antiqua" w:cs="Times New Roman"/>
          <w:sz w:val="24"/>
          <w:szCs w:val="24"/>
        </w:rPr>
        <w:t>Two patients in Subgroup U2 achieved remission induction once but additionally required PSL administration because of relapse</w:t>
      </w:r>
      <w:r w:rsidR="00E94E7D" w:rsidRPr="008D3B68">
        <w:rPr>
          <w:rFonts w:ascii="Book Antiqua" w:hAnsi="Book Antiqua" w:cs="Times New Roman"/>
          <w:color w:val="000000" w:themeColor="text1"/>
          <w:sz w:val="24"/>
          <w:szCs w:val="24"/>
        </w:rPr>
        <w:t xml:space="preserve"> (15 and 35 mo after the start of treatment). The remaining 12 patients </w:t>
      </w:r>
      <w:r w:rsidR="00E94E7D" w:rsidRPr="008D3B68">
        <w:rPr>
          <w:rFonts w:ascii="Book Antiqua" w:hAnsi="Book Antiqua" w:cs="Times New Roman"/>
          <w:color w:val="000000" w:themeColor="text1"/>
          <w:sz w:val="24"/>
          <w:szCs w:val="24"/>
        </w:rPr>
        <w:lastRenderedPageBreak/>
        <w:t>in Subgroup U2 failed to achieve remission induction during follow-up, and PSL was added</w:t>
      </w:r>
      <w:r w:rsidR="00E94E7D" w:rsidRPr="008D3B68">
        <w:rPr>
          <w:rFonts w:ascii="Book Antiqua" w:hAnsi="Book Antiqua" w:cs="AdvPTimes"/>
          <w:color w:val="000000" w:themeColor="text1"/>
          <w:kern w:val="0"/>
          <w:sz w:val="24"/>
          <w:szCs w:val="24"/>
        </w:rPr>
        <w:t xml:space="preserve"> </w:t>
      </w:r>
      <w:r w:rsidR="00E94E7D" w:rsidRPr="008D3B68">
        <w:rPr>
          <w:rFonts w:ascii="Book Antiqua" w:hAnsi="Book Antiqua" w:cs="Times New Roman"/>
          <w:color w:val="000000" w:themeColor="text1"/>
          <w:sz w:val="24"/>
          <w:szCs w:val="24"/>
        </w:rPr>
        <w:t>during 7 (range</w:t>
      </w:r>
      <w:r w:rsidR="00604128" w:rsidRPr="008D3B68">
        <w:rPr>
          <w:rFonts w:ascii="Book Antiqua" w:eastAsia="宋体" w:hAnsi="Book Antiqua" w:cs="Times New Roman" w:hint="eastAsia"/>
          <w:color w:val="000000" w:themeColor="text1"/>
          <w:sz w:val="24"/>
          <w:szCs w:val="24"/>
        </w:rPr>
        <w:t xml:space="preserve">: </w:t>
      </w:r>
      <w:r w:rsidR="00E94E7D" w:rsidRPr="008D3B68">
        <w:rPr>
          <w:rFonts w:ascii="Book Antiqua" w:hAnsi="Book Antiqua" w:cs="Times New Roman"/>
          <w:color w:val="000000" w:themeColor="text1"/>
          <w:sz w:val="24"/>
          <w:szCs w:val="24"/>
        </w:rPr>
        <w:t xml:space="preserve">2-18) mo. </w:t>
      </w:r>
      <w:r w:rsidR="00C1712A" w:rsidRPr="008D3B68">
        <w:rPr>
          <w:rFonts w:ascii="Book Antiqua" w:hAnsi="Book Antiqua" w:cs="Times New Roman"/>
          <w:sz w:val="24"/>
          <w:szCs w:val="24"/>
        </w:rPr>
        <w:t xml:space="preserve">Compared with Subgroup U2, Subgroup U1 had significantly lower </w:t>
      </w:r>
      <w:r w:rsidR="00DF4640" w:rsidRPr="008D3B68">
        <w:rPr>
          <w:rFonts w:ascii="Book Antiqua" w:hAnsi="Book Antiqua" w:cs="Times New Roman"/>
          <w:sz w:val="24"/>
          <w:szCs w:val="24"/>
        </w:rPr>
        <w:t>alanine aminotransferase (</w:t>
      </w:r>
      <w:r w:rsidR="00C1712A" w:rsidRPr="008D3B68">
        <w:rPr>
          <w:rFonts w:ascii="Book Antiqua" w:hAnsi="Book Antiqua" w:cs="Times New Roman"/>
          <w:sz w:val="24"/>
          <w:szCs w:val="24"/>
        </w:rPr>
        <w:t>ALT</w:t>
      </w:r>
      <w:r w:rsidR="00DF4640" w:rsidRPr="008D3B68">
        <w:rPr>
          <w:rFonts w:ascii="Book Antiqua" w:hAnsi="Book Antiqua" w:cs="Times New Roman"/>
          <w:sz w:val="24"/>
          <w:szCs w:val="24"/>
        </w:rPr>
        <w:t>)</w:t>
      </w:r>
      <w:r w:rsidR="00C1712A" w:rsidRPr="008D3B68">
        <w:rPr>
          <w:rFonts w:ascii="Book Antiqua" w:hAnsi="Book Antiqua" w:cs="Times New Roman"/>
          <w:sz w:val="24"/>
          <w:szCs w:val="24"/>
        </w:rPr>
        <w:t xml:space="preserve"> levels a</w:t>
      </w:r>
      <w:r w:rsidR="00DF4640" w:rsidRPr="008D3B68">
        <w:rPr>
          <w:rFonts w:ascii="Book Antiqua" w:hAnsi="Book Antiqua" w:cs="Times New Roman"/>
          <w:sz w:val="24"/>
          <w:szCs w:val="24"/>
        </w:rPr>
        <w:t>t onset (124 IU</w:t>
      </w:r>
      <w:r w:rsidR="00ED6728" w:rsidRPr="008D3B68">
        <w:rPr>
          <w:rFonts w:ascii="Book Antiqua" w:hAnsi="Book Antiqua" w:cs="Times New Roman"/>
          <w:sz w:val="24"/>
          <w:szCs w:val="24"/>
        </w:rPr>
        <w:t>/L</w:t>
      </w:r>
      <w:r w:rsidR="00DF4640" w:rsidRPr="008D3B68">
        <w:rPr>
          <w:rFonts w:ascii="Book Antiqua" w:hAnsi="Book Antiqua" w:cs="Times New Roman"/>
          <w:sz w:val="24"/>
          <w:szCs w:val="24"/>
        </w:rPr>
        <w:t xml:space="preserve"> </w:t>
      </w:r>
      <w:r w:rsidR="00DF4640" w:rsidRPr="008D3B68">
        <w:rPr>
          <w:rFonts w:ascii="Book Antiqua" w:hAnsi="Book Antiqua" w:cs="Times New Roman"/>
          <w:i/>
          <w:sz w:val="24"/>
          <w:szCs w:val="24"/>
        </w:rPr>
        <w:t>vs</w:t>
      </w:r>
      <w:r w:rsidR="00DF4640" w:rsidRPr="008D3B68">
        <w:rPr>
          <w:rFonts w:ascii="Book Antiqua" w:hAnsi="Book Antiqua" w:cs="Times New Roman"/>
          <w:sz w:val="24"/>
          <w:szCs w:val="24"/>
        </w:rPr>
        <w:t xml:space="preserve"> 262 IU</w:t>
      </w:r>
      <w:r w:rsidR="00ED6728" w:rsidRPr="008D3B68">
        <w:rPr>
          <w:rFonts w:ascii="Book Antiqua" w:hAnsi="Book Antiqua" w:cs="Times New Roman"/>
          <w:sz w:val="24"/>
          <w:szCs w:val="24"/>
        </w:rPr>
        <w:t>/L</w:t>
      </w:r>
      <w:r w:rsidR="00DF4640" w:rsidRPr="008D3B68">
        <w:rPr>
          <w:rFonts w:ascii="Book Antiqua" w:hAnsi="Book Antiqua" w:cs="Times New Roman"/>
          <w:sz w:val="24"/>
          <w:szCs w:val="24"/>
        </w:rPr>
        <w:t xml:space="preserve">, </w:t>
      </w:r>
      <w:r w:rsidR="00DF4640" w:rsidRPr="008D3B68">
        <w:rPr>
          <w:rFonts w:ascii="Book Antiqua" w:hAnsi="Book Antiqua" w:cs="Times New Roman"/>
          <w:i/>
          <w:sz w:val="24"/>
          <w:szCs w:val="24"/>
        </w:rPr>
        <w:t>P</w:t>
      </w:r>
      <w:r w:rsidR="00C1712A" w:rsidRPr="008D3B68">
        <w:rPr>
          <w:rFonts w:ascii="Book Antiqua" w:hAnsi="Book Antiqua" w:cs="Times New Roman"/>
          <w:sz w:val="24"/>
          <w:szCs w:val="24"/>
        </w:rPr>
        <w:t xml:space="preserve"> = 0.023) and a significantly higher proportion of patients with mild inflammation (A1) on histological </w:t>
      </w:r>
      <w:r w:rsidRPr="008D3B68">
        <w:rPr>
          <w:rFonts w:ascii="Book Antiqua" w:hAnsi="Book Antiqua" w:cs="Times New Roman"/>
          <w:sz w:val="24"/>
          <w:szCs w:val="24"/>
        </w:rPr>
        <w:t>examination</w:t>
      </w:r>
      <w:r w:rsidR="00C1712A" w:rsidRPr="008D3B68">
        <w:rPr>
          <w:rFonts w:ascii="Book Antiqua" w:hAnsi="Book Antiqua" w:cs="Times New Roman"/>
          <w:sz w:val="24"/>
          <w:szCs w:val="24"/>
        </w:rPr>
        <w:t xml:space="preserve"> (70.6%</w:t>
      </w:r>
      <w:r w:rsidR="00C1712A" w:rsidRPr="008D3B68">
        <w:rPr>
          <w:rFonts w:ascii="Book Antiqua" w:hAnsi="Book Antiqua" w:cs="Times New Roman"/>
          <w:i/>
          <w:sz w:val="24"/>
          <w:szCs w:val="24"/>
        </w:rPr>
        <w:t xml:space="preserve"> vs </w:t>
      </w:r>
      <w:r w:rsidR="00C1712A" w:rsidRPr="008D3B68">
        <w:rPr>
          <w:rFonts w:ascii="Book Antiqua" w:hAnsi="Book Antiqua" w:cs="Times New Roman"/>
          <w:sz w:val="24"/>
          <w:szCs w:val="24"/>
        </w:rPr>
        <w:t xml:space="preserve">35.7%, </w:t>
      </w:r>
      <w:r w:rsidR="00DF4640" w:rsidRPr="008D3B68">
        <w:rPr>
          <w:rFonts w:ascii="Book Antiqua" w:hAnsi="Book Antiqua" w:cs="Times New Roman"/>
          <w:i/>
          <w:sz w:val="24"/>
          <w:szCs w:val="24"/>
        </w:rPr>
        <w:t>P</w:t>
      </w:r>
      <w:r w:rsidR="00C1712A" w:rsidRPr="008D3B68">
        <w:rPr>
          <w:rFonts w:ascii="Book Antiqua" w:hAnsi="Book Antiqua" w:cs="Times New Roman"/>
          <w:sz w:val="24"/>
          <w:szCs w:val="24"/>
        </w:rPr>
        <w:t xml:space="preserve"> </w:t>
      </w:r>
      <w:r w:rsidR="00901D07" w:rsidRPr="008D3B68">
        <w:rPr>
          <w:rFonts w:ascii="Book Antiqua" w:hAnsi="Book Antiqua" w:cs="Times New Roman"/>
          <w:sz w:val="24"/>
          <w:szCs w:val="24"/>
        </w:rPr>
        <w:t>=</w:t>
      </w:r>
      <w:r w:rsidR="00C1712A" w:rsidRPr="008D3B68">
        <w:rPr>
          <w:rFonts w:ascii="Book Antiqua" w:hAnsi="Book Antiqua" w:cs="Times New Roman"/>
          <w:sz w:val="24"/>
          <w:szCs w:val="24"/>
        </w:rPr>
        <w:t xml:space="preserve"> 0.025). When multivariate analysis was performed to identify factors contributing to the</w:t>
      </w:r>
      <w:r w:rsidR="006C7C34" w:rsidRPr="008D3B68">
        <w:rPr>
          <w:rFonts w:ascii="Book Antiqua" w:hAnsi="Book Antiqua" w:cs="Times New Roman"/>
          <w:sz w:val="24"/>
          <w:szCs w:val="24"/>
        </w:rPr>
        <w:t xml:space="preserve"> response to UDCA monotherapy, only</w:t>
      </w:r>
      <w:r w:rsidR="00C1712A" w:rsidRPr="008D3B68">
        <w:rPr>
          <w:rFonts w:ascii="Book Antiqua" w:hAnsi="Book Antiqua" w:cs="Times New Roman"/>
          <w:sz w:val="24"/>
          <w:szCs w:val="24"/>
        </w:rPr>
        <w:t xml:space="preserve"> </w:t>
      </w:r>
      <w:r w:rsidRPr="008D3B68">
        <w:rPr>
          <w:rFonts w:ascii="Book Antiqua" w:hAnsi="Book Antiqua" w:cs="Times New Roman"/>
          <w:sz w:val="24"/>
          <w:szCs w:val="24"/>
        </w:rPr>
        <w:t xml:space="preserve">a </w:t>
      </w:r>
      <w:r w:rsidR="00C1712A" w:rsidRPr="008D3B68">
        <w:rPr>
          <w:rFonts w:ascii="Book Antiqua" w:hAnsi="Book Antiqua" w:cs="Times New Roman"/>
          <w:sz w:val="24"/>
          <w:szCs w:val="24"/>
        </w:rPr>
        <w:t>serum ALT level of 200</w:t>
      </w:r>
      <w:r w:rsidR="00E94E7D" w:rsidRPr="008D3B68">
        <w:rPr>
          <w:rFonts w:ascii="Book Antiqua" w:hAnsi="Book Antiqua" w:cs="Times New Roman"/>
          <w:sz w:val="24"/>
          <w:szCs w:val="24"/>
        </w:rPr>
        <w:t xml:space="preserve"> IU</w:t>
      </w:r>
      <w:r w:rsidR="00ED6728" w:rsidRPr="008D3B68">
        <w:rPr>
          <w:rFonts w:ascii="Book Antiqua" w:hAnsi="Book Antiqua" w:cs="Times New Roman"/>
          <w:sz w:val="24"/>
          <w:szCs w:val="24"/>
        </w:rPr>
        <w:t>/L</w:t>
      </w:r>
      <w:r w:rsidR="00C1712A" w:rsidRPr="008D3B68">
        <w:rPr>
          <w:rFonts w:ascii="Book Antiqua" w:hAnsi="Book Antiqua" w:cs="Times New Roman"/>
          <w:sz w:val="24"/>
          <w:szCs w:val="24"/>
        </w:rPr>
        <w:t xml:space="preserve"> or lower was found to be associated with a significant difference</w:t>
      </w:r>
      <w:r w:rsidR="00901D07" w:rsidRPr="008D3B68">
        <w:rPr>
          <w:rFonts w:ascii="Book Antiqua" w:hAnsi="Book Antiqua" w:cs="Times New Roman"/>
          <w:sz w:val="24"/>
          <w:szCs w:val="24"/>
        </w:rPr>
        <w:t xml:space="preserve"> (</w:t>
      </w:r>
      <w:r w:rsidR="00DF4640" w:rsidRPr="008D3B68">
        <w:rPr>
          <w:rFonts w:ascii="Book Antiqua" w:hAnsi="Book Antiqua" w:cs="Times New Roman"/>
          <w:i/>
          <w:sz w:val="24"/>
          <w:szCs w:val="24"/>
        </w:rPr>
        <w:t>P</w:t>
      </w:r>
      <w:r w:rsidR="00901D07" w:rsidRPr="008D3B68">
        <w:rPr>
          <w:rFonts w:ascii="Book Antiqua" w:hAnsi="Book Antiqua" w:cs="Times New Roman"/>
          <w:sz w:val="24"/>
          <w:szCs w:val="24"/>
        </w:rPr>
        <w:t xml:space="preserve"> = 0.013)</w:t>
      </w:r>
      <w:r w:rsidR="006C7C34" w:rsidRPr="008D3B68">
        <w:rPr>
          <w:rFonts w:ascii="Book Antiqua" w:hAnsi="Book Antiqua" w:cs="Times New Roman"/>
          <w:sz w:val="24"/>
          <w:szCs w:val="24"/>
        </w:rPr>
        <w:t>.</w:t>
      </w:r>
    </w:p>
    <w:p w:rsidR="00B04614" w:rsidRPr="008D3B68" w:rsidRDefault="00B04614" w:rsidP="00352D86">
      <w:pPr>
        <w:spacing w:line="360" w:lineRule="auto"/>
        <w:rPr>
          <w:rFonts w:ascii="Book Antiqua" w:eastAsia="宋体" w:hAnsi="Book Antiqua" w:cs="Times New Roman"/>
          <w:b/>
          <w:i/>
          <w:sz w:val="24"/>
          <w:szCs w:val="24"/>
        </w:rPr>
      </w:pPr>
    </w:p>
    <w:p w:rsidR="00B04614" w:rsidRPr="008D3B68" w:rsidRDefault="00A64F4C" w:rsidP="00352D86">
      <w:pPr>
        <w:spacing w:line="360" w:lineRule="auto"/>
        <w:rPr>
          <w:rFonts w:ascii="Book Antiqua" w:eastAsia="宋体" w:hAnsi="Book Antiqua" w:cs="Times New Roman"/>
          <w:b/>
          <w:i/>
          <w:sz w:val="24"/>
          <w:szCs w:val="24"/>
        </w:rPr>
      </w:pPr>
      <w:r w:rsidRPr="008D3B68">
        <w:rPr>
          <w:rFonts w:ascii="Book Antiqua" w:hAnsi="Book Antiqua" w:cs="Times New Roman"/>
          <w:b/>
          <w:i/>
          <w:sz w:val="24"/>
          <w:szCs w:val="24"/>
        </w:rPr>
        <w:t>CONCLUSION</w:t>
      </w:r>
    </w:p>
    <w:p w:rsidR="00A9672D" w:rsidRPr="008D3B68" w:rsidRDefault="00540011" w:rsidP="00352D86">
      <w:pPr>
        <w:spacing w:line="360" w:lineRule="auto"/>
        <w:rPr>
          <w:rFonts w:ascii="Book Antiqua" w:hAnsi="Book Antiqua" w:cs="Times New Roman"/>
          <w:sz w:val="24"/>
          <w:szCs w:val="24"/>
        </w:rPr>
      </w:pPr>
      <w:r w:rsidRPr="008D3B68">
        <w:rPr>
          <w:rFonts w:ascii="Book Antiqua" w:hAnsi="Book Antiqua" w:cs="Times New Roman"/>
          <w:sz w:val="24"/>
          <w:szCs w:val="24"/>
        </w:rPr>
        <w:t>T</w:t>
      </w:r>
      <w:r w:rsidR="00A9672D" w:rsidRPr="008D3B68">
        <w:rPr>
          <w:rFonts w:ascii="Book Antiqua" w:hAnsi="Book Antiqua" w:cs="Times New Roman"/>
          <w:sz w:val="24"/>
          <w:szCs w:val="24"/>
        </w:rPr>
        <w:t xml:space="preserve">o prevent adverse events related to corticosteroids, </w:t>
      </w:r>
      <w:r w:rsidRPr="008D3B68">
        <w:rPr>
          <w:rFonts w:ascii="Book Antiqua" w:hAnsi="Book Antiqua" w:cs="Times New Roman"/>
          <w:sz w:val="24"/>
          <w:szCs w:val="24"/>
        </w:rPr>
        <w:t>UDCA monotherapy</w:t>
      </w:r>
      <w:r w:rsidR="00A9672D" w:rsidRPr="008D3B68">
        <w:rPr>
          <w:rFonts w:ascii="Book Antiqua" w:hAnsi="Book Antiqua" w:cs="Times New Roman"/>
          <w:sz w:val="24"/>
          <w:szCs w:val="24"/>
        </w:rPr>
        <w:t xml:space="preserve"> </w:t>
      </w:r>
      <w:r w:rsidR="00270E50" w:rsidRPr="008D3B68">
        <w:rPr>
          <w:rFonts w:ascii="Book Antiqua" w:hAnsi="Book Antiqua" w:cs="Times New Roman"/>
          <w:sz w:val="24"/>
          <w:szCs w:val="24"/>
        </w:rPr>
        <w:t xml:space="preserve">for AIH </w:t>
      </w:r>
      <w:r w:rsidR="00A9672D" w:rsidRPr="008D3B68">
        <w:rPr>
          <w:rFonts w:ascii="Book Antiqua" w:hAnsi="Book Antiqua" w:cs="Times New Roman"/>
          <w:sz w:val="24"/>
          <w:szCs w:val="24"/>
        </w:rPr>
        <w:t xml:space="preserve">needs to be considered in patients with </w:t>
      </w:r>
      <w:r w:rsidR="00BB23D5" w:rsidRPr="008D3B68">
        <w:rPr>
          <w:rFonts w:ascii="Book Antiqua" w:hAnsi="Book Antiqua" w:cs="Times New Roman"/>
          <w:sz w:val="24"/>
          <w:szCs w:val="24"/>
        </w:rPr>
        <w:t>a serum ALT</w:t>
      </w:r>
      <w:r w:rsidR="00A9672D" w:rsidRPr="008D3B68">
        <w:rPr>
          <w:rFonts w:ascii="Book Antiqua" w:hAnsi="Book Antiqua" w:cs="Times New Roman"/>
          <w:sz w:val="24"/>
          <w:szCs w:val="24"/>
        </w:rPr>
        <w:t xml:space="preserve"> level of 200</w:t>
      </w:r>
      <w:r w:rsidR="004A7203" w:rsidRPr="008D3B68">
        <w:rPr>
          <w:rFonts w:ascii="Book Antiqua" w:hAnsi="Book Antiqua" w:cs="Times New Roman"/>
          <w:sz w:val="24"/>
          <w:szCs w:val="24"/>
        </w:rPr>
        <w:t xml:space="preserve"> IU</w:t>
      </w:r>
      <w:r w:rsidR="00ED6728" w:rsidRPr="008D3B68">
        <w:rPr>
          <w:rFonts w:ascii="Book Antiqua" w:hAnsi="Book Antiqua" w:cs="Times New Roman"/>
          <w:sz w:val="24"/>
          <w:szCs w:val="24"/>
        </w:rPr>
        <w:t>/L</w:t>
      </w:r>
      <w:r w:rsidR="00A9672D" w:rsidRPr="008D3B68">
        <w:rPr>
          <w:rFonts w:ascii="Book Antiqua" w:hAnsi="Book Antiqua" w:cs="Times New Roman"/>
          <w:sz w:val="24"/>
          <w:szCs w:val="24"/>
        </w:rPr>
        <w:t xml:space="preserve"> or lower.</w:t>
      </w:r>
    </w:p>
    <w:p w:rsidR="00A9672D" w:rsidRPr="008D3B68" w:rsidRDefault="00A9672D" w:rsidP="00352D86">
      <w:pPr>
        <w:spacing w:line="360" w:lineRule="auto"/>
        <w:rPr>
          <w:rFonts w:ascii="Book Antiqua" w:hAnsi="Book Antiqua" w:cs="Times New Roman"/>
          <w:sz w:val="24"/>
          <w:szCs w:val="24"/>
        </w:rPr>
      </w:pPr>
    </w:p>
    <w:p w:rsidR="00E522D2" w:rsidRPr="008D3B68" w:rsidRDefault="00E522D2" w:rsidP="00352D86">
      <w:pPr>
        <w:autoSpaceDE w:val="0"/>
        <w:autoSpaceDN w:val="0"/>
        <w:adjustRightInd w:val="0"/>
        <w:spacing w:line="360" w:lineRule="auto"/>
        <w:rPr>
          <w:rFonts w:ascii="Book Antiqua" w:hAnsi="Book Antiqua" w:cs="Times New Roman"/>
          <w:b/>
          <w:bCs/>
          <w:kern w:val="0"/>
          <w:sz w:val="24"/>
          <w:szCs w:val="24"/>
        </w:rPr>
      </w:pPr>
      <w:r w:rsidRPr="008D3B68">
        <w:rPr>
          <w:rFonts w:ascii="Book Antiqua" w:hAnsi="Book Antiqua" w:cs="Times New Roman"/>
          <w:b/>
          <w:bCs/>
          <w:kern w:val="0"/>
          <w:sz w:val="24"/>
          <w:szCs w:val="24"/>
        </w:rPr>
        <w:t>Key</w:t>
      </w:r>
      <w:r w:rsidR="001A6364" w:rsidRPr="008D3B68">
        <w:rPr>
          <w:rFonts w:ascii="Book Antiqua" w:hAnsi="Book Antiqua" w:cs="Times New Roman"/>
          <w:b/>
          <w:bCs/>
          <w:kern w:val="0"/>
          <w:sz w:val="24"/>
          <w:szCs w:val="24"/>
        </w:rPr>
        <w:t xml:space="preserve"> words: </w:t>
      </w:r>
      <w:r w:rsidRPr="008D3B68">
        <w:rPr>
          <w:rFonts w:ascii="Book Antiqua" w:eastAsia="MS PGothic" w:hAnsi="Book Antiqua" w:cs="Times New Roman"/>
          <w:sz w:val="24"/>
          <w:szCs w:val="24"/>
        </w:rPr>
        <w:t>Autoimmune hepatitis</w:t>
      </w:r>
      <w:r w:rsidR="00B04614" w:rsidRPr="008D3B68">
        <w:rPr>
          <w:rFonts w:ascii="Book Antiqua" w:eastAsia="宋体" w:hAnsi="Book Antiqua" w:cs="Times New Roman" w:hint="eastAsia"/>
          <w:sz w:val="24"/>
          <w:szCs w:val="24"/>
        </w:rPr>
        <w:t>;</w:t>
      </w:r>
      <w:r w:rsidRPr="008D3B68">
        <w:rPr>
          <w:rFonts w:ascii="Book Antiqua" w:eastAsia="MS PGothic" w:hAnsi="Book Antiqua" w:cs="Times New Roman"/>
          <w:sz w:val="24"/>
          <w:szCs w:val="24"/>
        </w:rPr>
        <w:t xml:space="preserve"> Ursodeoxycholic acid</w:t>
      </w:r>
      <w:r w:rsidR="00B04614" w:rsidRPr="008D3B68">
        <w:rPr>
          <w:rFonts w:ascii="Book Antiqua" w:eastAsia="宋体" w:hAnsi="Book Antiqua" w:cs="Times New Roman" w:hint="eastAsia"/>
          <w:sz w:val="24"/>
          <w:szCs w:val="24"/>
        </w:rPr>
        <w:t>;</w:t>
      </w:r>
      <w:r w:rsidR="001867C0" w:rsidRPr="008D3B68">
        <w:rPr>
          <w:rFonts w:ascii="Book Antiqua" w:eastAsia="MS PGothic" w:hAnsi="Book Antiqua" w:cs="Times New Roman"/>
          <w:sz w:val="24"/>
          <w:szCs w:val="24"/>
        </w:rPr>
        <w:t xml:space="preserve"> </w:t>
      </w:r>
      <w:r w:rsidR="00814DE8" w:rsidRPr="008D3B68">
        <w:rPr>
          <w:rFonts w:ascii="Book Antiqua" w:hAnsi="Book Antiqua" w:cs="Times New Roman"/>
          <w:sz w:val="24"/>
          <w:szCs w:val="24"/>
        </w:rPr>
        <w:t>Corticosteroids</w:t>
      </w:r>
      <w:r w:rsidR="00B04614" w:rsidRPr="008D3B68">
        <w:rPr>
          <w:rFonts w:ascii="Book Antiqua" w:eastAsia="宋体" w:hAnsi="Book Antiqua" w:cs="Times New Roman" w:hint="eastAsia"/>
          <w:sz w:val="24"/>
          <w:szCs w:val="24"/>
        </w:rPr>
        <w:t xml:space="preserve">; </w:t>
      </w:r>
      <w:r w:rsidR="00814DE8" w:rsidRPr="008D3B68">
        <w:rPr>
          <w:rFonts w:ascii="Book Antiqua" w:hAnsi="Book Antiqua" w:cs="Times New Roman"/>
          <w:sz w:val="24"/>
          <w:szCs w:val="24"/>
        </w:rPr>
        <w:t>Adverse events</w:t>
      </w:r>
      <w:r w:rsidR="00B04614" w:rsidRPr="008D3B68">
        <w:rPr>
          <w:rFonts w:ascii="Book Antiqua" w:eastAsia="宋体" w:hAnsi="Book Antiqua" w:cs="Times New Roman" w:hint="eastAsia"/>
          <w:sz w:val="24"/>
          <w:szCs w:val="24"/>
        </w:rPr>
        <w:t>;</w:t>
      </w:r>
      <w:r w:rsidR="00814DE8" w:rsidRPr="008D3B68">
        <w:rPr>
          <w:rFonts w:ascii="Book Antiqua" w:eastAsia="MS PGothic" w:hAnsi="Book Antiqua" w:cs="Times New Roman"/>
          <w:sz w:val="24"/>
          <w:szCs w:val="24"/>
        </w:rPr>
        <w:t xml:space="preserve"> </w:t>
      </w:r>
      <w:r w:rsidR="001867C0" w:rsidRPr="008D3B68">
        <w:rPr>
          <w:rFonts w:ascii="Book Antiqua" w:eastAsia="MS PGothic" w:hAnsi="Book Antiqua" w:cs="Times New Roman"/>
          <w:sz w:val="24"/>
          <w:szCs w:val="24"/>
        </w:rPr>
        <w:t>Japanese patients</w:t>
      </w:r>
    </w:p>
    <w:p w:rsidR="007843F7" w:rsidRPr="008D3B68" w:rsidRDefault="007843F7" w:rsidP="00352D86">
      <w:pPr>
        <w:spacing w:line="360" w:lineRule="auto"/>
        <w:rPr>
          <w:rFonts w:ascii="Book Antiqua" w:hAnsi="Book Antiqua" w:cs="Times New Roman"/>
          <w:sz w:val="24"/>
          <w:szCs w:val="24"/>
        </w:rPr>
      </w:pPr>
    </w:p>
    <w:p w:rsidR="008D3B68" w:rsidRPr="008D3B68" w:rsidRDefault="008D3B68" w:rsidP="008D3B68">
      <w:pPr>
        <w:spacing w:line="360" w:lineRule="auto"/>
        <w:rPr>
          <w:rFonts w:ascii="Book Antiqua" w:eastAsia="宋体" w:hAnsi="Book Antiqua" w:cs="Arial"/>
          <w:sz w:val="24"/>
          <w:szCs w:val="24"/>
        </w:rPr>
      </w:pPr>
      <w:r w:rsidRPr="008D3B68">
        <w:rPr>
          <w:rFonts w:ascii="Book Antiqua" w:eastAsia="宋体" w:hAnsi="Book Antiqua" w:cs="Times New Roman"/>
          <w:b/>
          <w:sz w:val="24"/>
          <w:szCs w:val="24"/>
        </w:rPr>
        <w:t xml:space="preserve">© </w:t>
      </w:r>
      <w:r w:rsidRPr="008D3B68">
        <w:rPr>
          <w:rFonts w:ascii="Book Antiqua" w:eastAsia="宋体" w:hAnsi="Book Antiqua" w:cs="Arial"/>
          <w:b/>
          <w:sz w:val="24"/>
          <w:szCs w:val="24"/>
        </w:rPr>
        <w:t>The Author(s) 2016.</w:t>
      </w:r>
      <w:r w:rsidRPr="008D3B68">
        <w:rPr>
          <w:rFonts w:ascii="Book Antiqua" w:eastAsia="宋体" w:hAnsi="Book Antiqua" w:cs="Arial"/>
          <w:sz w:val="24"/>
          <w:szCs w:val="24"/>
        </w:rPr>
        <w:t xml:space="preserve"> Published by Baishideng Publishing Group Inc. All rights reserved.</w:t>
      </w:r>
    </w:p>
    <w:p w:rsidR="00654D22" w:rsidRPr="008D3B68" w:rsidRDefault="00654D22" w:rsidP="00352D86">
      <w:pPr>
        <w:spacing w:line="360" w:lineRule="auto"/>
        <w:rPr>
          <w:rFonts w:ascii="Book Antiqua" w:hAnsi="Book Antiqua" w:cs="Times New Roman"/>
          <w:sz w:val="24"/>
          <w:szCs w:val="24"/>
        </w:rPr>
      </w:pPr>
    </w:p>
    <w:p w:rsidR="00460E88" w:rsidRPr="008D3B68" w:rsidRDefault="001A6364" w:rsidP="00352D86">
      <w:pPr>
        <w:spacing w:line="360" w:lineRule="auto"/>
        <w:rPr>
          <w:rFonts w:ascii="Book Antiqua" w:hAnsi="Book Antiqua" w:cs="Times New Roman"/>
          <w:sz w:val="24"/>
          <w:szCs w:val="24"/>
        </w:rPr>
      </w:pPr>
      <w:r w:rsidRPr="008D3B68">
        <w:rPr>
          <w:rFonts w:ascii="Book Antiqua" w:hAnsi="Book Antiqua" w:cs="Times New Roman"/>
          <w:b/>
          <w:sz w:val="24"/>
          <w:szCs w:val="24"/>
        </w:rPr>
        <w:t>Core tip:</w:t>
      </w:r>
      <w:r w:rsidRPr="008D3B68">
        <w:rPr>
          <w:rFonts w:ascii="Book Antiqua" w:hAnsi="Book Antiqua" w:cs="Times New Roman"/>
          <w:sz w:val="24"/>
          <w:szCs w:val="24"/>
        </w:rPr>
        <w:t xml:space="preserve"> </w:t>
      </w:r>
      <w:r w:rsidR="000C2487" w:rsidRPr="008D3B68">
        <w:rPr>
          <w:rFonts w:ascii="Book Antiqua" w:hAnsi="Book Antiqua" w:cs="Times New Roman"/>
          <w:sz w:val="24"/>
          <w:szCs w:val="24"/>
        </w:rPr>
        <w:t>Autoimmune hepatitis (AIH)</w:t>
      </w:r>
      <w:r w:rsidR="00AE3D3F" w:rsidRPr="008D3B68">
        <w:rPr>
          <w:rFonts w:ascii="Book Antiqua" w:hAnsi="Book Antiqua" w:cs="Times New Roman"/>
          <w:sz w:val="24"/>
          <w:szCs w:val="24"/>
        </w:rPr>
        <w:t xml:space="preserve"> is generally responsive to immunosuppressive treatment, and corticosteroids are commonly used for the initial and maintenance treatments. However, </w:t>
      </w:r>
      <w:r w:rsidR="00AE3D3F" w:rsidRPr="008D3B68">
        <w:rPr>
          <w:rFonts w:ascii="Book Antiqua" w:hAnsi="Book Antiqua" w:cs="Times New Roman"/>
          <w:color w:val="000000" w:themeColor="text1"/>
          <w:sz w:val="24"/>
          <w:szCs w:val="24"/>
        </w:rPr>
        <w:t xml:space="preserve">corticosteroid treatment must be </w:t>
      </w:r>
      <w:r w:rsidR="00AE3D3F" w:rsidRPr="008D3B68">
        <w:rPr>
          <w:rFonts w:ascii="Book Antiqua" w:hAnsi="Book Antiqua" w:cs="Times New Roman"/>
          <w:color w:val="000000" w:themeColor="text1"/>
          <w:sz w:val="24"/>
          <w:szCs w:val="24"/>
        </w:rPr>
        <w:lastRenderedPageBreak/>
        <w:t xml:space="preserve">discontinued in some patients because of several side effects. </w:t>
      </w:r>
      <w:r w:rsidR="00AE3D3F" w:rsidRPr="008D3B68">
        <w:rPr>
          <w:rFonts w:ascii="Book Antiqua" w:hAnsi="Book Antiqua" w:cs="Times New Roman"/>
          <w:sz w:val="24"/>
          <w:szCs w:val="24"/>
        </w:rPr>
        <w:t xml:space="preserve">This study aimed to evaluate the therapeutic effects of </w:t>
      </w:r>
      <w:r w:rsidR="005C4637" w:rsidRPr="008D3B68">
        <w:rPr>
          <w:rFonts w:ascii="Book Antiqua" w:hAnsi="Book Antiqua" w:cs="Times New Roman"/>
          <w:sz w:val="24"/>
          <w:szCs w:val="24"/>
        </w:rPr>
        <w:t>ursodeoxycholic acid (UDCA)</w:t>
      </w:r>
      <w:r w:rsidR="00AE3D3F" w:rsidRPr="008D3B68">
        <w:rPr>
          <w:rFonts w:ascii="Book Antiqua" w:hAnsi="Book Antiqua" w:cs="Times New Roman"/>
          <w:sz w:val="24"/>
          <w:szCs w:val="24"/>
        </w:rPr>
        <w:t xml:space="preserve">, which has high tolerability and no </w:t>
      </w:r>
      <w:r w:rsidR="00AE3D3F" w:rsidRPr="008D3B68">
        <w:rPr>
          <w:rFonts w:ascii="Book Antiqua" w:hAnsi="Book Antiqua" w:cs="Times New Roman"/>
          <w:color w:val="000000" w:themeColor="text1"/>
          <w:sz w:val="24"/>
          <w:szCs w:val="24"/>
        </w:rPr>
        <w:t>severe</w:t>
      </w:r>
      <w:r w:rsidR="00AE3D3F" w:rsidRPr="008D3B68">
        <w:rPr>
          <w:rFonts w:ascii="Book Antiqua" w:hAnsi="Book Antiqua" w:cs="Times New Roman"/>
          <w:sz w:val="24"/>
          <w:szCs w:val="24"/>
        </w:rPr>
        <w:t xml:space="preserve"> side effects</w:t>
      </w:r>
      <w:r w:rsidR="00AE3D3F" w:rsidRPr="008D3B68">
        <w:rPr>
          <w:rFonts w:ascii="Book Antiqua" w:hAnsi="Book Antiqua" w:cs="Times New Roman"/>
          <w:color w:val="000000" w:themeColor="text1"/>
          <w:sz w:val="24"/>
          <w:szCs w:val="24"/>
        </w:rPr>
        <w:t>,</w:t>
      </w:r>
      <w:r w:rsidR="00AE3D3F" w:rsidRPr="008D3B68">
        <w:rPr>
          <w:rFonts w:ascii="Book Antiqua" w:hAnsi="Book Antiqua" w:cs="Times New Roman"/>
          <w:sz w:val="24"/>
          <w:szCs w:val="24"/>
        </w:rPr>
        <w:t xml:space="preserve"> on </w:t>
      </w:r>
      <w:r w:rsidR="00815DDD" w:rsidRPr="008D3B68">
        <w:rPr>
          <w:rFonts w:ascii="Book Antiqua" w:hAnsi="Book Antiqua" w:cs="Times New Roman"/>
          <w:sz w:val="24"/>
          <w:szCs w:val="24"/>
        </w:rPr>
        <w:t>AIH</w:t>
      </w:r>
      <w:r w:rsidR="00AE3D3F" w:rsidRPr="008D3B68">
        <w:rPr>
          <w:rFonts w:ascii="Book Antiqua" w:hAnsi="Book Antiqua" w:cs="Times New Roman"/>
          <w:sz w:val="24"/>
          <w:szCs w:val="24"/>
        </w:rPr>
        <w:t>.</w:t>
      </w:r>
      <w:r w:rsidR="00460E88" w:rsidRPr="008D3B68">
        <w:rPr>
          <w:rFonts w:ascii="Book Antiqua" w:hAnsi="Book Antiqua" w:cs="Times New Roman"/>
          <w:sz w:val="24"/>
          <w:szCs w:val="24"/>
        </w:rPr>
        <w:t xml:space="preserve"> Our results suggest that to prevent adverse events related to corticosteroids, treatment with</w:t>
      </w:r>
      <w:r w:rsidR="00815DDD" w:rsidRPr="008D3B68">
        <w:rPr>
          <w:rFonts w:ascii="Book Antiqua" w:hAnsi="Book Antiqua" w:cs="Times New Roman"/>
          <w:sz w:val="24"/>
          <w:szCs w:val="24"/>
        </w:rPr>
        <w:t xml:space="preserve"> UDCA</w:t>
      </w:r>
      <w:r w:rsidR="00460E88" w:rsidRPr="008D3B68">
        <w:rPr>
          <w:rFonts w:ascii="Book Antiqua" w:hAnsi="Book Antiqua" w:cs="Times New Roman"/>
          <w:sz w:val="24"/>
          <w:szCs w:val="24"/>
        </w:rPr>
        <w:t xml:space="preserve"> alone for </w:t>
      </w:r>
      <w:r w:rsidR="00815DDD" w:rsidRPr="008D3B68">
        <w:rPr>
          <w:rFonts w:ascii="Book Antiqua" w:hAnsi="Book Antiqua" w:cs="Times New Roman"/>
          <w:sz w:val="24"/>
          <w:szCs w:val="24"/>
        </w:rPr>
        <w:t>AIH</w:t>
      </w:r>
      <w:r w:rsidR="00460E88" w:rsidRPr="008D3B68">
        <w:rPr>
          <w:rFonts w:ascii="Book Antiqua" w:hAnsi="Book Antiqua" w:cs="Times New Roman"/>
          <w:sz w:val="24"/>
          <w:szCs w:val="24"/>
        </w:rPr>
        <w:t xml:space="preserve"> needs to be considered in selected patients, especially those with an </w:t>
      </w:r>
      <w:r w:rsidR="00B00A82" w:rsidRPr="008D3B68">
        <w:rPr>
          <w:rFonts w:ascii="Book Antiqua" w:hAnsi="Book Antiqua" w:cs="Times New Roman"/>
          <w:sz w:val="24"/>
          <w:szCs w:val="24"/>
        </w:rPr>
        <w:t>ALT</w:t>
      </w:r>
      <w:r w:rsidR="00460E88" w:rsidRPr="008D3B68">
        <w:rPr>
          <w:rFonts w:ascii="Book Antiqua" w:hAnsi="Book Antiqua" w:cs="Times New Roman"/>
          <w:sz w:val="24"/>
          <w:szCs w:val="24"/>
        </w:rPr>
        <w:t xml:space="preserve"> level of 200 IU</w:t>
      </w:r>
      <w:r w:rsidR="00ED6728" w:rsidRPr="008D3B68">
        <w:rPr>
          <w:rFonts w:ascii="Book Antiqua" w:hAnsi="Book Antiqua" w:cs="Times New Roman"/>
          <w:sz w:val="24"/>
          <w:szCs w:val="24"/>
        </w:rPr>
        <w:t>/L</w:t>
      </w:r>
      <w:r w:rsidR="00460E88" w:rsidRPr="008D3B68">
        <w:rPr>
          <w:rFonts w:ascii="Book Antiqua" w:hAnsi="Book Antiqua" w:cs="Times New Roman"/>
          <w:sz w:val="24"/>
          <w:szCs w:val="24"/>
        </w:rPr>
        <w:t xml:space="preserve"> or lower.</w:t>
      </w:r>
      <w:r w:rsidR="00653081" w:rsidRPr="008D3B68">
        <w:rPr>
          <w:rFonts w:ascii="Book Antiqua" w:hAnsi="Book Antiqua" w:cs="Times New Roman"/>
          <w:sz w:val="24"/>
          <w:szCs w:val="24"/>
        </w:rPr>
        <w:t xml:space="preserve"> </w:t>
      </w:r>
      <w:r w:rsidR="006316D1" w:rsidRPr="008D3B68">
        <w:rPr>
          <w:rFonts w:ascii="Book Antiqua" w:hAnsi="Book Antiqua" w:cs="Times New Roman"/>
          <w:sz w:val="24"/>
          <w:szCs w:val="24"/>
        </w:rPr>
        <w:t xml:space="preserve">This </w:t>
      </w:r>
      <w:r w:rsidR="002B79C2" w:rsidRPr="008D3B68">
        <w:rPr>
          <w:rFonts w:ascii="Book Antiqua" w:hAnsi="Book Antiqua" w:cs="Times New Roman"/>
          <w:sz w:val="24"/>
          <w:szCs w:val="24"/>
        </w:rPr>
        <w:t>utility of UDCA must</w:t>
      </w:r>
      <w:r w:rsidR="006316D1" w:rsidRPr="008D3B68">
        <w:rPr>
          <w:rFonts w:ascii="Book Antiqua" w:hAnsi="Book Antiqua" w:cs="Times New Roman"/>
          <w:sz w:val="24"/>
          <w:szCs w:val="24"/>
        </w:rPr>
        <w:t xml:space="preserve"> be confirmed in a prospective study.</w:t>
      </w:r>
    </w:p>
    <w:p w:rsidR="001A6364" w:rsidRPr="008D3B68" w:rsidRDefault="001A6364" w:rsidP="00352D86">
      <w:pPr>
        <w:spacing w:line="360" w:lineRule="auto"/>
        <w:rPr>
          <w:rFonts w:ascii="Book Antiqua" w:hAnsi="Book Antiqua" w:cs="Times New Roman"/>
          <w:b/>
          <w:sz w:val="24"/>
          <w:szCs w:val="24"/>
        </w:rPr>
      </w:pPr>
    </w:p>
    <w:p w:rsidR="001A6364" w:rsidRPr="002D6510" w:rsidRDefault="00A52BFF" w:rsidP="00352D86">
      <w:pPr>
        <w:spacing w:line="360" w:lineRule="auto"/>
        <w:rPr>
          <w:rFonts w:ascii="Book Antiqua" w:eastAsia="宋体" w:hAnsi="Book Antiqua" w:cs="Times New Roman"/>
          <w:sz w:val="24"/>
          <w:szCs w:val="24"/>
        </w:rPr>
      </w:pPr>
      <w:r w:rsidRPr="008D3B68">
        <w:rPr>
          <w:rFonts w:ascii="Book Antiqua" w:eastAsia="MS PGothic" w:hAnsi="Book Antiqua" w:cs="Times New Roman"/>
          <w:bCs/>
          <w:sz w:val="24"/>
          <w:szCs w:val="24"/>
        </w:rPr>
        <w:t xml:space="preserve">Torisu Y, </w:t>
      </w:r>
      <w:r w:rsidR="001A6364" w:rsidRPr="008D3B68">
        <w:rPr>
          <w:rFonts w:ascii="Book Antiqua" w:eastAsia="MS PGothic" w:hAnsi="Book Antiqua" w:cs="Times New Roman"/>
          <w:bCs/>
          <w:sz w:val="24"/>
          <w:szCs w:val="24"/>
        </w:rPr>
        <w:t>Nakano M, Takano K, Nakagawa R, Saeki C, Hokari A, Ishikawa T, Saruta M</w:t>
      </w:r>
      <w:r w:rsidRPr="008D3B68">
        <w:rPr>
          <w:rFonts w:ascii="Book Antiqua" w:eastAsia="MS PGothic" w:hAnsi="Book Antiqua" w:cs="Times New Roman"/>
          <w:bCs/>
          <w:sz w:val="24"/>
          <w:szCs w:val="24"/>
        </w:rPr>
        <w:t>, Zeniya M</w:t>
      </w:r>
      <w:r w:rsidR="001A6364" w:rsidRPr="008D3B68">
        <w:rPr>
          <w:rFonts w:ascii="Book Antiqua" w:eastAsia="MS PGothic" w:hAnsi="Book Antiqua" w:cs="Times New Roman"/>
          <w:bCs/>
          <w:sz w:val="24"/>
          <w:szCs w:val="24"/>
        </w:rPr>
        <w:t xml:space="preserve">. </w:t>
      </w:r>
      <w:r w:rsidR="001A6364" w:rsidRPr="008D3B68">
        <w:rPr>
          <w:rFonts w:ascii="Book Antiqua" w:hAnsi="Book Antiqua" w:cs="Times New Roman"/>
          <w:sz w:val="24"/>
          <w:szCs w:val="24"/>
        </w:rPr>
        <w:t xml:space="preserve">Clinical usefulness of ursodeoxycholic acid for </w:t>
      </w:r>
      <w:r w:rsidR="00246B2D" w:rsidRPr="008D3B68">
        <w:rPr>
          <w:rFonts w:ascii="Book Antiqua" w:hAnsi="Book Antiqua" w:cs="Times New Roman"/>
          <w:sz w:val="24"/>
          <w:szCs w:val="24"/>
        </w:rPr>
        <w:t>Japanese patients with</w:t>
      </w:r>
      <w:r w:rsidR="001A6364" w:rsidRPr="008D3B68">
        <w:rPr>
          <w:rFonts w:ascii="Book Antiqua" w:hAnsi="Book Antiqua" w:cs="Times New Roman"/>
          <w:sz w:val="24"/>
          <w:szCs w:val="24"/>
        </w:rPr>
        <w:t xml:space="preserve"> autoimmune hepatitis.</w:t>
      </w:r>
      <w:r w:rsidR="002D6510">
        <w:rPr>
          <w:rFonts w:ascii="Book Antiqua" w:eastAsia="宋体" w:hAnsi="Book Antiqua" w:cs="Times New Roman" w:hint="eastAsia"/>
          <w:sz w:val="24"/>
          <w:szCs w:val="24"/>
        </w:rPr>
        <w:t xml:space="preserve"> </w:t>
      </w:r>
      <w:bookmarkStart w:id="9" w:name="OLE_LINK130"/>
      <w:r w:rsidR="002D6510" w:rsidRPr="00125820">
        <w:rPr>
          <w:rFonts w:ascii="Book Antiqua" w:hAnsi="Book Antiqua"/>
          <w:i/>
          <w:iCs/>
          <w:sz w:val="24"/>
          <w:szCs w:val="24"/>
        </w:rPr>
        <w:t>World J Hepatol</w:t>
      </w:r>
      <w:bookmarkEnd w:id="9"/>
      <w:r w:rsidR="002D6510">
        <w:rPr>
          <w:rFonts w:ascii="Book Antiqua" w:hAnsi="Book Antiqua" w:hint="eastAsia"/>
          <w:i/>
          <w:iCs/>
          <w:sz w:val="24"/>
          <w:szCs w:val="24"/>
        </w:rPr>
        <w:t xml:space="preserve"> </w:t>
      </w:r>
      <w:r w:rsidR="002D6510">
        <w:rPr>
          <w:rFonts w:ascii="Book Antiqua" w:hAnsi="Book Antiqua" w:hint="eastAsia"/>
          <w:iCs/>
          <w:sz w:val="24"/>
          <w:szCs w:val="24"/>
        </w:rPr>
        <w:t>2016; In press</w:t>
      </w: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070967" w:rsidRPr="008D3B68" w:rsidRDefault="00070967" w:rsidP="00352D86">
      <w:pPr>
        <w:spacing w:line="360" w:lineRule="auto"/>
        <w:rPr>
          <w:rFonts w:ascii="Book Antiqua" w:hAnsi="Book Antiqua" w:cs="Times New Roman"/>
          <w:sz w:val="24"/>
          <w:szCs w:val="24"/>
        </w:rPr>
      </w:pPr>
    </w:p>
    <w:p w:rsidR="00F36205" w:rsidRDefault="00F36205">
      <w:pPr>
        <w:widowControl/>
        <w:jc w:val="left"/>
        <w:rPr>
          <w:rFonts w:ascii="Book Antiqua" w:hAnsi="Book Antiqua" w:cs="Times New Roman"/>
          <w:sz w:val="24"/>
          <w:szCs w:val="24"/>
        </w:rPr>
      </w:pPr>
      <w:r>
        <w:rPr>
          <w:rFonts w:ascii="Book Antiqua" w:hAnsi="Book Antiqua" w:cs="Times New Roman"/>
          <w:sz w:val="24"/>
          <w:szCs w:val="24"/>
        </w:rPr>
        <w:br w:type="page"/>
      </w:r>
    </w:p>
    <w:p w:rsidR="00177CAF" w:rsidRPr="008D3B68" w:rsidRDefault="00460E88" w:rsidP="00352D86">
      <w:pPr>
        <w:spacing w:line="360" w:lineRule="auto"/>
        <w:rPr>
          <w:rFonts w:ascii="Book Antiqua" w:hAnsi="Book Antiqua" w:cs="Times New Roman"/>
          <w:b/>
          <w:sz w:val="24"/>
          <w:szCs w:val="24"/>
        </w:rPr>
      </w:pPr>
      <w:r w:rsidRPr="008D3B68">
        <w:rPr>
          <w:rFonts w:ascii="Book Antiqua" w:hAnsi="Book Antiqua" w:cs="Times New Roman"/>
          <w:b/>
          <w:sz w:val="24"/>
          <w:szCs w:val="24"/>
        </w:rPr>
        <w:lastRenderedPageBreak/>
        <w:t>INTRODUCTION</w:t>
      </w:r>
    </w:p>
    <w:p w:rsidR="00287B36" w:rsidRPr="008D3B68" w:rsidRDefault="00D17C35" w:rsidP="00352D86">
      <w:pPr>
        <w:spacing w:line="360" w:lineRule="auto"/>
        <w:rPr>
          <w:rFonts w:ascii="Book Antiqua" w:hAnsi="Book Antiqua" w:cs="Times New Roman"/>
          <w:color w:val="000000" w:themeColor="text1"/>
          <w:sz w:val="24"/>
          <w:szCs w:val="24"/>
        </w:rPr>
      </w:pPr>
      <w:r w:rsidRPr="008D3B68">
        <w:rPr>
          <w:rFonts w:ascii="Book Antiqua" w:hAnsi="Book Antiqua" w:cs="Times New Roman"/>
          <w:color w:val="000000" w:themeColor="text1"/>
          <w:sz w:val="24"/>
          <w:szCs w:val="24"/>
        </w:rPr>
        <w:t xml:space="preserve">Autoimmune hepatitis (AIH) is an unresolving progressive liver disease that affects females </w:t>
      </w:r>
      <w:r w:rsidR="009D6E56" w:rsidRPr="008D3B68">
        <w:rPr>
          <w:rFonts w:ascii="Book Antiqua" w:hAnsi="Book Antiqua" w:cs="Times New Roman"/>
          <w:color w:val="000000" w:themeColor="text1"/>
          <w:sz w:val="24"/>
          <w:szCs w:val="24"/>
        </w:rPr>
        <w:t xml:space="preserve">preferentially </w:t>
      </w:r>
      <w:r w:rsidRPr="008D3B68">
        <w:rPr>
          <w:rFonts w:ascii="Book Antiqua" w:hAnsi="Book Antiqua" w:cs="Times New Roman"/>
          <w:color w:val="000000" w:themeColor="text1"/>
          <w:sz w:val="24"/>
          <w:szCs w:val="24"/>
        </w:rPr>
        <w:t>and is characterized by interface hepa</w:t>
      </w:r>
      <w:r w:rsidR="003818D3" w:rsidRPr="008D3B68">
        <w:rPr>
          <w:rFonts w:ascii="Book Antiqua" w:hAnsi="Book Antiqua" w:cs="Times New Roman"/>
          <w:color w:val="000000" w:themeColor="text1"/>
          <w:sz w:val="24"/>
          <w:szCs w:val="24"/>
        </w:rPr>
        <w:t>titis, hyper-gammaglobulinemia</w:t>
      </w:r>
      <w:r w:rsidRPr="008D3B68">
        <w:rPr>
          <w:rFonts w:ascii="Book Antiqua" w:hAnsi="Book Antiqua" w:cs="Times New Roman"/>
          <w:color w:val="000000" w:themeColor="text1"/>
          <w:sz w:val="24"/>
          <w:szCs w:val="24"/>
        </w:rPr>
        <w:t>,</w:t>
      </w:r>
      <w:r w:rsidR="003818D3" w:rsidRPr="008D3B68">
        <w:rPr>
          <w:rFonts w:ascii="Book Antiqua" w:hAnsi="Book Antiqua" w:cs="Times New Roman"/>
          <w:color w:val="000000" w:themeColor="text1"/>
          <w:sz w:val="24"/>
          <w:szCs w:val="24"/>
        </w:rPr>
        <w:t xml:space="preserve"> </w:t>
      </w:r>
      <w:r w:rsidRPr="008D3B68">
        <w:rPr>
          <w:rFonts w:ascii="Book Antiqua" w:hAnsi="Book Antiqua" w:cs="Times New Roman"/>
          <w:color w:val="000000" w:themeColor="text1"/>
          <w:sz w:val="24"/>
          <w:szCs w:val="24"/>
        </w:rPr>
        <w:t>circulating autoantibodies</w:t>
      </w:r>
      <w:r w:rsidR="009D6E56" w:rsidRPr="008D3B68">
        <w:rPr>
          <w:rFonts w:ascii="Book Antiqua" w:hAnsi="Book Antiqua" w:cs="Times New Roman"/>
          <w:color w:val="000000" w:themeColor="text1"/>
          <w:sz w:val="24"/>
          <w:szCs w:val="24"/>
        </w:rPr>
        <w:t>,</w:t>
      </w:r>
      <w:r w:rsidRPr="008D3B68">
        <w:rPr>
          <w:rFonts w:ascii="Book Antiqua" w:hAnsi="Book Antiqua" w:cs="Times New Roman"/>
          <w:color w:val="000000" w:themeColor="text1"/>
          <w:sz w:val="24"/>
          <w:szCs w:val="24"/>
        </w:rPr>
        <w:t xml:space="preserve"> and a favorable response to immunosuppression. </w:t>
      </w:r>
      <w:r w:rsidR="0090711F" w:rsidRPr="008D3B68">
        <w:rPr>
          <w:rFonts w:ascii="Book Antiqua" w:hAnsi="Book Antiqua" w:cs="Times New Roman"/>
          <w:color w:val="000000" w:themeColor="text1"/>
          <w:sz w:val="24"/>
          <w:szCs w:val="24"/>
        </w:rPr>
        <w:t>The aim of treatment in AIH is to obtain complete remission of</w:t>
      </w:r>
      <w:r w:rsidR="00F36205">
        <w:rPr>
          <w:rFonts w:ascii="Book Antiqua" w:eastAsia="宋体" w:hAnsi="Book Antiqua" w:cs="Times New Roman" w:hint="eastAsia"/>
          <w:color w:val="000000" w:themeColor="text1"/>
          <w:sz w:val="24"/>
          <w:szCs w:val="24"/>
        </w:rPr>
        <w:t xml:space="preserve"> </w:t>
      </w:r>
      <w:r w:rsidR="0090711F" w:rsidRPr="008D3B68">
        <w:rPr>
          <w:rFonts w:ascii="Book Antiqua" w:hAnsi="Book Antiqua" w:cs="Times New Roman"/>
          <w:color w:val="000000" w:themeColor="text1"/>
          <w:sz w:val="24"/>
          <w:szCs w:val="24"/>
        </w:rPr>
        <w:t>the disease and to prevent further progression of liver disease</w:t>
      </w:r>
      <w:r w:rsidR="009D7F44" w:rsidRPr="008D3B68">
        <w:rPr>
          <w:rFonts w:ascii="Book Antiqua" w:hAnsi="Book Antiqua" w:cs="Times New Roman"/>
          <w:color w:val="000000" w:themeColor="text1"/>
          <w:sz w:val="24"/>
          <w:szCs w:val="24"/>
        </w:rPr>
        <w:t>, which</w:t>
      </w:r>
      <w:r w:rsidR="0090711F" w:rsidRPr="008D3B68">
        <w:rPr>
          <w:rFonts w:ascii="Book Antiqua" w:hAnsi="Book Antiqua" w:cs="Times New Roman"/>
          <w:color w:val="000000" w:themeColor="text1"/>
          <w:sz w:val="24"/>
          <w:szCs w:val="24"/>
        </w:rPr>
        <w:t xml:space="preserve"> </w:t>
      </w:r>
      <w:r w:rsidR="006C4C80" w:rsidRPr="008D3B68">
        <w:rPr>
          <w:rFonts w:ascii="Book Antiqua" w:hAnsi="Book Antiqua" w:cs="Times New Roman"/>
          <w:color w:val="000000" w:themeColor="text1"/>
          <w:sz w:val="24"/>
          <w:szCs w:val="24"/>
        </w:rPr>
        <w:t xml:space="preserve">generally </w:t>
      </w:r>
      <w:r w:rsidR="0090711F" w:rsidRPr="008D3B68">
        <w:rPr>
          <w:rFonts w:ascii="Book Antiqua" w:hAnsi="Book Antiqua" w:cs="Times New Roman"/>
          <w:color w:val="000000" w:themeColor="text1"/>
          <w:sz w:val="24"/>
          <w:szCs w:val="24"/>
        </w:rPr>
        <w:t>requires permanent maintenance therapy.</w:t>
      </w:r>
      <w:r w:rsidR="000F2DF6" w:rsidRPr="008D3B68">
        <w:rPr>
          <w:rFonts w:ascii="Book Antiqua" w:hAnsi="Book Antiqua" w:cs="Times New Roman"/>
          <w:color w:val="000000" w:themeColor="text1"/>
          <w:sz w:val="24"/>
          <w:szCs w:val="24"/>
        </w:rPr>
        <w:t xml:space="preserve"> </w:t>
      </w:r>
      <w:r w:rsidR="0078239F" w:rsidRPr="008D3B68">
        <w:rPr>
          <w:rFonts w:ascii="Book Antiqua" w:hAnsi="Book Antiqua" w:cs="Times New Roman"/>
          <w:color w:val="000000" w:themeColor="text1"/>
          <w:sz w:val="24"/>
          <w:szCs w:val="24"/>
        </w:rPr>
        <w:t>Corticosteroid</w:t>
      </w:r>
      <w:r w:rsidR="006C4C80" w:rsidRPr="008D3B68">
        <w:rPr>
          <w:rFonts w:ascii="Book Antiqua" w:hAnsi="Book Antiqua" w:cs="Times New Roman"/>
          <w:color w:val="000000" w:themeColor="text1"/>
          <w:sz w:val="24"/>
          <w:szCs w:val="24"/>
        </w:rPr>
        <w:t>s</w:t>
      </w:r>
      <w:r w:rsidR="0078239F" w:rsidRPr="008D3B68">
        <w:rPr>
          <w:rFonts w:ascii="Book Antiqua" w:hAnsi="Book Antiqua" w:cs="Times New Roman"/>
          <w:color w:val="000000" w:themeColor="text1"/>
          <w:sz w:val="24"/>
          <w:szCs w:val="24"/>
        </w:rPr>
        <w:t xml:space="preserve"> </w:t>
      </w:r>
      <w:r w:rsidR="00A759B4" w:rsidRPr="008D3B68">
        <w:rPr>
          <w:rFonts w:ascii="Book Antiqua" w:hAnsi="Book Antiqua" w:cs="Times New Roman"/>
          <w:color w:val="000000" w:themeColor="text1"/>
          <w:sz w:val="24"/>
          <w:szCs w:val="24"/>
        </w:rPr>
        <w:t>ha</w:t>
      </w:r>
      <w:r w:rsidR="006C4C80" w:rsidRPr="008D3B68">
        <w:rPr>
          <w:rFonts w:ascii="Book Antiqua" w:hAnsi="Book Antiqua" w:cs="Times New Roman"/>
          <w:color w:val="000000" w:themeColor="text1"/>
          <w:sz w:val="24"/>
          <w:szCs w:val="24"/>
        </w:rPr>
        <w:t>ve</w:t>
      </w:r>
      <w:r w:rsidR="00A759B4" w:rsidRPr="008D3B68">
        <w:rPr>
          <w:rFonts w:ascii="Book Antiqua" w:hAnsi="Book Antiqua" w:cs="Times New Roman"/>
          <w:color w:val="000000" w:themeColor="text1"/>
          <w:sz w:val="24"/>
          <w:szCs w:val="24"/>
        </w:rPr>
        <w:t xml:space="preserve"> been widely used as the first choice drug treatment of </w:t>
      </w:r>
      <w:r w:rsidR="0078239F" w:rsidRPr="008D3B68">
        <w:rPr>
          <w:rFonts w:ascii="Book Antiqua" w:hAnsi="Book Antiqua" w:cs="Times New Roman"/>
          <w:color w:val="000000" w:themeColor="text1"/>
          <w:sz w:val="24"/>
          <w:szCs w:val="24"/>
        </w:rPr>
        <w:t>AIH</w:t>
      </w:r>
      <w:r w:rsidR="00A313A7" w:rsidRPr="008D3B68">
        <w:rPr>
          <w:rFonts w:ascii="Book Antiqua" w:hAnsi="Book Antiqua" w:cs="Times New Roman"/>
          <w:color w:val="000000" w:themeColor="text1"/>
          <w:sz w:val="24"/>
          <w:szCs w:val="24"/>
        </w:rPr>
        <w:fldChar w:fldCharType="begin" w:fldLock="1"/>
      </w:r>
      <w:r w:rsidR="00D25B64" w:rsidRPr="008D3B68">
        <w:rPr>
          <w:rFonts w:ascii="Book Antiqua" w:hAnsi="Book Antiqua" w:cs="Times New Roman"/>
          <w:color w:val="000000" w:themeColor="text1"/>
          <w:sz w:val="24"/>
          <w:szCs w:val="24"/>
        </w:rPr>
        <w:instrText>ADDIN CSL_CITATION { "citationItems" : [ { "id" : "ITEM-1", "itemData" : { "DOI" : "10.1097/MOG.0b013e3283457ce0", "ISBN" : "0036-5521", "ISSN" : "0267-1379", "PMID" : "21451411", "abstract" : "Autoimmune hepatitis (AIH) is a chronic, progressive hepatitis of uncertain cause which has fluctuating activity characterized by periods of flares and remissions. Initial placebo-controlled trials carried out in the 1970s demonstrated that immunosuppression with steroids was extremely effective in reducing flares and progression of disease. The late 1980s-1990s could be described as the 'Dark Ages' of AIH treatment research. Very few clinical studies were performed during this time, although it became increasingly apparent that not all patients tolerated or responded to traditional immunosuppression, and that not all patients were easy to diagnose because of overlapping features with other autoimmune conditions. Fortunately, clinical research in the treatment of AIH has experienced a renaissance in the 21st century.", "author" : [ { "dropping-particle" : "", "family" : "Manns MP, Czaja AJ, Gorham JD, Krawitt EL, Mieli-Vergani G, Vergani D", "given" : "Vierling JM", "non-dropping-particle" : "", "parse-names" : false, "suffix" : "" } ], "container-title" : "Hepatology", "id" : "ITEM-1", "issue" : "6", "issued" : { "date-parts" : [ [ "2010" ] ] }, "page" : "2193-213", "title" : "Management of autoimmune hepatitis.", "type" : "article-journal", "volume" : "51" }, "uris" : [ "http://www.mendeley.com/documents/?uuid=172cdaf9-c3df-4c90-b5d0-c14410447efd" ] }, { "id" : "ITEM-2", "itemData" : { "author" : [ { "dropping-particle" : "", "family" : "European Association for the Study of the Liver", "given" : "", "non-dropping-particle" : "", "parse-names" : false, "suffix" : "" } ], "container-title" : "J Hepatol.", "id" : "ITEM-2", "issue" : "4", "issued" : { "date-parts" : [ [ "2015" ] ] }, "page" : "971-1004", "title" : "EASL Clinical PracticeGuidelines: Autoimmune hepatitis.", "type" : "article-journal", "volume" : "63" }, "uris" : [ "http://www.mendeley.com/documents/?uuid=c2e8e887-7416-4c47-ba97-b7f68c75dcd0" ] } ], "mendeley" : { "formattedCitation" : "&lt;sup&gt;[1,2]&lt;/sup&gt;", "plainTextFormattedCitation" : "[1,2]", "previouslyFormattedCitation" : "&lt;sup&gt;[1,2]&lt;/sup&gt;" }, "properties" : { "noteIndex" : 0 }, "schema" : "https://github.com/citation-style-language/schema/raw/master/csl-citation.json" }</w:instrText>
      </w:r>
      <w:r w:rsidR="00A313A7" w:rsidRPr="008D3B68">
        <w:rPr>
          <w:rFonts w:ascii="Book Antiqua" w:hAnsi="Book Antiqua" w:cs="Times New Roman"/>
          <w:color w:val="000000" w:themeColor="text1"/>
          <w:sz w:val="24"/>
          <w:szCs w:val="24"/>
        </w:rPr>
        <w:fldChar w:fldCharType="separate"/>
      </w:r>
      <w:r w:rsidR="00D25B64" w:rsidRPr="008D3B68">
        <w:rPr>
          <w:rFonts w:ascii="Book Antiqua" w:hAnsi="Book Antiqua" w:cs="Times New Roman"/>
          <w:noProof/>
          <w:color w:val="000000" w:themeColor="text1"/>
          <w:sz w:val="24"/>
          <w:szCs w:val="24"/>
          <w:vertAlign w:val="superscript"/>
        </w:rPr>
        <w:t>[1,2]</w:t>
      </w:r>
      <w:r w:rsidR="00A313A7" w:rsidRPr="008D3B68">
        <w:rPr>
          <w:rFonts w:ascii="Book Antiqua" w:hAnsi="Book Antiqua" w:cs="Times New Roman"/>
          <w:color w:val="000000" w:themeColor="text1"/>
          <w:sz w:val="24"/>
          <w:szCs w:val="24"/>
        </w:rPr>
        <w:fldChar w:fldCharType="end"/>
      </w:r>
      <w:r w:rsidR="0078239F" w:rsidRPr="008D3B68">
        <w:rPr>
          <w:rFonts w:ascii="Book Antiqua" w:hAnsi="Book Antiqua" w:cs="Times New Roman"/>
          <w:color w:val="000000" w:themeColor="text1"/>
          <w:sz w:val="24"/>
          <w:szCs w:val="24"/>
        </w:rPr>
        <w:t xml:space="preserve">. </w:t>
      </w:r>
      <w:r w:rsidRPr="008D3B68">
        <w:rPr>
          <w:rFonts w:ascii="Book Antiqua" w:hAnsi="Book Antiqua" w:cs="Times New Roman"/>
          <w:color w:val="000000" w:themeColor="text1"/>
          <w:sz w:val="24"/>
          <w:szCs w:val="24"/>
        </w:rPr>
        <w:t xml:space="preserve">However, </w:t>
      </w:r>
      <w:r w:rsidR="009D6E56" w:rsidRPr="008D3B68">
        <w:rPr>
          <w:rFonts w:ascii="Book Antiqua" w:hAnsi="Book Antiqua" w:cs="Times New Roman"/>
          <w:color w:val="000000" w:themeColor="text1"/>
          <w:sz w:val="24"/>
          <w:szCs w:val="24"/>
        </w:rPr>
        <w:t>l</w:t>
      </w:r>
      <w:r w:rsidRPr="008D3B68">
        <w:rPr>
          <w:rFonts w:ascii="Book Antiqua" w:hAnsi="Book Antiqua" w:cs="Times New Roman"/>
          <w:color w:val="000000" w:themeColor="text1"/>
          <w:sz w:val="24"/>
          <w:szCs w:val="24"/>
        </w:rPr>
        <w:t xml:space="preserve">ong-term treatment with </w:t>
      </w:r>
      <w:r w:rsidR="009D6E56" w:rsidRPr="008D3B68">
        <w:rPr>
          <w:rFonts w:ascii="Book Antiqua" w:hAnsi="Book Antiqua" w:cs="Times New Roman"/>
          <w:color w:val="000000" w:themeColor="text1"/>
          <w:sz w:val="24"/>
          <w:szCs w:val="24"/>
        </w:rPr>
        <w:t xml:space="preserve">a </w:t>
      </w:r>
      <w:r w:rsidRPr="008D3B68">
        <w:rPr>
          <w:rFonts w:ascii="Book Antiqua" w:hAnsi="Book Antiqua" w:cs="Times New Roman"/>
          <w:color w:val="000000" w:themeColor="text1"/>
          <w:sz w:val="24"/>
          <w:szCs w:val="24"/>
        </w:rPr>
        <w:t xml:space="preserve">generous </w:t>
      </w:r>
      <w:r w:rsidR="000F2DF6" w:rsidRPr="008D3B68">
        <w:rPr>
          <w:rFonts w:ascii="Book Antiqua" w:hAnsi="Book Antiqua" w:cs="Times New Roman"/>
          <w:color w:val="000000" w:themeColor="text1"/>
          <w:sz w:val="24"/>
          <w:szCs w:val="24"/>
        </w:rPr>
        <w:t>cortico</w:t>
      </w:r>
      <w:r w:rsidRPr="008D3B68">
        <w:rPr>
          <w:rFonts w:ascii="Book Antiqua" w:hAnsi="Book Antiqua" w:cs="Times New Roman"/>
          <w:color w:val="000000" w:themeColor="text1"/>
          <w:sz w:val="24"/>
          <w:szCs w:val="24"/>
        </w:rPr>
        <w:t>steroid dosage may induce predictable side effects</w:t>
      </w:r>
      <w:r w:rsidR="009D6E56" w:rsidRPr="008D3B68">
        <w:rPr>
          <w:rFonts w:ascii="Book Antiqua" w:hAnsi="Book Antiqua" w:cs="Times New Roman"/>
          <w:color w:val="000000" w:themeColor="text1"/>
          <w:sz w:val="24"/>
          <w:szCs w:val="24"/>
        </w:rPr>
        <w:t>,</w:t>
      </w:r>
      <w:r w:rsidRPr="008D3B68">
        <w:rPr>
          <w:rFonts w:ascii="Book Antiqua" w:hAnsi="Book Antiqua" w:cs="Times New Roman"/>
          <w:color w:val="000000" w:themeColor="text1"/>
          <w:sz w:val="24"/>
          <w:szCs w:val="24"/>
        </w:rPr>
        <w:t xml:space="preserve"> such as cosmetic changes (</w:t>
      </w:r>
      <w:r w:rsidR="000F2DF6" w:rsidRPr="008D3B68">
        <w:rPr>
          <w:rFonts w:ascii="Book Antiqua" w:hAnsi="Book Antiqua" w:cs="Times New Roman"/>
          <w:color w:val="000000" w:themeColor="text1"/>
          <w:sz w:val="24"/>
          <w:szCs w:val="24"/>
        </w:rPr>
        <w:t>facial rounding, dorsal hump formation, striae, weight gain, acne, alopecia</w:t>
      </w:r>
      <w:r w:rsidR="009D6E56" w:rsidRPr="008D3B68">
        <w:rPr>
          <w:rFonts w:ascii="Book Antiqua" w:hAnsi="Book Antiqua" w:cs="Times New Roman"/>
          <w:color w:val="000000" w:themeColor="text1"/>
          <w:sz w:val="24"/>
          <w:szCs w:val="24"/>
        </w:rPr>
        <w:t>,</w:t>
      </w:r>
      <w:r w:rsidR="000F2DF6" w:rsidRPr="008D3B68">
        <w:rPr>
          <w:rFonts w:ascii="Book Antiqua" w:hAnsi="Book Antiqua" w:cs="Times New Roman"/>
          <w:color w:val="000000" w:themeColor="text1"/>
          <w:sz w:val="24"/>
          <w:szCs w:val="24"/>
        </w:rPr>
        <w:t xml:space="preserve"> and facial hirsutism</w:t>
      </w:r>
      <w:r w:rsidRPr="008D3B68">
        <w:rPr>
          <w:rFonts w:ascii="Book Antiqua" w:hAnsi="Book Antiqua" w:cs="Times New Roman"/>
          <w:color w:val="000000" w:themeColor="text1"/>
          <w:sz w:val="24"/>
          <w:szCs w:val="24"/>
        </w:rPr>
        <w:t>) or even more dreadful complications</w:t>
      </w:r>
      <w:r w:rsidR="009D6E56" w:rsidRPr="008D3B68">
        <w:rPr>
          <w:rFonts w:ascii="Book Antiqua" w:hAnsi="Book Antiqua" w:cs="Times New Roman"/>
          <w:color w:val="000000" w:themeColor="text1"/>
          <w:sz w:val="24"/>
          <w:szCs w:val="24"/>
        </w:rPr>
        <w:t>,</w:t>
      </w:r>
      <w:r w:rsidRPr="008D3B68">
        <w:rPr>
          <w:rFonts w:ascii="Book Antiqua" w:hAnsi="Book Antiqua" w:cs="Times New Roman"/>
          <w:color w:val="000000" w:themeColor="text1"/>
          <w:sz w:val="24"/>
          <w:szCs w:val="24"/>
        </w:rPr>
        <w:t xml:space="preserve"> such as osteopenia, brittle diabetes, psychosis, pancreatitis, opportunistic infections, labile hypertension</w:t>
      </w:r>
      <w:r w:rsidR="009D6E56" w:rsidRPr="008D3B68">
        <w:rPr>
          <w:rFonts w:ascii="Book Antiqua" w:hAnsi="Book Antiqua" w:cs="Times New Roman"/>
          <w:color w:val="000000" w:themeColor="text1"/>
          <w:sz w:val="24"/>
          <w:szCs w:val="24"/>
        </w:rPr>
        <w:t>,</w:t>
      </w:r>
      <w:r w:rsidRPr="008D3B68">
        <w:rPr>
          <w:rFonts w:ascii="Book Antiqua" w:hAnsi="Book Antiqua" w:cs="Times New Roman"/>
          <w:color w:val="000000" w:themeColor="text1"/>
          <w:sz w:val="24"/>
          <w:szCs w:val="24"/>
        </w:rPr>
        <w:t xml:space="preserve"> and malignancy</w:t>
      </w:r>
      <w:r w:rsidR="00A313A7" w:rsidRPr="008D3B68">
        <w:rPr>
          <w:rFonts w:ascii="Book Antiqua" w:hAnsi="Book Antiqua" w:cs="Times New Roman"/>
          <w:color w:val="000000" w:themeColor="text1"/>
          <w:sz w:val="24"/>
          <w:szCs w:val="24"/>
        </w:rPr>
        <w:fldChar w:fldCharType="begin" w:fldLock="1"/>
      </w:r>
      <w:r w:rsidR="00D25B64" w:rsidRPr="008D3B68">
        <w:rPr>
          <w:rFonts w:ascii="Book Antiqua" w:hAnsi="Book Antiqua" w:cs="Times New Roman"/>
          <w:color w:val="000000" w:themeColor="text1"/>
          <w:sz w:val="24"/>
          <w:szCs w:val="24"/>
        </w:rPr>
        <w:instrText>ADDIN CSL_CITATION { "citationItems" : [ { "id" : "ITEM-1", "itemData" : { "DOI" : "10.1136/gut.16.11.876", "ISSN" : "0017-5749", "PMID" : "1104411", "abstract" : "Among 120 consecutive patients with chronic active liver disease (CALD) randomized to different treatments, those receiving maintenance doses of prednisone 20 mg daily (Pred), prednisone in doses given on alternate days and titrated to secure resolution of clinical and biochemical abnormalities (Pred-Titrad), or a combination of prednisone 10 mg and azathioprine 50 mg daily (Comb) survived and underwent resolution of clinical and biochemical features of disease more often than a control group receiving placebo or azathioprine 100 mg daily. Histological remission occurred significantly more often with Pred and Comb than with other regimens. Major side-effects of therapy were commoner with Pred than with Comb or Pred-Titrad, which did not differ. We conclude that Comb is the initial treatment of choice for CALD, since clinical, biochemical, and histological resolution of disease activity occurs as often as with Pred, whereas early side-effects are significantly less frequent.", "author" : [ { "dropping-particle" : "", "family" : "Summerskill", "given" : "W H", "non-dropping-particle" : "", "parse-names" : false, "suffix" : "" }, { "dropping-particle" : "", "family" : "Korman", "given" : "M G", "non-dropping-particle" : "", "parse-names" : false, "suffix" : "" }, { "dropping-particle" : "V", "family" : "Ammon", "given" : "H", "non-dropping-particle" : "", "parse-names" : false, "suffix" : "" }, { "dropping-particle" : "", "family" : "Baggenstoss", "given" : "A H", "non-dropping-particle" : "", "parse-names" : false, "suffix" : "" } ], "container-title" : "Gut", "id" : "ITEM-1", "issue" : "11", "issued" : { "date-parts" : [ [ "1975" ] ] }, "page" : "876-83", "title" : "Prednisone for chronic active liver disease: dose titration, standard dose, and combination with azathioprine compared.", "type" : "article-journal", "volume" : "16" }, "uris" : [ "http://www.mendeley.com/documents/?uuid=db59e9df-ebbb-4e0f-a299-21eee18d351d" ] }, { "id" : "ITEM-2", "itemData" : { "DOI" : "10.1517/14740338.7.3.319", "ISSN" : "1744-764X", "PMID" : "18462189", "abstract" : "BACKGROUND: Prednisone and azathioprine are effective in the treatment of autoimmune hepatitis, but diverse side effects can diminish their net benefit. OBJECTIVES: Describe the frequency and nature of these side effects and propose management strategies to minimize their impact. METHODS: Pertinent articles published from 1970 to 2007 were identified by Medline search and through a personal library. RESULTS: Medication is prematurely discontinued in 13% of patients mainly because of cosmetic changes, cytopenia, or osteopenia. Populations at high risk are the elderly, those with pre-existent co-morbidities, patients with near-zero thiopurine methyltransferase activity, individuals who are treatment-dependent, pregnant women, and asymptomatic patients who are over-treated. CONCLUSIONS: Proper patient selection, effective pre-treatment counseling, preemptive protective measures, realistic treatment objectives, and early identification of problematic patients can reduce complications. Individualized dosing schedules and the emergence of non-steroidal medications are realistic expectations.", "author" : [ { "dropping-particle" : "", "family" : "Czaja", "given" : "Albert J", "non-dropping-particle" : "", "parse-names" : false, "suffix" : "" } ], "container-title" : "Expert opinion on drug safety", "id" : "ITEM-2", "issue" : "3", "issued" : { "date-parts" : [ [ "2008" ] ] }, "page" : "319-33", "title" : "Safety issues in the management of autoimmune hepatitis.", "type" : "article-journal", "volume" : "7" }, "uris" : [ "http://www.mendeley.com/documents/?uuid=47bf6a17-c84c-47cf-b959-bd2e9645d7ce" ] }, { "id" : "ITEM-3", "itemData" : { "ISSN" : "0192-0790", "PMID" : "6481116", "abstract" : "The response of serum prednisolone to a single oral dose of 30 mg of prednisone was studied in 12 patients with chronic active hepatitis taking prednisone, and in six healthy volunteers. Five of the 12 patients developed major side effects with prednisone, and seven showed less or no side effects. The patients with major side effects generally had higher serum bilirubin and lower serum albumin levels than the others. Prednisolone peak levels were similar in the three groups. Unbound (free) serum prednisolone was higher at 2, 3, 4, and 8 hours, in patients with chronic active liver disease and major side effects, than in the other two groups. Studies in vitro showed that protein binding of prednisolone increased with increasing albumin concentrations, and that bilirubin could displace some bound prednisolone. We suggest that the association between major side effects, hypoalbuminemia, and hyperbilirubinemia in patients with chronic active hepatitis is attributable to increased serum unbound prednisolone caused by: 1) limited availability of binding sites (hypoalbuminemia), or 2) displacement of bound steroid by competition (hyperbilirubinemia).", "author" : [ { "dropping-particle" : "", "family" : "Uribe", "given" : "M", "non-dropping-particle" : "", "parse-names" : false, "suffix" : "" }, { "dropping-particle" : "", "family" : "Go", "given" : "V L", "non-dropping-particle" : "", "parse-names" : false, "suffix" : "" }, { "dropping-particle" : "", "family" : "Kluge", "given" : "D", "non-dropping-particle" : "", "parse-names" : false, "suffix" : "" } ], "container-title" : "Journal of clinical gastroenterology", "id" : "ITEM-3", "issue" : "4", "issued" : { "date-parts" : [ [ "1984" ] ] }, "page" : "331-5", "title" : "Prednisone for chronic active hepatitis: pharmacokinetics and serum binding in patients with chronic active hepatitis and steroid major side effects.", "type" : "article-journal", "volume" : "6" }, "uris" : [ "http://www.mendeley.com/documents/?uuid=cca3a951-37b1-46b0-b3be-94ba2517a084" ] }, { "id" : "ITEM-4", "itemData" : { "ISSN" : "0163-2116", "PMID" : "3875463", "abstract" : "We reviewed the clinical and histologic features, course and response to therapy of 18 postmenopausal women with autoimmune chronic active hepatitis (CAH). The presentation of these patients was similar to that of younger patients, except for the lower incidence of associated autoimmune disease. Nuclear antibodies (ANA) were associated with complications, while smooth muscle antibodies (SMA) correlated with an uncomplicated course. Steroid therapy appeared to have less benefit and greater risk in our patients than in studies of all ages. The applicability of results of previous trials demonstrating benefit of corticosteroid therapy for CAH to postmenopausal women is questioned.", "author" : [ { "dropping-particle" : "", "family" : "Lebovics", "given" : "E", "non-dropping-particle" : "", "parse-names" : false, "suffix" : "" }, { "dropping-particle" : "", "family" : "Schaffner", "given" : "F", "non-dropping-particle" : "", "parse-names" : false, "suffix" : "" }, { "dropping-particle" : "", "family" : "Klion", "given" : "F M", "non-dropping-particle" : "", "parse-names" : false, "suffix" : "" }, { "dropping-particle" : "", "family" : "Simon", "given" : "C", "non-dropping-particle" : "", "parse-names" : false, "suffix" : "" } ], "container-title" : "Digestive diseases and sciences", "id" : "ITEM-4", "issue" : "9", "issued" : { "date-parts" : [ [ "1985" ] ] }, "page" : "824-8", "title" : "Autoimmune chronic active hepatitis in postmenopausal women.", "type" : "article-journal", "volume" : "30" }, "uris" : [ "http://www.mendeley.com/documents/?uuid=7ac67d23-1e67-4205-8ed6-4bb2f636c062" ] }, { "id" : "ITEM-5", "itemData" : { "ISSN" : "0002-9270", "PMID" : "7234820", "abstract" : "Four patients with severe chronic active liver disease, treated with 30-200 mg. of prednisone daily for one-half month to seven months because of lack of response to smaller doses, developed systemic mycosis. Presentation was variable, consisting of cryptococcal meningitis, cryptococcal pneumonia, aspergillus cerebral vasculitis and disseminated histoplasmosis originating from a histoplasma pneumonia. None of 114 patients in the Mayo Clinic trials on conventional treatment for at least six months, but only one of 25 patients (4%) on high dose prednisone, developed systemic mycosis. Low dose prednisone or its equivalent can be maintained to control hepatic inflammation during vigorous antifungal therapy without jeopardizing cure of the fungal infection. We conclude that systemic mycosis is infrequently associated with corticosteroid therapy for severe chronic active liver disease but can occur on high dose regimens as a subtle, progressively debilitating and potentially fatal complication that justifies prompt recognition and aggressive treatment with amphotericin-B alone or in combination with 5-fluorocytosine.", "author" : [ { "dropping-particle" : "", "family" : "Wright", "given" : "S H", "non-dropping-particle" : "", "parse-names" : false, "suffix" : "" }, { "dropping-particle" : "", "family" : "Czaja", "given" : "A J", "non-dropping-particle" : "", "parse-names" : false, "suffix" : "" }, { "dropping-particle" : "", "family" : "Katz", "given" : "R S", "non-dropping-particle" : "", "parse-names" : false, "suffix" : "" }, { "dropping-particle" : "", "family" : "Soloway", "given" : "R D", "non-dropping-particle" : "", "parse-names" : false, "suffix" : "" } ], "container-title" : "The American journal of gastroenterology", "id" : "ITEM-5", "issue" : "5", "issued" : { "date-parts" : [ [ "1980" ] ] }, "page" : "428-32", "title" : "Systemic mycosis complicating high dose corticosteroid treatment of chronic active liver disease.", "type" : "article-journal", "volume" : "74" }, "uris" : [ "http://www.mendeley.com/documents/?uuid=e55efc3f-90af-4465-9640-02d57ad7a3ae" ] } ], "mendeley" : { "formattedCitation" : "&lt;sup&gt;[3\u20137]&lt;/sup&gt;", "plainTextFormattedCitation" : "[3\u20137]", "previouslyFormattedCitation" : "&lt;sup&gt;[3\u20137]&lt;/sup&gt;" }, "properties" : { "noteIndex" : 0 }, "schema" : "https://github.com/citation-style-language/schema/raw/master/csl-citation.json" }</w:instrText>
      </w:r>
      <w:r w:rsidR="00A313A7" w:rsidRPr="008D3B68">
        <w:rPr>
          <w:rFonts w:ascii="Book Antiqua" w:hAnsi="Book Antiqua" w:cs="Times New Roman"/>
          <w:color w:val="000000" w:themeColor="text1"/>
          <w:sz w:val="24"/>
          <w:szCs w:val="24"/>
        </w:rPr>
        <w:fldChar w:fldCharType="separate"/>
      </w:r>
      <w:r w:rsidR="00D25B64" w:rsidRPr="008D3B68">
        <w:rPr>
          <w:rFonts w:ascii="Book Antiqua" w:hAnsi="Book Antiqua" w:cs="Times New Roman"/>
          <w:noProof/>
          <w:color w:val="000000" w:themeColor="text1"/>
          <w:sz w:val="24"/>
          <w:szCs w:val="24"/>
          <w:vertAlign w:val="superscript"/>
        </w:rPr>
        <w:t>[3</w:t>
      </w:r>
      <w:r w:rsidR="00427295">
        <w:rPr>
          <w:rFonts w:ascii="Book Antiqua" w:eastAsia="宋体" w:hAnsi="Book Antiqua" w:cs="Times New Roman" w:hint="eastAsia"/>
          <w:noProof/>
          <w:color w:val="000000" w:themeColor="text1"/>
          <w:sz w:val="24"/>
          <w:szCs w:val="24"/>
          <w:vertAlign w:val="superscript"/>
        </w:rPr>
        <w:t>-</w:t>
      </w:r>
      <w:r w:rsidR="00D25B64" w:rsidRPr="008D3B68">
        <w:rPr>
          <w:rFonts w:ascii="Book Antiqua" w:hAnsi="Book Antiqua" w:cs="Times New Roman"/>
          <w:noProof/>
          <w:color w:val="000000" w:themeColor="text1"/>
          <w:sz w:val="24"/>
          <w:szCs w:val="24"/>
          <w:vertAlign w:val="superscript"/>
        </w:rPr>
        <w:t>7]</w:t>
      </w:r>
      <w:r w:rsidR="00A313A7" w:rsidRPr="008D3B68">
        <w:rPr>
          <w:rFonts w:ascii="Book Antiqua" w:hAnsi="Book Antiqua" w:cs="Times New Roman"/>
          <w:color w:val="000000" w:themeColor="text1"/>
          <w:sz w:val="24"/>
          <w:szCs w:val="24"/>
        </w:rPr>
        <w:fldChar w:fldCharType="end"/>
      </w:r>
      <w:r w:rsidRPr="008D3B68">
        <w:rPr>
          <w:rFonts w:ascii="Book Antiqua" w:hAnsi="Book Antiqua" w:cs="Times New Roman"/>
          <w:color w:val="000000" w:themeColor="text1"/>
          <w:sz w:val="24"/>
          <w:szCs w:val="24"/>
        </w:rPr>
        <w:t xml:space="preserve">. </w:t>
      </w:r>
      <w:r w:rsidR="006D2C65" w:rsidRPr="008D3B68">
        <w:rPr>
          <w:rFonts w:ascii="Book Antiqua" w:hAnsi="Book Antiqua" w:cs="Times New Roman"/>
          <w:color w:val="000000" w:themeColor="text1"/>
          <w:sz w:val="24"/>
          <w:szCs w:val="24"/>
        </w:rPr>
        <w:t>Consequently, c</w:t>
      </w:r>
      <w:r w:rsidR="000F2DF6" w:rsidRPr="008D3B68">
        <w:rPr>
          <w:rFonts w:ascii="Book Antiqua" w:hAnsi="Book Antiqua" w:cs="Times New Roman"/>
          <w:color w:val="000000" w:themeColor="text1"/>
          <w:sz w:val="24"/>
          <w:szCs w:val="24"/>
        </w:rPr>
        <w:t>orticosteroid treatment must be discontinued in 13% of patients</w:t>
      </w:r>
      <w:r w:rsidR="009D7F44" w:rsidRPr="008D3B68">
        <w:rPr>
          <w:rFonts w:ascii="Book Antiqua" w:hAnsi="Book Antiqua" w:cs="Times New Roman"/>
          <w:color w:val="000000" w:themeColor="text1"/>
          <w:sz w:val="24"/>
          <w:szCs w:val="24"/>
        </w:rPr>
        <w:t>.</w:t>
      </w:r>
      <w:r w:rsidR="000F2DF6" w:rsidRPr="008D3B68">
        <w:rPr>
          <w:rFonts w:ascii="Book Antiqua" w:hAnsi="Book Antiqua" w:cs="Times New Roman"/>
          <w:color w:val="000000" w:themeColor="text1"/>
          <w:sz w:val="24"/>
          <w:szCs w:val="24"/>
        </w:rPr>
        <w:t xml:space="preserve"> </w:t>
      </w:r>
      <w:r w:rsidR="009D7F44" w:rsidRPr="008D3B68">
        <w:rPr>
          <w:rFonts w:ascii="Book Antiqua" w:hAnsi="Book Antiqua" w:cs="Times New Roman"/>
          <w:color w:val="000000" w:themeColor="text1"/>
          <w:sz w:val="24"/>
          <w:szCs w:val="24"/>
        </w:rPr>
        <w:t xml:space="preserve">Of </w:t>
      </w:r>
      <w:r w:rsidR="000F2DF6" w:rsidRPr="008D3B68">
        <w:rPr>
          <w:rFonts w:ascii="Book Antiqua" w:hAnsi="Book Antiqua" w:cs="Times New Roman"/>
          <w:color w:val="000000" w:themeColor="text1"/>
          <w:sz w:val="24"/>
          <w:szCs w:val="24"/>
        </w:rPr>
        <w:t>those withdrawn from therapy, most have intolerable cosmetic changes or obesity (47%), osteoporosis with vertebral compression (27%), and/or difficult-to-control diabetes (20%)</w:t>
      </w:r>
      <w:r w:rsidR="00A313A7" w:rsidRPr="008D3B68">
        <w:rPr>
          <w:rFonts w:ascii="Book Antiqua" w:hAnsi="Book Antiqua" w:cs="Times New Roman"/>
          <w:color w:val="000000" w:themeColor="text1"/>
          <w:sz w:val="24"/>
          <w:szCs w:val="24"/>
        </w:rPr>
        <w:fldChar w:fldCharType="begin" w:fldLock="1"/>
      </w:r>
      <w:r w:rsidR="00D25B64" w:rsidRPr="008D3B68">
        <w:rPr>
          <w:rFonts w:ascii="Book Antiqua" w:hAnsi="Book Antiqua" w:cs="Times New Roman"/>
          <w:color w:val="000000" w:themeColor="text1"/>
          <w:sz w:val="24"/>
          <w:szCs w:val="24"/>
        </w:rPr>
        <w:instrText>ADDIN CSL_CITATION { "citationItems" : [ { "id" : "ITEM-1", "itemData" : { "DOI" : "10.1517/14740338.7.3.319", "ISSN" : "1744-764X", "PMID" : "18462189", "abstract" : "BACKGROUND: Prednisone and azathioprine are effective in the treatment of autoimmune hepatitis, but diverse side effects can diminish their net benefit. OBJECTIVES: Describe the frequency and nature of these side effects and propose management strategies to minimize their impact. METHODS: Pertinent articles published from 1970 to 2007 were identified by Medline search and through a personal library. RESULTS: Medication is prematurely discontinued in 13% of patients mainly because of cosmetic changes, cytopenia, or osteopenia. Populations at high risk are the elderly, those with pre-existent co-morbidities, patients with near-zero thiopurine methyltransferase activity, individuals who are treatment-dependent, pregnant women, and asymptomatic patients who are over-treated. CONCLUSIONS: Proper patient selection, effective pre-treatment counseling, preemptive protective measures, realistic treatment objectives, and early identification of problematic patients can reduce complications. Individualized dosing schedules and the emergence of non-steroidal medications are realistic expectations.", "author" : [ { "dropping-particle" : "", "family" : "Czaja", "given" : "Albert J", "non-dropping-particle" : "", "parse-names" : false, "suffix" : "" } ], "container-title" : "Expert opinion on drug safety", "id" : "ITEM-1", "issue" : "3", "issued" : { "date-parts" : [ [ "2008" ] ] }, "page" : "319-33", "title" : "Safety issues in the management of autoimmune hepatitis.", "type" : "article-journal", "volume" : "7" }, "uris" : [ "http://www.mendeley.com/documents/?uuid=47bf6a17-c84c-47cf-b959-bd2e9645d7ce" ] }, { "id" : "ITEM-2", "itemData" : { "ISSN" : "0270-9139", "PMID" : "6745850", "abstract" : "To assess the frequency and significance of complete resolution of inflammatory activity following corticosteroid therapy, 115 patients with severe HBsAg-negative chronic active hepatitis were followed regularly for 84 +/- 5 months. Of 83 patients eligible to revert to normal liver tissue, 18 did so after 56 +/- 8 months. Five of the 18 relapsed after treatment withdrawal. Only patients who improved spontaneously after cessation of treatment from histologic features of chronic persistent hepatitis to normal invariably sustained the improvement. Of 32 patients with cirrhosis at presentation, 17 reverted to inactive cirrhosis after 48 +/- 10 months, but only 3 remained inactive after discontinuation of treatment. Mortality was similar in patients with and without reversion to normal tissue (0 vs. 14%, p greater than 0.2), but the frequency of relapse was less after complete resolution (28 vs. 76%, p less than 0.001). Reversion to inactive cirrhosis did not improve survival or reduce relapse frequency after remission and treatment withdrawal. Findings prior to therapy did not predict outcome. We conclude that complete resolution of inflammatory activity is possible, but that it occurs slowly, infrequently and unpredictably after therapy. In patients without cirrhosis, reversion to normal liver tissue decreases the likelihood of relapse and the requirement for retreatment. In patients with cirrhosis at presentation, elimination of inflammatory activity is rarely sustained and does not improve prognosis after remission and treatment withdrawal.", "author" : [ { "dropping-particle" : "", "family" : "Czaja", "given" : "A J", "non-dropping-particle" : "", "parse-names" : false, "suffix" : "" }, { "dropping-particle" : "", "family" : "Davis", "given" : "G L", "non-dropping-particle" : "", "parse-names" : false, "suffix" : "" }, { "dropping-particle" : "", "family" : "Ludwig", "given" : "J", "non-dropping-particle" : "", "parse-names" : false, "suffix" : "" }, { "dropping-particle" : "", "family" : "Taswell", "given" : "H F", "non-dropping-particle" : "", "parse-names" : false, "suffix" : "" } ], "container-title" : "Hepatology (Baltimore, Md.)", "id" : "ITEM-2", "issue" : "4", "issued" : { "date-parts" : [ [ "0" ] ] }, "page" : "622-7", "title" : "Complete resolution of inflammatory activity following corticosteroid treatment of HBsAg-negative chronic active hepatitis.", "type" : "article-journal", "volume" : "4" }, "uris" : [ "http://www.mendeley.com/documents/?uuid=ff2cc4f4-970a-491d-97be-865d337552f5" ] } ], "mendeley" : { "formattedCitation" : "&lt;sup&gt;[4,8]&lt;/sup&gt;", "plainTextFormattedCitation" : "[4,8]", "previouslyFormattedCitation" : "&lt;sup&gt;[4,8]&lt;/sup&gt;" }, "properties" : { "noteIndex" : 0 }, "schema" : "https://github.com/citation-style-language/schema/raw/master/csl-citation.json" }</w:instrText>
      </w:r>
      <w:r w:rsidR="00A313A7" w:rsidRPr="008D3B68">
        <w:rPr>
          <w:rFonts w:ascii="Book Antiqua" w:hAnsi="Book Antiqua" w:cs="Times New Roman"/>
          <w:color w:val="000000" w:themeColor="text1"/>
          <w:sz w:val="24"/>
          <w:szCs w:val="24"/>
        </w:rPr>
        <w:fldChar w:fldCharType="separate"/>
      </w:r>
      <w:r w:rsidR="00D25B64" w:rsidRPr="008D3B68">
        <w:rPr>
          <w:rFonts w:ascii="Book Antiqua" w:hAnsi="Book Antiqua" w:cs="Times New Roman"/>
          <w:noProof/>
          <w:color w:val="000000" w:themeColor="text1"/>
          <w:sz w:val="24"/>
          <w:szCs w:val="24"/>
          <w:vertAlign w:val="superscript"/>
        </w:rPr>
        <w:t>[4,8]</w:t>
      </w:r>
      <w:r w:rsidR="00A313A7" w:rsidRPr="008D3B68">
        <w:rPr>
          <w:rFonts w:ascii="Book Antiqua" w:hAnsi="Book Antiqua" w:cs="Times New Roman"/>
          <w:color w:val="000000" w:themeColor="text1"/>
          <w:sz w:val="24"/>
          <w:szCs w:val="24"/>
        </w:rPr>
        <w:fldChar w:fldCharType="end"/>
      </w:r>
      <w:r w:rsidR="000F2DF6" w:rsidRPr="008D3B68">
        <w:rPr>
          <w:rFonts w:ascii="Book Antiqua" w:hAnsi="Book Antiqua" w:cs="Times New Roman"/>
          <w:color w:val="000000" w:themeColor="text1"/>
          <w:sz w:val="24"/>
          <w:szCs w:val="24"/>
        </w:rPr>
        <w:t xml:space="preserve">. </w:t>
      </w:r>
      <w:r w:rsidRPr="008D3B68">
        <w:rPr>
          <w:rFonts w:ascii="Book Antiqua" w:hAnsi="Book Antiqua" w:cs="Times New Roman"/>
          <w:color w:val="000000" w:themeColor="text1"/>
          <w:sz w:val="24"/>
          <w:szCs w:val="24"/>
        </w:rPr>
        <w:t xml:space="preserve">Because AIH </w:t>
      </w:r>
      <w:r w:rsidR="006C4C80" w:rsidRPr="008D3B68">
        <w:rPr>
          <w:rFonts w:ascii="Book Antiqua" w:hAnsi="Book Antiqua" w:cs="Times New Roman"/>
          <w:color w:val="000000" w:themeColor="text1"/>
          <w:sz w:val="24"/>
          <w:szCs w:val="24"/>
        </w:rPr>
        <w:t xml:space="preserve">predominantly affects </w:t>
      </w:r>
      <w:r w:rsidRPr="008D3B68">
        <w:rPr>
          <w:rFonts w:ascii="Book Antiqua" w:hAnsi="Book Antiqua" w:cs="Times New Roman"/>
          <w:color w:val="000000" w:themeColor="text1"/>
          <w:sz w:val="24"/>
          <w:szCs w:val="24"/>
        </w:rPr>
        <w:t>middle</w:t>
      </w:r>
      <w:r w:rsidR="009D6E56" w:rsidRPr="008D3B68">
        <w:rPr>
          <w:rFonts w:ascii="Book Antiqua" w:hAnsi="Book Antiqua" w:cs="Times New Roman"/>
          <w:color w:val="000000" w:themeColor="text1"/>
          <w:sz w:val="24"/>
          <w:szCs w:val="24"/>
        </w:rPr>
        <w:t>-</w:t>
      </w:r>
      <w:r w:rsidRPr="008D3B68">
        <w:rPr>
          <w:rFonts w:ascii="Book Antiqua" w:hAnsi="Book Antiqua" w:cs="Times New Roman"/>
          <w:color w:val="000000" w:themeColor="text1"/>
          <w:sz w:val="24"/>
          <w:szCs w:val="24"/>
        </w:rPr>
        <w:t>age</w:t>
      </w:r>
      <w:r w:rsidR="009D6E56" w:rsidRPr="008D3B68">
        <w:rPr>
          <w:rFonts w:ascii="Book Antiqua" w:hAnsi="Book Antiqua" w:cs="Times New Roman"/>
          <w:color w:val="000000" w:themeColor="text1"/>
          <w:sz w:val="24"/>
          <w:szCs w:val="24"/>
        </w:rPr>
        <w:t>d</w:t>
      </w:r>
      <w:r w:rsidRPr="008D3B68">
        <w:rPr>
          <w:rFonts w:ascii="Book Antiqua" w:hAnsi="Book Antiqua" w:cs="Times New Roman"/>
          <w:color w:val="000000" w:themeColor="text1"/>
          <w:sz w:val="24"/>
          <w:szCs w:val="24"/>
        </w:rPr>
        <w:t xml:space="preserve"> women, </w:t>
      </w:r>
      <w:r w:rsidR="009D6E56" w:rsidRPr="008D3B68">
        <w:rPr>
          <w:rFonts w:ascii="Book Antiqua" w:hAnsi="Book Antiqua" w:cs="Times New Roman"/>
          <w:color w:val="000000" w:themeColor="text1"/>
          <w:sz w:val="24"/>
          <w:szCs w:val="24"/>
        </w:rPr>
        <w:t xml:space="preserve">the presence of </w:t>
      </w:r>
      <w:r w:rsidRPr="008D3B68">
        <w:rPr>
          <w:rFonts w:ascii="Book Antiqua" w:hAnsi="Book Antiqua" w:cs="Times New Roman"/>
          <w:color w:val="000000" w:themeColor="text1"/>
          <w:sz w:val="24"/>
          <w:szCs w:val="24"/>
        </w:rPr>
        <w:t xml:space="preserve">cosmetic </w:t>
      </w:r>
      <w:r w:rsidR="009D6E56" w:rsidRPr="008D3B68">
        <w:rPr>
          <w:rFonts w:ascii="Book Antiqua" w:hAnsi="Book Antiqua" w:cs="Times New Roman"/>
          <w:color w:val="000000" w:themeColor="text1"/>
          <w:sz w:val="24"/>
          <w:szCs w:val="24"/>
        </w:rPr>
        <w:t xml:space="preserve">issues </w:t>
      </w:r>
      <w:r w:rsidRPr="008D3B68">
        <w:rPr>
          <w:rFonts w:ascii="Book Antiqua" w:hAnsi="Book Antiqua" w:cs="Times New Roman"/>
          <w:color w:val="000000" w:themeColor="text1"/>
          <w:sz w:val="24"/>
          <w:szCs w:val="24"/>
        </w:rPr>
        <w:t xml:space="preserve">is one of the key factors </w:t>
      </w:r>
      <w:r w:rsidR="009D6E56" w:rsidRPr="008D3B68">
        <w:rPr>
          <w:rFonts w:ascii="Book Antiqua" w:hAnsi="Book Antiqua" w:cs="Times New Roman"/>
          <w:color w:val="000000" w:themeColor="text1"/>
          <w:sz w:val="24"/>
          <w:szCs w:val="24"/>
        </w:rPr>
        <w:t xml:space="preserve">for maintaining </w:t>
      </w:r>
      <w:r w:rsidRPr="008D3B68">
        <w:rPr>
          <w:rFonts w:ascii="Book Antiqua" w:hAnsi="Book Antiqua" w:cs="Times New Roman"/>
          <w:color w:val="000000" w:themeColor="text1"/>
          <w:sz w:val="24"/>
          <w:szCs w:val="24"/>
        </w:rPr>
        <w:t xml:space="preserve">drug compliance. Cosmetic </w:t>
      </w:r>
      <w:r w:rsidR="009D6E56" w:rsidRPr="008D3B68">
        <w:rPr>
          <w:rFonts w:ascii="Book Antiqua" w:hAnsi="Book Antiqua" w:cs="Times New Roman"/>
          <w:color w:val="000000" w:themeColor="text1"/>
          <w:sz w:val="24"/>
          <w:szCs w:val="24"/>
        </w:rPr>
        <w:t xml:space="preserve">issues may lead to </w:t>
      </w:r>
      <w:r w:rsidRPr="008D3B68">
        <w:rPr>
          <w:rFonts w:ascii="Book Antiqua" w:hAnsi="Book Antiqua" w:cs="Times New Roman"/>
          <w:color w:val="000000" w:themeColor="text1"/>
          <w:sz w:val="24"/>
          <w:szCs w:val="24"/>
        </w:rPr>
        <w:t xml:space="preserve">emotional problems </w:t>
      </w:r>
      <w:r w:rsidR="009D6E56" w:rsidRPr="008D3B68">
        <w:rPr>
          <w:rFonts w:ascii="Book Antiqua" w:hAnsi="Book Antiqua" w:cs="Times New Roman"/>
          <w:color w:val="000000" w:themeColor="text1"/>
          <w:sz w:val="24"/>
          <w:szCs w:val="24"/>
        </w:rPr>
        <w:t xml:space="preserve">that result in </w:t>
      </w:r>
      <w:r w:rsidRPr="008D3B68">
        <w:rPr>
          <w:rFonts w:ascii="Book Antiqua" w:hAnsi="Book Antiqua" w:cs="Times New Roman"/>
          <w:color w:val="000000" w:themeColor="text1"/>
          <w:sz w:val="24"/>
          <w:szCs w:val="24"/>
        </w:rPr>
        <w:t>treatment failure</w:t>
      </w:r>
      <w:r w:rsidR="009D6E56" w:rsidRPr="008D3B68">
        <w:rPr>
          <w:rFonts w:ascii="Book Antiqua" w:hAnsi="Book Antiqua" w:cs="Times New Roman"/>
          <w:color w:val="000000" w:themeColor="text1"/>
          <w:sz w:val="24"/>
          <w:szCs w:val="24"/>
        </w:rPr>
        <w:t xml:space="preserve"> and a </w:t>
      </w:r>
      <w:r w:rsidRPr="008D3B68">
        <w:rPr>
          <w:rFonts w:ascii="Book Antiqua" w:hAnsi="Book Antiqua" w:cs="Times New Roman"/>
          <w:color w:val="000000" w:themeColor="text1"/>
          <w:sz w:val="24"/>
          <w:szCs w:val="24"/>
        </w:rPr>
        <w:t xml:space="preserve">poor prognosis. </w:t>
      </w:r>
      <w:r w:rsidR="00287B36" w:rsidRPr="008D3B68">
        <w:rPr>
          <w:rFonts w:ascii="Book Antiqua" w:hAnsi="Book Antiqua" w:cs="Times New Roman"/>
          <w:color w:val="000000" w:themeColor="text1"/>
          <w:sz w:val="24"/>
          <w:szCs w:val="24"/>
        </w:rPr>
        <w:t xml:space="preserve">Thus, a strategy </w:t>
      </w:r>
      <w:r w:rsidR="009D6E56" w:rsidRPr="008D3B68">
        <w:rPr>
          <w:rFonts w:ascii="Book Antiqua" w:hAnsi="Book Antiqua" w:cs="Times New Roman"/>
          <w:color w:val="000000" w:themeColor="text1"/>
          <w:sz w:val="24"/>
          <w:szCs w:val="24"/>
        </w:rPr>
        <w:t>t</w:t>
      </w:r>
      <w:r w:rsidR="00287B36" w:rsidRPr="008D3B68">
        <w:rPr>
          <w:rFonts w:ascii="Book Antiqua" w:hAnsi="Book Antiqua" w:cs="Times New Roman"/>
          <w:color w:val="000000" w:themeColor="text1"/>
          <w:sz w:val="24"/>
          <w:szCs w:val="24"/>
        </w:rPr>
        <w:t>o reduc</w:t>
      </w:r>
      <w:r w:rsidR="009D6E56" w:rsidRPr="008D3B68">
        <w:rPr>
          <w:rFonts w:ascii="Book Antiqua" w:hAnsi="Book Antiqua" w:cs="Times New Roman"/>
          <w:color w:val="000000" w:themeColor="text1"/>
          <w:sz w:val="24"/>
          <w:szCs w:val="24"/>
        </w:rPr>
        <w:t xml:space="preserve">e the </w:t>
      </w:r>
      <w:r w:rsidR="00287B36" w:rsidRPr="008D3B68">
        <w:rPr>
          <w:rFonts w:ascii="Book Antiqua" w:hAnsi="Book Antiqua" w:cs="Times New Roman"/>
          <w:color w:val="000000" w:themeColor="text1"/>
          <w:sz w:val="24"/>
          <w:szCs w:val="24"/>
        </w:rPr>
        <w:t xml:space="preserve">adverse effects of corticosteroid </w:t>
      </w:r>
      <w:r w:rsidR="009D6E56" w:rsidRPr="008D3B68">
        <w:rPr>
          <w:rFonts w:ascii="Book Antiqua" w:hAnsi="Book Antiqua" w:cs="Times New Roman"/>
          <w:color w:val="000000" w:themeColor="text1"/>
          <w:sz w:val="24"/>
          <w:szCs w:val="24"/>
        </w:rPr>
        <w:t>treatment is</w:t>
      </w:r>
      <w:r w:rsidR="00287B36" w:rsidRPr="008D3B68">
        <w:rPr>
          <w:rFonts w:ascii="Book Antiqua" w:hAnsi="Book Antiqua" w:cs="Times New Roman"/>
          <w:color w:val="000000" w:themeColor="text1"/>
          <w:sz w:val="24"/>
          <w:szCs w:val="24"/>
        </w:rPr>
        <w:t xml:space="preserve"> </w:t>
      </w:r>
      <w:r w:rsidR="009D6E56" w:rsidRPr="008D3B68">
        <w:rPr>
          <w:rFonts w:ascii="Book Antiqua" w:hAnsi="Book Antiqua" w:cs="Times New Roman"/>
          <w:color w:val="000000" w:themeColor="text1"/>
          <w:sz w:val="24"/>
          <w:szCs w:val="24"/>
        </w:rPr>
        <w:t>needed</w:t>
      </w:r>
      <w:r w:rsidR="00287B36" w:rsidRPr="008D3B68">
        <w:rPr>
          <w:rFonts w:ascii="Book Antiqua" w:hAnsi="Book Antiqua" w:cs="Times New Roman"/>
          <w:color w:val="000000" w:themeColor="text1"/>
          <w:sz w:val="24"/>
          <w:szCs w:val="24"/>
        </w:rPr>
        <w:t>.</w:t>
      </w:r>
    </w:p>
    <w:p w:rsidR="00A9672D" w:rsidRPr="008D3B68" w:rsidRDefault="00A9672D" w:rsidP="00352D86">
      <w:pPr>
        <w:spacing w:line="360" w:lineRule="auto"/>
        <w:ind w:firstLineChars="300" w:firstLine="720"/>
        <w:rPr>
          <w:rFonts w:ascii="Book Antiqua" w:hAnsi="Book Antiqua" w:cs="Times New Roman"/>
          <w:color w:val="000000" w:themeColor="text1"/>
          <w:sz w:val="24"/>
          <w:szCs w:val="24"/>
        </w:rPr>
      </w:pPr>
      <w:r w:rsidRPr="008D3B68">
        <w:rPr>
          <w:rFonts w:ascii="Book Antiqua" w:hAnsi="Book Antiqua" w:cs="Times New Roman"/>
          <w:color w:val="000000" w:themeColor="text1"/>
          <w:sz w:val="24"/>
          <w:szCs w:val="24"/>
        </w:rPr>
        <w:t xml:space="preserve">Ursodeoxycholic acid (UDCA) has been widely used as the first choice for treating primary biliary cirrhosis (PBC) and </w:t>
      </w:r>
      <w:r w:rsidR="009D6E56" w:rsidRPr="008D3B68">
        <w:rPr>
          <w:rFonts w:ascii="Book Antiqua" w:hAnsi="Book Antiqua" w:cs="Times New Roman"/>
          <w:color w:val="000000" w:themeColor="text1"/>
          <w:sz w:val="24"/>
          <w:szCs w:val="24"/>
        </w:rPr>
        <w:t xml:space="preserve">has been </w:t>
      </w:r>
      <w:r w:rsidRPr="008D3B68">
        <w:rPr>
          <w:rFonts w:ascii="Book Antiqua" w:hAnsi="Book Antiqua" w:cs="Times New Roman"/>
          <w:color w:val="000000" w:themeColor="text1"/>
          <w:sz w:val="24"/>
          <w:szCs w:val="24"/>
        </w:rPr>
        <w:t xml:space="preserve">established as </w:t>
      </w:r>
      <w:r w:rsidR="009D6E56" w:rsidRPr="008D3B68">
        <w:rPr>
          <w:rFonts w:ascii="Book Antiqua" w:hAnsi="Book Antiqua" w:cs="Times New Roman"/>
          <w:color w:val="000000" w:themeColor="text1"/>
          <w:sz w:val="24"/>
          <w:szCs w:val="24"/>
        </w:rPr>
        <w:lastRenderedPageBreak/>
        <w:t>c</w:t>
      </w:r>
      <w:r w:rsidRPr="008D3B68">
        <w:rPr>
          <w:rFonts w:ascii="Book Antiqua" w:hAnsi="Book Antiqua" w:cs="Times New Roman"/>
          <w:color w:val="000000" w:themeColor="text1"/>
          <w:sz w:val="24"/>
          <w:szCs w:val="24"/>
        </w:rPr>
        <w:t>linically useful</w:t>
      </w:r>
      <w:r w:rsidR="00A313A7" w:rsidRPr="008D3B68">
        <w:rPr>
          <w:rFonts w:ascii="Book Antiqua" w:hAnsi="Book Antiqua" w:cs="Times New Roman"/>
          <w:color w:val="000000" w:themeColor="text1"/>
          <w:sz w:val="24"/>
          <w:szCs w:val="24"/>
        </w:rPr>
        <w:fldChar w:fldCharType="begin" w:fldLock="1"/>
      </w:r>
      <w:r w:rsidR="00D25B64" w:rsidRPr="008D3B68">
        <w:rPr>
          <w:rFonts w:ascii="Book Antiqua" w:hAnsi="Book Antiqua" w:cs="Times New Roman"/>
          <w:color w:val="000000" w:themeColor="text1"/>
          <w:sz w:val="24"/>
          <w:szCs w:val="24"/>
        </w:rPr>
        <w:instrText>ADDIN CSL_CITATION { "citationItems" : [ { "id" : "ITEM-1", "itemData" : { "DOI" : "10.1056/NEJM199105303242204", "ISSN" : "0028-4793", "PMID" : "1674105", "abstract" : "BACKGROUND: In primary biliary cirrhosis the hepatic lesions may result, at least in part, from the intracellular accumulation of potentially toxic endogenous bile acids. Preliminary work suggests that the administration of ursodiol (also called ursodeoxycholic acid), a hydrophilic bile acid without hepatotoxicity, leads to improvement in the condition of patients with primary biliary cirrhosis. METHODS: We conducted a two-year, multicenter, double-blind trial to compare the efficacy of ursodiol with that of placebo. Patients with biopsy-proved primary biliary cirrhosis were randomly assigned to receive either ursodiol (13 to 15 mg per kilogram of body weight per day) (n = 73) or placebo (n = 73). Treatment failure was defined as a doubling of bilirubin levels to more than 70 mumol per liter or the occurrence of a severe complication (ascites or variceal bleeding) or an adverse reaction. RESULTS: Treatment failed in 6 patients in the ursodiol group, as compared with 13 in the placebo group (P less than 0.01 by Cox regression model). A single patient in each group withdrew because of minor adverse effects. After two years of treatment, the proportion of patients with clinically overt disease decreased only in the ursodiol group (P less than 0.02). The patients treated with ursodiol had significant improvements in serum levels of bilirubin, alkaline phosphatase, alanine aminotransferase, aspartate aminotransferase, gamma-glutamyltransferase, cholesterol, and IgM (all P less than 0.001); the antimitochondrial-antibody titer (P less than 0.01); and the Mayo risk score (P less than 0.001). Follow-up analysis of 95 liver-biopsy specimens showed a significant improvement in the mean histologic score (P less than 0.002) and in all the characteristic histologic features except fibrosis only in the group given ursodiol. CONCLUSIONS: Ursodiol is a safe and effective treatment for primary biliary cirrhosis.", "author" : [ { "dropping-particle" : "", "family" : "Poupon", "given" : "R E", "non-dropping-particle" : "", "parse-names" : false, "suffix" : "" }, { "dropping-particle" : "", "family" : "Balkau", "given" : "B", "non-dropping-particle" : "", "parse-names" : false, "suffix" : "" }, { "dropping-particle" : "", "family" : "Eschw\u00e8ge", "given" : "E", "non-dropping-particle" : "", "parse-names" : false, "suffix" : "" }, { "dropping-particle" : "", "family" : "Poupon", "given" : "R", "non-dropping-particle" : "", "parse-names" : false, "suffix" : "" } ], "container-title" : "The New England journal of medicine", "id" : "ITEM-1", "issue" : "22", "issued" : { "date-parts" : [ [ "1991" ] ] }, "page" : "1548-54", "title" : "A multicenter, controlled trial of ursodiol for the treatment of primary biliary cirrhosis. UDCA-PBC Study Group.", "type" : "article-journal", "volume" : "324" }, "uris" : [ "http://www.mendeley.com/documents/?uuid=be486dde-30d3-4b3f-b234-f4f90484f050" ] }, { "id" : "ITEM-2", "itemData" : { "ISSN" : "0016-5085", "PMID" : "9287980", "abstract" : "BACKGROUND &amp; AIMS: Long-term ursodeoxycholic acid (UDCA) therapy slows the progression of primary biliary cirrhosis. This study examined the effect of UDCA therapy on survival free of liver transplantation in a large group of patients. METHODS: Data from three clinical trials were combined in which patients with primary biliary cirrhosis were randomly assigned to receive UDCA (n = 273) or placebo (n = 275). After 2 years, patients from French and Canadian studies received UDCA for up to 2 years. Patients from the American study remained on their assigned treatment for up to 4 years. RESULTS: Survival free of liver transplantation was significantly improved in the patients treated with UDCA compared with the patients originally assigned to placebo (P &lt; 0.001; relative risk, 1.9; 95% confidence interval, 1.3-2.8). Subgroup analyses showed that survival free of liver transplantation was significantly improved in medium- and high-risk groups (serum bilirubin level, 1.4 to 3.5 or &gt; 3.5 mg/dL; P &lt; 0.0001 and P &lt; 0.03, respectively) and histological stage IV subgroup (P &lt; 0.01). CONCLUSIONS: Long-term UDCA therapy improves survival free of liver transplantation in patients with moderate or severe disease. An effect in patients with mild disease is probably not found because they do not progress to end-stage disease in 4 years.", "author" : [ { "dropping-particle" : "", "family" : "Poupon", "given" : "R E", "non-dropping-particle" : "", "parse-names" : false, "suffix" : "" }, { "dropping-particle" : "", "family" : "Lindor", "given" : "K D", "non-dropping-particle" : "", "parse-names" : false, "suffix" : "" }, { "dropping-particle" : "", "family" : "Cauch-Dudek", "given" : "K", "non-dropping-particle" : "", "parse-names" : false, "suffix" : "" }, { "dropping-particle" : "", "family" : "Dickson", "given" : "E R", "non-dropping-particle" : "", "parse-names" : false, "suffix" : "" }, { "dropping-particle" : "", "family" : "Poupon", "given" : "R", "non-dropping-particle" : "", "parse-names" : false, "suffix" : "" }, { "dropping-particle" : "", "family" : "Heathcote", "given" : "E J", "non-dropping-particle" : "", "parse-names" : false, "suffix" : "" } ], "container-title" : "Gastroenterology", "id" : "ITEM-2", "issue" : "3", "issued" : { "date-parts" : [ [ "1997" ] ] }, "page" : "884-90", "title" : "Combined analysis of randomized controlled trials of ursodeoxycholic acid in primary biliary cirrhosis.", "type" : "article-journal", "volume" : "113" }, "uris" : [ "http://www.mendeley.com/documents/?uuid=d888d30a-e5e4-4a48-aa2a-1513e0bf5170" ] }, { "id" : "ITEM-3", "itemData" : { "DOI" : "10.1111/j.1572-0241.2006.00634.x", "ISSN" : "0002-9270", "PMID" : "16863557", "abstract" : "The effect of ursodeoxycholic acid (UDCA) treatment on survival and liver histological progression of primary biliary cirrhosis (PBC) remains uncertain. The aim of this study is to assess the long-term efficacy of mid-dose UDCA treatment for PBC.", "author" : [ { "dropping-particle" : "", "family" : "Shi", "given" : "Jian", "non-dropping-particle" : "", "parse-names" : false, "suffix" : "" }, { "dropping-particle" : "", "family" : "Wu", "given" : "Cheng", "non-dropping-particle" : "", "parse-names" : false, "suffix" : "" }, { "dropping-particle" : "", "family" : "Lin", "given" : "Yong", "non-dropping-particle" : "", "parse-names" : false, "suffix" : "" }, { "dropping-particle" : "", "family" : "Chen", "given" : "Yue-Xiang", "non-dropping-particle" : "", "parse-names" : false, "suffix" : "" }, { "dropping-particle" : "", "family" : "Zhu", "given" : "Liang", "non-dropping-particle" : "", "parse-names" : false, "suffix" : "" }, { "dropping-particle" : "", "family" : "Xie", "given" : "Wei-fen", "non-dropping-particle" : "", "parse-names" : false, "suffix" : "" } ], "container-title" : "The American journal of gastroenterology", "id" : "ITEM-3", "issue" : "7", "issued" : { "date-parts" : [ [ "2006" ] ] }, "page" : "1529-38", "title" : "Long-term effects of mid-dose ursodeoxycholic acid in primary biliary cirrhosis: a meta-analysis of randomized controlled trials.", "type" : "article-journal", "volume" : "101" }, "uris" : [ "http://www.mendeley.com/documents/?uuid=af8d9242-a573-4df3-a522-0131f521f4da" ] } ], "mendeley" : { "formattedCitation" : "&lt;sup&gt;[9\u201311]&lt;/sup&gt;", "plainTextFormattedCitation" : "[9\u201311]", "previouslyFormattedCitation" : "&lt;sup&gt;[9\u201311]&lt;/sup&gt;" }, "properties" : { "noteIndex" : 0 }, "schema" : "https://github.com/citation-style-language/schema/raw/master/csl-citation.json" }</w:instrText>
      </w:r>
      <w:r w:rsidR="00A313A7" w:rsidRPr="008D3B68">
        <w:rPr>
          <w:rFonts w:ascii="Book Antiqua" w:hAnsi="Book Antiqua" w:cs="Times New Roman"/>
          <w:color w:val="000000" w:themeColor="text1"/>
          <w:sz w:val="24"/>
          <w:szCs w:val="24"/>
        </w:rPr>
        <w:fldChar w:fldCharType="separate"/>
      </w:r>
      <w:r w:rsidR="00D25B64" w:rsidRPr="008D3B68">
        <w:rPr>
          <w:rFonts w:ascii="Book Antiqua" w:hAnsi="Book Antiqua" w:cs="Times New Roman"/>
          <w:noProof/>
          <w:color w:val="000000" w:themeColor="text1"/>
          <w:sz w:val="24"/>
          <w:szCs w:val="24"/>
          <w:vertAlign w:val="superscript"/>
        </w:rPr>
        <w:t>[9</w:t>
      </w:r>
      <w:r w:rsidR="00427295">
        <w:rPr>
          <w:rFonts w:ascii="Book Antiqua" w:eastAsia="宋体" w:hAnsi="Book Antiqua" w:cs="Times New Roman" w:hint="eastAsia"/>
          <w:noProof/>
          <w:color w:val="000000" w:themeColor="text1"/>
          <w:sz w:val="24"/>
          <w:szCs w:val="24"/>
          <w:vertAlign w:val="superscript"/>
        </w:rPr>
        <w:t>-</w:t>
      </w:r>
      <w:r w:rsidR="00D25B64" w:rsidRPr="008D3B68">
        <w:rPr>
          <w:rFonts w:ascii="Book Antiqua" w:hAnsi="Book Antiqua" w:cs="Times New Roman"/>
          <w:noProof/>
          <w:color w:val="000000" w:themeColor="text1"/>
          <w:sz w:val="24"/>
          <w:szCs w:val="24"/>
          <w:vertAlign w:val="superscript"/>
        </w:rPr>
        <w:t>11]</w:t>
      </w:r>
      <w:r w:rsidR="00A313A7" w:rsidRPr="008D3B68">
        <w:rPr>
          <w:rFonts w:ascii="Book Antiqua" w:hAnsi="Book Antiqua" w:cs="Times New Roman"/>
          <w:color w:val="000000" w:themeColor="text1"/>
          <w:sz w:val="24"/>
          <w:szCs w:val="24"/>
        </w:rPr>
        <w:fldChar w:fldCharType="end"/>
      </w:r>
      <w:r w:rsidRPr="008D3B68">
        <w:rPr>
          <w:rFonts w:ascii="Book Antiqua" w:hAnsi="Book Antiqua" w:cs="Times New Roman"/>
          <w:color w:val="000000" w:themeColor="text1"/>
          <w:sz w:val="24"/>
          <w:szCs w:val="24"/>
        </w:rPr>
        <w:t xml:space="preserve">. </w:t>
      </w:r>
      <w:r w:rsidR="00287B36" w:rsidRPr="008D3B68">
        <w:rPr>
          <w:rFonts w:ascii="Book Antiqua" w:hAnsi="Book Antiqua" w:cs="Times New Roman"/>
          <w:color w:val="000000" w:themeColor="text1"/>
          <w:sz w:val="24"/>
          <w:szCs w:val="24"/>
        </w:rPr>
        <w:t>No severe side effects have been reported during UDCA therapy for PBC</w:t>
      </w:r>
      <w:r w:rsidR="00A313A7" w:rsidRPr="008D3B68">
        <w:rPr>
          <w:rFonts w:ascii="Book Antiqua" w:hAnsi="Book Antiqua" w:cs="Times New Roman"/>
          <w:color w:val="000000" w:themeColor="text1"/>
          <w:sz w:val="24"/>
          <w:szCs w:val="24"/>
        </w:rPr>
        <w:fldChar w:fldCharType="begin" w:fldLock="1"/>
      </w:r>
      <w:r w:rsidR="00064FDB" w:rsidRPr="008D3B68">
        <w:rPr>
          <w:rFonts w:ascii="Book Antiqua" w:hAnsi="Book Antiqua" w:cs="Times New Roman"/>
          <w:color w:val="000000" w:themeColor="text1"/>
          <w:sz w:val="24"/>
          <w:szCs w:val="24"/>
        </w:rPr>
        <w:instrText>ADDIN CSL_CITATION { "citationItems" : [ { "id" : "ITEM-1", "itemData" : { "ISSN" : "0016-5085", "PMID" : "8174890", "abstract" : "BACKGROUND/AIMS: A double-blind, placebo-controlled trial of ursodeoxycholic acid (UDCA) was conducted in 180 patients with primary biliary cirrhosis (PBC) to define the efficacy and safety of UDCA. Efficacy was assessed by time to treatment failure defined as death; liver transplantation; histological progression; development of varices, ascites, or encephalopathy; doubling of total serum bilirubin levels; progression of fatigue or pruritus; drug toxicity; or voluntary withdrawal. METHODS: Patients with well-defined PBC underwent complete history, physical examination, liver chemistries, ultrasonography, upper endoscopy, and liver biopsy at entry as well as at 2 years. Liver chemistries were determined every 3 months. RESULTS: In patients receiving UDCA, treatment failure was delayed compared with the placebo-treated group (P = 0.0003, log rank test). Seven patients receiving UDCA died or required transplantation compared with 12 in the placebo group (P = 0.18). No patients discontinued UDCA because of side effects of toxicity. CONCLUSIONS: UDCA was extraordinarily safe and well tolerated, and its use was associated with delayed progression of the disease as defined in this study. However, the lack of effects on symptoms, histology, and the need for liver transplantation or survival indicate that further evaluation is necessary to determine the ultimate role of UDCA in the treatment of PBC.", "author" : [ { "dropping-particle" : "", "family" : "Lindor", "given" : "K D", "non-dropping-particle" : "", "parse-names" : false, "suffix" : "" }, { "dropping-particle" : "", "family" : "Dickson", "given" : "E R", "non-dropping-particle" : "", "parse-names" : false, "suffix" : "" }, { "dropping-particle" : "", "family" : "Baldus", "given" : "W P", "non-dropping-particle" : "", "parse-names" : false, "suffix" : "" }, { "dropping-particle" : "", "family" : "Jorgensen", "given" : "R A", "non-dropping-particle" : "", "parse-names" : false, "suffix" : "" }, { "dropping-particle" : "", "family" : "Ludwig", "given" : "J", "non-dropping-particle" : "", "parse-names" : false, "suffix" : "" }, { "dropping-particle" : "", "family" : "Murtaugh", "given" : "P A", "non-dropping-particle" : "", "parse-names" : false, "suffix" : "" }, { "dropping-particle" : "", "family" : "Harrison", "given" : "J M", "non-dropping-particle" : "", "parse-names" : false, "suffix" : "" }, { "dropping-particle" : "", "family" : "Wiesner", "given" : "R H", "non-dropping-particle" : "", "parse-names" : false, "suffix" : "" }, { "dropping-particle" : "", "family" : "Anderson", "given" : "M L", "non-dropping-particle" : "", "parse-names" : false, "suffix" : "" }, { "dropping-particle" : "", "family" : "Lange", "given" : "S M", "non-dropping-particle" : "", "parse-names" : false, "suffix" : "" } ], "container-title" : "Gastroenterology", "id" : "ITEM-1", "issue" : "5", "issued" : { "date-parts" : [ [ "1994" ] ] }, "page" : "1284-90", "title" : "Ursodeoxycholic acid in the treatment of primary biliary cirrhosis.", "type" : "article-journal", "volume" : "106" }, "uris" : [ "http://www.mendeley.com/documents/?uuid=970d0791-014f-47a8-aa89-94aac6e994f0" ] } ], "mendeley" : { "formattedCitation" : "&lt;sup&gt;[12]&lt;/sup&gt;", "plainTextFormattedCitation" : "[12]", "previouslyFormattedCitation" : "&lt;sup&gt;[12]&lt;/sup&gt;" }, "properties" : { "noteIndex" : 0 }, "schema" : "https://github.com/citation-style-language/schema/raw/master/csl-citation.json" }</w:instrText>
      </w:r>
      <w:r w:rsidR="00A313A7" w:rsidRPr="008D3B68">
        <w:rPr>
          <w:rFonts w:ascii="Book Antiqua" w:hAnsi="Book Antiqua" w:cs="Times New Roman"/>
          <w:color w:val="000000" w:themeColor="text1"/>
          <w:sz w:val="24"/>
          <w:szCs w:val="24"/>
        </w:rPr>
        <w:fldChar w:fldCharType="separate"/>
      </w:r>
      <w:r w:rsidR="001F6708" w:rsidRPr="008D3B68">
        <w:rPr>
          <w:rFonts w:ascii="Book Antiqua" w:hAnsi="Book Antiqua" w:cs="Times New Roman"/>
          <w:noProof/>
          <w:color w:val="000000" w:themeColor="text1"/>
          <w:sz w:val="24"/>
          <w:szCs w:val="24"/>
          <w:vertAlign w:val="superscript"/>
        </w:rPr>
        <w:t>[12]</w:t>
      </w:r>
      <w:r w:rsidR="00A313A7" w:rsidRPr="008D3B68">
        <w:rPr>
          <w:rFonts w:ascii="Book Antiqua" w:hAnsi="Book Antiqua" w:cs="Times New Roman"/>
          <w:color w:val="000000" w:themeColor="text1"/>
          <w:sz w:val="24"/>
          <w:szCs w:val="24"/>
        </w:rPr>
        <w:fldChar w:fldCharType="end"/>
      </w:r>
      <w:r w:rsidR="00287B36" w:rsidRPr="008D3B68">
        <w:rPr>
          <w:rFonts w:ascii="Book Antiqua" w:hAnsi="Book Antiqua" w:cs="Times New Roman"/>
          <w:color w:val="000000" w:themeColor="text1"/>
          <w:sz w:val="24"/>
          <w:szCs w:val="24"/>
        </w:rPr>
        <w:t xml:space="preserve">. </w:t>
      </w:r>
      <w:r w:rsidRPr="008D3B68">
        <w:rPr>
          <w:rFonts w:ascii="Book Antiqua" w:hAnsi="Book Antiqua" w:cs="Times New Roman"/>
          <w:color w:val="000000" w:themeColor="text1"/>
          <w:sz w:val="24"/>
          <w:szCs w:val="24"/>
        </w:rPr>
        <w:t>Although there are reports that UDCA is also useful for treating similar autoimmune liver diseases, its clinical value has not as yet been established</w:t>
      </w:r>
      <w:r w:rsidR="00A313A7" w:rsidRPr="008D3B68">
        <w:rPr>
          <w:rFonts w:ascii="Book Antiqua" w:hAnsi="Book Antiqua" w:cs="Times New Roman"/>
          <w:color w:val="000000" w:themeColor="text1"/>
          <w:sz w:val="24"/>
          <w:szCs w:val="24"/>
        </w:rPr>
        <w:fldChar w:fldCharType="begin" w:fldLock="1"/>
      </w:r>
      <w:r w:rsidR="00D25B64" w:rsidRPr="008D3B68">
        <w:rPr>
          <w:rFonts w:ascii="Book Antiqua" w:hAnsi="Book Antiqua" w:cs="Times New Roman"/>
          <w:color w:val="000000" w:themeColor="text1"/>
          <w:sz w:val="24"/>
          <w:szCs w:val="24"/>
        </w:rPr>
        <w:instrText>ADDIN CSL_CITATION { "citationItems" : [ { "id" : "ITEM-1", "itemData" : { "DOI" : "10.1007/s12072-009-9155-9", "ISSN" : "19360533", "PMID" : "19847577", "abstract" : "PURPOSE: This study aimed to investigate the efficacy of ursodeoxycholic acid (UDCA) for Japanese patients with autoimmune hepatitis (AIH). METHODS: One hundred forty-seven patients were investigated. RESULTS: As initial treatment, 25 patients received UDCA (300-600 mg/day) monotherapy (UDCA group), 40 received a combination of prednisolone (PSL) (\u226520 mg/day) and UDCA (combination group), 68 received PSL monotherapy (PSL group), and 14 received other treatments. During the follow-up, in the UDCA group, PSL was added to 8 of 12 patients failing to achieve the normalization of serum transaminase levels with UDCA monotherapy. Cumulative incidence of the normalization of serum transaminase levels was 64% in the UDCA group, 95% in the combination group, and 94% in the PSL group (log-rank test, P = 0.0001). UDCA group required longest periods until the normalization of serum transaminase levels. Eleven patients, who achieved persistent normalization of serum transaminase levels with UDCA monotherapy, did not reach liver failure or develop hepatocellular carcinoma for 49.7 (range = 13.4-137.3) months. Meanwhile, during the taper of PSL, doses of PSL at the initial relapse were lower in patients treated with PSL and UDCA than in those treated with PSL monotherapy, and initial relapse occurred earlier in patients treated with PSL monotherapy. CONCLUSIONS: UDCA monotherapy is effective for some Japanese AIH patients; however, UDCA monotherapy for patients with either high-grade inflammatory activity or poor residual capacity of liver function is not recommended because they may reach liver failure before achievement of remission. Meanwhile, additional use of UDCA during the taper of corticosteroids may be effective for the prevention of early relapse.", "author" : [ { "dropping-particle" : "", "family" : "Miyake", "given" : "Yasuhiro", "non-dropping-particle" : "", "parse-names" : false, "suffix" : "" }, { "dropping-particle" : "", "family" : "Iwasaki", "given" : "Yoshiaki", "non-dropping-particle" : "", "parse-names" : false, "suffix" : "" }, { "dropping-particle" : "", "family" : "Kobashi", "given" : "Haruhiko", "non-dropping-particle" : "", "parse-names" : false, "suffix" : "" }, { "dropping-particle" : "", "family" : "Yasunaka", "given" : "Tetsuya", "non-dropping-particle" : "", "parse-names" : false, "suffix" : "" }, { "dropping-particle" : "", "family" : "Ikeda", "given" : "Fusao", "non-dropping-particle" : "", "parse-names" : false, "suffix" : "" }, { "dropping-particle" : "", "family" : "Takaki", "given" : "Akinobu", "non-dropping-particle" : "", "parse-names" : false, "suffix" : "" }, { "dropping-particle" : "", "family" : "Okamoto", "given" : "Ryoichi", "non-dropping-particle" : "", "parse-names" : false, "suffix" : "" }, { "dropping-particle" : "", "family" : "Takaguchi", "given" : "Kouichi", "non-dropping-particle" : "", "parse-names" : false, "suffix" : "" }, { "dropping-particle" : "", "family" : "Ikeda", "given" : "Hiroshi", "non-dropping-particle" : "", "parse-names" : false, "suffix" : "" }, { "dropping-particle" : "", "family" : "Makino", "given" : "Yasuhiro", "non-dropping-particle" : "", "parse-names" : false, "suffix" : "" }, { "dropping-particle" : "", "family" : "Ando", "given" : "Masaharu", "non-dropping-particle" : "", "parse-names" : false, "suffix" : "" }, { "dropping-particle" : "", "family" : "Sakaguchi", "given" : "Kohsaku", "non-dropping-particle" : "", "parse-names" : false, "suffix" : "" }, { "dropping-particle" : "", "family" : "Yamamoto", "given" : "Kazuhide", "non-dropping-particle" : "", "parse-names" : false, "suffix" : "" } ], "container-title" : "Hepatology International", "id" : "ITEM-1", "issue" : "4", "issued" : { "date-parts" : [ [ "2009" ] ] }, "page" : "556-562", "title" : "Efficacy of ursodeoxycholic acid for Japanese patients with autoimmune hepatitis", "type" : "article-journal", "volume" : "3" }, "uris" : [ "http://www.mendeley.com/documents/?uuid=1131faf9-04f0-4a85-a4ff-51811eb55080" ] }, { "id" : "ITEM-2", "itemData" : { "ISSN" : "0815-9319", "PMID" : "9641646", "abstract" : "Ursodeoxycholic acid (UDCA) has been shown to have beneficial effects on patients with primary biliary cirrhosis, suggesting that UDCA has immunomodulating effects. We investigated the effect of UDCA in patients with autoimmune hepatitis (AIH) which is characterized by immunological abnormalities. Eight patients with type 1 AIH were treated with 600 mg of UDCA per day for 2 years. Based on the criteria of the International Autoimmune Hepatitis Group, five patients were diagnosed as definite and three as probable type 1 AIH. Liver function tests were performed every 4 weeks, before and during UDCA therapy and the serum levels of anti-nuclear antibodies (ANA), smooth muscle antibodies (SMA), immunoglobulin G and gamma globulin were determined every 3 months. The levels of serum aspartate aminotransferase and alanine aminotransferase significantly decreased from 154 +/- 24 IU/L and 170 +/- 17 IU/L before UDCA therapy to 31 +/- 3 IU/L and 25 +/- 5 IU/L (P &lt; 0.001) after 1 year of treatment and 28 +/- 2 IU/L and 23 +/- 4 IU/L (P &lt; 0.001) after 2 years of treatment. After 2 years of treatment, the levels of serum immunoglobulin G and gamma globulin significantly decreased (P &lt; 0.05) and ANA titres (5/8 patients) were reduced and SMA (3/5 patients) became negative. Furthermore, hepatic histopathological changes of four patients were assessed after 1 year of treatment, and an improvement of intrahepatic inflammation, but not fibrosis, was observed. In conclusion, these results suggest that UDCA has a beneficial therapeutic effect in patients with type 1 autoimmune hepatitis.", "author" : [ { "dropping-particle" : "", "family" : "Nakamura", "given" : "K", "non-dropping-particle" : "", "parse-names" : false, "suffix" : "" }, { "dropping-particle" : "", "family" : "Yoneda", "given" : "M", "non-dropping-particle" : "", "parse-names" : false, "suffix" : "" }, { "dropping-particle" : "", "family" : "Yokohama", "given" : "S", "non-dropping-particle" : "", "parse-names" : false, "suffix" : "" }, { "dropping-particle" : "", "family" : "Tamori", "given" : "K", "non-dropping-particle" : "", "parse-names" : false, "suffix" : "" }, { "dropping-particle" : "", "family" : "Sato", "given" : "Y", "non-dropping-particle" : "", "parse-names" : false, "suffix" : "" }, { "dropping-particle" : "", "family" : "Aso", "given" : "K", "non-dropping-particle" : "", "parse-names" : false, "suffix" : "" }, { "dropping-particle" : "", "family" : "Aoshima", "given" : "M", "non-dropping-particle" : "", "parse-names" : false, "suffix" : "" }, { "dropping-particle" : "", "family" : "Hasegawa", "given" : "T", "non-dropping-particle" : "", "parse-names" : false, "suffix" : "" }, { "dropping-particle" : "", "family" : "Makino", "given" : "I", "non-dropping-particle" : "", "parse-names" : false, "suffix" : "" } ], "container-title" : "Journal of gastroenterology and hepatology", "id" : "ITEM-2", "issue" : "5", "issued" : { "date-parts" : [ [ "1998" ] ] }, "page" : "490-495", "title" : "Efficacy of ursodeoxycholic acid in Japanese patients with type 1 autoimmune hepatitis.", "type" : "article-journal", "volume" : "13" }, "uris" : [ "http://www.mendeley.com/documents/?uuid=9788d786-9a19-4a85-819f-d6f193a84b5e" ] }, { "id" : "ITEM-3", "itemData" : { "DOI" : "10.1002/hep.510300603", "ISSN" : "0270-9139", "PMID" : "10573515", "abstract" : "To evaluate the efficacy of ursodeoxycholic acid as adjunctive therapy in type 1 autoimmune hepatitis, 37 patients who had experienced treatment failure, repeated relapse, or incomplete response were randomized to ursodeoxycholic acid (13-15 mg/kg daily) or placebo for 6 months in addition to their usual corticosteroid schedule. Serum aspartate transaminase (70% vs. 31%, P =.04) and alkaline phosphatase (47% vs. 7%, P =.02) levels improved more commonly in the 21 patients randomized to ursodeoxycholic acid. Mean serum levels, however, were similar before and after the treatment period. The frequency of dose reduction or corticosteroid withdrawal was comparable in both groups (29% versus 31%, P &gt;.9), and clinical improvement (48% vs. 44%, P &gt;.9) or its absence (52% vs. 56%, P &gt;.9) occurred as commonly in patients receiving ursodeoxycholic acid or placebo. The modified histological activity score (3.5 +/- 0.8 vs. 3. 5 +/- 0.9) and the modified fibrosis score (2.4 +/- 0.4 vs. 2.4 +/- 0.4) were similar before and after treatment with ursodeoxycholic acid and no different than after placebo therapy. We conclude that ursodeoxycholic acid can improve certain laboratory tests in problematic patients with type 1 autoimmune hepatitis when administered adjunctively for 6 months. Short-term therapy, however, does not facilitate reduction in the dose of corticosteroids or its withdrawal, affect clinical outcome, or reduce histological activity.", "author" : [ { "dropping-particle" : "", "family" : "Czaja", "given" : "a J", "non-dropping-particle" : "", "parse-names" : false, "suffix" : "" }, { "dropping-particle" : "", "family" : "Carpenter", "given" : "H a", "non-dropping-particle" : "", "parse-names" : false, "suffix" : "" }, { "dropping-particle" : "", "family" : "Lindor", "given" : "K D", "non-dropping-particle" : "", "parse-names" : false, "suffix" : "" } ], "container-title" : "Hepatology (Baltimore, Md.)", "id" : "ITEM-3", "issue" : "6", "issued" : { "date-parts" : [ [ "1999" ] ] }, "page" : "1381-1386", "title" : "Ursodeoxycholic acid as adjunctive therapy for problematic type 1 autoimmune hepatitis: a randomized placebo-controlled treatment trial.", "type" : "article-journal", "volume" : "30" }, "uris" : [ "http://www.mendeley.com/documents/?uuid=e50dc0e8-a803-4309-bf4f-249fc48432e9" ] } ], "mendeley" : { "formattedCitation" : "&lt;sup&gt;[13\u201315]&lt;/sup&gt;", "plainTextFormattedCitation" : "[13\u201315]", "previouslyFormattedCitation" : "&lt;sup&gt;[13\u201315]&lt;/sup&gt;" }, "properties" : { "noteIndex" : 0 }, "schema" : "https://github.com/citation-style-language/schema/raw/master/csl-citation.json" }</w:instrText>
      </w:r>
      <w:r w:rsidR="00A313A7" w:rsidRPr="008D3B68">
        <w:rPr>
          <w:rFonts w:ascii="Book Antiqua" w:hAnsi="Book Antiqua" w:cs="Times New Roman"/>
          <w:color w:val="000000" w:themeColor="text1"/>
          <w:sz w:val="24"/>
          <w:szCs w:val="24"/>
        </w:rPr>
        <w:fldChar w:fldCharType="separate"/>
      </w:r>
      <w:r w:rsidR="00D25B64" w:rsidRPr="008D3B68">
        <w:rPr>
          <w:rFonts w:ascii="Book Antiqua" w:hAnsi="Book Antiqua" w:cs="Times New Roman"/>
          <w:noProof/>
          <w:color w:val="000000" w:themeColor="text1"/>
          <w:sz w:val="24"/>
          <w:szCs w:val="24"/>
          <w:vertAlign w:val="superscript"/>
        </w:rPr>
        <w:t>[13</w:t>
      </w:r>
      <w:r w:rsidR="00427295">
        <w:rPr>
          <w:rFonts w:ascii="Book Antiqua" w:eastAsia="宋体" w:hAnsi="Book Antiqua" w:cs="Times New Roman" w:hint="eastAsia"/>
          <w:noProof/>
          <w:color w:val="000000" w:themeColor="text1"/>
          <w:sz w:val="24"/>
          <w:szCs w:val="24"/>
          <w:vertAlign w:val="superscript"/>
        </w:rPr>
        <w:t>-</w:t>
      </w:r>
      <w:r w:rsidR="00D25B64" w:rsidRPr="008D3B68">
        <w:rPr>
          <w:rFonts w:ascii="Book Antiqua" w:hAnsi="Book Antiqua" w:cs="Times New Roman"/>
          <w:noProof/>
          <w:color w:val="000000" w:themeColor="text1"/>
          <w:sz w:val="24"/>
          <w:szCs w:val="24"/>
          <w:vertAlign w:val="superscript"/>
        </w:rPr>
        <w:t>15]</w:t>
      </w:r>
      <w:r w:rsidR="00A313A7" w:rsidRPr="008D3B68">
        <w:rPr>
          <w:rFonts w:ascii="Book Antiqua" w:hAnsi="Book Antiqua" w:cs="Times New Roman"/>
          <w:color w:val="000000" w:themeColor="text1"/>
          <w:sz w:val="24"/>
          <w:szCs w:val="24"/>
        </w:rPr>
        <w:fldChar w:fldCharType="end"/>
      </w:r>
      <w:r w:rsidRPr="008D3B68">
        <w:rPr>
          <w:rFonts w:ascii="Book Antiqua" w:hAnsi="Book Antiqua" w:cs="Times New Roman"/>
          <w:color w:val="000000" w:themeColor="text1"/>
          <w:sz w:val="24"/>
          <w:szCs w:val="24"/>
        </w:rPr>
        <w:t xml:space="preserve">. In this study, patients with a confirmed diagnosis of autoimmune hepatitis (AIH) who started treatment with UDCA alone were analyzed, and </w:t>
      </w:r>
      <w:r w:rsidR="00B04BC8" w:rsidRPr="008D3B68">
        <w:rPr>
          <w:rFonts w:ascii="Book Antiqua" w:hAnsi="Book Antiqua" w:cs="Times New Roman"/>
          <w:color w:val="000000" w:themeColor="text1"/>
          <w:sz w:val="24"/>
          <w:szCs w:val="24"/>
        </w:rPr>
        <w:t>t</w:t>
      </w:r>
      <w:r w:rsidRPr="008D3B68">
        <w:rPr>
          <w:rFonts w:ascii="Book Antiqua" w:hAnsi="Book Antiqua" w:cs="Times New Roman"/>
          <w:color w:val="000000" w:themeColor="text1"/>
          <w:sz w:val="24"/>
          <w:szCs w:val="24"/>
        </w:rPr>
        <w:t>he results are reported.</w:t>
      </w:r>
    </w:p>
    <w:p w:rsidR="00427295" w:rsidRDefault="00427295" w:rsidP="00352D86">
      <w:pPr>
        <w:spacing w:line="360" w:lineRule="auto"/>
        <w:rPr>
          <w:rFonts w:ascii="Book Antiqua" w:eastAsia="宋体" w:hAnsi="Book Antiqua" w:cs="Times New Roman"/>
          <w:sz w:val="24"/>
          <w:szCs w:val="24"/>
        </w:rPr>
      </w:pPr>
    </w:p>
    <w:p w:rsidR="00F13469" w:rsidRPr="008D3B68" w:rsidRDefault="00460E88" w:rsidP="00352D86">
      <w:pPr>
        <w:spacing w:line="360" w:lineRule="auto"/>
        <w:rPr>
          <w:rFonts w:ascii="Book Antiqua" w:hAnsi="Book Antiqua" w:cs="Times New Roman"/>
          <w:b/>
          <w:sz w:val="24"/>
          <w:szCs w:val="24"/>
        </w:rPr>
      </w:pPr>
      <w:r w:rsidRPr="008D3B68">
        <w:rPr>
          <w:rFonts w:ascii="Book Antiqua" w:hAnsi="Book Antiqua" w:cs="Times New Roman"/>
          <w:b/>
          <w:sz w:val="24"/>
          <w:szCs w:val="24"/>
        </w:rPr>
        <w:t>MATERIALS AND METHODS</w:t>
      </w:r>
    </w:p>
    <w:p w:rsidR="00460E88" w:rsidRPr="008D3B68" w:rsidRDefault="006464B4" w:rsidP="00352D86">
      <w:pPr>
        <w:spacing w:line="360" w:lineRule="auto"/>
        <w:rPr>
          <w:rFonts w:ascii="Book Antiqua" w:hAnsi="Book Antiqua" w:cs="Times New Roman"/>
          <w:b/>
          <w:sz w:val="24"/>
          <w:szCs w:val="24"/>
        </w:rPr>
      </w:pPr>
      <w:r w:rsidRPr="008D3B68">
        <w:rPr>
          <w:rFonts w:ascii="Book Antiqua" w:hAnsi="Book Antiqua" w:cs="Times New Roman"/>
          <w:b/>
          <w:i/>
          <w:sz w:val="24"/>
          <w:szCs w:val="24"/>
        </w:rPr>
        <w:t>Patients</w:t>
      </w:r>
    </w:p>
    <w:p w:rsidR="00FB3902" w:rsidRPr="00623B75" w:rsidRDefault="00A9672D"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The present study included </w:t>
      </w:r>
      <w:r w:rsidR="006464B4" w:rsidRPr="008D3B68">
        <w:rPr>
          <w:rFonts w:ascii="Book Antiqua" w:hAnsi="Book Antiqua" w:cs="Times New Roman"/>
          <w:sz w:val="24"/>
          <w:szCs w:val="24"/>
        </w:rPr>
        <w:t>136</w:t>
      </w:r>
      <w:r w:rsidRPr="008D3B68">
        <w:rPr>
          <w:rFonts w:ascii="Book Antiqua" w:hAnsi="Book Antiqua" w:cs="Times New Roman"/>
          <w:sz w:val="24"/>
          <w:szCs w:val="24"/>
        </w:rPr>
        <w:t xml:space="preserve"> patients who were diagnosed </w:t>
      </w:r>
      <w:r w:rsidR="006464B4" w:rsidRPr="008D3B68">
        <w:rPr>
          <w:rFonts w:ascii="Book Antiqua" w:hAnsi="Book Antiqua" w:cs="Times New Roman"/>
          <w:sz w:val="24"/>
          <w:szCs w:val="24"/>
        </w:rPr>
        <w:t>with</w:t>
      </w:r>
      <w:r w:rsidRPr="008D3B68">
        <w:rPr>
          <w:rFonts w:ascii="Book Antiqua" w:hAnsi="Book Antiqua" w:cs="Times New Roman"/>
          <w:sz w:val="24"/>
          <w:szCs w:val="24"/>
        </w:rPr>
        <w:t xml:space="preserve"> AIH </w:t>
      </w:r>
      <w:r w:rsidR="006464B4" w:rsidRPr="008D3B68">
        <w:rPr>
          <w:rFonts w:ascii="Book Antiqua" w:hAnsi="Book Antiqua" w:cs="Times New Roman"/>
          <w:sz w:val="24"/>
          <w:szCs w:val="24"/>
        </w:rPr>
        <w:t>between 1975 and 20</w:t>
      </w:r>
      <w:r w:rsidR="00641CD6" w:rsidRPr="008D3B68">
        <w:rPr>
          <w:rFonts w:ascii="Book Antiqua" w:hAnsi="Book Antiqua" w:cs="Times New Roman"/>
          <w:sz w:val="24"/>
          <w:szCs w:val="24"/>
        </w:rPr>
        <w:t>11</w:t>
      </w:r>
      <w:r w:rsidR="006464B4" w:rsidRPr="008D3B68">
        <w:rPr>
          <w:rFonts w:ascii="Book Antiqua" w:hAnsi="Book Antiqua" w:cs="Times New Roman"/>
          <w:sz w:val="24"/>
          <w:szCs w:val="24"/>
        </w:rPr>
        <w:t xml:space="preserve"> </w:t>
      </w:r>
      <w:r w:rsidRPr="008D3B68">
        <w:rPr>
          <w:rFonts w:ascii="Book Antiqua" w:hAnsi="Book Antiqua" w:cs="Times New Roman"/>
          <w:sz w:val="24"/>
          <w:szCs w:val="24"/>
        </w:rPr>
        <w:t xml:space="preserve">at </w:t>
      </w:r>
      <w:r w:rsidR="006A5C18" w:rsidRPr="008D3B68">
        <w:rPr>
          <w:rFonts w:ascii="Book Antiqua" w:hAnsi="Book Antiqua" w:cs="Times New Roman"/>
          <w:sz w:val="24"/>
          <w:szCs w:val="24"/>
        </w:rPr>
        <w:t>the Division of Gastroenterology and Hepatology, Department of Internal Medicine</w:t>
      </w:r>
      <w:r w:rsidRPr="008D3B68">
        <w:rPr>
          <w:rFonts w:ascii="Book Antiqua" w:hAnsi="Book Antiqua" w:cs="Times New Roman"/>
          <w:sz w:val="24"/>
          <w:szCs w:val="24"/>
        </w:rPr>
        <w:t>,</w:t>
      </w:r>
      <w:r w:rsidR="000B37B3" w:rsidRPr="008D3B68">
        <w:rPr>
          <w:rFonts w:ascii="Book Antiqua" w:hAnsi="Book Antiqua" w:cs="Times New Roman"/>
          <w:sz w:val="24"/>
          <w:szCs w:val="24"/>
        </w:rPr>
        <w:t xml:space="preserve"> The</w:t>
      </w:r>
      <w:r w:rsidRPr="008D3B68">
        <w:rPr>
          <w:rFonts w:ascii="Book Antiqua" w:hAnsi="Book Antiqua" w:cs="Times New Roman"/>
          <w:sz w:val="24"/>
          <w:szCs w:val="24"/>
        </w:rPr>
        <w:t xml:space="preserve"> Jikei University Hospital</w:t>
      </w:r>
      <w:r w:rsidR="006464B4" w:rsidRPr="008D3B68">
        <w:rPr>
          <w:rFonts w:ascii="Book Antiqua" w:hAnsi="Book Antiqua" w:cs="Times New Roman"/>
          <w:sz w:val="24"/>
          <w:szCs w:val="24"/>
        </w:rPr>
        <w:t xml:space="preserve"> (Tokyo, Japan)</w:t>
      </w:r>
      <w:r w:rsidRPr="008D3B68">
        <w:rPr>
          <w:rFonts w:ascii="Book Antiqua" w:hAnsi="Book Antiqua" w:cs="Times New Roman"/>
          <w:sz w:val="24"/>
          <w:szCs w:val="24"/>
        </w:rPr>
        <w:t xml:space="preserve">. All </w:t>
      </w:r>
      <w:r w:rsidR="009D7F44" w:rsidRPr="008D3B68">
        <w:rPr>
          <w:rFonts w:ascii="Book Antiqua" w:hAnsi="Book Antiqua" w:cs="Times New Roman"/>
          <w:sz w:val="24"/>
          <w:szCs w:val="24"/>
        </w:rPr>
        <w:t xml:space="preserve">of the </w:t>
      </w:r>
      <w:r w:rsidRPr="008D3B68">
        <w:rPr>
          <w:rFonts w:ascii="Book Antiqua" w:hAnsi="Book Antiqua" w:cs="Times New Roman"/>
          <w:sz w:val="24"/>
          <w:szCs w:val="24"/>
        </w:rPr>
        <w:t xml:space="preserve">patients had at least a </w:t>
      </w:r>
      <w:r w:rsidR="00641CD6" w:rsidRPr="008D3B68">
        <w:rPr>
          <w:rFonts w:ascii="Book Antiqua" w:hAnsi="Book Antiqua" w:cs="Times New Roman"/>
          <w:sz w:val="24"/>
          <w:szCs w:val="24"/>
        </w:rPr>
        <w:t>probable</w:t>
      </w:r>
      <w:r w:rsidRPr="008D3B68">
        <w:rPr>
          <w:rFonts w:ascii="Book Antiqua" w:hAnsi="Book Antiqua" w:cs="Times New Roman"/>
          <w:sz w:val="24"/>
          <w:szCs w:val="24"/>
        </w:rPr>
        <w:t xml:space="preserve"> diagnosis on the basis of </w:t>
      </w:r>
      <w:r w:rsidR="00641CD6" w:rsidRPr="008D3B68">
        <w:rPr>
          <w:rFonts w:ascii="Book Antiqua" w:hAnsi="Book Antiqua" w:cs="Times New Roman"/>
          <w:sz w:val="24"/>
          <w:szCs w:val="24"/>
        </w:rPr>
        <w:t>either the revised scoring system</w:t>
      </w:r>
      <w:r w:rsidRPr="008D3B68">
        <w:rPr>
          <w:rFonts w:ascii="Book Antiqua" w:hAnsi="Book Antiqua" w:cs="Times New Roman"/>
          <w:sz w:val="24"/>
          <w:szCs w:val="24"/>
        </w:rPr>
        <w:t>, as proposed by the International Autoimmune Hepatitis Group (IA</w:t>
      </w:r>
      <w:r w:rsidR="00855A50" w:rsidRPr="008D3B68">
        <w:rPr>
          <w:rFonts w:ascii="Book Antiqua" w:hAnsi="Book Antiqua" w:cs="Times New Roman"/>
          <w:sz w:val="24"/>
          <w:szCs w:val="24"/>
        </w:rPr>
        <w:t>IHG) in 1999</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"DOI" : "10.1016/S0168-8278(99)80297-9", "ISBN" : "0168-8278 (Print)\\r0168-8278 (Linking)", "ISSN" : "01688278", "PMID" : "10580593", "author" : [ { "dropping-particle" : "", "family" : "Alvarez", "given" : "F.", "non-dropping-particle" : "", "parse-names" : false, "suffix" : "" }, { "dropping-particle" : "", "family" : "Berg", "given" : "P. a.", "non-dropping-particle" : "", "parse-names" : false, "suffix" : "" }, { "dropping-particle" : "", "family" : "Bianchi", "given" : "F. B.", "non-dropping-particle" : "", "parse-names" : false, "suffix" : "" }, { "dropping-particle" : "", "family" : "Bianchi", "given" : "L.", "non-dropping-particle" : "", "parse-names" : false, "suffix" : "" }, { "dropping-particle" : "", "family" : "Burroughs", "given" : "a. K.", "non-dropping-particle" : "", "parse-names" : false, "suffix" : "" }, { "dropping-particle" : "", "family" : "Cancado", "given" : "E. L.", "non-dropping-particle" : "", "parse-names" : false, "suffix" : "" }, { "dropping-particle" : "", "family" : "Chapman", "given" : "R. W.", "non-dropping-particle" : "", "parse-names" : false, "suffix" : "" }, { "dropping-particle" : "", "family" : "Cooksley", "given" : "W. G E", "non-dropping-particle" : "", "parse-names" : false, "suffix" : "" }, { "dropping-particle" : "", "family" : "Czaja", "given" : "a. J.", "non-dropping-particle" : "", "parse-names" : false, "suffix" : "" }, { "dropping-particle" : "", "family" : "Desmet", "given" : "V. J.", "non-dropping-particle" : "", "parse-names" : false, "suffix" : "" }, { "dropping-particle" : "", "family" : "Donaldson", "given" : "P. T.", "non-dropping-particle" : "", "parse-names" : false, "suffix" : "" }, { "dropping-particle" : "", "family" : "Eddleston", "given" : "a. L W F", "non-dropping-particle" : "", "parse-names" : false, "suffix" : "" }, { "dropping-particle" : "", "family" : "Fainboim", "given" : "L.", "non-dropping-particle" : "", "parse-names" : false, "suffix" : "" }, { "dropping-particle" : "", "family" : "Heathcote", "given" : "J.", "non-dropping-particle" : "", "parse-names" : false, "suffix" : "" }, { "dropping-particle" : "", "family" : "Homberg", "given" : "J. C.", "non-dropping-particle" : "", "parse-names" : false, "suffix" : "" }, { "dropping-particle" : "", "family" : "Hoofnagle", "given" : "J. H.", "non-dropping-particle" : "", "parse-names" : false, "suffix" : "" }, { "dropping-particle" : "", "family" : "Kakumu", "given" : "S.", "non-dropping-particle" : "", "parse-names" : false, "suffix" : "" }, { "dropping-particle" : "", "family" : "Krawitt", "given" : "E. L.", "non-dropping-particle" : "", "parse-names" : false, "suffix" : "" }, { "dropping-particle" : "", "family" : "Mackay", "given" : "I. R.", "non-dropping-particle" : "", "parse-names" : false, "suffix" : "" }, { "dropping-particle" : "", "family" : "MacSween", "given" : "R. N M", "non-dropping-particle" : "", "parse-names" : false, "suffix" : "" }, { "dropping-particle" : "", "family" : "Maddrey", "given" : "W. C.", "non-dropping-particle" : "", "parse-names" : false, "suffix" : "" }, { "dropping-particle" : "", "family" : "Manns", "given" : "M. P.", "non-dropping-particle" : "", "parse-names" : false, "suffix" : "" }, { "dropping-particle" : "", "family" : "McFarlane", "given" : "I. G.", "non-dropping-particle" : "", "parse-names" : false, "suffix" : "" }, { "dropping-particle" : "", "family" : "Meyer Zum B\u00fcschenfelde", "given" : "K. H.", "non-dropping-particle" : "", "parse-names" : false, "suffix" : "" }, { "dropping-particle" : "", "family" : "Mieli-Vergani", "given" : "G.", "non-dropping-particle" : "", "parse-names" : false, "suffix" : "" }, { "dropping-particle" : "", "family" : "Nakanuma", "given" : "Y.", "non-dropping-particle" : "", "parse-names" : false, "suffix" : "" }, { "dropping-particle" : "", "family" : "Nishioka", "given" : "M.", "non-dropping-particle" : "", "parse-names" : false, "suffix" : "" }, { "dropping-particle" : "", "family" : "Penner", "given" : "E.", "non-dropping-particle" : "", "parse-names" : false, "suffix" : "" }, { "dropping-particle" : "", "family" : "Porta", "given" : "G.", "non-dropping-particle" : "", "parse-names" : false, "suffix" : "" }, { "dropping-particle" : "", "family" : "Portmann", "given" : "B. C.", "non-dropping-particle" : "", "parse-names" : false, "suffix" : "" }, { "dropping-particle" : "", "family" : "Reed", "given" : "W. D.", "non-dropping-particle" : "", "parse-names" : false, "suffix" : "" }, { "dropping-particle" : "", "family" : "Rodes", "given" : "J.", "non-dropping-particle" : "", "parse-names" : false, "suffix" : "" }, { "dropping-particle" : "", "family" : "Schalm", "given" : "S. W.", "non-dropping-particle" : "", "parse-names" : false, "suffix" : "" }, { "dropping-particle" : "", "family" : "Scheuer", "given" : "P. J.", "non-dropping-particle" : "", "parse-names" : false, "suffix" : "" }, { "dropping-particle" : "", "family" : "Schrumpf", "given" : "E.", "non-dropping-particle" : "", "parse-names" : false, "suffix" : "" }, { "dropping-particle" : "", "family" : "Seki", "given" : "T.", "non-dropping-particle" : "", "parse-names" : false, "suffix" : "" }, { "dropping-particle" : "", "family" : "Toda", "given" : "G.", "non-dropping-particle" : "", "parse-names" : false, "suffix" : "" }, { "dropping-particle" : "", "family" : "Tsuji", "given" : "T.", "non-dropping-particle" : "", "parse-names" : false, "suffix" : "" }, { "dropping-particle" : "", "family" : "Tygstrup", "given" : "N.", "non-dropping-particle" : "", "parse-names" : false, "suffix" : "" }, { "dropping-particle" : "", "family" : "Vergani", "given" : "D.", "non-dropping-particle" : "", "parse-names" : false, "suffix" : "" }, { "dropping-particle" : "", "family" : "Zeniya", "given" : "M.", "non-dropping-particle" : "", "parse-names" : false, "suffix" : "" } ], "container-title" : "Journal of Hepatology", "id" : "ITEM-1", "issue" : "5", "issued" : { "date-parts" : [ [ "1999" ] ] }, "page" : "929-938", "title" : "International Autoimmune Hepatitis Group Report: Review of criteria for diagnosis of autoimmune hepatitis", "type" : "article-journal", "volume" : "31" }, "uris" : [ "http://www.mendeley.com/documents/?uuid=571fe745-2e3c-4b6c-b448-6af8d8973eac" ] } ], "mendeley" : { "formattedCitation" : "&lt;sup&gt;[16]&lt;/sup&gt;", "plainTextFormattedCitation" : "[16]", "previouslyFormattedCitation" : "&lt;sup&gt;[16]&lt;/sup&gt;"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[16]</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w:t>
      </w:r>
      <w:r w:rsidR="00641CD6" w:rsidRPr="008D3B68">
        <w:rPr>
          <w:rFonts w:ascii="Book Antiqua" w:hAnsi="Book Antiqua" w:cs="Times New Roman"/>
          <w:sz w:val="24"/>
          <w:szCs w:val="24"/>
        </w:rPr>
        <w:t>or</w:t>
      </w:r>
      <w:r w:rsidRPr="008D3B68">
        <w:rPr>
          <w:rFonts w:ascii="Book Antiqua" w:hAnsi="Book Antiqua" w:cs="Times New Roman"/>
          <w:sz w:val="24"/>
          <w:szCs w:val="24"/>
        </w:rPr>
        <w:t xml:space="preserve"> the simplified scores</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"DOI" : "10.1002/hep.22322", "ISSN" : "02709139", "author" : [ { "dropping-particle" : "", "family" : "Hennes", "given" : "Elke M.", "non-dropping-particle" : "", "parse-names" : false, "suffix" : "" }, { "dropping-particle" : "", "family" : "Zeniya", "given" : "Mikio", "non-dropping-particle" : "", "parse-names" : false, "suffix" : "" }, { "dropping-particle" : "", "family" : "Czaja", "given" : "Albert. J.", "non-dropping-particle" : "", "parse-names" : false, "suffix" : "" }, { "dropping-particle" : "", "family" : "Par\u00e9s", "given" : "Albert", "non-dropping-particle" : "", "parse-names" : false, "suffix" : "" }, { "dropping-particle" : "", "family" : "Dalekos", "given" : "George N.", "non-dropping-particle" : "", "parse-names" : false, "suffix" : "" }, { "dropping-particle" : "", "family" : "Krawitt", "given" : "Edward L.", "non-dropping-particle" : "", "parse-names" : false, "suffix" : "" }, { "dropping-particle" : "", "family" : "Bittencourt", "given" : "Paulo L.", "non-dropping-particle" : "", "parse-names" : false, "suffix" : "" }, { "dropping-particle" : "", "family" : "Porta", "given" : "Gilda", "non-dropping-particle" : "", "parse-names" : false, "suffix" : "" }, { "dropping-particle" : "", "family" : "Boberg", "given" : "Kirsten M.", "non-dropping-particle" : "", "parse-names" : false, "suffix" : "" }, { "dropping-particle" : "", "family" : "Hofer", "given" : "Harald", "non-dropping-particle" : "", "parse-names" : false, "suffix" : "" }, { "dropping-particle" : "", "family" : "Bianchi", "given" : "Francesco B.", "non-dropping-particle" : "", "parse-names" : false, "suffix" : "" }, { "dropping-particle" : "", "family" : "Shibata", "given" : "Minoru", "non-dropping-particle" : "", "parse-names" : false, "suffix" : "" }, { "dropping-particle" : "", "family" : "Schramm", "given" : "Christoph", "non-dropping-particle" : "", "parse-names" : false, "suffix" : "" }, { "dropping-particle" : "", "family" : "Eisenmann de Torres", "given" : "Barbara", "non-dropping-particle" : "", "parse-names" : false, "suffix" : "" }, { "dropping-particle" : "", "family" : "Galle", "given" : "Peter R.", "non-dropping-particle" : "", "parse-names" : false, "suffix" : "" }, { "dropping-particle" : "", "family" : "McFarlane", "given" : "Ian", "non-dropping-particle" : "", "parse-names" : false, "suffix" : "" }, { "dropping-particle" : "", "family" : "Dienes", "given" : "Hans\u2010Peter", "non-dropping-particle" : "", "parse-names" : false, "suffix" : "" }, { "dropping-particle" : "", "family" : "Lohse", "given" : "Ansgar W.", "non-dropping-particle" : "", "parse-names" : false, "suffix" : "" } ], "container-title" : "Hepatology", "id" : "ITEM-1", "issue" : "1", "issued" : { "date-parts" : [ [ "2008" ] ] }, "page" : "169-176", "title" : "Simplified criteria for the diagnosis of autoimmune hepatitis", "type" : "article-journal", "volume" : "48" }, "uris" : [ "http://www.mendeley.com/documents/?uuid=dc09c99d-4cb3-4e2a-a8b5-a20957874999" ] } ], "mendeley" : { "formattedCitation" : "&lt;sup&gt;[17]&lt;/sup&gt;", "plainTextFormattedCitation" : "[17]", "previouslyFormattedCitation" : "&lt;sup&gt;[17]&lt;/sup&gt;"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[17]</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w:t>
      </w:r>
      <w:r w:rsidR="00155AE8" w:rsidRPr="008D3B68">
        <w:rPr>
          <w:rFonts w:ascii="Book Antiqua" w:hAnsi="Book Antiqua" w:cs="Times New Roman"/>
          <w:sz w:val="24"/>
          <w:szCs w:val="24"/>
        </w:rPr>
        <w:t xml:space="preserve">All </w:t>
      </w:r>
      <w:r w:rsidR="009D7F44" w:rsidRPr="008D3B68">
        <w:rPr>
          <w:rFonts w:ascii="Book Antiqua" w:hAnsi="Book Antiqua" w:cs="Times New Roman"/>
          <w:sz w:val="24"/>
          <w:szCs w:val="24"/>
        </w:rPr>
        <w:t xml:space="preserve">of the </w:t>
      </w:r>
      <w:r w:rsidR="00155AE8" w:rsidRPr="008D3B68">
        <w:rPr>
          <w:rFonts w:ascii="Book Antiqua" w:hAnsi="Book Antiqua" w:cs="Times New Roman"/>
          <w:sz w:val="24"/>
          <w:szCs w:val="24"/>
        </w:rPr>
        <w:t xml:space="preserve">patients underwent a liver biopsy. </w:t>
      </w:r>
      <w:r w:rsidR="0065361D" w:rsidRPr="008D3B68">
        <w:rPr>
          <w:rFonts w:ascii="Book Antiqua" w:hAnsi="Book Antiqua" w:cs="Times New Roman"/>
          <w:sz w:val="24"/>
          <w:szCs w:val="24"/>
        </w:rPr>
        <w:t xml:space="preserve">In this study, patients with no histological fibrosis (F0) were excluded. </w:t>
      </w:r>
      <w:r w:rsidR="00155AE8" w:rsidRPr="008D3B68">
        <w:rPr>
          <w:rFonts w:ascii="Book Antiqua" w:hAnsi="Book Antiqua" w:cs="Times New Roman"/>
          <w:sz w:val="24"/>
          <w:szCs w:val="24"/>
        </w:rPr>
        <w:t xml:space="preserve">Chronic viral hepatitis B and C </w:t>
      </w:r>
      <w:r w:rsidR="008258C8" w:rsidRPr="008D3B68">
        <w:rPr>
          <w:rFonts w:ascii="Book Antiqua" w:hAnsi="Book Antiqua" w:cs="Times New Roman"/>
          <w:sz w:val="24"/>
          <w:szCs w:val="24"/>
        </w:rPr>
        <w:t xml:space="preserve">were </w:t>
      </w:r>
      <w:r w:rsidR="00155AE8" w:rsidRPr="008D3B68">
        <w:rPr>
          <w:rFonts w:ascii="Book Antiqua" w:hAnsi="Book Antiqua" w:cs="Times New Roman"/>
          <w:sz w:val="24"/>
          <w:szCs w:val="24"/>
        </w:rPr>
        <w:t xml:space="preserve">excluded by serological testing in all </w:t>
      </w:r>
      <w:r w:rsidR="009D7F44" w:rsidRPr="008D3B68">
        <w:rPr>
          <w:rFonts w:ascii="Book Antiqua" w:hAnsi="Book Antiqua" w:cs="Times New Roman"/>
          <w:sz w:val="24"/>
          <w:szCs w:val="24"/>
        </w:rPr>
        <w:t xml:space="preserve">of the </w:t>
      </w:r>
      <w:r w:rsidR="00155AE8" w:rsidRPr="008D3B68">
        <w:rPr>
          <w:rFonts w:ascii="Book Antiqua" w:hAnsi="Book Antiqua" w:cs="Times New Roman"/>
          <w:sz w:val="24"/>
          <w:szCs w:val="24"/>
        </w:rPr>
        <w:t xml:space="preserve">patients. </w:t>
      </w:r>
      <w:r w:rsidR="00C35C23" w:rsidRPr="008D3B68">
        <w:rPr>
          <w:rFonts w:ascii="Book Antiqua" w:hAnsi="Book Antiqua" w:cs="Times New Roman"/>
          <w:sz w:val="24"/>
          <w:szCs w:val="24"/>
        </w:rPr>
        <w:t xml:space="preserve">Patients with an </w:t>
      </w:r>
      <w:r w:rsidR="002057D8" w:rsidRPr="008D3B68">
        <w:rPr>
          <w:rFonts w:ascii="Book Antiqua" w:hAnsi="Book Antiqua" w:cs="Times New Roman"/>
          <w:sz w:val="24"/>
          <w:szCs w:val="24"/>
        </w:rPr>
        <w:t>overlapping syndrome or a coexistent liver disease (e.g.,</w:t>
      </w:r>
      <w:r w:rsidR="00C35C23" w:rsidRPr="008D3B68">
        <w:rPr>
          <w:rFonts w:ascii="Book Antiqua" w:hAnsi="Book Antiqua" w:cs="Times New Roman"/>
          <w:sz w:val="24"/>
          <w:szCs w:val="24"/>
        </w:rPr>
        <w:t xml:space="preserve"> </w:t>
      </w:r>
      <w:r w:rsidR="002057D8" w:rsidRPr="008D3B68">
        <w:rPr>
          <w:rFonts w:ascii="Book Antiqua" w:hAnsi="Book Antiqua" w:cs="Times New Roman"/>
          <w:sz w:val="24"/>
          <w:szCs w:val="24"/>
        </w:rPr>
        <w:t>primary biliary cirrhosis, primary sclerosing cholangitis,</w:t>
      </w:r>
      <w:r w:rsidR="00623B75">
        <w:rPr>
          <w:rFonts w:ascii="Book Antiqua" w:eastAsia="宋体" w:hAnsi="Book Antiqua" w:cs="Times New Roman" w:hint="eastAsia"/>
          <w:sz w:val="24"/>
          <w:szCs w:val="24"/>
        </w:rPr>
        <w:t xml:space="preserve"> </w:t>
      </w:r>
      <w:r w:rsidR="002057D8" w:rsidRPr="008D3B68">
        <w:rPr>
          <w:rFonts w:ascii="Book Antiqua" w:hAnsi="Book Antiqua" w:cs="Times New Roman"/>
          <w:sz w:val="24"/>
          <w:szCs w:val="24"/>
        </w:rPr>
        <w:t>nonalcoholic fatty liver disease, or alcohol-induced liver</w:t>
      </w:r>
      <w:r w:rsidR="00C35C23" w:rsidRPr="008D3B68">
        <w:rPr>
          <w:rFonts w:ascii="Book Antiqua" w:hAnsi="Book Antiqua" w:cs="Times New Roman"/>
          <w:sz w:val="24"/>
          <w:szCs w:val="24"/>
        </w:rPr>
        <w:t xml:space="preserve"> </w:t>
      </w:r>
      <w:r w:rsidR="002057D8" w:rsidRPr="008D3B68">
        <w:rPr>
          <w:rFonts w:ascii="Book Antiqua" w:hAnsi="Book Antiqua" w:cs="Times New Roman"/>
          <w:sz w:val="24"/>
          <w:szCs w:val="24"/>
        </w:rPr>
        <w:t xml:space="preserve">injury) were </w:t>
      </w:r>
      <w:r w:rsidR="00C35C23" w:rsidRPr="008D3B68">
        <w:rPr>
          <w:rFonts w:ascii="Book Antiqua" w:hAnsi="Book Antiqua" w:cs="Times New Roman"/>
          <w:sz w:val="24"/>
          <w:szCs w:val="24"/>
        </w:rPr>
        <w:t xml:space="preserve">also </w:t>
      </w:r>
      <w:r w:rsidR="002057D8" w:rsidRPr="008D3B68">
        <w:rPr>
          <w:rFonts w:ascii="Book Antiqua" w:hAnsi="Book Antiqua" w:cs="Times New Roman"/>
          <w:sz w:val="24"/>
          <w:szCs w:val="24"/>
        </w:rPr>
        <w:t xml:space="preserve">excluded </w:t>
      </w:r>
      <w:r w:rsidR="00155AE8" w:rsidRPr="008D3B68">
        <w:rPr>
          <w:rFonts w:ascii="Book Antiqua" w:hAnsi="Book Antiqua" w:cs="Times New Roman"/>
          <w:sz w:val="24"/>
          <w:szCs w:val="24"/>
        </w:rPr>
        <w:t>by medical history</w:t>
      </w:r>
      <w:r w:rsidR="00C35C23" w:rsidRPr="008D3B68">
        <w:rPr>
          <w:rFonts w:ascii="Book Antiqua" w:hAnsi="Book Antiqua" w:cs="Times New Roman"/>
          <w:sz w:val="24"/>
          <w:szCs w:val="24"/>
        </w:rPr>
        <w:t>,</w:t>
      </w:r>
      <w:r w:rsidR="00155AE8" w:rsidRPr="008D3B68">
        <w:rPr>
          <w:rFonts w:ascii="Book Antiqua" w:hAnsi="Book Antiqua" w:cs="Times New Roman"/>
          <w:sz w:val="24"/>
          <w:szCs w:val="24"/>
        </w:rPr>
        <w:t xml:space="preserve"> </w:t>
      </w:r>
      <w:r w:rsidR="00C35C23" w:rsidRPr="008D3B68">
        <w:rPr>
          <w:rFonts w:ascii="Book Antiqua" w:hAnsi="Book Antiqua" w:cs="Times New Roman"/>
          <w:sz w:val="24"/>
          <w:szCs w:val="24"/>
        </w:rPr>
        <w:t xml:space="preserve">serological data </w:t>
      </w:r>
      <w:r w:rsidR="00155AE8" w:rsidRPr="008D3B68">
        <w:rPr>
          <w:rFonts w:ascii="Book Antiqua" w:hAnsi="Book Antiqua" w:cs="Times New Roman"/>
          <w:sz w:val="24"/>
          <w:szCs w:val="24"/>
        </w:rPr>
        <w:t xml:space="preserve">and histological </w:t>
      </w:r>
      <w:r w:rsidR="00C35C23" w:rsidRPr="008D3B68">
        <w:rPr>
          <w:rFonts w:ascii="Book Antiqua" w:hAnsi="Book Antiqua" w:cs="Times New Roman"/>
          <w:sz w:val="24"/>
          <w:szCs w:val="24"/>
        </w:rPr>
        <w:t>finding</w:t>
      </w:r>
      <w:r w:rsidR="00155AE8" w:rsidRPr="008D3B68">
        <w:rPr>
          <w:rFonts w:ascii="Book Antiqua" w:hAnsi="Book Antiqua" w:cs="Times New Roman"/>
          <w:sz w:val="24"/>
          <w:szCs w:val="24"/>
        </w:rPr>
        <w:t xml:space="preserve">. </w:t>
      </w:r>
      <w:r w:rsidR="008D0C2D" w:rsidRPr="008D3B68">
        <w:rPr>
          <w:rFonts w:ascii="Book Antiqua" w:hAnsi="Book Antiqua" w:cs="Times New Roman"/>
          <w:sz w:val="24"/>
          <w:szCs w:val="24"/>
        </w:rPr>
        <w:t xml:space="preserve">So, patients with </w:t>
      </w:r>
      <w:r w:rsidR="00FB3CC9" w:rsidRPr="008D3B68">
        <w:rPr>
          <w:rFonts w:ascii="Book Antiqua" w:hAnsi="Book Antiqua" w:cs="Times New Roman"/>
          <w:sz w:val="24"/>
          <w:szCs w:val="24"/>
        </w:rPr>
        <w:t>positive antimitochondrial a</w:t>
      </w:r>
      <w:r w:rsidR="008D0C2D" w:rsidRPr="008D3B68">
        <w:rPr>
          <w:rFonts w:ascii="Book Antiqua" w:hAnsi="Book Antiqua" w:cs="Times New Roman"/>
          <w:sz w:val="24"/>
          <w:szCs w:val="24"/>
        </w:rPr>
        <w:t xml:space="preserve">ntibody </w:t>
      </w:r>
      <w:r w:rsidR="00FB3CC9" w:rsidRPr="008D3B68">
        <w:rPr>
          <w:rFonts w:ascii="Book Antiqua" w:hAnsi="Book Antiqua" w:cs="Times New Roman"/>
          <w:sz w:val="24"/>
          <w:szCs w:val="24"/>
        </w:rPr>
        <w:t>were excluded.</w:t>
      </w:r>
      <w:r w:rsidR="008D0C2D" w:rsidRPr="008D3B68">
        <w:rPr>
          <w:rFonts w:ascii="Book Antiqua" w:hAnsi="Book Antiqua" w:cs="Times New Roman"/>
          <w:color w:val="FF0000"/>
          <w:sz w:val="24"/>
          <w:szCs w:val="24"/>
        </w:rPr>
        <w:t xml:space="preserve"> </w:t>
      </w:r>
      <w:r w:rsidRPr="008D3B68">
        <w:rPr>
          <w:rFonts w:ascii="Book Antiqua" w:hAnsi="Book Antiqua" w:cs="Times New Roman"/>
          <w:sz w:val="24"/>
          <w:szCs w:val="24"/>
        </w:rPr>
        <w:t xml:space="preserve">Of the </w:t>
      </w:r>
      <w:r w:rsidR="00641CD6" w:rsidRPr="008D3B68">
        <w:rPr>
          <w:rFonts w:ascii="Book Antiqua" w:hAnsi="Book Antiqua" w:cs="Times New Roman"/>
          <w:sz w:val="24"/>
          <w:szCs w:val="24"/>
        </w:rPr>
        <w:t>136</w:t>
      </w:r>
      <w:r w:rsidRPr="008D3B68">
        <w:rPr>
          <w:rFonts w:ascii="Book Antiqua" w:hAnsi="Book Antiqua" w:cs="Times New Roman"/>
          <w:sz w:val="24"/>
          <w:szCs w:val="24"/>
        </w:rPr>
        <w:t xml:space="preserve"> patients, </w:t>
      </w:r>
      <w:r w:rsidR="00641CD6" w:rsidRPr="008D3B68">
        <w:rPr>
          <w:rFonts w:ascii="Book Antiqua" w:hAnsi="Book Antiqua" w:cs="Times New Roman"/>
          <w:sz w:val="24"/>
          <w:szCs w:val="24"/>
        </w:rPr>
        <w:t>48</w:t>
      </w:r>
      <w:r w:rsidRPr="008D3B68">
        <w:rPr>
          <w:rFonts w:ascii="Book Antiqua" w:hAnsi="Book Antiqua" w:cs="Times New Roman"/>
          <w:sz w:val="24"/>
          <w:szCs w:val="24"/>
        </w:rPr>
        <w:t xml:space="preserve"> received UDCA (Group U) after diagnosis, </w:t>
      </w:r>
      <w:r w:rsidR="00B04BC8" w:rsidRPr="008D3B68">
        <w:rPr>
          <w:rFonts w:ascii="Book Antiqua" w:hAnsi="Book Antiqua" w:cs="Times New Roman"/>
          <w:sz w:val="24"/>
          <w:szCs w:val="24"/>
        </w:rPr>
        <w:t xml:space="preserve">and </w:t>
      </w:r>
      <w:r w:rsidRPr="008D3B68">
        <w:rPr>
          <w:rFonts w:ascii="Book Antiqua" w:hAnsi="Book Antiqua" w:cs="Times New Roman"/>
          <w:sz w:val="24"/>
          <w:szCs w:val="24"/>
        </w:rPr>
        <w:t xml:space="preserve">the remaining </w:t>
      </w:r>
      <w:r w:rsidR="000012C1" w:rsidRPr="008D3B68">
        <w:rPr>
          <w:rFonts w:ascii="Book Antiqua" w:hAnsi="Book Antiqua" w:cs="Times New Roman"/>
          <w:sz w:val="24"/>
          <w:szCs w:val="24"/>
        </w:rPr>
        <w:t>88</w:t>
      </w:r>
      <w:r w:rsidR="009A2455" w:rsidRPr="008D3B68">
        <w:rPr>
          <w:rFonts w:ascii="Book Antiqua" w:hAnsi="Book Antiqua" w:cs="Times New Roman"/>
          <w:sz w:val="24"/>
          <w:szCs w:val="24"/>
        </w:rPr>
        <w:t xml:space="preserve"> </w:t>
      </w:r>
      <w:r w:rsidR="00B04BC8" w:rsidRPr="008D3B68">
        <w:rPr>
          <w:rFonts w:ascii="Book Antiqua" w:hAnsi="Book Antiqua" w:cs="Times New Roman"/>
          <w:sz w:val="24"/>
          <w:szCs w:val="24"/>
        </w:rPr>
        <w:t xml:space="preserve">received </w:t>
      </w:r>
      <w:r w:rsidR="00AC5D6C" w:rsidRPr="008D3B68">
        <w:rPr>
          <w:rFonts w:ascii="Book Antiqua" w:hAnsi="Book Antiqua" w:cs="Times New Roman"/>
          <w:sz w:val="24"/>
          <w:szCs w:val="24"/>
        </w:rPr>
        <w:t>prednisolone (</w:t>
      </w:r>
      <w:r w:rsidR="009A2455" w:rsidRPr="008D3B68">
        <w:rPr>
          <w:rFonts w:ascii="Book Antiqua" w:hAnsi="Book Antiqua" w:cs="Times New Roman"/>
          <w:sz w:val="24"/>
          <w:szCs w:val="24"/>
        </w:rPr>
        <w:t>PSL</w:t>
      </w:r>
      <w:r w:rsidR="00AC5D6C" w:rsidRPr="008D3B68">
        <w:rPr>
          <w:rFonts w:ascii="Book Antiqua" w:hAnsi="Book Antiqua" w:cs="Times New Roman"/>
          <w:sz w:val="24"/>
          <w:szCs w:val="24"/>
        </w:rPr>
        <w:t>)</w:t>
      </w:r>
      <w:r w:rsidRPr="008D3B68">
        <w:rPr>
          <w:rFonts w:ascii="Book Antiqua" w:hAnsi="Book Antiqua" w:cs="Times New Roman"/>
          <w:sz w:val="24"/>
          <w:szCs w:val="24"/>
        </w:rPr>
        <w:t xml:space="preserve"> (Group P).</w:t>
      </w:r>
      <w:r w:rsidR="000012C1" w:rsidRPr="008D3B68">
        <w:rPr>
          <w:rFonts w:ascii="Book Antiqua" w:hAnsi="Book Antiqua" w:cs="Times New Roman"/>
          <w:sz w:val="24"/>
          <w:szCs w:val="24"/>
        </w:rPr>
        <w:t xml:space="preserve"> </w:t>
      </w:r>
      <w:r w:rsidRPr="008D3B68">
        <w:rPr>
          <w:rFonts w:ascii="Book Antiqua" w:hAnsi="Book Antiqua" w:cs="Times New Roman"/>
          <w:sz w:val="24"/>
          <w:szCs w:val="24"/>
        </w:rPr>
        <w:t xml:space="preserve">Furthermore, Group U was divided into </w:t>
      </w:r>
      <w:r w:rsidRPr="008D3B68">
        <w:rPr>
          <w:rFonts w:ascii="Book Antiqua" w:hAnsi="Book Antiqua" w:cs="Times New Roman"/>
          <w:sz w:val="24"/>
          <w:szCs w:val="24"/>
        </w:rPr>
        <w:lastRenderedPageBreak/>
        <w:t xml:space="preserve">the following subgroups: </w:t>
      </w:r>
      <w:r w:rsidR="008258C8" w:rsidRPr="008D3B68">
        <w:rPr>
          <w:rFonts w:ascii="Book Antiqua" w:hAnsi="Book Antiqua" w:cs="Times New Roman"/>
          <w:sz w:val="24"/>
          <w:szCs w:val="24"/>
        </w:rPr>
        <w:t>S</w:t>
      </w:r>
      <w:r w:rsidRPr="008D3B68">
        <w:rPr>
          <w:rFonts w:ascii="Book Antiqua" w:hAnsi="Book Antiqua" w:cs="Times New Roman"/>
          <w:sz w:val="24"/>
          <w:szCs w:val="24"/>
        </w:rPr>
        <w:t>ubgroup A</w:t>
      </w:r>
      <w:r w:rsidR="00B04BC8" w:rsidRPr="008D3B68">
        <w:rPr>
          <w:rFonts w:ascii="Book Antiqua" w:hAnsi="Book Antiqua" w:cs="Times New Roman"/>
          <w:sz w:val="24"/>
          <w:szCs w:val="24"/>
        </w:rPr>
        <w:t>,</w:t>
      </w:r>
      <w:r w:rsidRPr="008D3B68">
        <w:rPr>
          <w:rFonts w:ascii="Book Antiqua" w:hAnsi="Book Antiqua" w:cs="Times New Roman"/>
          <w:sz w:val="24"/>
          <w:szCs w:val="24"/>
        </w:rPr>
        <w:t xml:space="preserve"> consisting of </w:t>
      </w:r>
      <w:r w:rsidR="000012C1" w:rsidRPr="008D3B68">
        <w:rPr>
          <w:rFonts w:ascii="Book Antiqua" w:hAnsi="Book Antiqua" w:cs="Times New Roman"/>
          <w:sz w:val="24"/>
          <w:szCs w:val="24"/>
        </w:rPr>
        <w:t>33</w:t>
      </w:r>
      <w:r w:rsidRPr="008D3B68">
        <w:rPr>
          <w:rFonts w:ascii="Book Antiqua" w:hAnsi="Book Antiqua" w:cs="Times New Roman"/>
          <w:sz w:val="24"/>
          <w:szCs w:val="24"/>
        </w:rPr>
        <w:t xml:space="preserve"> patients with a serum alanine aminotransferase (ALT) level of 200 </w:t>
      </w:r>
      <w:r w:rsidR="00B04BC8" w:rsidRPr="008D3B68">
        <w:rPr>
          <w:rFonts w:ascii="Book Antiqua" w:hAnsi="Book Antiqua" w:cs="Times New Roman"/>
          <w:sz w:val="24"/>
          <w:szCs w:val="24"/>
        </w:rPr>
        <w:t>IU</w:t>
      </w:r>
      <w:r w:rsidR="00ED6728" w:rsidRPr="008D3B68">
        <w:rPr>
          <w:rFonts w:ascii="Book Antiqua" w:hAnsi="Book Antiqua" w:cs="Times New Roman"/>
          <w:sz w:val="24"/>
          <w:szCs w:val="24"/>
        </w:rPr>
        <w:t>/L</w:t>
      </w:r>
      <w:r w:rsidR="00B04BC8" w:rsidRPr="008D3B68">
        <w:rPr>
          <w:rFonts w:ascii="Book Antiqua" w:hAnsi="Book Antiqua" w:cs="Times New Roman"/>
          <w:sz w:val="24"/>
          <w:szCs w:val="24"/>
        </w:rPr>
        <w:t xml:space="preserve"> </w:t>
      </w:r>
      <w:r w:rsidRPr="008D3B68">
        <w:rPr>
          <w:rFonts w:ascii="Book Antiqua" w:hAnsi="Book Antiqua" w:cs="Times New Roman"/>
          <w:sz w:val="24"/>
          <w:szCs w:val="24"/>
        </w:rPr>
        <w:t>or lower at the start of treatment</w:t>
      </w:r>
      <w:r w:rsidR="008258C8" w:rsidRPr="008D3B68">
        <w:rPr>
          <w:rFonts w:ascii="Book Antiqua" w:hAnsi="Book Antiqua" w:cs="Times New Roman"/>
          <w:sz w:val="24"/>
          <w:szCs w:val="24"/>
        </w:rPr>
        <w:t>;</w:t>
      </w:r>
      <w:r w:rsidRPr="008D3B68">
        <w:rPr>
          <w:rFonts w:ascii="Book Antiqua" w:hAnsi="Book Antiqua" w:cs="Times New Roman"/>
          <w:sz w:val="24"/>
          <w:szCs w:val="24"/>
        </w:rPr>
        <w:t xml:space="preserve"> </w:t>
      </w:r>
      <w:r w:rsidR="008258C8" w:rsidRPr="008D3B68">
        <w:rPr>
          <w:rFonts w:ascii="Book Antiqua" w:hAnsi="Book Antiqua" w:cs="Times New Roman"/>
          <w:sz w:val="24"/>
          <w:szCs w:val="24"/>
        </w:rPr>
        <w:t>S</w:t>
      </w:r>
      <w:r w:rsidRPr="008D3B68">
        <w:rPr>
          <w:rFonts w:ascii="Book Antiqua" w:hAnsi="Book Antiqua" w:cs="Times New Roman"/>
          <w:sz w:val="24"/>
          <w:szCs w:val="24"/>
        </w:rPr>
        <w:t>ubgroup B</w:t>
      </w:r>
      <w:r w:rsidR="00B04BC8" w:rsidRPr="008D3B68">
        <w:rPr>
          <w:rFonts w:ascii="Book Antiqua" w:hAnsi="Book Antiqua" w:cs="Times New Roman"/>
          <w:sz w:val="24"/>
          <w:szCs w:val="24"/>
        </w:rPr>
        <w:t>,</w:t>
      </w:r>
      <w:r w:rsidRPr="008D3B68">
        <w:rPr>
          <w:rFonts w:ascii="Book Antiqua" w:hAnsi="Book Antiqua" w:cs="Times New Roman"/>
          <w:sz w:val="24"/>
          <w:szCs w:val="24"/>
        </w:rPr>
        <w:t xml:space="preserve"> consisting of </w:t>
      </w:r>
      <w:r w:rsidR="000012C1" w:rsidRPr="008D3B68">
        <w:rPr>
          <w:rFonts w:ascii="Book Antiqua" w:hAnsi="Book Antiqua" w:cs="Times New Roman"/>
          <w:sz w:val="24"/>
          <w:szCs w:val="24"/>
        </w:rPr>
        <w:t>29</w:t>
      </w:r>
      <w:r w:rsidRPr="008D3B68">
        <w:rPr>
          <w:rFonts w:ascii="Book Antiqua" w:hAnsi="Book Antiqua" w:cs="Times New Roman"/>
          <w:sz w:val="24"/>
          <w:szCs w:val="24"/>
        </w:rPr>
        <w:t xml:space="preserve"> patients in whom histological activity on liver biopsy before the start of treatment was determined to be A1 on the basis of </w:t>
      </w:r>
      <w:r w:rsidR="00FC7A86" w:rsidRPr="008D3B68">
        <w:rPr>
          <w:rFonts w:ascii="Book Antiqua" w:hAnsi="Book Antiqua" w:cs="Times New Roman"/>
          <w:sz w:val="24"/>
          <w:szCs w:val="24"/>
        </w:rPr>
        <w:t>the</w:t>
      </w:r>
      <w:r w:rsidR="00BA46C8">
        <w:rPr>
          <w:rFonts w:ascii="Book Antiqua" w:hAnsi="Book Antiqua" w:cs="Times New Roman"/>
          <w:sz w:val="24"/>
          <w:szCs w:val="24"/>
        </w:rPr>
        <w:t xml:space="preserve"> classification of Desmet </w:t>
      </w:r>
      <w:r w:rsidR="00BA46C8" w:rsidRPr="00BA46C8">
        <w:rPr>
          <w:rFonts w:ascii="Book Antiqua" w:hAnsi="Book Antiqua" w:cs="Times New Roman"/>
          <w:i/>
          <w:sz w:val="24"/>
          <w:szCs w:val="24"/>
        </w:rPr>
        <w:t>et al</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"ISSN" : "0270-9139", "PMID" : "8188183", "author" : [ { "dropping-particle" : "", "family" : "Desmet", "given" : "V J", "non-dropping-particle" : "", "parse-names" : false, "suffix" : "" }, { "dropping-particle" : "", "family" : "Gerber", "given" : "M", "non-dropping-particle" : "", "parse-names" : false, "suffix" : "" }, { "dropping-particle" : "", "family" : "Hoofnagle", "given" : "J H", "non-dropping-particle" : "", "parse-names" : false, "suffix" : "" }, { "dropping-particle" : "", "family" : "Manns", "given" : "M", "non-dropping-particle" : "", "parse-names" : false, "suffix" : "" }, { "dropping-particle" : "", "family" : "Scheuer", "given" : "P J", "non-dropping-particle" : "", "parse-names" : false, "suffix" : "" } ], "container-title" : "Hepatology (Baltimore, Md.)", "id" : "ITEM-1", "issue" : "6", "issued" : { "date-parts" : [ [ "1994" ] ] }, "page" : "1513-20", "title" : "Classification of chronic hepatitis: diagnosis, grading and staging.", "type" : "article-journal", "volume" : "19" }, "uris" : [ "http://www.mendeley.com/documents/?uuid=02ea8ed9-7c26-43ac-8aa5-6975bbbddc30" ] } ], "mendeley" : { "formattedCitation" : "&lt;sup&gt;[18]&lt;/sup&gt;", "plainTextFormattedCitation" : "[18]", "previouslyFormattedCitation" : "&lt;sup&gt;[18]&lt;/sup&gt;"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[18]</w:t>
      </w:r>
      <w:r w:rsidR="00A313A7" w:rsidRPr="008D3B68">
        <w:rPr>
          <w:rFonts w:ascii="Book Antiqua" w:hAnsi="Book Antiqua" w:cs="Times New Roman"/>
          <w:sz w:val="24"/>
          <w:szCs w:val="24"/>
        </w:rPr>
        <w:fldChar w:fldCharType="end"/>
      </w:r>
      <w:r w:rsidR="008258C8" w:rsidRPr="008D3B68">
        <w:rPr>
          <w:rFonts w:ascii="Book Antiqua" w:hAnsi="Book Antiqua" w:cs="Times New Roman"/>
          <w:sz w:val="24"/>
          <w:szCs w:val="24"/>
        </w:rPr>
        <w:t>;</w:t>
      </w:r>
      <w:r w:rsidR="00C52216" w:rsidRPr="008D3B68">
        <w:rPr>
          <w:rFonts w:ascii="Book Antiqua" w:hAnsi="Book Antiqua" w:cs="Times New Roman"/>
          <w:sz w:val="24"/>
          <w:szCs w:val="24"/>
        </w:rPr>
        <w:t xml:space="preserve"> </w:t>
      </w:r>
      <w:r w:rsidR="008258C8" w:rsidRPr="008D3B68">
        <w:rPr>
          <w:rFonts w:ascii="Book Antiqua" w:hAnsi="Book Antiqua" w:cs="Times New Roman"/>
          <w:sz w:val="24"/>
          <w:szCs w:val="24"/>
        </w:rPr>
        <w:t>S</w:t>
      </w:r>
      <w:r w:rsidRPr="008D3B68">
        <w:rPr>
          <w:rFonts w:ascii="Book Antiqua" w:hAnsi="Book Antiqua" w:cs="Times New Roman"/>
          <w:sz w:val="24"/>
          <w:szCs w:val="24"/>
        </w:rPr>
        <w:t>ubgroup C</w:t>
      </w:r>
      <w:r w:rsidR="00B04BC8" w:rsidRPr="008D3B68">
        <w:rPr>
          <w:rFonts w:ascii="Book Antiqua" w:hAnsi="Book Antiqua" w:cs="Times New Roman"/>
          <w:sz w:val="24"/>
          <w:szCs w:val="24"/>
        </w:rPr>
        <w:t>,</w:t>
      </w:r>
      <w:r w:rsidRPr="008D3B68">
        <w:rPr>
          <w:rFonts w:ascii="Book Antiqua" w:hAnsi="Book Antiqua" w:cs="Times New Roman"/>
          <w:sz w:val="24"/>
          <w:szCs w:val="24"/>
        </w:rPr>
        <w:t xml:space="preserve"> consisting of </w:t>
      </w:r>
      <w:r w:rsidR="00E932A4" w:rsidRPr="008D3B68">
        <w:rPr>
          <w:rFonts w:ascii="Book Antiqua" w:hAnsi="Book Antiqua" w:cs="Times New Roman"/>
          <w:sz w:val="24"/>
          <w:szCs w:val="24"/>
        </w:rPr>
        <w:t>24</w:t>
      </w:r>
      <w:r w:rsidRPr="008D3B68">
        <w:rPr>
          <w:rFonts w:ascii="Book Antiqua" w:hAnsi="Book Antiqua" w:cs="Times New Roman"/>
          <w:sz w:val="24"/>
          <w:szCs w:val="24"/>
        </w:rPr>
        <w:t xml:space="preserve"> patients who were included in both Subgroups A and B</w:t>
      </w:r>
      <w:r w:rsidR="008258C8" w:rsidRPr="008D3B68">
        <w:rPr>
          <w:rFonts w:ascii="Book Antiqua" w:hAnsi="Book Antiqua" w:cs="Times New Roman"/>
          <w:sz w:val="24"/>
          <w:szCs w:val="24"/>
        </w:rPr>
        <w:t>;</w:t>
      </w:r>
      <w:r w:rsidRPr="008D3B68">
        <w:rPr>
          <w:rFonts w:ascii="Book Antiqua" w:hAnsi="Book Antiqua" w:cs="Times New Roman"/>
          <w:sz w:val="24"/>
          <w:szCs w:val="24"/>
        </w:rPr>
        <w:t xml:space="preserve"> Subgroup D consisting of </w:t>
      </w:r>
      <w:r w:rsidR="000A539F" w:rsidRPr="008D3B68">
        <w:rPr>
          <w:rFonts w:ascii="Book Antiqua" w:hAnsi="Book Antiqua" w:cs="Times New Roman"/>
          <w:sz w:val="24"/>
          <w:szCs w:val="24"/>
        </w:rPr>
        <w:t>15</w:t>
      </w:r>
      <w:r w:rsidRPr="008D3B68">
        <w:rPr>
          <w:rFonts w:ascii="Book Antiqua" w:hAnsi="Book Antiqua" w:cs="Times New Roman"/>
          <w:sz w:val="24"/>
          <w:szCs w:val="24"/>
        </w:rPr>
        <w:t xml:space="preserve"> patients with a serum ALT level of 200 </w:t>
      </w:r>
      <w:r w:rsidR="00B04BC8" w:rsidRPr="008D3B68">
        <w:rPr>
          <w:rFonts w:ascii="Book Antiqua" w:hAnsi="Book Antiqua" w:cs="Times New Roman"/>
          <w:sz w:val="24"/>
          <w:szCs w:val="24"/>
        </w:rPr>
        <w:t>IU</w:t>
      </w:r>
      <w:r w:rsidR="00ED6728" w:rsidRPr="008D3B68">
        <w:rPr>
          <w:rFonts w:ascii="Book Antiqua" w:hAnsi="Book Antiqua" w:cs="Times New Roman"/>
          <w:sz w:val="24"/>
          <w:szCs w:val="24"/>
        </w:rPr>
        <w:t>/L</w:t>
      </w:r>
      <w:r w:rsidR="00B04BC8" w:rsidRPr="008D3B68">
        <w:rPr>
          <w:rFonts w:ascii="Book Antiqua" w:hAnsi="Book Antiqua" w:cs="Times New Roman"/>
          <w:sz w:val="24"/>
          <w:szCs w:val="24"/>
        </w:rPr>
        <w:t xml:space="preserve"> </w:t>
      </w:r>
      <w:r w:rsidRPr="008D3B68">
        <w:rPr>
          <w:rFonts w:ascii="Book Antiqua" w:hAnsi="Book Antiqua" w:cs="Times New Roman"/>
          <w:sz w:val="24"/>
          <w:szCs w:val="24"/>
        </w:rPr>
        <w:t xml:space="preserve">or higher </w:t>
      </w:r>
      <w:r w:rsidR="000A539F" w:rsidRPr="008D3B68">
        <w:rPr>
          <w:rFonts w:ascii="Book Antiqua" w:hAnsi="Book Antiqua" w:cs="Times New Roman"/>
          <w:sz w:val="24"/>
          <w:szCs w:val="24"/>
        </w:rPr>
        <w:t>at the start of treatment</w:t>
      </w:r>
      <w:r w:rsidR="008258C8" w:rsidRPr="008D3B68">
        <w:rPr>
          <w:rFonts w:ascii="Book Antiqua" w:hAnsi="Book Antiqua" w:cs="Times New Roman"/>
          <w:sz w:val="24"/>
          <w:szCs w:val="24"/>
        </w:rPr>
        <w:t>;</w:t>
      </w:r>
      <w:r w:rsidRPr="008D3B68">
        <w:rPr>
          <w:rFonts w:ascii="Book Antiqua" w:hAnsi="Book Antiqua" w:cs="Times New Roman"/>
          <w:sz w:val="24"/>
          <w:szCs w:val="24"/>
        </w:rPr>
        <w:t xml:space="preserve"> Subgroup E consisting of </w:t>
      </w:r>
      <w:r w:rsidR="000A539F" w:rsidRPr="008D3B68">
        <w:rPr>
          <w:rFonts w:ascii="Book Antiqua" w:hAnsi="Book Antiqua" w:cs="Times New Roman"/>
          <w:sz w:val="24"/>
          <w:szCs w:val="24"/>
        </w:rPr>
        <w:t>19</w:t>
      </w:r>
      <w:r w:rsidRPr="008D3B68">
        <w:rPr>
          <w:rFonts w:ascii="Book Antiqua" w:hAnsi="Book Antiqua" w:cs="Times New Roman"/>
          <w:sz w:val="24"/>
          <w:szCs w:val="24"/>
        </w:rPr>
        <w:t xml:space="preserve"> </w:t>
      </w:r>
      <w:r w:rsidR="009C5070" w:rsidRPr="008D3B68">
        <w:rPr>
          <w:rFonts w:ascii="Book Antiqua" w:hAnsi="Book Antiqua" w:cs="Times New Roman"/>
          <w:sz w:val="24"/>
          <w:szCs w:val="24"/>
        </w:rPr>
        <w:t>patients in whom histological activity was A2</w:t>
      </w:r>
      <w:r w:rsidRPr="008D3B68">
        <w:rPr>
          <w:rFonts w:ascii="Book Antiqua" w:hAnsi="Book Antiqua" w:cs="Times New Roman"/>
          <w:sz w:val="24"/>
          <w:szCs w:val="24"/>
        </w:rPr>
        <w:t xml:space="preserve"> or </w:t>
      </w:r>
      <w:r w:rsidR="009C5070" w:rsidRPr="008D3B68">
        <w:rPr>
          <w:rFonts w:ascii="Book Antiqua" w:hAnsi="Book Antiqua" w:cs="Times New Roman"/>
          <w:sz w:val="24"/>
          <w:szCs w:val="24"/>
        </w:rPr>
        <w:t>A3</w:t>
      </w:r>
      <w:r w:rsidRPr="008D3B68">
        <w:rPr>
          <w:rFonts w:ascii="Book Antiqua" w:hAnsi="Book Antiqua" w:cs="Times New Roman"/>
          <w:sz w:val="24"/>
          <w:szCs w:val="24"/>
        </w:rPr>
        <w:t xml:space="preserve"> before the start of treatment</w:t>
      </w:r>
      <w:r w:rsidR="008258C8" w:rsidRPr="008D3B68">
        <w:rPr>
          <w:rFonts w:ascii="Book Antiqua" w:hAnsi="Book Antiqua" w:cs="Times New Roman"/>
          <w:sz w:val="24"/>
          <w:szCs w:val="24"/>
        </w:rPr>
        <w:t>;</w:t>
      </w:r>
      <w:r w:rsidRPr="008D3B68">
        <w:rPr>
          <w:rFonts w:ascii="Book Antiqua" w:hAnsi="Book Antiqua" w:cs="Times New Roman"/>
          <w:sz w:val="24"/>
          <w:szCs w:val="24"/>
        </w:rPr>
        <w:t xml:space="preserve"> and Subgroup F consisting of </w:t>
      </w:r>
      <w:r w:rsidR="000A539F" w:rsidRPr="008D3B68">
        <w:rPr>
          <w:rFonts w:ascii="Book Antiqua" w:hAnsi="Book Antiqua" w:cs="Times New Roman"/>
          <w:sz w:val="24"/>
          <w:szCs w:val="24"/>
        </w:rPr>
        <w:t>10</w:t>
      </w:r>
      <w:r w:rsidRPr="008D3B68">
        <w:rPr>
          <w:rFonts w:ascii="Book Antiqua" w:hAnsi="Book Antiqua" w:cs="Times New Roman"/>
          <w:sz w:val="24"/>
          <w:szCs w:val="24"/>
        </w:rPr>
        <w:t xml:space="preserve"> patients </w:t>
      </w:r>
      <w:r w:rsidR="00002769" w:rsidRPr="008D3B68">
        <w:rPr>
          <w:rFonts w:ascii="Book Antiqua" w:hAnsi="Book Antiqua" w:cs="Times New Roman"/>
          <w:sz w:val="24"/>
          <w:szCs w:val="24"/>
        </w:rPr>
        <w:t>who were included in both Subgroups D and E</w:t>
      </w:r>
      <w:r w:rsidRPr="008D3B68">
        <w:rPr>
          <w:rFonts w:ascii="Book Antiqua" w:hAnsi="Book Antiqua" w:cs="Times New Roman"/>
          <w:sz w:val="24"/>
          <w:szCs w:val="24"/>
        </w:rPr>
        <w:t>. The clinical characteristics of the study subjects are presented in Table 1.</w:t>
      </w:r>
    </w:p>
    <w:p w:rsidR="00845A2C" w:rsidRPr="008D3B68" w:rsidRDefault="00A9672D" w:rsidP="00352D86">
      <w:pPr>
        <w:spacing w:line="360" w:lineRule="auto"/>
        <w:ind w:firstLineChars="300" w:firstLine="720"/>
        <w:rPr>
          <w:rFonts w:ascii="Book Antiqua" w:hAnsi="Book Antiqua" w:cs="Times New Roman"/>
          <w:b/>
          <w:sz w:val="24"/>
          <w:szCs w:val="24"/>
        </w:rPr>
      </w:pPr>
      <w:r w:rsidRPr="008D3B68">
        <w:rPr>
          <w:rFonts w:ascii="Book Antiqua" w:hAnsi="Book Antiqua" w:cs="Times New Roman"/>
          <w:sz w:val="24"/>
          <w:szCs w:val="24"/>
        </w:rPr>
        <w:t>In each group and subgroup described above, subsequent clinical courses, changes in treatment, and histological findings at the time of diagnosis were evaluated. Moreover, Group U was divided into Subgroup U1</w:t>
      </w:r>
      <w:r w:rsidR="008258C8" w:rsidRPr="008D3B68">
        <w:rPr>
          <w:rFonts w:ascii="Book Antiqua" w:hAnsi="Book Antiqua" w:cs="Times New Roman"/>
          <w:sz w:val="24"/>
          <w:szCs w:val="24"/>
        </w:rPr>
        <w:t>,</w:t>
      </w:r>
      <w:r w:rsidRPr="008D3B68">
        <w:rPr>
          <w:rFonts w:ascii="Book Antiqua" w:hAnsi="Book Antiqua" w:cs="Times New Roman"/>
          <w:sz w:val="24"/>
          <w:szCs w:val="24"/>
        </w:rPr>
        <w:t xml:space="preserve"> consisting of patients who had achieved remission induction with UDCA monotherapy and </w:t>
      </w:r>
      <w:r w:rsidR="00B04BC8" w:rsidRPr="008D3B68">
        <w:rPr>
          <w:rFonts w:ascii="Book Antiqua" w:hAnsi="Book Antiqua" w:cs="Times New Roman"/>
          <w:sz w:val="24"/>
          <w:szCs w:val="24"/>
        </w:rPr>
        <w:t xml:space="preserve">showed </w:t>
      </w:r>
      <w:r w:rsidRPr="008D3B68">
        <w:rPr>
          <w:rFonts w:ascii="Book Antiqua" w:hAnsi="Book Antiqua" w:cs="Times New Roman"/>
          <w:sz w:val="24"/>
          <w:szCs w:val="24"/>
        </w:rPr>
        <w:t>no sign of relapse</w:t>
      </w:r>
      <w:r w:rsidR="008258C8" w:rsidRPr="008D3B68">
        <w:rPr>
          <w:rFonts w:ascii="Book Antiqua" w:hAnsi="Book Antiqua" w:cs="Times New Roman"/>
          <w:sz w:val="24"/>
          <w:szCs w:val="24"/>
        </w:rPr>
        <w:t>,</w:t>
      </w:r>
      <w:r w:rsidRPr="008D3B68">
        <w:rPr>
          <w:rFonts w:ascii="Book Antiqua" w:hAnsi="Book Antiqua" w:cs="Times New Roman"/>
          <w:sz w:val="24"/>
          <w:szCs w:val="24"/>
        </w:rPr>
        <w:t xml:space="preserve"> and Subgroup U2</w:t>
      </w:r>
      <w:r w:rsidR="008258C8" w:rsidRPr="008D3B68">
        <w:rPr>
          <w:rFonts w:ascii="Book Antiqua" w:hAnsi="Book Antiqua" w:cs="Times New Roman"/>
          <w:sz w:val="24"/>
          <w:szCs w:val="24"/>
        </w:rPr>
        <w:t>,</w:t>
      </w:r>
      <w:r w:rsidRPr="008D3B68">
        <w:rPr>
          <w:rFonts w:ascii="Book Antiqua" w:hAnsi="Book Antiqua" w:cs="Times New Roman"/>
          <w:sz w:val="24"/>
          <w:szCs w:val="24"/>
        </w:rPr>
        <w:t xml:space="preserve"> consisting of patients who additionally received PSL during follow-up. Laboratory test results and histopathological findings at the time of diagnosis were compared between Subgroups U1 and U2</w:t>
      </w:r>
      <w:r w:rsidR="003503F0" w:rsidRPr="008D3B68">
        <w:rPr>
          <w:rFonts w:ascii="Book Antiqua" w:hAnsi="Book Antiqua" w:cs="Times New Roman"/>
          <w:sz w:val="24"/>
          <w:szCs w:val="24"/>
        </w:rPr>
        <w:t xml:space="preserve"> (Table 2)</w:t>
      </w:r>
      <w:r w:rsidRPr="008D3B68">
        <w:rPr>
          <w:rFonts w:ascii="Book Antiqua" w:hAnsi="Book Antiqua" w:cs="Times New Roman"/>
          <w:sz w:val="24"/>
          <w:szCs w:val="24"/>
        </w:rPr>
        <w:t xml:space="preserve">. </w:t>
      </w:r>
    </w:p>
    <w:p w:rsidR="00204BFA" w:rsidRPr="008D3B68" w:rsidRDefault="00204BFA" w:rsidP="00352D86">
      <w:pPr>
        <w:spacing w:line="360" w:lineRule="auto"/>
        <w:ind w:firstLineChars="300" w:firstLine="720"/>
        <w:rPr>
          <w:rFonts w:ascii="Book Antiqua" w:hAnsi="Book Antiqua" w:cs="Times New Roman"/>
          <w:sz w:val="24"/>
          <w:szCs w:val="24"/>
        </w:rPr>
      </w:pPr>
      <w:r w:rsidRPr="008D3B68">
        <w:rPr>
          <w:rFonts w:ascii="Book Antiqua" w:hAnsi="Book Antiqua" w:cs="Times New Roman"/>
          <w:sz w:val="24"/>
          <w:szCs w:val="24"/>
        </w:rPr>
        <w:t>This study complied with the standards of the Declaration of Helsinki and the current ethical guidelines, and was approved by the institutional ethics board. Written, informed consent for participation in this study was not obtained from the patients, because this study did not report on a clinical trial and the data were retrospective in nature and analyzed anonymously.</w:t>
      </w:r>
    </w:p>
    <w:p w:rsidR="00FB3902" w:rsidRPr="008D3B68" w:rsidRDefault="00FB3902" w:rsidP="00352D86">
      <w:pPr>
        <w:spacing w:line="360" w:lineRule="auto"/>
        <w:rPr>
          <w:rFonts w:ascii="Book Antiqua" w:hAnsi="Book Antiqua" w:cs="Times New Roman"/>
          <w:i/>
          <w:sz w:val="24"/>
          <w:szCs w:val="24"/>
        </w:rPr>
      </w:pPr>
    </w:p>
    <w:p w:rsidR="00FB3902" w:rsidRPr="008D3B68" w:rsidRDefault="00CD19E3" w:rsidP="00352D86">
      <w:pPr>
        <w:spacing w:line="360" w:lineRule="auto"/>
        <w:rPr>
          <w:rFonts w:ascii="Book Antiqua" w:hAnsi="Book Antiqua" w:cs="Times New Roman"/>
          <w:b/>
          <w:i/>
          <w:sz w:val="24"/>
          <w:szCs w:val="24"/>
        </w:rPr>
      </w:pPr>
      <w:r w:rsidRPr="008D3B68">
        <w:rPr>
          <w:rFonts w:ascii="Book Antiqua" w:hAnsi="Book Antiqua" w:cs="Times New Roman"/>
          <w:b/>
          <w:i/>
          <w:sz w:val="24"/>
          <w:szCs w:val="24"/>
        </w:rPr>
        <w:t>Treatment</w:t>
      </w:r>
    </w:p>
    <w:p w:rsidR="00143CAC" w:rsidRPr="008D3B68" w:rsidRDefault="004F502D"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PSL was used as </w:t>
      </w:r>
      <w:r w:rsidR="00B40769" w:rsidRPr="008D3B68">
        <w:rPr>
          <w:rFonts w:ascii="Book Antiqua" w:hAnsi="Book Antiqua" w:cs="Times New Roman"/>
          <w:sz w:val="24"/>
          <w:szCs w:val="24"/>
        </w:rPr>
        <w:t>the standard initial treatment</w:t>
      </w:r>
      <w:r w:rsidRPr="008D3B68">
        <w:rPr>
          <w:rFonts w:ascii="Book Antiqua" w:hAnsi="Book Antiqua" w:cs="Times New Roman"/>
          <w:sz w:val="24"/>
          <w:szCs w:val="24"/>
        </w:rPr>
        <w:t xml:space="preserve">. Taking into account body weight, the initial dose </w:t>
      </w:r>
      <w:r w:rsidR="00610EC5">
        <w:rPr>
          <w:rFonts w:ascii="Book Antiqua" w:hAnsi="Book Antiqua" w:cs="Times New Roman"/>
          <w:sz w:val="24"/>
          <w:szCs w:val="24"/>
        </w:rPr>
        <w:t>was set between 30 and 40 mg/d</w:t>
      </w:r>
      <w:r w:rsidRPr="008D3B68">
        <w:rPr>
          <w:rFonts w:ascii="Book Antiqua" w:hAnsi="Book Antiqua" w:cs="Times New Roman"/>
          <w:sz w:val="24"/>
          <w:szCs w:val="24"/>
        </w:rPr>
        <w:t>, with subsequent reduction after improvement in liver function had been confirmed.</w:t>
      </w:r>
    </w:p>
    <w:p w:rsidR="004F502D" w:rsidRPr="008D3B68" w:rsidRDefault="009B4769" w:rsidP="00610EC5">
      <w:pPr>
        <w:spacing w:line="360" w:lineRule="auto"/>
        <w:ind w:firstLineChars="100" w:firstLine="240"/>
        <w:rPr>
          <w:rFonts w:ascii="Book Antiqua" w:hAnsi="Book Antiqua" w:cs="Times New Roman"/>
          <w:color w:val="FF0000"/>
          <w:sz w:val="24"/>
          <w:szCs w:val="24"/>
        </w:rPr>
      </w:pPr>
      <w:r w:rsidRPr="008D3B68">
        <w:rPr>
          <w:rFonts w:ascii="Book Antiqua" w:hAnsi="Book Antiqua" w:cs="Times New Roman"/>
          <w:sz w:val="24"/>
          <w:szCs w:val="24"/>
        </w:rPr>
        <w:t xml:space="preserve">In mild </w:t>
      </w:r>
      <w:r w:rsidR="00DE204F" w:rsidRPr="008D3B68">
        <w:rPr>
          <w:rFonts w:ascii="Book Antiqua" w:hAnsi="Book Antiqua" w:cs="Times New Roman"/>
          <w:sz w:val="24"/>
          <w:szCs w:val="24"/>
        </w:rPr>
        <w:t>clinical cases</w:t>
      </w:r>
      <w:r w:rsidRPr="008D3B68">
        <w:rPr>
          <w:rFonts w:ascii="Book Antiqua" w:hAnsi="Book Antiqua" w:cs="Times New Roman"/>
          <w:sz w:val="24"/>
          <w:szCs w:val="24"/>
        </w:rPr>
        <w:t xml:space="preserve"> with </w:t>
      </w:r>
      <w:r w:rsidR="000D601A" w:rsidRPr="008D3B68">
        <w:rPr>
          <w:rFonts w:ascii="Book Antiqua" w:hAnsi="Book Antiqua" w:cs="Times New Roman"/>
          <w:sz w:val="24"/>
          <w:szCs w:val="24"/>
        </w:rPr>
        <w:t xml:space="preserve">both </w:t>
      </w:r>
      <w:r w:rsidRPr="008D3B68">
        <w:rPr>
          <w:rFonts w:ascii="Book Antiqua" w:hAnsi="Book Antiqua" w:cs="Times New Roman"/>
          <w:sz w:val="24"/>
          <w:szCs w:val="24"/>
        </w:rPr>
        <w:t xml:space="preserve">histological low-grade inflammatory activity and </w:t>
      </w:r>
      <w:r w:rsidR="000D601A" w:rsidRPr="008D3B68">
        <w:rPr>
          <w:rFonts w:ascii="Book Antiqua" w:hAnsi="Book Antiqua" w:cs="Times New Roman"/>
          <w:sz w:val="24"/>
          <w:szCs w:val="24"/>
        </w:rPr>
        <w:t>adequate</w:t>
      </w:r>
      <w:r w:rsidRPr="008D3B68">
        <w:rPr>
          <w:rFonts w:ascii="Book Antiqua" w:hAnsi="Book Antiqua" w:cs="Times New Roman"/>
          <w:sz w:val="24"/>
          <w:szCs w:val="24"/>
        </w:rPr>
        <w:t xml:space="preserve"> </w:t>
      </w:r>
      <w:r w:rsidR="000D601A" w:rsidRPr="008D3B68">
        <w:rPr>
          <w:rFonts w:ascii="Book Antiqua" w:hAnsi="Book Antiqua" w:cs="Times New Roman"/>
          <w:sz w:val="24"/>
          <w:szCs w:val="24"/>
        </w:rPr>
        <w:t>residual capacity of liver function</w:t>
      </w:r>
      <w:r w:rsidR="00DE204F" w:rsidRPr="008D3B68">
        <w:rPr>
          <w:rFonts w:ascii="Book Antiqua" w:hAnsi="Book Antiqua" w:cs="Times New Roman"/>
          <w:sz w:val="24"/>
          <w:szCs w:val="24"/>
        </w:rPr>
        <w:t xml:space="preserve">, </w:t>
      </w:r>
      <w:r w:rsidR="001C05C7" w:rsidRPr="008D3B68">
        <w:rPr>
          <w:rFonts w:ascii="Book Antiqua" w:hAnsi="Book Antiqua" w:cs="Times New Roman"/>
          <w:sz w:val="24"/>
          <w:szCs w:val="24"/>
        </w:rPr>
        <w:t xml:space="preserve">the initial treatment was </w:t>
      </w:r>
      <w:r w:rsidR="00DE204F" w:rsidRPr="008D3B68">
        <w:rPr>
          <w:rFonts w:ascii="Book Antiqua" w:hAnsi="Book Antiqua" w:cs="Times New Roman"/>
          <w:sz w:val="24"/>
          <w:szCs w:val="24"/>
        </w:rPr>
        <w:t>UDCA</w:t>
      </w:r>
      <w:r w:rsidRPr="008D3B68">
        <w:rPr>
          <w:rFonts w:ascii="Book Antiqua" w:hAnsi="Book Antiqua" w:cs="Times New Roman"/>
          <w:sz w:val="24"/>
          <w:szCs w:val="24"/>
        </w:rPr>
        <w:t xml:space="preserve"> alone</w:t>
      </w:r>
      <w:r w:rsidR="001C05C7" w:rsidRPr="008D3B68">
        <w:rPr>
          <w:rFonts w:ascii="Book Antiqua" w:hAnsi="Book Antiqua" w:cs="Times New Roman"/>
          <w:sz w:val="24"/>
          <w:szCs w:val="24"/>
        </w:rPr>
        <w:t xml:space="preserve">. </w:t>
      </w:r>
      <w:r w:rsidR="00DE204F" w:rsidRPr="008D3B68">
        <w:rPr>
          <w:rFonts w:ascii="Book Antiqua" w:hAnsi="Book Antiqua" w:cs="Times New Roman"/>
          <w:sz w:val="24"/>
          <w:szCs w:val="24"/>
        </w:rPr>
        <w:t xml:space="preserve">The </w:t>
      </w:r>
      <w:r w:rsidR="00606B6D" w:rsidRPr="008D3B68">
        <w:rPr>
          <w:rFonts w:ascii="Book Antiqua" w:hAnsi="Book Antiqua" w:cs="Times New Roman"/>
          <w:sz w:val="24"/>
          <w:szCs w:val="24"/>
        </w:rPr>
        <w:t xml:space="preserve">initial </w:t>
      </w:r>
      <w:r w:rsidR="00DE204F" w:rsidRPr="008D3B68">
        <w:rPr>
          <w:rFonts w:ascii="Book Antiqua" w:hAnsi="Book Antiqua" w:cs="Times New Roman"/>
          <w:sz w:val="24"/>
          <w:szCs w:val="24"/>
        </w:rPr>
        <w:t>dose of UDCA was set at 600 mg/d</w:t>
      </w:r>
      <w:r w:rsidR="00606B6D" w:rsidRPr="008D3B68">
        <w:rPr>
          <w:rFonts w:ascii="Book Antiqua" w:hAnsi="Book Antiqua" w:cs="Times New Roman"/>
          <w:sz w:val="24"/>
          <w:szCs w:val="24"/>
        </w:rPr>
        <w:t xml:space="preserve"> (10-13 mg/kg</w:t>
      </w:r>
      <w:r w:rsidR="00985BFE">
        <w:rPr>
          <w:rFonts w:ascii="Book Antiqua" w:eastAsia="宋体" w:hAnsi="Book Antiqua" w:cs="Times New Roman" w:hint="eastAsia"/>
          <w:sz w:val="24"/>
          <w:szCs w:val="24"/>
        </w:rPr>
        <w:t xml:space="preserve"> per </w:t>
      </w:r>
      <w:r w:rsidR="00606B6D" w:rsidRPr="008D3B68">
        <w:rPr>
          <w:rFonts w:ascii="Book Antiqua" w:hAnsi="Book Antiqua" w:cs="Times New Roman"/>
          <w:sz w:val="24"/>
          <w:szCs w:val="24"/>
        </w:rPr>
        <w:t>day)</w:t>
      </w:r>
      <w:r w:rsidR="00E55E1B" w:rsidRPr="008D3B68">
        <w:rPr>
          <w:rFonts w:ascii="Book Antiqua" w:hAnsi="Book Antiqua"/>
          <w:sz w:val="24"/>
          <w:szCs w:val="24"/>
        </w:rPr>
        <w:t xml:space="preserve"> </w:t>
      </w:r>
      <w:r w:rsidR="00E55E1B" w:rsidRPr="008D3B68">
        <w:rPr>
          <w:rFonts w:ascii="Book Antiqua" w:hAnsi="Book Antiqua" w:cs="Times New Roman"/>
          <w:sz w:val="24"/>
          <w:szCs w:val="24"/>
        </w:rPr>
        <w:t>in accordance with Japanese</w:t>
      </w:r>
      <w:r w:rsidR="00E55E1B" w:rsidRPr="008D3B68">
        <w:rPr>
          <w:rFonts w:ascii="Book Antiqua" w:hAnsi="Book Antiqua"/>
          <w:sz w:val="24"/>
          <w:szCs w:val="24"/>
        </w:rPr>
        <w:t xml:space="preserve"> </w:t>
      </w:r>
      <w:r w:rsidR="00E55E1B" w:rsidRPr="008D3B68">
        <w:rPr>
          <w:rFonts w:ascii="Book Antiqua" w:hAnsi="Book Antiqua" w:cs="Times New Roman"/>
          <w:sz w:val="24"/>
          <w:szCs w:val="24"/>
        </w:rPr>
        <w:t>guideline for</w:t>
      </w:r>
      <w:r w:rsidR="00D6728D" w:rsidRPr="008D3B68">
        <w:rPr>
          <w:rFonts w:ascii="Book Antiqua" w:hAnsi="Book Antiqua" w:cs="Times New Roman"/>
          <w:sz w:val="24"/>
          <w:szCs w:val="24"/>
        </w:rPr>
        <w:t xml:space="preserve"> the treatment of</w:t>
      </w:r>
      <w:r w:rsidR="00E55E1B" w:rsidRPr="008D3B68">
        <w:rPr>
          <w:rFonts w:ascii="Book Antiqua" w:hAnsi="Book Antiqua" w:cs="Times New Roman"/>
          <w:sz w:val="24"/>
          <w:szCs w:val="24"/>
        </w:rPr>
        <w:t xml:space="preserve"> PBC. </w:t>
      </w:r>
      <w:r w:rsidR="00114207" w:rsidRPr="008D3B68">
        <w:rPr>
          <w:rFonts w:ascii="Book Antiqua" w:hAnsi="Book Antiqua" w:cs="Times New Roman"/>
          <w:sz w:val="24"/>
          <w:szCs w:val="24"/>
        </w:rPr>
        <w:t>The dosage</w:t>
      </w:r>
      <w:r w:rsidR="00DE204F" w:rsidRPr="008D3B68">
        <w:rPr>
          <w:rFonts w:ascii="Book Antiqua" w:hAnsi="Book Antiqua" w:cs="Times New Roman"/>
          <w:sz w:val="24"/>
          <w:szCs w:val="24"/>
        </w:rPr>
        <w:t xml:space="preserve"> was neither increased nor decreased during the treatment period.</w:t>
      </w:r>
      <w:r w:rsidRPr="008D3B68">
        <w:rPr>
          <w:rFonts w:ascii="Book Antiqua" w:hAnsi="Book Antiqua" w:cs="Times New Roman"/>
          <w:sz w:val="24"/>
          <w:szCs w:val="24"/>
        </w:rPr>
        <w:t xml:space="preserve"> PSL was also administered, as described above,</w:t>
      </w:r>
      <w:r w:rsidRPr="008D3B68">
        <w:rPr>
          <w:rFonts w:ascii="Book Antiqua" w:hAnsi="Book Antiqua" w:cs="Times New Roman"/>
          <w:color w:val="000000" w:themeColor="text1"/>
          <w:sz w:val="24"/>
          <w:szCs w:val="24"/>
        </w:rPr>
        <w:t xml:space="preserve"> when an incomplete response to UDCA monotherapy or relapse was observed.</w:t>
      </w:r>
      <w:r w:rsidR="00DE204F" w:rsidRPr="008D3B68">
        <w:rPr>
          <w:rFonts w:ascii="Book Antiqua" w:hAnsi="Book Antiqua" w:cs="Times New Roman"/>
          <w:sz w:val="24"/>
          <w:szCs w:val="24"/>
        </w:rPr>
        <w:t xml:space="preserve"> </w:t>
      </w:r>
    </w:p>
    <w:p w:rsidR="00114207" w:rsidRPr="008D3B68" w:rsidRDefault="00114207" w:rsidP="00352D86">
      <w:pPr>
        <w:spacing w:line="360" w:lineRule="auto"/>
        <w:rPr>
          <w:rFonts w:ascii="Book Antiqua" w:hAnsi="Book Antiqua" w:cs="Times New Roman"/>
          <w:sz w:val="24"/>
          <w:szCs w:val="24"/>
        </w:rPr>
      </w:pPr>
    </w:p>
    <w:p w:rsidR="00FB3902" w:rsidRPr="008D3B68" w:rsidRDefault="00CD19E3" w:rsidP="00352D86">
      <w:pPr>
        <w:spacing w:line="360" w:lineRule="auto"/>
        <w:rPr>
          <w:rFonts w:ascii="Book Antiqua" w:hAnsi="Book Antiqua" w:cs="Times New Roman"/>
          <w:b/>
          <w:i/>
          <w:sz w:val="24"/>
          <w:szCs w:val="24"/>
        </w:rPr>
      </w:pPr>
      <w:r w:rsidRPr="008D3B68">
        <w:rPr>
          <w:rFonts w:ascii="Book Antiqua" w:hAnsi="Book Antiqua" w:cs="Times New Roman"/>
          <w:b/>
          <w:i/>
          <w:sz w:val="24"/>
          <w:szCs w:val="24"/>
        </w:rPr>
        <w:t>Follow-up</w:t>
      </w:r>
    </w:p>
    <w:p w:rsidR="00CD19E3" w:rsidRPr="008D3B68" w:rsidRDefault="00CD19E3" w:rsidP="00352D86">
      <w:pPr>
        <w:spacing w:line="360" w:lineRule="auto"/>
        <w:rPr>
          <w:rFonts w:ascii="Book Antiqua" w:hAnsi="Book Antiqua" w:cs="Times New Roman"/>
          <w:b/>
          <w:sz w:val="24"/>
          <w:szCs w:val="24"/>
        </w:rPr>
      </w:pPr>
      <w:r w:rsidRPr="008D3B68">
        <w:rPr>
          <w:rFonts w:ascii="Book Antiqua" w:hAnsi="Book Antiqua" w:cs="Times New Roman"/>
          <w:sz w:val="24"/>
          <w:szCs w:val="24"/>
        </w:rPr>
        <w:t>Each patient underwent a comprehensive clinical review and physical examination at each follow-up visit. Conventional laboratory blood tests were performed every 1</w:t>
      </w:r>
      <w:r w:rsidR="00985BFE">
        <w:rPr>
          <w:rFonts w:ascii="Book Antiqua" w:eastAsia="宋体" w:hAnsi="Book Antiqua" w:cs="Times New Roman" w:hint="eastAsia"/>
          <w:sz w:val="24"/>
          <w:szCs w:val="24"/>
        </w:rPr>
        <w:t>-</w:t>
      </w:r>
      <w:r w:rsidRPr="008D3B68">
        <w:rPr>
          <w:rFonts w:ascii="Book Antiqua" w:hAnsi="Book Antiqua" w:cs="Times New Roman"/>
          <w:sz w:val="24"/>
          <w:szCs w:val="24"/>
        </w:rPr>
        <w:t>3 mo.</w:t>
      </w:r>
    </w:p>
    <w:p w:rsidR="00FB3902" w:rsidRPr="008D3B68" w:rsidRDefault="00FB3902" w:rsidP="00352D86">
      <w:pPr>
        <w:spacing w:line="360" w:lineRule="auto"/>
        <w:rPr>
          <w:rFonts w:ascii="Book Antiqua" w:hAnsi="Book Antiqua" w:cs="Times New Roman"/>
          <w:i/>
          <w:sz w:val="24"/>
          <w:szCs w:val="24"/>
        </w:rPr>
      </w:pPr>
    </w:p>
    <w:p w:rsidR="00FB3902" w:rsidRPr="008D3B68" w:rsidRDefault="00AA22A1" w:rsidP="00352D86">
      <w:pPr>
        <w:spacing w:line="360" w:lineRule="auto"/>
        <w:rPr>
          <w:rFonts w:ascii="Book Antiqua" w:hAnsi="Book Antiqua" w:cs="Times New Roman"/>
          <w:b/>
          <w:i/>
          <w:sz w:val="24"/>
          <w:szCs w:val="24"/>
        </w:rPr>
      </w:pPr>
      <w:r w:rsidRPr="008D3B68">
        <w:rPr>
          <w:rFonts w:ascii="Book Antiqua" w:hAnsi="Book Antiqua" w:cs="Times New Roman"/>
          <w:b/>
          <w:i/>
          <w:sz w:val="24"/>
          <w:szCs w:val="24"/>
        </w:rPr>
        <w:t xml:space="preserve">Criteria for the </w:t>
      </w:r>
      <w:r w:rsidR="006174E6" w:rsidRPr="008D3B68">
        <w:rPr>
          <w:rFonts w:ascii="Book Antiqua" w:hAnsi="Book Antiqua" w:cs="Times New Roman"/>
          <w:b/>
          <w:i/>
          <w:sz w:val="24"/>
          <w:szCs w:val="24"/>
        </w:rPr>
        <w:t xml:space="preserve">remission and </w:t>
      </w:r>
      <w:r w:rsidRPr="008D3B68">
        <w:rPr>
          <w:rFonts w:ascii="Book Antiqua" w:hAnsi="Book Antiqua" w:cs="Times New Roman"/>
          <w:b/>
          <w:i/>
          <w:sz w:val="24"/>
          <w:szCs w:val="24"/>
        </w:rPr>
        <w:t>relapse of AIH</w:t>
      </w:r>
    </w:p>
    <w:p w:rsidR="006174E6" w:rsidRPr="008D3B68" w:rsidRDefault="006174E6" w:rsidP="00352D86">
      <w:pPr>
        <w:spacing w:line="360" w:lineRule="auto"/>
        <w:rPr>
          <w:rFonts w:ascii="Book Antiqua" w:hAnsi="Book Antiqua" w:cs="Times New Roman"/>
          <w:b/>
          <w:sz w:val="24"/>
          <w:szCs w:val="24"/>
        </w:rPr>
      </w:pPr>
      <w:r w:rsidRPr="008D3B68">
        <w:rPr>
          <w:rFonts w:ascii="Book Antiqua" w:hAnsi="Book Antiqua" w:cs="Times New Roman"/>
          <w:sz w:val="24"/>
          <w:szCs w:val="24"/>
        </w:rPr>
        <w:t>Remission was defined as a</w:t>
      </w:r>
      <w:r w:rsidRPr="008D3B68">
        <w:rPr>
          <w:rFonts w:ascii="Book Antiqua" w:hAnsi="Book Antiqua" w:cs="Times New Roman"/>
          <w:kern w:val="0"/>
          <w:sz w:val="24"/>
          <w:szCs w:val="24"/>
        </w:rPr>
        <w:t xml:space="preserve"> </w:t>
      </w:r>
      <w:r w:rsidRPr="008D3B68">
        <w:rPr>
          <w:rFonts w:ascii="Book Antiqua" w:hAnsi="Book Antiqua" w:cs="Times New Roman"/>
          <w:sz w:val="24"/>
          <w:szCs w:val="24"/>
        </w:rPr>
        <w:t>normalization of serum ALT levels after the start of treatment.</w:t>
      </w:r>
      <w:r w:rsidR="007843F7" w:rsidRPr="008D3B68">
        <w:rPr>
          <w:rFonts w:ascii="Book Antiqua" w:hAnsi="Book Antiqua" w:cs="Times New Roman"/>
          <w:b/>
          <w:sz w:val="24"/>
          <w:szCs w:val="24"/>
        </w:rPr>
        <w:t xml:space="preserve"> </w:t>
      </w:r>
      <w:r w:rsidR="002B227A" w:rsidRPr="008D3B68">
        <w:rPr>
          <w:rFonts w:ascii="Book Antiqua" w:hAnsi="Book Antiqua" w:cs="Times New Roman"/>
          <w:color w:val="000000" w:themeColor="text1"/>
          <w:sz w:val="24"/>
          <w:szCs w:val="24"/>
        </w:rPr>
        <w:t xml:space="preserve">The judgement of remission for </w:t>
      </w:r>
      <w:r w:rsidR="002B227A" w:rsidRPr="008D3B68">
        <w:rPr>
          <w:rFonts w:ascii="Book Antiqua" w:hAnsi="Book Antiqua"/>
          <w:color w:val="000000" w:themeColor="text1"/>
          <w:sz w:val="24"/>
          <w:szCs w:val="24"/>
        </w:rPr>
        <w:t>UDCA monotherapy</w:t>
      </w:r>
      <w:r w:rsidR="002B227A" w:rsidRPr="008D3B68">
        <w:rPr>
          <w:rFonts w:ascii="Book Antiqua" w:hAnsi="Book Antiqua" w:cs="Times New Roman"/>
          <w:color w:val="000000" w:themeColor="text1"/>
          <w:sz w:val="24"/>
          <w:szCs w:val="24"/>
        </w:rPr>
        <w:t xml:space="preserve"> was carried out within at least</w:t>
      </w:r>
      <w:r w:rsidR="00A375C3" w:rsidRPr="008D3B68">
        <w:rPr>
          <w:rFonts w:ascii="Book Antiqua" w:hAnsi="Book Antiqua" w:cs="Times New Roman"/>
          <w:color w:val="000000" w:themeColor="text1"/>
          <w:sz w:val="24"/>
          <w:szCs w:val="24"/>
        </w:rPr>
        <w:t xml:space="preserve"> 18 mo</w:t>
      </w:r>
      <w:r w:rsidR="002B227A" w:rsidRPr="008D3B68">
        <w:rPr>
          <w:rFonts w:ascii="Book Antiqua" w:hAnsi="Book Antiqua" w:cs="Times New Roman"/>
          <w:color w:val="000000" w:themeColor="text1"/>
          <w:sz w:val="24"/>
          <w:szCs w:val="24"/>
        </w:rPr>
        <w:t xml:space="preserve"> </w:t>
      </w:r>
      <w:r w:rsidR="002B227A" w:rsidRPr="008D3B68">
        <w:rPr>
          <w:rFonts w:ascii="Book Antiqua" w:hAnsi="Book Antiqua"/>
          <w:color w:val="000000" w:themeColor="text1"/>
          <w:sz w:val="24"/>
          <w:szCs w:val="24"/>
        </w:rPr>
        <w:t>after initiation of therapy</w:t>
      </w:r>
      <w:r w:rsidR="008F6673" w:rsidRPr="008D3B68">
        <w:rPr>
          <w:rFonts w:ascii="Book Antiqua" w:hAnsi="Book Antiqua"/>
          <w:color w:val="000000" w:themeColor="text1"/>
          <w:sz w:val="24"/>
          <w:szCs w:val="24"/>
        </w:rPr>
        <w:t>.</w:t>
      </w:r>
      <w:r w:rsidR="000E24AE" w:rsidRPr="008D3B68">
        <w:rPr>
          <w:rFonts w:ascii="Book Antiqua" w:hAnsi="Book Antiqua" w:cs="Times New Roman"/>
          <w:sz w:val="24"/>
          <w:szCs w:val="24"/>
        </w:rPr>
        <w:t xml:space="preserve"> </w:t>
      </w:r>
      <w:r w:rsidRPr="008D3B68">
        <w:rPr>
          <w:rFonts w:ascii="Book Antiqua" w:hAnsi="Book Antiqua" w:cs="Times New Roman"/>
          <w:sz w:val="24"/>
          <w:szCs w:val="24"/>
        </w:rPr>
        <w:t>Relapse was defined as an increase in serum ALT levels to more than tw</w:t>
      </w:r>
      <w:r w:rsidR="00B04BC8" w:rsidRPr="008D3B68">
        <w:rPr>
          <w:rFonts w:ascii="Book Antiqua" w:hAnsi="Book Antiqua" w:cs="Times New Roman"/>
          <w:sz w:val="24"/>
          <w:szCs w:val="24"/>
        </w:rPr>
        <w:t xml:space="preserve">ice </w:t>
      </w:r>
      <w:r w:rsidRPr="008D3B68">
        <w:rPr>
          <w:rFonts w:ascii="Book Antiqua" w:hAnsi="Book Antiqua" w:cs="Times New Roman"/>
          <w:sz w:val="24"/>
          <w:szCs w:val="24"/>
        </w:rPr>
        <w:t>the upper normal limit following the normalization of serum ALT levels with medical treatment.</w:t>
      </w:r>
    </w:p>
    <w:p w:rsidR="00FB3902" w:rsidRPr="008D3B68" w:rsidRDefault="00FB3902" w:rsidP="00352D86">
      <w:pPr>
        <w:spacing w:line="360" w:lineRule="auto"/>
        <w:rPr>
          <w:rFonts w:ascii="Book Antiqua" w:hAnsi="Book Antiqua" w:cs="Times New Roman"/>
          <w:i/>
          <w:sz w:val="24"/>
          <w:szCs w:val="24"/>
        </w:rPr>
      </w:pPr>
    </w:p>
    <w:p w:rsidR="00047EA7" w:rsidRPr="00BC0909" w:rsidRDefault="00047EA7" w:rsidP="00047EA7">
      <w:pPr>
        <w:spacing w:line="360" w:lineRule="auto"/>
        <w:rPr>
          <w:rFonts w:ascii="Book Antiqua" w:hAnsi="Book Antiqua"/>
          <w:b/>
          <w:i/>
          <w:color w:val="000000"/>
          <w:sz w:val="24"/>
          <w:szCs w:val="24"/>
        </w:rPr>
      </w:pPr>
      <w:r w:rsidRPr="00BC0909">
        <w:rPr>
          <w:rFonts w:ascii="Book Antiqua" w:hAnsi="Book Antiqua"/>
          <w:b/>
          <w:i/>
          <w:color w:val="000000"/>
          <w:sz w:val="24"/>
          <w:szCs w:val="24"/>
        </w:rPr>
        <w:t>Statistical analysis</w:t>
      </w:r>
    </w:p>
    <w:p w:rsidR="00D63817" w:rsidRPr="008D3B68" w:rsidRDefault="00C52216" w:rsidP="00352D86">
      <w:pPr>
        <w:spacing w:line="360" w:lineRule="auto"/>
        <w:rPr>
          <w:rFonts w:ascii="Book Antiqua" w:hAnsi="Book Antiqua" w:cs="Times New Roman"/>
          <w:b/>
          <w:sz w:val="24"/>
          <w:szCs w:val="24"/>
        </w:rPr>
      </w:pPr>
      <w:r w:rsidRPr="008D3B68">
        <w:rPr>
          <w:rFonts w:ascii="Book Antiqua" w:hAnsi="Book Antiqua" w:cs="Times New Roman"/>
          <w:sz w:val="24"/>
          <w:szCs w:val="24"/>
        </w:rPr>
        <w:t>Statistical analysis was performed using the SPSS statistical program (release 16.0.1 J, SPSS, Inc., Chicago, IL).</w:t>
      </w:r>
      <w:r w:rsidR="007843F7" w:rsidRPr="008D3B68">
        <w:rPr>
          <w:rFonts w:ascii="Book Antiqua" w:hAnsi="Book Antiqua" w:cs="Times New Roman"/>
          <w:b/>
          <w:sz w:val="24"/>
          <w:szCs w:val="24"/>
        </w:rPr>
        <w:t xml:space="preserve"> </w:t>
      </w:r>
      <w:r w:rsidRPr="008D3B68">
        <w:rPr>
          <w:rFonts w:ascii="Book Antiqua" w:hAnsi="Book Antiqua" w:cs="Times New Roman"/>
          <w:sz w:val="24"/>
          <w:szCs w:val="24"/>
        </w:rPr>
        <w:t xml:space="preserve">Continuous variables </w:t>
      </w:r>
      <w:r w:rsidR="008258C8" w:rsidRPr="008D3B68">
        <w:rPr>
          <w:rFonts w:ascii="Book Antiqua" w:hAnsi="Book Antiqua" w:cs="Times New Roman"/>
          <w:sz w:val="24"/>
          <w:szCs w:val="24"/>
        </w:rPr>
        <w:t xml:space="preserve">are </w:t>
      </w:r>
      <w:r w:rsidRPr="008D3B68">
        <w:rPr>
          <w:rFonts w:ascii="Book Antiqua" w:hAnsi="Book Antiqua" w:cs="Times New Roman"/>
          <w:sz w:val="24"/>
          <w:szCs w:val="24"/>
        </w:rPr>
        <w:t>expressed as medians and ranges. The Mann</w:t>
      </w:r>
      <w:r w:rsidR="008258C8" w:rsidRPr="008D3B68">
        <w:rPr>
          <w:rFonts w:ascii="Book Antiqua" w:hAnsi="Book Antiqua" w:cs="Times New Roman"/>
          <w:sz w:val="24"/>
          <w:szCs w:val="24"/>
        </w:rPr>
        <w:t>-</w:t>
      </w:r>
      <w:r w:rsidRPr="008D3B68">
        <w:rPr>
          <w:rFonts w:ascii="Book Antiqua" w:hAnsi="Book Antiqua" w:cs="Times New Roman"/>
          <w:sz w:val="24"/>
          <w:szCs w:val="24"/>
        </w:rPr>
        <w:t>Whitney U test was used to evaluate differences in continuous variables between two groups.</w:t>
      </w:r>
      <w:r w:rsidRPr="008D3B68">
        <w:rPr>
          <w:rFonts w:ascii="Book Antiqua" w:hAnsi="Book Antiqua" w:cs="Times New Roman"/>
          <w:kern w:val="0"/>
          <w:sz w:val="24"/>
          <w:szCs w:val="24"/>
        </w:rPr>
        <w:t xml:space="preserve"> </w:t>
      </w:r>
      <w:r w:rsidRPr="008D3B68">
        <w:rPr>
          <w:rFonts w:ascii="Book Antiqua" w:hAnsi="Book Antiqua" w:cs="Times New Roman"/>
          <w:sz w:val="24"/>
          <w:szCs w:val="24"/>
        </w:rPr>
        <w:t>Dichotomous variables were compared by Pearson</w:t>
      </w:r>
      <w:r w:rsidR="008258C8" w:rsidRPr="008D3B68">
        <w:rPr>
          <w:rFonts w:ascii="Book Antiqua" w:hAnsi="Book Antiqua" w:cs="Times New Roman"/>
          <w:sz w:val="24"/>
          <w:szCs w:val="24"/>
        </w:rPr>
        <w:t>’</w:t>
      </w:r>
      <w:r w:rsidRPr="008D3B68">
        <w:rPr>
          <w:rFonts w:ascii="Book Antiqua" w:hAnsi="Book Antiqua" w:cs="Times New Roman"/>
          <w:sz w:val="24"/>
          <w:szCs w:val="24"/>
        </w:rPr>
        <w:t>s</w:t>
      </w:r>
      <w:bookmarkStart w:id="10" w:name="OLE_LINK10"/>
      <w:bookmarkStart w:id="11" w:name="OLE_LINK18"/>
      <w:r w:rsidR="002D310B">
        <w:rPr>
          <w:rFonts w:ascii="Book Antiqua" w:eastAsia="宋体" w:hAnsi="Book Antiqua" w:cs="Times New Roman" w:hint="eastAsia"/>
          <w:sz w:val="24"/>
          <w:szCs w:val="24"/>
        </w:rPr>
        <w:t xml:space="preserve"> </w:t>
      </w:r>
      <w:r w:rsidR="002D310B" w:rsidRPr="00026D49">
        <w:rPr>
          <w:rFonts w:ascii="Book Antiqua" w:hAnsi="Book Antiqua"/>
          <w:i/>
          <w:sz w:val="24"/>
          <w:szCs w:val="24"/>
        </w:rPr>
        <w:t>χ</w:t>
      </w:r>
      <w:r w:rsidR="002D310B" w:rsidRPr="00026D49">
        <w:rPr>
          <w:rFonts w:ascii="Book Antiqua" w:hAnsi="Book Antiqua"/>
          <w:i/>
          <w:sz w:val="24"/>
          <w:szCs w:val="24"/>
          <w:vertAlign w:val="superscript"/>
        </w:rPr>
        <w:t>2</w:t>
      </w:r>
      <w:bookmarkEnd w:id="10"/>
      <w:bookmarkEnd w:id="11"/>
      <w:r w:rsidRPr="008D3B68">
        <w:rPr>
          <w:rFonts w:ascii="Book Antiqua" w:hAnsi="Book Antiqua" w:cs="Times New Roman"/>
          <w:sz w:val="24"/>
          <w:szCs w:val="24"/>
        </w:rPr>
        <w:t xml:space="preserve"> test.</w:t>
      </w:r>
      <w:r w:rsidR="008A5117" w:rsidRPr="008D3B68">
        <w:rPr>
          <w:rFonts w:ascii="Book Antiqua" w:hAnsi="Book Antiqua" w:cs="Times New Roman"/>
          <w:kern w:val="0"/>
          <w:sz w:val="24"/>
          <w:szCs w:val="24"/>
        </w:rPr>
        <w:t xml:space="preserve"> </w:t>
      </w:r>
      <w:r w:rsidR="008A5117" w:rsidRPr="008D3B68">
        <w:rPr>
          <w:rFonts w:ascii="Book Antiqua" w:hAnsi="Book Antiqua" w:cs="Times New Roman"/>
          <w:sz w:val="24"/>
          <w:szCs w:val="24"/>
        </w:rPr>
        <w:t xml:space="preserve">Multivariate analyses by logistic regression were used to identify independent factors contributing to the response to UDCA monotherapy. </w:t>
      </w:r>
      <w:r w:rsidR="008258C8" w:rsidRPr="008D3B68">
        <w:rPr>
          <w:rFonts w:ascii="Book Antiqua" w:hAnsi="Book Antiqua" w:cs="Times New Roman"/>
          <w:sz w:val="24"/>
          <w:szCs w:val="24"/>
        </w:rPr>
        <w:t>Va</w:t>
      </w:r>
      <w:r w:rsidR="008A5117" w:rsidRPr="008D3B68">
        <w:rPr>
          <w:rFonts w:ascii="Book Antiqua" w:hAnsi="Book Antiqua" w:cs="Times New Roman"/>
          <w:sz w:val="24"/>
          <w:szCs w:val="24"/>
        </w:rPr>
        <w:t xml:space="preserve">lues of </w:t>
      </w:r>
      <w:r w:rsidR="00A261C6" w:rsidRPr="008D3B68">
        <w:rPr>
          <w:rFonts w:ascii="Book Antiqua" w:hAnsi="Book Antiqua" w:cs="Times New Roman"/>
          <w:i/>
          <w:sz w:val="24"/>
          <w:szCs w:val="24"/>
        </w:rPr>
        <w:t>P</w:t>
      </w:r>
      <w:r w:rsidR="0090201E" w:rsidRPr="008D3B68">
        <w:rPr>
          <w:rFonts w:ascii="Book Antiqua" w:hAnsi="Book Antiqua" w:cs="Times New Roman"/>
          <w:sz w:val="24"/>
          <w:szCs w:val="24"/>
        </w:rPr>
        <w:t xml:space="preserve"> </w:t>
      </w:r>
      <w:r w:rsidR="008A5117" w:rsidRPr="008D3B68">
        <w:rPr>
          <w:rFonts w:ascii="Book Antiqua" w:hAnsi="Book Antiqua" w:cs="Times New Roman"/>
          <w:sz w:val="24"/>
          <w:szCs w:val="24"/>
        </w:rPr>
        <w:t>&lt;</w:t>
      </w:r>
      <w:r w:rsidR="0090201E" w:rsidRPr="008D3B68">
        <w:rPr>
          <w:rFonts w:ascii="Book Antiqua" w:hAnsi="Book Antiqua" w:cs="Times New Roman"/>
          <w:sz w:val="24"/>
          <w:szCs w:val="24"/>
        </w:rPr>
        <w:t xml:space="preserve"> </w:t>
      </w:r>
      <w:r w:rsidR="008A5117" w:rsidRPr="008D3B68">
        <w:rPr>
          <w:rFonts w:ascii="Book Antiqua" w:hAnsi="Book Antiqua" w:cs="Times New Roman"/>
          <w:sz w:val="24"/>
          <w:szCs w:val="24"/>
        </w:rPr>
        <w:t>0.05 were considered significant.</w:t>
      </w:r>
    </w:p>
    <w:p w:rsidR="00C905F3" w:rsidRPr="00A448B9" w:rsidRDefault="00C905F3" w:rsidP="00352D86">
      <w:pPr>
        <w:spacing w:line="360" w:lineRule="auto"/>
        <w:rPr>
          <w:rFonts w:ascii="Book Antiqua" w:eastAsia="宋体" w:hAnsi="Book Antiqua" w:cs="Times New Roman"/>
          <w:b/>
          <w:sz w:val="24"/>
          <w:szCs w:val="24"/>
        </w:rPr>
      </w:pPr>
    </w:p>
    <w:p w:rsidR="00853B60" w:rsidRPr="008D3B68" w:rsidRDefault="00FB3902" w:rsidP="00352D86">
      <w:pPr>
        <w:spacing w:line="360" w:lineRule="auto"/>
        <w:rPr>
          <w:rFonts w:ascii="Book Antiqua" w:hAnsi="Book Antiqua" w:cs="Times New Roman"/>
          <w:b/>
          <w:sz w:val="24"/>
          <w:szCs w:val="24"/>
        </w:rPr>
      </w:pPr>
      <w:r w:rsidRPr="008D3B68">
        <w:rPr>
          <w:rFonts w:ascii="Book Antiqua" w:hAnsi="Book Antiqua" w:cs="Times New Roman"/>
          <w:b/>
          <w:sz w:val="24"/>
          <w:szCs w:val="24"/>
        </w:rPr>
        <w:t>RESULTS</w:t>
      </w:r>
    </w:p>
    <w:p w:rsidR="00FB3902" w:rsidRPr="008D3B68" w:rsidRDefault="00853B60" w:rsidP="00352D86">
      <w:pPr>
        <w:spacing w:line="360" w:lineRule="auto"/>
        <w:rPr>
          <w:rFonts w:ascii="Book Antiqua" w:hAnsi="Book Antiqua" w:cs="Times New Roman"/>
          <w:b/>
          <w:i/>
          <w:sz w:val="24"/>
          <w:szCs w:val="24"/>
        </w:rPr>
      </w:pPr>
      <w:r w:rsidRPr="008D3B68">
        <w:rPr>
          <w:rFonts w:ascii="Book Antiqua" w:hAnsi="Book Antiqua" w:cs="Times New Roman"/>
          <w:b/>
          <w:i/>
          <w:sz w:val="24"/>
          <w:szCs w:val="24"/>
        </w:rPr>
        <w:t>Comparison of clinical features among two groups classified according to initial treatment</w:t>
      </w:r>
    </w:p>
    <w:p w:rsidR="00953D98" w:rsidRPr="008D3B68" w:rsidRDefault="0026623A"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As </w:t>
      </w:r>
      <w:r w:rsidR="006705DB" w:rsidRPr="008D3B68">
        <w:rPr>
          <w:rFonts w:ascii="Book Antiqua" w:hAnsi="Book Antiqua" w:cs="Times New Roman"/>
          <w:sz w:val="24"/>
          <w:szCs w:val="24"/>
        </w:rPr>
        <w:t xml:space="preserve">the </w:t>
      </w:r>
      <w:r w:rsidRPr="008D3B68">
        <w:rPr>
          <w:rFonts w:ascii="Book Antiqua" w:hAnsi="Book Antiqua" w:cs="Times New Roman"/>
          <w:sz w:val="24"/>
          <w:szCs w:val="24"/>
        </w:rPr>
        <w:t xml:space="preserve">initial treatment, of the 136 patients, 48 received </w:t>
      </w:r>
      <w:r w:rsidR="00627F31" w:rsidRPr="008D3B68">
        <w:rPr>
          <w:rFonts w:ascii="Book Antiqua" w:hAnsi="Book Antiqua" w:cs="Times New Roman"/>
          <w:sz w:val="24"/>
          <w:szCs w:val="24"/>
        </w:rPr>
        <w:t>UDCA monotherapy</w:t>
      </w:r>
      <w:r w:rsidRPr="008D3B68">
        <w:rPr>
          <w:rFonts w:ascii="Book Antiqua" w:hAnsi="Book Antiqua" w:cs="Times New Roman"/>
          <w:sz w:val="24"/>
          <w:szCs w:val="24"/>
        </w:rPr>
        <w:t xml:space="preserve"> (Group U</w:t>
      </w:r>
      <w:r w:rsidR="00627F31" w:rsidRPr="008D3B68">
        <w:rPr>
          <w:rFonts w:ascii="Book Antiqua" w:hAnsi="Book Antiqua" w:cs="Times New Roman"/>
          <w:sz w:val="24"/>
          <w:szCs w:val="24"/>
        </w:rPr>
        <w:t xml:space="preserve">) and 88 received PSL monotherapy (Group P). </w:t>
      </w:r>
      <w:r w:rsidR="00A9672D" w:rsidRPr="008D3B68">
        <w:rPr>
          <w:rFonts w:ascii="Book Antiqua" w:hAnsi="Book Antiqua" w:cs="Times New Roman"/>
          <w:sz w:val="24"/>
          <w:szCs w:val="24"/>
        </w:rPr>
        <w:t>There were no differences between Groups U and P in age,</w:t>
      </w:r>
      <w:r w:rsidR="005A194C" w:rsidRPr="008D3B68">
        <w:rPr>
          <w:rFonts w:ascii="Book Antiqua" w:hAnsi="Book Antiqua" w:cs="Times New Roman"/>
          <w:sz w:val="24"/>
          <w:szCs w:val="24"/>
        </w:rPr>
        <w:t xml:space="preserve"> serum levels of</w:t>
      </w:r>
      <w:r w:rsidR="00A9672D" w:rsidRPr="008D3B68">
        <w:rPr>
          <w:rFonts w:ascii="Book Antiqua" w:hAnsi="Book Antiqua" w:cs="Times New Roman"/>
          <w:sz w:val="24"/>
          <w:szCs w:val="24"/>
        </w:rPr>
        <w:t xml:space="preserve"> </w:t>
      </w:r>
      <w:r w:rsidR="00261D36" w:rsidRPr="008D3B68">
        <w:rPr>
          <w:rFonts w:ascii="Book Antiqua" w:hAnsi="Book Antiqua" w:cs="Times New Roman"/>
          <w:sz w:val="24"/>
          <w:szCs w:val="24"/>
        </w:rPr>
        <w:t xml:space="preserve">alkaline </w:t>
      </w:r>
      <w:r w:rsidR="00AC5D6C" w:rsidRPr="008D3B68">
        <w:rPr>
          <w:rFonts w:ascii="Book Antiqua" w:hAnsi="Book Antiqua" w:cs="Times New Roman"/>
          <w:sz w:val="24"/>
          <w:szCs w:val="24"/>
        </w:rPr>
        <w:t>phosphatase (</w:t>
      </w:r>
      <w:r w:rsidR="00CF29E9" w:rsidRPr="008D3B68">
        <w:rPr>
          <w:rFonts w:ascii="Book Antiqua" w:hAnsi="Book Antiqua" w:cs="Times New Roman"/>
          <w:sz w:val="24"/>
          <w:szCs w:val="24"/>
        </w:rPr>
        <w:t>ALP</w:t>
      </w:r>
      <w:r w:rsidR="00AC5D6C" w:rsidRPr="008D3B68">
        <w:rPr>
          <w:rFonts w:ascii="Book Antiqua" w:hAnsi="Book Antiqua" w:cs="Times New Roman"/>
          <w:sz w:val="24"/>
          <w:szCs w:val="24"/>
        </w:rPr>
        <w:t>)</w:t>
      </w:r>
      <w:r w:rsidR="00CF29E9" w:rsidRPr="008D3B68">
        <w:rPr>
          <w:rFonts w:ascii="Book Antiqua" w:hAnsi="Book Antiqua" w:cs="Times New Roman"/>
          <w:sz w:val="24"/>
          <w:szCs w:val="24"/>
        </w:rPr>
        <w:t xml:space="preserve">, the frequencies of positivity for antinuclear antibody (ANA) or </w:t>
      </w:r>
      <w:r w:rsidR="00261D36" w:rsidRPr="008D3B68">
        <w:rPr>
          <w:rFonts w:ascii="Book Antiqua" w:hAnsi="Book Antiqua" w:cs="Times New Roman"/>
          <w:sz w:val="24"/>
          <w:szCs w:val="24"/>
        </w:rPr>
        <w:t xml:space="preserve">human </w:t>
      </w:r>
      <w:r w:rsidR="00AC5D6C" w:rsidRPr="008D3B68">
        <w:rPr>
          <w:rFonts w:ascii="Book Antiqua" w:hAnsi="Book Antiqua" w:cs="Times New Roman"/>
          <w:sz w:val="24"/>
          <w:szCs w:val="24"/>
        </w:rPr>
        <w:t>leukocyte antigen (</w:t>
      </w:r>
      <w:r w:rsidR="00CF29E9" w:rsidRPr="008D3B68">
        <w:rPr>
          <w:rFonts w:ascii="Book Antiqua" w:hAnsi="Book Antiqua" w:cs="Times New Roman"/>
          <w:sz w:val="24"/>
          <w:szCs w:val="24"/>
        </w:rPr>
        <w:t>HLA</w:t>
      </w:r>
      <w:r w:rsidR="00AC5D6C" w:rsidRPr="008D3B68">
        <w:rPr>
          <w:rFonts w:ascii="Book Antiqua" w:hAnsi="Book Antiqua" w:cs="Times New Roman"/>
          <w:sz w:val="24"/>
          <w:szCs w:val="24"/>
        </w:rPr>
        <w:t>)</w:t>
      </w:r>
      <w:r w:rsidR="00CF29E9" w:rsidRPr="008D3B68">
        <w:rPr>
          <w:rFonts w:ascii="Book Antiqua" w:hAnsi="Book Antiqua" w:cs="Times New Roman"/>
          <w:sz w:val="24"/>
          <w:szCs w:val="24"/>
        </w:rPr>
        <w:t xml:space="preserve"> DR4</w:t>
      </w:r>
      <w:r w:rsidR="00CA46A2" w:rsidRPr="008D3B68">
        <w:rPr>
          <w:rFonts w:ascii="Book Antiqua" w:hAnsi="Book Antiqua" w:cs="Times New Roman"/>
          <w:sz w:val="24"/>
          <w:szCs w:val="24"/>
        </w:rPr>
        <w:t>,</w:t>
      </w:r>
      <w:r w:rsidR="00CF29E9" w:rsidRPr="008D3B68">
        <w:rPr>
          <w:rFonts w:ascii="Book Antiqua" w:hAnsi="Book Antiqua" w:cs="Times New Roman"/>
          <w:sz w:val="24"/>
          <w:szCs w:val="24"/>
        </w:rPr>
        <w:t xml:space="preserve"> and</w:t>
      </w:r>
      <w:r w:rsidR="00A9672D" w:rsidRPr="008D3B68">
        <w:rPr>
          <w:rFonts w:ascii="Book Antiqua" w:hAnsi="Book Antiqua" w:cs="Times New Roman"/>
          <w:sz w:val="24"/>
          <w:szCs w:val="24"/>
        </w:rPr>
        <w:t xml:space="preserve"> scores derived from either the old or the new scoring system. However, compared with Group P, Group U had significantly lower </w:t>
      </w:r>
      <w:r w:rsidR="00AC5D6C" w:rsidRPr="008D3B68">
        <w:rPr>
          <w:rFonts w:ascii="Book Antiqua" w:hAnsi="Book Antiqua" w:cs="Times New Roman"/>
          <w:sz w:val="24"/>
          <w:szCs w:val="24"/>
        </w:rPr>
        <w:t xml:space="preserve">serum levels of </w:t>
      </w:r>
      <w:r w:rsidR="00261D36" w:rsidRPr="008D3B68">
        <w:rPr>
          <w:rFonts w:ascii="Book Antiqua" w:hAnsi="Book Antiqua" w:cs="Times New Roman"/>
          <w:sz w:val="24"/>
          <w:szCs w:val="24"/>
        </w:rPr>
        <w:t>a</w:t>
      </w:r>
      <w:r w:rsidR="00AC5D6C" w:rsidRPr="008D3B68">
        <w:rPr>
          <w:rFonts w:ascii="Book Antiqua" w:hAnsi="Book Antiqua" w:cs="Times New Roman"/>
          <w:sz w:val="24"/>
          <w:szCs w:val="24"/>
        </w:rPr>
        <w:t>spartate transaminase (</w:t>
      </w:r>
      <w:r w:rsidR="005A194C" w:rsidRPr="008D3B68">
        <w:rPr>
          <w:rFonts w:ascii="Book Antiqua" w:hAnsi="Book Antiqua" w:cs="Times New Roman"/>
          <w:sz w:val="24"/>
          <w:szCs w:val="24"/>
        </w:rPr>
        <w:t>AST</w:t>
      </w:r>
      <w:r w:rsidR="00AC5D6C" w:rsidRPr="008D3B68">
        <w:rPr>
          <w:rFonts w:ascii="Book Antiqua" w:hAnsi="Book Antiqua" w:cs="Times New Roman"/>
          <w:sz w:val="24"/>
          <w:szCs w:val="24"/>
        </w:rPr>
        <w:t>)</w:t>
      </w:r>
      <w:r w:rsidR="005A194C" w:rsidRPr="008D3B68">
        <w:rPr>
          <w:rFonts w:ascii="Book Antiqua" w:hAnsi="Book Antiqua" w:cs="Times New Roman"/>
          <w:sz w:val="24"/>
          <w:szCs w:val="24"/>
        </w:rPr>
        <w:t xml:space="preserve"> (</w:t>
      </w:r>
      <w:r w:rsidR="000521BA" w:rsidRPr="008D3B68">
        <w:rPr>
          <w:rFonts w:ascii="Book Antiqua" w:hAnsi="Book Antiqua" w:cs="Times New Roman"/>
          <w:sz w:val="24"/>
          <w:szCs w:val="24"/>
        </w:rPr>
        <w:t>104</w:t>
      </w:r>
      <w:r w:rsidR="005A194C" w:rsidRPr="008D3B68">
        <w:rPr>
          <w:rFonts w:ascii="Book Antiqua" w:hAnsi="Book Antiqua" w:cs="Times New Roman"/>
          <w:sz w:val="24"/>
          <w:szCs w:val="24"/>
        </w:rPr>
        <w:t xml:space="preserve"> IU</w:t>
      </w:r>
      <w:r w:rsidR="00ED6728" w:rsidRPr="008D3B68">
        <w:rPr>
          <w:rFonts w:ascii="Book Antiqua" w:hAnsi="Book Antiqua" w:cs="Times New Roman"/>
          <w:sz w:val="24"/>
          <w:szCs w:val="24"/>
        </w:rPr>
        <w:t>/L</w:t>
      </w:r>
      <w:r w:rsidR="005A194C"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005A194C" w:rsidRPr="008D3B68">
        <w:rPr>
          <w:rFonts w:ascii="Book Antiqua" w:hAnsi="Book Antiqua" w:cs="Times New Roman"/>
          <w:sz w:val="24"/>
          <w:szCs w:val="24"/>
        </w:rPr>
        <w:t xml:space="preserve"> </w:t>
      </w:r>
      <w:r w:rsidR="000521BA" w:rsidRPr="008D3B68">
        <w:rPr>
          <w:rFonts w:ascii="Book Antiqua" w:hAnsi="Book Antiqua" w:cs="Times New Roman"/>
          <w:sz w:val="24"/>
          <w:szCs w:val="24"/>
        </w:rPr>
        <w:t xml:space="preserve">303 </w:t>
      </w:r>
      <w:r w:rsidR="00E82804" w:rsidRPr="008D3B68">
        <w:rPr>
          <w:rFonts w:ascii="Book Antiqua" w:hAnsi="Book Antiqua" w:cs="Times New Roman"/>
          <w:sz w:val="24"/>
          <w:szCs w:val="24"/>
        </w:rPr>
        <w:t>IU</w:t>
      </w:r>
      <w:r w:rsidR="00ED6728" w:rsidRPr="008D3B68">
        <w:rPr>
          <w:rFonts w:ascii="Book Antiqua" w:hAnsi="Book Antiqua" w:cs="Times New Roman"/>
          <w:sz w:val="24"/>
          <w:szCs w:val="24"/>
        </w:rPr>
        <w:t>/L</w:t>
      </w:r>
      <w:r w:rsidR="00E82804" w:rsidRPr="008D3B68">
        <w:rPr>
          <w:rFonts w:ascii="Book Antiqua" w:hAnsi="Book Antiqua" w:cs="Times New Roman"/>
          <w:sz w:val="24"/>
          <w:szCs w:val="24"/>
        </w:rPr>
        <w:t xml:space="preserve">, </w:t>
      </w:r>
      <w:r w:rsidR="00E82804" w:rsidRPr="008D3B68">
        <w:rPr>
          <w:rFonts w:ascii="Book Antiqua" w:hAnsi="Book Antiqua" w:cs="Times New Roman"/>
          <w:i/>
          <w:sz w:val="24"/>
          <w:szCs w:val="24"/>
        </w:rPr>
        <w:t>P</w:t>
      </w:r>
      <w:r w:rsidR="005A194C" w:rsidRPr="008D3B68">
        <w:rPr>
          <w:rFonts w:ascii="Book Antiqua" w:hAnsi="Book Antiqua" w:cs="Times New Roman"/>
          <w:sz w:val="24"/>
          <w:szCs w:val="24"/>
        </w:rPr>
        <w:t xml:space="preserve"> </w:t>
      </w:r>
      <w:r w:rsidR="005A194C" w:rsidRPr="008D3B68">
        <w:rPr>
          <w:rFonts w:ascii="Book Antiqua" w:hAnsi="Book Antiqua" w:cs="Times New Roman"/>
          <w:sz w:val="24"/>
          <w:szCs w:val="24"/>
        </w:rPr>
        <w:sym w:font="Symbol" w:char="F03C"/>
      </w:r>
      <w:r w:rsidR="005A194C" w:rsidRPr="008D3B68">
        <w:rPr>
          <w:rFonts w:ascii="Book Antiqua" w:hAnsi="Book Antiqua" w:cs="Times New Roman"/>
          <w:sz w:val="24"/>
          <w:szCs w:val="24"/>
        </w:rPr>
        <w:t xml:space="preserve"> 0.001), </w:t>
      </w:r>
      <w:r w:rsidR="00A9672D" w:rsidRPr="008D3B68">
        <w:rPr>
          <w:rFonts w:ascii="Book Antiqua" w:hAnsi="Book Antiqua" w:cs="Times New Roman"/>
          <w:sz w:val="24"/>
          <w:szCs w:val="24"/>
        </w:rPr>
        <w:t>ALT (</w:t>
      </w:r>
      <w:r w:rsidR="000521BA" w:rsidRPr="008D3B68">
        <w:rPr>
          <w:rFonts w:ascii="Book Antiqua" w:hAnsi="Book Antiqua" w:cs="Times New Roman"/>
          <w:sz w:val="24"/>
          <w:szCs w:val="24"/>
        </w:rPr>
        <w:t>149</w:t>
      </w:r>
      <w:r w:rsidR="00A9672D" w:rsidRPr="008D3B68">
        <w:rPr>
          <w:rFonts w:ascii="Book Antiqua" w:hAnsi="Book Antiqua" w:cs="Times New Roman"/>
          <w:sz w:val="24"/>
          <w:szCs w:val="24"/>
        </w:rPr>
        <w:t xml:space="preserve"> IU</w:t>
      </w:r>
      <w:r w:rsidR="00ED6728" w:rsidRPr="008D3B68">
        <w:rPr>
          <w:rFonts w:ascii="Book Antiqua" w:hAnsi="Book Antiqua" w:cs="Times New Roman"/>
          <w:sz w:val="24"/>
          <w:szCs w:val="24"/>
        </w:rPr>
        <w:t>/L</w:t>
      </w:r>
      <w:r w:rsidR="00A9672D"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00A9672D" w:rsidRPr="008D3B68">
        <w:rPr>
          <w:rFonts w:ascii="Book Antiqua" w:hAnsi="Book Antiqua" w:cs="Times New Roman"/>
          <w:sz w:val="24"/>
          <w:szCs w:val="24"/>
        </w:rPr>
        <w:t xml:space="preserve"> </w:t>
      </w:r>
      <w:r w:rsidR="000521BA" w:rsidRPr="008D3B68">
        <w:rPr>
          <w:rFonts w:ascii="Book Antiqua" w:hAnsi="Book Antiqua" w:cs="Times New Roman"/>
          <w:sz w:val="24"/>
          <w:szCs w:val="24"/>
        </w:rPr>
        <w:t>431</w:t>
      </w:r>
      <w:r w:rsidR="00E82804" w:rsidRPr="008D3B68">
        <w:rPr>
          <w:rFonts w:ascii="Book Antiqua" w:hAnsi="Book Antiqua" w:cs="Times New Roman"/>
          <w:sz w:val="24"/>
          <w:szCs w:val="24"/>
        </w:rPr>
        <w:t xml:space="preserve"> IU</w:t>
      </w:r>
      <w:r w:rsidR="00ED6728" w:rsidRPr="008D3B68">
        <w:rPr>
          <w:rFonts w:ascii="Book Antiqua" w:hAnsi="Book Antiqua" w:cs="Times New Roman"/>
          <w:sz w:val="24"/>
          <w:szCs w:val="24"/>
        </w:rPr>
        <w:t>/L</w:t>
      </w:r>
      <w:r w:rsidR="00E82804" w:rsidRPr="008D3B68">
        <w:rPr>
          <w:rFonts w:ascii="Book Antiqua" w:hAnsi="Book Antiqua" w:cs="Times New Roman"/>
          <w:sz w:val="24"/>
          <w:szCs w:val="24"/>
        </w:rPr>
        <w:t xml:space="preserve">, </w:t>
      </w:r>
      <w:r w:rsidR="00E82804" w:rsidRPr="008D3B68">
        <w:rPr>
          <w:rFonts w:ascii="Book Antiqua" w:hAnsi="Book Antiqua" w:cs="Times New Roman"/>
          <w:i/>
          <w:sz w:val="24"/>
          <w:szCs w:val="24"/>
        </w:rPr>
        <w:t>P</w:t>
      </w:r>
      <w:r w:rsidR="00A9672D" w:rsidRPr="008D3B68">
        <w:rPr>
          <w:rFonts w:ascii="Book Antiqua" w:hAnsi="Book Antiqua" w:cs="Times New Roman"/>
          <w:sz w:val="24"/>
          <w:szCs w:val="24"/>
        </w:rPr>
        <w:t xml:space="preserve"> </w:t>
      </w:r>
      <w:r w:rsidR="00A9672D" w:rsidRPr="008D3B68">
        <w:rPr>
          <w:rFonts w:ascii="Book Antiqua" w:hAnsi="Book Antiqua" w:cs="Times New Roman"/>
          <w:sz w:val="24"/>
          <w:szCs w:val="24"/>
        </w:rPr>
        <w:sym w:font="Symbol" w:char="F03C"/>
      </w:r>
      <w:r w:rsidR="00A9672D" w:rsidRPr="008D3B68">
        <w:rPr>
          <w:rFonts w:ascii="Book Antiqua" w:hAnsi="Book Antiqua" w:cs="Times New Roman"/>
          <w:sz w:val="24"/>
          <w:szCs w:val="24"/>
        </w:rPr>
        <w:t xml:space="preserve"> 0.</w:t>
      </w:r>
      <w:r w:rsidR="00E932A4" w:rsidRPr="008D3B68">
        <w:rPr>
          <w:rFonts w:ascii="Book Antiqua" w:hAnsi="Book Antiqua" w:cs="Times New Roman"/>
          <w:sz w:val="24"/>
          <w:szCs w:val="24"/>
        </w:rPr>
        <w:t>0</w:t>
      </w:r>
      <w:r w:rsidR="005A194C" w:rsidRPr="008D3B68">
        <w:rPr>
          <w:rFonts w:ascii="Book Antiqua" w:hAnsi="Book Antiqua" w:cs="Times New Roman"/>
          <w:sz w:val="24"/>
          <w:szCs w:val="24"/>
        </w:rPr>
        <w:t>01),</w:t>
      </w:r>
      <w:r w:rsidR="000521BA" w:rsidRPr="008D3B68">
        <w:rPr>
          <w:rFonts w:ascii="Book Antiqua" w:hAnsi="Book Antiqua" w:cs="Times New Roman"/>
          <w:sz w:val="24"/>
          <w:szCs w:val="24"/>
        </w:rPr>
        <w:t xml:space="preserve"> total bilirubin (T.Bil) (0.8 mg</w:t>
      </w:r>
      <w:r w:rsidR="000B03DB" w:rsidRPr="008D3B68">
        <w:rPr>
          <w:rFonts w:ascii="Book Antiqua" w:hAnsi="Book Antiqua" w:cs="Times New Roman"/>
          <w:sz w:val="24"/>
          <w:szCs w:val="24"/>
        </w:rPr>
        <w:t>/dL</w:t>
      </w:r>
      <w:r w:rsidR="000521BA"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000521BA" w:rsidRPr="008D3B68">
        <w:rPr>
          <w:rFonts w:ascii="Book Antiqua" w:hAnsi="Book Antiqua" w:cs="Times New Roman"/>
          <w:sz w:val="24"/>
          <w:szCs w:val="24"/>
        </w:rPr>
        <w:t xml:space="preserve"> 1.3 </w:t>
      </w:r>
      <w:r w:rsidR="00E82804" w:rsidRPr="008D3B68">
        <w:rPr>
          <w:rFonts w:ascii="Book Antiqua" w:hAnsi="Book Antiqua" w:cs="Times New Roman"/>
          <w:sz w:val="24"/>
          <w:szCs w:val="24"/>
        </w:rPr>
        <w:t>mg</w:t>
      </w:r>
      <w:r w:rsidR="000B03DB" w:rsidRPr="008D3B68">
        <w:rPr>
          <w:rFonts w:ascii="Book Antiqua" w:hAnsi="Book Antiqua" w:cs="Times New Roman"/>
          <w:sz w:val="24"/>
          <w:szCs w:val="24"/>
        </w:rPr>
        <w:t>/dL</w:t>
      </w:r>
      <w:r w:rsidR="00E82804" w:rsidRPr="008D3B68">
        <w:rPr>
          <w:rFonts w:ascii="Book Antiqua" w:hAnsi="Book Antiqua" w:cs="Times New Roman"/>
          <w:sz w:val="24"/>
          <w:szCs w:val="24"/>
        </w:rPr>
        <w:t xml:space="preserve">, </w:t>
      </w:r>
      <w:r w:rsidR="00E82804" w:rsidRPr="008D3B68">
        <w:rPr>
          <w:rFonts w:ascii="Book Antiqua" w:hAnsi="Book Antiqua" w:cs="Times New Roman"/>
          <w:i/>
          <w:sz w:val="24"/>
          <w:szCs w:val="24"/>
        </w:rPr>
        <w:t>P</w:t>
      </w:r>
      <w:r w:rsidR="000521BA" w:rsidRPr="008D3B68">
        <w:rPr>
          <w:rFonts w:ascii="Book Antiqua" w:hAnsi="Book Antiqua" w:cs="Times New Roman"/>
          <w:sz w:val="24"/>
          <w:szCs w:val="24"/>
        </w:rPr>
        <w:t xml:space="preserve"> </w:t>
      </w:r>
      <w:r w:rsidR="000521BA" w:rsidRPr="008D3B68">
        <w:rPr>
          <w:rFonts w:ascii="Book Antiqua" w:hAnsi="Book Antiqua" w:cs="Times New Roman"/>
          <w:sz w:val="24"/>
          <w:szCs w:val="24"/>
        </w:rPr>
        <w:sym w:font="Symbol" w:char="F03C"/>
      </w:r>
      <w:r w:rsidR="000521BA" w:rsidRPr="008D3B68">
        <w:rPr>
          <w:rFonts w:ascii="Book Antiqua" w:hAnsi="Book Antiqua" w:cs="Times New Roman"/>
          <w:sz w:val="24"/>
          <w:szCs w:val="24"/>
        </w:rPr>
        <w:t xml:space="preserve"> 0.05), </w:t>
      </w:r>
      <w:r w:rsidR="007C46D0" w:rsidRPr="008D3B68">
        <w:rPr>
          <w:rFonts w:ascii="Book Antiqua" w:hAnsi="Book Antiqua" w:cs="Times New Roman"/>
          <w:sz w:val="24"/>
          <w:szCs w:val="24"/>
        </w:rPr>
        <w:t>γ-glutamyltransferase (γ-</w:t>
      </w:r>
      <w:r w:rsidR="005A01FE" w:rsidRPr="008D3B68">
        <w:rPr>
          <w:rFonts w:ascii="Book Antiqua" w:hAnsi="Book Antiqua" w:cs="Times New Roman"/>
          <w:sz w:val="24"/>
          <w:szCs w:val="24"/>
        </w:rPr>
        <w:t>GTP</w:t>
      </w:r>
      <w:r w:rsidR="007C46D0" w:rsidRPr="008D3B68">
        <w:rPr>
          <w:rFonts w:ascii="Book Antiqua" w:hAnsi="Book Antiqua" w:cs="Times New Roman"/>
          <w:sz w:val="24"/>
          <w:szCs w:val="24"/>
        </w:rPr>
        <w:t>)</w:t>
      </w:r>
      <w:r w:rsidR="005A01FE" w:rsidRPr="008D3B68">
        <w:rPr>
          <w:rFonts w:ascii="Book Antiqua" w:hAnsi="Book Antiqua" w:cs="Times New Roman"/>
          <w:sz w:val="24"/>
          <w:szCs w:val="24"/>
        </w:rPr>
        <w:t xml:space="preserve"> (82 U</w:t>
      </w:r>
      <w:r w:rsidR="00ED6728" w:rsidRPr="008D3B68">
        <w:rPr>
          <w:rFonts w:ascii="Book Antiqua" w:hAnsi="Book Antiqua" w:cs="Times New Roman"/>
          <w:sz w:val="24"/>
          <w:szCs w:val="24"/>
        </w:rPr>
        <w:t>/L</w:t>
      </w:r>
      <w:r w:rsidR="005A01FE"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005A01FE" w:rsidRPr="008D3B68">
        <w:rPr>
          <w:rFonts w:ascii="Book Antiqua" w:hAnsi="Book Antiqua" w:cs="Times New Roman"/>
          <w:sz w:val="24"/>
          <w:szCs w:val="24"/>
        </w:rPr>
        <w:t xml:space="preserve"> 182 U</w:t>
      </w:r>
      <w:r w:rsidR="00ED6728" w:rsidRPr="008D3B68">
        <w:rPr>
          <w:rFonts w:ascii="Book Antiqua" w:hAnsi="Book Antiqua" w:cs="Times New Roman"/>
          <w:sz w:val="24"/>
          <w:szCs w:val="24"/>
        </w:rPr>
        <w:t>/L</w:t>
      </w:r>
      <w:r w:rsidR="005A01FE" w:rsidRPr="008D3B68">
        <w:rPr>
          <w:rFonts w:ascii="Book Antiqua" w:hAnsi="Book Antiqua" w:cs="Times New Roman"/>
          <w:sz w:val="24"/>
          <w:szCs w:val="24"/>
        </w:rPr>
        <w:t xml:space="preserve">, </w:t>
      </w:r>
      <w:r w:rsidR="00E82804" w:rsidRPr="008D3B68">
        <w:rPr>
          <w:rFonts w:ascii="Book Antiqua" w:hAnsi="Book Antiqua" w:cs="Times New Roman"/>
          <w:i/>
          <w:sz w:val="24"/>
          <w:szCs w:val="24"/>
        </w:rPr>
        <w:t>P</w:t>
      </w:r>
      <w:r w:rsidR="005A01FE" w:rsidRPr="008D3B68">
        <w:rPr>
          <w:rFonts w:ascii="Book Antiqua" w:hAnsi="Book Antiqua" w:cs="Times New Roman"/>
          <w:sz w:val="24"/>
          <w:szCs w:val="24"/>
        </w:rPr>
        <w:t xml:space="preserve"> </w:t>
      </w:r>
      <w:r w:rsidR="005A01FE" w:rsidRPr="008D3B68">
        <w:rPr>
          <w:rFonts w:ascii="Book Antiqua" w:hAnsi="Book Antiqua" w:cs="Times New Roman"/>
          <w:sz w:val="24"/>
          <w:szCs w:val="24"/>
        </w:rPr>
        <w:sym w:font="Symbol" w:char="F03C"/>
      </w:r>
      <w:r w:rsidR="005A01FE" w:rsidRPr="008D3B68">
        <w:rPr>
          <w:rFonts w:ascii="Book Antiqua" w:hAnsi="Book Antiqua" w:cs="Times New Roman"/>
          <w:sz w:val="24"/>
          <w:szCs w:val="24"/>
        </w:rPr>
        <w:t xml:space="preserve"> 0.05),</w:t>
      </w:r>
      <w:r w:rsidR="00261D36" w:rsidRPr="008D3B68">
        <w:rPr>
          <w:rFonts w:ascii="Book Antiqua" w:hAnsi="Book Antiqua" w:cs="Times New Roman"/>
          <w:sz w:val="24"/>
          <w:szCs w:val="24"/>
        </w:rPr>
        <w:t xml:space="preserve"> and</w:t>
      </w:r>
      <w:r w:rsidR="005A01FE" w:rsidRPr="008D3B68">
        <w:rPr>
          <w:rFonts w:ascii="Book Antiqua" w:hAnsi="Book Antiqua" w:cs="Times New Roman"/>
          <w:sz w:val="24"/>
          <w:szCs w:val="24"/>
        </w:rPr>
        <w:t xml:space="preserve"> </w:t>
      </w:r>
      <w:r w:rsidR="000521BA" w:rsidRPr="008D3B68">
        <w:rPr>
          <w:rFonts w:ascii="Book Antiqua" w:hAnsi="Book Antiqua" w:cs="Times New Roman"/>
          <w:sz w:val="24"/>
          <w:szCs w:val="24"/>
        </w:rPr>
        <w:t>immunoglobulin G (IgG) (1954 mg</w:t>
      </w:r>
      <w:r w:rsidR="000B03DB" w:rsidRPr="008D3B68">
        <w:rPr>
          <w:rFonts w:ascii="Book Antiqua" w:hAnsi="Book Antiqua" w:cs="Times New Roman"/>
          <w:sz w:val="24"/>
          <w:szCs w:val="24"/>
        </w:rPr>
        <w:t>/dL</w:t>
      </w:r>
      <w:r w:rsidR="000521BA"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00E82804" w:rsidRPr="008D3B68">
        <w:rPr>
          <w:rFonts w:ascii="Book Antiqua" w:hAnsi="Book Antiqua" w:cs="Times New Roman"/>
          <w:sz w:val="24"/>
          <w:szCs w:val="24"/>
        </w:rPr>
        <w:t xml:space="preserve"> 2336 mg</w:t>
      </w:r>
      <w:r w:rsidR="000B03DB" w:rsidRPr="008D3B68">
        <w:rPr>
          <w:rFonts w:ascii="Book Antiqua" w:hAnsi="Book Antiqua" w:cs="Times New Roman"/>
          <w:sz w:val="24"/>
          <w:szCs w:val="24"/>
        </w:rPr>
        <w:t>/dL</w:t>
      </w:r>
      <w:r w:rsidR="00E82804" w:rsidRPr="008D3B68">
        <w:rPr>
          <w:rFonts w:ascii="Book Antiqua" w:hAnsi="Book Antiqua" w:cs="Times New Roman"/>
          <w:sz w:val="24"/>
          <w:szCs w:val="24"/>
        </w:rPr>
        <w:t xml:space="preserve">, </w:t>
      </w:r>
      <w:r w:rsidR="00E82804" w:rsidRPr="008D3B68">
        <w:rPr>
          <w:rFonts w:ascii="Book Antiqua" w:hAnsi="Book Antiqua" w:cs="Times New Roman"/>
          <w:i/>
          <w:sz w:val="24"/>
          <w:szCs w:val="24"/>
        </w:rPr>
        <w:t>P</w:t>
      </w:r>
      <w:r w:rsidR="000521BA" w:rsidRPr="008D3B68">
        <w:rPr>
          <w:rFonts w:ascii="Book Antiqua" w:hAnsi="Book Antiqua" w:cs="Times New Roman"/>
          <w:sz w:val="24"/>
          <w:szCs w:val="24"/>
        </w:rPr>
        <w:t xml:space="preserve"> </w:t>
      </w:r>
      <w:r w:rsidR="000521BA" w:rsidRPr="008D3B68">
        <w:rPr>
          <w:rFonts w:ascii="Book Antiqua" w:hAnsi="Book Antiqua" w:cs="Times New Roman"/>
          <w:sz w:val="24"/>
          <w:szCs w:val="24"/>
        </w:rPr>
        <w:sym w:font="Symbol" w:char="F03C"/>
      </w:r>
      <w:r w:rsidR="000521BA" w:rsidRPr="008D3B68">
        <w:rPr>
          <w:rFonts w:ascii="Book Antiqua" w:hAnsi="Book Antiqua" w:cs="Times New Roman"/>
          <w:sz w:val="24"/>
          <w:szCs w:val="24"/>
        </w:rPr>
        <w:t xml:space="preserve"> 0.01)</w:t>
      </w:r>
      <w:r w:rsidR="00261D36" w:rsidRPr="008D3B68">
        <w:rPr>
          <w:rFonts w:ascii="Book Antiqua" w:hAnsi="Book Antiqua" w:cs="Times New Roman"/>
          <w:sz w:val="24"/>
          <w:szCs w:val="24"/>
        </w:rPr>
        <w:t>,</w:t>
      </w:r>
      <w:r w:rsidR="005A194C" w:rsidRPr="008D3B68">
        <w:rPr>
          <w:rFonts w:ascii="Book Antiqua" w:hAnsi="Book Antiqua" w:cs="Times New Roman"/>
          <w:sz w:val="24"/>
          <w:szCs w:val="24"/>
        </w:rPr>
        <w:t xml:space="preserve"> </w:t>
      </w:r>
      <w:r w:rsidR="000521BA" w:rsidRPr="008D3B68">
        <w:rPr>
          <w:rFonts w:ascii="Book Antiqua" w:hAnsi="Book Antiqua" w:cs="Times New Roman"/>
          <w:sz w:val="24"/>
          <w:szCs w:val="24"/>
        </w:rPr>
        <w:t xml:space="preserve">and </w:t>
      </w:r>
      <w:r w:rsidR="00261D36" w:rsidRPr="008D3B68">
        <w:rPr>
          <w:rFonts w:ascii="Book Antiqua" w:hAnsi="Book Antiqua" w:cs="Times New Roman"/>
          <w:sz w:val="24"/>
          <w:szCs w:val="24"/>
        </w:rPr>
        <w:t>l</w:t>
      </w:r>
      <w:r w:rsidR="00A01DE5" w:rsidRPr="008D3B68">
        <w:rPr>
          <w:rFonts w:ascii="Book Antiqua" w:hAnsi="Book Antiqua" w:cs="Times New Roman"/>
          <w:sz w:val="24"/>
          <w:szCs w:val="24"/>
        </w:rPr>
        <w:t>ower frequencies of male</w:t>
      </w:r>
      <w:r w:rsidR="00261D36" w:rsidRPr="008D3B68">
        <w:rPr>
          <w:rFonts w:ascii="Book Antiqua" w:hAnsi="Book Antiqua" w:cs="Times New Roman"/>
          <w:sz w:val="24"/>
          <w:szCs w:val="24"/>
        </w:rPr>
        <w:t xml:space="preserve"> sex</w:t>
      </w:r>
      <w:r w:rsidR="00A01DE5" w:rsidRPr="008D3B68">
        <w:rPr>
          <w:rFonts w:ascii="Book Antiqua" w:hAnsi="Book Antiqua" w:cs="Times New Roman"/>
          <w:sz w:val="24"/>
          <w:szCs w:val="24"/>
        </w:rPr>
        <w:t xml:space="preserve">, </w:t>
      </w:r>
      <w:r w:rsidR="006F4F9E" w:rsidRPr="008D3B68">
        <w:rPr>
          <w:rFonts w:ascii="Book Antiqua" w:hAnsi="Book Antiqua" w:cs="Times New Roman"/>
          <w:sz w:val="24"/>
          <w:szCs w:val="24"/>
        </w:rPr>
        <w:t>a</w:t>
      </w:r>
      <w:r w:rsidR="00A01DE5" w:rsidRPr="008D3B68">
        <w:rPr>
          <w:rFonts w:ascii="Book Antiqua" w:hAnsi="Book Antiqua" w:cs="Times New Roman"/>
          <w:sz w:val="24"/>
          <w:szCs w:val="24"/>
        </w:rPr>
        <w:t>cute presentation</w:t>
      </w:r>
      <w:r w:rsidR="00261D36" w:rsidRPr="008D3B68">
        <w:rPr>
          <w:rFonts w:ascii="Book Antiqua" w:hAnsi="Book Antiqua" w:cs="Times New Roman"/>
          <w:sz w:val="24"/>
          <w:szCs w:val="24"/>
        </w:rPr>
        <w:t>,</w:t>
      </w:r>
      <w:r w:rsidR="00A01DE5" w:rsidRPr="008D3B68">
        <w:rPr>
          <w:rFonts w:ascii="Book Antiqua" w:hAnsi="Book Antiqua" w:cs="Times New Roman"/>
          <w:sz w:val="24"/>
          <w:szCs w:val="24"/>
        </w:rPr>
        <w:t xml:space="preserve"> and </w:t>
      </w:r>
      <w:r w:rsidR="00A01DE5" w:rsidRPr="008D3B68">
        <w:rPr>
          <w:rFonts w:ascii="Book Antiqua" w:hAnsi="Book Antiqua" w:cs="Times New Roman"/>
          <w:sz w:val="24"/>
          <w:szCs w:val="24"/>
        </w:rPr>
        <w:lastRenderedPageBreak/>
        <w:t xml:space="preserve">positivity for </w:t>
      </w:r>
      <w:r w:rsidR="00473230" w:rsidRPr="008D3B68">
        <w:rPr>
          <w:rFonts w:ascii="Book Antiqua" w:hAnsi="Book Antiqua" w:cs="Times New Roman"/>
          <w:sz w:val="24"/>
          <w:szCs w:val="24"/>
        </w:rPr>
        <w:t>smooth muscle antibody (</w:t>
      </w:r>
      <w:r w:rsidR="00A01DE5" w:rsidRPr="008D3B68">
        <w:rPr>
          <w:rFonts w:ascii="Book Antiqua" w:hAnsi="Book Antiqua" w:cs="Times New Roman"/>
          <w:sz w:val="24"/>
          <w:szCs w:val="24"/>
        </w:rPr>
        <w:t>SMA</w:t>
      </w:r>
      <w:r w:rsidR="00473230" w:rsidRPr="008D3B68">
        <w:rPr>
          <w:rFonts w:ascii="Book Antiqua" w:hAnsi="Book Antiqua" w:cs="Times New Roman"/>
          <w:sz w:val="24"/>
          <w:szCs w:val="24"/>
        </w:rPr>
        <w:t>)</w:t>
      </w:r>
      <w:r w:rsidR="00E67A0A" w:rsidRPr="008D3B68">
        <w:rPr>
          <w:rFonts w:ascii="Book Antiqua" w:hAnsi="Book Antiqua" w:cs="Times New Roman"/>
          <w:sz w:val="24"/>
          <w:szCs w:val="24"/>
        </w:rPr>
        <w:t xml:space="preserve"> at the onset</w:t>
      </w:r>
      <w:r w:rsidR="00A01DE5" w:rsidRPr="008D3B68">
        <w:rPr>
          <w:rFonts w:ascii="Book Antiqua" w:hAnsi="Book Antiqua" w:cs="Times New Roman"/>
          <w:sz w:val="24"/>
          <w:szCs w:val="24"/>
        </w:rPr>
        <w:t>.</w:t>
      </w:r>
      <w:r w:rsidR="00A9672D" w:rsidRPr="008D3B68">
        <w:rPr>
          <w:rFonts w:ascii="Book Antiqua" w:hAnsi="Book Antiqua" w:cs="Times New Roman"/>
          <w:sz w:val="24"/>
          <w:szCs w:val="24"/>
        </w:rPr>
        <w:t xml:space="preserve"> </w:t>
      </w:r>
      <w:r w:rsidR="00E67A0A" w:rsidRPr="008D3B68">
        <w:rPr>
          <w:rFonts w:ascii="Book Antiqua" w:hAnsi="Book Antiqua" w:cs="Times New Roman"/>
          <w:sz w:val="24"/>
          <w:szCs w:val="24"/>
        </w:rPr>
        <w:t xml:space="preserve">Additionally, Group U had </w:t>
      </w:r>
      <w:r w:rsidR="00261D36" w:rsidRPr="008D3B68">
        <w:rPr>
          <w:rFonts w:ascii="Book Antiqua" w:hAnsi="Book Antiqua" w:cs="Times New Roman"/>
          <w:sz w:val="24"/>
          <w:szCs w:val="24"/>
        </w:rPr>
        <w:t xml:space="preserve">a </w:t>
      </w:r>
      <w:r w:rsidR="00E67A0A" w:rsidRPr="008D3B68">
        <w:rPr>
          <w:rFonts w:ascii="Book Antiqua" w:hAnsi="Book Antiqua" w:cs="Times New Roman"/>
          <w:sz w:val="24"/>
          <w:szCs w:val="24"/>
        </w:rPr>
        <w:t>significantly</w:t>
      </w:r>
      <w:r w:rsidR="00A9672D" w:rsidRPr="008D3B68">
        <w:rPr>
          <w:rFonts w:ascii="Book Antiqua" w:hAnsi="Book Antiqua" w:cs="Times New Roman"/>
          <w:sz w:val="24"/>
          <w:szCs w:val="24"/>
        </w:rPr>
        <w:t xml:space="preserve"> higher proportion of patients with mild inflammation and fibrosis (A1 and F1) on histological </w:t>
      </w:r>
      <w:r w:rsidR="00CA46A2" w:rsidRPr="008D3B68">
        <w:rPr>
          <w:rFonts w:ascii="Book Antiqua" w:hAnsi="Book Antiqua" w:cs="Times New Roman"/>
          <w:sz w:val="24"/>
          <w:szCs w:val="24"/>
        </w:rPr>
        <w:t>examination</w:t>
      </w:r>
      <w:r w:rsidR="00A9672D" w:rsidRPr="008D3B68">
        <w:rPr>
          <w:rFonts w:ascii="Book Antiqua" w:hAnsi="Book Antiqua" w:cs="Times New Roman"/>
          <w:sz w:val="24"/>
          <w:szCs w:val="24"/>
        </w:rPr>
        <w:t xml:space="preserve"> (</w:t>
      </w:r>
      <w:r w:rsidR="00E932A4" w:rsidRPr="008D3B68">
        <w:rPr>
          <w:rFonts w:ascii="Book Antiqua" w:hAnsi="Book Antiqua" w:cs="Times New Roman"/>
          <w:sz w:val="24"/>
          <w:szCs w:val="24"/>
        </w:rPr>
        <w:t>28.4</w:t>
      </w:r>
      <w:r w:rsidR="00A9672D"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00A9672D" w:rsidRPr="008D3B68">
        <w:rPr>
          <w:rFonts w:ascii="Book Antiqua" w:hAnsi="Book Antiqua" w:cs="Times New Roman"/>
          <w:sz w:val="24"/>
          <w:szCs w:val="24"/>
        </w:rPr>
        <w:t xml:space="preserve"> </w:t>
      </w:r>
      <w:r w:rsidR="00E932A4" w:rsidRPr="008D3B68">
        <w:rPr>
          <w:rFonts w:ascii="Book Antiqua" w:hAnsi="Book Antiqua" w:cs="Times New Roman"/>
          <w:sz w:val="24"/>
          <w:szCs w:val="24"/>
        </w:rPr>
        <w:t>60.4</w:t>
      </w:r>
      <w:r w:rsidR="00A9672D" w:rsidRPr="008D3B68">
        <w:rPr>
          <w:rFonts w:ascii="Book Antiqua" w:hAnsi="Book Antiqua" w:cs="Times New Roman"/>
          <w:sz w:val="24"/>
          <w:szCs w:val="24"/>
        </w:rPr>
        <w:t>%</w:t>
      </w:r>
      <w:r w:rsidR="000809AF" w:rsidRPr="008D3B68">
        <w:rPr>
          <w:rFonts w:ascii="Book Antiqua" w:hAnsi="Book Antiqua" w:cs="Times New Roman"/>
          <w:sz w:val="24"/>
          <w:szCs w:val="24"/>
        </w:rPr>
        <w:t xml:space="preserve">, </w:t>
      </w:r>
      <w:r w:rsidR="00E82804" w:rsidRPr="008D3B68">
        <w:rPr>
          <w:rFonts w:ascii="Book Antiqua" w:hAnsi="Book Antiqua" w:cs="Times New Roman"/>
          <w:i/>
          <w:sz w:val="24"/>
          <w:szCs w:val="24"/>
        </w:rPr>
        <w:t>P</w:t>
      </w:r>
      <w:r w:rsidR="00E82804" w:rsidRPr="008D3B68">
        <w:rPr>
          <w:rFonts w:ascii="Book Antiqua" w:hAnsi="Book Antiqua" w:cs="Times New Roman"/>
          <w:sz w:val="24"/>
          <w:szCs w:val="24"/>
        </w:rPr>
        <w:t xml:space="preserve"> </w:t>
      </w:r>
      <w:r w:rsidR="000809AF" w:rsidRPr="008D3B68">
        <w:rPr>
          <w:rFonts w:ascii="Book Antiqua" w:hAnsi="Book Antiqua" w:cs="Times New Roman"/>
          <w:sz w:val="24"/>
          <w:szCs w:val="24"/>
        </w:rPr>
        <w:sym w:font="Symbol" w:char="F03C"/>
      </w:r>
      <w:r w:rsidR="000809AF" w:rsidRPr="008D3B68">
        <w:rPr>
          <w:rFonts w:ascii="Book Antiqua" w:hAnsi="Book Antiqua" w:cs="Times New Roman"/>
          <w:sz w:val="24"/>
          <w:szCs w:val="24"/>
        </w:rPr>
        <w:t xml:space="preserve"> 0.01,</w:t>
      </w:r>
      <w:r w:rsidR="00A9672D" w:rsidRPr="008D3B68">
        <w:rPr>
          <w:rFonts w:ascii="Book Antiqua" w:hAnsi="Book Antiqua" w:cs="Times New Roman"/>
          <w:sz w:val="24"/>
          <w:szCs w:val="24"/>
        </w:rPr>
        <w:t xml:space="preserve"> and </w:t>
      </w:r>
      <w:r w:rsidR="00E932A4" w:rsidRPr="008D3B68">
        <w:rPr>
          <w:rFonts w:ascii="Book Antiqua" w:hAnsi="Book Antiqua" w:cs="Times New Roman"/>
          <w:sz w:val="24"/>
          <w:szCs w:val="24"/>
        </w:rPr>
        <w:t>48.9</w:t>
      </w:r>
      <w:r w:rsidR="00A9672D"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00A9672D" w:rsidRPr="008D3B68">
        <w:rPr>
          <w:rFonts w:ascii="Book Antiqua" w:hAnsi="Book Antiqua" w:cs="Times New Roman"/>
          <w:sz w:val="24"/>
          <w:szCs w:val="24"/>
        </w:rPr>
        <w:t xml:space="preserve"> </w:t>
      </w:r>
      <w:r w:rsidR="00E932A4" w:rsidRPr="008D3B68">
        <w:rPr>
          <w:rFonts w:ascii="Book Antiqua" w:hAnsi="Book Antiqua" w:cs="Times New Roman"/>
          <w:sz w:val="24"/>
          <w:szCs w:val="24"/>
        </w:rPr>
        <w:t>72.9</w:t>
      </w:r>
      <w:r w:rsidR="00E82804" w:rsidRPr="008D3B68">
        <w:rPr>
          <w:rFonts w:ascii="Book Antiqua" w:hAnsi="Book Antiqua" w:cs="Times New Roman"/>
          <w:sz w:val="24"/>
          <w:szCs w:val="24"/>
        </w:rPr>
        <w:t xml:space="preserve">%, </w:t>
      </w:r>
      <w:r w:rsidR="00E82804" w:rsidRPr="008D3B68">
        <w:rPr>
          <w:rFonts w:ascii="Book Antiqua" w:hAnsi="Book Antiqua" w:cs="Times New Roman"/>
          <w:i/>
          <w:sz w:val="24"/>
          <w:szCs w:val="24"/>
        </w:rPr>
        <w:t>P</w:t>
      </w:r>
      <w:r w:rsidR="00A9672D" w:rsidRPr="008D3B68">
        <w:rPr>
          <w:rFonts w:ascii="Book Antiqua" w:hAnsi="Book Antiqua" w:cs="Times New Roman"/>
          <w:sz w:val="24"/>
          <w:szCs w:val="24"/>
        </w:rPr>
        <w:t xml:space="preserve"> </w:t>
      </w:r>
      <w:r w:rsidR="00A9672D" w:rsidRPr="008D3B68">
        <w:rPr>
          <w:rFonts w:ascii="Book Antiqua" w:hAnsi="Book Antiqua" w:cs="Times New Roman"/>
          <w:sz w:val="24"/>
          <w:szCs w:val="24"/>
        </w:rPr>
        <w:sym w:font="Symbol" w:char="F03C"/>
      </w:r>
      <w:r w:rsidR="00A9672D" w:rsidRPr="008D3B68">
        <w:rPr>
          <w:rFonts w:ascii="Book Antiqua" w:hAnsi="Book Antiqua" w:cs="Times New Roman"/>
          <w:sz w:val="24"/>
          <w:szCs w:val="24"/>
        </w:rPr>
        <w:t xml:space="preserve"> 0.0</w:t>
      </w:r>
      <w:r w:rsidR="000809AF" w:rsidRPr="008D3B68">
        <w:rPr>
          <w:rFonts w:ascii="Book Antiqua" w:hAnsi="Book Antiqua" w:cs="Times New Roman"/>
          <w:sz w:val="24"/>
          <w:szCs w:val="24"/>
        </w:rPr>
        <w:t>5</w:t>
      </w:r>
      <w:r w:rsidR="00A9672D" w:rsidRPr="008D3B68">
        <w:rPr>
          <w:rFonts w:ascii="Book Antiqua" w:hAnsi="Book Antiqua" w:cs="Times New Roman"/>
          <w:sz w:val="24"/>
          <w:szCs w:val="24"/>
        </w:rPr>
        <w:t>)</w:t>
      </w:r>
      <w:r w:rsidR="000521BA" w:rsidRPr="008D3B68">
        <w:rPr>
          <w:rFonts w:ascii="Book Antiqua" w:hAnsi="Book Antiqua" w:cs="Times New Roman"/>
          <w:i/>
          <w:color w:val="FF0000"/>
          <w:sz w:val="24"/>
          <w:szCs w:val="24"/>
        </w:rPr>
        <w:t xml:space="preserve"> </w:t>
      </w:r>
      <w:r w:rsidR="000521BA" w:rsidRPr="008D3B68">
        <w:rPr>
          <w:rFonts w:ascii="Book Antiqua" w:hAnsi="Book Antiqua" w:cs="Times New Roman"/>
          <w:sz w:val="24"/>
          <w:szCs w:val="24"/>
        </w:rPr>
        <w:t xml:space="preserve">(Table 1). </w:t>
      </w:r>
      <w:r w:rsidR="007935DD" w:rsidRPr="008D3B68">
        <w:rPr>
          <w:rFonts w:ascii="Book Antiqua" w:hAnsi="Book Antiqua" w:cs="Times New Roman"/>
          <w:sz w:val="24"/>
          <w:szCs w:val="24"/>
        </w:rPr>
        <w:t xml:space="preserve">Cumulative incidence </w:t>
      </w:r>
      <w:r w:rsidR="00953D98" w:rsidRPr="008D3B68">
        <w:rPr>
          <w:rFonts w:ascii="Book Antiqua" w:hAnsi="Book Antiqua" w:cs="Times New Roman"/>
          <w:sz w:val="24"/>
          <w:szCs w:val="24"/>
        </w:rPr>
        <w:t xml:space="preserve">of the normalization of serum ALT levels was </w:t>
      </w:r>
      <w:r w:rsidR="007935DD" w:rsidRPr="008D3B68">
        <w:rPr>
          <w:rFonts w:ascii="Book Antiqua" w:hAnsi="Book Antiqua" w:cs="Times New Roman"/>
          <w:sz w:val="24"/>
          <w:szCs w:val="24"/>
        </w:rPr>
        <w:t>80</w:t>
      </w:r>
      <w:r w:rsidR="00953D98" w:rsidRPr="008D3B68">
        <w:rPr>
          <w:rFonts w:ascii="Book Antiqua" w:hAnsi="Book Antiqua" w:cs="Times New Roman"/>
          <w:sz w:val="24"/>
          <w:szCs w:val="24"/>
        </w:rPr>
        <w:t xml:space="preserve">% in </w:t>
      </w:r>
      <w:r w:rsidR="007935DD" w:rsidRPr="008D3B68">
        <w:rPr>
          <w:rFonts w:ascii="Book Antiqua" w:hAnsi="Book Antiqua" w:cs="Times New Roman"/>
          <w:sz w:val="24"/>
          <w:szCs w:val="24"/>
        </w:rPr>
        <w:t>Group P</w:t>
      </w:r>
      <w:r w:rsidR="00953D98" w:rsidRPr="008D3B68">
        <w:rPr>
          <w:rFonts w:ascii="Book Antiqua" w:hAnsi="Book Antiqua" w:cs="Times New Roman"/>
          <w:sz w:val="24"/>
          <w:szCs w:val="24"/>
        </w:rPr>
        <w:t>.</w:t>
      </w:r>
    </w:p>
    <w:p w:rsidR="00FB3902" w:rsidRPr="008D3B68" w:rsidRDefault="00FB3902" w:rsidP="00352D86">
      <w:pPr>
        <w:spacing w:line="360" w:lineRule="auto"/>
        <w:rPr>
          <w:rFonts w:ascii="Book Antiqua" w:hAnsi="Book Antiqua" w:cs="Times New Roman"/>
          <w:b/>
          <w:sz w:val="24"/>
          <w:szCs w:val="24"/>
        </w:rPr>
      </w:pPr>
    </w:p>
    <w:p w:rsidR="00FB3902" w:rsidRPr="008D3B68" w:rsidRDefault="007F596E" w:rsidP="00352D86">
      <w:pPr>
        <w:spacing w:line="360" w:lineRule="auto"/>
        <w:rPr>
          <w:rFonts w:ascii="Book Antiqua" w:hAnsi="Book Antiqua" w:cs="Times New Roman"/>
          <w:b/>
          <w:i/>
          <w:sz w:val="24"/>
          <w:szCs w:val="24"/>
        </w:rPr>
      </w:pPr>
      <w:r w:rsidRPr="008D3B68">
        <w:rPr>
          <w:rFonts w:ascii="Book Antiqua" w:hAnsi="Book Antiqua" w:cs="Times New Roman"/>
          <w:b/>
          <w:i/>
          <w:sz w:val="24"/>
          <w:szCs w:val="24"/>
        </w:rPr>
        <w:t xml:space="preserve">UDCA </w:t>
      </w:r>
      <w:r w:rsidR="00001CEF" w:rsidRPr="008D3B68">
        <w:rPr>
          <w:rFonts w:ascii="Book Antiqua" w:hAnsi="Book Antiqua" w:cs="Times New Roman"/>
          <w:b/>
          <w:i/>
          <w:sz w:val="24"/>
          <w:szCs w:val="24"/>
        </w:rPr>
        <w:t>monotherapy</w:t>
      </w:r>
      <w:r w:rsidRPr="008D3B68">
        <w:rPr>
          <w:rFonts w:ascii="Book Antiqua" w:hAnsi="Book Antiqua" w:cs="Times New Roman"/>
          <w:b/>
          <w:i/>
          <w:sz w:val="24"/>
          <w:szCs w:val="24"/>
        </w:rPr>
        <w:t xml:space="preserve"> as initial treatment</w:t>
      </w:r>
    </w:p>
    <w:p w:rsidR="008E571D" w:rsidRPr="009A61A4" w:rsidRDefault="004909AC" w:rsidP="00352D86">
      <w:pPr>
        <w:spacing w:line="360" w:lineRule="auto"/>
        <w:rPr>
          <w:rFonts w:ascii="Book Antiqua" w:hAnsi="Book Antiqua" w:cs="Times New Roman"/>
          <w:sz w:val="24"/>
          <w:szCs w:val="24"/>
        </w:rPr>
      </w:pPr>
      <w:r w:rsidRPr="008D3B68">
        <w:rPr>
          <w:rFonts w:ascii="Book Antiqua" w:hAnsi="Book Antiqua" w:cs="Times New Roman"/>
          <w:sz w:val="24"/>
          <w:szCs w:val="24"/>
        </w:rPr>
        <w:t>The follow-up durations were 49 (</w:t>
      </w:r>
      <w:r w:rsidRPr="008D3B68">
        <w:rPr>
          <w:rFonts w:ascii="Book Antiqua" w:hAnsi="Book Antiqua" w:cs="Times New Roman"/>
          <w:kern w:val="0"/>
          <w:sz w:val="24"/>
          <w:szCs w:val="24"/>
        </w:rPr>
        <w:t>range</w:t>
      </w:r>
      <w:r w:rsidR="009A61A4">
        <w:rPr>
          <w:rFonts w:ascii="Book Antiqua" w:eastAsia="宋体" w:hAnsi="Book Antiqua" w:cs="Times New Roman" w:hint="eastAsia"/>
          <w:kern w:val="0"/>
          <w:sz w:val="24"/>
          <w:szCs w:val="24"/>
        </w:rPr>
        <w:t xml:space="preserve">: </w:t>
      </w:r>
      <w:r w:rsidRPr="008D3B68">
        <w:rPr>
          <w:rFonts w:ascii="Book Antiqua" w:hAnsi="Book Antiqua" w:cs="Times New Roman"/>
          <w:sz w:val="24"/>
          <w:szCs w:val="24"/>
        </w:rPr>
        <w:t>8</w:t>
      </w:r>
      <w:r w:rsidR="009A61A4">
        <w:rPr>
          <w:rFonts w:ascii="Book Antiqua" w:eastAsia="宋体" w:hAnsi="Book Antiqua" w:cs="Times New Roman" w:hint="eastAsia"/>
          <w:sz w:val="24"/>
          <w:szCs w:val="24"/>
        </w:rPr>
        <w:t>-</w:t>
      </w:r>
      <w:r w:rsidRPr="008D3B68">
        <w:rPr>
          <w:rFonts w:ascii="Book Antiqua" w:hAnsi="Book Antiqua" w:cs="Times New Roman"/>
          <w:sz w:val="24"/>
          <w:szCs w:val="24"/>
        </w:rPr>
        <w:t>156) mo in Group U.</w:t>
      </w:r>
      <w:r w:rsidR="009A61A4">
        <w:rPr>
          <w:rFonts w:ascii="Book Antiqua" w:eastAsia="宋体" w:hAnsi="Book Antiqua" w:cs="Times New Roman" w:hint="eastAsia"/>
          <w:sz w:val="24"/>
          <w:szCs w:val="24"/>
        </w:rPr>
        <w:t xml:space="preserve"> </w:t>
      </w:r>
      <w:r w:rsidR="00261D36" w:rsidRPr="008D3B68">
        <w:rPr>
          <w:rFonts w:ascii="Book Antiqua" w:hAnsi="Book Antiqua" w:cs="Times New Roman"/>
          <w:sz w:val="24"/>
          <w:szCs w:val="24"/>
        </w:rPr>
        <w:t>In</w:t>
      </w:r>
      <w:r w:rsidR="00CC53A2" w:rsidRPr="008D3B68">
        <w:rPr>
          <w:rFonts w:ascii="Book Antiqua" w:hAnsi="Book Antiqua" w:cs="Times New Roman"/>
          <w:sz w:val="24"/>
          <w:szCs w:val="24"/>
        </w:rPr>
        <w:t xml:space="preserve"> Group U, 34</w:t>
      </w:r>
      <w:r w:rsidR="00627F31" w:rsidRPr="008D3B68">
        <w:rPr>
          <w:rFonts w:ascii="Book Antiqua" w:hAnsi="Book Antiqua" w:cs="Times New Roman"/>
          <w:sz w:val="24"/>
          <w:szCs w:val="24"/>
        </w:rPr>
        <w:t xml:space="preserve"> patients</w:t>
      </w:r>
      <w:r w:rsidR="004A2FC3" w:rsidRPr="008D3B68">
        <w:rPr>
          <w:rFonts w:ascii="Book Antiqua" w:hAnsi="Book Antiqua" w:cs="Times New Roman"/>
          <w:sz w:val="24"/>
          <w:szCs w:val="24"/>
        </w:rPr>
        <w:t xml:space="preserve"> (71%)</w:t>
      </w:r>
      <w:r w:rsidR="00627F31" w:rsidRPr="008D3B68">
        <w:rPr>
          <w:rFonts w:ascii="Book Antiqua" w:hAnsi="Book Antiqua" w:cs="Times New Roman"/>
          <w:sz w:val="24"/>
          <w:szCs w:val="24"/>
        </w:rPr>
        <w:t xml:space="preserve"> achieved and maintained remission </w:t>
      </w:r>
      <w:r w:rsidR="00261D36" w:rsidRPr="008D3B68">
        <w:rPr>
          <w:rFonts w:ascii="Book Antiqua" w:hAnsi="Book Antiqua" w:cs="Times New Roman"/>
          <w:sz w:val="24"/>
          <w:szCs w:val="24"/>
        </w:rPr>
        <w:t xml:space="preserve">over </w:t>
      </w:r>
      <w:r w:rsidR="0032775B" w:rsidRPr="008D3B68">
        <w:rPr>
          <w:rFonts w:ascii="Book Antiqua" w:hAnsi="Book Antiqua" w:cs="Times New Roman"/>
          <w:color w:val="000000" w:themeColor="text1"/>
          <w:sz w:val="24"/>
          <w:szCs w:val="24"/>
        </w:rPr>
        <w:t>49 (</w:t>
      </w:r>
      <w:r w:rsidR="009971EE" w:rsidRPr="008D3B68">
        <w:rPr>
          <w:rFonts w:ascii="Book Antiqua" w:hAnsi="Book Antiqua" w:cs="Times New Roman"/>
          <w:color w:val="000000" w:themeColor="text1"/>
          <w:kern w:val="0"/>
          <w:sz w:val="24"/>
          <w:szCs w:val="24"/>
        </w:rPr>
        <w:t>range =</w:t>
      </w:r>
      <w:r w:rsidR="0032775B" w:rsidRPr="008D3B68">
        <w:rPr>
          <w:rFonts w:ascii="Book Antiqua" w:hAnsi="Book Antiqua" w:cs="Times New Roman"/>
          <w:color w:val="000000" w:themeColor="text1"/>
          <w:sz w:val="24"/>
          <w:szCs w:val="24"/>
        </w:rPr>
        <w:t>8</w:t>
      </w:r>
      <w:r w:rsidR="0090201E" w:rsidRPr="008D3B68">
        <w:rPr>
          <w:rFonts w:ascii="Book Antiqua" w:hAnsi="Book Antiqua" w:cs="Times New Roman"/>
          <w:color w:val="000000" w:themeColor="text1"/>
          <w:sz w:val="24"/>
          <w:szCs w:val="24"/>
        </w:rPr>
        <w:t>–</w:t>
      </w:r>
      <w:r w:rsidR="0032775B" w:rsidRPr="008D3B68">
        <w:rPr>
          <w:rFonts w:ascii="Book Antiqua" w:hAnsi="Book Antiqua" w:cs="Times New Roman"/>
          <w:color w:val="000000" w:themeColor="text1"/>
          <w:sz w:val="24"/>
          <w:szCs w:val="24"/>
        </w:rPr>
        <w:t>90)</w:t>
      </w:r>
      <w:r w:rsidR="00627F31" w:rsidRPr="008D3B68">
        <w:rPr>
          <w:rFonts w:ascii="Book Antiqua" w:hAnsi="Book Antiqua" w:cs="Times New Roman"/>
          <w:color w:val="000000" w:themeColor="text1"/>
          <w:sz w:val="24"/>
          <w:szCs w:val="24"/>
        </w:rPr>
        <w:t xml:space="preserve"> </w:t>
      </w:r>
      <w:r w:rsidR="00627F31" w:rsidRPr="008D3B68">
        <w:rPr>
          <w:rFonts w:ascii="Book Antiqua" w:hAnsi="Book Antiqua" w:cs="Times New Roman"/>
          <w:sz w:val="24"/>
          <w:szCs w:val="24"/>
        </w:rPr>
        <w:t>mo (Subgroup U1)</w:t>
      </w:r>
      <w:r w:rsidR="00261D36" w:rsidRPr="008D3B68">
        <w:rPr>
          <w:rFonts w:ascii="Book Antiqua" w:hAnsi="Book Antiqua" w:cs="Times New Roman"/>
          <w:sz w:val="24"/>
          <w:szCs w:val="24"/>
        </w:rPr>
        <w:t>,</w:t>
      </w:r>
      <w:r w:rsidR="00627F31" w:rsidRPr="008D3B68">
        <w:rPr>
          <w:rFonts w:ascii="Book Antiqua" w:hAnsi="Book Antiqua" w:cs="Times New Roman"/>
          <w:sz w:val="24"/>
          <w:szCs w:val="24"/>
        </w:rPr>
        <w:t xml:space="preserve"> and 14</w:t>
      </w:r>
      <w:r w:rsidR="004A2FC3" w:rsidRPr="008D3B68">
        <w:rPr>
          <w:rFonts w:ascii="Book Antiqua" w:hAnsi="Book Antiqua" w:cs="Times New Roman"/>
          <w:sz w:val="24"/>
          <w:szCs w:val="24"/>
        </w:rPr>
        <w:t xml:space="preserve"> </w:t>
      </w:r>
      <w:r w:rsidR="00627F31" w:rsidRPr="008D3B68">
        <w:rPr>
          <w:rFonts w:ascii="Book Antiqua" w:hAnsi="Book Antiqua" w:cs="Times New Roman"/>
          <w:sz w:val="24"/>
          <w:szCs w:val="24"/>
        </w:rPr>
        <w:t>patients</w:t>
      </w:r>
      <w:r w:rsidR="004A2FC3" w:rsidRPr="008D3B68">
        <w:rPr>
          <w:rFonts w:ascii="Book Antiqua" w:hAnsi="Book Antiqua" w:cs="Times New Roman"/>
          <w:sz w:val="24"/>
          <w:szCs w:val="24"/>
        </w:rPr>
        <w:t xml:space="preserve"> (29%)</w:t>
      </w:r>
      <w:r w:rsidR="00627F31" w:rsidRPr="008D3B68">
        <w:rPr>
          <w:rFonts w:ascii="Book Antiqua" w:hAnsi="Book Antiqua" w:cs="Times New Roman"/>
          <w:sz w:val="24"/>
          <w:szCs w:val="24"/>
        </w:rPr>
        <w:t xml:space="preserve"> additionally received PSL during </w:t>
      </w:r>
      <w:r w:rsidR="00A40949" w:rsidRPr="008D3B68">
        <w:rPr>
          <w:rFonts w:ascii="Book Antiqua" w:hAnsi="Book Antiqua" w:cs="Times New Roman"/>
          <w:sz w:val="24"/>
          <w:szCs w:val="24"/>
        </w:rPr>
        <w:t>follow</w:t>
      </w:r>
      <w:r w:rsidR="00261D36" w:rsidRPr="008D3B68">
        <w:rPr>
          <w:rFonts w:ascii="Book Antiqua" w:hAnsi="Book Antiqua" w:cs="Times New Roman"/>
          <w:sz w:val="24"/>
          <w:szCs w:val="24"/>
        </w:rPr>
        <w:t>-</w:t>
      </w:r>
      <w:r w:rsidR="00A40949" w:rsidRPr="008D3B68">
        <w:rPr>
          <w:rFonts w:ascii="Book Antiqua" w:hAnsi="Book Antiqua" w:cs="Times New Roman"/>
          <w:sz w:val="24"/>
          <w:szCs w:val="24"/>
        </w:rPr>
        <w:t xml:space="preserve">up </w:t>
      </w:r>
      <w:r w:rsidR="00627F31" w:rsidRPr="008D3B68">
        <w:rPr>
          <w:rFonts w:ascii="Book Antiqua" w:hAnsi="Book Antiqua" w:cs="Times New Roman"/>
          <w:sz w:val="24"/>
          <w:szCs w:val="24"/>
        </w:rPr>
        <w:t>(Subgroup U2).</w:t>
      </w:r>
      <w:r w:rsidR="00A40949" w:rsidRPr="008D3B68">
        <w:rPr>
          <w:rFonts w:ascii="Book Antiqua" w:hAnsi="Book Antiqua" w:cs="Times New Roman"/>
          <w:sz w:val="24"/>
          <w:szCs w:val="24"/>
        </w:rPr>
        <w:t xml:space="preserve"> Two patients in Subgroup U2 achieved remission induction once but additionally required PSL adm</w:t>
      </w:r>
      <w:r w:rsidR="005A4AAB" w:rsidRPr="008D3B68">
        <w:rPr>
          <w:rFonts w:ascii="Book Antiqua" w:hAnsi="Book Antiqua" w:cs="Times New Roman"/>
          <w:sz w:val="24"/>
          <w:szCs w:val="24"/>
        </w:rPr>
        <w:t>inistration because of relapse</w:t>
      </w:r>
      <w:r w:rsidR="005A4AAB" w:rsidRPr="008D3B68">
        <w:rPr>
          <w:rFonts w:ascii="Book Antiqua" w:hAnsi="Book Antiqua" w:cs="Times New Roman"/>
          <w:color w:val="000000" w:themeColor="text1"/>
          <w:sz w:val="24"/>
          <w:szCs w:val="24"/>
        </w:rPr>
        <w:t xml:space="preserve"> (</w:t>
      </w:r>
      <w:r w:rsidR="003A21F1" w:rsidRPr="008D3B68">
        <w:rPr>
          <w:rFonts w:ascii="Book Antiqua" w:hAnsi="Book Antiqua" w:cs="Times New Roman"/>
          <w:color w:val="000000" w:themeColor="text1"/>
          <w:sz w:val="24"/>
          <w:szCs w:val="24"/>
        </w:rPr>
        <w:t>15</w:t>
      </w:r>
      <w:r w:rsidR="005A4AAB" w:rsidRPr="008D3B68">
        <w:rPr>
          <w:rFonts w:ascii="Book Antiqua" w:hAnsi="Book Antiqua" w:cs="Times New Roman"/>
          <w:color w:val="000000" w:themeColor="text1"/>
          <w:sz w:val="24"/>
          <w:szCs w:val="24"/>
        </w:rPr>
        <w:t xml:space="preserve"> </w:t>
      </w:r>
      <w:r w:rsidR="00A40949" w:rsidRPr="008D3B68">
        <w:rPr>
          <w:rFonts w:ascii="Book Antiqua" w:hAnsi="Book Antiqua" w:cs="Times New Roman"/>
          <w:color w:val="000000" w:themeColor="text1"/>
          <w:sz w:val="24"/>
          <w:szCs w:val="24"/>
        </w:rPr>
        <w:t>and</w:t>
      </w:r>
      <w:r w:rsidR="005A4AAB" w:rsidRPr="008D3B68">
        <w:rPr>
          <w:rFonts w:ascii="Book Antiqua" w:hAnsi="Book Antiqua" w:cs="Times New Roman"/>
          <w:color w:val="000000" w:themeColor="text1"/>
          <w:sz w:val="24"/>
          <w:szCs w:val="24"/>
        </w:rPr>
        <w:t xml:space="preserve"> </w:t>
      </w:r>
      <w:r w:rsidR="00796AA0" w:rsidRPr="008D3B68">
        <w:rPr>
          <w:rFonts w:ascii="Book Antiqua" w:hAnsi="Book Antiqua" w:cs="Times New Roman"/>
          <w:color w:val="000000" w:themeColor="text1"/>
          <w:sz w:val="24"/>
          <w:szCs w:val="24"/>
        </w:rPr>
        <w:t>35</w:t>
      </w:r>
      <w:r w:rsidR="00A40949" w:rsidRPr="008D3B68">
        <w:rPr>
          <w:rFonts w:ascii="Book Antiqua" w:hAnsi="Book Antiqua" w:cs="Times New Roman"/>
          <w:color w:val="000000" w:themeColor="text1"/>
          <w:sz w:val="24"/>
          <w:szCs w:val="24"/>
        </w:rPr>
        <w:t xml:space="preserve"> </w:t>
      </w:r>
      <w:r w:rsidR="003A21F1" w:rsidRPr="008D3B68">
        <w:rPr>
          <w:rFonts w:ascii="Book Antiqua" w:hAnsi="Book Antiqua" w:cs="Times New Roman"/>
          <w:color w:val="000000" w:themeColor="text1"/>
          <w:sz w:val="24"/>
          <w:szCs w:val="24"/>
        </w:rPr>
        <w:t>mo</w:t>
      </w:r>
      <w:r w:rsidR="00A40949" w:rsidRPr="008D3B68">
        <w:rPr>
          <w:rFonts w:ascii="Book Antiqua" w:hAnsi="Book Antiqua" w:cs="Times New Roman"/>
          <w:color w:val="000000" w:themeColor="text1"/>
          <w:sz w:val="24"/>
          <w:szCs w:val="24"/>
        </w:rPr>
        <w:t xml:space="preserve"> after the start of treatment).</w:t>
      </w:r>
      <w:r w:rsidR="006842EC" w:rsidRPr="008D3B68">
        <w:rPr>
          <w:rFonts w:ascii="Book Antiqua" w:hAnsi="Book Antiqua" w:cs="Times New Roman"/>
          <w:color w:val="000000" w:themeColor="text1"/>
          <w:sz w:val="24"/>
          <w:szCs w:val="24"/>
        </w:rPr>
        <w:t xml:space="preserve"> </w:t>
      </w:r>
      <w:r w:rsidR="008E571D" w:rsidRPr="008D3B68">
        <w:rPr>
          <w:rFonts w:ascii="Book Antiqua" w:hAnsi="Book Antiqua" w:cs="Times New Roman"/>
          <w:color w:val="000000" w:themeColor="text1"/>
          <w:sz w:val="24"/>
          <w:szCs w:val="24"/>
        </w:rPr>
        <w:t xml:space="preserve">The remaining </w:t>
      </w:r>
      <w:r w:rsidR="00845A2C" w:rsidRPr="008D3B68">
        <w:rPr>
          <w:rFonts w:ascii="Book Antiqua" w:hAnsi="Book Antiqua" w:cs="Times New Roman"/>
          <w:color w:val="000000" w:themeColor="text1"/>
          <w:sz w:val="24"/>
          <w:szCs w:val="24"/>
        </w:rPr>
        <w:t xml:space="preserve">12 patients in Subgroup U2 </w:t>
      </w:r>
      <w:r w:rsidR="008E571D" w:rsidRPr="008D3B68">
        <w:rPr>
          <w:rFonts w:ascii="Book Antiqua" w:hAnsi="Book Antiqua" w:cs="Times New Roman"/>
          <w:color w:val="000000" w:themeColor="text1"/>
          <w:sz w:val="24"/>
          <w:szCs w:val="24"/>
        </w:rPr>
        <w:t xml:space="preserve">failed to achieve remission induction </w:t>
      </w:r>
      <w:r w:rsidR="00845A2C" w:rsidRPr="008D3B68">
        <w:rPr>
          <w:rFonts w:ascii="Book Antiqua" w:hAnsi="Book Antiqua" w:cs="Times New Roman"/>
          <w:color w:val="000000" w:themeColor="text1"/>
          <w:sz w:val="24"/>
          <w:szCs w:val="24"/>
        </w:rPr>
        <w:t xml:space="preserve">during </w:t>
      </w:r>
      <w:r w:rsidR="008E571D" w:rsidRPr="008D3B68">
        <w:rPr>
          <w:rFonts w:ascii="Book Antiqua" w:hAnsi="Book Antiqua" w:cs="Times New Roman"/>
          <w:color w:val="000000" w:themeColor="text1"/>
          <w:sz w:val="24"/>
          <w:szCs w:val="24"/>
        </w:rPr>
        <w:t>follow-up</w:t>
      </w:r>
      <w:r w:rsidR="00261D36" w:rsidRPr="008D3B68">
        <w:rPr>
          <w:rFonts w:ascii="Book Antiqua" w:hAnsi="Book Antiqua" w:cs="Times New Roman"/>
          <w:color w:val="000000" w:themeColor="text1"/>
          <w:sz w:val="24"/>
          <w:szCs w:val="24"/>
        </w:rPr>
        <w:t>,</w:t>
      </w:r>
      <w:r w:rsidR="008E571D" w:rsidRPr="008D3B68">
        <w:rPr>
          <w:rFonts w:ascii="Book Antiqua" w:hAnsi="Book Antiqua" w:cs="Times New Roman"/>
          <w:color w:val="000000" w:themeColor="text1"/>
          <w:sz w:val="24"/>
          <w:szCs w:val="24"/>
        </w:rPr>
        <w:t xml:space="preserve"> and PSL was added</w:t>
      </w:r>
      <w:r w:rsidR="008C5289" w:rsidRPr="008D3B68">
        <w:rPr>
          <w:rFonts w:ascii="Book Antiqua" w:hAnsi="Book Antiqua" w:cs="AdvPTimes"/>
          <w:color w:val="FF0000"/>
          <w:kern w:val="0"/>
          <w:sz w:val="24"/>
          <w:szCs w:val="24"/>
        </w:rPr>
        <w:t xml:space="preserve"> </w:t>
      </w:r>
      <w:r w:rsidR="008C5289" w:rsidRPr="008D3B68">
        <w:rPr>
          <w:rFonts w:ascii="Book Antiqua" w:hAnsi="Book Antiqua" w:cs="Times New Roman"/>
          <w:color w:val="000000" w:themeColor="text1"/>
          <w:sz w:val="24"/>
          <w:szCs w:val="24"/>
        </w:rPr>
        <w:t xml:space="preserve">during </w:t>
      </w:r>
      <w:r w:rsidR="00A375C3" w:rsidRPr="008D3B68">
        <w:rPr>
          <w:rFonts w:ascii="Book Antiqua" w:hAnsi="Book Antiqua" w:cs="Times New Roman"/>
          <w:color w:val="000000" w:themeColor="text1"/>
          <w:sz w:val="24"/>
          <w:szCs w:val="24"/>
        </w:rPr>
        <w:t>7 (range</w:t>
      </w:r>
      <w:r w:rsidR="009A61A4">
        <w:rPr>
          <w:rFonts w:ascii="Book Antiqua" w:eastAsia="宋体" w:hAnsi="Book Antiqua" w:cs="Times New Roman" w:hint="eastAsia"/>
          <w:color w:val="000000" w:themeColor="text1"/>
          <w:sz w:val="24"/>
          <w:szCs w:val="24"/>
        </w:rPr>
        <w:t xml:space="preserve">: </w:t>
      </w:r>
      <w:r w:rsidR="00A375C3" w:rsidRPr="008D3B68">
        <w:rPr>
          <w:rFonts w:ascii="Book Antiqua" w:hAnsi="Book Antiqua" w:cs="Times New Roman"/>
          <w:color w:val="000000" w:themeColor="text1"/>
          <w:sz w:val="24"/>
          <w:szCs w:val="24"/>
        </w:rPr>
        <w:t>2-18) mo</w:t>
      </w:r>
      <w:r w:rsidR="008E571D" w:rsidRPr="008D3B68">
        <w:rPr>
          <w:rFonts w:ascii="Book Antiqua" w:hAnsi="Book Antiqua" w:cs="Times New Roman"/>
          <w:color w:val="000000" w:themeColor="text1"/>
          <w:sz w:val="24"/>
          <w:szCs w:val="24"/>
        </w:rPr>
        <w:t>.</w:t>
      </w:r>
      <w:r w:rsidR="00FC0679" w:rsidRPr="008D3B68">
        <w:rPr>
          <w:rFonts w:ascii="Book Antiqua" w:hAnsi="Book Antiqua" w:cs="Times New Roman"/>
          <w:color w:val="FF0000"/>
          <w:sz w:val="24"/>
          <w:szCs w:val="24"/>
        </w:rPr>
        <w:t xml:space="preserve"> </w:t>
      </w:r>
    </w:p>
    <w:p w:rsidR="00FB3902" w:rsidRPr="008D3B68" w:rsidRDefault="00FB3902" w:rsidP="00352D86">
      <w:pPr>
        <w:spacing w:line="360" w:lineRule="auto"/>
        <w:rPr>
          <w:rFonts w:ascii="Book Antiqua" w:hAnsi="Book Antiqua" w:cs="Times New Roman"/>
          <w:i/>
          <w:sz w:val="24"/>
          <w:szCs w:val="24"/>
        </w:rPr>
      </w:pPr>
    </w:p>
    <w:p w:rsidR="00FB3902" w:rsidRPr="008D3B68" w:rsidRDefault="00EF2880" w:rsidP="00352D86">
      <w:pPr>
        <w:spacing w:line="360" w:lineRule="auto"/>
        <w:rPr>
          <w:rFonts w:ascii="Book Antiqua" w:hAnsi="Book Antiqua" w:cs="Times New Roman"/>
          <w:b/>
          <w:sz w:val="24"/>
          <w:szCs w:val="24"/>
        </w:rPr>
      </w:pPr>
      <w:r w:rsidRPr="008D3B68">
        <w:rPr>
          <w:rFonts w:ascii="Book Antiqua" w:hAnsi="Book Antiqua" w:cs="Times New Roman"/>
          <w:b/>
          <w:i/>
          <w:sz w:val="24"/>
          <w:szCs w:val="24"/>
        </w:rPr>
        <w:t>Comparison of clinical features among two subgroups classified according to the effect of UDCA</w:t>
      </w:r>
      <w:r w:rsidR="007843F7" w:rsidRPr="008D3B68">
        <w:rPr>
          <w:rFonts w:ascii="Book Antiqua" w:hAnsi="Book Antiqua" w:cs="Times New Roman"/>
          <w:b/>
          <w:sz w:val="24"/>
          <w:szCs w:val="24"/>
        </w:rPr>
        <w:t xml:space="preserve"> </w:t>
      </w:r>
    </w:p>
    <w:p w:rsidR="00A25D2B" w:rsidRPr="008D3B68" w:rsidRDefault="00EF2880" w:rsidP="00352D86">
      <w:pPr>
        <w:spacing w:line="360" w:lineRule="auto"/>
        <w:rPr>
          <w:rFonts w:ascii="Book Antiqua" w:hAnsi="Book Antiqua" w:cs="Times New Roman"/>
          <w:b/>
          <w:sz w:val="24"/>
          <w:szCs w:val="24"/>
        </w:rPr>
      </w:pPr>
      <w:r w:rsidRPr="008D3B68">
        <w:rPr>
          <w:rFonts w:ascii="Book Antiqua" w:hAnsi="Book Antiqua" w:cs="Times New Roman"/>
          <w:sz w:val="24"/>
          <w:szCs w:val="24"/>
        </w:rPr>
        <w:t>The rate</w:t>
      </w:r>
      <w:r w:rsidR="00AB6AD3" w:rsidRPr="008D3B68">
        <w:rPr>
          <w:rFonts w:ascii="Book Antiqua" w:hAnsi="Book Antiqua" w:cs="Times New Roman"/>
          <w:sz w:val="24"/>
          <w:szCs w:val="24"/>
        </w:rPr>
        <w:t xml:space="preserve"> of numbers</w:t>
      </w:r>
      <w:r w:rsidRPr="008D3B68">
        <w:rPr>
          <w:rFonts w:ascii="Book Antiqua" w:hAnsi="Book Antiqua" w:cs="Times New Roman"/>
          <w:b/>
          <w:sz w:val="24"/>
          <w:szCs w:val="24"/>
        </w:rPr>
        <w:t xml:space="preserve"> </w:t>
      </w:r>
      <w:r w:rsidRPr="008D3B68">
        <w:rPr>
          <w:rFonts w:ascii="Book Antiqua" w:hAnsi="Book Antiqua" w:cs="Times New Roman"/>
          <w:sz w:val="24"/>
          <w:szCs w:val="24"/>
        </w:rPr>
        <w:t>was 73% in Subgroup U1</w:t>
      </w:r>
      <w:r w:rsidR="00261D36" w:rsidRPr="008D3B68">
        <w:rPr>
          <w:rFonts w:ascii="Book Antiqua" w:hAnsi="Book Antiqua" w:cs="Times New Roman"/>
          <w:sz w:val="24"/>
          <w:szCs w:val="24"/>
        </w:rPr>
        <w:t xml:space="preserve"> and </w:t>
      </w:r>
      <w:r w:rsidRPr="008D3B68">
        <w:rPr>
          <w:rFonts w:ascii="Book Antiqua" w:hAnsi="Book Antiqua" w:cs="Times New Roman"/>
          <w:sz w:val="24"/>
          <w:szCs w:val="24"/>
        </w:rPr>
        <w:t>27% in Subgroup U2. Compared with Subgroup U2, Subgroup U1 had significantly lower ALT levels at onset (124 IU</w:t>
      </w:r>
      <w:r w:rsidR="00ED6728" w:rsidRPr="008D3B68">
        <w:rPr>
          <w:rFonts w:ascii="Book Antiqua" w:hAnsi="Book Antiqua" w:cs="Times New Roman"/>
          <w:sz w:val="24"/>
          <w:szCs w:val="24"/>
        </w:rPr>
        <w:t>/L</w:t>
      </w:r>
      <w:r w:rsidRPr="008D3B68">
        <w:rPr>
          <w:rFonts w:ascii="Book Antiqua" w:hAnsi="Book Antiqua" w:cs="Times New Roman"/>
          <w:sz w:val="24"/>
          <w:szCs w:val="24"/>
        </w:rPr>
        <w:t xml:space="preserve"> </w:t>
      </w:r>
      <w:r w:rsidR="00926E36" w:rsidRPr="008D3B68">
        <w:rPr>
          <w:rFonts w:ascii="Book Antiqua" w:hAnsi="Book Antiqua" w:cs="Times New Roman"/>
          <w:i/>
          <w:sz w:val="24"/>
          <w:szCs w:val="24"/>
        </w:rPr>
        <w:t>vs</w:t>
      </w:r>
      <w:r w:rsidRPr="008D3B68">
        <w:rPr>
          <w:rFonts w:ascii="Book Antiqua" w:hAnsi="Book Antiqua" w:cs="Times New Roman"/>
          <w:sz w:val="24"/>
          <w:szCs w:val="24"/>
        </w:rPr>
        <w:t xml:space="preserve"> 262 IU</w:t>
      </w:r>
      <w:r w:rsidR="00ED6728" w:rsidRPr="008D3B68">
        <w:rPr>
          <w:rFonts w:ascii="Book Antiqua" w:hAnsi="Book Antiqua" w:cs="Times New Roman"/>
          <w:sz w:val="24"/>
          <w:szCs w:val="24"/>
        </w:rPr>
        <w:t>/L</w:t>
      </w:r>
      <w:r w:rsidRPr="008D3B68">
        <w:rPr>
          <w:rFonts w:ascii="Book Antiqua" w:hAnsi="Book Antiqua" w:cs="Times New Roman"/>
          <w:sz w:val="24"/>
          <w:szCs w:val="24"/>
        </w:rPr>
        <w:t xml:space="preserve">, </w:t>
      </w:r>
      <w:r w:rsidR="00DF4640" w:rsidRPr="008D3B68">
        <w:rPr>
          <w:rFonts w:ascii="Book Antiqua" w:hAnsi="Book Antiqua" w:cs="Times New Roman"/>
          <w:i/>
          <w:sz w:val="24"/>
          <w:szCs w:val="24"/>
        </w:rPr>
        <w:t>P</w:t>
      </w:r>
      <w:r w:rsidRPr="008D3B68">
        <w:rPr>
          <w:rFonts w:ascii="Book Antiqua" w:hAnsi="Book Antiqua" w:cs="Times New Roman"/>
          <w:sz w:val="24"/>
          <w:szCs w:val="24"/>
        </w:rPr>
        <w:t xml:space="preserve"> = 0.023) and a significantly higher proportion of patients with mild inflammation (A1) on histological </w:t>
      </w:r>
      <w:r w:rsidR="00CA46A2" w:rsidRPr="008D3B68">
        <w:rPr>
          <w:rFonts w:ascii="Book Antiqua" w:hAnsi="Book Antiqua" w:cs="Times New Roman"/>
          <w:sz w:val="24"/>
          <w:szCs w:val="24"/>
        </w:rPr>
        <w:t>examination</w:t>
      </w:r>
      <w:r w:rsidRPr="008D3B68">
        <w:rPr>
          <w:rFonts w:ascii="Book Antiqua" w:hAnsi="Book Antiqua" w:cs="Times New Roman"/>
          <w:sz w:val="24"/>
          <w:szCs w:val="24"/>
        </w:rPr>
        <w:t xml:space="preserve"> (70.6% </w:t>
      </w:r>
      <w:r w:rsidR="00926E36" w:rsidRPr="008D3B68">
        <w:rPr>
          <w:rFonts w:ascii="Book Antiqua" w:hAnsi="Book Antiqua" w:cs="Times New Roman"/>
          <w:i/>
          <w:sz w:val="24"/>
          <w:szCs w:val="24"/>
        </w:rPr>
        <w:t>vs</w:t>
      </w:r>
      <w:r w:rsidRPr="008D3B68">
        <w:rPr>
          <w:rFonts w:ascii="Book Antiqua" w:hAnsi="Book Antiqua" w:cs="Times New Roman"/>
          <w:sz w:val="24"/>
          <w:szCs w:val="24"/>
        </w:rPr>
        <w:t xml:space="preserve"> 35.7%, </w:t>
      </w:r>
      <w:r w:rsidR="00DF4640" w:rsidRPr="008D3B68">
        <w:rPr>
          <w:rFonts w:ascii="Book Antiqua" w:hAnsi="Book Antiqua" w:cs="Times New Roman"/>
          <w:i/>
          <w:sz w:val="24"/>
          <w:szCs w:val="24"/>
        </w:rPr>
        <w:t>P</w:t>
      </w:r>
      <w:r w:rsidRPr="008D3B68">
        <w:rPr>
          <w:rFonts w:ascii="Book Antiqua" w:hAnsi="Book Antiqua" w:cs="Times New Roman"/>
          <w:sz w:val="24"/>
          <w:szCs w:val="24"/>
        </w:rPr>
        <w:t xml:space="preserve"> </w:t>
      </w:r>
      <w:r w:rsidR="00901D07" w:rsidRPr="008D3B68">
        <w:rPr>
          <w:rFonts w:ascii="Book Antiqua" w:hAnsi="Book Antiqua" w:cs="Times New Roman"/>
          <w:sz w:val="24"/>
          <w:szCs w:val="24"/>
        </w:rPr>
        <w:t>=</w:t>
      </w:r>
      <w:r w:rsidRPr="008D3B68">
        <w:rPr>
          <w:rFonts w:ascii="Book Antiqua" w:hAnsi="Book Antiqua" w:cs="Times New Roman"/>
          <w:sz w:val="24"/>
          <w:szCs w:val="24"/>
        </w:rPr>
        <w:t xml:space="preserve"> 0.025) (Table 2). However, there were no differences between Subgroups U1 and U2 in other clinical features</w:t>
      </w:r>
      <w:r w:rsidR="00261D36" w:rsidRPr="008D3B68">
        <w:rPr>
          <w:rFonts w:ascii="Book Antiqua" w:hAnsi="Book Antiqua" w:cs="Times New Roman"/>
          <w:sz w:val="24"/>
          <w:szCs w:val="24"/>
        </w:rPr>
        <w:t>, as</w:t>
      </w:r>
      <w:r w:rsidRPr="008D3B68">
        <w:rPr>
          <w:rFonts w:ascii="Book Antiqua" w:hAnsi="Book Antiqua" w:cs="Times New Roman"/>
          <w:sz w:val="24"/>
          <w:szCs w:val="24"/>
        </w:rPr>
        <w:t xml:space="preserve"> shown in Table 2.</w:t>
      </w:r>
    </w:p>
    <w:p w:rsidR="00FB3902" w:rsidRPr="008D3B68" w:rsidRDefault="00FB3902" w:rsidP="00352D86">
      <w:pPr>
        <w:spacing w:line="360" w:lineRule="auto"/>
        <w:rPr>
          <w:rFonts w:ascii="Book Antiqua" w:hAnsi="Book Antiqua" w:cs="Times New Roman"/>
          <w:i/>
          <w:sz w:val="24"/>
          <w:szCs w:val="24"/>
        </w:rPr>
      </w:pPr>
    </w:p>
    <w:p w:rsidR="00FB3902" w:rsidRPr="008D3B68" w:rsidRDefault="00A25D2B" w:rsidP="00352D86">
      <w:pPr>
        <w:spacing w:line="360" w:lineRule="auto"/>
        <w:rPr>
          <w:rFonts w:ascii="Book Antiqua" w:hAnsi="Book Antiqua" w:cs="Times New Roman"/>
          <w:b/>
          <w:i/>
          <w:sz w:val="24"/>
          <w:szCs w:val="24"/>
        </w:rPr>
      </w:pPr>
      <w:r w:rsidRPr="008D3B68">
        <w:rPr>
          <w:rFonts w:ascii="Book Antiqua" w:hAnsi="Book Antiqua" w:cs="Times New Roman"/>
          <w:b/>
          <w:i/>
          <w:sz w:val="24"/>
          <w:szCs w:val="24"/>
        </w:rPr>
        <w:t xml:space="preserve">Predictive </w:t>
      </w:r>
      <w:r w:rsidR="00261D36" w:rsidRPr="008D3B68">
        <w:rPr>
          <w:rFonts w:ascii="Book Antiqua" w:hAnsi="Book Antiqua" w:cs="Times New Roman"/>
          <w:b/>
          <w:i/>
          <w:sz w:val="24"/>
          <w:szCs w:val="24"/>
        </w:rPr>
        <w:t>f</w:t>
      </w:r>
      <w:r w:rsidRPr="008D3B68">
        <w:rPr>
          <w:rFonts w:ascii="Book Antiqua" w:hAnsi="Book Antiqua" w:cs="Times New Roman"/>
          <w:b/>
          <w:i/>
          <w:sz w:val="24"/>
          <w:szCs w:val="24"/>
        </w:rPr>
        <w:t xml:space="preserve">actors </w:t>
      </w:r>
      <w:r w:rsidR="00261D36" w:rsidRPr="008D3B68">
        <w:rPr>
          <w:rFonts w:ascii="Book Antiqua" w:hAnsi="Book Antiqua" w:cs="Times New Roman"/>
          <w:b/>
          <w:i/>
          <w:sz w:val="24"/>
          <w:szCs w:val="24"/>
        </w:rPr>
        <w:t>a</w:t>
      </w:r>
      <w:r w:rsidRPr="008D3B68">
        <w:rPr>
          <w:rFonts w:ascii="Book Antiqua" w:hAnsi="Book Antiqua" w:cs="Times New Roman"/>
          <w:b/>
          <w:i/>
          <w:sz w:val="24"/>
          <w:szCs w:val="24"/>
        </w:rPr>
        <w:t xml:space="preserve">ssociated with normalized ALT and sustained remission </w:t>
      </w:r>
      <w:r w:rsidR="001825DE" w:rsidRPr="008D3B68">
        <w:rPr>
          <w:rFonts w:ascii="Book Antiqua" w:hAnsi="Book Antiqua" w:cs="Times New Roman"/>
          <w:b/>
          <w:i/>
          <w:sz w:val="24"/>
          <w:szCs w:val="24"/>
        </w:rPr>
        <w:t xml:space="preserve">with </w:t>
      </w:r>
      <w:r w:rsidRPr="008D3B68">
        <w:rPr>
          <w:rFonts w:ascii="Book Antiqua" w:hAnsi="Book Antiqua" w:cs="Times New Roman"/>
          <w:b/>
          <w:i/>
          <w:sz w:val="24"/>
          <w:szCs w:val="24"/>
        </w:rPr>
        <w:t xml:space="preserve">UDCA </w:t>
      </w:r>
      <w:r w:rsidR="00001CEF" w:rsidRPr="008D3B68">
        <w:rPr>
          <w:rFonts w:ascii="Book Antiqua" w:hAnsi="Book Antiqua" w:cs="Times New Roman"/>
          <w:b/>
          <w:i/>
          <w:sz w:val="24"/>
          <w:szCs w:val="24"/>
        </w:rPr>
        <w:t>monotherapy</w:t>
      </w:r>
      <w:r w:rsidRPr="008D3B68">
        <w:rPr>
          <w:rFonts w:ascii="Book Antiqua" w:hAnsi="Book Antiqua" w:cs="Times New Roman"/>
          <w:b/>
          <w:i/>
          <w:sz w:val="24"/>
          <w:szCs w:val="24"/>
        </w:rPr>
        <w:t xml:space="preserve"> in AIH patients</w:t>
      </w:r>
    </w:p>
    <w:p w:rsidR="0015133D" w:rsidRPr="008D3B68" w:rsidRDefault="00A25D2B" w:rsidP="00352D86">
      <w:pPr>
        <w:spacing w:line="360" w:lineRule="auto"/>
        <w:rPr>
          <w:rFonts w:ascii="Book Antiqua" w:hAnsi="Book Antiqua" w:cs="Times New Roman"/>
          <w:b/>
          <w:sz w:val="24"/>
          <w:szCs w:val="24"/>
        </w:rPr>
      </w:pPr>
      <w:r w:rsidRPr="008D3B68">
        <w:rPr>
          <w:rFonts w:ascii="Book Antiqua" w:hAnsi="Book Antiqua" w:cs="Times New Roman"/>
          <w:sz w:val="24"/>
          <w:szCs w:val="24"/>
        </w:rPr>
        <w:t xml:space="preserve">When multivariate analysis was performed to identify factors contributing to the response to UDCA monotherapy, a serum ALT level of 200 </w:t>
      </w:r>
      <w:r w:rsidR="001825DE" w:rsidRPr="008D3B68">
        <w:rPr>
          <w:rFonts w:ascii="Book Antiqua" w:hAnsi="Book Antiqua" w:cs="Times New Roman"/>
          <w:sz w:val="24"/>
          <w:szCs w:val="24"/>
        </w:rPr>
        <w:t>IU</w:t>
      </w:r>
      <w:r w:rsidR="00ED6728" w:rsidRPr="008D3B68">
        <w:rPr>
          <w:rFonts w:ascii="Book Antiqua" w:hAnsi="Book Antiqua" w:cs="Times New Roman"/>
          <w:sz w:val="24"/>
          <w:szCs w:val="24"/>
        </w:rPr>
        <w:t>/L</w:t>
      </w:r>
      <w:r w:rsidR="001825DE" w:rsidRPr="008D3B68">
        <w:rPr>
          <w:rFonts w:ascii="Book Antiqua" w:hAnsi="Book Antiqua" w:cs="Times New Roman"/>
          <w:sz w:val="24"/>
          <w:szCs w:val="24"/>
        </w:rPr>
        <w:t xml:space="preserve"> </w:t>
      </w:r>
      <w:r w:rsidRPr="008D3B68">
        <w:rPr>
          <w:rFonts w:ascii="Book Antiqua" w:hAnsi="Book Antiqua" w:cs="Times New Roman"/>
          <w:sz w:val="24"/>
          <w:szCs w:val="24"/>
        </w:rPr>
        <w:t>or lower was found to be associated with a significant difference (Table 3).</w:t>
      </w:r>
    </w:p>
    <w:p w:rsidR="007843F7" w:rsidRPr="008D3B68" w:rsidRDefault="00261D36" w:rsidP="009A61A4">
      <w:pPr>
        <w:spacing w:line="360" w:lineRule="auto"/>
        <w:ind w:firstLineChars="100" w:firstLine="240"/>
        <w:rPr>
          <w:rFonts w:ascii="Book Antiqua" w:hAnsi="Book Antiqua" w:cs="Times New Roman"/>
          <w:sz w:val="24"/>
          <w:szCs w:val="24"/>
        </w:rPr>
      </w:pPr>
      <w:r w:rsidRPr="008D3B68">
        <w:rPr>
          <w:rFonts w:ascii="Book Antiqua" w:hAnsi="Book Antiqua" w:cs="Times New Roman"/>
          <w:sz w:val="24"/>
          <w:szCs w:val="24"/>
        </w:rPr>
        <w:t>On</w:t>
      </w:r>
      <w:r w:rsidR="00A9672D" w:rsidRPr="008D3B68">
        <w:rPr>
          <w:rFonts w:ascii="Book Antiqua" w:hAnsi="Book Antiqua" w:cs="Times New Roman"/>
          <w:sz w:val="24"/>
          <w:szCs w:val="24"/>
        </w:rPr>
        <w:t xml:space="preserve"> subgroup analysis, remission was induced and maintained by UDCA in 85%, 83%, and 92% of patients in Subgroups A, B, and C, respectively. In these subgroups, high rates of remission induction and successful maintenance were achieved by UDCA. On the other hand, the rates of remission induction and successful maintenance in Subgroups D, E, and F were low</w:t>
      </w:r>
      <w:r w:rsidRPr="008D3B68">
        <w:rPr>
          <w:rFonts w:ascii="Book Antiqua" w:hAnsi="Book Antiqua" w:cs="Times New Roman"/>
          <w:sz w:val="24"/>
          <w:szCs w:val="24"/>
        </w:rPr>
        <w:t>,</w:t>
      </w:r>
      <w:r w:rsidR="00A9672D" w:rsidRPr="008D3B68">
        <w:rPr>
          <w:rFonts w:ascii="Book Antiqua" w:hAnsi="Book Antiqua" w:cs="Times New Roman"/>
          <w:sz w:val="24"/>
          <w:szCs w:val="24"/>
        </w:rPr>
        <w:t xml:space="preserve"> at 40%, 53%, and 50%, respectively</w:t>
      </w:r>
      <w:r w:rsidR="00750CA0" w:rsidRPr="008D3B68">
        <w:rPr>
          <w:rFonts w:ascii="Book Antiqua" w:hAnsi="Book Antiqua" w:cs="Times New Roman"/>
          <w:sz w:val="24"/>
          <w:szCs w:val="24"/>
        </w:rPr>
        <w:t xml:space="preserve"> (Figure</w:t>
      </w:r>
      <w:r w:rsidR="003010C6" w:rsidRPr="008D3B68">
        <w:rPr>
          <w:rFonts w:ascii="Book Antiqua" w:hAnsi="Book Antiqua" w:cs="Times New Roman"/>
          <w:sz w:val="24"/>
          <w:szCs w:val="24"/>
        </w:rPr>
        <w:t xml:space="preserve"> 1</w:t>
      </w:r>
      <w:r w:rsidR="000809AF" w:rsidRPr="008D3B68">
        <w:rPr>
          <w:rFonts w:ascii="Book Antiqua" w:hAnsi="Book Antiqua" w:cs="Times New Roman"/>
          <w:sz w:val="24"/>
          <w:szCs w:val="24"/>
        </w:rPr>
        <w:t>)</w:t>
      </w:r>
      <w:r w:rsidR="00A9672D" w:rsidRPr="008D3B68">
        <w:rPr>
          <w:rFonts w:ascii="Book Antiqua" w:hAnsi="Book Antiqua" w:cs="Times New Roman"/>
          <w:sz w:val="24"/>
          <w:szCs w:val="24"/>
        </w:rPr>
        <w:t>.</w:t>
      </w:r>
    </w:p>
    <w:p w:rsidR="007F7671" w:rsidRPr="008D3B68" w:rsidRDefault="007F7671" w:rsidP="00352D86">
      <w:pPr>
        <w:spacing w:line="360" w:lineRule="auto"/>
        <w:rPr>
          <w:rFonts w:ascii="Book Antiqua" w:hAnsi="Book Antiqua" w:cs="Times New Roman"/>
          <w:b/>
          <w:sz w:val="24"/>
          <w:szCs w:val="24"/>
        </w:rPr>
      </w:pPr>
    </w:p>
    <w:p w:rsidR="000E24AE" w:rsidRPr="008D3B68" w:rsidRDefault="00750CA0" w:rsidP="00352D86">
      <w:pPr>
        <w:spacing w:line="360" w:lineRule="auto"/>
        <w:rPr>
          <w:rFonts w:ascii="Book Antiqua" w:hAnsi="Book Antiqua" w:cs="Times New Roman"/>
          <w:b/>
          <w:sz w:val="24"/>
          <w:szCs w:val="24"/>
        </w:rPr>
      </w:pPr>
      <w:r w:rsidRPr="008D3B68">
        <w:rPr>
          <w:rFonts w:ascii="Book Antiqua" w:hAnsi="Book Antiqua" w:cs="Times New Roman"/>
          <w:b/>
          <w:sz w:val="24"/>
          <w:szCs w:val="24"/>
        </w:rPr>
        <w:t>DISCUSSION</w:t>
      </w:r>
    </w:p>
    <w:p w:rsidR="00A9672D" w:rsidRPr="008D3B68" w:rsidRDefault="00A9672D" w:rsidP="00352D86">
      <w:pPr>
        <w:spacing w:line="360" w:lineRule="auto"/>
        <w:rPr>
          <w:rFonts w:ascii="Book Antiqua" w:hAnsi="Book Antiqua" w:cs="Times New Roman"/>
          <w:sz w:val="24"/>
          <w:szCs w:val="24"/>
        </w:rPr>
      </w:pPr>
      <w:r w:rsidRPr="008D3B68">
        <w:rPr>
          <w:rFonts w:ascii="Book Antiqua" w:hAnsi="Book Antiqua" w:cs="Times New Roman"/>
          <w:sz w:val="24"/>
          <w:szCs w:val="24"/>
        </w:rPr>
        <w:t>UDCA has been widely used as the first choice drug for the treatment of PBC</w:t>
      </w:r>
      <w:r w:rsidR="00A313A7" w:rsidRPr="008D3B68">
        <w:rPr>
          <w:rFonts w:ascii="Book Antiqua" w:hAnsi="Book Antiqua" w:cs="Times New Roman"/>
          <w:sz w:val="24"/>
          <w:szCs w:val="24"/>
        </w:rPr>
        <w:fldChar w:fldCharType="begin" w:fldLock="1"/>
      </w:r>
      <w:r w:rsidR="00D25B64" w:rsidRPr="008D3B68">
        <w:rPr>
          <w:rFonts w:ascii="Book Antiqua" w:hAnsi="Book Antiqua" w:cs="Times New Roman"/>
          <w:sz w:val="24"/>
          <w:szCs w:val="24"/>
        </w:rPr>
        <w:instrText>ADDIN CSL_CITATION { "citationItems" : [ { "id" : "ITEM-1", "itemData" : { "DOI" : "10.1056/NEJM199105303242204", "ISSN" : "0028-4793", "PMID" : "1674105", "abstract" : "BACKGROUND: In primary biliary cirrhosis the hepatic lesions may result, at least in part, from the intracellular accumulation of potentially toxic endogenous bile acids. Preliminary work suggests that the administration of ursodiol (also called ursodeoxycholic acid), a hydrophilic bile acid without hepatotoxicity, leads to improvement in the condition of patients with primary biliary cirrhosis. METHODS: We conducted a two-year, multicenter, double-blind trial to compare the efficacy of ursodiol with that of placebo. Patients with biopsy-proved primary biliary cirrhosis were randomly assigned to receive either ursodiol (13 to 15 mg per kilogram of body weight per day) (n = 73) or placebo (n = 73). Treatment failure was defined as a doubling of bilirubin levels to more than 70 mumol per liter or the occurrence of a severe complication (ascites or variceal bleeding) or an adverse reaction. RESULTS: Treatment failed in 6 patients in the ursodiol group, as compared with 13 in the placebo group (P less than 0.01 by Cox regression model). A single patient in each group withdrew because of minor adverse effects. After two years of treatment, the proportion of patients with clinically overt disease decreased only in the ursodiol group (P less than 0.02). The patients treated with ursodiol had significant improvements in serum levels of bilirubin, alkaline phosphatase, alanine aminotransferase, aspartate aminotransferase, gamma-glutamyltransferase, cholesterol, and IgM (all P less than 0.001); the antimitochondrial-antibody titer (P less than 0.01); and the Mayo risk score (P less than 0.001). Follow-up analysis of 95 liver-biopsy specimens showed a significant improvement in the mean histologic score (P less than 0.002) and in all the characteristic histologic features except fibrosis only in the group given ursodiol. CONCLUSIONS: Ursodiol is a safe and effective treatment for primary biliary cirrhosis.", "author" : [ { "dropping-particle" : "", "family" : "Poupon", "given" : "R E", "non-dropping-particle" : "", "parse-names" : false, "suffix" : "" }, { "dropping-particle" : "", "family" : "Balkau", "given" : "B", "non-dropping-particle" : "", "parse-names" : false, "suffix" : "" }, { "dropping-particle" : "", "family" : "Eschw\u00e8ge", "given" : "E", "non-dropping-particle" : "", "parse-names" : false, "suffix" : "" }, { "dropping-particle" : "", "family" : "Poupon", "given" : "R", "non-dropping-particle" : "", "parse-names" : false, "suffix" : "" } ], "container-title" : "The New England journal of medicine", "id" : "ITEM-1", "issue" : "22", "issued" : { "date-parts" : [ [ "1991" ] ] }, "page" : "1548-54", "title" : "A multicenter, controlled trial of ursodiol for the treatment of primary biliary cirrhosis. UDCA-PBC Study Group.", "type" : "article-journal", "volume" : "324" }, "uris" : [ "http://www.mendeley.com/documents/?uuid=be486dde-30d3-4b3f-b234-f4f90484f050" ] }, { "id" : "ITEM-2", "itemData" : { "ISSN" : "0016-5085", "PMID" : "9287980", "abstract" : "BACKGROUND &amp; AIMS: Long-term ursodeoxycholic acid (UDCA) therapy slows the progression of primary biliary cirrhosis. This study examined the effect of UDCA therapy on survival free of liver transplantation in a large group of patients. METHODS: Data from three clinical trials were combined in which patients with primary biliary cirrhosis were randomly assigned to receive UDCA (n = 273) or placebo (n = 275). After 2 years, patients from French and Canadian studies received UDCA for up to 2 years. Patients from the American study remained on their assigned treatment for up to 4 years. RESULTS: Survival free of liver transplantation was significantly improved in the patients treated with UDCA compared with the patients originally assigned to placebo (P &lt; 0.001; relative risk, 1.9; 95% confidence interval, 1.3-2.8). Subgroup analyses showed that survival free of liver transplantation was significantly improved in medium- and high-risk groups (serum bilirubin level, 1.4 to 3.5 or &gt; 3.5 mg/dL; P &lt; 0.0001 and P &lt; 0.03, respectively) and histological stage IV subgroup (P &lt; 0.01). CONCLUSIONS: Long-term UDCA therapy improves survival free of liver transplantation in patients with moderate or severe disease. An effect in patients with mild disease is probably not found because they do not progress to end-stage disease in 4 years.", "author" : [ { "dropping-particle" : "", "family" : "Poupon", "given" : "R E", "non-dropping-particle" : "", "parse-names" : false, "suffix" : "" }, { "dropping-particle" : "", "family" : "Lindor", "given" : "K D", "non-dropping-particle" : "", "parse-names" : false, "suffix" : "" }, { "dropping-particle" : "", "family" : "Cauch-Dudek", "given" : "K", "non-dropping-particle" : "", "parse-names" : false, "suffix" : "" }, { "dropping-particle" : "", "family" : "Dickson", "given" : "E R", "non-dropping-particle" : "", "parse-names" : false, "suffix" : "" }, { "dropping-particle" : "", "family" : "Poupon", "given" : "R", "non-dropping-particle" : "", "parse-names" : false, "suffix" : "" }, { "dropping-particle" : "", "family" : "Heathcote", "given" : "E J", "non-dropping-particle" : "", "parse-names" : false, "suffix" : "" } ], "container-title" : "Gastroenterology", "id" : "ITEM-2", "issue" : "3", "issued" : { "date-parts" : [ [ "1997" ] ] }, "page" : "884-90", "title" : "Combined analysis of randomized controlled trials of ursodeoxycholic acid in primary biliary cirrhosis.", "type" : "article-journal", "volume" : "113" }, "uris" : [ "http://www.mendeley.com/documents/?uuid=d888d30a-e5e4-4a48-aa2a-1513e0bf5170" ] }, { "id" : "ITEM-3", "itemData" : { "DOI" : "10.1111/j.1572-0241.2006.00634.x", "ISSN" : "0002-9270", "PMID" : "16863557", "abstract" : "The effect of ursodeoxycholic acid (UDCA) treatment on survival and liver histological progression of primary biliary cirrhosis (PBC) remains uncertain. The aim of this study is to assess the long-term efficacy of mid-dose UDCA treatment for PBC.", "author" : [ { "dropping-particle" : "", "family" : "Shi", "given" : "Jian", "non-dropping-particle" : "", "parse-names" : false, "suffix" : "" }, { "dropping-particle" : "", "family" : "Wu", "given" : "Cheng", "non-dropping-particle" : "", "parse-names" : false, "suffix" : "" }, { "dropping-particle" : "", "family" : "Lin", "given" : "Yong", "non-dropping-particle" : "", "parse-names" : false, "suffix" : "" }, { "dropping-particle" : "", "family" : "Chen", "given" : "Yue-Xiang", "non-dropping-particle" : "", "parse-names" : false, "suffix" : "" }, { "dropping-particle" : "", "family" : "Zhu", "given" : "Liang", "non-dropping-particle" : "", "parse-names" : false, "suffix" : "" }, { "dropping-particle" : "", "family" : "Xie", "given" : "Wei-fen", "non-dropping-particle" : "", "parse-names" : false, "suffix" : "" } ], "container-title" : "The American journal of gastroenterology", "id" : "ITEM-3", "issue" : "7", "issued" : { "date-parts" : [ [ "2006" ] ] }, "page" : "1529-38", "title" : "Long-term effects of mid-dose ursodeoxycholic acid in primary biliary cirrhosis: a meta-analysis of randomized controlled trials.", "type" : "article-journal", "volume" : "101" }, "uris" : [ "http://www.mendeley.com/documents/?uuid=af8d9242-a573-4df3-a522-0131f521f4da" ] } ], "mendeley" : { "formattedCitation" : "&lt;sup&gt;[9\u201311]&lt;/sup&gt;", "plainTextFormattedCitation" : "[9\u201311]", "previouslyFormattedCitation" : "&lt;sup&gt;[9\u201311]&lt;/sup&gt;"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D25B64" w:rsidRPr="008D3B68">
        <w:rPr>
          <w:rFonts w:ascii="Book Antiqua" w:hAnsi="Book Antiqua" w:cs="Times New Roman"/>
          <w:noProof/>
          <w:sz w:val="24"/>
          <w:szCs w:val="24"/>
          <w:vertAlign w:val="superscript"/>
        </w:rPr>
        <w:t>[9</w:t>
      </w:r>
      <w:r w:rsidR="009A61A4">
        <w:rPr>
          <w:rFonts w:ascii="Book Antiqua" w:eastAsia="宋体" w:hAnsi="Book Antiqua" w:cs="Times New Roman" w:hint="eastAsia"/>
          <w:noProof/>
          <w:sz w:val="24"/>
          <w:szCs w:val="24"/>
          <w:vertAlign w:val="superscript"/>
        </w:rPr>
        <w:t>-</w:t>
      </w:r>
      <w:r w:rsidR="00D25B64" w:rsidRPr="008D3B68">
        <w:rPr>
          <w:rFonts w:ascii="Book Antiqua" w:hAnsi="Book Antiqua" w:cs="Times New Roman"/>
          <w:noProof/>
          <w:sz w:val="24"/>
          <w:szCs w:val="24"/>
          <w:vertAlign w:val="superscript"/>
        </w:rPr>
        <w:t>11]</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This is because of its efficacy for cholestasis, exerte</w:t>
      </w:r>
      <w:r w:rsidR="00FB07C9" w:rsidRPr="008D3B68">
        <w:rPr>
          <w:rFonts w:ascii="Book Antiqua" w:hAnsi="Book Antiqua" w:cs="Times New Roman"/>
          <w:sz w:val="24"/>
          <w:szCs w:val="24"/>
        </w:rPr>
        <w:t>d through its choleretic action</w:t>
      </w:r>
      <w:r w:rsidR="00FB07C9" w:rsidRPr="008D3B68">
        <w:rPr>
          <w:rFonts w:ascii="Book Antiqua" w:hAnsi="Book Antiqua" w:cs="Times New Roman"/>
          <w:b/>
          <w:color w:val="0000FF"/>
          <w:sz w:val="24"/>
          <w:szCs w:val="24"/>
        </w:rPr>
        <w:t xml:space="preserve"> </w:t>
      </w:r>
      <w:r w:rsidR="00FB07C9" w:rsidRPr="008D3B68">
        <w:rPr>
          <w:rFonts w:ascii="Book Antiqua" w:hAnsi="Book Antiqua" w:cs="Times New Roman"/>
          <w:sz w:val="24"/>
          <w:szCs w:val="24"/>
        </w:rPr>
        <w:t>which is well understood</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"ISSN" : "0016-5085", "PMID" : "8276175", "abstract" : "BACKGROUND/AIMS: Ursodeoxycholic acid (UDCA) is clinically beneficial in chronic cholestatic liver disease, but the underlying mechanisms are unclear. It has been suggested that intrahepatic retention of endogenous hydrophobic bile acids contributes to cholestasis and that the hydrophilic bile acid UDCA reduces this retention; the aim of our study was to test these hypotheses. METHODS: Twelve patients with primary biliary cirrhosis (PBC) and 5 with primary sclerosing cholangitis (PSC) were studied before and during UDCA (10 mg.kg-1.day-1) and compared with 11 healthy controls. Following intravenous 75Se labeled homocholic acid taurine (75SeHCAT) in the fasting state, abdominal gamma camera imaging was performed for 90 minutes. Initial hepatic uptake, transit time, net, and absolute excretory rates for 75SeHCAT were measured. RESULTS: Mean initial hepatic uptake was not different between patients and controls (17.2% and 19.9% dose/minute, not significant). However, net and absolute excretory rates were significantly reduced in patients (1.4% vs. 3.7% dose/minute, P &lt; 0.0001; and 2.35% vs. 3.96% dose/minute, P &lt; 0.02, respectively), and hepatic transit time was prolonged (18.7 minutes vs. 11.6 minutes, P &lt; 0.002). UDCA improved net and absolute hepatic excretory rates and transit time (1.43% to 1.96% dose/minute, P &lt; 0.001; 2.35% to 3.15% dose/minute, P &lt; 0.005 and 18.7 to 14.7 minutes, P &lt; 0.001, respectively). However, UDCA did not alter initial hepatic uptake. CONCLUSIONS: In PBC and PSC, there is a defect in hepatic bile acid excretion but not in uptake, implying bile acid retention. This retention is reduced by UDCA.", "author" : [ { "dropping-particle" : "", "family" : "Jazrawi", "given" : "R P", "non-dropping-particle" : "", "parse-names" : false, "suffix" : "" }, { "dropping-particle" : "", "family" : "Caestecker", "given" : "J S", "non-dropping-particle" : "de", "parse-names" : false, "suffix" : "" }, { "dropping-particle" : "", "family" : "Goggin", "given" : "P M", "non-dropping-particle" : "", "parse-names" : false, "suffix" : "" }, { "dropping-particle" : "", "family" : "Britten", "given" : "A J", "non-dropping-particle" : "", "parse-names" : false, "suffix" : "" }, { "dropping-particle" : "", "family" : "Joseph", "given" : "A E", "non-dropping-particle" : "", "parse-names" : false, "suffix" : "" }, { "dropping-particle" : "", "family" : "Maxwell", "given" : "J D", "non-dropping-particle" : "", "parse-names" : false, "suffix" : "" }, { "dropping-particle" : "", "family" : "Northfield", "given" : "T C", "non-dropping-particle" : "", "parse-names" : false, "suffix" : "" } ], "container-title" : "Gastroenterology", "id" : "ITEM-1", "issue" : "1", "issued" : { "date-parts" : [ [ "1994" ] ] }, "page" : "134-42", "title" : "Kinetics of hepatic bile acid handling in cholestatic liver disease: effect of ursodeoxycholic acid.", "type" : "article-journal", "volume" : "106" }, "uris" : [ "http://www.mendeley.com/documents/?uuid=dbd4dc1d-0d43-4175-9acc-56778e3ad725" ] } ], "mendeley" : { "formattedCitation" : "&lt;sup&gt;[19]&lt;/sup&gt;", "plainTextFormattedCitation" : "[19]", "previouslyFormattedCitation" : "&lt;sup&gt;[19]&lt;/sup&gt;"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[19]</w:t>
      </w:r>
      <w:r w:rsidR="00A313A7" w:rsidRPr="008D3B68">
        <w:rPr>
          <w:rFonts w:ascii="Book Antiqua" w:hAnsi="Book Antiqua" w:cs="Times New Roman"/>
          <w:sz w:val="24"/>
          <w:szCs w:val="24"/>
        </w:rPr>
        <w:fldChar w:fldCharType="end"/>
      </w:r>
      <w:r w:rsidR="00FB07C9" w:rsidRPr="008D3B68">
        <w:rPr>
          <w:rFonts w:ascii="Book Antiqua" w:hAnsi="Book Antiqua" w:cs="Times New Roman"/>
          <w:sz w:val="24"/>
          <w:szCs w:val="24"/>
        </w:rPr>
        <w:t>.</w:t>
      </w:r>
      <w:r w:rsidR="00FB07C9" w:rsidRPr="009A61A4">
        <w:rPr>
          <w:rFonts w:ascii="Book Antiqua" w:hAnsi="Book Antiqua" w:cs="Times New Roman"/>
          <w:sz w:val="24"/>
          <w:szCs w:val="24"/>
        </w:rPr>
        <w:t xml:space="preserve"> </w:t>
      </w:r>
      <w:r w:rsidR="0090201E" w:rsidRPr="009A61A4">
        <w:rPr>
          <w:rFonts w:ascii="Book Antiqua" w:hAnsi="Book Antiqua" w:cs="Times New Roman"/>
          <w:sz w:val="24"/>
          <w:szCs w:val="24"/>
        </w:rPr>
        <w:t>In</w:t>
      </w:r>
      <w:r w:rsidR="0090201E" w:rsidRPr="008D3B68">
        <w:rPr>
          <w:rFonts w:ascii="Book Antiqua" w:hAnsi="Book Antiqua" w:cs="Times New Roman"/>
          <w:sz w:val="24"/>
          <w:szCs w:val="24"/>
        </w:rPr>
        <w:t xml:space="preserve"> addition to its choleretic action, </w:t>
      </w:r>
      <w:r w:rsidRPr="008D3B68">
        <w:rPr>
          <w:rFonts w:ascii="Book Antiqua" w:hAnsi="Book Antiqua" w:cs="Times New Roman"/>
          <w:sz w:val="24"/>
          <w:szCs w:val="24"/>
        </w:rPr>
        <w:t>UDCA reportedly has a protective action on hepatocytes and an immunomodulatory action</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"DOI" : "10.1016/S0168-8278(01)00092-7", "ISBN" : "0168-8278 (Print) 0168-8278 (Linking)", "ISSN" : "0168-8278", "PMID" : "11495032", "abstract" : "UDCA exerts its beneficial effect in liver diseases through a diverse, probably, complementary array of mechanisms. The clinical use and efficacy of UDCA in PBC have been evident. UDCA may also have a place in the management of PSC, ICP, cystic fibrosis, PFIC and GVHD involving the liver, although, more studies are needed to further determine its therapeutic potential in these diseases and in other hepatobiliary disorders such as liver allograft rejection, drug and TPN-induced cholestasis, NASH, and alcoholic liver disease.", "author" : [ { "dropping-particle" : "", "family" : "Lazaridis", "given" : "K N", "non-dropping-particle" : "", "parse-names" : false, "suffix" : "" }, { "dropping-particle" : "", "family" : "Gores", "given" : "G J", "non-dropping-particle" : "", "parse-names" : false, "suffix" : "" }, { "dropping-particle" : "", "family" : "Lindor", "given" : "K D", "non-dropping-particle" : "", "parse-names" : false, "suffix" : "" } ], "container-title" : "Journal of hepatology", "id" : "ITEM-1", "issue" : "1", "issued" : { "date-parts" : [ [ "2001" ] ] }, "page" : "134-146", "title" : "Ursodeoxycholic acid 'mechanisms of action and clinical use in hepatobiliary disorders'.", "type" : "article-journal", "volume" : "35" }, "uris" : [ "http://www.mendeley.com/documents/?uuid=b49cf39f-292a-4445-858d-8c79fd4c44a5" ] } ], "mendeley" : { "formattedCitation" : "&lt;sup&gt;[20]&lt;/sup&gt;", "plainTextFormattedCitation" : "[20]", "previouslyFormattedCitation" : "&lt;sup&gt;[20]&lt;/sup&gt;"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[20]</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In fact, it has also been reported that</w:t>
      </w:r>
      <w:r w:rsidR="0090201E" w:rsidRPr="008D3B68">
        <w:rPr>
          <w:rFonts w:ascii="Book Antiqua" w:hAnsi="Book Antiqua" w:cs="Times New Roman"/>
          <w:sz w:val="24"/>
          <w:szCs w:val="24"/>
        </w:rPr>
        <w:t xml:space="preserve"> the administration of UDCA reduces elevated serum immunoglobulin levels</w:t>
      </w:r>
      <w:r w:rsidRPr="008D3B68">
        <w:rPr>
          <w:rFonts w:ascii="Book Antiqua" w:hAnsi="Book Antiqua" w:cs="Times New Roman"/>
          <w:sz w:val="24"/>
          <w:szCs w:val="24"/>
        </w:rPr>
        <w:t xml:space="preserve"> in patients with PBC, which is one of the clinical characteristics of PB</w:t>
      </w:r>
      <w:r w:rsidRPr="008D3B68">
        <w:rPr>
          <w:rFonts w:ascii="Book Antiqua" w:hAnsi="Book Antiqua" w:cs="Times New Roman"/>
          <w:color w:val="000000" w:themeColor="text1"/>
          <w:sz w:val="24"/>
          <w:szCs w:val="24"/>
        </w:rPr>
        <w:t>C</w:t>
      </w:r>
      <w:r w:rsidR="00A313A7" w:rsidRPr="008D3B68">
        <w:rPr>
          <w:rFonts w:ascii="Book Antiqua" w:hAnsi="Book Antiqua" w:cs="Times New Roman"/>
          <w:color w:val="000000" w:themeColor="text1"/>
          <w:sz w:val="24"/>
          <w:szCs w:val="24"/>
        </w:rPr>
        <w:fldChar w:fldCharType="begin" w:fldLock="1"/>
      </w:r>
      <w:r w:rsidR="00D25B64" w:rsidRPr="008D3B68">
        <w:rPr>
          <w:rFonts w:ascii="Book Antiqua" w:hAnsi="Book Antiqua" w:cs="Times New Roman"/>
          <w:color w:val="000000" w:themeColor="text1"/>
          <w:sz w:val="24"/>
          <w:szCs w:val="24"/>
        </w:rPr>
        <w:instrText>ADDIN CSL_CITATION { "citationItems" : [ { "id" : "ITEM-1", "itemData" : { "DOI" : "10.1056/NEJM199105303242204", "ISSN" : "0028-4793", "PMID" : "1674105", "abstract" : "BACKGROUND: In primary biliary cirrhosis the hepatic lesions may result, at least in part, from the intracellular accumulation of potentially toxic endogenous bile acids. Preliminary work suggests that the administration of ursodiol (also called ursodeoxycholic acid), a hydrophilic bile acid without hepatotoxicity, leads to improvement in the condition of patients with primary biliary cirrhosis. METHODS: We conducted a two-year, multicenter, double-blind trial to compare the efficacy of ursodiol with that of placebo. Patients with biopsy-proved primary biliary cirrhosis were randomly assigned to receive either ursodiol (13 to 15 mg per kilogram of body weight per day) (n = 73) or placebo (n = 73). Treatment failure was defined as a doubling of bilirubin levels to more than 70 mumol per liter or the occurrence of a severe complication (ascites or variceal bleeding) or an adverse reaction. RESULTS: Treatment failed in 6 patients in the ursodiol group, as compared with 13 in the placebo group (P less than 0.01 by Cox regression model). A single patient in each group withdrew because of minor adverse effects. After two years of treatment, the proportion of patients with clinically overt disease decreased only in the ursodiol group (P less than 0.02). The patients treated with ursodiol had significant improvements in serum levels of bilirubin, alkaline phosphatase, alanine aminotransferase, aspartate aminotransferase, gamma-glutamyltransferase, cholesterol, and IgM (all P less than 0.001); the antimitochondrial-antibody titer (P less than 0.01); and the Mayo risk score (P less than 0.001). Follow-up analysis of 95 liver-biopsy specimens showed a significant improvement in the mean histologic score (P less than 0.002) and in all the characteristic histologic features except fibrosis only in the group given ursodiol. CONCLUSIONS: Ursodiol is a safe and effective treatment for primary biliary cirrhosis.", "author" : [ { "dropping-particle" : "", "family" : "Poupon", "given" : "R E", "non-dropping-particle" : "", "parse-names" : false, "suffix" : "" }, { "dropping-particle" : "", "family" : "Balkau", "given" : "B", "non-dropping-particle" : "", "parse-names" : false, "suffix" : "" }, { "dropping-particle" : "", "family" : "Eschw\u00e8ge", "given" : "E", "non-dropping-particle" : "", "parse-names" : false, "suffix" : "" }, { "dropping-particle" : "", "family" : "Poupon", "given" : "R", "non-dropping-particle" : "", "parse-names" : false, "suffix" : "" } ], "container-title" : "The New England journal of medicine", "id" : "ITEM-1", "issue" : "22", "issued" : { "date-parts" : [ [ "1991" ] ] }, "page" : "1548-54", "title" : "A multicenter, controlled trial of ursodiol for the treatment of primary biliary cirrhosis. UDCA-PBC Study Group.", "type" : "article-journal", "volume" : "324" }, "uris" : [ "http://www.mendeley.com/documents/?uuid=be486dde-30d3-4b3f-b234-f4f90484f050" ] }, { "id" : "ITEM-2", "itemData" : { "ISSN" : "0946-2716", "PMID" : "8773263", "abstract" : "A two-year randomized, double-blind, placebo-controlled clinical trial used paired serum samples from 122 patients with primary biliary cirrhosis to compare the effect of ursodeoxycholic acid and colchicine on their immune parameters. IgG antibodies to pyruvate dehydrogenase, the major autoantigen in primary biliary cirrhosis, were determined by enzyme-linked immunosorbent assay and immunoblot; enzyme inhibition assay against pyruvate dehydrogenase was used to test the changes of the functional reactivity of the serum autoantibodies. Treatment with ursodeoxycholic acid decreased both the level of IgG antibodies to pyruvate dehydrogenase (P &lt; 0.01) and the inihibitory titer of the sera for pyruvate dehydrogenase (P &lt; 0.01). Treatment with colchicine or placebo showed no statistically significant changes in either the antibody levels or the inhibitory titers. Ursodeoxycholic acid thus alters the immune parameters of patients with primary biliary cirrhosis. The mechanism of these changes needs further investigation.", "author" : [ { "dropping-particle" : "", "family" : "Kisand", "given" : "K E", "non-dropping-particle" : "", "parse-names" : false, "suffix" : "" }, { "dropping-particle" : "", "family" : "Karvonen", "given" : "A L", "non-dropping-particle" : "", "parse-names" : false, "suffix" : "" }, { "dropping-particle" : "", "family" : "Vuoristo", "given" : "M", "non-dropping-particle" : "", "parse-names" : false, "suffix" : "" }, { "dropping-particle" : "", "family" : "F\u00e4rkkil\u00e4", "given" : "M", "non-dropping-particle" : "", "parse-names" : false, "suffix" : "" }, { "dropping-particle" : "", "family" : "Lehtola", "given" : "J", "non-dropping-particle" : "", "parse-names" : false, "suffix" : "" }, { "dropping-particle" : "", "family" : "Inkovaara", "given" : "J", "non-dropping-particle" : "", "parse-names" : false, "suffix" : "" }, { "dropping-particle" : "V", "family" : "Kisand", "given" : "K", "non-dropping-particle" : "", "parse-names" : false, "suffix" : "" }, { "dropping-particle" : "", "family" : "Miettinen", "given" : "T", "non-dropping-particle" : "", "parse-names" : false, "suffix" : "" }, { "dropping-particle" : "", "family" : "Krohn", "given" : "K", "non-dropping-particle" : "", "parse-names" : false, "suffix" : "" }, { "dropping-particle" : "", "family" : "Uibo", "given" : "R", "non-dropping-particle" : "", "parse-names" : false, "suffix" : "" } ], "container-title" : "Journal of molecular medicine (Berlin, Germany)", "id" : "ITEM-2", "issue" : "5", "issued" : { "date-parts" : [ [ "1996" ] ] }, "page" : "269-72", "title" : "Ursodeoxycholic acid treatment lowers the serum level of antibodies against pyruvate dehydrogenase and influences their inhibitory capacity for the enzyme complex in patients with primary biliary cirrhosis.", "type" : "article-journal", "volume" : "74" }, "uris" : [ "http://www.mendeley.com/documents/?uuid=9baf1277-1a7c-4a1c-9536-4a7aded14412" ] } ], "mendeley" : { "formattedCitation" : "&lt;sup&gt;[9,21]&lt;/sup&gt;", "plainTextFormattedCitation" : "[9,21]", "previouslyFormattedCitation" : "&lt;sup&gt;[9,21]&lt;/sup&gt;" }, "properties" : { "noteIndex" : 0 }, "schema" : "https://github.com/citation-style-language/schema/raw/master/csl-citation.json" }</w:instrText>
      </w:r>
      <w:r w:rsidR="00A313A7" w:rsidRPr="008D3B68">
        <w:rPr>
          <w:rFonts w:ascii="Book Antiqua" w:hAnsi="Book Antiqua" w:cs="Times New Roman"/>
          <w:color w:val="000000" w:themeColor="text1"/>
          <w:sz w:val="24"/>
          <w:szCs w:val="24"/>
        </w:rPr>
        <w:fldChar w:fldCharType="separate"/>
      </w:r>
      <w:r w:rsidR="00D25B64" w:rsidRPr="008D3B68">
        <w:rPr>
          <w:rFonts w:ascii="Book Antiqua" w:hAnsi="Book Antiqua" w:cs="Times New Roman"/>
          <w:noProof/>
          <w:color w:val="000000" w:themeColor="text1"/>
          <w:sz w:val="24"/>
          <w:szCs w:val="24"/>
          <w:vertAlign w:val="superscript"/>
        </w:rPr>
        <w:t>[9,21]</w:t>
      </w:r>
      <w:r w:rsidR="00A313A7" w:rsidRPr="008D3B68">
        <w:rPr>
          <w:rFonts w:ascii="Book Antiqua" w:hAnsi="Book Antiqua" w:cs="Times New Roman"/>
          <w:color w:val="000000" w:themeColor="text1"/>
          <w:sz w:val="24"/>
          <w:szCs w:val="24"/>
        </w:rPr>
        <w:fldChar w:fldCharType="end"/>
      </w:r>
      <w:r w:rsidRPr="008D3B68">
        <w:rPr>
          <w:rFonts w:ascii="Book Antiqua" w:hAnsi="Book Antiqua" w:cs="Times New Roman"/>
          <w:sz w:val="24"/>
          <w:szCs w:val="24"/>
        </w:rPr>
        <w:t>. In vitro studies have also shown that UDCA inhibits immunoglobulin production by peripheral lymphocytes in a concentration-dependent manner</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"ISSN" : "0270-9139", "PMID" : "1639344", "abstract" : "Ursodeoxycholic acid was recently recognized as an effective agent in the treatment of primary biliary cirrhosis. Experimental evidence supporting the usefulness of ursodeoxycholic acid as a potentially beneficial therapeutic agent for primary biliary cirrhosis has been reported from the biochemical and physiological aspects. In this study, we investigated the direct effects of ursodeoxycholic acid on immunoglobulin and cytokine production in vitro using plaque-forming cell assay and enzyme-linked immunosorbent assay. It was demonstrated that ursodeoxycholic acid suppressed the production of IgM, IgG and IgA induced by Staphylococcus aureus Cowan I in peripheral blood mononuclear cells derived from healthy subjects and patients with primary biliary cirrhosis and also in human B lymphoma cell lines. Furthermore, ursodeoxycholic acid suppressed interleukin-2 and interleukin-4 production induced by concanavalin A and interferon-gamma production induced by polyinosinic-polycytidylic acid, but it did not affect interleukin-1 and interleukin-6 production induced by lipopolysaccharide in peripheral blood mononuclear cells. In addition, ursodeoxycholic acid suppressed the concanavalin A-induced thymocyte proliferation mediated by interleukin-1. Cytotoxicity against lymphocytes was not observed at the concentrations of ursodeoxycholic acid used. These results suggest that the beneficial effect of ursodeoxycholic acid in primary biliary cirrhosis is mediated in part by immunosuppression.", "author" : [ { "dropping-particle" : "", "family" : "Yoshikawa", "given" : "M", "non-dropping-particle" : "", "parse-names" : false, "suffix" : "" }, { "dropping-particle" : "", "family" : "Tsujii", "given" : "T", "non-dropping-particle" : "", "parse-names" : false, "suffix" : "" }, { "dropping-particle" : "", "family" : "Matsumura", "given" : "K", "non-dropping-particle" : "", "parse-names" : false, "suffix" : "" }, { "dropping-particle" : "", "family" : "Yamao", "given" : "J", "non-dropping-particle" : "", "parse-names" : false, "suffix" : "" }, { "dropping-particle" : "", "family" : "Matsumura", "given" : "Y", "non-dropping-particle" : "", "parse-names" : false, "suffix" : "" }, { "dropping-particle" : "", "family" : "Kubo", "given" : "R", "non-dropping-particle" : "", "parse-names" : false, "suffix" : "" }, { "dropping-particle" : "", "family" : "Fukui", "given" : "H", "non-dropping-particle" : "", "parse-names" : false, "suffix" : "" }, { "dropping-particle" : "", "family" : "Ishizaka", "given" : "S", "non-dropping-particle" : "", "parse-names" : false, "suffix" : "" } ], "container-title" : "Hepatology (Baltimore, Md.)", "id" : "ITEM-1", "issue" : "2", "issued" : { "date-parts" : [ [ "1992" ] ] }, "page" : "358-64", "title" : "Immunomodulatory effects of ursodeoxycholic acid on immune responses.", "type" : "article-journal", "volume" : "16" }, "uris" : [ "http://www.mendeley.com/documents/?uuid=40fe3f22-bc7e-4192-b325-ce516155909b" ] } ], "mendeley" : { "formattedCitation" : "&lt;sup&gt;[22]&lt;/sup&gt;", "plainTextFormattedCitation" : "[22]", "previouslyFormattedCitation" : "&lt;sup&gt;[22]&lt;/sup&gt;"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[22]</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Although the UDCA level required to inhibit immunoglobulin production is approximately </w:t>
      </w:r>
      <w:r w:rsidRPr="008D3B68">
        <w:rPr>
          <w:rFonts w:ascii="Book Antiqua" w:hAnsi="Book Antiqua" w:cs="Times New Roman"/>
          <w:sz w:val="24"/>
          <w:szCs w:val="24"/>
        </w:rPr>
        <w:lastRenderedPageBreak/>
        <w:t xml:space="preserve">10 </w:t>
      </w:r>
      <w:r w:rsidR="00261D36" w:rsidRPr="008D3B68">
        <w:rPr>
          <w:rFonts w:ascii="Book Antiqua" w:hAnsi="Book Antiqua" w:cs="Times New Roman"/>
          <w:sz w:val="24"/>
          <w:szCs w:val="24"/>
        </w:rPr>
        <w:t xml:space="preserve">times </w:t>
      </w:r>
      <w:r w:rsidRPr="008D3B68">
        <w:rPr>
          <w:rFonts w:ascii="Book Antiqua" w:hAnsi="Book Antiqua" w:cs="Times New Roman"/>
          <w:sz w:val="24"/>
          <w:szCs w:val="24"/>
        </w:rPr>
        <w:t>the blood concentration after administration of UDCA at routine doses</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"ISSN" : "0270-9139", "PMID" : "1639344", "abstract" : "Ursodeoxycholic acid was recently recognized as an effective agent in the treatment of primary biliary cirrhosis. Experimental evidence supporting the usefulness of ursodeoxycholic acid as a potentially beneficial therapeutic agent for primary biliary cirrhosis has been reported from the biochemical and physiological aspects. In this study, we investigated the direct effects of ursodeoxycholic acid on immunoglobulin and cytokine production in vitro using plaque-forming cell assay and enzyme-linked immunosorbent assay. It was demonstrated that ursodeoxycholic acid suppressed the production of IgM, IgG and IgA induced by Staphylococcus aureus Cowan I in peripheral blood mononuclear cells derived from healthy subjects and patients with primary biliary cirrhosis and also in human B lymphoma cell lines. Furthermore, ursodeoxycholic acid suppressed interleukin-2 and interleukin-4 production induced by concanavalin A and interferon-gamma production induced by polyinosinic-polycytidylic acid, but it did not affect interleukin-1 and interleukin-6 production induced by lipopolysaccharide in peripheral blood mononuclear cells. In addition, ursodeoxycholic acid suppressed the concanavalin A-induced thymocyte proliferation mediated by interleukin-1. Cytotoxicity against lymphocytes was not observed at the concentrations of ursodeoxycholic acid used. These results suggest that the beneficial effect of ursodeoxycholic acid in primary biliary cirrhosis is mediated in part by immunosuppression.", "author" : [ { "dropping-particle" : "", "family" : "Yoshikawa", "given" : "M", "non-dropping-particle" : "", "parse-names" : false, "suffix" : "" }, { "dropping-particle" : "", "family" : "Tsujii", "given" : "T", "non-dropping-particle" : "", "parse-names" : false, "suffix" : "" }, { "dropping-particle" : "", "family" : "Matsumura", "given" : "K", "non-dropping-particle" : "", "parse-names" : false, "suffix" : "" }, { "dropping-particle" : "", "family" : "Yamao", "given" : "J", "non-dropping-particle" : "", "parse-names" : false, "suffix" : "" }, { "dropping-particle" : "", "family" : "Matsumura", "given" : "Y", "non-dropping-particle" : "", "parse-names" : false, "suffix" : "" }, { "dropping-particle" : "", "family" : "Kubo", "given" : "R", "non-dropping-particle" : "", "parse-names" : false, "suffix" : "" }, { "dropping-particle" : "", "family" : "Fukui", "given" : "H", "non-dropping-particle" : "", "parse-names" : false, "suffix" : "" }, { "dropping-particle" : "", "family" : "Ishizaka", "given" : "S", "non-dropping-particle" : "", "parse-names" : false, "suffix" : "" } ], "container-title" : "Hepatology (Baltimore, Md.)", "id" : "ITEM-1", "issue" : "2", "issued" : { "date-parts" : [ [ "1992" ] ] }, "page" : "358-64", "title" : "Immunomodulatory effects of ursodeoxycholic acid on immune responses.", "type" : "article-journal", "volume" : "16" }, "uris" : [ "http://www.mendeley.com/documents/?uuid=40fe3f22-bc7e-4192-b325-ce516155909b" ] } ], "mendeley" : { "formattedCitation" : "&lt;sup&gt;[22]&lt;/sup&gt;", "plainTextFormattedCitation" : "[22]", "previouslyFormattedCitation" : "&lt;sup&gt;[22]&lt;/sup&gt;"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[22]</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similarly high levels apparently exist in hepatocytes secreting bile, in other words, in the liver. Thus, UDCA may exert a liver-specific immunosuppressive action. This indicates that UDCA can be administered to achieve immunosuppression in patients with AIH. Miyake </w:t>
      </w:r>
      <w:r w:rsidRPr="00617077">
        <w:rPr>
          <w:rFonts w:ascii="Book Antiqua" w:hAnsi="Book Antiqua" w:cs="Times New Roman"/>
          <w:i/>
          <w:sz w:val="24"/>
          <w:szCs w:val="24"/>
        </w:rPr>
        <w:t>et al</w:t>
      </w:r>
      <w:r w:rsidR="00617077" w:rsidRPr="008D3B68">
        <w:rPr>
          <w:rFonts w:ascii="Book Antiqua" w:hAnsi="Book Antiqua" w:cs="Times New Roman"/>
          <w:sz w:val="24"/>
          <w:szCs w:val="24"/>
        </w:rPr>
        <w:fldChar w:fldCharType="begin" w:fldLock="1"/>
      </w:r>
      <w:r w:rsidR="00617077" w:rsidRPr="008D3B68">
        <w:rPr>
          <w:rFonts w:ascii="Book Antiqua" w:hAnsi="Book Antiqua" w:cs="Times New Roman"/>
          <w:sz w:val="24"/>
          <w:szCs w:val="24"/>
        </w:rPr>
        <w:instrText>ADDIN CSL_CITATION { "citationItems" : [ { "id" : "ITEM-1", "itemData" : { "DOI" : "10.1007/s12072-009-9155-9", "ISSN" : "19360533", "PMID" : "19847577", "abstract" : "PURPOSE: This study aimed to investigate the efficacy of ursodeoxycholic acid (UDCA) for Japanese patients with autoimmune hepatitis (AIH). METHODS: One hundred forty-seven patients were investigated. RESULTS: As initial treatment, 25 patients received UDCA (300-600 mg/day) monotherapy (UDCA group), 40 received a combination of prednisolone (PSL) (\u226520 mg/day) and UDCA (combination group), 68 received PSL monotherapy (PSL group), and 14 received other treatments. During the follow-up, in the UDCA group, PSL was added to 8 of 12 patients failing to achieve the normalization of serum transaminase levels with UDCA monotherapy. Cumulative incidence of the normalization of serum transaminase levels was 64% in the UDCA group, 95% in the combination group, and 94% in the PSL group (log-rank test, P = 0.0001). UDCA group required longest periods until the normalization of serum transaminase levels. Eleven patients, who achieved persistent normalization of serum transaminase levels with UDCA monotherapy, did not reach liver failure or develop hepatocellular carcinoma for 49.7 (range = 13.4-137.3) months. Meanwhile, during the taper of PSL, doses of PSL at the initial relapse were lower in patients treated with PSL and UDCA than in those treated with PSL monotherapy, and initial relapse occurred earlier in patients treated with PSL monotherapy. CONCLUSIONS: UDCA monotherapy is effective for some Japanese AIH patients; however, UDCA monotherapy for patients with either high-grade inflammatory activity or poor residual capacity of liver function is not recommended because they may reach liver failure before achievement of remission. Meanwhile, additional use of UDCA during the taper of corticosteroids may be effective for the prevention of early relapse.", "author" : [ { "dropping-particle" : "", "family" : "Miyake", "given" : "Yasuhiro", "non-dropping-particle" : "", "parse-names" : false, "suffix" : "" }, { "dropping-particle" : "", "family" : "Iwasaki", "given" : "Yoshiaki", "non-dropping-particle" : "", "parse-names" : false, "suffix" : "" }, { "dropping-particle" : "", "family" : "Kobashi", "given" : "Haruhiko", "non-dropping-particle" : "", "parse-names" : false, "suffix" : "" }, { "dropping-particle" : "", "family" : "Yasunaka", "given" : "Tetsuya", "non-dropping-particle" : "", "parse-names" : false, "suffix" : "" }, { "dropping-particle" : "", "family" : "Ikeda", "given" : "Fusao", "non-dropping-particle" : "", "parse-names" : false, "suffix" : "" }, { "dropping-particle" : "", "family" : "Takaki", "given" : "Akinobu", "non-dropping-particle" : "", "parse-names" : false, "suffix" : "" }, { "dropping-particle" : "", "family" : "Okamoto", "given" : "Ryoichi", "non-dropping-particle" : "", "parse-names" : false, "suffix" : "" }, { "dropping-particle" : "", "family" : "Takaguchi", "given" : "Kouichi", "non-dropping-particle" : "", "parse-names" : false, "suffix" : "" }, { "dropping-particle" : "", "family" : "Ikeda", "given" : "Hiroshi", "non-dropping-particle" : "", "parse-names" : false, "suffix" : "" }, { "dropping-particle" : "", "family" : "Makino", "given" : "Yasuhiro", "non-dropping-particle" : "", "parse-names" : false, "suffix" : "" }, { "dropping-particle" : "", "family" : "Ando", "given" : "Masaharu", "non-dropping-particle" : "", "parse-names" : false, "suffix" : "" }, { "dropping-particle" : "", "family" : "Sakaguchi", "given" : "Kohsaku", "non-dropping-particle" : "", "parse-names" : false, "suffix" : "" }, { "dropping-particle" : "", "family" : "Yamamoto", "given" : "Kazuhide", "non-dropping-particle" : "", "parse-names" : false, "suffix" : "" } ], "container-title" : "Hepatology International", "id" : "ITEM-1", "issue" : "4", "issued" : { "date-parts" : [ [ "2009" ] ] }, "page" : "556-562", "title" : "Efficacy of ursodeoxycholic acid for Japanese patients with autoimmune hepatitis", "type" : "article-journal", "volume" : "3" }, "uris" : [ "http://www.mendeley.com/documents/?uuid=1131faf9-04f0-4a85-a4ff-51811eb55080" ] } ], "mendeley" : { "formattedCitation" : "&lt;sup&gt;[13]&lt;/sup&gt;", "plainTextFormattedCitation" : "[13]", "previouslyFormattedCitation" : "&lt;sup&gt;[13]&lt;/sup&gt;" }, "properties" : { "noteIndex" : 0 }, "schema" : "https://github.com/citation-style-language/schema/raw/master/csl-citation.json" }</w:instrText>
      </w:r>
      <w:r w:rsidR="00617077" w:rsidRPr="008D3B68">
        <w:rPr>
          <w:rFonts w:ascii="Book Antiqua" w:hAnsi="Book Antiqua" w:cs="Times New Roman"/>
          <w:sz w:val="24"/>
          <w:szCs w:val="24"/>
        </w:rPr>
        <w:fldChar w:fldCharType="separate"/>
      </w:r>
      <w:r w:rsidR="00617077" w:rsidRPr="008D3B68">
        <w:rPr>
          <w:rFonts w:ascii="Book Antiqua" w:hAnsi="Book Antiqua" w:cs="Times New Roman"/>
          <w:noProof/>
          <w:sz w:val="24"/>
          <w:szCs w:val="24"/>
          <w:vertAlign w:val="superscript"/>
        </w:rPr>
        <w:t>[13]</w:t>
      </w:r>
      <w:r w:rsidR="0061707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demonstrated in a small-scale study that UDCA is effective for AIH</w:t>
      </w:r>
      <w:r w:rsidR="00B316EB" w:rsidRPr="008D3B68">
        <w:rPr>
          <w:rFonts w:ascii="Book Antiqua" w:hAnsi="Book Antiqua" w:cs="Times New Roman"/>
          <w:sz w:val="24"/>
          <w:szCs w:val="24"/>
        </w:rPr>
        <w:t>.</w:t>
      </w:r>
      <w:r w:rsidR="00C03CDC" w:rsidRPr="008D3B68">
        <w:rPr>
          <w:rFonts w:ascii="Book Antiqua" w:hAnsi="Book Antiqua" w:cs="Times New Roman"/>
          <w:sz w:val="24"/>
          <w:szCs w:val="24"/>
        </w:rPr>
        <w:t xml:space="preserve"> </w:t>
      </w:r>
      <w:r w:rsidRPr="008D3B68">
        <w:rPr>
          <w:rFonts w:ascii="Book Antiqua" w:hAnsi="Book Antiqua" w:cs="Times New Roman"/>
          <w:sz w:val="24"/>
          <w:szCs w:val="24"/>
        </w:rPr>
        <w:t xml:space="preserve">Moreover, </w:t>
      </w:r>
      <w:r w:rsidR="0090201E" w:rsidRPr="008D3B68">
        <w:rPr>
          <w:rFonts w:ascii="Book Antiqua" w:hAnsi="Book Antiqua" w:cs="Times New Roman"/>
          <w:sz w:val="24"/>
          <w:szCs w:val="24"/>
        </w:rPr>
        <w:t xml:space="preserve">the </w:t>
      </w:r>
      <w:r w:rsidRPr="008D3B68">
        <w:rPr>
          <w:rFonts w:ascii="Book Antiqua" w:hAnsi="Book Antiqua" w:cs="Times New Roman"/>
          <w:sz w:val="24"/>
          <w:szCs w:val="24"/>
        </w:rPr>
        <w:t>administration of UDCA has also been shown to allow corticosteroid doses to be tapered</w:t>
      </w:r>
      <w:r w:rsidR="00A313A7" w:rsidRPr="008D3B68">
        <w:rPr>
          <w:rFonts w:ascii="Book Antiqua" w:hAnsi="Book Antiqua" w:cs="Times New Roman"/>
          <w:sz w:val="24"/>
          <w:szCs w:val="24"/>
        </w:rPr>
        <w:fldChar w:fldCharType="begin" w:fldLock="1"/>
      </w:r>
      <w:r w:rsidR="00064FDB" w:rsidRPr="008D3B68">
        <w:rPr>
          <w:rFonts w:ascii="Book Antiqua" w:hAnsi="Book Antiqua" w:cs="Times New Roman"/>
          <w:sz w:val="24"/>
          <w:szCs w:val="24"/>
        </w:rPr>
        <w:instrText>ADDIN CSL_CITATION { "citationItems" : [ { "id" : "ITEM-1", "itemData" : { "ISSN" : "0815-9319", "PMID" : "9641646", "abstract" : "Ursodeoxycholic acid (UDCA) has been shown to have beneficial effects on patients with primary biliary cirrhosis, suggesting that UDCA has immunomodulating effects. We investigated the effect of UDCA in patients with autoimmune hepatitis (AIH) which is characterized by immunological abnormalities. Eight patients with type 1 AIH were treated with 600 mg of UDCA per day for 2 years. Based on the criteria of the International Autoimmune Hepatitis Group, five patients were diagnosed as definite and three as probable type 1 AIH. Liver function tests were performed every 4 weeks, before and during UDCA therapy and the serum levels of anti-nuclear antibodies (ANA), smooth muscle antibodies (SMA), immunoglobulin G and gamma globulin were determined every 3 months. The levels of serum aspartate aminotransferase and alanine aminotransferase significantly decreased from 154 +/- 24 IU/L and 170 +/- 17 IU/L before UDCA therapy to 31 +/- 3 IU/L and 25 +/- 5 IU/L (P &lt; 0.001) after 1 year of treatment and 28 +/- 2 IU/L and 23 +/- 4 IU/L (P &lt; 0.001) after 2 years of treatment. After 2 years of treatment, the levels of serum immunoglobulin G and gamma globulin significantly decreased (P &lt; 0.05) and ANA titres (5/8 patients) were reduced and SMA (3/5 patients) became negative. Furthermore, hepatic histopathological changes of four patients were assessed after 1 year of treatment, and an improvement of intrahepatic inflammation, but not fibrosis, was observed. In conclusion, these results suggest that UDCA has a beneficial therapeutic effect in patients with type 1 autoimmune hepatitis.", "author" : [ { "dropping-particle" : "", "family" : "Nakamura", "given" : "K", "non-dropping-particle" : "", "parse-names" : false, "suffix" : "" }, { "dropping-particle" : "", "family" : "Yoneda", "given" : "M", "non-dropping-particle" : "", "parse-names" : false, "suffix" : "" }, { "dropping-particle" : "", "family" : "Yokohama", "given" : "S", "non-dropping-particle" : "", "parse-names" : false, "suffix" : "" }, { "dropping-particle" : "", "family" : "Tamori", "given" : "K", "non-dropping-particle" : "", "parse-names" : false, "suffix" : "" }, { "dropping-particle" : "", "family" : "Sato", "given" : "Y", "non-dropping-particle" : "", "parse-names" : false, "suffix" : "" }, { "dropping-particle" : "", "family" : "Aso", "given" : "K", "non-dropping-particle" : "", "parse-names" : false, "suffix" : "" }, { "dropping-particle" : "", "family" : "Aoshima", "given" : "M", "non-dropping-particle" : "", "parse-names" : false, "suffix" : "" }, { "dropping-particle" : "", "family" : "Hasegawa", "given" : "T", "non-dropping-particle" : "", "parse-names" : false, "suffix" : "" }, { "dropping-particle" : "", "family" : "Makino", "given" : "I", "non-dropping-particle" : "", "parse-names" : false, "suffix" : "" } ], "container-title" : "Journal of gastroenterology and hepatology", "id" : "ITEM-1", "issue" : "5", "issued" : { "date-parts" : [ [ "1998" ] ] }, "page" : "490-495", "title" : "Efficacy of ursodeoxycholic acid in Japanese patients with type 1 autoimmune hepatitis.", "type" : "article-journal", "volume" : "13" }, "uris" : [ "http://www.mendeley.com/documents/?uuid=9788d786-9a19-4a85-819f-d6f193a84b5e" ] } ], "mendeley" : { "formattedCitation" : "&lt;sup&gt;[14]&lt;/sup&gt;", "plainTextFormattedCitation" : "[14]", "previouslyFormattedCitation" : "&lt;sup&gt;[14]&lt;/sup&gt;"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[14]</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w:t>
      </w:r>
    </w:p>
    <w:p w:rsidR="00FF610F" w:rsidRPr="008D3B68" w:rsidRDefault="00EC669B" w:rsidP="00352D86">
      <w:pPr>
        <w:spacing w:line="360" w:lineRule="auto"/>
        <w:ind w:firstLineChars="300" w:firstLine="720"/>
        <w:rPr>
          <w:rFonts w:ascii="Book Antiqua" w:hAnsi="Book Antiqua" w:cs="Times New Roman"/>
          <w:sz w:val="24"/>
          <w:szCs w:val="24"/>
        </w:rPr>
      </w:pPr>
      <w:r w:rsidRPr="008D3B68">
        <w:rPr>
          <w:rFonts w:ascii="Book Antiqua" w:hAnsi="Book Antiqua" w:cs="Times New Roman"/>
          <w:sz w:val="24"/>
          <w:szCs w:val="24"/>
        </w:rPr>
        <w:t>In this study, 71% of the UDCA group achieved and maintained the n</w:t>
      </w:r>
      <w:r w:rsidR="00725475" w:rsidRPr="008D3B68">
        <w:rPr>
          <w:rFonts w:ascii="Book Antiqua" w:hAnsi="Book Antiqua" w:cs="Times New Roman"/>
          <w:sz w:val="24"/>
          <w:szCs w:val="24"/>
        </w:rPr>
        <w:t>ormalization of serum ALT level</w:t>
      </w:r>
      <w:r w:rsidR="00B00A82" w:rsidRPr="008D3B68">
        <w:rPr>
          <w:rFonts w:ascii="Book Antiqua" w:hAnsi="Book Antiqua" w:cs="Times New Roman"/>
          <w:sz w:val="24"/>
          <w:szCs w:val="24"/>
        </w:rPr>
        <w:t>s</w:t>
      </w:r>
      <w:r w:rsidRPr="008D3B68">
        <w:rPr>
          <w:rFonts w:ascii="Book Antiqua" w:hAnsi="Book Antiqua" w:cs="Times New Roman"/>
          <w:sz w:val="24"/>
          <w:szCs w:val="24"/>
        </w:rPr>
        <w:t xml:space="preserve"> with UDCA monotherapy. </w:t>
      </w:r>
      <w:r w:rsidR="00FF610F" w:rsidRPr="008D3B68">
        <w:rPr>
          <w:rFonts w:ascii="Book Antiqua" w:hAnsi="Book Antiqua" w:cs="Times New Roman"/>
          <w:sz w:val="24"/>
          <w:szCs w:val="24"/>
        </w:rPr>
        <w:t>Especially, the present study also identified that in 85% of the patients with ALT levels of 200 IU</w:t>
      </w:r>
      <w:r w:rsidR="00ED6728" w:rsidRPr="008D3B68">
        <w:rPr>
          <w:rFonts w:ascii="Book Antiqua" w:hAnsi="Book Antiqua" w:cs="Times New Roman"/>
          <w:sz w:val="24"/>
          <w:szCs w:val="24"/>
        </w:rPr>
        <w:t>/L</w:t>
      </w:r>
      <w:r w:rsidR="00FF610F" w:rsidRPr="008D3B68">
        <w:rPr>
          <w:rFonts w:ascii="Book Antiqua" w:hAnsi="Book Antiqua" w:cs="Times New Roman"/>
          <w:sz w:val="24"/>
          <w:szCs w:val="24"/>
        </w:rPr>
        <w:t xml:space="preserve"> or </w:t>
      </w:r>
      <w:r w:rsidR="009A61A4">
        <w:rPr>
          <w:rFonts w:ascii="Book Antiqua" w:hAnsi="Book Antiqua" w:cs="Times New Roman"/>
          <w:sz w:val="24"/>
          <w:szCs w:val="24"/>
        </w:rPr>
        <w:t>lower at the start of treatment</w:t>
      </w:r>
      <w:r w:rsidR="00FF610F" w:rsidRPr="008D3B68">
        <w:rPr>
          <w:rFonts w:ascii="Book Antiqua" w:hAnsi="Book Antiqua" w:cs="Times New Roman"/>
          <w:sz w:val="24"/>
          <w:szCs w:val="24"/>
        </w:rPr>
        <w:t xml:space="preserve">, AIH remission could be induced and maintained by UDCA monotherapy. So, UDCA monotherapy will be effective in some Japanese AIH patients. However, in this study, patients treated with UDCA monotherapy had lower serum ALT levels and milder histological activity and fibrosis at presentation than those treated with PSL as shown in Table 1. </w:t>
      </w:r>
      <w:r w:rsidR="00095DC0" w:rsidRPr="008D3B68">
        <w:rPr>
          <w:rFonts w:ascii="Book Antiqua" w:hAnsi="Book Antiqua" w:cs="Times New Roman"/>
          <w:sz w:val="24"/>
          <w:szCs w:val="24"/>
        </w:rPr>
        <w:t>Hence</w:t>
      </w:r>
      <w:r w:rsidR="00FF610F" w:rsidRPr="008D3B68">
        <w:rPr>
          <w:rFonts w:ascii="Book Antiqua" w:hAnsi="Book Antiqua" w:cs="Times New Roman"/>
          <w:sz w:val="24"/>
          <w:szCs w:val="24"/>
        </w:rPr>
        <w:t xml:space="preserve">, </w:t>
      </w:r>
      <w:r w:rsidR="00095DC0" w:rsidRPr="008D3B68">
        <w:rPr>
          <w:rFonts w:ascii="Book Antiqua" w:hAnsi="Book Antiqua" w:cs="Times New Roman"/>
          <w:sz w:val="24"/>
          <w:szCs w:val="24"/>
        </w:rPr>
        <w:t xml:space="preserve">it is necessary to consider that usefulness of UDCA </w:t>
      </w:r>
      <w:r w:rsidR="009F1FFC" w:rsidRPr="008D3B68">
        <w:rPr>
          <w:rFonts w:ascii="Book Antiqua" w:hAnsi="Book Antiqua" w:cs="Times New Roman"/>
          <w:sz w:val="24"/>
          <w:szCs w:val="24"/>
        </w:rPr>
        <w:t>was</w:t>
      </w:r>
      <w:r w:rsidR="00095DC0" w:rsidRPr="008D3B68">
        <w:rPr>
          <w:rFonts w:ascii="Book Antiqua" w:hAnsi="Book Antiqua" w:cs="Times New Roman"/>
          <w:sz w:val="24"/>
          <w:szCs w:val="24"/>
        </w:rPr>
        <w:t xml:space="preserve"> presented in</w:t>
      </w:r>
      <w:r w:rsidR="004C46D9" w:rsidRPr="008D3B68">
        <w:rPr>
          <w:rFonts w:ascii="Book Antiqua" w:hAnsi="Book Antiqua" w:cs="Times New Roman"/>
          <w:sz w:val="24"/>
          <w:szCs w:val="24"/>
        </w:rPr>
        <w:t xml:space="preserve"> </w:t>
      </w:r>
      <w:r w:rsidR="00095DC0" w:rsidRPr="008D3B68">
        <w:rPr>
          <w:rFonts w:ascii="Book Antiqua" w:hAnsi="Book Antiqua" w:cs="Times New Roman"/>
          <w:sz w:val="24"/>
          <w:szCs w:val="24"/>
        </w:rPr>
        <w:t>mild AIH group</w:t>
      </w:r>
      <w:r w:rsidR="00890B9F" w:rsidRPr="008D3B68">
        <w:rPr>
          <w:rFonts w:ascii="Book Antiqua" w:hAnsi="Book Antiqua" w:cs="Times New Roman"/>
          <w:sz w:val="24"/>
          <w:szCs w:val="24"/>
        </w:rPr>
        <w:t>.</w:t>
      </w:r>
      <w:r w:rsidR="009F1FFC" w:rsidRPr="008D3B68">
        <w:rPr>
          <w:rFonts w:ascii="Book Antiqua" w:hAnsi="Book Antiqua" w:cs="Times New Roman"/>
          <w:sz w:val="24"/>
          <w:szCs w:val="24"/>
        </w:rPr>
        <w:t xml:space="preserve"> In the future, utility of UDCA must be confirmed in a prospective study.</w:t>
      </w:r>
    </w:p>
    <w:p w:rsidR="00FB114C" w:rsidRPr="008D3B68" w:rsidRDefault="000024C8" w:rsidP="00352D86">
      <w:pPr>
        <w:spacing w:line="360" w:lineRule="auto"/>
        <w:ind w:firstLineChars="300" w:firstLine="720"/>
        <w:rPr>
          <w:rFonts w:ascii="Book Antiqua" w:hAnsi="Book Antiqua" w:cs="Times New Roman"/>
          <w:color w:val="FF0000"/>
          <w:sz w:val="24"/>
          <w:szCs w:val="24"/>
        </w:rPr>
      </w:pPr>
      <w:r w:rsidRPr="008D3B68">
        <w:rPr>
          <w:rFonts w:ascii="Book Antiqua" w:hAnsi="Book Antiqua" w:cs="Times New Roman"/>
          <w:sz w:val="24"/>
          <w:szCs w:val="24"/>
        </w:rPr>
        <w:t>On the other hand, a</w:t>
      </w:r>
      <w:r w:rsidR="00A9672D" w:rsidRPr="008D3B68">
        <w:rPr>
          <w:rFonts w:ascii="Book Antiqua" w:hAnsi="Book Antiqua" w:cs="Times New Roman"/>
          <w:sz w:val="24"/>
          <w:szCs w:val="24"/>
        </w:rPr>
        <w:t xml:space="preserve">mong these </w:t>
      </w:r>
      <w:r w:rsidRPr="008D3B68">
        <w:rPr>
          <w:rFonts w:ascii="Book Antiqua" w:hAnsi="Book Antiqua" w:cs="Times New Roman"/>
          <w:sz w:val="24"/>
          <w:szCs w:val="24"/>
        </w:rPr>
        <w:t xml:space="preserve">mild AIH </w:t>
      </w:r>
      <w:r w:rsidR="00A9672D" w:rsidRPr="008D3B68">
        <w:rPr>
          <w:rFonts w:ascii="Book Antiqua" w:hAnsi="Book Antiqua" w:cs="Times New Roman"/>
          <w:sz w:val="24"/>
          <w:szCs w:val="24"/>
        </w:rPr>
        <w:t xml:space="preserve">patients, the proportion indicated for UDCA monotherapy was low. On the bases of this finding, the patients in Group U can be considered to have no indications for treatment. </w:t>
      </w:r>
      <w:r w:rsidR="009620D7" w:rsidRPr="008D3B68">
        <w:rPr>
          <w:rFonts w:ascii="Book Antiqua" w:hAnsi="Book Antiqua" w:cs="Times New Roman"/>
          <w:sz w:val="24"/>
          <w:szCs w:val="24"/>
        </w:rPr>
        <w:t xml:space="preserve">In fact, </w:t>
      </w:r>
      <w:r w:rsidR="00261D36" w:rsidRPr="008D3B68">
        <w:rPr>
          <w:rFonts w:ascii="Book Antiqua" w:hAnsi="Book Antiqua" w:cs="Times New Roman"/>
          <w:sz w:val="24"/>
          <w:szCs w:val="24"/>
        </w:rPr>
        <w:t>10</w:t>
      </w:r>
      <w:r w:rsidR="009620D7" w:rsidRPr="008D3B68">
        <w:rPr>
          <w:rFonts w:ascii="Book Antiqua" w:hAnsi="Book Antiqua" w:cs="Times New Roman"/>
          <w:sz w:val="24"/>
          <w:szCs w:val="24"/>
        </w:rPr>
        <w:t>-year survival in untreated patients with mild disease was reported to be 67</w:t>
      </w:r>
      <w:r w:rsidR="005E3B6E" w:rsidRPr="008D3B68">
        <w:rPr>
          <w:rFonts w:ascii="Book Antiqua" w:hAnsi="Book Antiqua" w:cs="Times New Roman"/>
          <w:sz w:val="24"/>
          <w:szCs w:val="24"/>
        </w:rPr>
        <w:t>%</w:t>
      </w:r>
      <w:r w:rsidR="005E3B6E">
        <w:rPr>
          <w:rFonts w:ascii="Book Antiqua" w:eastAsia="宋体" w:hAnsi="Book Antiqua" w:cs="Times New Roman" w:hint="eastAsia"/>
          <w:sz w:val="24"/>
          <w:szCs w:val="24"/>
        </w:rPr>
        <w:t>-</w:t>
      </w:r>
      <w:r w:rsidR="009620D7" w:rsidRPr="008D3B68">
        <w:rPr>
          <w:rFonts w:ascii="Book Antiqua" w:hAnsi="Book Antiqua" w:cs="Times New Roman"/>
          <w:sz w:val="24"/>
          <w:szCs w:val="24"/>
        </w:rPr>
        <w:t>90%</w:t>
      </w:r>
      <w:r w:rsidR="00A313A7" w:rsidRPr="008D3B68">
        <w:rPr>
          <w:rFonts w:ascii="Book Antiqua" w:hAnsi="Book Antiqua" w:cs="Times New Roman"/>
          <w:sz w:val="24"/>
          <w:szCs w:val="24"/>
        </w:rPr>
        <w:fldChar w:fldCharType="begin" w:fldLock="1"/>
      </w:r>
      <w:r w:rsidR="00D25B64" w:rsidRPr="008D3B68">
        <w:rPr>
          <w:rFonts w:ascii="Book Antiqua" w:hAnsi="Book Antiqua" w:cs="Times New Roman"/>
          <w:sz w:val="24"/>
          <w:szCs w:val="24"/>
        </w:rPr>
        <w:instrText>ADDIN CSL_CITATION { "citationItems" : [ { "id" : "ITEM-1", "itemData" : { "ISSN" : "0017-5749", "PMID" : "680585", "abstract" : "A group of patients with only moderately active chronic hepatitis has been studied. The follow-up was long (mean 87 months). All patients except one were treated with prednisone and/or azathioprine. Of the hepatitis B virus positive patients two-thirds developed cirrhosis between the second and fifth year of evolution, while in the hepatitis B negative group this occurred in less than one-third. The transition to cirrhosis was clinically silent. The patients were all allowed to do their normal work except in the terminal stages of cirrhosis. Five patients died of causes related to the disease: three patients with cirrhosis and hepatocellular carcinoma, one with gallbladder carcinoma, and one from bleeding varices. The high incidence of tumour, especially liver-cell carcinoma, may be due to a cumulative effect of the presence of hepatitis B virus, cirrhotic transformation, and immuno-suppression. The other patients are currently in apparently good health.", "author" : [ { "dropping-particle" : "", "family" : "Groote", "given" : "J", "non-dropping-particle" : "De", "parse-names" : false, "suffix" : "" }, { "dropping-particle" : "", "family" : "Fevery", "given" : "J", "non-dropping-particle" : "", "parse-names" : false, "suffix" : "" }, { "dropping-particle" : "", "family" : "Lepoutre", "given" : "L", "non-dropping-particle" : "", "parse-names" : false, "suffix" : "" } ], "container-title" : "Gut", "id" : "ITEM-1", "issue" : "6", "issued" : { "date-parts" : [ [ "1978" ] ] }, "page" : "510-3", "title" : "Long-term follow-up of chronic active hepatitis of moderate severity.", "type" : "article-journal", "volume" : "19" }, "uris" : [ "http://www.mendeley.com/documents/?uuid=87cf6efa-0845-4647-a2cb-bde894c417b6" ] }, { "id" : "ITEM-2", "itemData" : { "DOI" : "10.1111/j.1478-3231.2008.01904.x", "ISSN" : "1478-3231", "PMID" : "19018980", "abstract" : "The existence of a mild form of autoimmune hepatitis that does not require treatment remains controversial. The aim of this study was to determine the existence, characteristics and outcome of this form.", "author" : [ { "dropping-particle" : "", "family" : "Czaja", "given" : "Albert J", "non-dropping-particle" : "", "parse-names" : false, "suffix" : "" } ], "container-title" : "Liver international : official journal of the International Association for the Study of the Liver", "id" : "ITEM-2", "issue" : "6", "issued" : { "date-parts" : [ [ "2009" ] ] }, "page" : "816-23", "title" : "Features and consequences of untreated type 1 autoimmune hepatitis.", "type" : "article-journal", "volume" : "29" }, "uris" : [ "http://www.mendeley.com/documents/?uuid=c727259e-f34f-4b5a-82de-55eec7e8bf8f" ] } ], "mendeley" : { "formattedCitation" : "&lt;sup&gt;[23,24]&lt;/sup&gt;", "plainTextFormattedCitation" : "[23,24]", "previouslyFormattedCitation" : "&lt;sup&gt;[23,24]&lt;/sup&gt;"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D25B64" w:rsidRPr="008D3B68">
        <w:rPr>
          <w:rFonts w:ascii="Book Antiqua" w:hAnsi="Book Antiqua" w:cs="Times New Roman"/>
          <w:noProof/>
          <w:sz w:val="24"/>
          <w:szCs w:val="24"/>
          <w:vertAlign w:val="superscript"/>
        </w:rPr>
        <w:t>[23,24]</w:t>
      </w:r>
      <w:r w:rsidR="00A313A7" w:rsidRPr="008D3B68">
        <w:rPr>
          <w:rFonts w:ascii="Book Antiqua" w:hAnsi="Book Antiqua" w:cs="Times New Roman"/>
          <w:sz w:val="24"/>
          <w:szCs w:val="24"/>
        </w:rPr>
        <w:fldChar w:fldCharType="end"/>
      </w:r>
      <w:r w:rsidR="009620D7" w:rsidRPr="008D3B68">
        <w:rPr>
          <w:rFonts w:ascii="Book Antiqua" w:hAnsi="Book Antiqua" w:cs="Times New Roman"/>
          <w:sz w:val="24"/>
          <w:szCs w:val="24"/>
        </w:rPr>
        <w:t>, and in an uncontrolled study</w:t>
      </w:r>
      <w:r w:rsidR="00261D36" w:rsidRPr="008D3B68">
        <w:rPr>
          <w:rFonts w:ascii="Book Antiqua" w:hAnsi="Book Antiqua" w:cs="Times New Roman"/>
          <w:sz w:val="24"/>
          <w:szCs w:val="24"/>
        </w:rPr>
        <w:t>,</w:t>
      </w:r>
      <w:r w:rsidR="009620D7" w:rsidRPr="008D3B68">
        <w:rPr>
          <w:rFonts w:ascii="Book Antiqua" w:hAnsi="Book Antiqua" w:cs="Times New Roman"/>
          <w:sz w:val="24"/>
          <w:szCs w:val="24"/>
        </w:rPr>
        <w:t xml:space="preserve"> untreated asymptomatic patients </w:t>
      </w:r>
      <w:r w:rsidR="009620D7" w:rsidRPr="008D3B68">
        <w:rPr>
          <w:rFonts w:ascii="Book Antiqua" w:hAnsi="Book Antiqua" w:cs="Times New Roman"/>
          <w:sz w:val="24"/>
          <w:szCs w:val="24"/>
        </w:rPr>
        <w:lastRenderedPageBreak/>
        <w:t xml:space="preserve">had similar survival to those </w:t>
      </w:r>
      <w:r w:rsidR="0091071F" w:rsidRPr="008D3B68">
        <w:rPr>
          <w:rFonts w:ascii="Book Antiqua" w:hAnsi="Book Antiqua" w:cs="Times New Roman"/>
          <w:sz w:val="24"/>
          <w:szCs w:val="24"/>
        </w:rPr>
        <w:t>receiving immunosuppression</w:t>
      </w:r>
      <w:r w:rsidR="00A313A7" w:rsidRPr="008D3B68">
        <w:rPr>
          <w:rFonts w:ascii="Book Antiqua" w:hAnsi="Book Antiqua" w:cs="Times New Roman"/>
          <w:sz w:val="24"/>
          <w:szCs w:val="24"/>
        </w:rPr>
        <w:fldChar w:fldCharType="begin" w:fldLock="1"/>
      </w:r>
      <w:r w:rsidR="009153D0" w:rsidRPr="008D3B68">
        <w:rPr>
          <w:rFonts w:ascii="Book Antiqua" w:hAnsi="Book Antiqua" w:cs="Times New Roman"/>
          <w:sz w:val="24"/>
          <w:szCs w:val="24"/>
        </w:rPr>
        <w:instrText>ADDIN CSL_CITATION { "citationItems" : [ { "id" : "ITEM-1", "itemData" : { "DOI" : "10.1002/hep.20732", "ISSN" : "0270-9139", "PMID" : "15954109", "abstract" : "Although the natural history of autoimmune hepatitis (AIH) has been characterized, little is known about patients who present asymptomatically. Consequently, whether they require immunosuppressive therapy with its associated complications is unclear. To compare the natural history of asymptomatic AIH with symptomatic AIH, a large cohort of patients from a single center was examined. All patients with a clinical diagnosis of AIH were reassessed using the revised criteria of the International Autoimmune Hepatitis Group. Liver histology, response to therapy, and survival were assessed. Patients asymptomatic at presentation (n = 31) had lower serum aminotransferase, bilirubin, and immunoglobulin G (IgG) values at baseline. Half of the asymptomatic patients received no therapy, and their survival was no different from that of the total cohort. Ten-year survival was 80.0% (62.5%-97.5%) in the asymptomatic group and 83.8% (75.1%-92.6%) in the symptomatic patients (P = NS). Survival to liver-related endpoints at 10 years was similar in both groups: 89.5% (75.7%-100%) asymptomatic and 83.8% (75.1%-92.6%) symptomatic patients (P = NS). Patients with cirrhosis at baseline had poorer 10-year survival (61.9% [CI 44.9%-78.9%]) than those without cirrhosis at presentation (94.0% [CI 87.4%-100%]) (P = .003) regardless of whether they presented with symptoms or whether they received immunosuppressive therapy. In conclusion, patients with AIH who are asymptomatic at presentation have a good prognosis and may not require immunosuppressive therapy. Cirrhosis on initial liver biopsy portends a poor prognosis in all patients with AIH.", "author" : [ { "dropping-particle" : "", "family" : "Feld", "given" : "Jordan J", "non-dropping-particle" : "", "parse-names" : false, "suffix" : "" }, { "dropping-particle" : "", "family" : "Dinh", "given" : "Huong", "non-dropping-particle" : "", "parse-names" : false, "suffix" : "" }, { "dropping-particle" : "", "family" : "Arenovich", "given" : "Tamara", "non-dropping-particle" : "", "parse-names" : false, "suffix" : "" }, { "dropping-particle" : "", "family" : "Marcus", "given" : "Victoria a", "non-dropping-particle" : "", "parse-names" : false, "suffix" : "" }, { "dropping-particle" : "", "family" : "Wanless", "given" : "Ian R", "non-dropping-particle" : "", "parse-names" : false, "suffix" : "" }, { "dropping-particle" : "", "family" : "Heathcote", "given" : "E Jenny", "non-dropping-particle" : "", "parse-names" : false, "suffix" : "" } ], "container-title" : "Hepatology (Baltimore, Md.)", "id" : "ITEM-1", "issue" : "1", "issued" : { "date-parts" : [ [ "2005" ] ] }, "page" : "53-62", "title" : "Autoimmune hepatitis: effect of symptoms and cirrhosis on natural history and outcome.", "type" : "article-journal", "volume" : "42" }, "uris" : [ "http://www.mendeley.com/documents/?uuid=28cee846-76e2-4b2e-9821-fcf08ce9f444" ] } ], "mendeley" : { "formattedCitation" : "&lt;sup&gt;[25]&lt;/sup&gt;", "plainTextFormattedCitation" : "[25]", "previouslyFormattedCitation" : "&lt;sup&gt;[25]&lt;/sup&gt;"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064FDB" w:rsidRPr="008D3B68">
        <w:rPr>
          <w:rFonts w:ascii="Book Antiqua" w:hAnsi="Book Antiqua" w:cs="Times New Roman"/>
          <w:noProof/>
          <w:sz w:val="24"/>
          <w:szCs w:val="24"/>
          <w:vertAlign w:val="superscript"/>
        </w:rPr>
        <w:t>[25]</w:t>
      </w:r>
      <w:r w:rsidR="00A313A7" w:rsidRPr="008D3B68">
        <w:rPr>
          <w:rFonts w:ascii="Book Antiqua" w:hAnsi="Book Antiqua" w:cs="Times New Roman"/>
          <w:sz w:val="24"/>
          <w:szCs w:val="24"/>
        </w:rPr>
        <w:fldChar w:fldCharType="end"/>
      </w:r>
      <w:r w:rsidR="009620D7" w:rsidRPr="008D3B68">
        <w:rPr>
          <w:rFonts w:ascii="Book Antiqua" w:hAnsi="Book Antiqua" w:cs="Times New Roman"/>
          <w:sz w:val="24"/>
          <w:szCs w:val="24"/>
        </w:rPr>
        <w:t>.</w:t>
      </w:r>
      <w:r w:rsidR="00122423" w:rsidRPr="008D3B68">
        <w:rPr>
          <w:rFonts w:ascii="Book Antiqua" w:hAnsi="Book Antiqua" w:cs="Times New Roman"/>
          <w:sz w:val="24"/>
          <w:szCs w:val="24"/>
        </w:rPr>
        <w:t xml:space="preserve"> However, it also has to</w:t>
      </w:r>
      <w:r w:rsidR="009620D7" w:rsidRPr="008D3B68">
        <w:rPr>
          <w:rFonts w:ascii="Book Antiqua" w:hAnsi="Book Antiqua" w:cs="Times New Roman"/>
          <w:sz w:val="24"/>
          <w:szCs w:val="24"/>
        </w:rPr>
        <w:t xml:space="preserve"> </w:t>
      </w:r>
      <w:r w:rsidR="00122423" w:rsidRPr="008D3B68">
        <w:rPr>
          <w:rFonts w:ascii="Book Antiqua" w:hAnsi="Book Antiqua" w:cs="Times New Roman"/>
          <w:sz w:val="24"/>
          <w:szCs w:val="24"/>
        </w:rPr>
        <w:t>be acknowledged that untreated AIH has a fluctuating, unpredictable disease behavior</w:t>
      </w:r>
      <w:r w:rsidR="00261D36" w:rsidRPr="008D3B68">
        <w:rPr>
          <w:rFonts w:ascii="Book Antiqua" w:hAnsi="Book Antiqua" w:cs="Times New Roman"/>
          <w:sz w:val="24"/>
          <w:szCs w:val="24"/>
        </w:rPr>
        <w:t>,</w:t>
      </w:r>
      <w:r w:rsidR="00122423" w:rsidRPr="008D3B68">
        <w:rPr>
          <w:rFonts w:ascii="Book Antiqua" w:hAnsi="Book Antiqua" w:cs="Times New Roman"/>
          <w:sz w:val="24"/>
          <w:szCs w:val="24"/>
        </w:rPr>
        <w:t xml:space="preserve"> and a substantial proportion of asymptomatic patients become symptomatic during the course of their disease follow-up</w:t>
      </w:r>
      <w:r w:rsidR="00A313A7" w:rsidRPr="008D3B68">
        <w:rPr>
          <w:rFonts w:ascii="Book Antiqua" w:hAnsi="Book Antiqua" w:cs="Times New Roman"/>
          <w:sz w:val="24"/>
          <w:szCs w:val="24"/>
        </w:rPr>
        <w:fldChar w:fldCharType="begin" w:fldLock="1"/>
      </w:r>
      <w:r w:rsidR="00D25B64" w:rsidRPr="008D3B68">
        <w:rPr>
          <w:rFonts w:ascii="Book Antiqua" w:hAnsi="Book Antiqua" w:cs="Times New Roman"/>
          <w:sz w:val="24"/>
          <w:szCs w:val="24"/>
        </w:rPr>
        <w:instrText>ADDIN CSL_CITATION { "citationItems" : [ { "id" : "ITEM-1", "itemData" : { "DOI" : "10.1002/hep.20732", "ISSN" : "0270-9139", "PMID" : "15954109", "abstract" : "Although the natural history of autoimmune hepatitis (AIH) has been characterized, little is known about patients who present asymptomatically. Consequently, whether they require immunosuppressive therapy with its associated complications is unclear. To compare the natural history of asymptomatic AIH with symptomatic AIH, a large cohort of patients from a single center was examined. All patients with a clinical diagnosis of AIH were reassessed using the revised criteria of the International Autoimmune Hepatitis Group. Liver histology, response to therapy, and survival were assessed. Patients asymptomatic at presentation (n = 31) had lower serum aminotransferase, bilirubin, and immunoglobulin G (IgG) values at baseline. Half of the asymptomatic patients received no therapy, and their survival was no different from that of the total cohort. Ten-year survival was 80.0% (62.5%-97.5%) in the asymptomatic group and 83.8% (75.1%-92.6%) in the symptomatic patients (P = NS). Survival to liver-related endpoints at 10 years was similar in both groups: 89.5% (75.7%-100%) asymptomatic and 83.8% (75.1%-92.6%) symptomatic patients (P = NS). Patients with cirrhosis at baseline had poorer 10-year survival (61.9% [CI 44.9%-78.9%]) than those without cirrhosis at presentation (94.0% [CI 87.4%-100%]) (P = .003) regardless of whether they presented with symptoms or whether they received immunosuppressive therapy. In conclusion, patients with AIH who are asymptomatic at presentation have a good prognosis and may not require immunosuppressive therapy. Cirrhosis on initial liver biopsy portends a poor prognosis in all patients with AIH.", "author" : [ { "dropping-particle" : "", "family" : "Feld", "given" : "Jordan J", "non-dropping-particle" : "", "parse-names" : false, "suffix" : "" }, { "dropping-particle" : "", "family" : "Dinh", "given" : "Huong", "non-dropping-particle" : "", "parse-names" : false, "suffix" : "" }, { "dropping-particle" : "", "family" : "Arenovich", "given" : "Tamara", "non-dropping-particle" : "", "parse-names" : false, "suffix" : "" }, { "dropping-particle" : "", "family" : "Marcus", "given" : "Victoria a", "non-dropping-particle" : "", "parse-names" : false, "suffix" : "" }, { "dropping-particle" : "", "family" : "Wanless", "given" : "Ian R", "non-dropping-particle" : "", "parse-names" : false, "suffix" : "" }, { "dropping-particle" : "", "family" : "Heathcote", "given" : "E Jenny", "non-dropping-particle" : "", "parse-names" : false, "suffix" : "" } ], "container-title" : "Hepatology (Baltimore, Md.)", "id" : "ITEM-1", "issue" : "1", "issued" : { "date-parts" : [ [ "2005" ] ] }, "page" : "53-62", "title" : "Autoimmune hepatitis: effect of symptoms and cirrhosis on natural history and outcome.", "type" : "article-journal", "volume" : "42" }, "uris" : [ "http://www.mendeley.com/documents/?uuid=28cee846-76e2-4b2e-9821-fcf08ce9f444" ] }, { "id" : "ITEM-2", "itemData" : { "ISSN" : "0192-0790", "PMID" : "12080231", "abstract" : "BACKGROUND: Autoimmune hepatitis (AIH) is a chronic liver disorder of unknown etiology. Disease presentation ranges from asymptomatic to symptomatic onset, fulminant, acute, or chronic. GOALS: To evaluate the prognosis of patients with asymptomatic versus symptomatic AIH and to determine the role of early treatment and prognostic factors in this subgroup of patients. METHODS: Sixty-eight patients with AIH were retrospectively evaluated for clinical presentation, liver function tests, autoantibody profile, liver biopsy, treatment, and long-term prognosis. RESULTS: Twenty-three patients were classified as having asymptomatic AIH. They were compared with the 45 AIH patients with symptomatic onset. Patients with symptomatic and asymptomatic presentations were indistinguishable by age, but there was a relative male predominance in the asymptomatic group. Aminotransferase and immunoglobulin levels were lower in the asymptomatic group. In contrast, the histopathologic picture was indistinguishable between the two groups. Lobular hepatitis of a moderate to severe degree, portal fibrosis, and bridging fibrosis were detected in similar frequencies in both groups. Asymptomatic onset led to a delay in diagnosis and, consequently, in the initiation of treatment and was associated with use of relatively lower doses of corticosteroids. Response to treatment and long-term prognosis of asymptomatic patients was better than that observed in the symptomatic group. CONCLUSIONS: Asymptomatic onset of AIH is relatively common. The clinical presentation appears in correlation with liver functions tests but not with liver histology. This subgroup of AIH carries a better response to treatment and a favorable prognosis.", "author" : [ { "dropping-particle" : "", "family" : "Kogan", "given" : "Jacob", "non-dropping-particle" : "", "parse-names" : false, "suffix" : "" }, { "dropping-particle" : "", "family" : "Safadi", "given" : "Rifat", "non-dropping-particle" : "", "parse-names" : false, "suffix" : "" }, { "dropping-particle" : "", "family" : "Ashur", "given" : "Yaffa", "non-dropping-particle" : "", "parse-names" : false, "suffix" : "" }, { "dropping-particle" : "", "family" : "Shouval", "given" : "Daniel", "non-dropping-particle" : "", "parse-names" : false, "suffix" : "" }, { "dropping-particle" : "", "family" : "Ilan", "given" : "Yaron", "non-dropping-particle" : "", "parse-names" : false, "suffix" : "" } ], "container-title" : "Journal of clinical gastroenterology", "id" : "ITEM-2", "issue" : "1", "issued" : { "date-parts" : [ [ "2002" ] ] }, "page" : "75-81", "title" : "Prognosis of symptomatic versus asymptomatic autoimmune hepatitis: a study of 68 patients.", "type" : "article-journal", "volume" : "35" }, "uris" : [ "http://www.mendeley.com/documents/?uuid=e9c0a870-5cf2-436b-9fc4-2a88610977f6" ] } ], "mendeley" : { "formattedCitation" : "&lt;sup&gt;[25,26]&lt;/sup&gt;", "plainTextFormattedCitation" : "[25,26]", "previouslyFormattedCitation" : "&lt;sup&gt;[25,26]&lt;/sup&gt;"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D25B64" w:rsidRPr="008D3B68">
        <w:rPr>
          <w:rFonts w:ascii="Book Antiqua" w:hAnsi="Book Antiqua" w:cs="Times New Roman"/>
          <w:noProof/>
          <w:sz w:val="24"/>
          <w:szCs w:val="24"/>
          <w:vertAlign w:val="superscript"/>
        </w:rPr>
        <w:t>[25,26]</w:t>
      </w:r>
      <w:r w:rsidR="00A313A7" w:rsidRPr="008D3B68">
        <w:rPr>
          <w:rFonts w:ascii="Book Antiqua" w:hAnsi="Book Antiqua" w:cs="Times New Roman"/>
          <w:sz w:val="24"/>
          <w:szCs w:val="24"/>
        </w:rPr>
        <w:fldChar w:fldCharType="end"/>
      </w:r>
      <w:r w:rsidR="00122423" w:rsidRPr="008D3B68">
        <w:rPr>
          <w:rFonts w:ascii="Book Antiqua" w:hAnsi="Book Antiqua" w:cs="Times New Roman"/>
          <w:sz w:val="24"/>
          <w:szCs w:val="24"/>
        </w:rPr>
        <w:t>, and progression towards</w:t>
      </w:r>
      <w:r w:rsidR="009620D7" w:rsidRPr="008D3B68">
        <w:rPr>
          <w:rFonts w:ascii="Book Antiqua" w:hAnsi="Book Antiqua" w:cs="Times New Roman"/>
          <w:sz w:val="24"/>
          <w:szCs w:val="24"/>
        </w:rPr>
        <w:t xml:space="preserve"> end-stage liver disease with liver failure and development of HCC is possible</w:t>
      </w:r>
      <w:r w:rsidR="00A313A7" w:rsidRPr="008D3B68">
        <w:rPr>
          <w:rFonts w:ascii="Book Antiqua" w:hAnsi="Book Antiqua" w:cs="Times New Roman"/>
          <w:sz w:val="24"/>
          <w:szCs w:val="24"/>
        </w:rPr>
        <w:fldChar w:fldCharType="begin" w:fldLock="1"/>
      </w:r>
      <w:r w:rsidR="009153D0" w:rsidRPr="008D3B68">
        <w:rPr>
          <w:rFonts w:ascii="Book Antiqua" w:hAnsi="Book Antiqua" w:cs="Times New Roman"/>
          <w:sz w:val="24"/>
          <w:szCs w:val="24"/>
        </w:rPr>
        <w:instrText>ADDIN CSL_CITATION { "citationItems" : [ { "id" : "ITEM-1", "itemData" : { "DOI" : "10.1111/j.1478-3231.2008.01904.x", "ISSN" : "1478-3231", "PMID" : "19018980", "abstract" : "The existence of a mild form of autoimmune hepatitis that does not require treatment remains controversial. The aim of this study was to determine the existence, characteristics and outcome of this form.", "author" : [ { "dropping-particle" : "", "family" : "Czaja", "given" : "Albert J", "non-dropping-particle" : "", "parse-names" : false, "suffix" : "" } ], "container-title" : "Liver international : official journal of the International Association for the Study of the Liver", "id" : "ITEM-1", "issue" : "6", "issued" : { "date-parts" : [ [ "2009" ] ] }, "page" : "816-23", "title" : "Features and consequences of untreated type 1 autoimmune hepatitis.", "type" : "article-journal", "volume" : "29" }, "uris" : [ "http://www.mendeley.com/documents/?uuid=c727259e-f34f-4b5a-82de-55eec7e8bf8f" ] } ], "mendeley" : { "formattedCitation" : "&lt;sup&gt;[24]&lt;/sup&gt;", "plainTextFormattedCitation" : "[24]", "previouslyFormattedCitation" : "&lt;sup&gt;[24]&lt;/sup&gt;"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9153D0" w:rsidRPr="008D3B68">
        <w:rPr>
          <w:rFonts w:ascii="Book Antiqua" w:hAnsi="Book Antiqua" w:cs="Times New Roman"/>
          <w:noProof/>
          <w:sz w:val="24"/>
          <w:szCs w:val="24"/>
          <w:vertAlign w:val="superscript"/>
        </w:rPr>
        <w:t>[24]</w:t>
      </w:r>
      <w:r w:rsidR="00A313A7" w:rsidRPr="008D3B68">
        <w:rPr>
          <w:rFonts w:ascii="Book Antiqua" w:hAnsi="Book Antiqua" w:cs="Times New Roman"/>
          <w:sz w:val="24"/>
          <w:szCs w:val="24"/>
        </w:rPr>
        <w:fldChar w:fldCharType="end"/>
      </w:r>
      <w:r w:rsidR="009620D7" w:rsidRPr="008D3B68">
        <w:rPr>
          <w:rFonts w:ascii="Book Antiqua" w:hAnsi="Book Antiqua" w:cs="Times New Roman"/>
          <w:sz w:val="24"/>
          <w:szCs w:val="24"/>
        </w:rPr>
        <w:t xml:space="preserve">. </w:t>
      </w:r>
      <w:r w:rsidR="00D733B7" w:rsidRPr="008D3B68">
        <w:rPr>
          <w:rFonts w:ascii="Book Antiqua" w:hAnsi="Book Antiqua" w:cs="Times New Roman"/>
          <w:noProof/>
          <w:color w:val="000000" w:themeColor="text1"/>
          <w:kern w:val="0"/>
          <w:sz w:val="24"/>
          <w:szCs w:val="24"/>
        </w:rPr>
        <w:t>Muratori</w:t>
      </w:r>
      <w:r w:rsidR="00D733B7" w:rsidRPr="008D3B68">
        <w:rPr>
          <w:rFonts w:ascii="Book Antiqua" w:hAnsi="Book Antiqua" w:cs="Times New Roman"/>
          <w:color w:val="000000" w:themeColor="text1"/>
          <w:kern w:val="0"/>
          <w:sz w:val="24"/>
          <w:szCs w:val="24"/>
        </w:rPr>
        <w:t xml:space="preserve"> </w:t>
      </w:r>
      <w:r w:rsidR="00D733B7" w:rsidRPr="003E06B1">
        <w:rPr>
          <w:rFonts w:ascii="Book Antiqua" w:hAnsi="Book Antiqua" w:cs="Times New Roman"/>
          <w:i/>
          <w:color w:val="000000" w:themeColor="text1"/>
          <w:sz w:val="24"/>
          <w:szCs w:val="24"/>
        </w:rPr>
        <w:t>et al</w:t>
      </w:r>
      <w:r w:rsidR="003E06B1" w:rsidRPr="008D3B68">
        <w:rPr>
          <w:rFonts w:ascii="Book Antiqua" w:hAnsi="Book Antiqua" w:cs="Times New Roman"/>
          <w:color w:val="000000" w:themeColor="text1"/>
          <w:sz w:val="24"/>
          <w:szCs w:val="24"/>
        </w:rPr>
        <w:fldChar w:fldCharType="begin" w:fldLock="1"/>
      </w:r>
      <w:r w:rsidR="003E06B1" w:rsidRPr="008D3B68">
        <w:rPr>
          <w:rFonts w:ascii="Book Antiqua" w:hAnsi="Book Antiqua" w:cs="Times New Roman"/>
          <w:color w:val="000000" w:themeColor="text1"/>
          <w:sz w:val="24"/>
          <w:szCs w:val="24"/>
        </w:rPr>
        <w:instrText>ADDIN CSL_CITATION { "citationItems" : [ { "id" : "ITEM-1", "itemData" : { "DOI" : "10.1016/j.cgh.2015.07.017", "ISSN" : "15423565", "PMID" : "26192146", "author" : [ { "dropping-particle" : "", "family" : "Muratori", "given" : "Paolo", "non-dropping-particle" : "", "parse-names" : false, "suffix" : "" }, { "dropping-particle" : "", "family" : "Lalanne", "given" : "Claudine", "non-dropping-particle" : "", "parse-names" : false, "suffix" : "" }, { "dropping-particle" : "", "family" : "Barbato", "given" : "Erica", "non-dropping-particle" : "", "parse-names" : false, "suffix" : "" }, { "dropping-particle" : "", "family" : "Fabbri", "given" : "Angela", "non-dropping-particle" : "", "parse-names" : false, "suffix" : "" }, { "dropping-particle" : "", "family" : "Cassani", "given" : "Fabio", "non-dropping-particle" : "", "parse-names" : false, "suffix" : "" }, { "dropping-particle" : "", "family" : "Lenzi", "given" : "Marco", "non-dropping-particle" : "", "parse-names" : false, "suffix" : "" }, { "dropping-particle" : "", "family" : "Muratori", "given" : "Luigi", "non-dropping-particle" : "", "parse-names" : false, "suffix" : "" } ], "container-title" : "Clinical Gastroenterology and Hepatology", "id" : "ITEM-1", "issue" : "1", "issued" : { "date-parts" : [ [ "2016" ] ] }, "page" : "139-146", "publisher" : "Elsevier, Inc", "title" : "Features and Progression of Asymptomatic Autoimmune Hepatitis in Italy", "type" : "article-journal", "volume" : "14" }, "uris" : [ "http://www.mendeley.com/documents/?uuid=6aa3e0fe-5852-46e9-a1b8-335401befdb3" ] } ], "mendeley" : { "formattedCitation" : "&lt;sup&gt;[27]&lt;/sup&gt;", "plainTextFormattedCitation" : "[27]", "previouslyFormattedCitation" : "&lt;sup&gt;[27]&lt;/sup&gt;" }, "properties" : { "noteIndex" : 0 }, "schema" : "https://github.com/citation-style-language/schema/raw/master/csl-citation.json" }</w:instrText>
      </w:r>
      <w:r w:rsidR="003E06B1" w:rsidRPr="008D3B68">
        <w:rPr>
          <w:rFonts w:ascii="Book Antiqua" w:hAnsi="Book Antiqua" w:cs="Times New Roman"/>
          <w:color w:val="000000" w:themeColor="text1"/>
          <w:sz w:val="24"/>
          <w:szCs w:val="24"/>
        </w:rPr>
        <w:fldChar w:fldCharType="separate"/>
      </w:r>
      <w:r w:rsidR="003E06B1" w:rsidRPr="008D3B68">
        <w:rPr>
          <w:rFonts w:ascii="Book Antiqua" w:hAnsi="Book Antiqua" w:cs="Times New Roman"/>
          <w:noProof/>
          <w:color w:val="000000" w:themeColor="text1"/>
          <w:sz w:val="24"/>
          <w:szCs w:val="24"/>
          <w:vertAlign w:val="superscript"/>
        </w:rPr>
        <w:t>[27]</w:t>
      </w:r>
      <w:r w:rsidR="003E06B1" w:rsidRPr="008D3B68">
        <w:rPr>
          <w:rFonts w:ascii="Book Antiqua" w:hAnsi="Book Antiqua" w:cs="Times New Roman"/>
          <w:color w:val="000000" w:themeColor="text1"/>
          <w:sz w:val="24"/>
          <w:szCs w:val="24"/>
        </w:rPr>
        <w:fldChar w:fldCharType="end"/>
      </w:r>
      <w:r w:rsidR="00D733B7" w:rsidRPr="008D3B68">
        <w:rPr>
          <w:rFonts w:ascii="Book Antiqua" w:hAnsi="Book Antiqua" w:cs="Times New Roman"/>
          <w:color w:val="000000" w:themeColor="text1"/>
          <w:sz w:val="24"/>
          <w:szCs w:val="24"/>
        </w:rPr>
        <w:t xml:space="preserve"> </w:t>
      </w:r>
      <w:r w:rsidR="002619B7" w:rsidRPr="008D3B68">
        <w:rPr>
          <w:rFonts w:ascii="Book Antiqua" w:hAnsi="Book Antiqua" w:cs="Times New Roman"/>
          <w:color w:val="000000" w:themeColor="text1"/>
          <w:sz w:val="24"/>
          <w:szCs w:val="24"/>
        </w:rPr>
        <w:t xml:space="preserve">also </w:t>
      </w:r>
      <w:r w:rsidR="00D733B7" w:rsidRPr="008D3B68">
        <w:rPr>
          <w:rFonts w:ascii="Book Antiqua" w:hAnsi="Book Antiqua" w:cs="Times New Roman"/>
          <w:color w:val="000000" w:themeColor="text1"/>
          <w:sz w:val="24"/>
          <w:szCs w:val="24"/>
        </w:rPr>
        <w:t xml:space="preserve">reported that </w:t>
      </w:r>
      <w:r w:rsidR="00261D36" w:rsidRPr="008D3B68">
        <w:rPr>
          <w:rFonts w:ascii="Book Antiqua" w:hAnsi="Book Antiqua" w:cs="Times New Roman"/>
          <w:color w:val="000000" w:themeColor="text1"/>
          <w:sz w:val="24"/>
          <w:szCs w:val="24"/>
        </w:rPr>
        <w:t>p</w:t>
      </w:r>
      <w:r w:rsidR="002619B7" w:rsidRPr="008D3B68">
        <w:rPr>
          <w:rFonts w:ascii="Book Antiqua" w:hAnsi="Book Antiqua" w:cs="Times New Roman"/>
          <w:color w:val="000000" w:themeColor="text1"/>
          <w:sz w:val="24"/>
          <w:szCs w:val="24"/>
        </w:rPr>
        <w:t xml:space="preserve">atients with asymptomatic </w:t>
      </w:r>
      <w:r w:rsidR="00926E36" w:rsidRPr="008D3B68">
        <w:rPr>
          <w:rFonts w:ascii="Book Antiqua" w:hAnsi="Book Antiqua" w:cs="Times New Roman"/>
          <w:i/>
          <w:sz w:val="24"/>
          <w:szCs w:val="24"/>
        </w:rPr>
        <w:t>vs</w:t>
      </w:r>
      <w:r w:rsidR="002619B7" w:rsidRPr="008D3B68">
        <w:rPr>
          <w:rFonts w:ascii="Book Antiqua" w:hAnsi="Book Antiqua" w:cs="Times New Roman"/>
          <w:color w:val="000000" w:themeColor="text1"/>
          <w:sz w:val="24"/>
          <w:szCs w:val="24"/>
        </w:rPr>
        <w:t xml:space="preserve"> symptomatic AIH</w:t>
      </w:r>
      <w:r w:rsidR="00D733B7" w:rsidRPr="008D3B68">
        <w:rPr>
          <w:rFonts w:ascii="Book Antiqua" w:hAnsi="Book Antiqua" w:cs="Times New Roman"/>
          <w:color w:val="000000" w:themeColor="text1"/>
          <w:sz w:val="24"/>
          <w:szCs w:val="24"/>
        </w:rPr>
        <w:t xml:space="preserve"> have similar courses of disease progression and responses to immunosuppressive agents, and should </w:t>
      </w:r>
      <w:r w:rsidR="0090201E" w:rsidRPr="008D3B68">
        <w:rPr>
          <w:rFonts w:ascii="Book Antiqua" w:hAnsi="Book Antiqua" w:cs="Times New Roman"/>
          <w:color w:val="000000" w:themeColor="text1"/>
          <w:sz w:val="24"/>
          <w:szCs w:val="24"/>
        </w:rPr>
        <w:t xml:space="preserve">therefore </w:t>
      </w:r>
      <w:r w:rsidR="00D733B7" w:rsidRPr="008D3B68">
        <w:rPr>
          <w:rFonts w:ascii="Book Antiqua" w:hAnsi="Book Antiqua" w:cs="Times New Roman"/>
          <w:color w:val="000000" w:themeColor="text1"/>
          <w:sz w:val="24"/>
          <w:szCs w:val="24"/>
        </w:rPr>
        <w:t xml:space="preserve">receive the same treatment. </w:t>
      </w:r>
      <w:r w:rsidR="004B34E2" w:rsidRPr="008D3B68">
        <w:rPr>
          <w:rFonts w:ascii="Book Antiqua" w:hAnsi="Book Antiqua" w:cs="Times New Roman"/>
          <w:sz w:val="24"/>
          <w:szCs w:val="24"/>
        </w:rPr>
        <w:t>A</w:t>
      </w:r>
      <w:r w:rsidR="00D5222B" w:rsidRPr="008D3B68">
        <w:rPr>
          <w:rFonts w:ascii="Book Antiqua" w:hAnsi="Book Antiqua" w:cs="Times New Roman"/>
          <w:sz w:val="24"/>
          <w:szCs w:val="24"/>
        </w:rPr>
        <w:t>ddition</w:t>
      </w:r>
      <w:r w:rsidR="004B34E2" w:rsidRPr="008D3B68">
        <w:rPr>
          <w:rFonts w:ascii="Book Antiqua" w:hAnsi="Book Antiqua" w:cs="Times New Roman"/>
          <w:sz w:val="24"/>
          <w:szCs w:val="24"/>
        </w:rPr>
        <w:t>ally</w:t>
      </w:r>
      <w:r w:rsidR="00D5222B" w:rsidRPr="008D3B68">
        <w:rPr>
          <w:rFonts w:ascii="Book Antiqua" w:hAnsi="Book Antiqua" w:cs="Times New Roman"/>
          <w:sz w:val="24"/>
          <w:szCs w:val="24"/>
        </w:rPr>
        <w:t xml:space="preserve">, </w:t>
      </w:r>
      <w:r w:rsidR="00031BA8" w:rsidRPr="008D3B68">
        <w:rPr>
          <w:rFonts w:ascii="Book Antiqua" w:hAnsi="Book Antiqua" w:cs="Times New Roman"/>
          <w:sz w:val="24"/>
          <w:szCs w:val="24"/>
        </w:rPr>
        <w:t xml:space="preserve">to exclude patients with transient liver damage that may not </w:t>
      </w:r>
      <w:r w:rsidR="00261D36" w:rsidRPr="008D3B68">
        <w:rPr>
          <w:rFonts w:ascii="Book Antiqua" w:hAnsi="Book Antiqua" w:cs="Times New Roman"/>
          <w:sz w:val="24"/>
          <w:szCs w:val="24"/>
        </w:rPr>
        <w:t xml:space="preserve">have </w:t>
      </w:r>
      <w:r w:rsidR="00031BA8" w:rsidRPr="008D3B68">
        <w:rPr>
          <w:rFonts w:ascii="Book Antiqua" w:hAnsi="Book Antiqua" w:cs="Times New Roman"/>
          <w:sz w:val="24"/>
          <w:szCs w:val="24"/>
        </w:rPr>
        <w:t xml:space="preserve">required treatment, </w:t>
      </w:r>
      <w:r w:rsidR="00D5222B" w:rsidRPr="008D3B68">
        <w:rPr>
          <w:rFonts w:ascii="Book Antiqua" w:hAnsi="Book Antiqua" w:cs="Times New Roman"/>
          <w:sz w:val="24"/>
          <w:szCs w:val="24"/>
        </w:rPr>
        <w:t xml:space="preserve">patients with no histological fibrosis (F0) </w:t>
      </w:r>
      <w:r w:rsidR="00261D36" w:rsidRPr="008D3B68">
        <w:rPr>
          <w:rFonts w:ascii="Book Antiqua" w:hAnsi="Book Antiqua" w:cs="Times New Roman"/>
          <w:sz w:val="24"/>
          <w:szCs w:val="24"/>
        </w:rPr>
        <w:t xml:space="preserve">were not </w:t>
      </w:r>
      <w:r w:rsidR="00031BA8" w:rsidRPr="008D3B68">
        <w:rPr>
          <w:rFonts w:ascii="Book Antiqua" w:hAnsi="Book Antiqua" w:cs="Times New Roman"/>
          <w:sz w:val="24"/>
          <w:szCs w:val="24"/>
        </w:rPr>
        <w:t xml:space="preserve">enrolled </w:t>
      </w:r>
      <w:r w:rsidR="00D5222B" w:rsidRPr="008D3B68">
        <w:rPr>
          <w:rFonts w:ascii="Book Antiqua" w:hAnsi="Book Antiqua" w:cs="Times New Roman"/>
          <w:sz w:val="24"/>
          <w:szCs w:val="24"/>
        </w:rPr>
        <w:t>i</w:t>
      </w:r>
      <w:r w:rsidR="00EC2303" w:rsidRPr="008D3B68">
        <w:rPr>
          <w:rFonts w:ascii="Book Antiqua" w:hAnsi="Book Antiqua" w:cs="Times New Roman"/>
          <w:sz w:val="24"/>
          <w:szCs w:val="24"/>
        </w:rPr>
        <w:t xml:space="preserve">n </w:t>
      </w:r>
      <w:r w:rsidR="00261D36" w:rsidRPr="008D3B68">
        <w:rPr>
          <w:rFonts w:ascii="Book Antiqua" w:hAnsi="Book Antiqua" w:cs="Times New Roman"/>
          <w:sz w:val="24"/>
          <w:szCs w:val="24"/>
        </w:rPr>
        <w:t xml:space="preserve">the present </w:t>
      </w:r>
      <w:r w:rsidR="00EC2303" w:rsidRPr="008D3B68">
        <w:rPr>
          <w:rFonts w:ascii="Book Antiqua" w:hAnsi="Book Antiqua" w:cs="Times New Roman"/>
          <w:sz w:val="24"/>
          <w:szCs w:val="24"/>
        </w:rPr>
        <w:t>study</w:t>
      </w:r>
      <w:r w:rsidR="009471FF" w:rsidRPr="008D3B68">
        <w:rPr>
          <w:rFonts w:ascii="Book Antiqua" w:hAnsi="Book Antiqua" w:cs="Times New Roman"/>
          <w:sz w:val="24"/>
          <w:szCs w:val="24"/>
        </w:rPr>
        <w:t>.</w:t>
      </w:r>
    </w:p>
    <w:p w:rsidR="00A9672D" w:rsidRPr="008D3B68" w:rsidRDefault="00A9672D" w:rsidP="00352D86">
      <w:pPr>
        <w:spacing w:line="360" w:lineRule="auto"/>
        <w:ind w:firstLineChars="300" w:firstLine="720"/>
        <w:rPr>
          <w:rFonts w:ascii="Book Antiqua" w:hAnsi="Book Antiqua" w:cs="Times New Roman"/>
          <w:sz w:val="24"/>
          <w:szCs w:val="24"/>
        </w:rPr>
      </w:pPr>
      <w:r w:rsidRPr="008D3B68">
        <w:rPr>
          <w:rFonts w:ascii="Book Antiqua" w:hAnsi="Book Antiqua" w:cs="Times New Roman"/>
          <w:sz w:val="24"/>
          <w:szCs w:val="24"/>
        </w:rPr>
        <w:t xml:space="preserve">According to the AIH Guidelines issued by the American Association for the Study of Liver Diseases (AASLD) in 2010, no treatment is needed </w:t>
      </w:r>
      <w:r w:rsidR="008B3A4C" w:rsidRPr="008D3B68">
        <w:rPr>
          <w:rFonts w:ascii="Book Antiqua" w:hAnsi="Book Antiqua" w:cs="Times New Roman"/>
          <w:sz w:val="24"/>
          <w:szCs w:val="24"/>
        </w:rPr>
        <w:t xml:space="preserve">for </w:t>
      </w:r>
      <w:r w:rsidRPr="008D3B68">
        <w:rPr>
          <w:rFonts w:ascii="Book Antiqua" w:hAnsi="Book Antiqua" w:cs="Times New Roman"/>
          <w:sz w:val="24"/>
          <w:szCs w:val="24"/>
        </w:rPr>
        <w:t>patients with AST and ALT levels close to or below the standard levels</w:t>
      </w:r>
      <w:r w:rsidR="00A313A7" w:rsidRPr="008D3B68">
        <w:rPr>
          <w:rFonts w:ascii="Book Antiqua" w:hAnsi="Book Antiqua" w:cs="Times New Roman"/>
          <w:sz w:val="24"/>
          <w:szCs w:val="24"/>
        </w:rPr>
        <w:fldChar w:fldCharType="begin" w:fldLock="1"/>
      </w:r>
      <w:r w:rsidR="009153D0" w:rsidRPr="008D3B68">
        <w:rPr>
          <w:rFonts w:ascii="Book Antiqua" w:hAnsi="Book Antiqua" w:cs="Times New Roman"/>
          <w:sz w:val="24"/>
          <w:szCs w:val="24"/>
        </w:rPr>
        <w:instrText>ADDIN CSL_CITATION { "citationItems" : [ { "id" : "ITEM-1", "itemData" : { "DOI" : "10.1097/MOG.0b013e3283457ce0", "ISBN" : "0036-5521", "ISSN" : "0267-1379", "PMID" : "21451411", "abstract" : "Autoimmune hepatitis (AIH) is a chronic, progressive hepatitis of uncertain cause which has fluctuating activity characterized by periods of flares and remissions. Initial placebo-controlled trials carried out in the 1970s demonstrated that immunosuppression with steroids was extremely effective in reducing flares and progression of disease. The late 1980s-1990s could be described as the 'Dark Ages' of AIH treatment research. Very few clinical studies were performed during this time, although it became increasingly apparent that not all patients tolerated or responded to traditional immunosuppression, and that not all patients were easy to diagnose because of overlapping features with other autoimmune conditions. Fortunately, clinical research in the treatment of AIH has experienced a renaissance in the 21st century.", "author" : [ { "dropping-particle" : "", "family" : "Manns MP, Czaja AJ, Gorham JD, Krawitt EL, Mieli-Vergani G, Vergani D", "given" : "Vierling JM", "non-dropping-particle" : "", "parse-names" : false, "suffix" : "" } ], "container-title" : "Hepatology", "id" : "ITEM-1", "issue" : "6", "issued" : { "date-parts" : [ [ "2010" ] ] }, "page" : "2193-213", "title" : "Management of autoimmune hepatitis.", "type" : "article-journal", "volume" : "51" }, "uris" : [ "http://www.mendeley.com/documents/?uuid=172cdaf9-c3df-4c90-b5d0-c14410447efd" ] } ], "mendeley" : { "formattedCitation" : "&lt;sup&gt;[1]&lt;/sup&gt;", "plainTextFormattedCitation" : "[1]", "previouslyFormattedCitation" : "&lt;sup&gt;[1]&lt;/sup&gt;"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9153D0" w:rsidRPr="008D3B68">
        <w:rPr>
          <w:rFonts w:ascii="Book Antiqua" w:hAnsi="Book Antiqua" w:cs="Times New Roman"/>
          <w:noProof/>
          <w:sz w:val="24"/>
          <w:szCs w:val="24"/>
          <w:vertAlign w:val="superscript"/>
        </w:rPr>
        <w:t>[1]</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The patients included in </w:t>
      </w:r>
      <w:r w:rsidR="00491E41" w:rsidRPr="008D3B68">
        <w:rPr>
          <w:rFonts w:ascii="Book Antiqua" w:hAnsi="Book Antiqua" w:cs="Times New Roman"/>
          <w:sz w:val="24"/>
          <w:szCs w:val="24"/>
        </w:rPr>
        <w:t xml:space="preserve">the present </w:t>
      </w:r>
      <w:r w:rsidRPr="008D3B68">
        <w:rPr>
          <w:rFonts w:ascii="Book Antiqua" w:hAnsi="Book Antiqua" w:cs="Times New Roman"/>
          <w:sz w:val="24"/>
          <w:szCs w:val="24"/>
        </w:rPr>
        <w:t>study did not meet these criteria</w:t>
      </w:r>
      <w:r w:rsidR="00491E41" w:rsidRPr="008D3B68">
        <w:rPr>
          <w:rFonts w:ascii="Book Antiqua" w:hAnsi="Book Antiqua" w:cs="Times New Roman"/>
          <w:sz w:val="24"/>
          <w:szCs w:val="24"/>
        </w:rPr>
        <w:t>,</w:t>
      </w:r>
      <w:r w:rsidRPr="008D3B68">
        <w:rPr>
          <w:rFonts w:ascii="Book Antiqua" w:hAnsi="Book Antiqua" w:cs="Times New Roman"/>
          <w:sz w:val="24"/>
          <w:szCs w:val="24"/>
        </w:rPr>
        <w:t xml:space="preserve"> but largely met the indications for treatment. While the efficacy of </w:t>
      </w:r>
      <w:r w:rsidR="008B3A4C" w:rsidRPr="008D3B68">
        <w:rPr>
          <w:rFonts w:ascii="Book Antiqua" w:hAnsi="Book Antiqua" w:cs="Times New Roman"/>
          <w:sz w:val="24"/>
          <w:szCs w:val="24"/>
        </w:rPr>
        <w:t xml:space="preserve">corticosteroids </w:t>
      </w:r>
      <w:r w:rsidRPr="008D3B68">
        <w:rPr>
          <w:rFonts w:ascii="Book Antiqua" w:hAnsi="Book Antiqua" w:cs="Times New Roman"/>
          <w:sz w:val="24"/>
          <w:szCs w:val="24"/>
        </w:rPr>
        <w:t xml:space="preserve">for the treatment of AIH has been established, treatment with </w:t>
      </w:r>
      <w:r w:rsidR="008B3A4C" w:rsidRPr="008D3B68">
        <w:rPr>
          <w:rFonts w:ascii="Book Antiqua" w:hAnsi="Book Antiqua" w:cs="Times New Roman"/>
          <w:sz w:val="24"/>
          <w:szCs w:val="24"/>
        </w:rPr>
        <w:t>corticosteroids</w:t>
      </w:r>
      <w:r w:rsidR="008B3A4C" w:rsidRPr="008D3B68" w:rsidDel="008B3A4C">
        <w:rPr>
          <w:rFonts w:ascii="Book Antiqua" w:hAnsi="Book Antiqua" w:cs="Times New Roman"/>
          <w:sz w:val="24"/>
          <w:szCs w:val="24"/>
        </w:rPr>
        <w:t xml:space="preserve"> </w:t>
      </w:r>
      <w:r w:rsidRPr="008D3B68">
        <w:rPr>
          <w:rFonts w:ascii="Book Antiqua" w:hAnsi="Book Antiqua" w:cs="Times New Roman"/>
          <w:sz w:val="24"/>
          <w:szCs w:val="24"/>
        </w:rPr>
        <w:t>is currently the first choice only in patients with appropriate indications</w:t>
      </w:r>
      <w:r w:rsidR="00A313A7" w:rsidRPr="008D3B68">
        <w:rPr>
          <w:rFonts w:ascii="Book Antiqua" w:hAnsi="Book Antiqua" w:cs="Times New Roman"/>
          <w:sz w:val="24"/>
          <w:szCs w:val="24"/>
        </w:rPr>
        <w:fldChar w:fldCharType="begin" w:fldLock="1"/>
      </w:r>
      <w:r w:rsidR="00D25B64" w:rsidRPr="008D3B68">
        <w:rPr>
          <w:rFonts w:ascii="Book Antiqua" w:hAnsi="Book Antiqua" w:cs="Times New Roman"/>
          <w:sz w:val="24"/>
          <w:szCs w:val="24"/>
        </w:rPr>
        <w:instrText>ADDIN CSL_CITATION { "citationItems" : [ { "id" : "ITEM-1", "itemData" : { "DOI" : "10.1097/MOG.0b013e3283457ce0", "ISBN" : "0036-5521", "ISSN" : "0267-1379", "PMID" : "21451411", "abstract" : "Autoimmune hepatitis (AIH) is a chronic, progressive hepatitis of uncertain cause which has fluctuating activity characterized by periods of flares and remissions. Initial placebo-controlled trials carried out in the 1970s demonstrated that immunosuppression with steroids was extremely effective in reducing flares and progression of disease. The late 1980s-1990s could be described as the 'Dark Ages' of AIH treatment research. Very few clinical studies were performed during this time, although it became increasingly apparent that not all patients tolerated or responded to traditional immunosuppression, and that not all patients were easy to diagnose because of overlapping features with other autoimmune conditions. Fortunately, clinical research in the treatment of AIH has experienced a renaissance in the 21st century.", "author" : [ { "dropping-particle" : "", "family" : "Manns MP, Czaja AJ, Gorham JD, Krawitt EL, Mieli-Vergani G, Vergani D", "given" : "Vierling JM", "non-dropping-particle" : "", "parse-names" : false, "suffix" : "" } ], "container-title" : "Hepatology", "id" : "ITEM-1", "issue" : "6", "issued" : { "date-parts" : [ [ "2010" ] ] }, "page" : "2193-213", "title" : "Management of autoimmune hepatitis.", "type" : "article-journal", "volume" : "51" }, "uris" : [ "http://www.mendeley.com/documents/?uuid=172cdaf9-c3df-4c90-b5d0-c14410447efd" ] }, { "id" : "ITEM-2", "itemData" : { "author" : [ { "dropping-particle" : "", "family" : "European Association for the Study of the Liver", "given" : "", "non-dropping-particle" : "", "parse-names" : false, "suffix" : "" } ], "container-title" : "J Hepatol.", "id" : "ITEM-2", "issue" : "4", "issued" : { "date-parts" : [ [ "2015" ] ] }, "page" : "971-1004", "title" : "EASL Clinical PracticeGuidelines: Autoimmune hepatitis.", "type" : "article-journal", "volume" : "63" }, "uris" : [ "http://www.mendeley.com/documents/?uuid=c2e8e887-7416-4c47-ba97-b7f68c75dcd0" ] } ], "mendeley" : { "formattedCitation" : "&lt;sup&gt;[1,2]&lt;/sup&gt;", "plainTextFormattedCitation" : "[1,2]"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D25B64" w:rsidRPr="008D3B68">
        <w:rPr>
          <w:rFonts w:ascii="Book Antiqua" w:hAnsi="Book Antiqua" w:cs="Times New Roman"/>
          <w:noProof/>
          <w:sz w:val="24"/>
          <w:szCs w:val="24"/>
          <w:vertAlign w:val="superscript"/>
        </w:rPr>
        <w:t>[1,2]</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However, </w:t>
      </w:r>
      <w:r w:rsidR="008B3A4C" w:rsidRPr="008D3B68">
        <w:rPr>
          <w:rFonts w:ascii="Book Antiqua" w:hAnsi="Book Antiqua" w:cs="Times New Roman"/>
          <w:sz w:val="24"/>
          <w:szCs w:val="24"/>
        </w:rPr>
        <w:t xml:space="preserve">corticosteroids </w:t>
      </w:r>
      <w:r w:rsidRPr="008D3B68">
        <w:rPr>
          <w:rFonts w:ascii="Book Antiqua" w:hAnsi="Book Antiqua" w:cs="Times New Roman"/>
          <w:sz w:val="24"/>
          <w:szCs w:val="24"/>
        </w:rPr>
        <w:t>are associated with adverse events</w:t>
      </w:r>
      <w:r w:rsidR="00491E41" w:rsidRPr="008D3B68">
        <w:rPr>
          <w:rFonts w:ascii="Book Antiqua" w:hAnsi="Book Antiqua" w:cs="Times New Roman"/>
          <w:sz w:val="24"/>
          <w:szCs w:val="24"/>
        </w:rPr>
        <w:t>,</w:t>
      </w:r>
      <w:r w:rsidRPr="008D3B68">
        <w:rPr>
          <w:rFonts w:ascii="Book Antiqua" w:hAnsi="Book Antiqua" w:cs="Times New Roman"/>
          <w:sz w:val="24"/>
          <w:szCs w:val="24"/>
        </w:rPr>
        <w:t xml:space="preserve"> such that there is often reluctance to administer these drugs. In patients with AIH in Japan, the age at onset and diagnos</w:t>
      </w:r>
      <w:r w:rsidR="0077657B" w:rsidRPr="008D3B68">
        <w:rPr>
          <w:rFonts w:ascii="Book Antiqua" w:hAnsi="Book Antiqua" w:cs="Times New Roman"/>
          <w:sz w:val="24"/>
          <w:szCs w:val="24"/>
        </w:rPr>
        <w:t>is has been increasing annually</w:t>
      </w:r>
      <w:r w:rsidR="00A313A7" w:rsidRPr="008D3B68">
        <w:rPr>
          <w:rFonts w:ascii="Book Antiqua" w:hAnsi="Book Antiqua" w:cs="Times New Roman"/>
          <w:sz w:val="24"/>
          <w:szCs w:val="24"/>
        </w:rPr>
        <w:fldChar w:fldCharType="begin" w:fldLock="1"/>
      </w:r>
      <w:r w:rsidR="009153D0" w:rsidRPr="008D3B68">
        <w:rPr>
          <w:rFonts w:ascii="Book Antiqua" w:hAnsi="Book Antiqua" w:cs="Times New Roman"/>
          <w:sz w:val="24"/>
          <w:szCs w:val="24"/>
        </w:rPr>
        <w:instrText>ADDIN CSL_CITATION { "citationItems" : [ { "id" : "ITEM-1", "itemData" : { "DOI" : "10.1007/s00535-011-0421-y", "ISSN" : "09441174", "PMID" : "21597932", "abstract" : "BACKGROUND: A nationwide survey of autoimmune hepatitis (AIH) was conducted in Japan, and the clinical features of patients with AIH were analyzed.\\n\\nMETHODS: A total of 1,056 patients were enrolled through questionnaires sent to 153 hospitals and clinics with hepatology specialists.\\n\\nRESULTS: The clinical features of Japanese AIH were as follows: (1) most patients were middle-aged women, with ages peaking in the 60s; (2) serum immunoglobulin G (IgG) levels were high, but more than 30% of the patients had serum IgG levels less than 2,000\u00a0mg/dl; the cutoff level of IgG to distinguish between patients with AIH and those with chronic hepatitis resulting from hepatitis virus was approximately 2,000\u00a0mg/dl; (3) autoantibodies, particularly the antinuclear antibody, were frequently present; (4) most patients showed histological features of chronic hepatitis or liver cirrhosis, but 10.9% of the patients showed histological features of acute hepatitis; (5) approximately 75% of the patients were treated with corticosteroids and showed a favorable response to treatment, whereas ursodeoxycholic acid was administered to 60% of the patients.\\n\\nCONCLUSIONS: The clinical features of patients with AIH in Japan were clarified. The mean age at diagnosis was higher than that in previous studies. In addition, the number of patients with AIH having the histological features of acute hepatitis increased. Diagnosis of AIH does not preclude the presence of acute hepatitis and/or serum IgG levels less than 2,000\u00a0mg/dl.", "author" : [ { "dropping-particle" : "", "family" : "Abe", "given" : "Masanori", "non-dropping-particle" : "", "parse-names" : false, "suffix" : "" }, { "dropping-particle" : "", "family" : "Mashiba", "given" : "Toshie", "non-dropping-particle" : "", "parse-names" : false, "suffix" : "" }, { "dropping-particle" : "", "family" : "Zeniya", "given" : "Mikio", "non-dropping-particle" : "", "parse-names" : false, "suffix" : "" }, { "dropping-particle" : "", "family" : "Yamamoto", "given" : "Kazuhide", "non-dropping-particle" : "", "parse-names" : false, "suffix" : "" }, { "dropping-particle" : "", "family" : "Onji", "given" : "Morikazu", "non-dropping-particle" : "", "parse-names" : false, "suffix" : "" }, { "dropping-particle" : "", "family" : "Tsubouchi", "given" : "Hirohito", "non-dropping-particle" : "", "parse-names" : false, "suffix" : "" } ], "container-title" : "Journal of Gastroenterology", "id" : "ITEM-1", "issue" : "9", "issued" : { "date-parts" : [ [ "2011" ] ] }, "page" : "1136-1141", "title" : "Present status of autoimmune hepatitis in Japan: A nationwide survey", "type" : "article-journal", "volume" : "46" }, "uris" : [ "http://www.mendeley.com/documents/?uuid=a0d0f8b6-8d4a-4bcd-8b88-93cfb1bb0d84" ] } ], "mendeley" : { "formattedCitation" : "&lt;sup&gt;[28]&lt;/sup&gt;", "plainTextFormattedCitation" : "[28]", "previouslyFormattedCitation" : "&lt;sup&gt;[28]&lt;/sup&gt;"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9153D0" w:rsidRPr="008D3B68">
        <w:rPr>
          <w:rFonts w:ascii="Book Antiqua" w:hAnsi="Book Antiqua" w:cs="Times New Roman"/>
          <w:noProof/>
          <w:sz w:val="24"/>
          <w:szCs w:val="24"/>
          <w:vertAlign w:val="superscript"/>
        </w:rPr>
        <w:t>[28]</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w:t>
      </w:r>
      <w:r w:rsidR="0090201E" w:rsidRPr="008D3B68">
        <w:rPr>
          <w:rFonts w:ascii="Book Antiqua" w:hAnsi="Book Antiqua" w:cs="Times New Roman"/>
          <w:sz w:val="24"/>
          <w:szCs w:val="24"/>
        </w:rPr>
        <w:t>Particularly</w:t>
      </w:r>
      <w:r w:rsidRPr="008D3B68">
        <w:rPr>
          <w:rFonts w:ascii="Book Antiqua" w:hAnsi="Book Antiqua" w:cs="Times New Roman"/>
          <w:sz w:val="24"/>
          <w:szCs w:val="24"/>
        </w:rPr>
        <w:t xml:space="preserve"> in elderly women, many of whom are postmenopausal, there is actually considerable concern regarding osteoporosis. Moreover, in the treatment of AIH, prevention of relapse is the most important issue, and maintenance therapy is </w:t>
      </w:r>
      <w:r w:rsidRPr="008D3B68">
        <w:rPr>
          <w:rFonts w:ascii="Book Antiqua" w:hAnsi="Book Antiqua" w:cs="Times New Roman"/>
          <w:sz w:val="24"/>
          <w:szCs w:val="24"/>
        </w:rPr>
        <w:lastRenderedPageBreak/>
        <w:t xml:space="preserve">thus important. However, because many patients are women, drug compliance can actually be poor due to cosmetic issues. In addition, it has also been pointed out that the incidence of other adverse events is high in elderly patients. </w:t>
      </w:r>
      <w:r w:rsidR="00491E41" w:rsidRPr="008D3B68">
        <w:rPr>
          <w:rFonts w:ascii="Book Antiqua" w:hAnsi="Book Antiqua" w:cs="Times New Roman"/>
          <w:sz w:val="24"/>
          <w:szCs w:val="24"/>
        </w:rPr>
        <w:t xml:space="preserve">The present </w:t>
      </w:r>
      <w:r w:rsidRPr="008D3B68">
        <w:rPr>
          <w:rFonts w:ascii="Book Antiqua" w:hAnsi="Book Antiqua" w:cs="Times New Roman"/>
          <w:sz w:val="24"/>
          <w:szCs w:val="24"/>
        </w:rPr>
        <w:t xml:space="preserve">study subjects had an age distribution between </w:t>
      </w:r>
      <w:r w:rsidR="00AC14CB" w:rsidRPr="008D3B68">
        <w:rPr>
          <w:rFonts w:ascii="Book Antiqua" w:hAnsi="Book Antiqua" w:cs="Times New Roman"/>
          <w:sz w:val="24"/>
          <w:szCs w:val="24"/>
        </w:rPr>
        <w:t>17</w:t>
      </w:r>
      <w:r w:rsidRPr="008D3B68">
        <w:rPr>
          <w:rFonts w:ascii="Book Antiqua" w:hAnsi="Book Antiqua" w:cs="Times New Roman"/>
          <w:sz w:val="24"/>
          <w:szCs w:val="24"/>
        </w:rPr>
        <w:t xml:space="preserve"> and </w:t>
      </w:r>
      <w:r w:rsidR="00AC14CB" w:rsidRPr="008D3B68">
        <w:rPr>
          <w:rFonts w:ascii="Book Antiqua" w:hAnsi="Book Antiqua" w:cs="Times New Roman"/>
          <w:sz w:val="24"/>
          <w:szCs w:val="24"/>
        </w:rPr>
        <w:t>74</w:t>
      </w:r>
      <w:r w:rsidRPr="008D3B68">
        <w:rPr>
          <w:rFonts w:ascii="Book Antiqua" w:hAnsi="Book Antiqua" w:cs="Times New Roman"/>
          <w:sz w:val="24"/>
          <w:szCs w:val="24"/>
        </w:rPr>
        <w:t xml:space="preserve"> years, demonstrating that elderly patients with AIH associated with mild liver disorders could be treated with UDCA. Moreover, when the therapeutic effects of UDCA become inadequate, treatment can be continued by switching to </w:t>
      </w:r>
      <w:r w:rsidR="008B3A4C" w:rsidRPr="008D3B68">
        <w:rPr>
          <w:rFonts w:ascii="Book Antiqua" w:hAnsi="Book Antiqua" w:cs="Times New Roman"/>
          <w:sz w:val="24"/>
          <w:szCs w:val="24"/>
        </w:rPr>
        <w:t>corticosteroids</w:t>
      </w:r>
      <w:r w:rsidR="00491E41" w:rsidRPr="008D3B68">
        <w:rPr>
          <w:rFonts w:ascii="Book Antiqua" w:hAnsi="Book Antiqua" w:cs="Times New Roman"/>
          <w:sz w:val="24"/>
          <w:szCs w:val="24"/>
        </w:rPr>
        <w:t>,</w:t>
      </w:r>
      <w:r w:rsidRPr="008D3B68">
        <w:rPr>
          <w:rFonts w:ascii="Book Antiqua" w:hAnsi="Book Antiqua" w:cs="Times New Roman"/>
          <w:sz w:val="24"/>
          <w:szCs w:val="24"/>
        </w:rPr>
        <w:t xml:space="preserve"> as shown in </w:t>
      </w:r>
      <w:r w:rsidR="00491E41" w:rsidRPr="008D3B68">
        <w:rPr>
          <w:rFonts w:ascii="Book Antiqua" w:hAnsi="Book Antiqua" w:cs="Times New Roman"/>
          <w:sz w:val="24"/>
          <w:szCs w:val="24"/>
        </w:rPr>
        <w:t xml:space="preserve">the </w:t>
      </w:r>
      <w:r w:rsidRPr="008D3B68">
        <w:rPr>
          <w:rFonts w:ascii="Book Antiqua" w:hAnsi="Book Antiqua" w:cs="Times New Roman"/>
          <w:sz w:val="24"/>
          <w:szCs w:val="24"/>
        </w:rPr>
        <w:t xml:space="preserve">present study. Furthermore, treatment with UDCA also has the benefit of eventually allowing the </w:t>
      </w:r>
      <w:r w:rsidR="008B3A4C" w:rsidRPr="008D3B68">
        <w:rPr>
          <w:rFonts w:ascii="Book Antiqua" w:hAnsi="Book Antiqua" w:cs="Times New Roman"/>
          <w:sz w:val="24"/>
          <w:szCs w:val="24"/>
        </w:rPr>
        <w:t xml:space="preserve">corticosteroid </w:t>
      </w:r>
      <w:r w:rsidRPr="008D3B68">
        <w:rPr>
          <w:rFonts w:ascii="Book Antiqua" w:hAnsi="Book Antiqua" w:cs="Times New Roman"/>
          <w:sz w:val="24"/>
          <w:szCs w:val="24"/>
        </w:rPr>
        <w:t>dose to be tapered</w:t>
      </w:r>
      <w:r w:rsidR="00A313A7" w:rsidRPr="008D3B68">
        <w:rPr>
          <w:rFonts w:ascii="Book Antiqua" w:hAnsi="Book Antiqua" w:cs="Times New Roman"/>
          <w:sz w:val="24"/>
          <w:szCs w:val="24"/>
        </w:rPr>
        <w:fldChar w:fldCharType="begin" w:fldLock="1"/>
      </w:r>
      <w:r w:rsidR="009153D0" w:rsidRPr="008D3B68">
        <w:rPr>
          <w:rFonts w:ascii="Book Antiqua" w:hAnsi="Book Antiqua" w:cs="Times New Roman"/>
          <w:sz w:val="24"/>
          <w:szCs w:val="24"/>
        </w:rPr>
        <w:instrText>ADDIN CSL_CITATION { "citationItems" : [ { "id" : "ITEM-1", "itemData" : { "ISSN" : "0815-9319", "PMID" : "9641646", "abstract" : "Ursodeoxycholic acid (UDCA) has been shown to have beneficial effects on patients with primary biliary cirrhosis, suggesting that UDCA has immunomodulating effects. We investigated the effect of UDCA in patients with autoimmune hepatitis (AIH) which is characterized by immunological abnormalities. Eight patients with type 1 AIH were treated with 600 mg of UDCA per day for 2 years. Based on the criteria of the International Autoimmune Hepatitis Group, five patients were diagnosed as definite and three as probable type 1 AIH. Liver function tests were performed every 4 weeks, before and during UDCA therapy and the serum levels of anti-nuclear antibodies (ANA), smooth muscle antibodies (SMA), immunoglobulin G and gamma globulin were determined every 3 months. The levels of serum aspartate aminotransferase and alanine aminotransferase significantly decreased from 154 +/- 24 IU/L and 170 +/- 17 IU/L before UDCA therapy to 31 +/- 3 IU/L and 25 +/- 5 IU/L (P &lt; 0.001) after 1 year of treatment and 28 +/- 2 IU/L and 23 +/- 4 IU/L (P &lt; 0.001) after 2 years of treatment. After 2 years of treatment, the levels of serum immunoglobulin G and gamma globulin significantly decreased (P &lt; 0.05) and ANA titres (5/8 patients) were reduced and SMA (3/5 patients) became negative. Furthermore, hepatic histopathological changes of four patients were assessed after 1 year of treatment, and an improvement of intrahepatic inflammation, but not fibrosis, was observed. In conclusion, these results suggest that UDCA has a beneficial therapeutic effect in patients with type 1 autoimmune hepatitis.", "author" : [ { "dropping-particle" : "", "family" : "Nakamura", "given" : "K", "non-dropping-particle" : "", "parse-names" : false, "suffix" : "" }, { "dropping-particle" : "", "family" : "Yoneda", "given" : "M", "non-dropping-particle" : "", "parse-names" : false, "suffix" : "" }, { "dropping-particle" : "", "family" : "Yokohama", "given" : "S", "non-dropping-particle" : "", "parse-names" : false, "suffix" : "" }, { "dropping-particle" : "", "family" : "Tamori", "given" : "K", "non-dropping-particle" : "", "parse-names" : false, "suffix" : "" }, { "dropping-particle" : "", "family" : "Sato", "given" : "Y", "non-dropping-particle" : "", "parse-names" : false, "suffix" : "" }, { "dropping-particle" : "", "family" : "Aso", "given" : "K", "non-dropping-particle" : "", "parse-names" : false, "suffix" : "" }, { "dropping-particle" : "", "family" : "Aoshima", "given" : "M", "non-dropping-particle" : "", "parse-names" : false, "suffix" : "" }, { "dropping-particle" : "", "family" : "Hasegawa", "given" : "T", "non-dropping-particle" : "", "parse-names" : false, "suffix" : "" }, { "dropping-particle" : "", "family" : "Makino", "given" : "I", "non-dropping-particle" : "", "parse-names" : false, "suffix" : "" } ], "container-title" : "Journal of gastroenterology and hepatology", "id" : "ITEM-1", "issue" : "5", "issued" : { "date-parts" : [ [ "1998" ] ] }, "page" : "490-495", "title" : "Efficacy of ursodeoxycholic acid in Japanese patients with type 1 autoimmune hepatitis.", "type" : "article-journal", "volume" : "13" }, "uris" : [ "http://www.mendeley.com/documents/?uuid=9788d786-9a19-4a85-819f-d6f193a84b5e" ] } ], "mendeley" : { "formattedCitation" : "&lt;sup&gt;[14]&lt;/sup&gt;", "plainTextFormattedCitation" : "[14]", "previouslyFormattedCitation" : "&lt;sup&gt;[14]&lt;/sup&gt;"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9153D0" w:rsidRPr="008D3B68">
        <w:rPr>
          <w:rFonts w:ascii="Book Antiqua" w:hAnsi="Book Antiqua" w:cs="Times New Roman"/>
          <w:noProof/>
          <w:sz w:val="24"/>
          <w:szCs w:val="24"/>
          <w:vertAlign w:val="superscript"/>
        </w:rPr>
        <w:t>[14]</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w:t>
      </w:r>
      <w:r w:rsidR="0002243C" w:rsidRPr="008D3B68">
        <w:rPr>
          <w:rFonts w:ascii="Book Antiqua" w:hAnsi="Book Antiqua" w:cs="Times New Roman"/>
          <w:sz w:val="24"/>
          <w:szCs w:val="24"/>
        </w:rPr>
        <w:t>A</w:t>
      </w:r>
      <w:r w:rsidRPr="008D3B68">
        <w:rPr>
          <w:rFonts w:ascii="Book Antiqua" w:hAnsi="Book Antiqua" w:cs="Times New Roman"/>
          <w:sz w:val="24"/>
          <w:szCs w:val="24"/>
        </w:rPr>
        <w:t xml:space="preserve"> recent nationwide survey on AIH in Japan showed that UDCA monotherapy is administered as </w:t>
      </w:r>
      <w:r w:rsidR="006705DB" w:rsidRPr="008D3B68">
        <w:rPr>
          <w:rFonts w:ascii="Book Antiqua" w:hAnsi="Book Antiqua" w:cs="Times New Roman"/>
          <w:sz w:val="24"/>
          <w:szCs w:val="24"/>
        </w:rPr>
        <w:t>the</w:t>
      </w:r>
      <w:r w:rsidR="0002243C" w:rsidRPr="008D3B68">
        <w:rPr>
          <w:rFonts w:ascii="Book Antiqua" w:hAnsi="Book Antiqua" w:cs="Times New Roman"/>
          <w:sz w:val="24"/>
          <w:szCs w:val="24"/>
        </w:rPr>
        <w:t xml:space="preserve"> </w:t>
      </w:r>
      <w:r w:rsidRPr="008D3B68">
        <w:rPr>
          <w:rFonts w:ascii="Book Antiqua" w:hAnsi="Book Antiqua" w:cs="Times New Roman"/>
          <w:sz w:val="24"/>
          <w:szCs w:val="24"/>
        </w:rPr>
        <w:t>initial treatment in 20% of patients</w:t>
      </w:r>
      <w:r w:rsidR="00A313A7" w:rsidRPr="008D3B68">
        <w:rPr>
          <w:rFonts w:ascii="Book Antiqua" w:hAnsi="Book Antiqua" w:cs="Times New Roman"/>
          <w:sz w:val="24"/>
          <w:szCs w:val="24"/>
        </w:rPr>
        <w:fldChar w:fldCharType="begin" w:fldLock="1"/>
      </w:r>
      <w:r w:rsidR="009153D0" w:rsidRPr="008D3B68">
        <w:rPr>
          <w:rFonts w:ascii="Book Antiqua" w:hAnsi="Book Antiqua" w:cs="Times New Roman"/>
          <w:sz w:val="24"/>
          <w:szCs w:val="24"/>
        </w:rPr>
        <w:instrText>ADDIN CSL_CITATION { "citationItems" : [ { "id" : "ITEM-1", "itemData" : { "DOI" : "10.1007/s00535-011-0421-y", "ISSN" : "09441174", "PMID" : "21597932", "abstract" : "BACKGROUND: A nationwide survey of autoimmune hepatitis (AIH) was conducted in Japan, and the clinical features of patients with AIH were analyzed.\\n\\nMETHODS: A total of 1,056 patients were enrolled through questionnaires sent to 153 hospitals and clinics with hepatology specialists.\\n\\nRESULTS: The clinical features of Japanese AIH were as follows: (1) most patients were middle-aged women, with ages peaking in the 60s; (2) serum immunoglobulin G (IgG) levels were high, but more than 30% of the patients had serum IgG levels less than 2,000\u00a0mg/dl; the cutoff level of IgG to distinguish between patients with AIH and those with chronic hepatitis resulting from hepatitis virus was approximately 2,000\u00a0mg/dl; (3) autoantibodies, particularly the antinuclear antibody, were frequently present; (4) most patients showed histological features of chronic hepatitis or liver cirrhosis, but 10.9% of the patients showed histological features of acute hepatitis; (5) approximately 75% of the patients were treated with corticosteroids and showed a favorable response to treatment, whereas ursodeoxycholic acid was administered to 60% of the patients.\\n\\nCONCLUSIONS: The clinical features of patients with AIH in Japan were clarified. The mean age at diagnosis was higher than that in previous studies. In addition, the number of patients with AIH having the histological features of acute hepatitis increased. Diagnosis of AIH does not preclude the presence of acute hepatitis and/or serum IgG levels less than 2,000\u00a0mg/dl.", "author" : [ { "dropping-particle" : "", "family" : "Abe", "given" : "Masanori", "non-dropping-particle" : "", "parse-names" : false, "suffix" : "" }, { "dropping-particle" : "", "family" : "Mashiba", "given" : "Toshie", "non-dropping-particle" : "", "parse-names" : false, "suffix" : "" }, { "dropping-particle" : "", "family" : "Zeniya", "given" : "Mikio", "non-dropping-particle" : "", "parse-names" : false, "suffix" : "" }, { "dropping-particle" : "", "family" : "Yamamoto", "given" : "Kazuhide", "non-dropping-particle" : "", "parse-names" : false, "suffix" : "" }, { "dropping-particle" : "", "family" : "Onji", "given" : "Morikazu", "non-dropping-particle" : "", "parse-names" : false, "suffix" : "" }, { "dropping-particle" : "", "family" : "Tsubouchi", "given" : "Hirohito", "non-dropping-particle" : "", "parse-names" : false, "suffix" : "" } ], "container-title" : "Journal of Gastroenterology", "id" : "ITEM-1", "issue" : "9", "issued" : { "date-parts" : [ [ "2011" ] ] }, "page" : "1136-1141", "title" : "Present status of autoimmune hepatitis in Japan: A nationwide survey", "type" : "article-journal", "volume" : "46" }, "uris" : [ "http://www.mendeley.com/documents/?uuid=a0d0f8b6-8d4a-4bcd-8b88-93cfb1bb0d84" ] } ], "mendeley" : { "formattedCitation" : "&lt;sup&gt;[28]&lt;/sup&gt;", "plainTextFormattedCitation" : "[28]", "previouslyFormattedCitation" : "&lt;sup&gt;[28]&lt;/sup&gt;" }, "properties" : { "noteIndex" : 0 }, "schema" : "https://github.com/citation-style-language/schema/raw/master/csl-citation.json" }</w:instrText>
      </w:r>
      <w:r w:rsidR="00A313A7" w:rsidRPr="008D3B68">
        <w:rPr>
          <w:rFonts w:ascii="Book Antiqua" w:hAnsi="Book Antiqua" w:cs="Times New Roman"/>
          <w:sz w:val="24"/>
          <w:szCs w:val="24"/>
        </w:rPr>
        <w:fldChar w:fldCharType="separate"/>
      </w:r>
      <w:r w:rsidR="009153D0" w:rsidRPr="008D3B68">
        <w:rPr>
          <w:rFonts w:ascii="Book Antiqua" w:hAnsi="Book Antiqua" w:cs="Times New Roman"/>
          <w:noProof/>
          <w:sz w:val="24"/>
          <w:szCs w:val="24"/>
          <w:vertAlign w:val="superscript"/>
        </w:rPr>
        <w:t>[28]</w:t>
      </w:r>
      <w:r w:rsidR="00A313A7"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w:t>
      </w:r>
      <w:r w:rsidR="0002243C" w:rsidRPr="008D3B68">
        <w:rPr>
          <w:rFonts w:ascii="Book Antiqua" w:hAnsi="Book Antiqua" w:cs="Times New Roman"/>
          <w:sz w:val="24"/>
          <w:szCs w:val="24"/>
        </w:rPr>
        <w:t xml:space="preserve">so </w:t>
      </w:r>
      <w:r w:rsidRPr="008D3B68">
        <w:rPr>
          <w:rFonts w:ascii="Book Antiqua" w:hAnsi="Book Antiqua" w:cs="Times New Roman"/>
          <w:sz w:val="24"/>
          <w:szCs w:val="24"/>
        </w:rPr>
        <w:t xml:space="preserve">it is reasonable to assume that </w:t>
      </w:r>
      <w:r w:rsidR="0002243C" w:rsidRPr="008D3B68">
        <w:rPr>
          <w:rFonts w:ascii="Book Antiqua" w:hAnsi="Book Antiqua" w:cs="Times New Roman"/>
          <w:sz w:val="24"/>
          <w:szCs w:val="24"/>
        </w:rPr>
        <w:t xml:space="preserve">the </w:t>
      </w:r>
      <w:r w:rsidRPr="008D3B68">
        <w:rPr>
          <w:rFonts w:ascii="Book Antiqua" w:hAnsi="Book Antiqua" w:cs="Times New Roman"/>
          <w:sz w:val="24"/>
          <w:szCs w:val="24"/>
        </w:rPr>
        <w:t xml:space="preserve">treatment of AIH with UDCA is becoming clinically established. While Czaja </w:t>
      </w:r>
      <w:r w:rsidRPr="003E06B1">
        <w:rPr>
          <w:rFonts w:ascii="Book Antiqua" w:hAnsi="Book Antiqua" w:cs="Times New Roman"/>
          <w:i/>
          <w:sz w:val="24"/>
          <w:szCs w:val="24"/>
        </w:rPr>
        <w:t>et al</w:t>
      </w:r>
      <w:r w:rsidR="003E06B1" w:rsidRPr="008D3B68">
        <w:rPr>
          <w:rFonts w:ascii="Book Antiqua" w:hAnsi="Book Antiqua" w:cs="Times New Roman"/>
          <w:sz w:val="24"/>
          <w:szCs w:val="24"/>
        </w:rPr>
        <w:fldChar w:fldCharType="begin" w:fldLock="1"/>
      </w:r>
      <w:r w:rsidR="003E06B1" w:rsidRPr="008D3B68">
        <w:rPr>
          <w:rFonts w:ascii="Book Antiqua" w:hAnsi="Book Antiqua" w:cs="Times New Roman"/>
          <w:sz w:val="24"/>
          <w:szCs w:val="24"/>
        </w:rPr>
        <w:instrText>ADDIN CSL_CITATION { "citationItems" : [ { "id" : "ITEM-1", "itemData" : { "DOI" : "10.1002/hep.510300603", "ISSN" : "0270-9139", "PMID" : "10573515", "abstract" : "To evaluate the efficacy of ursodeoxycholic acid as adjunctive therapy in type 1 autoimmune hepatitis, 37 patients who had experienced treatment failure, repeated relapse, or incomplete response were randomized to ursodeoxycholic acid (13-15 mg/kg daily) or placebo for 6 months in addition to their usual corticosteroid schedule. Serum aspartate transaminase (70% vs. 31%, P =.04) and alkaline phosphatase (47% vs. 7%, P =.02) levels improved more commonly in the 21 patients randomized to ursodeoxycholic acid. Mean serum levels, however, were similar before and after the treatment period. The frequency of dose reduction or corticosteroid withdrawal was comparable in both groups (29% versus 31%, P &gt;.9), and clinical improvement (48% vs. 44%, P &gt;.9) or its absence (52% vs. 56%, P &gt;.9) occurred as commonly in patients receiving ursodeoxycholic acid or placebo. The modified histological activity score (3.5 +/- 0.8 vs. 3. 5 +/- 0.9) and the modified fibrosis score (2.4 +/- 0.4 vs. 2.4 +/- 0.4) were similar before and after treatment with ursodeoxycholic acid and no different than after placebo therapy. We conclude that ursodeoxycholic acid can improve certain laboratory tests in problematic patients with type 1 autoimmune hepatitis when administered adjunctively for 6 months. Short-term therapy, however, does not facilitate reduction in the dose of corticosteroids or its withdrawal, affect clinical outcome, or reduce histological activity.", "author" : [ { "dropping-particle" : "", "family" : "Czaja", "given" : "a J", "non-dropping-particle" : "", "parse-names" : false, "suffix" : "" }, { "dropping-particle" : "", "family" : "Carpenter", "given" : "H a", "non-dropping-particle" : "", "parse-names" : false, "suffix" : "" }, { "dropping-particle" : "", "family" : "Lindor", "given" : "K D", "non-dropping-particle" : "", "parse-names" : false, "suffix" : "" } ], "container-title" : "Hepatology (Baltimore, Md.)", "id" : "ITEM-1", "issue" : "6", "issued" : { "date-parts" : [ [ "1999" ] ] }, "page" : "1381-1386", "title" : "Ursodeoxycholic acid as adjunctive therapy for problematic type 1 autoimmune hepatitis: a randomized placebo-controlled treatment trial.", "type" : "article-journal", "volume" : "30" }, "uris" : [ "http://www.mendeley.com/documents/?uuid=e50dc0e8-a803-4309-bf4f-249fc48432e9" ] } ], "mendeley" : { "formattedCitation" : "&lt;sup&gt;[15]&lt;/sup&gt;", "plainTextFormattedCitation" : "[15]", "previouslyFormattedCitation" : "&lt;sup&gt;[15]&lt;/sup&gt;" }, "properties" : { "noteIndex" : 0 }, "schema" : "https://github.com/citation-style-language/schema/raw/master/csl-citation.json" }</w:instrText>
      </w:r>
      <w:r w:rsidR="003E06B1" w:rsidRPr="008D3B68">
        <w:rPr>
          <w:rFonts w:ascii="Book Antiqua" w:hAnsi="Book Antiqua" w:cs="Times New Roman"/>
          <w:sz w:val="24"/>
          <w:szCs w:val="24"/>
        </w:rPr>
        <w:fldChar w:fldCharType="separate"/>
      </w:r>
      <w:r w:rsidR="003E06B1" w:rsidRPr="008D3B68">
        <w:rPr>
          <w:rFonts w:ascii="Book Antiqua" w:hAnsi="Book Antiqua" w:cs="Times New Roman"/>
          <w:noProof/>
          <w:sz w:val="24"/>
          <w:szCs w:val="24"/>
          <w:vertAlign w:val="superscript"/>
        </w:rPr>
        <w:t>[15]</w:t>
      </w:r>
      <w:r w:rsidR="003E06B1" w:rsidRPr="008D3B68">
        <w:rPr>
          <w:rFonts w:ascii="Book Antiqua" w:hAnsi="Book Antiqua" w:cs="Times New Roman"/>
          <w:sz w:val="24"/>
          <w:szCs w:val="24"/>
        </w:rPr>
        <w:fldChar w:fldCharType="end"/>
      </w:r>
      <w:r w:rsidRPr="008D3B68">
        <w:rPr>
          <w:rFonts w:ascii="Book Antiqua" w:hAnsi="Book Antiqua" w:cs="Times New Roman"/>
          <w:sz w:val="24"/>
          <w:szCs w:val="24"/>
        </w:rPr>
        <w:t xml:space="preserve"> found UDCA to be effective in a double-blind study, it is important to define criteria for UDCA treatment indications</w:t>
      </w:r>
      <w:r w:rsidR="008B3A4C" w:rsidRPr="008D3B68">
        <w:rPr>
          <w:rFonts w:ascii="Book Antiqua" w:hAnsi="Book Antiqua" w:cs="Times New Roman"/>
          <w:sz w:val="24"/>
          <w:szCs w:val="24"/>
        </w:rPr>
        <w:t>,</w:t>
      </w:r>
      <w:r w:rsidRPr="008D3B68">
        <w:rPr>
          <w:rFonts w:ascii="Book Antiqua" w:hAnsi="Book Antiqua" w:cs="Times New Roman"/>
          <w:sz w:val="24"/>
          <w:szCs w:val="24"/>
        </w:rPr>
        <w:t xml:space="preserve"> as </w:t>
      </w:r>
      <w:r w:rsidR="008B3A4C" w:rsidRPr="008D3B68">
        <w:rPr>
          <w:rFonts w:ascii="Book Antiqua" w:hAnsi="Book Antiqua" w:cs="Times New Roman"/>
          <w:sz w:val="24"/>
          <w:szCs w:val="24"/>
        </w:rPr>
        <w:t>in the present study</w:t>
      </w:r>
      <w:r w:rsidRPr="008D3B68">
        <w:rPr>
          <w:rFonts w:ascii="Book Antiqua" w:hAnsi="Book Antiqua" w:cs="Times New Roman"/>
          <w:sz w:val="24"/>
          <w:szCs w:val="24"/>
        </w:rPr>
        <w:t xml:space="preserve">. Although </w:t>
      </w:r>
      <w:r w:rsidR="00491E41" w:rsidRPr="008D3B68">
        <w:rPr>
          <w:rFonts w:ascii="Book Antiqua" w:hAnsi="Book Antiqua" w:cs="Times New Roman"/>
          <w:sz w:val="24"/>
          <w:szCs w:val="24"/>
        </w:rPr>
        <w:t xml:space="preserve">the present </w:t>
      </w:r>
      <w:r w:rsidRPr="008D3B68">
        <w:rPr>
          <w:rFonts w:ascii="Book Antiqua" w:hAnsi="Book Antiqua" w:cs="Times New Roman"/>
          <w:sz w:val="24"/>
          <w:szCs w:val="24"/>
        </w:rPr>
        <w:t xml:space="preserve">study had a retrospective design, </w:t>
      </w:r>
      <w:r w:rsidR="00491E41" w:rsidRPr="008D3B68">
        <w:rPr>
          <w:rFonts w:ascii="Book Antiqua" w:hAnsi="Book Antiqua" w:cs="Times New Roman"/>
          <w:sz w:val="24"/>
          <w:szCs w:val="24"/>
        </w:rPr>
        <w:t xml:space="preserve">the </w:t>
      </w:r>
      <w:r w:rsidRPr="008D3B68">
        <w:rPr>
          <w:rFonts w:ascii="Book Antiqua" w:hAnsi="Book Antiqua" w:cs="Times New Roman"/>
          <w:sz w:val="24"/>
          <w:szCs w:val="24"/>
        </w:rPr>
        <w:t xml:space="preserve">results allow the conclusion to be drawn that UDCA use </w:t>
      </w:r>
      <w:r w:rsidR="008A13D3" w:rsidRPr="008D3B68">
        <w:rPr>
          <w:rFonts w:ascii="Book Antiqua" w:hAnsi="Book Antiqua" w:cs="Times New Roman"/>
          <w:sz w:val="24"/>
          <w:szCs w:val="24"/>
        </w:rPr>
        <w:t>may</w:t>
      </w:r>
      <w:r w:rsidRPr="008D3B68">
        <w:rPr>
          <w:rFonts w:ascii="Book Antiqua" w:hAnsi="Book Antiqua" w:cs="Times New Roman"/>
          <w:sz w:val="24"/>
          <w:szCs w:val="24"/>
        </w:rPr>
        <w:t xml:space="preserve"> be considered in patients with a serum ALT level of </w:t>
      </w:r>
      <w:r w:rsidR="00AC14CB" w:rsidRPr="008D3B68">
        <w:rPr>
          <w:rFonts w:ascii="Book Antiqua" w:hAnsi="Book Antiqua" w:cs="Times New Roman"/>
          <w:sz w:val="24"/>
          <w:szCs w:val="24"/>
        </w:rPr>
        <w:t>200</w:t>
      </w:r>
      <w:r w:rsidRPr="008D3B68">
        <w:rPr>
          <w:rFonts w:ascii="Book Antiqua" w:hAnsi="Book Antiqua" w:cs="Times New Roman"/>
          <w:sz w:val="24"/>
          <w:szCs w:val="24"/>
        </w:rPr>
        <w:t xml:space="preserve"> </w:t>
      </w:r>
      <w:r w:rsidR="008B3A4C" w:rsidRPr="008D3B68">
        <w:rPr>
          <w:rFonts w:ascii="Book Antiqua" w:hAnsi="Book Antiqua" w:cs="Times New Roman"/>
          <w:sz w:val="24"/>
          <w:szCs w:val="24"/>
        </w:rPr>
        <w:t>IU</w:t>
      </w:r>
      <w:r w:rsidR="00ED6728" w:rsidRPr="008D3B68">
        <w:rPr>
          <w:rFonts w:ascii="Book Antiqua" w:hAnsi="Book Antiqua" w:cs="Times New Roman"/>
          <w:sz w:val="24"/>
          <w:szCs w:val="24"/>
        </w:rPr>
        <w:t>/L</w:t>
      </w:r>
      <w:r w:rsidR="008B3A4C" w:rsidRPr="008D3B68">
        <w:rPr>
          <w:rFonts w:ascii="Book Antiqua" w:hAnsi="Book Antiqua" w:cs="Times New Roman"/>
          <w:sz w:val="24"/>
          <w:szCs w:val="24"/>
        </w:rPr>
        <w:t xml:space="preserve"> </w:t>
      </w:r>
      <w:r w:rsidRPr="008D3B68">
        <w:rPr>
          <w:rFonts w:ascii="Book Antiqua" w:hAnsi="Book Antiqua" w:cs="Times New Roman"/>
          <w:sz w:val="24"/>
          <w:szCs w:val="24"/>
        </w:rPr>
        <w:t>at the time of diagnosis, especially in those who are elderly.</w:t>
      </w:r>
      <w:r w:rsidR="008F61D2" w:rsidRPr="008D3B68">
        <w:rPr>
          <w:rFonts w:ascii="Book Antiqua" w:hAnsi="Book Antiqua" w:cs="Times New Roman"/>
          <w:sz w:val="24"/>
          <w:szCs w:val="24"/>
        </w:rPr>
        <w:t xml:space="preserve"> </w:t>
      </w:r>
      <w:r w:rsidR="008A13D3" w:rsidRPr="008D3B68">
        <w:rPr>
          <w:rFonts w:ascii="Book Antiqua" w:hAnsi="Book Antiqua" w:cs="Times New Roman"/>
          <w:sz w:val="24"/>
          <w:szCs w:val="24"/>
        </w:rPr>
        <w:t>Prospective</w:t>
      </w:r>
      <w:r w:rsidRPr="008D3B68">
        <w:rPr>
          <w:rFonts w:ascii="Book Antiqua" w:hAnsi="Book Antiqua" w:cs="Times New Roman"/>
          <w:color w:val="FF0000"/>
          <w:sz w:val="24"/>
          <w:szCs w:val="24"/>
        </w:rPr>
        <w:t xml:space="preserve"> </w:t>
      </w:r>
      <w:r w:rsidRPr="008D3B68">
        <w:rPr>
          <w:rFonts w:ascii="Book Antiqua" w:hAnsi="Book Antiqua" w:cs="Times New Roman"/>
          <w:sz w:val="24"/>
          <w:szCs w:val="24"/>
        </w:rPr>
        <w:t xml:space="preserve">studies on the long-term outcomes </w:t>
      </w:r>
      <w:r w:rsidR="008B3A4C" w:rsidRPr="008D3B68">
        <w:rPr>
          <w:rFonts w:ascii="Book Antiqua" w:hAnsi="Book Antiqua" w:cs="Times New Roman"/>
          <w:sz w:val="24"/>
          <w:szCs w:val="24"/>
        </w:rPr>
        <w:t xml:space="preserve">of </w:t>
      </w:r>
      <w:r w:rsidRPr="008D3B68">
        <w:rPr>
          <w:rFonts w:ascii="Book Antiqua" w:hAnsi="Book Antiqua" w:cs="Times New Roman"/>
          <w:sz w:val="24"/>
          <w:szCs w:val="24"/>
        </w:rPr>
        <w:t>patients receiving UDCA monotherapy a</w:t>
      </w:r>
      <w:r w:rsidR="00A220B6" w:rsidRPr="008D3B68">
        <w:rPr>
          <w:rFonts w:ascii="Book Antiqua" w:hAnsi="Book Antiqua" w:cs="Times New Roman"/>
          <w:sz w:val="24"/>
          <w:szCs w:val="24"/>
        </w:rPr>
        <w:t xml:space="preserve">re needed. </w:t>
      </w:r>
    </w:p>
    <w:p w:rsidR="00E54BF4" w:rsidRPr="00E55899" w:rsidRDefault="00E54BF4">
      <w:pPr>
        <w:widowControl/>
        <w:jc w:val="left"/>
        <w:rPr>
          <w:rFonts w:ascii="Book Antiqua" w:eastAsia="宋体" w:hAnsi="Book Antiqua" w:cs="Times New Roman"/>
          <w:b/>
          <w:bCs/>
          <w:color w:val="000000"/>
          <w:spacing w:val="-2"/>
          <w:kern w:val="0"/>
          <w:sz w:val="24"/>
          <w:szCs w:val="24"/>
        </w:rPr>
      </w:pPr>
    </w:p>
    <w:p w:rsidR="006A1197" w:rsidRPr="008D3B68" w:rsidRDefault="006A1197" w:rsidP="00352D86">
      <w:pPr>
        <w:pStyle w:val="a0"/>
        <w:spacing w:line="360" w:lineRule="auto"/>
        <w:jc w:val="both"/>
        <w:rPr>
          <w:rFonts w:ascii="Book Antiqua" w:hAnsi="Book Antiqua" w:cs="Times New Roman"/>
          <w:i/>
          <w:iCs/>
          <w:lang w:val="en-US"/>
        </w:rPr>
      </w:pPr>
      <w:r w:rsidRPr="008D3B68">
        <w:rPr>
          <w:rFonts w:ascii="Book Antiqua" w:hAnsi="Book Antiqua" w:cs="Times New Roman"/>
          <w:lang w:val="en-US"/>
        </w:rPr>
        <w:t>COMMENTS</w:t>
      </w:r>
    </w:p>
    <w:p w:rsidR="006A1197" w:rsidRPr="008D3B68" w:rsidRDefault="006A1197" w:rsidP="00352D86">
      <w:pPr>
        <w:pStyle w:val="a1"/>
        <w:spacing w:line="360" w:lineRule="auto"/>
        <w:jc w:val="both"/>
        <w:rPr>
          <w:rFonts w:ascii="Book Antiqua" w:hAnsi="Book Antiqua" w:cs="Times New Roman"/>
          <w:sz w:val="24"/>
          <w:szCs w:val="24"/>
          <w:lang w:val="en-US"/>
        </w:rPr>
      </w:pPr>
      <w:r w:rsidRPr="008D3B68">
        <w:rPr>
          <w:rFonts w:ascii="Book Antiqua" w:hAnsi="Book Antiqua" w:cs="Times New Roman"/>
          <w:sz w:val="24"/>
          <w:szCs w:val="24"/>
          <w:lang w:val="en-US"/>
        </w:rPr>
        <w:t>Background</w:t>
      </w:r>
    </w:p>
    <w:p w:rsidR="006A1197" w:rsidRPr="00E54BF4" w:rsidRDefault="00C62B49" w:rsidP="00E54BF4">
      <w:pPr>
        <w:spacing w:line="360" w:lineRule="auto"/>
        <w:rPr>
          <w:rFonts w:ascii="Book Antiqua" w:hAnsi="Book Antiqua" w:cs="Times New Roman"/>
          <w:color w:val="000000" w:themeColor="text1"/>
          <w:sz w:val="24"/>
          <w:szCs w:val="24"/>
        </w:rPr>
      </w:pPr>
      <w:r w:rsidRPr="008D3B68">
        <w:rPr>
          <w:rFonts w:ascii="Book Antiqua" w:hAnsi="Book Antiqua" w:cs="Times New Roman"/>
          <w:color w:val="000000" w:themeColor="text1"/>
          <w:sz w:val="24"/>
          <w:szCs w:val="24"/>
        </w:rPr>
        <w:t xml:space="preserve">Autoimmune hepatitis (AIH) is an unresolving progressive liver disease that affects females preferentially and is characterized by interface hepatitis, </w:t>
      </w:r>
      <w:r w:rsidRPr="008D3B68">
        <w:rPr>
          <w:rFonts w:ascii="Book Antiqua" w:hAnsi="Book Antiqua" w:cs="Times New Roman"/>
          <w:color w:val="000000" w:themeColor="text1"/>
          <w:sz w:val="24"/>
          <w:szCs w:val="24"/>
        </w:rPr>
        <w:lastRenderedPageBreak/>
        <w:t>hyper-gammaglobulinemia, circulating autoantibodies, and a favorable response to immunosuppression. The aim of treatment in AIH is to obtain complete remission of</w:t>
      </w:r>
      <w:r w:rsidR="00E54BF4">
        <w:rPr>
          <w:rFonts w:ascii="Book Antiqua" w:eastAsia="宋体" w:hAnsi="Book Antiqua" w:cs="Times New Roman" w:hint="eastAsia"/>
          <w:color w:val="000000" w:themeColor="text1"/>
          <w:sz w:val="24"/>
          <w:szCs w:val="24"/>
        </w:rPr>
        <w:t xml:space="preserve"> </w:t>
      </w:r>
      <w:r w:rsidRPr="008D3B68">
        <w:rPr>
          <w:rFonts w:ascii="Book Antiqua" w:hAnsi="Book Antiqua" w:cs="Times New Roman"/>
          <w:color w:val="000000" w:themeColor="text1"/>
          <w:sz w:val="24"/>
          <w:szCs w:val="24"/>
        </w:rPr>
        <w:t>the disease and to prevent further progression of liver disease, which generally requires permanent maintenance therapy. Corticosteroids have been widely used as the first choice drug treatment of AIH.</w:t>
      </w:r>
      <w:r w:rsidRPr="008D3B68">
        <w:rPr>
          <w:rFonts w:ascii="Book Antiqua" w:eastAsia="MS Mincho" w:hAnsi="Book Antiqua" w:cs="Times New Roman"/>
          <w:sz w:val="24"/>
          <w:szCs w:val="24"/>
        </w:rPr>
        <w:t xml:space="preserve"> However, long-term treatment with a generous corticosteroid dosage may induce side effects. Ursodeoxycholic acid (UDCA) has been widely used as the first choice for treating primary biliary cirrhosis (PBC) and has been established as clinically useful. No severe side effects have been reported during UDCA therapy for PBC. Although there are reports that UDCA is also useful for treating similar autoimmune liver diseases, its clinical value has not as yet been established. In this study, patients with a confirmed diagnosis of autoimmune hepatitis (AIH) who started treatment with UDCA alone were analyzed.</w:t>
      </w:r>
    </w:p>
    <w:p w:rsidR="00C62B49" w:rsidRPr="008D3B68" w:rsidRDefault="00C62B49" w:rsidP="00352D86">
      <w:pPr>
        <w:pStyle w:val="a1"/>
        <w:spacing w:line="360" w:lineRule="auto"/>
        <w:jc w:val="both"/>
        <w:rPr>
          <w:rFonts w:ascii="Book Antiqua" w:eastAsiaTheme="minorEastAsia" w:hAnsi="Book Antiqua" w:cs="Times New Roman"/>
          <w:b w:val="0"/>
          <w:i w:val="0"/>
          <w:sz w:val="24"/>
          <w:szCs w:val="24"/>
          <w:lang w:val="en-US" w:eastAsia="ja-JP"/>
        </w:rPr>
      </w:pPr>
    </w:p>
    <w:p w:rsidR="006A1197" w:rsidRPr="008D3B68" w:rsidRDefault="006A1197" w:rsidP="00352D86">
      <w:pPr>
        <w:pStyle w:val="a1"/>
        <w:spacing w:line="360" w:lineRule="auto"/>
        <w:jc w:val="both"/>
        <w:rPr>
          <w:rFonts w:ascii="Book Antiqua" w:hAnsi="Book Antiqua" w:cs="Times New Roman"/>
          <w:sz w:val="24"/>
          <w:szCs w:val="24"/>
          <w:lang w:val="en-US"/>
        </w:rPr>
      </w:pPr>
      <w:r w:rsidRPr="008D3B68">
        <w:rPr>
          <w:rFonts w:ascii="Book Antiqua" w:hAnsi="Book Antiqua" w:cs="Times New Roman"/>
          <w:sz w:val="24"/>
          <w:szCs w:val="24"/>
          <w:lang w:val="en-US"/>
        </w:rPr>
        <w:t>Research frontiers</w:t>
      </w:r>
    </w:p>
    <w:p w:rsidR="006A1197" w:rsidRPr="008D3B68" w:rsidRDefault="00E40478" w:rsidP="00352D86">
      <w:pPr>
        <w:pStyle w:val="a1"/>
        <w:spacing w:line="360" w:lineRule="auto"/>
        <w:jc w:val="both"/>
        <w:rPr>
          <w:rFonts w:ascii="Book Antiqua" w:eastAsiaTheme="minorEastAsia" w:hAnsi="Book Antiqua" w:cs="Times New Roman"/>
          <w:b w:val="0"/>
          <w:bCs w:val="0"/>
          <w:i w:val="0"/>
          <w:iCs w:val="0"/>
          <w:spacing w:val="-2"/>
          <w:sz w:val="24"/>
          <w:szCs w:val="24"/>
          <w:lang w:val="en-US" w:eastAsia="ja-JP"/>
        </w:rPr>
      </w:pPr>
      <w:r w:rsidRPr="008D3B68">
        <w:rPr>
          <w:rFonts w:ascii="Book Antiqua" w:eastAsiaTheme="minorEastAsia" w:hAnsi="Book Antiqua" w:cs="Times New Roman"/>
          <w:b w:val="0"/>
          <w:bCs w:val="0"/>
          <w:i w:val="0"/>
          <w:iCs w:val="0"/>
          <w:spacing w:val="-2"/>
          <w:sz w:val="24"/>
          <w:szCs w:val="24"/>
          <w:lang w:val="en-US" w:eastAsia="ja-JP"/>
        </w:rPr>
        <w:t>T</w:t>
      </w:r>
      <w:r w:rsidRPr="008D3B68">
        <w:rPr>
          <w:rFonts w:ascii="Book Antiqua" w:hAnsi="Book Antiqua" w:cs="Times New Roman"/>
          <w:b w:val="0"/>
          <w:bCs w:val="0"/>
          <w:i w:val="0"/>
          <w:iCs w:val="0"/>
          <w:spacing w:val="-2"/>
          <w:sz w:val="24"/>
          <w:szCs w:val="24"/>
          <w:lang w:val="en-US"/>
        </w:rPr>
        <w:t xml:space="preserve">here are </w:t>
      </w:r>
      <w:r w:rsidRPr="008D3B68">
        <w:rPr>
          <w:rFonts w:ascii="Book Antiqua" w:eastAsiaTheme="minorEastAsia" w:hAnsi="Book Antiqua" w:cs="Times New Roman"/>
          <w:b w:val="0"/>
          <w:bCs w:val="0"/>
          <w:i w:val="0"/>
          <w:iCs w:val="0"/>
          <w:spacing w:val="-2"/>
          <w:sz w:val="24"/>
          <w:szCs w:val="24"/>
          <w:lang w:val="en-US" w:eastAsia="ja-JP"/>
        </w:rPr>
        <w:t xml:space="preserve">few </w:t>
      </w:r>
      <w:r w:rsidRPr="008D3B68">
        <w:rPr>
          <w:rFonts w:ascii="Book Antiqua" w:hAnsi="Book Antiqua" w:cs="Times New Roman"/>
          <w:b w:val="0"/>
          <w:bCs w:val="0"/>
          <w:i w:val="0"/>
          <w:iCs w:val="0"/>
          <w:spacing w:val="-2"/>
          <w:sz w:val="24"/>
          <w:szCs w:val="24"/>
          <w:lang w:val="en-US"/>
        </w:rPr>
        <w:t>reports that UDCA</w:t>
      </w:r>
      <w:r w:rsidR="000D3B4E" w:rsidRPr="008D3B68">
        <w:rPr>
          <w:rFonts w:ascii="Book Antiqua" w:eastAsiaTheme="minorEastAsia" w:hAnsi="Book Antiqua" w:cs="AdvPTimes"/>
          <w:b w:val="0"/>
          <w:bCs w:val="0"/>
          <w:i w:val="0"/>
          <w:iCs w:val="0"/>
          <w:color w:val="auto"/>
          <w:sz w:val="24"/>
          <w:szCs w:val="24"/>
          <w:lang w:val="en-US" w:eastAsia="ja-JP"/>
        </w:rPr>
        <w:t xml:space="preserve"> </w:t>
      </w:r>
      <w:r w:rsidR="000D3B4E" w:rsidRPr="008D3B68">
        <w:rPr>
          <w:rFonts w:ascii="Book Antiqua" w:eastAsiaTheme="minorEastAsia" w:hAnsi="Book Antiqua" w:cs="Times New Roman"/>
          <w:b w:val="0"/>
          <w:bCs w:val="0"/>
          <w:i w:val="0"/>
          <w:iCs w:val="0"/>
          <w:spacing w:val="-2"/>
          <w:sz w:val="24"/>
          <w:szCs w:val="24"/>
          <w:lang w:val="en-US" w:eastAsia="ja-JP"/>
        </w:rPr>
        <w:t>monotherapy</w:t>
      </w:r>
      <w:r w:rsidRPr="008D3B68">
        <w:rPr>
          <w:rFonts w:ascii="Book Antiqua" w:hAnsi="Book Antiqua" w:cs="Times New Roman"/>
          <w:b w:val="0"/>
          <w:bCs w:val="0"/>
          <w:i w:val="0"/>
          <w:iCs w:val="0"/>
          <w:spacing w:val="-2"/>
          <w:sz w:val="24"/>
          <w:szCs w:val="24"/>
          <w:lang w:val="en-US"/>
        </w:rPr>
        <w:t xml:space="preserve"> is </w:t>
      </w:r>
      <w:r w:rsidR="000D3B4E" w:rsidRPr="008D3B68">
        <w:rPr>
          <w:rFonts w:ascii="Book Antiqua" w:eastAsiaTheme="minorEastAsia" w:hAnsi="Book Antiqua" w:cs="Times New Roman"/>
          <w:b w:val="0"/>
          <w:bCs w:val="0"/>
          <w:i w:val="0"/>
          <w:iCs w:val="0"/>
          <w:spacing w:val="-2"/>
          <w:sz w:val="24"/>
          <w:szCs w:val="24"/>
          <w:lang w:val="en-US" w:eastAsia="ja-JP"/>
        </w:rPr>
        <w:t>effective</w:t>
      </w:r>
      <w:r w:rsidRPr="008D3B68">
        <w:rPr>
          <w:rFonts w:ascii="Book Antiqua" w:hAnsi="Book Antiqua" w:cs="Times New Roman"/>
          <w:b w:val="0"/>
          <w:bCs w:val="0"/>
          <w:i w:val="0"/>
          <w:iCs w:val="0"/>
          <w:spacing w:val="-2"/>
          <w:sz w:val="24"/>
          <w:szCs w:val="24"/>
          <w:lang w:val="en-US"/>
        </w:rPr>
        <w:t xml:space="preserve"> for treating </w:t>
      </w:r>
      <w:r w:rsidRPr="008D3B68">
        <w:rPr>
          <w:rFonts w:ascii="Book Antiqua" w:eastAsiaTheme="minorEastAsia" w:hAnsi="Book Antiqua" w:cs="Times New Roman"/>
          <w:b w:val="0"/>
          <w:bCs w:val="0"/>
          <w:i w:val="0"/>
          <w:iCs w:val="0"/>
          <w:spacing w:val="-2"/>
          <w:sz w:val="24"/>
          <w:szCs w:val="24"/>
          <w:lang w:val="en-US" w:eastAsia="ja-JP"/>
        </w:rPr>
        <w:t xml:space="preserve">AIH. </w:t>
      </w:r>
      <w:r w:rsidR="000D3B4E" w:rsidRPr="008D3B68">
        <w:rPr>
          <w:rFonts w:ascii="Book Antiqua" w:eastAsiaTheme="minorEastAsia" w:hAnsi="Book Antiqua" w:cs="Times New Roman"/>
          <w:b w:val="0"/>
          <w:bCs w:val="0"/>
          <w:i w:val="0"/>
          <w:iCs w:val="0"/>
          <w:spacing w:val="-2"/>
          <w:sz w:val="24"/>
          <w:szCs w:val="24"/>
          <w:lang w:val="en-US" w:eastAsia="ja-JP"/>
        </w:rPr>
        <w:t>Moreover, the administration of UDCA has also been shown to allow corticosteroid doses to be tapered.</w:t>
      </w:r>
      <w:r w:rsidR="000D3B4E" w:rsidRPr="008D3B68">
        <w:rPr>
          <w:rFonts w:ascii="Book Antiqua" w:eastAsiaTheme="minorEastAsia" w:hAnsi="Book Antiqua" w:cs="Times New Roman"/>
          <w:spacing w:val="-2"/>
          <w:sz w:val="24"/>
          <w:szCs w:val="24"/>
          <w:lang w:val="en-US" w:eastAsia="ja-JP"/>
        </w:rPr>
        <w:t xml:space="preserve"> </w:t>
      </w:r>
      <w:r w:rsidRPr="008D3B68">
        <w:rPr>
          <w:rFonts w:ascii="Book Antiqua" w:eastAsiaTheme="minorEastAsia" w:hAnsi="Book Antiqua" w:cs="Times New Roman"/>
          <w:b w:val="0"/>
          <w:bCs w:val="0"/>
          <w:i w:val="0"/>
          <w:iCs w:val="0"/>
          <w:spacing w:val="-2"/>
          <w:sz w:val="24"/>
          <w:szCs w:val="24"/>
          <w:lang w:val="en-US" w:eastAsia="ja-JP"/>
        </w:rPr>
        <w:t xml:space="preserve">However, </w:t>
      </w:r>
      <w:r w:rsidRPr="008D3B68">
        <w:rPr>
          <w:rFonts w:ascii="Book Antiqua" w:hAnsi="Book Antiqua" w:cs="Times New Roman"/>
          <w:b w:val="0"/>
          <w:bCs w:val="0"/>
          <w:i w:val="0"/>
          <w:iCs w:val="0"/>
          <w:spacing w:val="-2"/>
          <w:sz w:val="24"/>
          <w:szCs w:val="24"/>
          <w:lang w:val="en-US"/>
        </w:rPr>
        <w:t>its clinical value has not as yet been established</w:t>
      </w:r>
      <w:r w:rsidRPr="008D3B68">
        <w:rPr>
          <w:rFonts w:ascii="Book Antiqua" w:eastAsiaTheme="minorEastAsia" w:hAnsi="Book Antiqua" w:cs="Times New Roman"/>
          <w:b w:val="0"/>
          <w:bCs w:val="0"/>
          <w:i w:val="0"/>
          <w:iCs w:val="0"/>
          <w:spacing w:val="-2"/>
          <w:sz w:val="24"/>
          <w:szCs w:val="24"/>
          <w:lang w:val="en-US" w:eastAsia="ja-JP"/>
        </w:rPr>
        <w:t>.</w:t>
      </w:r>
    </w:p>
    <w:p w:rsidR="00E40478" w:rsidRPr="008D3B68" w:rsidRDefault="00E40478" w:rsidP="00352D86">
      <w:pPr>
        <w:pStyle w:val="a1"/>
        <w:spacing w:line="360" w:lineRule="auto"/>
        <w:jc w:val="both"/>
        <w:rPr>
          <w:rFonts w:ascii="Book Antiqua" w:eastAsiaTheme="minorEastAsia" w:hAnsi="Book Antiqua" w:cs="Times New Roman"/>
          <w:sz w:val="24"/>
          <w:szCs w:val="24"/>
          <w:lang w:val="en-US" w:eastAsia="ja-JP"/>
        </w:rPr>
      </w:pPr>
    </w:p>
    <w:p w:rsidR="006A1197" w:rsidRPr="008D3B68" w:rsidRDefault="006A1197" w:rsidP="00352D86">
      <w:pPr>
        <w:pStyle w:val="a1"/>
        <w:spacing w:line="360" w:lineRule="auto"/>
        <w:jc w:val="both"/>
        <w:rPr>
          <w:rFonts w:ascii="Book Antiqua" w:hAnsi="Book Antiqua" w:cs="Times New Roman"/>
          <w:sz w:val="24"/>
          <w:szCs w:val="24"/>
          <w:lang w:val="en-US"/>
        </w:rPr>
      </w:pPr>
      <w:r w:rsidRPr="008D3B68">
        <w:rPr>
          <w:rFonts w:ascii="Book Antiqua" w:hAnsi="Book Antiqua" w:cs="Times New Roman"/>
          <w:sz w:val="24"/>
          <w:szCs w:val="24"/>
          <w:lang w:val="en-US"/>
        </w:rPr>
        <w:t>Innovations and breakthroughs</w:t>
      </w:r>
    </w:p>
    <w:p w:rsidR="00CD4D5D" w:rsidRPr="007846E7" w:rsidRDefault="00D41585" w:rsidP="00352D86">
      <w:pPr>
        <w:pStyle w:val="8BF4"/>
        <w:spacing w:line="360" w:lineRule="auto"/>
        <w:rPr>
          <w:rFonts w:ascii="Book Antiqua" w:eastAsiaTheme="minorEastAsia" w:hAnsi="Book Antiqua" w:cs="Times New Roman"/>
          <w:spacing w:val="-2"/>
          <w:sz w:val="24"/>
          <w:szCs w:val="24"/>
          <w:lang w:eastAsia="ja-JP"/>
        </w:rPr>
      </w:pPr>
      <w:r w:rsidRPr="008D3B68">
        <w:rPr>
          <w:rFonts w:ascii="Book Antiqua" w:hAnsi="Book Antiqua" w:cs="Times New Roman"/>
          <w:spacing w:val="-2"/>
          <w:sz w:val="24"/>
          <w:szCs w:val="24"/>
        </w:rPr>
        <w:t>Few prior reports showed</w:t>
      </w:r>
      <w:r w:rsidRPr="008D3B68">
        <w:rPr>
          <w:rFonts w:ascii="Book Antiqua" w:eastAsiaTheme="minorEastAsia" w:hAnsi="Book Antiqua" w:cs="Times New Roman"/>
          <w:spacing w:val="-2"/>
          <w:sz w:val="24"/>
          <w:szCs w:val="24"/>
          <w:lang w:eastAsia="ja-JP"/>
        </w:rPr>
        <w:t xml:space="preserve"> that </w:t>
      </w:r>
      <w:r w:rsidRPr="008D3B68">
        <w:rPr>
          <w:rFonts w:ascii="Book Antiqua" w:hAnsi="Book Antiqua" w:cs="Times New Roman"/>
          <w:sz w:val="24"/>
          <w:szCs w:val="24"/>
        </w:rPr>
        <w:t xml:space="preserve">UDCA is effective </w:t>
      </w:r>
      <w:r w:rsidR="000D3B4E" w:rsidRPr="008D3B68">
        <w:rPr>
          <w:rFonts w:ascii="Book Antiqua" w:eastAsiaTheme="minorEastAsia" w:hAnsi="Book Antiqua" w:cs="Times New Roman"/>
          <w:sz w:val="24"/>
          <w:szCs w:val="24"/>
          <w:lang w:eastAsia="ja-JP"/>
        </w:rPr>
        <w:t>in</w:t>
      </w:r>
      <w:r w:rsidRPr="008D3B68">
        <w:rPr>
          <w:rFonts w:ascii="Book Antiqua" w:hAnsi="Book Antiqua" w:cs="Times New Roman"/>
          <w:sz w:val="24"/>
          <w:szCs w:val="24"/>
        </w:rPr>
        <w:t xml:space="preserve"> </w:t>
      </w:r>
      <w:r w:rsidR="000D3B4E" w:rsidRPr="008D3B68">
        <w:rPr>
          <w:rFonts w:ascii="Book Antiqua" w:eastAsiaTheme="minorEastAsia" w:hAnsi="Book Antiqua" w:cs="Times New Roman"/>
          <w:sz w:val="24"/>
          <w:szCs w:val="24"/>
          <w:lang w:eastAsia="ja-JP"/>
        </w:rPr>
        <w:t xml:space="preserve">some </w:t>
      </w:r>
      <w:r w:rsidRPr="008D3B68">
        <w:rPr>
          <w:rFonts w:ascii="Book Antiqua" w:hAnsi="Book Antiqua" w:cs="Times New Roman"/>
          <w:sz w:val="24"/>
          <w:szCs w:val="24"/>
        </w:rPr>
        <w:t>AIH</w:t>
      </w:r>
      <w:r w:rsidR="000D3B4E" w:rsidRPr="008D3B68">
        <w:rPr>
          <w:rFonts w:ascii="Book Antiqua" w:eastAsiaTheme="minorEastAsia" w:hAnsi="Book Antiqua" w:cs="Times New Roman"/>
          <w:sz w:val="24"/>
          <w:szCs w:val="24"/>
          <w:lang w:eastAsia="ja-JP"/>
        </w:rPr>
        <w:t xml:space="preserve"> patients</w:t>
      </w:r>
      <w:r w:rsidRPr="008D3B68">
        <w:rPr>
          <w:rFonts w:ascii="Book Antiqua" w:eastAsiaTheme="minorEastAsia" w:hAnsi="Book Antiqua" w:cs="Times New Roman"/>
          <w:spacing w:val="-2"/>
          <w:sz w:val="24"/>
          <w:szCs w:val="24"/>
          <w:lang w:eastAsia="ja-JP"/>
        </w:rPr>
        <w:t xml:space="preserve">. However, there is no report which showed independent predictive factors associated with normalized ALT and sustained remission of UDCA </w:t>
      </w:r>
      <w:r w:rsidRPr="008D3B68">
        <w:rPr>
          <w:rFonts w:ascii="Book Antiqua" w:eastAsiaTheme="minorEastAsia" w:hAnsi="Book Antiqua" w:cs="Times New Roman"/>
          <w:spacing w:val="-2"/>
          <w:sz w:val="24"/>
          <w:szCs w:val="24"/>
          <w:lang w:eastAsia="ja-JP"/>
        </w:rPr>
        <w:lastRenderedPageBreak/>
        <w:t xml:space="preserve">monotherapy in AIH patients. </w:t>
      </w:r>
      <w:r w:rsidR="002E5F54" w:rsidRPr="008D3B68">
        <w:rPr>
          <w:rFonts w:ascii="Book Antiqua" w:hAnsi="Book Antiqua" w:cs="Times New Roman"/>
          <w:sz w:val="24"/>
          <w:szCs w:val="24"/>
        </w:rPr>
        <w:t>The present study showed that</w:t>
      </w:r>
      <w:r w:rsidR="002E5F54" w:rsidRPr="008D3B68">
        <w:rPr>
          <w:rFonts w:ascii="Book Antiqua" w:hAnsi="Book Antiqua" w:cs="Times New Roman"/>
          <w:color w:val="000000" w:themeColor="text1"/>
          <w:sz w:val="24"/>
          <w:szCs w:val="24"/>
        </w:rPr>
        <w:t xml:space="preserve"> </w:t>
      </w:r>
      <w:r w:rsidRPr="008D3B68">
        <w:rPr>
          <w:rFonts w:ascii="Book Antiqua" w:eastAsia="MS Mincho" w:hAnsi="Book Antiqua" w:cs="Times New Roman"/>
          <w:color w:val="auto"/>
          <w:kern w:val="2"/>
          <w:sz w:val="24"/>
          <w:szCs w:val="24"/>
          <w:lang w:eastAsia="ja-JP"/>
        </w:rPr>
        <w:t>ALT levels of 200 IU</w:t>
      </w:r>
      <w:r w:rsidR="00ED6728" w:rsidRPr="008D3B68">
        <w:rPr>
          <w:rFonts w:ascii="Book Antiqua" w:hAnsi="Book Antiqua" w:cs="Times New Roman"/>
          <w:sz w:val="24"/>
          <w:szCs w:val="24"/>
        </w:rPr>
        <w:t>/L</w:t>
      </w:r>
      <w:r w:rsidRPr="008D3B68">
        <w:rPr>
          <w:rFonts w:ascii="Book Antiqua" w:eastAsia="MS Mincho" w:hAnsi="Book Antiqua" w:cs="Times New Roman"/>
          <w:color w:val="auto"/>
          <w:kern w:val="2"/>
          <w:sz w:val="24"/>
          <w:szCs w:val="24"/>
          <w:lang w:eastAsia="ja-JP"/>
        </w:rPr>
        <w:t xml:space="preserve"> or lower associated with to response to UDCA monotherapy. </w:t>
      </w:r>
      <w:r w:rsidRPr="008D3B68">
        <w:rPr>
          <w:rFonts w:ascii="Book Antiqua" w:hAnsi="Book Antiqua" w:cs="Times New Roman"/>
          <w:spacing w:val="-2"/>
          <w:sz w:val="24"/>
          <w:szCs w:val="24"/>
        </w:rPr>
        <w:t xml:space="preserve">The results of the authors’ study contribute to </w:t>
      </w:r>
      <w:r w:rsidRPr="008D3B68">
        <w:rPr>
          <w:rFonts w:ascii="Book Antiqua" w:eastAsiaTheme="minorEastAsia" w:hAnsi="Book Antiqua" w:cs="Times New Roman"/>
          <w:spacing w:val="-2"/>
          <w:sz w:val="24"/>
          <w:szCs w:val="24"/>
          <w:lang w:eastAsia="ja-JP"/>
        </w:rPr>
        <w:t>predict the</w:t>
      </w:r>
      <w:r w:rsidRPr="008D3B68">
        <w:rPr>
          <w:rFonts w:ascii="Book Antiqua" w:hAnsi="Book Antiqua" w:cs="Times New Roman"/>
          <w:spacing w:val="-2"/>
          <w:sz w:val="24"/>
          <w:szCs w:val="24"/>
        </w:rPr>
        <w:t xml:space="preserve"> </w:t>
      </w:r>
      <w:r w:rsidRPr="008D3B68">
        <w:rPr>
          <w:rFonts w:ascii="Book Antiqua" w:eastAsiaTheme="minorEastAsia" w:hAnsi="Book Antiqua" w:cs="Times New Roman"/>
          <w:spacing w:val="-2"/>
          <w:sz w:val="24"/>
          <w:szCs w:val="24"/>
          <w:lang w:eastAsia="ja-JP"/>
        </w:rPr>
        <w:t>therapeutic effect of UDCA</w:t>
      </w:r>
      <w:r w:rsidRPr="008D3B68">
        <w:rPr>
          <w:rFonts w:ascii="Book Antiqua" w:hAnsi="Book Antiqua" w:cs="Times New Roman"/>
          <w:spacing w:val="-2"/>
          <w:sz w:val="24"/>
          <w:szCs w:val="24"/>
        </w:rPr>
        <w:t xml:space="preserve"> for</w:t>
      </w:r>
      <w:r w:rsidRPr="008D3B68">
        <w:rPr>
          <w:rFonts w:ascii="Book Antiqua" w:eastAsiaTheme="minorEastAsia" w:hAnsi="Book Antiqua" w:cs="Times New Roman"/>
          <w:spacing w:val="-2"/>
          <w:sz w:val="24"/>
          <w:szCs w:val="24"/>
          <w:lang w:eastAsia="ja-JP"/>
        </w:rPr>
        <w:t xml:space="preserve"> patients with AIH</w:t>
      </w:r>
      <w:r w:rsidRPr="008D3B68">
        <w:rPr>
          <w:rFonts w:ascii="Book Antiqua" w:hAnsi="Book Antiqua" w:cs="Times New Roman"/>
          <w:spacing w:val="-2"/>
          <w:sz w:val="24"/>
          <w:szCs w:val="24"/>
        </w:rPr>
        <w:t>.</w:t>
      </w:r>
    </w:p>
    <w:p w:rsidR="00CD4D5D" w:rsidRPr="008D3B68" w:rsidRDefault="00CD4D5D" w:rsidP="00352D86">
      <w:pPr>
        <w:pStyle w:val="8BF4"/>
        <w:spacing w:line="360" w:lineRule="auto"/>
        <w:rPr>
          <w:rFonts w:ascii="Book Antiqua" w:eastAsiaTheme="minorEastAsia" w:hAnsi="Book Antiqua" w:cs="Times New Roman"/>
          <w:b/>
          <w:bCs/>
          <w:i/>
          <w:iCs/>
          <w:sz w:val="24"/>
          <w:szCs w:val="24"/>
          <w:lang w:eastAsia="ja-JP"/>
        </w:rPr>
      </w:pPr>
    </w:p>
    <w:p w:rsidR="006A1197" w:rsidRPr="008D3B68" w:rsidRDefault="004E2281" w:rsidP="00352D86">
      <w:pPr>
        <w:pStyle w:val="8BF4"/>
        <w:spacing w:line="360" w:lineRule="auto"/>
        <w:rPr>
          <w:rFonts w:ascii="Book Antiqua" w:eastAsiaTheme="minorEastAsia" w:hAnsi="Book Antiqua" w:cs="Times New Roman"/>
          <w:b/>
          <w:bCs/>
          <w:i/>
          <w:iCs/>
          <w:sz w:val="24"/>
          <w:szCs w:val="24"/>
          <w:lang w:eastAsia="ja-JP"/>
        </w:rPr>
      </w:pPr>
      <w:r w:rsidRPr="008D3B68">
        <w:rPr>
          <w:rFonts w:ascii="Book Antiqua" w:hAnsi="Book Antiqua" w:cs="Times New Roman"/>
          <w:b/>
          <w:bCs/>
          <w:i/>
          <w:iCs/>
          <w:sz w:val="24"/>
          <w:szCs w:val="24"/>
        </w:rPr>
        <w:t>Applications</w:t>
      </w:r>
    </w:p>
    <w:p w:rsidR="006A1197" w:rsidRPr="008D3B68" w:rsidRDefault="006A1197" w:rsidP="00352D86">
      <w:pPr>
        <w:pStyle w:val="8BF4"/>
        <w:spacing w:line="360" w:lineRule="auto"/>
        <w:rPr>
          <w:rFonts w:ascii="Book Antiqua" w:hAnsi="Book Antiqua" w:cs="Times New Roman"/>
          <w:sz w:val="24"/>
          <w:szCs w:val="24"/>
        </w:rPr>
      </w:pPr>
      <w:r w:rsidRPr="008D3B68">
        <w:rPr>
          <w:rFonts w:ascii="Book Antiqua" w:hAnsi="Book Antiqua" w:cs="Times New Roman"/>
          <w:sz w:val="24"/>
          <w:szCs w:val="24"/>
        </w:rPr>
        <w:t xml:space="preserve">This study suggests that </w:t>
      </w:r>
      <w:r w:rsidR="004E2281" w:rsidRPr="008D3B68">
        <w:rPr>
          <w:rFonts w:ascii="Book Antiqua" w:hAnsi="Book Antiqua" w:cs="Times New Roman"/>
          <w:sz w:val="24"/>
          <w:szCs w:val="24"/>
        </w:rPr>
        <w:t>that to prevent adverse events related to corticosteroids, treatment with UDCA alone for AIH needs to be considered in selected patients, especially those with an ALT level of 200 IU</w:t>
      </w:r>
      <w:r w:rsidR="00ED6728" w:rsidRPr="008D3B68">
        <w:rPr>
          <w:rFonts w:ascii="Book Antiqua" w:hAnsi="Book Antiqua" w:cs="Times New Roman"/>
          <w:sz w:val="24"/>
          <w:szCs w:val="24"/>
        </w:rPr>
        <w:t>/L</w:t>
      </w:r>
      <w:r w:rsidR="004E2281" w:rsidRPr="008D3B68">
        <w:rPr>
          <w:rFonts w:ascii="Book Antiqua" w:hAnsi="Book Antiqua" w:cs="Times New Roman"/>
          <w:sz w:val="24"/>
          <w:szCs w:val="24"/>
        </w:rPr>
        <w:t xml:space="preserve"> or lower</w:t>
      </w:r>
      <w:r w:rsidRPr="008D3B68">
        <w:rPr>
          <w:rFonts w:ascii="Book Antiqua" w:hAnsi="Book Antiqua" w:cs="Times New Roman"/>
          <w:sz w:val="24"/>
          <w:szCs w:val="24"/>
        </w:rPr>
        <w:t xml:space="preserve">. </w:t>
      </w:r>
    </w:p>
    <w:p w:rsidR="006A1197" w:rsidRPr="008D3B68" w:rsidRDefault="006A1197" w:rsidP="00352D86">
      <w:pPr>
        <w:pStyle w:val="a1"/>
        <w:spacing w:line="360" w:lineRule="auto"/>
        <w:jc w:val="both"/>
        <w:rPr>
          <w:rFonts w:ascii="Book Antiqua" w:hAnsi="Book Antiqua" w:cs="Times New Roman"/>
          <w:sz w:val="24"/>
          <w:szCs w:val="24"/>
          <w:lang w:val="en-US"/>
        </w:rPr>
      </w:pPr>
    </w:p>
    <w:p w:rsidR="006A1197" w:rsidRPr="008D3B68" w:rsidRDefault="006A1197" w:rsidP="00352D86">
      <w:pPr>
        <w:pStyle w:val="a1"/>
        <w:spacing w:line="360" w:lineRule="auto"/>
        <w:jc w:val="both"/>
        <w:rPr>
          <w:rFonts w:ascii="Book Antiqua" w:hAnsi="Book Antiqua" w:cs="Times New Roman"/>
          <w:sz w:val="24"/>
          <w:szCs w:val="24"/>
          <w:lang w:val="en-US"/>
        </w:rPr>
      </w:pPr>
      <w:r w:rsidRPr="008D3B68">
        <w:rPr>
          <w:rFonts w:ascii="Book Antiqua" w:hAnsi="Book Antiqua" w:cs="Times New Roman"/>
          <w:sz w:val="24"/>
          <w:szCs w:val="24"/>
          <w:lang w:val="en-US"/>
        </w:rPr>
        <w:t>Terminology</w:t>
      </w:r>
    </w:p>
    <w:p w:rsidR="006A1197" w:rsidRPr="008D3B68" w:rsidRDefault="005022CF" w:rsidP="00352D86">
      <w:pPr>
        <w:pStyle w:val="8BF4"/>
        <w:spacing w:line="360" w:lineRule="auto"/>
        <w:rPr>
          <w:rFonts w:ascii="Book Antiqua" w:eastAsiaTheme="minorEastAsia" w:hAnsi="Book Antiqua" w:cs="Times New Roman"/>
          <w:sz w:val="24"/>
          <w:szCs w:val="24"/>
          <w:lang w:eastAsia="ja-JP"/>
        </w:rPr>
      </w:pPr>
      <w:r w:rsidRPr="008D3B68">
        <w:rPr>
          <w:rFonts w:ascii="Book Antiqua" w:eastAsiaTheme="minorEastAsia" w:hAnsi="Book Antiqua" w:cs="Times New Roman"/>
          <w:sz w:val="24"/>
          <w:szCs w:val="24"/>
          <w:lang w:eastAsia="ja-JP"/>
        </w:rPr>
        <w:t>UDCA</w:t>
      </w:r>
      <w:r w:rsidR="006A1197" w:rsidRPr="008D3B68">
        <w:rPr>
          <w:rFonts w:ascii="Book Antiqua" w:hAnsi="Book Antiqua" w:cs="Times New Roman"/>
          <w:sz w:val="24"/>
          <w:szCs w:val="24"/>
        </w:rPr>
        <w:t xml:space="preserve">: </w:t>
      </w:r>
      <w:r w:rsidR="001B21BB" w:rsidRPr="008D3B68">
        <w:rPr>
          <w:rFonts w:ascii="Book Antiqua" w:eastAsiaTheme="minorEastAsia" w:hAnsi="Book Antiqua" w:cs="Times New Roman"/>
          <w:sz w:val="24"/>
          <w:szCs w:val="24"/>
          <w:lang w:eastAsia="ja-JP"/>
        </w:rPr>
        <w:t>O</w:t>
      </w:r>
      <w:r w:rsidRPr="008D3B68">
        <w:rPr>
          <w:rFonts w:ascii="Book Antiqua" w:hAnsi="Book Antiqua" w:cs="Times New Roman"/>
          <w:sz w:val="24"/>
          <w:szCs w:val="24"/>
        </w:rPr>
        <w:t>ne of the secondary</w:t>
      </w:r>
      <w:r w:rsidRPr="008D3B68">
        <w:rPr>
          <w:rFonts w:ascii="Book Antiqua" w:hAnsi="Book Antiqua" w:cs="Times New Roman"/>
          <w:color w:val="auto"/>
          <w:sz w:val="24"/>
          <w:szCs w:val="24"/>
        </w:rPr>
        <w:t> </w:t>
      </w:r>
      <w:hyperlink r:id="rId9" w:tooltip="Bile acid" w:history="1">
        <w:r w:rsidRPr="008D3B68">
          <w:rPr>
            <w:rStyle w:val="Hyperlink"/>
            <w:rFonts w:ascii="Book Antiqua" w:hAnsi="Book Antiqua" w:cs="Times New Roman"/>
            <w:color w:val="auto"/>
            <w:sz w:val="24"/>
            <w:szCs w:val="24"/>
            <w:u w:val="none"/>
          </w:rPr>
          <w:t>bile acids</w:t>
        </w:r>
      </w:hyperlink>
      <w:r w:rsidRPr="008D3B68">
        <w:rPr>
          <w:rFonts w:ascii="Book Antiqua" w:hAnsi="Book Antiqua" w:cs="Times New Roman"/>
          <w:color w:val="auto"/>
          <w:sz w:val="24"/>
          <w:szCs w:val="24"/>
        </w:rPr>
        <w:t>,</w:t>
      </w:r>
      <w:r w:rsidRPr="008D3B68">
        <w:rPr>
          <w:rFonts w:ascii="Book Antiqua" w:hAnsi="Book Antiqua" w:cs="Times New Roman"/>
          <w:sz w:val="24"/>
          <w:szCs w:val="24"/>
        </w:rPr>
        <w:t xml:space="preserve"> which are metabolic byproducts of intestinal bacteria.</w:t>
      </w:r>
      <w:r w:rsidRPr="008D3B68">
        <w:rPr>
          <w:rFonts w:ascii="Book Antiqua" w:eastAsiaTheme="minorEastAsia" w:hAnsi="Book Antiqua" w:cs="Times New Roman"/>
          <w:sz w:val="24"/>
          <w:szCs w:val="24"/>
          <w:lang w:eastAsia="ja-JP"/>
        </w:rPr>
        <w:t xml:space="preserve"> </w:t>
      </w:r>
      <w:r w:rsidR="001B21BB" w:rsidRPr="008D3B68">
        <w:rPr>
          <w:rFonts w:ascii="Book Antiqua" w:eastAsiaTheme="minorEastAsia" w:hAnsi="Book Antiqua" w:cs="Times New Roman"/>
          <w:sz w:val="24"/>
          <w:szCs w:val="24"/>
          <w:lang w:eastAsia="ja-JP"/>
        </w:rPr>
        <w:t xml:space="preserve">It </w:t>
      </w:r>
      <w:r w:rsidRPr="008D3B68">
        <w:rPr>
          <w:rFonts w:ascii="Book Antiqua" w:hAnsi="Book Antiqua" w:cs="Times New Roman"/>
          <w:sz w:val="24"/>
          <w:szCs w:val="24"/>
        </w:rPr>
        <w:t>has been widely used as the first choice drug for the treatment of PBC. This is because of its efficacy for cholestasis, exerted through its choleretic action</w:t>
      </w:r>
      <w:r w:rsidRPr="008D3B68">
        <w:rPr>
          <w:rFonts w:ascii="Book Antiqua" w:hAnsi="Book Antiqua" w:cs="Times New Roman"/>
          <w:b/>
          <w:color w:val="0000FF"/>
          <w:sz w:val="24"/>
          <w:szCs w:val="24"/>
        </w:rPr>
        <w:t xml:space="preserve"> </w:t>
      </w:r>
      <w:r w:rsidRPr="008D3B68">
        <w:rPr>
          <w:rFonts w:ascii="Book Antiqua" w:hAnsi="Book Antiqua" w:cs="Times New Roman"/>
          <w:sz w:val="24"/>
          <w:szCs w:val="24"/>
        </w:rPr>
        <w:t>which is well understood.</w:t>
      </w:r>
      <w:r w:rsidRPr="008D3B68">
        <w:rPr>
          <w:rFonts w:ascii="Book Antiqua" w:hAnsi="Book Antiqua" w:cs="Times New Roman"/>
          <w:color w:val="auto"/>
          <w:sz w:val="24"/>
          <w:szCs w:val="24"/>
        </w:rPr>
        <w:t xml:space="preserve"> I</w:t>
      </w:r>
      <w:r w:rsidRPr="008D3B68">
        <w:rPr>
          <w:rFonts w:ascii="Book Antiqua" w:hAnsi="Book Antiqua" w:cs="Times New Roman"/>
          <w:sz w:val="24"/>
          <w:szCs w:val="24"/>
        </w:rPr>
        <w:t>n addition to its choleretic action, UDCA reportedly has a protective action on hepatocytes and an immunomodulatory action</w:t>
      </w:r>
      <w:r w:rsidR="001B21BB" w:rsidRPr="008D3B68">
        <w:rPr>
          <w:rFonts w:ascii="Book Antiqua" w:eastAsiaTheme="minorEastAsia" w:hAnsi="Book Antiqua" w:cs="Times New Roman"/>
          <w:sz w:val="24"/>
          <w:szCs w:val="24"/>
          <w:lang w:eastAsia="ja-JP"/>
        </w:rPr>
        <w:t>.</w:t>
      </w:r>
    </w:p>
    <w:p w:rsidR="006A1197" w:rsidRPr="008D3B68" w:rsidRDefault="006A1197" w:rsidP="00352D86">
      <w:pPr>
        <w:pStyle w:val="a1"/>
        <w:spacing w:line="360" w:lineRule="auto"/>
        <w:jc w:val="both"/>
        <w:rPr>
          <w:rFonts w:ascii="Book Antiqua" w:hAnsi="Book Antiqua" w:cs="Times New Roman"/>
          <w:b w:val="0"/>
          <w:i w:val="0"/>
          <w:sz w:val="24"/>
          <w:szCs w:val="24"/>
          <w:lang w:val="en-US"/>
        </w:rPr>
      </w:pPr>
    </w:p>
    <w:p w:rsidR="006A1197" w:rsidRPr="008D3B68" w:rsidRDefault="006A1197" w:rsidP="00352D86">
      <w:pPr>
        <w:pStyle w:val="a1"/>
        <w:spacing w:line="360" w:lineRule="auto"/>
        <w:jc w:val="both"/>
        <w:rPr>
          <w:rFonts w:ascii="Book Antiqua" w:hAnsi="Book Antiqua" w:cs="Times New Roman"/>
          <w:sz w:val="24"/>
          <w:szCs w:val="24"/>
          <w:lang w:val="en-US"/>
        </w:rPr>
      </w:pPr>
      <w:r w:rsidRPr="008D3B68">
        <w:rPr>
          <w:rFonts w:ascii="Book Antiqua" w:hAnsi="Book Antiqua" w:cs="Times New Roman"/>
          <w:sz w:val="24"/>
          <w:szCs w:val="24"/>
          <w:lang w:val="en-US"/>
        </w:rPr>
        <w:t>Peer-review</w:t>
      </w:r>
    </w:p>
    <w:p w:rsidR="006A1197" w:rsidRPr="008D3B68" w:rsidRDefault="00262BD0" w:rsidP="00352D86">
      <w:pPr>
        <w:pStyle w:val="8BF4"/>
        <w:spacing w:line="360" w:lineRule="auto"/>
        <w:rPr>
          <w:rFonts w:ascii="Book Antiqua" w:eastAsia="MS Mincho" w:hAnsi="Book Antiqua" w:cs="Times New Roman"/>
          <w:color w:val="auto"/>
          <w:kern w:val="2"/>
          <w:sz w:val="24"/>
          <w:szCs w:val="24"/>
          <w:lang w:eastAsia="ja-JP"/>
        </w:rPr>
      </w:pPr>
      <w:r>
        <w:rPr>
          <w:rFonts w:ascii="Book Antiqua" w:hAnsi="Book Antiqua" w:cs="Times New Roman" w:hint="eastAsia"/>
          <w:sz w:val="24"/>
          <w:szCs w:val="24"/>
        </w:rPr>
        <w:t xml:space="preserve">This </w:t>
      </w:r>
      <w:r w:rsidR="00AD386A" w:rsidRPr="008D3B68">
        <w:rPr>
          <w:rFonts w:ascii="Book Antiqua" w:eastAsia="MS Mincho" w:hAnsi="Book Antiqua" w:cs="Times New Roman"/>
          <w:color w:val="auto"/>
          <w:kern w:val="2"/>
          <w:sz w:val="24"/>
          <w:szCs w:val="24"/>
          <w:lang w:eastAsia="ja-JP"/>
        </w:rPr>
        <w:t>is a very inter</w:t>
      </w:r>
      <w:r w:rsidR="00207726" w:rsidRPr="008D3B68">
        <w:rPr>
          <w:rFonts w:ascii="Book Antiqua" w:eastAsia="MS Mincho" w:hAnsi="Book Antiqua" w:cs="Times New Roman"/>
          <w:color w:val="auto"/>
          <w:kern w:val="2"/>
          <w:sz w:val="24"/>
          <w:szCs w:val="24"/>
          <w:lang w:eastAsia="ja-JP"/>
        </w:rPr>
        <w:t>e</w:t>
      </w:r>
      <w:r w:rsidR="00AD386A" w:rsidRPr="008D3B68">
        <w:rPr>
          <w:rFonts w:ascii="Book Antiqua" w:eastAsia="MS Mincho" w:hAnsi="Book Antiqua" w:cs="Times New Roman"/>
          <w:color w:val="auto"/>
          <w:kern w:val="2"/>
          <w:sz w:val="24"/>
          <w:szCs w:val="24"/>
          <w:lang w:eastAsia="ja-JP"/>
        </w:rPr>
        <w:t>sting cut off point for future prospective studies to confirm these retrospective results.</w:t>
      </w:r>
    </w:p>
    <w:p w:rsidR="00AD386A" w:rsidRPr="008D3B68" w:rsidRDefault="00AD386A" w:rsidP="00352D86">
      <w:pPr>
        <w:pStyle w:val="8BF4"/>
        <w:spacing w:line="360" w:lineRule="auto"/>
        <w:rPr>
          <w:rFonts w:ascii="Book Antiqua" w:hAnsi="Book Antiqua" w:cs="Times New Roman"/>
          <w:b/>
          <w:color w:val="auto"/>
          <w:sz w:val="24"/>
          <w:szCs w:val="24"/>
        </w:rPr>
      </w:pPr>
    </w:p>
    <w:p w:rsidR="00207726" w:rsidRPr="008D3B68" w:rsidRDefault="00207726" w:rsidP="00352D86">
      <w:pPr>
        <w:pStyle w:val="8BF4"/>
        <w:spacing w:line="360" w:lineRule="auto"/>
        <w:rPr>
          <w:rFonts w:ascii="Book Antiqua" w:hAnsi="Book Antiqua" w:cs="Times New Roman"/>
          <w:b/>
          <w:color w:val="auto"/>
          <w:sz w:val="24"/>
          <w:szCs w:val="24"/>
        </w:rPr>
      </w:pPr>
    </w:p>
    <w:p w:rsidR="00207726" w:rsidRPr="008D3B68" w:rsidRDefault="00207726" w:rsidP="00352D86">
      <w:pPr>
        <w:pStyle w:val="8BF4"/>
        <w:spacing w:line="360" w:lineRule="auto"/>
        <w:rPr>
          <w:rFonts w:ascii="Book Antiqua" w:hAnsi="Book Antiqua" w:cs="Times New Roman"/>
          <w:b/>
          <w:color w:val="auto"/>
          <w:sz w:val="24"/>
          <w:szCs w:val="24"/>
        </w:rPr>
      </w:pPr>
    </w:p>
    <w:p w:rsidR="00D961FD" w:rsidRDefault="00B53F11" w:rsidP="00D961FD">
      <w:pPr>
        <w:spacing w:line="360" w:lineRule="auto"/>
        <w:rPr>
          <w:rFonts w:ascii="Book Antiqua" w:eastAsia="宋体" w:hAnsi="Book Antiqua" w:cs="Times New Roman"/>
          <w:color w:val="FFC000"/>
          <w:sz w:val="24"/>
          <w:szCs w:val="24"/>
        </w:rPr>
      </w:pPr>
      <w:r w:rsidRPr="008D3B68">
        <w:rPr>
          <w:rFonts w:ascii="Book Antiqua" w:hAnsi="Book Antiqua" w:cs="Times New Roman"/>
          <w:b/>
          <w:color w:val="000000" w:themeColor="text1"/>
          <w:sz w:val="24"/>
          <w:szCs w:val="24"/>
        </w:rPr>
        <w:lastRenderedPageBreak/>
        <w:t>REFERENCES</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bookmarkStart w:id="12" w:name="OLE_LINK1"/>
      <w:bookmarkStart w:id="13" w:name="OLE_LINK2"/>
      <w:bookmarkStart w:id="14" w:name="OLE_LINK8"/>
      <w:bookmarkStart w:id="15" w:name="OLE_LINK176"/>
      <w:bookmarkStart w:id="16" w:name="OLE_LINK187"/>
      <w:bookmarkStart w:id="17" w:name="OLE_LINK188"/>
      <w:r w:rsidRPr="00D961FD">
        <w:rPr>
          <w:rFonts w:ascii="Book Antiqua" w:eastAsia="宋体" w:hAnsi="Book Antiqua" w:cs="宋体"/>
          <w:kern w:val="0"/>
          <w:sz w:val="24"/>
          <w:szCs w:val="24"/>
        </w:rPr>
        <w:t>1 </w:t>
      </w:r>
      <w:r w:rsidRPr="00D961FD">
        <w:rPr>
          <w:rFonts w:ascii="Book Antiqua" w:eastAsia="宋体" w:hAnsi="Book Antiqua" w:cs="宋体"/>
          <w:b/>
          <w:bCs/>
          <w:kern w:val="0"/>
          <w:sz w:val="24"/>
          <w:szCs w:val="24"/>
        </w:rPr>
        <w:t>Mayo MJ</w:t>
      </w:r>
      <w:r w:rsidRPr="00D961FD">
        <w:rPr>
          <w:rFonts w:ascii="Book Antiqua" w:eastAsia="宋体" w:hAnsi="Book Antiqua" w:cs="宋体"/>
          <w:kern w:val="0"/>
          <w:sz w:val="24"/>
          <w:szCs w:val="24"/>
        </w:rPr>
        <w:t>. Management of autoimmune hepatitis. </w:t>
      </w:r>
      <w:r w:rsidRPr="00D961FD">
        <w:rPr>
          <w:rFonts w:ascii="Book Antiqua" w:eastAsia="宋体" w:hAnsi="Book Antiqua" w:cs="宋体"/>
          <w:i/>
          <w:iCs/>
          <w:kern w:val="0"/>
          <w:sz w:val="24"/>
          <w:szCs w:val="24"/>
        </w:rPr>
        <w:t>Curr Opin Gastroenterol</w:t>
      </w:r>
      <w:r w:rsidRPr="00D961FD">
        <w:rPr>
          <w:rFonts w:ascii="Book Antiqua" w:eastAsia="宋体" w:hAnsi="Book Antiqua" w:cs="宋体"/>
          <w:kern w:val="0"/>
          <w:sz w:val="24"/>
          <w:szCs w:val="24"/>
        </w:rPr>
        <w:t> 2011; </w:t>
      </w:r>
      <w:r w:rsidRPr="00D961FD">
        <w:rPr>
          <w:rFonts w:ascii="Book Antiqua" w:eastAsia="宋体" w:hAnsi="Book Antiqua" w:cs="宋体"/>
          <w:b/>
          <w:bCs/>
          <w:kern w:val="0"/>
          <w:sz w:val="24"/>
          <w:szCs w:val="24"/>
        </w:rPr>
        <w:t>27</w:t>
      </w:r>
      <w:r w:rsidRPr="00D961FD">
        <w:rPr>
          <w:rFonts w:ascii="Book Antiqua" w:eastAsia="宋体" w:hAnsi="Book Antiqua" w:cs="宋体"/>
          <w:kern w:val="0"/>
          <w:sz w:val="24"/>
          <w:szCs w:val="24"/>
        </w:rPr>
        <w:t>: 224-230 [PMID: 21451411 DOI: 10.1097/MOG.0b013e3283457ce0]</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w:t>
      </w:r>
      <w:r w:rsidRPr="00D961FD">
        <w:rPr>
          <w:rFonts w:ascii="Book Antiqua" w:eastAsia="宋体" w:hAnsi="Book Antiqua" w:cs="宋体" w:hint="eastAsia"/>
          <w:kern w:val="0"/>
          <w:sz w:val="24"/>
          <w:szCs w:val="24"/>
        </w:rPr>
        <w:t xml:space="preserve"> </w:t>
      </w:r>
      <w:r w:rsidRPr="00D961FD">
        <w:rPr>
          <w:rFonts w:ascii="Book Antiqua" w:eastAsia="宋体" w:hAnsi="Book Antiqua" w:cs="宋体"/>
          <w:b/>
          <w:kern w:val="0"/>
          <w:sz w:val="24"/>
          <w:szCs w:val="24"/>
        </w:rPr>
        <w:t>European Association for the Study of the Liver</w:t>
      </w:r>
      <w:r w:rsidRPr="00D961FD">
        <w:rPr>
          <w:rFonts w:ascii="Book Antiqua" w:eastAsia="宋体" w:hAnsi="Book Antiqua" w:cs="宋体"/>
          <w:kern w:val="0"/>
          <w:sz w:val="24"/>
          <w:szCs w:val="24"/>
        </w:rPr>
        <w:t>. EASL Clinical Practice</w:t>
      </w:r>
      <w:r w:rsidRPr="00D961FD">
        <w:rPr>
          <w:rFonts w:ascii="Book Antiqua" w:eastAsia="宋体" w:hAnsi="Book Antiqua" w:cs="宋体" w:hint="eastAsia"/>
          <w:kern w:val="0"/>
          <w:sz w:val="24"/>
          <w:szCs w:val="24"/>
        </w:rPr>
        <w:t xml:space="preserve"> </w:t>
      </w:r>
      <w:r w:rsidRPr="00D961FD">
        <w:rPr>
          <w:rFonts w:ascii="Book Antiqua" w:eastAsia="宋体" w:hAnsi="Book Antiqua" w:cs="宋体"/>
          <w:kern w:val="0"/>
          <w:sz w:val="24"/>
          <w:szCs w:val="24"/>
        </w:rPr>
        <w:t xml:space="preserve">Guidelines: Autoimmune hepatitis. </w:t>
      </w:r>
      <w:r w:rsidRPr="00D961FD">
        <w:rPr>
          <w:rFonts w:ascii="Book Antiqua" w:eastAsia="宋体" w:hAnsi="Book Antiqua" w:cs="宋体"/>
          <w:i/>
          <w:kern w:val="0"/>
          <w:sz w:val="24"/>
          <w:szCs w:val="24"/>
        </w:rPr>
        <w:t>J Hepatol</w:t>
      </w:r>
      <w:r w:rsidRPr="00D961FD">
        <w:rPr>
          <w:rFonts w:ascii="Book Antiqua" w:eastAsia="宋体" w:hAnsi="Book Antiqua" w:cs="宋体"/>
          <w:kern w:val="0"/>
          <w:sz w:val="24"/>
          <w:szCs w:val="24"/>
        </w:rPr>
        <w:t xml:space="preserve"> 2015; </w:t>
      </w:r>
      <w:r w:rsidRPr="00D961FD">
        <w:rPr>
          <w:rFonts w:ascii="Book Antiqua" w:eastAsia="宋体" w:hAnsi="Book Antiqua" w:cs="宋体"/>
          <w:b/>
          <w:kern w:val="0"/>
          <w:sz w:val="24"/>
          <w:szCs w:val="24"/>
        </w:rPr>
        <w:t>63</w:t>
      </w:r>
      <w:r w:rsidRPr="00D961FD">
        <w:rPr>
          <w:rFonts w:ascii="Book Antiqua" w:eastAsia="宋体" w:hAnsi="Book Antiqua" w:cs="宋体"/>
          <w:kern w:val="0"/>
          <w:sz w:val="24"/>
          <w:szCs w:val="24"/>
        </w:rPr>
        <w:t>: 971</w:t>
      </w:r>
      <w:r w:rsidRPr="00D961FD">
        <w:rPr>
          <w:rFonts w:ascii="Book Antiqua" w:eastAsia="宋体" w:hAnsi="Book Antiqua" w:cs="宋体" w:hint="eastAsia"/>
          <w:kern w:val="0"/>
          <w:sz w:val="24"/>
          <w:szCs w:val="24"/>
        </w:rPr>
        <w:t>-</w:t>
      </w:r>
      <w:r w:rsidRPr="00D961FD">
        <w:rPr>
          <w:rFonts w:ascii="Book Antiqua" w:eastAsia="宋体" w:hAnsi="Book Antiqua" w:cs="宋体"/>
          <w:kern w:val="0"/>
          <w:sz w:val="24"/>
          <w:szCs w:val="24"/>
        </w:rPr>
        <w:t>1004</w:t>
      </w:r>
      <w:r w:rsidRPr="00D961FD">
        <w:rPr>
          <w:rFonts w:ascii="Book Antiqua" w:eastAsia="宋体" w:hAnsi="Book Antiqua" w:cs="宋体" w:hint="eastAsia"/>
          <w:kern w:val="0"/>
          <w:sz w:val="24"/>
          <w:szCs w:val="24"/>
        </w:rPr>
        <w:t xml:space="preserve"> [</w:t>
      </w:r>
      <w:r w:rsidRPr="00D961FD">
        <w:rPr>
          <w:rFonts w:ascii="Book Antiqua" w:eastAsia="宋体" w:hAnsi="Book Antiqua" w:cs="宋体"/>
          <w:kern w:val="0"/>
          <w:sz w:val="24"/>
          <w:szCs w:val="24"/>
        </w:rPr>
        <w:t>PMID: 26341719 DOI: 10.1016/j.jhep.2015.06.030</w:t>
      </w:r>
      <w:r w:rsidRPr="00D961FD">
        <w:rPr>
          <w:rFonts w:ascii="Book Antiqua" w:eastAsia="宋体" w:hAnsi="Book Antiqua" w:cs="宋体" w:hint="eastAsia"/>
          <w:kern w:val="0"/>
          <w:sz w:val="24"/>
          <w:szCs w:val="24"/>
        </w:rPr>
        <w:t>]</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3 </w:t>
      </w:r>
      <w:r w:rsidRPr="00D961FD">
        <w:rPr>
          <w:rFonts w:ascii="Book Antiqua" w:eastAsia="宋体" w:hAnsi="Book Antiqua" w:cs="宋体"/>
          <w:b/>
          <w:bCs/>
          <w:kern w:val="0"/>
          <w:sz w:val="24"/>
          <w:szCs w:val="24"/>
        </w:rPr>
        <w:t>Summerskill WH</w:t>
      </w:r>
      <w:r w:rsidRPr="00D961FD">
        <w:rPr>
          <w:rFonts w:ascii="Book Antiqua" w:eastAsia="宋体" w:hAnsi="Book Antiqua" w:cs="宋体"/>
          <w:kern w:val="0"/>
          <w:sz w:val="24"/>
          <w:szCs w:val="24"/>
        </w:rPr>
        <w:t>, Korman MG, Ammon HV, Baggenstoss AH. Prednisone for chronic active liver disease: dose titration, standard dose, and combination with azathioprine compared. </w:t>
      </w:r>
      <w:r w:rsidRPr="00D961FD">
        <w:rPr>
          <w:rFonts w:ascii="Book Antiqua" w:eastAsia="宋体" w:hAnsi="Book Antiqua" w:cs="宋体"/>
          <w:i/>
          <w:iCs/>
          <w:kern w:val="0"/>
          <w:sz w:val="24"/>
          <w:szCs w:val="24"/>
        </w:rPr>
        <w:t>Gut</w:t>
      </w:r>
      <w:r w:rsidRPr="00D961FD">
        <w:rPr>
          <w:rFonts w:ascii="Book Antiqua" w:eastAsia="宋体" w:hAnsi="Book Antiqua" w:cs="宋体"/>
          <w:kern w:val="0"/>
          <w:sz w:val="24"/>
          <w:szCs w:val="24"/>
        </w:rPr>
        <w:t> 1975; </w:t>
      </w:r>
      <w:r w:rsidRPr="00D961FD">
        <w:rPr>
          <w:rFonts w:ascii="Book Antiqua" w:eastAsia="宋体" w:hAnsi="Book Antiqua" w:cs="宋体"/>
          <w:b/>
          <w:bCs/>
          <w:kern w:val="0"/>
          <w:sz w:val="24"/>
          <w:szCs w:val="24"/>
        </w:rPr>
        <w:t>16</w:t>
      </w:r>
      <w:r w:rsidRPr="00D961FD">
        <w:rPr>
          <w:rFonts w:ascii="Book Antiqua" w:eastAsia="宋体" w:hAnsi="Book Antiqua" w:cs="宋体"/>
          <w:kern w:val="0"/>
          <w:sz w:val="24"/>
          <w:szCs w:val="24"/>
        </w:rPr>
        <w:t>: 876-883 [PMID: 1104411 DOI: 10.1136/gut.16.11.876]</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4 </w:t>
      </w:r>
      <w:r w:rsidRPr="00D961FD">
        <w:rPr>
          <w:rFonts w:ascii="Book Antiqua" w:eastAsia="宋体" w:hAnsi="Book Antiqua" w:cs="宋体"/>
          <w:b/>
          <w:bCs/>
          <w:kern w:val="0"/>
          <w:sz w:val="24"/>
          <w:szCs w:val="24"/>
        </w:rPr>
        <w:t>Czaja AJ</w:t>
      </w:r>
      <w:r w:rsidRPr="00D961FD">
        <w:rPr>
          <w:rFonts w:ascii="Book Antiqua" w:eastAsia="宋体" w:hAnsi="Book Antiqua" w:cs="宋体"/>
          <w:kern w:val="0"/>
          <w:sz w:val="24"/>
          <w:szCs w:val="24"/>
        </w:rPr>
        <w:t>. Safety issues in the management of autoimmune hepatitis. </w:t>
      </w:r>
      <w:r w:rsidRPr="00D961FD">
        <w:rPr>
          <w:rFonts w:ascii="Book Antiqua" w:eastAsia="宋体" w:hAnsi="Book Antiqua" w:cs="宋体"/>
          <w:i/>
          <w:iCs/>
          <w:kern w:val="0"/>
          <w:sz w:val="24"/>
          <w:szCs w:val="24"/>
        </w:rPr>
        <w:t>Expert Opin Drug Saf</w:t>
      </w:r>
      <w:r w:rsidRPr="00D961FD">
        <w:rPr>
          <w:rFonts w:ascii="Book Antiqua" w:eastAsia="宋体" w:hAnsi="Book Antiqua" w:cs="宋体"/>
          <w:kern w:val="0"/>
          <w:sz w:val="24"/>
          <w:szCs w:val="24"/>
        </w:rPr>
        <w:t> 2008; </w:t>
      </w:r>
      <w:r w:rsidRPr="00D961FD">
        <w:rPr>
          <w:rFonts w:ascii="Book Antiqua" w:eastAsia="宋体" w:hAnsi="Book Antiqua" w:cs="宋体"/>
          <w:b/>
          <w:bCs/>
          <w:kern w:val="0"/>
          <w:sz w:val="24"/>
          <w:szCs w:val="24"/>
        </w:rPr>
        <w:t>7</w:t>
      </w:r>
      <w:r w:rsidRPr="00D961FD">
        <w:rPr>
          <w:rFonts w:ascii="Book Antiqua" w:eastAsia="宋体" w:hAnsi="Book Antiqua" w:cs="宋体"/>
          <w:kern w:val="0"/>
          <w:sz w:val="24"/>
          <w:szCs w:val="24"/>
        </w:rPr>
        <w:t>: 319-333 [PMID: 18462189 DOI: 10.1517/14740338.7.3.319]</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5 </w:t>
      </w:r>
      <w:r w:rsidRPr="00D961FD">
        <w:rPr>
          <w:rFonts w:ascii="Book Antiqua" w:eastAsia="宋体" w:hAnsi="Book Antiqua" w:cs="宋体"/>
          <w:b/>
          <w:bCs/>
          <w:kern w:val="0"/>
          <w:sz w:val="24"/>
          <w:szCs w:val="24"/>
        </w:rPr>
        <w:t>Uribe M</w:t>
      </w:r>
      <w:r w:rsidRPr="00D961FD">
        <w:rPr>
          <w:rFonts w:ascii="Book Antiqua" w:eastAsia="宋体" w:hAnsi="Book Antiqua" w:cs="宋体"/>
          <w:kern w:val="0"/>
          <w:sz w:val="24"/>
          <w:szCs w:val="24"/>
        </w:rPr>
        <w:t>, Go VL, Kluge D. Prednisone for chronic active hepatitis: pharmacokinetics and serum binding in patients with chronic active hepatitis and steroid major side effects. </w:t>
      </w:r>
      <w:r w:rsidRPr="00D961FD">
        <w:rPr>
          <w:rFonts w:ascii="Book Antiqua" w:eastAsia="宋体" w:hAnsi="Book Antiqua" w:cs="宋体"/>
          <w:i/>
          <w:iCs/>
          <w:kern w:val="0"/>
          <w:sz w:val="24"/>
          <w:szCs w:val="24"/>
        </w:rPr>
        <w:t>J Clin Gastroenterol</w:t>
      </w:r>
      <w:r w:rsidRPr="00D961FD">
        <w:rPr>
          <w:rFonts w:ascii="Book Antiqua" w:eastAsia="宋体" w:hAnsi="Book Antiqua" w:cs="宋体"/>
          <w:kern w:val="0"/>
          <w:sz w:val="24"/>
          <w:szCs w:val="24"/>
        </w:rPr>
        <w:t> 1984; </w:t>
      </w:r>
      <w:r w:rsidRPr="00D961FD">
        <w:rPr>
          <w:rFonts w:ascii="Book Antiqua" w:eastAsia="宋体" w:hAnsi="Book Antiqua" w:cs="宋体"/>
          <w:b/>
          <w:bCs/>
          <w:kern w:val="0"/>
          <w:sz w:val="24"/>
          <w:szCs w:val="24"/>
        </w:rPr>
        <w:t>6</w:t>
      </w:r>
      <w:r w:rsidRPr="00D961FD">
        <w:rPr>
          <w:rFonts w:ascii="Book Antiqua" w:eastAsia="宋体" w:hAnsi="Book Antiqua" w:cs="宋体"/>
          <w:kern w:val="0"/>
          <w:sz w:val="24"/>
          <w:szCs w:val="24"/>
        </w:rPr>
        <w:t>: 331-335 [PMID: 6481116]</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6 </w:t>
      </w:r>
      <w:r w:rsidRPr="00D961FD">
        <w:rPr>
          <w:rFonts w:ascii="Book Antiqua" w:eastAsia="宋体" w:hAnsi="Book Antiqua" w:cs="宋体"/>
          <w:b/>
          <w:bCs/>
          <w:kern w:val="0"/>
          <w:sz w:val="24"/>
          <w:szCs w:val="24"/>
        </w:rPr>
        <w:t>Lebovics E</w:t>
      </w:r>
      <w:r w:rsidRPr="00D961FD">
        <w:rPr>
          <w:rFonts w:ascii="Book Antiqua" w:eastAsia="宋体" w:hAnsi="Book Antiqua" w:cs="宋体"/>
          <w:kern w:val="0"/>
          <w:sz w:val="24"/>
          <w:szCs w:val="24"/>
        </w:rPr>
        <w:t>, Schaffner F, Klion FM, Simon C. Autoimmune chronic active hepatitis in postmenopausal women. </w:t>
      </w:r>
      <w:r w:rsidRPr="00D961FD">
        <w:rPr>
          <w:rFonts w:ascii="Book Antiqua" w:eastAsia="宋体" w:hAnsi="Book Antiqua" w:cs="宋体"/>
          <w:i/>
          <w:iCs/>
          <w:kern w:val="0"/>
          <w:sz w:val="24"/>
          <w:szCs w:val="24"/>
        </w:rPr>
        <w:t>Dig Dis Sci</w:t>
      </w:r>
      <w:r w:rsidRPr="00D961FD">
        <w:rPr>
          <w:rFonts w:ascii="Book Antiqua" w:eastAsia="宋体" w:hAnsi="Book Antiqua" w:cs="宋体"/>
          <w:kern w:val="0"/>
          <w:sz w:val="24"/>
          <w:szCs w:val="24"/>
        </w:rPr>
        <w:t> 1985; </w:t>
      </w:r>
      <w:r w:rsidRPr="00D961FD">
        <w:rPr>
          <w:rFonts w:ascii="Book Antiqua" w:eastAsia="宋体" w:hAnsi="Book Antiqua" w:cs="宋体"/>
          <w:b/>
          <w:bCs/>
          <w:kern w:val="0"/>
          <w:sz w:val="24"/>
          <w:szCs w:val="24"/>
        </w:rPr>
        <w:t>30</w:t>
      </w:r>
      <w:r w:rsidRPr="00D961FD">
        <w:rPr>
          <w:rFonts w:ascii="Book Antiqua" w:eastAsia="宋体" w:hAnsi="Book Antiqua" w:cs="宋体"/>
          <w:kern w:val="0"/>
          <w:sz w:val="24"/>
          <w:szCs w:val="24"/>
        </w:rPr>
        <w:t>: 824-828 [PMID: 3875463]</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7 </w:t>
      </w:r>
      <w:r w:rsidRPr="00D961FD">
        <w:rPr>
          <w:rFonts w:ascii="Book Antiqua" w:eastAsia="宋体" w:hAnsi="Book Antiqua" w:cs="宋体"/>
          <w:b/>
          <w:bCs/>
          <w:kern w:val="0"/>
          <w:sz w:val="24"/>
          <w:szCs w:val="24"/>
        </w:rPr>
        <w:t>Wright SH</w:t>
      </w:r>
      <w:r w:rsidRPr="00D961FD">
        <w:rPr>
          <w:rFonts w:ascii="Book Antiqua" w:eastAsia="宋体" w:hAnsi="Book Antiqua" w:cs="宋体"/>
          <w:kern w:val="0"/>
          <w:sz w:val="24"/>
          <w:szCs w:val="24"/>
        </w:rPr>
        <w:t>, Czaja AJ, Katz RS, Soloway RD. Systemic mycosis complicating high dose corticosteroid treatment of chronic active liver disease. </w:t>
      </w:r>
      <w:r w:rsidRPr="00D961FD">
        <w:rPr>
          <w:rFonts w:ascii="Book Antiqua" w:eastAsia="宋体" w:hAnsi="Book Antiqua" w:cs="宋体"/>
          <w:i/>
          <w:iCs/>
          <w:kern w:val="0"/>
          <w:sz w:val="24"/>
          <w:szCs w:val="24"/>
        </w:rPr>
        <w:t>Am J Gastroenterol</w:t>
      </w:r>
      <w:r w:rsidRPr="00D961FD">
        <w:rPr>
          <w:rFonts w:ascii="Book Antiqua" w:eastAsia="宋体" w:hAnsi="Book Antiqua" w:cs="宋体"/>
          <w:kern w:val="0"/>
          <w:sz w:val="24"/>
          <w:szCs w:val="24"/>
        </w:rPr>
        <w:t> 1980; </w:t>
      </w:r>
      <w:r w:rsidRPr="00D961FD">
        <w:rPr>
          <w:rFonts w:ascii="Book Antiqua" w:eastAsia="宋体" w:hAnsi="Book Antiqua" w:cs="宋体"/>
          <w:b/>
          <w:bCs/>
          <w:kern w:val="0"/>
          <w:sz w:val="24"/>
          <w:szCs w:val="24"/>
        </w:rPr>
        <w:t>74</w:t>
      </w:r>
      <w:r w:rsidRPr="00D961FD">
        <w:rPr>
          <w:rFonts w:ascii="Book Antiqua" w:eastAsia="宋体" w:hAnsi="Book Antiqua" w:cs="宋体"/>
          <w:kern w:val="0"/>
          <w:sz w:val="24"/>
          <w:szCs w:val="24"/>
        </w:rPr>
        <w:t>: 428-432 [PMID: 7234820]</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lastRenderedPageBreak/>
        <w:t>8 </w:t>
      </w:r>
      <w:r w:rsidRPr="00D961FD">
        <w:rPr>
          <w:rFonts w:ascii="Book Antiqua" w:eastAsia="宋体" w:hAnsi="Book Antiqua" w:cs="宋体"/>
          <w:b/>
          <w:bCs/>
          <w:kern w:val="0"/>
          <w:sz w:val="24"/>
          <w:szCs w:val="24"/>
        </w:rPr>
        <w:t>Czaja AJ</w:t>
      </w:r>
      <w:r w:rsidRPr="00D961FD">
        <w:rPr>
          <w:rFonts w:ascii="Book Antiqua" w:eastAsia="宋体" w:hAnsi="Book Antiqua" w:cs="宋体"/>
          <w:kern w:val="0"/>
          <w:sz w:val="24"/>
          <w:szCs w:val="24"/>
        </w:rPr>
        <w:t>, Davis GL, Ludwig J, Taswell HF. Complete resolution of inflammatory activity following corticosteroid treatment of HBsAg-negative chronic active hepatitis. </w:t>
      </w:r>
      <w:r w:rsidRPr="00D961FD">
        <w:rPr>
          <w:rFonts w:ascii="Book Antiqua" w:eastAsia="宋体" w:hAnsi="Book Antiqua" w:cs="宋体"/>
          <w:i/>
          <w:iCs/>
          <w:kern w:val="0"/>
          <w:sz w:val="24"/>
          <w:szCs w:val="24"/>
        </w:rPr>
        <w:t>Hepatology</w:t>
      </w:r>
      <w:r w:rsidRPr="00D961FD">
        <w:rPr>
          <w:rFonts w:ascii="Book Antiqua" w:eastAsia="宋体" w:hAnsi="Book Antiqua" w:cs="宋体"/>
          <w:kern w:val="0"/>
          <w:sz w:val="24"/>
          <w:szCs w:val="24"/>
        </w:rPr>
        <w:t> </w:t>
      </w:r>
      <w:r w:rsidRPr="00D961FD">
        <w:rPr>
          <w:rFonts w:ascii="Book Antiqua" w:eastAsia="宋体" w:hAnsi="Book Antiqua" w:cs="宋体" w:hint="eastAsia"/>
          <w:kern w:val="0"/>
          <w:sz w:val="24"/>
          <w:szCs w:val="24"/>
        </w:rPr>
        <w:t>1984</w:t>
      </w:r>
      <w:r w:rsidRPr="00D961FD">
        <w:rPr>
          <w:rFonts w:ascii="Book Antiqua" w:eastAsia="宋体" w:hAnsi="Book Antiqua" w:cs="宋体"/>
          <w:kern w:val="0"/>
          <w:sz w:val="24"/>
          <w:szCs w:val="24"/>
        </w:rPr>
        <w:t>; </w:t>
      </w:r>
      <w:r w:rsidRPr="00D961FD">
        <w:rPr>
          <w:rFonts w:ascii="Book Antiqua" w:eastAsia="宋体" w:hAnsi="Book Antiqua" w:cs="宋体"/>
          <w:b/>
          <w:bCs/>
          <w:kern w:val="0"/>
          <w:sz w:val="24"/>
          <w:szCs w:val="24"/>
        </w:rPr>
        <w:t>4</w:t>
      </w:r>
      <w:r w:rsidRPr="00D961FD">
        <w:rPr>
          <w:rFonts w:ascii="Book Antiqua" w:eastAsia="宋体" w:hAnsi="Book Antiqua" w:cs="宋体"/>
          <w:kern w:val="0"/>
          <w:sz w:val="24"/>
          <w:szCs w:val="24"/>
        </w:rPr>
        <w:t>: 622-627 [PMID: 6745850]</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9 </w:t>
      </w:r>
      <w:r w:rsidRPr="00D961FD">
        <w:rPr>
          <w:rFonts w:ascii="Book Antiqua" w:eastAsia="宋体" w:hAnsi="Book Antiqua" w:cs="宋体"/>
          <w:b/>
          <w:bCs/>
          <w:kern w:val="0"/>
          <w:sz w:val="24"/>
          <w:szCs w:val="24"/>
        </w:rPr>
        <w:t>Poupon RE</w:t>
      </w:r>
      <w:r w:rsidRPr="00D961FD">
        <w:rPr>
          <w:rFonts w:ascii="Book Antiqua" w:eastAsia="宋体" w:hAnsi="Book Antiqua" w:cs="宋体"/>
          <w:kern w:val="0"/>
          <w:sz w:val="24"/>
          <w:szCs w:val="24"/>
        </w:rPr>
        <w:t>, Balkau B, Eschwège E, Poupon R. A multicenter, controlled trial of ursodiol for the treatment of primary biliary cirrhosis. UDCA-PBC Study Group. </w:t>
      </w:r>
      <w:r w:rsidRPr="00D961FD">
        <w:rPr>
          <w:rFonts w:ascii="Book Antiqua" w:eastAsia="宋体" w:hAnsi="Book Antiqua" w:cs="宋体"/>
          <w:i/>
          <w:iCs/>
          <w:kern w:val="0"/>
          <w:sz w:val="24"/>
          <w:szCs w:val="24"/>
        </w:rPr>
        <w:t>N Engl J Med</w:t>
      </w:r>
      <w:r w:rsidRPr="00D961FD">
        <w:rPr>
          <w:rFonts w:ascii="Book Antiqua" w:eastAsia="宋体" w:hAnsi="Book Antiqua" w:cs="宋体"/>
          <w:kern w:val="0"/>
          <w:sz w:val="24"/>
          <w:szCs w:val="24"/>
        </w:rPr>
        <w:t> 1991; </w:t>
      </w:r>
      <w:r w:rsidRPr="00D961FD">
        <w:rPr>
          <w:rFonts w:ascii="Book Antiqua" w:eastAsia="宋体" w:hAnsi="Book Antiqua" w:cs="宋体"/>
          <w:b/>
          <w:bCs/>
          <w:kern w:val="0"/>
          <w:sz w:val="24"/>
          <w:szCs w:val="24"/>
        </w:rPr>
        <w:t>324</w:t>
      </w:r>
      <w:r w:rsidRPr="00D961FD">
        <w:rPr>
          <w:rFonts w:ascii="Book Antiqua" w:eastAsia="宋体" w:hAnsi="Book Antiqua" w:cs="宋体"/>
          <w:kern w:val="0"/>
          <w:sz w:val="24"/>
          <w:szCs w:val="24"/>
        </w:rPr>
        <w:t>: 1548-1554 [PMID: 1674105 DOI: 10.1056/NEJM199105303242204]</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10 </w:t>
      </w:r>
      <w:r w:rsidRPr="00D961FD">
        <w:rPr>
          <w:rFonts w:ascii="Book Antiqua" w:eastAsia="宋体" w:hAnsi="Book Antiqua" w:cs="宋体"/>
          <w:b/>
          <w:bCs/>
          <w:kern w:val="0"/>
          <w:sz w:val="24"/>
          <w:szCs w:val="24"/>
        </w:rPr>
        <w:t>Poupon RE</w:t>
      </w:r>
      <w:r w:rsidRPr="00D961FD">
        <w:rPr>
          <w:rFonts w:ascii="Book Antiqua" w:eastAsia="宋体" w:hAnsi="Book Antiqua" w:cs="宋体"/>
          <w:kern w:val="0"/>
          <w:sz w:val="24"/>
          <w:szCs w:val="24"/>
        </w:rPr>
        <w:t>, Lindor KD, Cauch-Dudek K, Dickson ER, Poupon R, Heathcote EJ. Combined analysis of randomized controlled trials of ursodeoxycholic acid in primary biliary cirrhosis. </w:t>
      </w:r>
      <w:r w:rsidRPr="00D961FD">
        <w:rPr>
          <w:rFonts w:ascii="Book Antiqua" w:eastAsia="宋体" w:hAnsi="Book Antiqua" w:cs="宋体"/>
          <w:i/>
          <w:iCs/>
          <w:kern w:val="0"/>
          <w:sz w:val="24"/>
          <w:szCs w:val="24"/>
        </w:rPr>
        <w:t>Gastroenterology</w:t>
      </w:r>
      <w:r w:rsidRPr="00D961FD">
        <w:rPr>
          <w:rFonts w:ascii="Book Antiqua" w:eastAsia="宋体" w:hAnsi="Book Antiqua" w:cs="宋体"/>
          <w:kern w:val="0"/>
          <w:sz w:val="24"/>
          <w:szCs w:val="24"/>
        </w:rPr>
        <w:t> 1997; </w:t>
      </w:r>
      <w:r w:rsidRPr="00D961FD">
        <w:rPr>
          <w:rFonts w:ascii="Book Antiqua" w:eastAsia="宋体" w:hAnsi="Book Antiqua" w:cs="宋体"/>
          <w:b/>
          <w:bCs/>
          <w:kern w:val="0"/>
          <w:sz w:val="24"/>
          <w:szCs w:val="24"/>
        </w:rPr>
        <w:t>113</w:t>
      </w:r>
      <w:r w:rsidRPr="00D961FD">
        <w:rPr>
          <w:rFonts w:ascii="Book Antiqua" w:eastAsia="宋体" w:hAnsi="Book Antiqua" w:cs="宋体"/>
          <w:kern w:val="0"/>
          <w:sz w:val="24"/>
          <w:szCs w:val="24"/>
        </w:rPr>
        <w:t>: 884-890 [PMID: 9287980]</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11 </w:t>
      </w:r>
      <w:r w:rsidRPr="00D961FD">
        <w:rPr>
          <w:rFonts w:ascii="Book Antiqua" w:eastAsia="宋体" w:hAnsi="Book Antiqua" w:cs="宋体"/>
          <w:b/>
          <w:bCs/>
          <w:kern w:val="0"/>
          <w:sz w:val="24"/>
          <w:szCs w:val="24"/>
        </w:rPr>
        <w:t>Shi J</w:t>
      </w:r>
      <w:r w:rsidRPr="00D961FD">
        <w:rPr>
          <w:rFonts w:ascii="Book Antiqua" w:eastAsia="宋体" w:hAnsi="Book Antiqua" w:cs="宋体"/>
          <w:kern w:val="0"/>
          <w:sz w:val="24"/>
          <w:szCs w:val="24"/>
        </w:rPr>
        <w:t>, Wu C, Lin Y, Chen YX, Zhu L, Xie WF. Long-term effects of mid-dose ursodeoxycholic acid in primary biliary cirrhosis: a meta-analysis of randomized controlled trials. </w:t>
      </w:r>
      <w:r w:rsidRPr="00D961FD">
        <w:rPr>
          <w:rFonts w:ascii="Book Antiqua" w:eastAsia="宋体" w:hAnsi="Book Antiqua" w:cs="宋体"/>
          <w:i/>
          <w:iCs/>
          <w:kern w:val="0"/>
          <w:sz w:val="24"/>
          <w:szCs w:val="24"/>
        </w:rPr>
        <w:t>Am J Gastroenterol</w:t>
      </w:r>
      <w:r w:rsidRPr="00D961FD">
        <w:rPr>
          <w:rFonts w:ascii="Book Antiqua" w:eastAsia="宋体" w:hAnsi="Book Antiqua" w:cs="宋体"/>
          <w:kern w:val="0"/>
          <w:sz w:val="24"/>
          <w:szCs w:val="24"/>
        </w:rPr>
        <w:t> 2006; </w:t>
      </w:r>
      <w:r w:rsidRPr="00D961FD">
        <w:rPr>
          <w:rFonts w:ascii="Book Antiqua" w:eastAsia="宋体" w:hAnsi="Book Antiqua" w:cs="宋体"/>
          <w:b/>
          <w:bCs/>
          <w:kern w:val="0"/>
          <w:sz w:val="24"/>
          <w:szCs w:val="24"/>
        </w:rPr>
        <w:t>101</w:t>
      </w:r>
      <w:r w:rsidRPr="00D961FD">
        <w:rPr>
          <w:rFonts w:ascii="Book Antiqua" w:eastAsia="宋体" w:hAnsi="Book Antiqua" w:cs="宋体"/>
          <w:kern w:val="0"/>
          <w:sz w:val="24"/>
          <w:szCs w:val="24"/>
        </w:rPr>
        <w:t>: 1529-1538 [PMID: 16863557 DOI: 10.1111/j.1572-0241.2006.00634.x]</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12 </w:t>
      </w:r>
      <w:r w:rsidRPr="00D961FD">
        <w:rPr>
          <w:rFonts w:ascii="Book Antiqua" w:eastAsia="宋体" w:hAnsi="Book Antiqua" w:cs="宋体"/>
          <w:b/>
          <w:bCs/>
          <w:kern w:val="0"/>
          <w:sz w:val="24"/>
          <w:szCs w:val="24"/>
        </w:rPr>
        <w:t>Lindor KD</w:t>
      </w:r>
      <w:r w:rsidRPr="00D961FD">
        <w:rPr>
          <w:rFonts w:ascii="Book Antiqua" w:eastAsia="宋体" w:hAnsi="Book Antiqua" w:cs="宋体"/>
          <w:kern w:val="0"/>
          <w:sz w:val="24"/>
          <w:szCs w:val="24"/>
        </w:rPr>
        <w:t>, Dickson ER, Baldus WP, Jorgensen RA, Ludwig J, Murtaugh PA, Harrison JM, Wiesner RH, Anderson ML, Lange SM. Ursodeoxycholic acid in the treatment of primary biliary cirrhosis. </w:t>
      </w:r>
      <w:r w:rsidRPr="00D961FD">
        <w:rPr>
          <w:rFonts w:ascii="Book Antiqua" w:eastAsia="宋体" w:hAnsi="Book Antiqua" w:cs="宋体"/>
          <w:i/>
          <w:iCs/>
          <w:kern w:val="0"/>
          <w:sz w:val="24"/>
          <w:szCs w:val="24"/>
        </w:rPr>
        <w:t>Gastroenterology</w:t>
      </w:r>
      <w:r w:rsidRPr="00D961FD">
        <w:rPr>
          <w:rFonts w:ascii="Book Antiqua" w:eastAsia="宋体" w:hAnsi="Book Antiqua" w:cs="宋体"/>
          <w:kern w:val="0"/>
          <w:sz w:val="24"/>
          <w:szCs w:val="24"/>
        </w:rPr>
        <w:t> 1994; </w:t>
      </w:r>
      <w:r w:rsidRPr="00D961FD">
        <w:rPr>
          <w:rFonts w:ascii="Book Antiqua" w:eastAsia="宋体" w:hAnsi="Book Antiqua" w:cs="宋体"/>
          <w:b/>
          <w:bCs/>
          <w:kern w:val="0"/>
          <w:sz w:val="24"/>
          <w:szCs w:val="24"/>
        </w:rPr>
        <w:t>106</w:t>
      </w:r>
      <w:r w:rsidRPr="00D961FD">
        <w:rPr>
          <w:rFonts w:ascii="Book Antiqua" w:eastAsia="宋体" w:hAnsi="Book Antiqua" w:cs="宋体"/>
          <w:kern w:val="0"/>
          <w:sz w:val="24"/>
          <w:szCs w:val="24"/>
        </w:rPr>
        <w:t>: 1284-1290 [PMID: 8174890]</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13 </w:t>
      </w:r>
      <w:r w:rsidRPr="00D961FD">
        <w:rPr>
          <w:rFonts w:ascii="Book Antiqua" w:eastAsia="宋体" w:hAnsi="Book Antiqua" w:cs="宋体"/>
          <w:b/>
          <w:bCs/>
          <w:kern w:val="0"/>
          <w:sz w:val="24"/>
          <w:szCs w:val="24"/>
        </w:rPr>
        <w:t>Miyake Y</w:t>
      </w:r>
      <w:r w:rsidRPr="00D961FD">
        <w:rPr>
          <w:rFonts w:ascii="Book Antiqua" w:eastAsia="宋体" w:hAnsi="Book Antiqua" w:cs="宋体"/>
          <w:kern w:val="0"/>
          <w:sz w:val="24"/>
          <w:szCs w:val="24"/>
        </w:rPr>
        <w:t>, Iwasaki Y, Kobashi H, Yasunaka T, Ikeda F, Takaki A, Okamoto R, Takaguchi K, Ikeda H, Makino Y, Ando M, Sakaguchi K, Yamamoto K. Efficacy of ursodeoxycholic acid for Japanese patients with autoimmune hepatitis. </w:t>
      </w:r>
      <w:r w:rsidRPr="00D961FD">
        <w:rPr>
          <w:rFonts w:ascii="Book Antiqua" w:eastAsia="宋体" w:hAnsi="Book Antiqua" w:cs="宋体"/>
          <w:i/>
          <w:iCs/>
          <w:kern w:val="0"/>
          <w:sz w:val="24"/>
          <w:szCs w:val="24"/>
        </w:rPr>
        <w:t>Hepatol Int</w:t>
      </w:r>
      <w:r w:rsidRPr="00D961FD">
        <w:rPr>
          <w:rFonts w:ascii="Book Antiqua" w:eastAsia="宋体" w:hAnsi="Book Antiqua" w:cs="宋体"/>
          <w:kern w:val="0"/>
          <w:sz w:val="24"/>
          <w:szCs w:val="24"/>
        </w:rPr>
        <w:t> 2009; </w:t>
      </w:r>
      <w:r w:rsidRPr="00D961FD">
        <w:rPr>
          <w:rFonts w:ascii="Book Antiqua" w:eastAsia="宋体" w:hAnsi="Book Antiqua" w:cs="宋体"/>
          <w:b/>
          <w:bCs/>
          <w:kern w:val="0"/>
          <w:sz w:val="24"/>
          <w:szCs w:val="24"/>
        </w:rPr>
        <w:t>3</w:t>
      </w:r>
      <w:r w:rsidRPr="00D961FD">
        <w:rPr>
          <w:rFonts w:ascii="Book Antiqua" w:eastAsia="宋体" w:hAnsi="Book Antiqua" w:cs="宋体"/>
          <w:kern w:val="0"/>
          <w:sz w:val="24"/>
          <w:szCs w:val="24"/>
        </w:rPr>
        <w:t>: 556-562 [PMID: 19847577 DOI: 10.1007/s12072-009-9155-9]</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lastRenderedPageBreak/>
        <w:t>14 </w:t>
      </w:r>
      <w:r w:rsidRPr="00D961FD">
        <w:rPr>
          <w:rFonts w:ascii="Book Antiqua" w:eastAsia="宋体" w:hAnsi="Book Antiqua" w:cs="宋体"/>
          <w:b/>
          <w:bCs/>
          <w:kern w:val="0"/>
          <w:sz w:val="24"/>
          <w:szCs w:val="24"/>
        </w:rPr>
        <w:t>Nakamura K</w:t>
      </w:r>
      <w:r w:rsidRPr="00D961FD">
        <w:rPr>
          <w:rFonts w:ascii="Book Antiqua" w:eastAsia="宋体" w:hAnsi="Book Antiqua" w:cs="宋体"/>
          <w:kern w:val="0"/>
          <w:sz w:val="24"/>
          <w:szCs w:val="24"/>
        </w:rPr>
        <w:t>, Yoneda M, Yokohama S, Tamori K, Sato Y, Aso K, Aoshima M, Hasegawa T, Makino I. Efficacy of ursodeoxycholic acid in Japanese patients with type 1 autoimmune hepatitis. </w:t>
      </w:r>
      <w:r w:rsidRPr="00D961FD">
        <w:rPr>
          <w:rFonts w:ascii="Book Antiqua" w:eastAsia="宋体" w:hAnsi="Book Antiqua" w:cs="宋体"/>
          <w:i/>
          <w:iCs/>
          <w:kern w:val="0"/>
          <w:sz w:val="24"/>
          <w:szCs w:val="24"/>
        </w:rPr>
        <w:t>J Gastroenterol Hepatol</w:t>
      </w:r>
      <w:r w:rsidRPr="00D961FD">
        <w:rPr>
          <w:rFonts w:ascii="Book Antiqua" w:eastAsia="宋体" w:hAnsi="Book Antiqua" w:cs="宋体"/>
          <w:kern w:val="0"/>
          <w:sz w:val="24"/>
          <w:szCs w:val="24"/>
        </w:rPr>
        <w:t> 1998; </w:t>
      </w:r>
      <w:r w:rsidRPr="00D961FD">
        <w:rPr>
          <w:rFonts w:ascii="Book Antiqua" w:eastAsia="宋体" w:hAnsi="Book Antiqua" w:cs="宋体"/>
          <w:b/>
          <w:bCs/>
          <w:kern w:val="0"/>
          <w:sz w:val="24"/>
          <w:szCs w:val="24"/>
        </w:rPr>
        <w:t>13</w:t>
      </w:r>
      <w:r w:rsidRPr="00D961FD">
        <w:rPr>
          <w:rFonts w:ascii="Book Antiqua" w:eastAsia="宋体" w:hAnsi="Book Antiqua" w:cs="宋体"/>
          <w:kern w:val="0"/>
          <w:sz w:val="24"/>
          <w:szCs w:val="24"/>
        </w:rPr>
        <w:t>: 490-495 [PMID: 9641646]</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15 </w:t>
      </w:r>
      <w:r w:rsidRPr="00D961FD">
        <w:rPr>
          <w:rFonts w:ascii="Book Antiqua" w:eastAsia="宋体" w:hAnsi="Book Antiqua" w:cs="宋体"/>
          <w:b/>
          <w:bCs/>
          <w:kern w:val="0"/>
          <w:sz w:val="24"/>
          <w:szCs w:val="24"/>
        </w:rPr>
        <w:t>Czaja AJ</w:t>
      </w:r>
      <w:r w:rsidRPr="00D961FD">
        <w:rPr>
          <w:rFonts w:ascii="Book Antiqua" w:eastAsia="宋体" w:hAnsi="Book Antiqua" w:cs="宋体"/>
          <w:kern w:val="0"/>
          <w:sz w:val="24"/>
          <w:szCs w:val="24"/>
        </w:rPr>
        <w:t>, Carpenter HA, Lindor KD. Ursodeoxycholic acid as adjunctive therapy for problematic type 1 autoimmune hepatitis: a randomized placebo-controlled treatment trial. </w:t>
      </w:r>
      <w:r w:rsidRPr="00D961FD">
        <w:rPr>
          <w:rFonts w:ascii="Book Antiqua" w:eastAsia="宋体" w:hAnsi="Book Antiqua" w:cs="宋体"/>
          <w:i/>
          <w:iCs/>
          <w:kern w:val="0"/>
          <w:sz w:val="24"/>
          <w:szCs w:val="24"/>
        </w:rPr>
        <w:t>Hepatology</w:t>
      </w:r>
      <w:r w:rsidRPr="00D961FD">
        <w:rPr>
          <w:rFonts w:ascii="Book Antiqua" w:eastAsia="宋体" w:hAnsi="Book Antiqua" w:cs="宋体"/>
          <w:kern w:val="0"/>
          <w:sz w:val="24"/>
          <w:szCs w:val="24"/>
        </w:rPr>
        <w:t> 1999; </w:t>
      </w:r>
      <w:r w:rsidRPr="00D961FD">
        <w:rPr>
          <w:rFonts w:ascii="Book Antiqua" w:eastAsia="宋体" w:hAnsi="Book Antiqua" w:cs="宋体"/>
          <w:b/>
          <w:bCs/>
          <w:kern w:val="0"/>
          <w:sz w:val="24"/>
          <w:szCs w:val="24"/>
        </w:rPr>
        <w:t>30</w:t>
      </w:r>
      <w:r w:rsidRPr="00D961FD">
        <w:rPr>
          <w:rFonts w:ascii="Book Antiqua" w:eastAsia="宋体" w:hAnsi="Book Antiqua" w:cs="宋体"/>
          <w:kern w:val="0"/>
          <w:sz w:val="24"/>
          <w:szCs w:val="24"/>
        </w:rPr>
        <w:t>: 1381-1386 [PMID: 10573515 DOI: 10.1002/hep.510300603]</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16 </w:t>
      </w:r>
      <w:r w:rsidRPr="00D961FD">
        <w:rPr>
          <w:rFonts w:ascii="Book Antiqua" w:eastAsia="宋体" w:hAnsi="Book Antiqua" w:cs="宋体"/>
          <w:b/>
          <w:bCs/>
          <w:kern w:val="0"/>
          <w:sz w:val="24"/>
          <w:szCs w:val="24"/>
        </w:rPr>
        <w:t>Alvarez F</w:t>
      </w:r>
      <w:r w:rsidRPr="00D961FD">
        <w:rPr>
          <w:rFonts w:ascii="Book Antiqua" w:eastAsia="宋体" w:hAnsi="Book Antiqua" w:cs="宋体"/>
          <w:kern w:val="0"/>
          <w:sz w:val="24"/>
          <w:szCs w:val="24"/>
        </w:rPr>
        <w:t>,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International Autoimmune Hepatitis Group Report: review of criteria for diagnosis of autoimmune hepatitis. </w:t>
      </w:r>
      <w:r w:rsidRPr="00D961FD">
        <w:rPr>
          <w:rFonts w:ascii="Book Antiqua" w:eastAsia="宋体" w:hAnsi="Book Antiqua" w:cs="宋体"/>
          <w:i/>
          <w:iCs/>
          <w:kern w:val="0"/>
          <w:sz w:val="24"/>
          <w:szCs w:val="24"/>
        </w:rPr>
        <w:t>J Hepatol</w:t>
      </w:r>
      <w:r w:rsidRPr="00D961FD">
        <w:rPr>
          <w:rFonts w:ascii="Book Antiqua" w:eastAsia="宋体" w:hAnsi="Book Antiqua" w:cs="宋体"/>
          <w:kern w:val="0"/>
          <w:sz w:val="24"/>
          <w:szCs w:val="24"/>
        </w:rPr>
        <w:t> 1999; </w:t>
      </w:r>
      <w:r w:rsidRPr="00D961FD">
        <w:rPr>
          <w:rFonts w:ascii="Book Antiqua" w:eastAsia="宋体" w:hAnsi="Book Antiqua" w:cs="宋体"/>
          <w:b/>
          <w:bCs/>
          <w:kern w:val="0"/>
          <w:sz w:val="24"/>
          <w:szCs w:val="24"/>
        </w:rPr>
        <w:t>31</w:t>
      </w:r>
      <w:r w:rsidRPr="00D961FD">
        <w:rPr>
          <w:rFonts w:ascii="Book Antiqua" w:eastAsia="宋体" w:hAnsi="Book Antiqua" w:cs="宋体"/>
          <w:kern w:val="0"/>
          <w:sz w:val="24"/>
          <w:szCs w:val="24"/>
        </w:rPr>
        <w:t>: 929-938 [PMID: 10580593 DOI: 10.1016/S0168-8278(99)80297-9]</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17</w:t>
      </w:r>
      <w:r w:rsidRPr="00D961FD">
        <w:rPr>
          <w:rFonts w:ascii="Book Antiqua" w:eastAsia="宋体" w:hAnsi="Book Antiqua" w:cs="宋体" w:hint="eastAsia"/>
          <w:kern w:val="0"/>
          <w:sz w:val="24"/>
          <w:szCs w:val="24"/>
        </w:rPr>
        <w:t xml:space="preserve"> </w:t>
      </w:r>
      <w:r w:rsidRPr="00D961FD">
        <w:rPr>
          <w:rFonts w:ascii="Book Antiqua" w:eastAsia="宋体" w:hAnsi="Book Antiqua" w:cs="宋体"/>
          <w:b/>
          <w:kern w:val="0"/>
          <w:sz w:val="24"/>
          <w:szCs w:val="24"/>
        </w:rPr>
        <w:t>Hennes EM</w:t>
      </w:r>
      <w:r w:rsidRPr="00D961FD">
        <w:rPr>
          <w:rFonts w:ascii="Book Antiqua" w:eastAsia="宋体" w:hAnsi="Book Antiqua" w:cs="宋体"/>
          <w:kern w:val="0"/>
          <w:sz w:val="24"/>
          <w:szCs w:val="24"/>
        </w:rPr>
        <w:t xml:space="preserve">, Zeniya M, Czaja AJ, </w:t>
      </w:r>
      <w:r w:rsidRPr="00D961FD">
        <w:rPr>
          <w:rFonts w:ascii="Book Antiqua" w:eastAsia="宋体" w:hAnsi="Book Antiqua" w:cs="Times New Roman"/>
          <w:noProof/>
          <w:kern w:val="0"/>
          <w:sz w:val="24"/>
          <w:szCs w:val="24"/>
          <w:lang w:val="fr-FR" w:eastAsia="fr-FR"/>
        </w:rPr>
        <w:t>Parés A,</w:t>
      </w:r>
      <w:r w:rsidRPr="00D961FD">
        <w:rPr>
          <w:rFonts w:ascii="Book Antiqua" w:eastAsia="宋体" w:hAnsi="Book Antiqua" w:cs="宋体"/>
          <w:kern w:val="0"/>
          <w:sz w:val="24"/>
          <w:szCs w:val="24"/>
        </w:rPr>
        <w:t xml:space="preserve"> Dalekos GN, Krawitt EL, Bittencourt PL, Porta G, Boberg KM, Hofer H, Bianchi FB, Shibata M, Schramm C, Eisenmann de Torres B, Galle PR, McFarlane I, Dienes H, Lohse AW. Simplified criteria for the diagnosis of autoimmune hepatitis. </w:t>
      </w:r>
      <w:r w:rsidRPr="00D961FD">
        <w:rPr>
          <w:rFonts w:ascii="Book Antiqua" w:eastAsia="宋体" w:hAnsi="Book Antiqua" w:cs="宋体"/>
          <w:i/>
          <w:kern w:val="0"/>
          <w:sz w:val="24"/>
          <w:szCs w:val="24"/>
        </w:rPr>
        <w:t>Hepatology</w:t>
      </w:r>
      <w:r w:rsidRPr="00D961FD">
        <w:rPr>
          <w:rFonts w:ascii="Book Antiqua" w:eastAsia="宋体" w:hAnsi="Book Antiqua" w:cs="宋体"/>
          <w:kern w:val="0"/>
          <w:sz w:val="24"/>
          <w:szCs w:val="24"/>
        </w:rPr>
        <w:t xml:space="preserve"> 2008; </w:t>
      </w:r>
      <w:r w:rsidRPr="00D961FD">
        <w:rPr>
          <w:rFonts w:ascii="Book Antiqua" w:eastAsia="宋体" w:hAnsi="Book Antiqua" w:cs="宋体"/>
          <w:b/>
          <w:kern w:val="0"/>
          <w:sz w:val="24"/>
          <w:szCs w:val="24"/>
        </w:rPr>
        <w:t>48</w:t>
      </w:r>
      <w:r w:rsidRPr="00D961FD">
        <w:rPr>
          <w:rFonts w:ascii="Book Antiqua" w:eastAsia="宋体" w:hAnsi="Book Antiqua" w:cs="宋体"/>
          <w:kern w:val="0"/>
          <w:sz w:val="24"/>
          <w:szCs w:val="24"/>
        </w:rPr>
        <w:t>: 169</w:t>
      </w:r>
      <w:r w:rsidRPr="00D961FD">
        <w:rPr>
          <w:rFonts w:ascii="Book Antiqua" w:eastAsia="宋体" w:hAnsi="Book Antiqua" w:cs="宋体" w:hint="eastAsia"/>
          <w:kern w:val="0"/>
          <w:sz w:val="24"/>
          <w:szCs w:val="24"/>
        </w:rPr>
        <w:t>-1</w:t>
      </w:r>
      <w:r w:rsidRPr="00D961FD">
        <w:rPr>
          <w:rFonts w:ascii="Book Antiqua" w:eastAsia="宋体" w:hAnsi="Book Antiqua" w:cs="宋体"/>
          <w:kern w:val="0"/>
          <w:sz w:val="24"/>
          <w:szCs w:val="24"/>
        </w:rPr>
        <w:t>76 [PMID: 18537184DOI: 10.1002/hep.22322]</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18 </w:t>
      </w:r>
      <w:r w:rsidRPr="00D961FD">
        <w:rPr>
          <w:rFonts w:ascii="Book Antiqua" w:eastAsia="宋体" w:hAnsi="Book Antiqua" w:cs="宋体"/>
          <w:b/>
          <w:bCs/>
          <w:kern w:val="0"/>
          <w:sz w:val="24"/>
          <w:szCs w:val="24"/>
        </w:rPr>
        <w:t>Desmet VJ</w:t>
      </w:r>
      <w:r w:rsidRPr="00D961FD">
        <w:rPr>
          <w:rFonts w:ascii="Book Antiqua" w:eastAsia="宋体" w:hAnsi="Book Antiqua" w:cs="宋体"/>
          <w:kern w:val="0"/>
          <w:sz w:val="24"/>
          <w:szCs w:val="24"/>
        </w:rPr>
        <w:t>, Gerber M, Hoofnagle JH, Manns M, Scheuer PJ. Classification of chronic hepatitis: diagnosis, grading and staging. </w:t>
      </w:r>
      <w:r w:rsidRPr="00D961FD">
        <w:rPr>
          <w:rFonts w:ascii="Book Antiqua" w:eastAsia="宋体" w:hAnsi="Book Antiqua" w:cs="宋体"/>
          <w:i/>
          <w:iCs/>
          <w:kern w:val="0"/>
          <w:sz w:val="24"/>
          <w:szCs w:val="24"/>
        </w:rPr>
        <w:t>Hepatology</w:t>
      </w:r>
      <w:r w:rsidRPr="00D961FD">
        <w:rPr>
          <w:rFonts w:ascii="Book Antiqua" w:eastAsia="宋体" w:hAnsi="Book Antiqua" w:cs="宋体"/>
          <w:kern w:val="0"/>
          <w:sz w:val="24"/>
          <w:szCs w:val="24"/>
        </w:rPr>
        <w:t> 1994; </w:t>
      </w:r>
      <w:r w:rsidRPr="00D961FD">
        <w:rPr>
          <w:rFonts w:ascii="Book Antiqua" w:eastAsia="宋体" w:hAnsi="Book Antiqua" w:cs="宋体"/>
          <w:b/>
          <w:bCs/>
          <w:kern w:val="0"/>
          <w:sz w:val="24"/>
          <w:szCs w:val="24"/>
        </w:rPr>
        <w:t>19</w:t>
      </w:r>
      <w:r w:rsidRPr="00D961FD">
        <w:rPr>
          <w:rFonts w:ascii="Book Antiqua" w:eastAsia="宋体" w:hAnsi="Book Antiqua" w:cs="宋体"/>
          <w:kern w:val="0"/>
          <w:sz w:val="24"/>
          <w:szCs w:val="24"/>
        </w:rPr>
        <w:t>: 1513-1520 [PMID: 8188183]</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lastRenderedPageBreak/>
        <w:t>19 </w:t>
      </w:r>
      <w:r w:rsidRPr="00D961FD">
        <w:rPr>
          <w:rFonts w:ascii="Book Antiqua" w:eastAsia="宋体" w:hAnsi="Book Antiqua" w:cs="宋体"/>
          <w:b/>
          <w:bCs/>
          <w:kern w:val="0"/>
          <w:sz w:val="24"/>
          <w:szCs w:val="24"/>
        </w:rPr>
        <w:t>Jazrawi RP</w:t>
      </w:r>
      <w:r w:rsidRPr="00D961FD">
        <w:rPr>
          <w:rFonts w:ascii="Book Antiqua" w:eastAsia="宋体" w:hAnsi="Book Antiqua" w:cs="宋体"/>
          <w:kern w:val="0"/>
          <w:sz w:val="24"/>
          <w:szCs w:val="24"/>
        </w:rPr>
        <w:t>, de Caestecker JS, Goggin PM, Britten AJ, Joseph AE, Maxwell JD, Northfield TC. Kinetics of hepatic bile acid handling in cholestatic liver disease: effect of ursodeoxycholic acid. </w:t>
      </w:r>
      <w:r w:rsidRPr="00D961FD">
        <w:rPr>
          <w:rFonts w:ascii="Book Antiqua" w:eastAsia="宋体" w:hAnsi="Book Antiqua" w:cs="宋体"/>
          <w:i/>
          <w:iCs/>
          <w:kern w:val="0"/>
          <w:sz w:val="24"/>
          <w:szCs w:val="24"/>
        </w:rPr>
        <w:t>Gastroenterology</w:t>
      </w:r>
      <w:r w:rsidRPr="00D961FD">
        <w:rPr>
          <w:rFonts w:ascii="Book Antiqua" w:eastAsia="宋体" w:hAnsi="Book Antiqua" w:cs="宋体"/>
          <w:kern w:val="0"/>
          <w:sz w:val="24"/>
          <w:szCs w:val="24"/>
        </w:rPr>
        <w:t> 1994; </w:t>
      </w:r>
      <w:r w:rsidRPr="00D961FD">
        <w:rPr>
          <w:rFonts w:ascii="Book Antiqua" w:eastAsia="宋体" w:hAnsi="Book Antiqua" w:cs="宋体"/>
          <w:b/>
          <w:bCs/>
          <w:kern w:val="0"/>
          <w:sz w:val="24"/>
          <w:szCs w:val="24"/>
        </w:rPr>
        <w:t>106</w:t>
      </w:r>
      <w:r w:rsidRPr="00D961FD">
        <w:rPr>
          <w:rFonts w:ascii="Book Antiqua" w:eastAsia="宋体" w:hAnsi="Book Antiqua" w:cs="宋体"/>
          <w:kern w:val="0"/>
          <w:sz w:val="24"/>
          <w:szCs w:val="24"/>
        </w:rPr>
        <w:t>: 134-142 [PMID: 8276175]</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20 </w:t>
      </w:r>
      <w:r w:rsidRPr="00D961FD">
        <w:rPr>
          <w:rFonts w:ascii="Book Antiqua" w:eastAsia="宋体" w:hAnsi="Book Antiqua" w:cs="宋体"/>
          <w:b/>
          <w:bCs/>
          <w:kern w:val="0"/>
          <w:sz w:val="24"/>
          <w:szCs w:val="24"/>
        </w:rPr>
        <w:t>Lazaridis KN</w:t>
      </w:r>
      <w:r w:rsidRPr="00D961FD">
        <w:rPr>
          <w:rFonts w:ascii="Book Antiqua" w:eastAsia="宋体" w:hAnsi="Book Antiqua" w:cs="宋体"/>
          <w:kern w:val="0"/>
          <w:sz w:val="24"/>
          <w:szCs w:val="24"/>
        </w:rPr>
        <w:t>, Gores GJ, Lindor KD. Ursodeoxycholic acid 'mechanisms of action and clinical use in hepatobiliary disorders'. </w:t>
      </w:r>
      <w:r w:rsidRPr="00D961FD">
        <w:rPr>
          <w:rFonts w:ascii="Book Antiqua" w:eastAsia="宋体" w:hAnsi="Book Antiqua" w:cs="宋体"/>
          <w:i/>
          <w:iCs/>
          <w:kern w:val="0"/>
          <w:sz w:val="24"/>
          <w:szCs w:val="24"/>
        </w:rPr>
        <w:t>J Hepatol</w:t>
      </w:r>
      <w:r w:rsidRPr="00D961FD">
        <w:rPr>
          <w:rFonts w:ascii="Book Antiqua" w:eastAsia="宋体" w:hAnsi="Book Antiqua" w:cs="宋体"/>
          <w:kern w:val="0"/>
          <w:sz w:val="24"/>
          <w:szCs w:val="24"/>
        </w:rPr>
        <w:t> 2001; </w:t>
      </w:r>
      <w:r w:rsidRPr="00D961FD">
        <w:rPr>
          <w:rFonts w:ascii="Book Antiqua" w:eastAsia="宋体" w:hAnsi="Book Antiqua" w:cs="宋体"/>
          <w:b/>
          <w:bCs/>
          <w:kern w:val="0"/>
          <w:sz w:val="24"/>
          <w:szCs w:val="24"/>
        </w:rPr>
        <w:t>35</w:t>
      </w:r>
      <w:r w:rsidRPr="00D961FD">
        <w:rPr>
          <w:rFonts w:ascii="Book Antiqua" w:eastAsia="宋体" w:hAnsi="Book Antiqua" w:cs="宋体"/>
          <w:kern w:val="0"/>
          <w:sz w:val="24"/>
          <w:szCs w:val="24"/>
        </w:rPr>
        <w:t>: 134-146 [PMID: 11495032 DOI: 10.1016/S0168-8278(01)00092-7]</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21 </w:t>
      </w:r>
      <w:r w:rsidRPr="00D961FD">
        <w:rPr>
          <w:rFonts w:ascii="Book Antiqua" w:eastAsia="宋体" w:hAnsi="Book Antiqua" w:cs="宋体"/>
          <w:b/>
          <w:bCs/>
          <w:kern w:val="0"/>
          <w:sz w:val="24"/>
          <w:szCs w:val="24"/>
        </w:rPr>
        <w:t>Kisand KE</w:t>
      </w:r>
      <w:r w:rsidRPr="00D961FD">
        <w:rPr>
          <w:rFonts w:ascii="Book Antiqua" w:eastAsia="宋体" w:hAnsi="Book Antiqua" w:cs="宋体"/>
          <w:kern w:val="0"/>
          <w:sz w:val="24"/>
          <w:szCs w:val="24"/>
        </w:rPr>
        <w:t>, Karvonen AL, Vuoristo M, Färkkilä M, Lehtola J, Inkovaara J, Kisand KV, Miettinen T, Krohn K, Uibo R. Ursodeoxycholic acid treatment lowers the serum level of antibodies against pyruvate dehydrogenase and influences their inhibitory capacity for the enzyme complex in patients with primary biliary cirrhosis. </w:t>
      </w:r>
      <w:r w:rsidRPr="00D961FD">
        <w:rPr>
          <w:rFonts w:ascii="Book Antiqua" w:eastAsia="宋体" w:hAnsi="Book Antiqua" w:cs="宋体"/>
          <w:i/>
          <w:iCs/>
          <w:kern w:val="0"/>
          <w:sz w:val="24"/>
          <w:szCs w:val="24"/>
        </w:rPr>
        <w:t>J Mol Med (Berl)</w:t>
      </w:r>
      <w:r w:rsidRPr="00D961FD">
        <w:rPr>
          <w:rFonts w:ascii="Book Antiqua" w:eastAsia="宋体" w:hAnsi="Book Antiqua" w:cs="宋体"/>
          <w:kern w:val="0"/>
          <w:sz w:val="24"/>
          <w:szCs w:val="24"/>
        </w:rPr>
        <w:t> 1996; </w:t>
      </w:r>
      <w:r w:rsidRPr="00D961FD">
        <w:rPr>
          <w:rFonts w:ascii="Book Antiqua" w:eastAsia="宋体" w:hAnsi="Book Antiqua" w:cs="宋体"/>
          <w:b/>
          <w:bCs/>
          <w:kern w:val="0"/>
          <w:sz w:val="24"/>
          <w:szCs w:val="24"/>
        </w:rPr>
        <w:t>74</w:t>
      </w:r>
      <w:r w:rsidRPr="00D961FD">
        <w:rPr>
          <w:rFonts w:ascii="Book Antiqua" w:eastAsia="宋体" w:hAnsi="Book Antiqua" w:cs="宋体"/>
          <w:kern w:val="0"/>
          <w:sz w:val="24"/>
          <w:szCs w:val="24"/>
        </w:rPr>
        <w:t>: 269-272 [PMID: 8773263]</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22 </w:t>
      </w:r>
      <w:r w:rsidRPr="00D961FD">
        <w:rPr>
          <w:rFonts w:ascii="Book Antiqua" w:eastAsia="宋体" w:hAnsi="Book Antiqua" w:cs="宋体"/>
          <w:b/>
          <w:bCs/>
          <w:kern w:val="0"/>
          <w:sz w:val="24"/>
          <w:szCs w:val="24"/>
        </w:rPr>
        <w:t>Yoshikawa M</w:t>
      </w:r>
      <w:r w:rsidRPr="00D961FD">
        <w:rPr>
          <w:rFonts w:ascii="Book Antiqua" w:eastAsia="宋体" w:hAnsi="Book Antiqua" w:cs="宋体"/>
          <w:kern w:val="0"/>
          <w:sz w:val="24"/>
          <w:szCs w:val="24"/>
        </w:rPr>
        <w:t>, Tsujii T, Matsumura K, Yamao J, Matsumura Y, Kubo R, Fukui H, Ishizaka S. Immunomodulatory effects of ursodeoxycholic acid on immune responses. </w:t>
      </w:r>
      <w:r w:rsidRPr="00D961FD">
        <w:rPr>
          <w:rFonts w:ascii="Book Antiqua" w:eastAsia="宋体" w:hAnsi="Book Antiqua" w:cs="宋体"/>
          <w:i/>
          <w:iCs/>
          <w:kern w:val="0"/>
          <w:sz w:val="24"/>
          <w:szCs w:val="24"/>
        </w:rPr>
        <w:t>Hepatology</w:t>
      </w:r>
      <w:r w:rsidRPr="00D961FD">
        <w:rPr>
          <w:rFonts w:ascii="Book Antiqua" w:eastAsia="宋体" w:hAnsi="Book Antiqua" w:cs="宋体"/>
          <w:kern w:val="0"/>
          <w:sz w:val="24"/>
          <w:szCs w:val="24"/>
        </w:rPr>
        <w:t> 1992; </w:t>
      </w:r>
      <w:r w:rsidRPr="00D961FD">
        <w:rPr>
          <w:rFonts w:ascii="Book Antiqua" w:eastAsia="宋体" w:hAnsi="Book Antiqua" w:cs="宋体"/>
          <w:b/>
          <w:bCs/>
          <w:kern w:val="0"/>
          <w:sz w:val="24"/>
          <w:szCs w:val="24"/>
        </w:rPr>
        <w:t>16</w:t>
      </w:r>
      <w:r w:rsidRPr="00D961FD">
        <w:rPr>
          <w:rFonts w:ascii="Book Antiqua" w:eastAsia="宋体" w:hAnsi="Book Antiqua" w:cs="宋体"/>
          <w:kern w:val="0"/>
          <w:sz w:val="24"/>
          <w:szCs w:val="24"/>
        </w:rPr>
        <w:t>: 358-364 [PMID: 1639344]</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23 </w:t>
      </w:r>
      <w:r w:rsidRPr="00D961FD">
        <w:rPr>
          <w:rFonts w:ascii="Book Antiqua" w:eastAsia="宋体" w:hAnsi="Book Antiqua" w:cs="宋体"/>
          <w:b/>
          <w:bCs/>
          <w:kern w:val="0"/>
          <w:sz w:val="24"/>
          <w:szCs w:val="24"/>
        </w:rPr>
        <w:t>De Groote J</w:t>
      </w:r>
      <w:r w:rsidRPr="00D961FD">
        <w:rPr>
          <w:rFonts w:ascii="Book Antiqua" w:eastAsia="宋体" w:hAnsi="Book Antiqua" w:cs="宋体"/>
          <w:kern w:val="0"/>
          <w:sz w:val="24"/>
          <w:szCs w:val="24"/>
        </w:rPr>
        <w:t>, Fevery J, Lepoutre L. Long-term follow-up of chronic active hepatitis of moderate severity. </w:t>
      </w:r>
      <w:r w:rsidRPr="00D961FD">
        <w:rPr>
          <w:rFonts w:ascii="Book Antiqua" w:eastAsia="宋体" w:hAnsi="Book Antiqua" w:cs="宋体"/>
          <w:i/>
          <w:iCs/>
          <w:kern w:val="0"/>
          <w:sz w:val="24"/>
          <w:szCs w:val="24"/>
        </w:rPr>
        <w:t>Gut</w:t>
      </w:r>
      <w:r w:rsidRPr="00D961FD">
        <w:rPr>
          <w:rFonts w:ascii="Book Antiqua" w:eastAsia="宋体" w:hAnsi="Book Antiqua" w:cs="宋体"/>
          <w:kern w:val="0"/>
          <w:sz w:val="24"/>
          <w:szCs w:val="24"/>
        </w:rPr>
        <w:t> 1978; </w:t>
      </w:r>
      <w:r w:rsidRPr="00D961FD">
        <w:rPr>
          <w:rFonts w:ascii="Book Antiqua" w:eastAsia="宋体" w:hAnsi="Book Antiqua" w:cs="宋体"/>
          <w:b/>
          <w:bCs/>
          <w:kern w:val="0"/>
          <w:sz w:val="24"/>
          <w:szCs w:val="24"/>
        </w:rPr>
        <w:t>19</w:t>
      </w:r>
      <w:r w:rsidRPr="00D961FD">
        <w:rPr>
          <w:rFonts w:ascii="Book Antiqua" w:eastAsia="宋体" w:hAnsi="Book Antiqua" w:cs="宋体"/>
          <w:kern w:val="0"/>
          <w:sz w:val="24"/>
          <w:szCs w:val="24"/>
        </w:rPr>
        <w:t>: 510-513 [PMID: 680585]</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24 </w:t>
      </w:r>
      <w:r w:rsidRPr="00D961FD">
        <w:rPr>
          <w:rFonts w:ascii="Book Antiqua" w:eastAsia="宋体" w:hAnsi="Book Antiqua" w:cs="宋体"/>
          <w:b/>
          <w:bCs/>
          <w:kern w:val="0"/>
          <w:sz w:val="24"/>
          <w:szCs w:val="24"/>
        </w:rPr>
        <w:t>Czaja AJ</w:t>
      </w:r>
      <w:r w:rsidRPr="00D961FD">
        <w:rPr>
          <w:rFonts w:ascii="Book Antiqua" w:eastAsia="宋体" w:hAnsi="Book Antiqua" w:cs="宋体"/>
          <w:kern w:val="0"/>
          <w:sz w:val="24"/>
          <w:szCs w:val="24"/>
        </w:rPr>
        <w:t>. Features and consequences of untreated type 1 autoimmune hepatitis. </w:t>
      </w:r>
      <w:r w:rsidRPr="00D961FD">
        <w:rPr>
          <w:rFonts w:ascii="Book Antiqua" w:eastAsia="宋体" w:hAnsi="Book Antiqua" w:cs="宋体"/>
          <w:i/>
          <w:iCs/>
          <w:kern w:val="0"/>
          <w:sz w:val="24"/>
          <w:szCs w:val="24"/>
        </w:rPr>
        <w:t>Liver Int</w:t>
      </w:r>
      <w:r w:rsidRPr="00D961FD">
        <w:rPr>
          <w:rFonts w:ascii="Book Antiqua" w:eastAsia="宋体" w:hAnsi="Book Antiqua" w:cs="宋体"/>
          <w:kern w:val="0"/>
          <w:sz w:val="24"/>
          <w:szCs w:val="24"/>
        </w:rPr>
        <w:t> 2009; </w:t>
      </w:r>
      <w:r w:rsidRPr="00D961FD">
        <w:rPr>
          <w:rFonts w:ascii="Book Antiqua" w:eastAsia="宋体" w:hAnsi="Book Antiqua" w:cs="宋体"/>
          <w:b/>
          <w:bCs/>
          <w:kern w:val="0"/>
          <w:sz w:val="24"/>
          <w:szCs w:val="24"/>
        </w:rPr>
        <w:t>29</w:t>
      </w:r>
      <w:r w:rsidRPr="00D961FD">
        <w:rPr>
          <w:rFonts w:ascii="Book Antiqua" w:eastAsia="宋体" w:hAnsi="Book Antiqua" w:cs="宋体"/>
          <w:kern w:val="0"/>
          <w:sz w:val="24"/>
          <w:szCs w:val="24"/>
        </w:rPr>
        <w:t>: 816-823 [PMID: 19018980 DOI: 10.1111/j.1478-3231.2008.01904.x]</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25 </w:t>
      </w:r>
      <w:r w:rsidRPr="00D961FD">
        <w:rPr>
          <w:rFonts w:ascii="Book Antiqua" w:eastAsia="宋体" w:hAnsi="Book Antiqua" w:cs="宋体"/>
          <w:b/>
          <w:bCs/>
          <w:kern w:val="0"/>
          <w:sz w:val="24"/>
          <w:szCs w:val="24"/>
        </w:rPr>
        <w:t>Feld JJ</w:t>
      </w:r>
      <w:r w:rsidRPr="00D961FD">
        <w:rPr>
          <w:rFonts w:ascii="Book Antiqua" w:eastAsia="宋体" w:hAnsi="Book Antiqua" w:cs="宋体"/>
          <w:kern w:val="0"/>
          <w:sz w:val="24"/>
          <w:szCs w:val="24"/>
        </w:rPr>
        <w:t>, Dinh H, Arenovich T, Marcus VA, Wanless IR, Heathcote EJ. Autoimmune hepatitis: effect of symptoms and cirrhosis on natural history and outcome. </w:t>
      </w:r>
      <w:r w:rsidRPr="00D961FD">
        <w:rPr>
          <w:rFonts w:ascii="Book Antiqua" w:eastAsia="宋体" w:hAnsi="Book Antiqua" w:cs="宋体"/>
          <w:i/>
          <w:iCs/>
          <w:kern w:val="0"/>
          <w:sz w:val="24"/>
          <w:szCs w:val="24"/>
        </w:rPr>
        <w:t>Hepatology</w:t>
      </w:r>
      <w:r w:rsidRPr="00D961FD">
        <w:rPr>
          <w:rFonts w:ascii="Book Antiqua" w:eastAsia="宋体" w:hAnsi="Book Antiqua" w:cs="宋体"/>
          <w:kern w:val="0"/>
          <w:sz w:val="24"/>
          <w:szCs w:val="24"/>
        </w:rPr>
        <w:t> 2005; </w:t>
      </w:r>
      <w:r w:rsidRPr="00D961FD">
        <w:rPr>
          <w:rFonts w:ascii="Book Antiqua" w:eastAsia="宋体" w:hAnsi="Book Antiqua" w:cs="宋体"/>
          <w:b/>
          <w:bCs/>
          <w:kern w:val="0"/>
          <w:sz w:val="24"/>
          <w:szCs w:val="24"/>
        </w:rPr>
        <w:t>42</w:t>
      </w:r>
      <w:r w:rsidRPr="00D961FD">
        <w:rPr>
          <w:rFonts w:ascii="Book Antiqua" w:eastAsia="宋体" w:hAnsi="Book Antiqua" w:cs="宋体"/>
          <w:kern w:val="0"/>
          <w:sz w:val="24"/>
          <w:szCs w:val="24"/>
        </w:rPr>
        <w:t>: 53-62 [PMID: 15954109 DOI: 10.1002/hep.20732]</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lastRenderedPageBreak/>
        <w:t>26 </w:t>
      </w:r>
      <w:r w:rsidRPr="00D961FD">
        <w:rPr>
          <w:rFonts w:ascii="Book Antiqua" w:eastAsia="宋体" w:hAnsi="Book Antiqua" w:cs="宋体"/>
          <w:b/>
          <w:bCs/>
          <w:kern w:val="0"/>
          <w:sz w:val="24"/>
          <w:szCs w:val="24"/>
        </w:rPr>
        <w:t>Kogan J</w:t>
      </w:r>
      <w:r w:rsidRPr="00D961FD">
        <w:rPr>
          <w:rFonts w:ascii="Book Antiqua" w:eastAsia="宋体" w:hAnsi="Book Antiqua" w:cs="宋体"/>
          <w:kern w:val="0"/>
          <w:sz w:val="24"/>
          <w:szCs w:val="24"/>
        </w:rPr>
        <w:t>, Safadi R, Ashur Y, Shouval D, Ilan Y. Prognosis of symptomatic versus asymptomatic autoimmune hepatitis: a study of 68 patients. </w:t>
      </w:r>
      <w:r w:rsidRPr="00D961FD">
        <w:rPr>
          <w:rFonts w:ascii="Book Antiqua" w:eastAsia="宋体" w:hAnsi="Book Antiqua" w:cs="宋体"/>
          <w:i/>
          <w:iCs/>
          <w:kern w:val="0"/>
          <w:sz w:val="24"/>
          <w:szCs w:val="24"/>
        </w:rPr>
        <w:t>J Clin Gastroenterol</w:t>
      </w:r>
      <w:r w:rsidRPr="00D961FD">
        <w:rPr>
          <w:rFonts w:ascii="Book Antiqua" w:eastAsia="宋体" w:hAnsi="Book Antiqua" w:cs="宋体"/>
          <w:kern w:val="0"/>
          <w:sz w:val="24"/>
          <w:szCs w:val="24"/>
        </w:rPr>
        <w:t> 2002; </w:t>
      </w:r>
      <w:r w:rsidRPr="00D961FD">
        <w:rPr>
          <w:rFonts w:ascii="Book Antiqua" w:eastAsia="宋体" w:hAnsi="Book Antiqua" w:cs="宋体"/>
          <w:b/>
          <w:bCs/>
          <w:kern w:val="0"/>
          <w:sz w:val="24"/>
          <w:szCs w:val="24"/>
        </w:rPr>
        <w:t>35</w:t>
      </w:r>
      <w:r w:rsidRPr="00D961FD">
        <w:rPr>
          <w:rFonts w:ascii="Book Antiqua" w:eastAsia="宋体" w:hAnsi="Book Antiqua" w:cs="宋体"/>
          <w:kern w:val="0"/>
          <w:sz w:val="24"/>
          <w:szCs w:val="24"/>
        </w:rPr>
        <w:t>: 75-81 [PMID: 12080231]</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27 </w:t>
      </w:r>
      <w:r w:rsidRPr="00D961FD">
        <w:rPr>
          <w:rFonts w:ascii="Book Antiqua" w:eastAsia="宋体" w:hAnsi="Book Antiqua" w:cs="宋体"/>
          <w:b/>
          <w:bCs/>
          <w:kern w:val="0"/>
          <w:sz w:val="24"/>
          <w:szCs w:val="24"/>
        </w:rPr>
        <w:t>Muratori P</w:t>
      </w:r>
      <w:r w:rsidRPr="00D961FD">
        <w:rPr>
          <w:rFonts w:ascii="Book Antiqua" w:eastAsia="宋体" w:hAnsi="Book Antiqua" w:cs="宋体"/>
          <w:kern w:val="0"/>
          <w:sz w:val="24"/>
          <w:szCs w:val="24"/>
        </w:rPr>
        <w:t>, Lalanne C, Barbato E, Fabbri A, Cassani F, Lenzi M, Muratori L. Features and Progression of Asymptomatic Autoimmune Hepatitis in Italy. </w:t>
      </w:r>
      <w:r w:rsidRPr="00D961FD">
        <w:rPr>
          <w:rFonts w:ascii="Book Antiqua" w:eastAsia="宋体" w:hAnsi="Book Antiqua" w:cs="宋体"/>
          <w:i/>
          <w:iCs/>
          <w:kern w:val="0"/>
          <w:sz w:val="24"/>
          <w:szCs w:val="24"/>
        </w:rPr>
        <w:t>Clin Gastroenterol Hepatol</w:t>
      </w:r>
      <w:r w:rsidRPr="00D961FD">
        <w:rPr>
          <w:rFonts w:ascii="Book Antiqua" w:eastAsia="宋体" w:hAnsi="Book Antiqua" w:cs="宋体"/>
          <w:kern w:val="0"/>
          <w:sz w:val="24"/>
          <w:szCs w:val="24"/>
        </w:rPr>
        <w:t> 2016; </w:t>
      </w:r>
      <w:r w:rsidRPr="00D961FD">
        <w:rPr>
          <w:rFonts w:ascii="Book Antiqua" w:eastAsia="宋体" w:hAnsi="Book Antiqua" w:cs="宋体"/>
          <w:b/>
          <w:bCs/>
          <w:kern w:val="0"/>
          <w:sz w:val="24"/>
          <w:szCs w:val="24"/>
        </w:rPr>
        <w:t>14</w:t>
      </w:r>
      <w:r w:rsidRPr="00D961FD">
        <w:rPr>
          <w:rFonts w:ascii="Book Antiqua" w:eastAsia="宋体" w:hAnsi="Book Antiqua" w:cs="宋体"/>
          <w:kern w:val="0"/>
          <w:sz w:val="24"/>
          <w:szCs w:val="24"/>
        </w:rPr>
        <w:t>: 139-146 [PMID: 26192146 DOI: 10.1016/j.cgh.2015.07.017]</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r w:rsidRPr="00D961FD">
        <w:rPr>
          <w:rFonts w:ascii="Book Antiqua" w:eastAsia="宋体" w:hAnsi="Book Antiqua" w:cs="宋体"/>
          <w:kern w:val="0"/>
          <w:sz w:val="24"/>
          <w:szCs w:val="24"/>
        </w:rPr>
        <w:t>28 </w:t>
      </w:r>
      <w:r w:rsidRPr="00D961FD">
        <w:rPr>
          <w:rFonts w:ascii="Book Antiqua" w:eastAsia="宋体" w:hAnsi="Book Antiqua" w:cs="宋体"/>
          <w:b/>
          <w:bCs/>
          <w:kern w:val="0"/>
          <w:sz w:val="24"/>
          <w:szCs w:val="24"/>
        </w:rPr>
        <w:t>Abe M</w:t>
      </w:r>
      <w:r w:rsidRPr="00D961FD">
        <w:rPr>
          <w:rFonts w:ascii="Book Antiqua" w:eastAsia="宋体" w:hAnsi="Book Antiqua" w:cs="宋体"/>
          <w:kern w:val="0"/>
          <w:sz w:val="24"/>
          <w:szCs w:val="24"/>
        </w:rPr>
        <w:t>, Mashiba T, Zeniya M, Yamamoto K, Onji M, Tsubouchi H. Present status of autoimmune hepatitis in Japan: a nationwide survey. </w:t>
      </w:r>
      <w:r w:rsidRPr="00D961FD">
        <w:rPr>
          <w:rFonts w:ascii="Book Antiqua" w:eastAsia="宋体" w:hAnsi="Book Antiqua" w:cs="宋体"/>
          <w:i/>
          <w:iCs/>
          <w:kern w:val="0"/>
          <w:sz w:val="24"/>
          <w:szCs w:val="24"/>
        </w:rPr>
        <w:t>J Gastroenterol</w:t>
      </w:r>
      <w:r w:rsidRPr="00D961FD">
        <w:rPr>
          <w:rFonts w:ascii="Book Antiqua" w:eastAsia="宋体" w:hAnsi="Book Antiqua" w:cs="宋体"/>
          <w:kern w:val="0"/>
          <w:sz w:val="24"/>
          <w:szCs w:val="24"/>
        </w:rPr>
        <w:t> 2011; </w:t>
      </w:r>
      <w:r w:rsidRPr="00D961FD">
        <w:rPr>
          <w:rFonts w:ascii="Book Antiqua" w:eastAsia="宋体" w:hAnsi="Book Antiqua" w:cs="宋体"/>
          <w:b/>
          <w:bCs/>
          <w:kern w:val="0"/>
          <w:sz w:val="24"/>
          <w:szCs w:val="24"/>
        </w:rPr>
        <w:t>46</w:t>
      </w:r>
      <w:r w:rsidRPr="00D961FD">
        <w:rPr>
          <w:rFonts w:ascii="Book Antiqua" w:eastAsia="宋体" w:hAnsi="Book Antiqua" w:cs="宋体"/>
          <w:kern w:val="0"/>
          <w:sz w:val="24"/>
          <w:szCs w:val="24"/>
        </w:rPr>
        <w:t>: 1136-1141 [PMID: 21597932 DOI: 10.1007/s00535-011-0421-y]</w:t>
      </w:r>
    </w:p>
    <w:p w:rsidR="00D961FD" w:rsidRPr="00D961FD" w:rsidRDefault="00D961FD" w:rsidP="00D961FD">
      <w:pPr>
        <w:widowControl/>
        <w:tabs>
          <w:tab w:val="left" w:pos="5805"/>
        </w:tabs>
        <w:spacing w:line="360" w:lineRule="auto"/>
        <w:rPr>
          <w:rFonts w:ascii="Book Antiqua" w:eastAsia="宋体" w:hAnsi="Book Antiqua" w:cs="宋体"/>
          <w:kern w:val="0"/>
          <w:sz w:val="24"/>
          <w:szCs w:val="24"/>
        </w:rPr>
      </w:pPr>
    </w:p>
    <w:p w:rsidR="00D961FD" w:rsidRPr="00D961FD" w:rsidRDefault="00D961FD" w:rsidP="00D961FD">
      <w:pPr>
        <w:wordWrap w:val="0"/>
        <w:spacing w:line="360" w:lineRule="auto"/>
        <w:jc w:val="right"/>
        <w:rPr>
          <w:rFonts w:ascii="Book Antiqua" w:eastAsia="宋体" w:hAnsi="Book Antiqua" w:cs="Courier New"/>
          <w:b/>
          <w:sz w:val="24"/>
          <w:szCs w:val="24"/>
        </w:rPr>
      </w:pPr>
      <w:r w:rsidRPr="00D961FD">
        <w:rPr>
          <w:rFonts w:ascii="Book Antiqua" w:eastAsia="宋体" w:hAnsi="Book Antiqua" w:cs="Courier New"/>
          <w:b/>
          <w:sz w:val="24"/>
          <w:szCs w:val="24"/>
        </w:rPr>
        <w:t>P-Reviewer:</w:t>
      </w:r>
      <w:r w:rsidRPr="00D961FD">
        <w:rPr>
          <w:rFonts w:ascii="Book Antiqua" w:eastAsia="宋体" w:hAnsi="Book Antiqua" w:cs="Courier New"/>
          <w:sz w:val="24"/>
          <w:szCs w:val="24"/>
        </w:rPr>
        <w:t xml:space="preserve"> Castiella</w:t>
      </w:r>
      <w:r w:rsidRPr="00D961FD">
        <w:rPr>
          <w:rFonts w:ascii="Book Antiqua" w:eastAsia="宋体" w:hAnsi="Book Antiqua" w:cs="Courier New" w:hint="eastAsia"/>
          <w:sz w:val="24"/>
          <w:szCs w:val="24"/>
        </w:rPr>
        <w:t xml:space="preserve"> A, </w:t>
      </w:r>
      <w:r w:rsidRPr="00D961FD">
        <w:rPr>
          <w:rFonts w:ascii="Book Antiqua" w:eastAsia="宋体" w:hAnsi="Book Antiqua" w:cs="Courier New"/>
          <w:sz w:val="24"/>
          <w:szCs w:val="24"/>
        </w:rPr>
        <w:t>Maroni</w:t>
      </w:r>
      <w:r w:rsidRPr="00D961FD">
        <w:rPr>
          <w:rFonts w:ascii="Book Antiqua" w:eastAsia="宋体" w:hAnsi="Book Antiqua" w:cs="Courier New" w:hint="eastAsia"/>
          <w:sz w:val="24"/>
          <w:szCs w:val="24"/>
        </w:rPr>
        <w:t xml:space="preserve"> L</w:t>
      </w:r>
      <w:r w:rsidRPr="00D961FD">
        <w:rPr>
          <w:rFonts w:ascii="Book Antiqua" w:eastAsia="宋体" w:hAnsi="Book Antiqua" w:cs="Courier New"/>
          <w:sz w:val="24"/>
          <w:szCs w:val="24"/>
        </w:rPr>
        <w:t xml:space="preserve"> </w:t>
      </w:r>
      <w:r w:rsidRPr="00D961FD">
        <w:rPr>
          <w:rFonts w:ascii="Book Antiqua" w:eastAsia="宋体" w:hAnsi="Book Antiqua" w:cs="Courier New"/>
          <w:b/>
          <w:sz w:val="24"/>
          <w:szCs w:val="24"/>
        </w:rPr>
        <w:t xml:space="preserve">S-Editor: </w:t>
      </w:r>
      <w:r w:rsidRPr="00D961FD">
        <w:rPr>
          <w:rFonts w:ascii="Book Antiqua" w:eastAsia="宋体" w:hAnsi="Book Antiqua" w:cs="Courier New"/>
          <w:sz w:val="24"/>
          <w:szCs w:val="24"/>
        </w:rPr>
        <w:t>Qiu S</w:t>
      </w:r>
      <w:r w:rsidRPr="00D961FD">
        <w:rPr>
          <w:rFonts w:ascii="Book Antiqua" w:eastAsia="宋体" w:hAnsi="Book Antiqua" w:cs="Courier New"/>
          <w:b/>
          <w:sz w:val="24"/>
          <w:szCs w:val="24"/>
        </w:rPr>
        <w:t xml:space="preserve"> L-Editor: E-Editor:</w:t>
      </w:r>
      <w:bookmarkEnd w:id="12"/>
      <w:bookmarkEnd w:id="13"/>
      <w:bookmarkEnd w:id="14"/>
      <w:bookmarkEnd w:id="15"/>
      <w:bookmarkEnd w:id="16"/>
      <w:bookmarkEnd w:id="17"/>
    </w:p>
    <w:p w:rsidR="00D961FD" w:rsidRPr="00D961FD" w:rsidRDefault="00D961FD" w:rsidP="00D961FD">
      <w:pPr>
        <w:spacing w:line="360" w:lineRule="auto"/>
        <w:rPr>
          <w:rFonts w:ascii="Book Antiqua" w:eastAsia="宋体" w:hAnsi="Book Antiqua" w:cs="Times New Roman"/>
          <w:color w:val="FFC000"/>
          <w:sz w:val="24"/>
          <w:szCs w:val="24"/>
        </w:rPr>
      </w:pPr>
    </w:p>
    <w:p w:rsidR="00A9672D" w:rsidRPr="008D3B68" w:rsidRDefault="00A9672D" w:rsidP="00352D86">
      <w:pPr>
        <w:autoSpaceDE w:val="0"/>
        <w:autoSpaceDN w:val="0"/>
        <w:adjustRightInd w:val="0"/>
        <w:spacing w:line="360" w:lineRule="auto"/>
        <w:ind w:left="640" w:hanging="640"/>
        <w:rPr>
          <w:rFonts w:ascii="Book Antiqua" w:hAnsi="Book Antiqua" w:cs="Times New Roman"/>
          <w:color w:val="FFC000"/>
          <w:sz w:val="24"/>
          <w:szCs w:val="24"/>
        </w:rPr>
      </w:pPr>
    </w:p>
    <w:p w:rsidR="00222BB0" w:rsidRPr="008D3B68" w:rsidRDefault="00222BB0" w:rsidP="00352D86">
      <w:pPr>
        <w:spacing w:line="360" w:lineRule="auto"/>
        <w:rPr>
          <w:rFonts w:ascii="Book Antiqua" w:hAnsi="Book Antiqua" w:cs="Times New Roman"/>
          <w:sz w:val="24"/>
          <w:szCs w:val="24"/>
        </w:rPr>
      </w:pPr>
    </w:p>
    <w:p w:rsidR="009B0937" w:rsidRPr="008D3B68" w:rsidRDefault="009B0937" w:rsidP="00352D86">
      <w:pPr>
        <w:spacing w:line="360" w:lineRule="auto"/>
        <w:rPr>
          <w:rFonts w:ascii="Book Antiqua" w:hAnsi="Book Antiqua" w:cs="Times New Roman"/>
          <w:sz w:val="24"/>
          <w:szCs w:val="24"/>
        </w:rPr>
      </w:pPr>
    </w:p>
    <w:p w:rsidR="00C905F3" w:rsidRPr="008D3B68" w:rsidRDefault="00C905F3" w:rsidP="00352D86">
      <w:pPr>
        <w:spacing w:line="360" w:lineRule="auto"/>
        <w:rPr>
          <w:rFonts w:ascii="Book Antiqua" w:hAnsi="Book Antiqua" w:cs="Times New Roman"/>
          <w:sz w:val="24"/>
          <w:szCs w:val="24"/>
        </w:rPr>
      </w:pPr>
    </w:p>
    <w:p w:rsidR="00C905F3" w:rsidRPr="008D3B68" w:rsidRDefault="00C905F3" w:rsidP="00352D86">
      <w:pPr>
        <w:spacing w:line="360" w:lineRule="auto"/>
        <w:rPr>
          <w:rFonts w:ascii="Book Antiqua" w:hAnsi="Book Antiqua" w:cs="Times New Roman"/>
          <w:sz w:val="24"/>
          <w:szCs w:val="24"/>
        </w:rPr>
      </w:pPr>
    </w:p>
    <w:p w:rsidR="00C905F3" w:rsidRPr="008D3B68" w:rsidRDefault="00C905F3" w:rsidP="00352D86">
      <w:pPr>
        <w:spacing w:line="360" w:lineRule="auto"/>
        <w:rPr>
          <w:rFonts w:ascii="Book Antiqua" w:hAnsi="Book Antiqua" w:cs="Times New Roman"/>
          <w:sz w:val="24"/>
          <w:szCs w:val="24"/>
        </w:rPr>
      </w:pPr>
    </w:p>
    <w:p w:rsidR="00C905F3" w:rsidRPr="008D3B68" w:rsidRDefault="00C905F3" w:rsidP="00352D86">
      <w:pPr>
        <w:spacing w:line="360" w:lineRule="auto"/>
        <w:rPr>
          <w:rFonts w:ascii="Book Antiqua" w:hAnsi="Book Antiqua" w:cs="Times New Roman"/>
          <w:sz w:val="24"/>
          <w:szCs w:val="24"/>
        </w:rPr>
      </w:pPr>
    </w:p>
    <w:p w:rsidR="00C905F3" w:rsidRPr="008D3B68" w:rsidRDefault="00C905F3" w:rsidP="00352D86">
      <w:pPr>
        <w:spacing w:line="360" w:lineRule="auto"/>
        <w:rPr>
          <w:rFonts w:ascii="Book Antiqua" w:hAnsi="Book Antiqua" w:cs="Times New Roman"/>
          <w:sz w:val="24"/>
          <w:szCs w:val="24"/>
        </w:rPr>
      </w:pPr>
    </w:p>
    <w:p w:rsidR="0091239A" w:rsidRPr="008D3B68" w:rsidRDefault="0091239A" w:rsidP="00352D86">
      <w:pPr>
        <w:spacing w:line="360" w:lineRule="auto"/>
        <w:rPr>
          <w:rFonts w:ascii="Book Antiqua" w:hAnsi="Book Antiqua" w:cs="Times New Roman"/>
          <w:sz w:val="24"/>
          <w:szCs w:val="24"/>
        </w:rPr>
      </w:pPr>
    </w:p>
    <w:p w:rsidR="00207726" w:rsidRPr="008D3B68" w:rsidRDefault="00207726" w:rsidP="00352D86">
      <w:pPr>
        <w:spacing w:line="360" w:lineRule="auto"/>
        <w:rPr>
          <w:rFonts w:ascii="Book Antiqua" w:hAnsi="Book Antiqua" w:cs="Times New Roman"/>
          <w:sz w:val="24"/>
          <w:szCs w:val="24"/>
        </w:rPr>
      </w:pPr>
    </w:p>
    <w:p w:rsidR="005E4541" w:rsidRPr="008D3B68" w:rsidRDefault="009516A3" w:rsidP="00352D86">
      <w:pPr>
        <w:spacing w:line="360" w:lineRule="auto"/>
        <w:rPr>
          <w:rFonts w:ascii="Book Antiqua" w:hAnsi="Book Antiqua" w:cs="Times New Roman"/>
          <w:b/>
          <w:bCs/>
          <w:noProof/>
          <w:sz w:val="24"/>
          <w:szCs w:val="24"/>
        </w:rPr>
      </w:pPr>
      <w:r>
        <w:rPr>
          <w:rFonts w:ascii="Book Antiqua" w:hAnsi="Book Antiqua" w:cs="Times New Roman"/>
          <w:b/>
          <w:bCs/>
          <w:noProof/>
          <w:sz w:val="24"/>
          <w:szCs w:val="24"/>
          <w:lang w:eastAsia="en-US"/>
        </w:rPr>
        <w:lastRenderedPageBreak/>
        <mc:AlternateContent>
          <mc:Choice Requires="wps">
            <w:drawing>
              <wp:anchor distT="0" distB="0" distL="114300" distR="114300" simplePos="0" relativeHeight="251587072" behindDoc="0" locked="0" layoutInCell="1" allowOverlap="1">
                <wp:simplePos x="0" y="0"/>
                <wp:positionH relativeFrom="column">
                  <wp:posOffset>-51435</wp:posOffset>
                </wp:positionH>
                <wp:positionV relativeFrom="paragraph">
                  <wp:posOffset>606425</wp:posOffset>
                </wp:positionV>
                <wp:extent cx="411480" cy="1769110"/>
                <wp:effectExtent l="0" t="0" r="0"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 cy="176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81" w:rsidRPr="0091239A" w:rsidRDefault="00653081" w:rsidP="0091239A">
                            <w:pPr>
                              <w:pStyle w:val="NormalWeb"/>
                              <w:spacing w:before="0" w:beforeAutospacing="0" w:after="0" w:afterAutospacing="0"/>
                              <w:rPr>
                                <w:sz w:val="18"/>
                                <w:szCs w:val="18"/>
                              </w:rPr>
                            </w:pPr>
                            <w:r w:rsidRPr="0091239A">
                              <w:rPr>
                                <w:rFonts w:ascii="Arial" w:eastAsiaTheme="minorEastAsia" w:hAnsi="Arial" w:cs="Arial"/>
                                <w:color w:val="000000" w:themeColor="text1"/>
                                <w:kern w:val="24"/>
                                <w:sz w:val="18"/>
                                <w:szCs w:val="18"/>
                              </w:rPr>
                              <w:t>Rate of sustained remission (%)</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6" o:spid="_x0000_s1026" type="#_x0000_t202" style="position:absolute;left:0;text-align:left;margin-left:-4pt;margin-top:47.75pt;width:32.4pt;height:139.3pt;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a9oCAADWBQAADgAAAGRycy9lMm9Eb2MueG1srFTJbtswEL0X6D8QvCtaSi8SIgeJl6JAugBp&#10;c6clyiIqkSpJWw6KXmKg6Ef0F4qe+z3+kQ4pb0kuRVsdKJJDvpk38zjnF+u6QiumNJcixeFZgBET&#10;mcy5WKT4w/uZN8RIGypyWknBUnzHNL4YPX923jYJi2Qpq5wpBCBCJ22T4tKYJvF9nZWspvpMNkyA&#10;sZCqpgaWauHniraAXld+FAR9v5Uqb5TMmNawO+mMeOTwi4Jl5m1RaGZQlWKIzbhRuXFuR390TpOF&#10;ok3Js10Y9C+iqCkX4PQANaGGoqXiT6BqnimpZWHOMln7sih4xhwHYBMGj9jclLRhjgskRzeHNOn/&#10;B5u9Wb1TiOcpjjAStIYSbTdft/c/tve/tptvaLv5vt1stvc/YY36Nl1toxO4ddPAPbO+kmsou6Ou&#10;m2uZfdRIyHFJxYJdKiXbktEcwg3tTf/kaoejLci8fS1z8EuXRjqgdaFqVFS8ud1DQ54Q+IEC3h2K&#10;xtYGZbBJwpAMwZKBKRz04zB0VfVpYnFsTRqlzUsma2QnKVYgCueHrq61sXEdj9jjQs54VTlhVOLB&#10;BhzsdsA3XLU2G4Wr8+c4iKfD6ZB4JOpPPRLkuXc5GxOvPwsHvcmLyXg8Cb9YvyFJSp7nTFg3e82F&#10;5M9qulN/p5aD6rSseG7hbEhaLebjSqEVBc3P3OeyD5bjMf9hGC4JwOURpTAiwVUUe7P+cOCRgvS8&#10;eBAMvSCMr+J+QGIymT2kdM0F+3dKqE1x3It6nayOQT/iFrjvKTea1NxAV6l4neLh4RBNrBinInel&#10;NZRX3fwkFTb8Yyqg3PtCO+latXa6Nev5GlCsnucyvwMRKwnKAhVCK4QJo7fwx6iFxpJi/WlJFcOo&#10;eiXgKcQhIbYTuQXpDSJYqFPL/NRCRVZK6FcA1k3Hputey0bxRQm+9o/vEp7PjDs9H+PaPTpoHo7W&#10;rtHZ7nS6dqeO7Xj0GwAA//8DAFBLAwQUAAYACAAAACEABUmk5N4AAAAIAQAADwAAAGRycy9kb3du&#10;cmV2LnhtbEyPQU7DMBBF90jcwRokNqh1CiRtQ5wKEBUbhEToAex4SALxOIrdNNyeYQXL0R/9/16x&#10;m10vJhxD50nBapmAQKq97ahRcHjfLzYgQtRkde8JFXxjgF15flbo3PoTveFUxUZwCYVcK2hjHHIp&#10;Q92i02HpByTOPvzodORzbKQd9YnLXS+vkySTTnfEC60e8LHF+qs6OgXWfD5MLxKf9dMhzV6vKhP2&#10;zih1eTHf34GIOMe/Z/jFZ3Qomcn4I9kgegWLDatEBds0BcF5mrGJUXCzvl2BLAv5X6D8AQAA//8D&#10;AFBLAQItABQABgAIAAAAIQDkmcPA+wAAAOEBAAATAAAAAAAAAAAAAAAAAAAAAABbQ29udGVudF9U&#10;eXBlc10ueG1sUEsBAi0AFAAGAAgAAAAhACOyauHXAAAAlAEAAAsAAAAAAAAAAAAAAAAALAEAAF9y&#10;ZWxzLy5yZWxzUEsBAi0AFAAGAAgAAAAhAPvur2vaAgAA1gUAAA4AAAAAAAAAAAAAAAAALAIAAGRy&#10;cy9lMm9Eb2MueG1sUEsBAi0AFAAGAAgAAAAhAAVJpOTeAAAACAEAAA8AAAAAAAAAAAAAAAAAMgUA&#10;AGRycy9kb3ducmV2LnhtbFBLBQYAAAAABAAEAPMAAAA9BgAAAAA=&#10;" filled="f" stroked="f">
                <v:textbox style="layout-flow:vertical-ideographic;mso-fit-shape-to-text:t">
                  <w:txbxContent>
                    <w:p w:rsidR="00653081" w:rsidRPr="0091239A" w:rsidRDefault="00653081" w:rsidP="0091239A">
                      <w:pPr>
                        <w:pStyle w:val="NormalWeb"/>
                        <w:spacing w:before="0" w:beforeAutospacing="0" w:after="0" w:afterAutospacing="0"/>
                        <w:rPr>
                          <w:sz w:val="18"/>
                          <w:szCs w:val="18"/>
                        </w:rPr>
                      </w:pPr>
                      <w:r w:rsidRPr="0091239A">
                        <w:rPr>
                          <w:rFonts w:ascii="Arial" w:eastAsiaTheme="minorEastAsia" w:hAnsi="Arial" w:cs="Arial"/>
                          <w:color w:val="000000" w:themeColor="text1"/>
                          <w:kern w:val="24"/>
                          <w:sz w:val="18"/>
                          <w:szCs w:val="18"/>
                        </w:rPr>
                        <w:t>Rate of sustained remission (%)</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597312" behindDoc="0" locked="0" layoutInCell="1" allowOverlap="1">
                <wp:simplePos x="0" y="0"/>
                <wp:positionH relativeFrom="column">
                  <wp:posOffset>714375</wp:posOffset>
                </wp:positionH>
                <wp:positionV relativeFrom="paragraph">
                  <wp:posOffset>346075</wp:posOffset>
                </wp:positionV>
                <wp:extent cx="434340" cy="320040"/>
                <wp:effectExtent l="0" t="0" r="0" b="0"/>
                <wp:wrapNone/>
                <wp:docPr id="30"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 cy="320040"/>
                        </a:xfrm>
                        <a:prstGeom prst="rect">
                          <a:avLst/>
                        </a:prstGeom>
                        <a:noFill/>
                      </wps:spPr>
                      <wps:txbx>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85</w:t>
                            </w:r>
                            <w:r w:rsidRPr="0091239A">
                              <w:rPr>
                                <w:rFonts w:asciiTheme="majorHAnsi" w:eastAsiaTheme="minorEastAsia" w:hAnsiTheme="majorHAnsi" w:cstheme="majorHAnsi"/>
                                <w:b/>
                                <w:bCs/>
                                <w:color w:val="000000" w:themeColor="text1"/>
                                <w:kern w:val="24"/>
                                <w:sz w:val="18"/>
                                <w:szCs w:val="18"/>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27" type="#_x0000_t202" style="position:absolute;left:0;text-align:left;margin-left:56.25pt;margin-top:27.25pt;width:34.2pt;height:25.2pt;z-index:2515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GLsBAAA+AwAADgAAAGRycy9lMm9Eb2MueG1srFLNjtMwEL4j8Q6W7zT9QQiipitgtVxWgLTw&#10;AK5jNxaxx/J4m/TaSIiH4BUQZ54nL8LYabsruCEUaWJ7Zr75vplZX/W2ZXsV0ICr+GI250w5CbVx&#10;u4p//nTz7CVnGIWrRQtOVfygkF9tnj5Zd75US2igrVVgBOKw7HzFmxh9WRQoG2UFzsArR04NwYpI&#10;17Ar6iA6QrdtsZzPXxQdhNoHkAqRXq8nJ99kfK2VjB+0RhVZW3HiFrMN2W6TLTZrUe6C8I2RJxri&#10;H1hYYRwVvUBdiyjYfTB/QVkjAyDoOJNgC9DaSJU1kJrF/A81d43wKmuh5qC/tAn/H6x8v/8YmKkr&#10;vqL2OGFpRuPwdTz+GI+/xuEbG4fv4zCMx590Z8tXqWGdx5Ly7jxlxv4N9DT4LB79LcgvSCHFo5gp&#10;ASk6NajXwaY/SWeUSEUPlzmoPjJJj89X9JFHkmtFU6ZzwnxI9gHjOwWWpUPFA405ExD7W4xT6Dkk&#10;1XJwY9r2TGtikgjGfttn7YuzrC3UB1LV0UJU3NHGchZi+xby9iQo9K/vI8HlKgljyjgppiFlnqeF&#10;Slvw+J6jHtZ+8xsAAP//AwBQSwMEFAAGAAgAAAAhAHHbwkTfAAAACgEAAA8AAABkcnMvZG93bnJl&#10;di54bWxMj8FuwjAQRO+V+g/WVuqlKjYpIAhxEKrUU3shlLuJTRI1XgfbBLdf3+XUnnZHM5p9W2yS&#10;7dlofOgcSphOBDCDtdMdNhI+92/PS2AhKtSqd2gkfJsAm/L+rlC5dlfcmbGKDaMSDLmS0MY45JyH&#10;ujVWhYkbDJJ3ct6qSNI3XHt1pXLb80yIBbeqQ7rQqsG8tqb+qi5Wgq4OP3v/ck5P2/dd1hwWdTqP&#10;H1I+PqTtGlg0Kf6F4YZP6FAS09FdUAfWk55mc4pKmM9o3gJLsQJ2pEXMVsDLgv9/ofwFAAD//wMA&#10;UEsBAi0AFAAGAAgAAAAhAOSZw8D7AAAA4QEAABMAAAAAAAAAAAAAAAAAAAAAAFtDb250ZW50X1R5&#10;cGVzXS54bWxQSwECLQAUAAYACAAAACEAI7Jq4dcAAACUAQAACwAAAAAAAAAAAAAAAAAsAQAAX3Jl&#10;bHMvLnJlbHNQSwECLQAUAAYACAAAACEA+EwtGLsBAAA+AwAADgAAAAAAAAAAAAAAAAAsAgAAZHJz&#10;L2Uyb0RvYy54bWxQSwECLQAUAAYACAAAACEAcdvCRN8AAAAKAQAADwAAAAAAAAAAAAAAAAATBAAA&#10;ZHJzL2Rvd25yZXYueG1sUEsFBgAAAAAEAAQA8wAAAB8FAAAAAA==&#10;" filled="f" stroked="f">
                <v:path arrowok="t"/>
                <v:textbox style="mso-fit-shape-to-text:t">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85</w:t>
                      </w:r>
                      <w:r w:rsidRPr="0091239A">
                        <w:rPr>
                          <w:rFonts w:asciiTheme="majorHAnsi" w:eastAsiaTheme="minorEastAsia" w:hAnsiTheme="majorHAnsi" w:cstheme="majorHAnsi"/>
                          <w:b/>
                          <w:bCs/>
                          <w:color w:val="000000" w:themeColor="text1"/>
                          <w:kern w:val="24"/>
                          <w:sz w:val="18"/>
                          <w:szCs w:val="18"/>
                        </w:rPr>
                        <w:t>％</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731456" behindDoc="0" locked="0" layoutInCell="1" allowOverlap="1">
                <wp:simplePos x="0" y="0"/>
                <wp:positionH relativeFrom="column">
                  <wp:posOffset>4720590</wp:posOffset>
                </wp:positionH>
                <wp:positionV relativeFrom="paragraph">
                  <wp:posOffset>1294765</wp:posOffset>
                </wp:positionV>
                <wp:extent cx="434340" cy="320040"/>
                <wp:effectExtent l="0" t="0" r="0" b="0"/>
                <wp:wrapNone/>
                <wp:docPr id="35"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 cy="320040"/>
                        </a:xfrm>
                        <a:prstGeom prst="rect">
                          <a:avLst/>
                        </a:prstGeom>
                        <a:noFill/>
                      </wps:spPr>
                      <wps:txbx>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50</w:t>
                            </w:r>
                            <w:r w:rsidRPr="0091239A">
                              <w:rPr>
                                <w:rFonts w:asciiTheme="majorHAnsi" w:eastAsiaTheme="minorEastAsia" w:hAnsiTheme="majorHAnsi" w:cstheme="majorHAnsi"/>
                                <w:b/>
                                <w:bCs/>
                                <w:color w:val="000000" w:themeColor="text1"/>
                                <w:kern w:val="24"/>
                                <w:sz w:val="18"/>
                                <w:szCs w:val="18"/>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28" type="#_x0000_t202" style="position:absolute;left:0;text-align:left;margin-left:371.7pt;margin-top:101.95pt;width:34.2pt;height:25.2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eSrwBAAA+AwAADgAAAGRycy9lMm9Eb2MueG1srFLBjtMwEL0j8Q+W7zTddkEoaroCVstlBUgL&#10;H+A6dmMReyyPt0mvjYT4CH4Bcd7vyY8wdtruCm4IRXJsz8zze/NmddXblu1UQAOu4hezOWfKSaiN&#10;21b8y+ebF685wyhcLVpwquJ7hfxq/fzZqvOlWkADba0CIxCHZecr3sToy6JA2SgrcAZeOQpqCFZE&#10;OoZtUQfREbpti8V8/qroINQ+gFSIdHs9Bfk642utZPyoNarI2ooTt5jXkNdNWov1SpTbIHxj5JGG&#10;+AcWVhhHj56hrkUU7D6Yv6CskQEQdJxJsAVobaTKGkjNxfwPNXeN8CproeagP7cJ/x+s/LD7FJip&#10;K758yZkTljwah2/j4ed4eBiH72wcfozDMB5+0ZktL1PDOo8l1d15qoz9W+jJ+Cwe/S3Ir0gpxZOc&#10;qQApOzWo18GmP0lnVEie7M8+qD4ySZeXS/ooIim0JJdpnzAfi33A+F6BZWlT8UA2ZwJid4txSj2l&#10;pLcc3Ji2PdGamCSCsd/0WfviJGsD9Z5UdTQQFXc0sZyF2L6DPD0JCv2b+0hw+ZWEMVUcFZNJmedx&#10;oNIUPD3nrMexX/8GAAD//wMAUEsDBBQABgAIAAAAIQBo9Tq/4AAAAAsBAAAPAAAAZHJzL2Rvd25y&#10;ZXYueG1sTI/LTsMwEEX3SPyDNUhsEHVelBLiVBUSK9g0pXs3HpKI2E5tNzV8PcOqLGfm6M651Trq&#10;kc3o/GCNgHSRAEPTWjWYTsDH7vV+BcwHaZQcrUEB3+hhXV9fVbJU9my2ODehYxRifCkF9CFMJee+&#10;7VFLv7ATGrp9WqdloNF1XDl5pnA98ixJllzLwdCHXk740mP71Zy0ANXsf3YuP8a7zds26/bLNh7n&#10;dyFub+LmGVjAGC4w/OmTOtTkdLAnozwbBTwWeUGogCzJn4ARsUpTKnOgzUORA68r/r9D/QsAAP//&#10;AwBQSwECLQAUAAYACAAAACEA5JnDwPsAAADhAQAAEwAAAAAAAAAAAAAAAAAAAAAAW0NvbnRlbnRf&#10;VHlwZXNdLnhtbFBLAQItABQABgAIAAAAIQAjsmrh1wAAAJQBAAALAAAAAAAAAAAAAAAAACwBAABf&#10;cmVscy8ucmVsc1BLAQItABQABgAIAAAAIQAMHF5KvAEAAD4DAAAOAAAAAAAAAAAAAAAAACwCAABk&#10;cnMvZTJvRG9jLnhtbFBLAQItABQABgAIAAAAIQBo9Tq/4AAAAAsBAAAPAAAAAAAAAAAAAAAAABQE&#10;AABkcnMvZG93bnJldi54bWxQSwUGAAAAAAQABADzAAAAIQUAAAAA&#10;" filled="f" stroked="f">
                <v:path arrowok="t"/>
                <v:textbox style="mso-fit-shape-to-text:t">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50</w:t>
                      </w:r>
                      <w:r w:rsidRPr="0091239A">
                        <w:rPr>
                          <w:rFonts w:asciiTheme="majorHAnsi" w:eastAsiaTheme="minorEastAsia" w:hAnsiTheme="majorHAnsi" w:cstheme="majorHAnsi"/>
                          <w:b/>
                          <w:bCs/>
                          <w:color w:val="000000" w:themeColor="text1"/>
                          <w:kern w:val="24"/>
                          <w:sz w:val="18"/>
                          <w:szCs w:val="18"/>
                        </w:rPr>
                        <w:t>％</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644416" behindDoc="0" locked="0" layoutInCell="1" allowOverlap="1">
                <wp:simplePos x="0" y="0"/>
                <wp:positionH relativeFrom="column">
                  <wp:posOffset>2437765</wp:posOffset>
                </wp:positionH>
                <wp:positionV relativeFrom="paragraph">
                  <wp:posOffset>394335</wp:posOffset>
                </wp:positionV>
                <wp:extent cx="434340" cy="320040"/>
                <wp:effectExtent l="0" t="0" r="0" b="0"/>
                <wp:wrapNone/>
                <wp:docPr id="32"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 cy="320040"/>
                        </a:xfrm>
                        <a:prstGeom prst="rect">
                          <a:avLst/>
                        </a:prstGeom>
                        <a:noFill/>
                      </wps:spPr>
                      <wps:txbx>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83</w:t>
                            </w:r>
                            <w:r w:rsidRPr="0091239A">
                              <w:rPr>
                                <w:rFonts w:asciiTheme="majorHAnsi" w:eastAsiaTheme="minorEastAsia" w:hAnsiTheme="majorHAnsi" w:cstheme="majorHAnsi"/>
                                <w:b/>
                                <w:bCs/>
                                <w:color w:val="000000" w:themeColor="text1"/>
                                <w:kern w:val="24"/>
                                <w:sz w:val="18"/>
                                <w:szCs w:val="18"/>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29" type="#_x0000_t202" style="position:absolute;left:0;text-align:left;margin-left:191.95pt;margin-top:31.05pt;width:34.2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6BLsBAAA+AwAADgAAAGRycy9lMm9Eb2MueG1srFLNjtMwEL4j8Q6W7zT9QQhFTVfAarmsAGnh&#10;AVzHbixij+XxNum1kRAPwSsgzjxPXmTHTttdwQ2hSI7tmfn8ffPN+qq3LdurgAZcxRezOWfKSaiN&#10;21X8y+ebF685wyhcLVpwquIHhfxq8/zZuvOlWkIDba0CIxCHZecr3sToy6JA2SgrcAZeOQpqCFZE&#10;OoZdUQfREbpti+V8/qroINQ+gFSIdHs9Bfkm42utZPyoNarI2ooTt5jXkNdtWovNWpS7IHxj5ImG&#10;+AcWVhhHj16grkUU7D6Yv6CskQEQdJxJsAVobaTKGkjNYv6HmrtGeJW1UHPQX9qE/w9Wfth/CszU&#10;FV8tOXPCkkfj8G08/hyPv8fhOxuHH+MwjMdfdGarRWpY57GkujtPlbF/Cz0Zn8WjvwX5FSmleJIz&#10;FSBlpwb1Otj0J+mMCsmTw8UH1Ucm6fLlij6KSAqtyGXaJ8zHYh8wvldgWdpUPJDNmYDY32KcUs8p&#10;6S0HN6Ztz7QmJolg7Lf9pP0sawv1gVR1NBAVdzSxnIXYvoM8PQkK/Zv7SHD5lYQxVZwUk0mZ52mg&#10;0hQ8Peesx7HfPAAAAP//AwBQSwMEFAAGAAgAAAAhAEHhGP7gAAAACgEAAA8AAABkcnMvZG93bnJl&#10;di54bWxMj8FOwzAQRO9I/IO1SFwQdeLQqA1xqgqJE1ya0rsbu0lEvE5jNzV8PcsJjqt5mnlbbqId&#10;2Gwm3zuUkC4SYAYbp3tsJXzsXx9XwHxQqNXg0Ej4Mh421e1NqQrtrrgzcx1aRiXoCyWhC2EsOPdN&#10;Z6zyCzcapOzkJqsCnVPL9aSuVG4HLpIk51b1SAudGs1LZ5rP+mIl6PrwvZ+yc3zYvu1Ee8ibeJ7f&#10;pby/i9tnYMHE8AfDrz6pQ0VOR3dB7dkgIVtla0Il5CIFRsDTUmTAjkSmYgm8Kvn/F6ofAAAA//8D&#10;AFBLAQItABQABgAIAAAAIQDkmcPA+wAAAOEBAAATAAAAAAAAAAAAAAAAAAAAAABbQ29udGVudF9U&#10;eXBlc10ueG1sUEsBAi0AFAAGAAgAAAAhACOyauHXAAAAlAEAAAsAAAAAAAAAAAAAAAAALAEAAF9y&#10;ZWxzLy5yZWxzUEsBAi0AFAAGAAgAAAAhAET4egS7AQAAPgMAAA4AAAAAAAAAAAAAAAAALAIAAGRy&#10;cy9lMm9Eb2MueG1sUEsBAi0AFAAGAAgAAAAhAEHhGP7gAAAACgEAAA8AAAAAAAAAAAAAAAAAEwQA&#10;AGRycy9kb3ducmV2LnhtbFBLBQYAAAAABAAEAPMAAAAgBQAAAAA=&#10;" filled="f" stroked="f">
                <v:path arrowok="t"/>
                <v:textbox style="mso-fit-shape-to-text:t">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83</w:t>
                      </w:r>
                      <w:r w:rsidRPr="0091239A">
                        <w:rPr>
                          <w:rFonts w:asciiTheme="majorHAnsi" w:eastAsiaTheme="minorEastAsia" w:hAnsiTheme="majorHAnsi" w:cstheme="majorHAnsi"/>
                          <w:b/>
                          <w:bCs/>
                          <w:color w:val="000000" w:themeColor="text1"/>
                          <w:kern w:val="24"/>
                          <w:sz w:val="18"/>
                          <w:szCs w:val="18"/>
                        </w:rPr>
                        <w:t>％</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612672" behindDoc="0" locked="0" layoutInCell="1" allowOverlap="1">
                <wp:simplePos x="0" y="0"/>
                <wp:positionH relativeFrom="column">
                  <wp:posOffset>1295400</wp:posOffset>
                </wp:positionH>
                <wp:positionV relativeFrom="paragraph">
                  <wp:posOffset>1536700</wp:posOffset>
                </wp:positionV>
                <wp:extent cx="434340" cy="320040"/>
                <wp:effectExtent l="0" t="0" r="0" b="0"/>
                <wp:wrapNone/>
                <wp:docPr id="31"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 cy="320040"/>
                        </a:xfrm>
                        <a:prstGeom prst="rect">
                          <a:avLst/>
                        </a:prstGeom>
                        <a:noFill/>
                      </wps:spPr>
                      <wps:txbx>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40</w:t>
                            </w:r>
                            <w:r w:rsidRPr="0091239A">
                              <w:rPr>
                                <w:rFonts w:asciiTheme="majorHAnsi" w:eastAsiaTheme="minorEastAsia" w:hAnsiTheme="majorHAnsi" w:cstheme="majorHAnsi"/>
                                <w:b/>
                                <w:bCs/>
                                <w:color w:val="000000" w:themeColor="text1"/>
                                <w:kern w:val="24"/>
                                <w:sz w:val="18"/>
                                <w:szCs w:val="18"/>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0" type="#_x0000_t202" style="position:absolute;left:0;text-align:left;margin-left:102pt;margin-top:121pt;width:34.2pt;height:25.2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fkI70BAAA+AwAADgAAAGRycy9lMm9Eb2MueG1srFLBahsxEL0X8g9C93jtOJSyeB3ahuQS0kLa&#10;D5C1kld0pREaxbu+eqH0I/oLped+z/5IR7Jjh/YWwoJW0sw8vTdvFle9bdlGBTTgKj6bTDlTTkJt&#10;3LriX7/cnL/jDKNwtWjBqYpvFfKr5dmbRedLdQENtLUKjEAclp2veBOjL4sCZaOswAl45SioIVgR&#10;6RjWRR1ER+i2LS6m07dFB6H2AaRCpNvrfZAvM77WSsZPWqOKrK04cYt5DXldpbVYLkS5DsI3Rh5o&#10;iBewsMI4evQIdS2iYI/B/AdljQyAoONEgi1AayNV1kBqZtN/1Dw0wqushZqD/tgmfD1Yeb/5HJip&#10;Kz6fceaEJY/G4fu4+zXu/ozDDzYOP8dhGHe/6czmuWGdx5LqHjxVxv4D9GR8Fo/+DuQ3pJ4Wz3KS&#10;F1giZacG9TrY9CfpjArJk+3RB9VHJunyck4fRSSF5uQy7RPmqdgHjLcKLEubigeyORMQmzuM+9Sn&#10;lPSWgxvTtk+09kwSp9iv+qz9MuGnmxXUW1LV0UBU3NHEchZi+xHy9CQo9O8fI8HlV04VB8VkUuZ5&#10;GKg0Bc/POes09su/AAAA//8DAFBLAwQUAAYACAAAACEALF9A894AAAALAQAADwAAAGRycy9kb3du&#10;cmV2LnhtbEyPwU7DMBBE70j8g7VIXBB1MFGBEKeqkDjBpSm9u/GSRMTrNHZTw9eznMrtjXY0O1Ou&#10;khvEjFPoPWm4W2QgkBpve2o1fGxfbx9BhGjImsETavjGAKvq8qI0hfUn2uBcx1ZwCIXCaOhiHAsp&#10;Q9OhM2HhRyS+ffrJmchyaqWdzInD3SBVli2lMz3xh86M+NJh81UfnQZb73620/0h3azfNqrdLZt0&#10;mN+1vr5K62cQEVM8m+GvPleHijvt/ZFsEIMGleW8JTLkioEd6kHlIPYMTwyyKuX/DdUvAAAA//8D&#10;AFBLAQItABQABgAIAAAAIQDkmcPA+wAAAOEBAAATAAAAAAAAAAAAAAAAAAAAAABbQ29udGVudF9U&#10;eXBlc10ueG1sUEsBAi0AFAAGAAgAAAAhACOyauHXAAAAlAEAAAsAAAAAAAAAAAAAAAAALAEAAF9y&#10;ZWxzLy5yZWxzUEsBAi0AFAAGAAgAAAAhAOQX5CO9AQAAPgMAAA4AAAAAAAAAAAAAAAAALAIAAGRy&#10;cy9lMm9Eb2MueG1sUEsBAi0AFAAGAAgAAAAhACxfQPPeAAAACwEAAA8AAAAAAAAAAAAAAAAAFQQA&#10;AGRycy9kb3ducmV2LnhtbFBLBQYAAAAABAAEAPMAAAAgBQAAAAA=&#10;" filled="f" stroked="f">
                <v:path arrowok="t"/>
                <v:textbox style="mso-fit-shape-to-text:t">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40</w:t>
                      </w:r>
                      <w:r w:rsidRPr="0091239A">
                        <w:rPr>
                          <w:rFonts w:asciiTheme="majorHAnsi" w:eastAsiaTheme="minorEastAsia" w:hAnsiTheme="majorHAnsi" w:cstheme="majorHAnsi"/>
                          <w:b/>
                          <w:bCs/>
                          <w:color w:val="000000" w:themeColor="text1"/>
                          <w:kern w:val="24"/>
                          <w:sz w:val="18"/>
                          <w:szCs w:val="18"/>
                        </w:rPr>
                        <w:t>％</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701760" behindDoc="0" locked="0" layoutInCell="1" allowOverlap="1">
                <wp:simplePos x="0" y="0"/>
                <wp:positionH relativeFrom="column">
                  <wp:posOffset>4128770</wp:posOffset>
                </wp:positionH>
                <wp:positionV relativeFrom="paragraph">
                  <wp:posOffset>170815</wp:posOffset>
                </wp:positionV>
                <wp:extent cx="434340" cy="320040"/>
                <wp:effectExtent l="0" t="0" r="0" b="0"/>
                <wp:wrapNone/>
                <wp:docPr id="3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 cy="320040"/>
                        </a:xfrm>
                        <a:prstGeom prst="rect">
                          <a:avLst/>
                        </a:prstGeom>
                        <a:noFill/>
                      </wps:spPr>
                      <wps:txbx>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92</w:t>
                            </w:r>
                            <w:r w:rsidRPr="0091239A">
                              <w:rPr>
                                <w:rFonts w:asciiTheme="majorHAnsi" w:eastAsiaTheme="minorEastAsia" w:hAnsiTheme="majorHAnsi" w:cstheme="majorHAnsi"/>
                                <w:b/>
                                <w:bCs/>
                                <w:color w:val="000000" w:themeColor="text1"/>
                                <w:kern w:val="24"/>
                                <w:sz w:val="18"/>
                                <w:szCs w:val="18"/>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1" type="#_x0000_t202" style="position:absolute;left:0;text-align:left;margin-left:325.1pt;margin-top:13.45pt;width:34.2pt;height:25.2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m3qb0BAAA+AwAADgAAAGRycy9lMm9Eb2MueG1srFJBbtswELwX6B8I3mM5UVoUguWgTZBegrZA&#10;2gfQFGkJEbkEl7HkqwUUfUS/UPSc9+gjXVK2EzS3IBBAkdzd4czOLi5607KN8tiALfnpbM6ZshKq&#10;xq5L/uP79ckHzjAIW4kWrCr5ViG/WL59s+hcoc6ghrZSnhGIxaJzJa9DcEWWoayVETgDpywFNXgj&#10;Ah39Oqu86AjdtNnZfP4+68BXzoNUiHR7NQX5MuFrrWT4qjWqwNqSE7eQVp/WVVyz5UIUay9c3cg9&#10;DfECFkY0lh49Ql2JINi9b55BmUZ6QNBhJsFkoHUjVdJAak7n/6m5rYVTSQs1B92xTfh6sPLL5ptn&#10;TVXy/JwzKwx5NA4/x92fcfcwDr/YOPweh2Hc/aUzy/PYsM5hQXW3jipD/wl6Mj6JR3cD8g4pJXuS&#10;MxUgZccG9dqb+CfpjArJk+3RB9UHJunyPKePIpJCOblM+4j5WOw8hs8KDIubknuyOREQmxsMU+oh&#10;Jb5l4bpp2wOtiUkkGPpVn7S/O8haQbUlVR0NRMktTSxnPrSXkKYnQqH7eB8ILr0SMaaKvWIyKfHc&#10;D1ScgqfnlPU49st/AAAA//8DAFBLAwQUAAYACAAAACEAcHST/d8AAAAJAQAADwAAAGRycy9kb3du&#10;cmV2LnhtbEyPwU7DMAyG70i8Q2QkLoil60S2labThMQJLuvYPWu8tqJJuiTrAk+POcHNlj/9/v5y&#10;k8zAJvShd1bCfJYBQ9s43dtWwsf+9XEFLERltRqcRQlfGGBT3d6UqtDuanc41bFlFGJDoSR0MY4F&#10;56Hp0KgwcyNaup2cNyrS6luuvbpSuBl4nmWCG9Vb+tCpEV86bD7ri5Gg68P33i/O6WH7tsvbg2jS&#10;eXqX8v4ubZ+BRUzxD4ZffVKHipyO7mJ1YIME8ZTlhErIxRoYAcv5SgA70rBcAK9K/r9B9QMAAP//&#10;AwBQSwECLQAUAAYACAAAACEA5JnDwPsAAADhAQAAEwAAAAAAAAAAAAAAAAAAAAAAW0NvbnRlbnRf&#10;VHlwZXNdLnhtbFBLAQItABQABgAIAAAAIQAjsmrh1wAAAJQBAAALAAAAAAAAAAAAAAAAACwBAABf&#10;cmVscy8ucmVsc1BLAQItABQABgAIAAAAIQD2mbepvQEAAD4DAAAOAAAAAAAAAAAAAAAAACwCAABk&#10;cnMvZTJvRG9jLnhtbFBLAQItABQABgAIAAAAIQBwdJP93wAAAAkBAAAPAAAAAAAAAAAAAAAAABUE&#10;AABkcnMvZG93bnJldi54bWxQSwUGAAAAAAQABADzAAAAIQUAAAAA&#10;" filled="f" stroked="f">
                <v:path arrowok="t"/>
                <v:textbox style="mso-fit-shape-to-text:t">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92</w:t>
                      </w:r>
                      <w:r w:rsidRPr="0091239A">
                        <w:rPr>
                          <w:rFonts w:asciiTheme="majorHAnsi" w:eastAsiaTheme="minorEastAsia" w:hAnsiTheme="majorHAnsi" w:cstheme="majorHAnsi"/>
                          <w:b/>
                          <w:bCs/>
                          <w:color w:val="000000" w:themeColor="text1"/>
                          <w:kern w:val="24"/>
                          <w:sz w:val="18"/>
                          <w:szCs w:val="18"/>
                        </w:rPr>
                        <w:t>％</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673088" behindDoc="0" locked="0" layoutInCell="1" allowOverlap="1">
                <wp:simplePos x="0" y="0"/>
                <wp:positionH relativeFrom="column">
                  <wp:posOffset>3010535</wp:posOffset>
                </wp:positionH>
                <wp:positionV relativeFrom="paragraph">
                  <wp:posOffset>1220470</wp:posOffset>
                </wp:positionV>
                <wp:extent cx="434340" cy="320040"/>
                <wp:effectExtent l="0" t="0" r="0" b="0"/>
                <wp:wrapNone/>
                <wp:docPr id="33"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 cy="320040"/>
                        </a:xfrm>
                        <a:prstGeom prst="rect">
                          <a:avLst/>
                        </a:prstGeom>
                        <a:noFill/>
                      </wps:spPr>
                      <wps:txbx>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53</w:t>
                            </w:r>
                            <w:r w:rsidRPr="0091239A">
                              <w:rPr>
                                <w:rFonts w:asciiTheme="majorHAnsi" w:eastAsiaTheme="minorEastAsia" w:hAnsiTheme="majorHAnsi" w:cstheme="majorHAnsi"/>
                                <w:b/>
                                <w:bCs/>
                                <w:color w:val="000000" w:themeColor="text1"/>
                                <w:kern w:val="24"/>
                                <w:sz w:val="18"/>
                                <w:szCs w:val="18"/>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2" type="#_x0000_t202" style="position:absolute;left:0;text-align:left;margin-left:237.05pt;margin-top:96.1pt;width:34.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7fbwBAAA+AwAADgAAAGRycy9lMm9Eb2MueG1srFJBbtswELwXyB8I3mM5VhAUguWgbZBcgrZA&#10;2gfQFGURFbkEl7HkqwUUfUS/UPTc9+gjXVK2E7S3IBBAkdzd4czOLq9707Kt8qjBlvxiNudMWQmV&#10;tpuSf/1ye/6WMwzCVqIFq0q+U8ivV2dvlp0r1AIaaCvlGYFYLDpX8iYEV2QZykYZgTNwylKwBm9E&#10;oKPfZJUXHaGbNlvM51dZB75yHqRCpNubKchXCb+ulQyf6hpVYG3JiVtIq0/rOq7ZaimKjReu0fJA&#10;Q7yAhRHa0qMnqBsRBHv0+j8oo6UHhDrMJJgM6lpLlTSQmov5P2oeGuFU0kLNQXdqE74erPy4/eyZ&#10;rkqe55xZYcijcfg+7n+N+z/j8IONw89xGMb9bzqzfBEb1jksqO7BUWXo30NPxifx6O5BfkNKyZ7l&#10;TAVI2bFBfe1N/JN0RoXkye7kg+oDk3R5mdNHEUmhnFymfcR8KnYew50Cw+Km5J5sTgTE9h7DlHpM&#10;iW9ZuNVte6Q1MYkEQ7/uk/aro6w1VDtS1dFAlNzSxHLmQ/sB0vREKHTvHgPBpVcixlRxUEwmJZ6H&#10;gYpT8Pycsp7GfvUXAAD//wMAUEsDBBQABgAIAAAAIQDjikJe4AAAAAsBAAAPAAAAZHJzL2Rvd25y&#10;ZXYueG1sTI/BTsMwEETvSPyDtUhcEHVq0gAhTlUhcYJLU3p3Y5NExOvUdlPD17Oc4Liap5m31TrZ&#10;kc3Gh8GhhOUiA2awdXrATsL77uX2AViICrUaHRoJXybAur68qFSp3Rm3Zm5ix6gEQ6kk9DFOJeeh&#10;7Y1VYeEmg5R9OG9VpNN3XHt1pnI7cpFlBbdqQFro1WSee9N+NicrQTf7752/O6abzetWdPuiTcf5&#10;Tcrrq7R5AhZNin8w/OqTOtTkdHAn1IGNEvL7fEkoBY9CACNilYsVsIMEkYsCeF3x/z/UPwAAAP//&#10;AwBQSwECLQAUAAYACAAAACEA5JnDwPsAAADhAQAAEwAAAAAAAAAAAAAAAAAAAAAAW0NvbnRlbnRf&#10;VHlwZXNdLnhtbFBLAQItABQABgAIAAAAIQAjsmrh1wAAAJQBAAALAAAAAAAAAAAAAAAAACwBAABf&#10;cmVscy8ucmVsc1BLAQItABQABgAIAAAAIQBeRLt9vAEAAD4DAAAOAAAAAAAAAAAAAAAAACwCAABk&#10;cnMvZTJvRG9jLnhtbFBLAQItABQABgAIAAAAIQDjikJe4AAAAAsBAAAPAAAAAAAAAAAAAAAAABQE&#10;AABkcnMvZG93bnJldi54bWxQSwUGAAAAAAQABADzAAAAIQUAAAAA&#10;" filled="f" stroked="f">
                <v:path arrowok="t"/>
                <v:textbox style="mso-fit-shape-to-text:t">
                  <w:txbxContent>
                    <w:p w:rsidR="00653081" w:rsidRPr="0091239A" w:rsidRDefault="00653081" w:rsidP="0091239A">
                      <w:pPr>
                        <w:pStyle w:val="NormalWeb"/>
                        <w:spacing w:before="0" w:beforeAutospacing="0" w:after="0" w:afterAutospacing="0"/>
                        <w:rPr>
                          <w:rFonts w:asciiTheme="majorHAnsi" w:hAnsiTheme="majorHAnsi" w:cstheme="majorHAnsi"/>
                          <w:sz w:val="18"/>
                          <w:szCs w:val="18"/>
                        </w:rPr>
                      </w:pPr>
                      <w:r w:rsidRPr="0091239A">
                        <w:rPr>
                          <w:rFonts w:asciiTheme="majorHAnsi" w:eastAsiaTheme="minorEastAsia" w:hAnsiTheme="majorHAnsi" w:cstheme="majorHAnsi"/>
                          <w:b/>
                          <w:bCs/>
                          <w:color w:val="000000" w:themeColor="text1"/>
                          <w:kern w:val="24"/>
                          <w:sz w:val="18"/>
                          <w:szCs w:val="18"/>
                        </w:rPr>
                        <w:t>53</w:t>
                      </w:r>
                      <w:r w:rsidRPr="0091239A">
                        <w:rPr>
                          <w:rFonts w:asciiTheme="majorHAnsi" w:eastAsiaTheme="minorEastAsia" w:hAnsiTheme="majorHAnsi" w:cstheme="majorHAnsi"/>
                          <w:b/>
                          <w:bCs/>
                          <w:color w:val="000000" w:themeColor="text1"/>
                          <w:kern w:val="24"/>
                          <w:sz w:val="18"/>
                          <w:szCs w:val="18"/>
                        </w:rPr>
                        <w:t>％</w:t>
                      </w:r>
                    </w:p>
                  </w:txbxContent>
                </v:textbox>
              </v:shape>
            </w:pict>
          </mc:Fallback>
        </mc:AlternateContent>
      </w:r>
      <w:r w:rsidR="005E4541" w:rsidRPr="008D3B68">
        <w:rPr>
          <w:rFonts w:ascii="Book Antiqua" w:hAnsi="Book Antiqua" w:cs="Times New Roman"/>
          <w:noProof/>
          <w:sz w:val="24"/>
          <w:szCs w:val="24"/>
          <w:lang w:eastAsia="en-US"/>
        </w:rPr>
        <w:drawing>
          <wp:inline distT="0" distB="0" distL="0" distR="0" wp14:anchorId="1B91EA6D" wp14:editId="47DB1377">
            <wp:extent cx="5343525" cy="3266440"/>
            <wp:effectExtent l="0" t="0" r="9525" b="1016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654E" w:rsidRPr="00397554" w:rsidRDefault="009E654E" w:rsidP="00352D86">
      <w:pPr>
        <w:spacing w:line="360" w:lineRule="auto"/>
        <w:rPr>
          <w:rFonts w:ascii="Book Antiqua" w:eastAsia="宋体" w:hAnsi="Book Antiqua" w:cs="Times New Roman"/>
          <w:b/>
          <w:sz w:val="24"/>
          <w:szCs w:val="24"/>
        </w:rPr>
      </w:pPr>
      <w:r w:rsidRPr="00FB66EA">
        <w:rPr>
          <w:rFonts w:ascii="Book Antiqua" w:hAnsi="Book Antiqua" w:cs="Times New Roman"/>
          <w:b/>
          <w:bCs/>
          <w:sz w:val="24"/>
          <w:szCs w:val="24"/>
        </w:rPr>
        <w:t>Figure 1</w:t>
      </w:r>
      <w:r w:rsidRPr="00FB66EA">
        <w:rPr>
          <w:rFonts w:ascii="Book Antiqua" w:hAnsi="Book Antiqua" w:cs="Times New Roman"/>
          <w:b/>
          <w:sz w:val="24"/>
          <w:szCs w:val="24"/>
        </w:rPr>
        <w:t xml:space="preserve"> Remission rate of each subgroup with </w:t>
      </w:r>
      <w:r w:rsidR="00253B80" w:rsidRPr="00FB66EA">
        <w:rPr>
          <w:rFonts w:ascii="Book Antiqua" w:hAnsi="Book Antiqua" w:cs="Times New Roman"/>
          <w:b/>
          <w:sz w:val="24"/>
          <w:szCs w:val="24"/>
        </w:rPr>
        <w:t>ursodeoxycholic acid</w:t>
      </w:r>
      <w:r w:rsidRPr="00FB66EA">
        <w:rPr>
          <w:rFonts w:ascii="Book Antiqua" w:hAnsi="Book Antiqua" w:cs="Times New Roman"/>
          <w:b/>
          <w:sz w:val="24"/>
          <w:szCs w:val="24"/>
        </w:rPr>
        <w:t xml:space="preserve"> therapy.</w:t>
      </w:r>
      <w:r w:rsidRPr="008D3B68">
        <w:rPr>
          <w:rFonts w:ascii="Book Antiqua" w:hAnsi="Book Antiqua" w:cs="Times New Roman"/>
          <w:sz w:val="24"/>
          <w:szCs w:val="24"/>
        </w:rPr>
        <w:t xml:space="preserve"> Remission was induced and maintained by </w:t>
      </w:r>
      <w:r w:rsidR="00253B80" w:rsidRPr="008D3B68">
        <w:rPr>
          <w:rFonts w:ascii="Book Antiqua" w:hAnsi="Book Antiqua" w:cs="Times New Roman"/>
          <w:sz w:val="24"/>
          <w:szCs w:val="24"/>
        </w:rPr>
        <w:t>ursodeoxycholic acid</w:t>
      </w:r>
      <w:r w:rsidRPr="008D3B68">
        <w:rPr>
          <w:rFonts w:ascii="Book Antiqua" w:hAnsi="Book Antiqua" w:cs="Times New Roman"/>
          <w:sz w:val="24"/>
          <w:szCs w:val="24"/>
        </w:rPr>
        <w:t xml:space="preserve"> in 85%, 83%, and 92% of patients in Subgroups A, B, and C, respectively. On the other hand, the rates of remission induction and successful maintenance in Subgroups D, E, and F are low, at 40%, 53%, and 50%, respectively.</w:t>
      </w:r>
      <w:r w:rsidR="00397554">
        <w:rPr>
          <w:rFonts w:ascii="Book Antiqua" w:eastAsia="宋体" w:hAnsi="Book Antiqua" w:cs="Times New Roman" w:hint="eastAsia"/>
          <w:sz w:val="24"/>
          <w:szCs w:val="24"/>
        </w:rPr>
        <w:t xml:space="preserve"> ALT:</w:t>
      </w:r>
      <w:r w:rsidR="00397554" w:rsidRPr="00397554">
        <w:rPr>
          <w:rFonts w:ascii="Book Antiqua" w:hAnsi="Book Antiqua" w:cs="Times New Roman"/>
          <w:sz w:val="24"/>
          <w:szCs w:val="24"/>
        </w:rPr>
        <w:t xml:space="preserve"> </w:t>
      </w:r>
      <w:r w:rsidR="00397554" w:rsidRPr="008D3B68">
        <w:rPr>
          <w:rFonts w:ascii="Book Antiqua" w:hAnsi="Book Antiqua" w:cs="Times New Roman"/>
          <w:sz w:val="24"/>
          <w:szCs w:val="24"/>
        </w:rPr>
        <w:t>Alanine aminotransferase</w:t>
      </w:r>
      <w:r w:rsidR="00397554">
        <w:rPr>
          <w:rFonts w:ascii="Book Antiqua" w:eastAsia="宋体" w:hAnsi="Book Antiqua" w:cs="Times New Roman" w:hint="eastAsia"/>
          <w:sz w:val="24"/>
          <w:szCs w:val="24"/>
        </w:rPr>
        <w:t>.</w:t>
      </w:r>
    </w:p>
    <w:p w:rsidR="00B142CC" w:rsidRPr="008D3B68" w:rsidRDefault="00B142CC" w:rsidP="00352D86">
      <w:pPr>
        <w:spacing w:line="360" w:lineRule="auto"/>
        <w:rPr>
          <w:rFonts w:ascii="Book Antiqua" w:hAnsi="Book Antiqua" w:cs="Times New Roman"/>
          <w:sz w:val="24"/>
          <w:szCs w:val="24"/>
        </w:rPr>
      </w:pPr>
    </w:p>
    <w:p w:rsidR="00B142CC" w:rsidRPr="008D3B68" w:rsidRDefault="00B142CC" w:rsidP="00352D86">
      <w:pPr>
        <w:spacing w:line="360" w:lineRule="auto"/>
        <w:rPr>
          <w:rFonts w:ascii="Book Antiqua" w:hAnsi="Book Antiqua" w:cs="Times New Roman"/>
          <w:sz w:val="24"/>
          <w:szCs w:val="24"/>
        </w:rPr>
      </w:pPr>
    </w:p>
    <w:p w:rsidR="00B142CC" w:rsidRPr="008D3B68" w:rsidRDefault="00B142CC" w:rsidP="00352D86">
      <w:pPr>
        <w:spacing w:line="360" w:lineRule="auto"/>
        <w:rPr>
          <w:rFonts w:ascii="Book Antiqua" w:hAnsi="Book Antiqua" w:cs="Times New Roman"/>
          <w:sz w:val="24"/>
          <w:szCs w:val="24"/>
        </w:rPr>
      </w:pPr>
    </w:p>
    <w:p w:rsidR="00B142CC" w:rsidRPr="008D3B68" w:rsidRDefault="00B142CC" w:rsidP="00352D86">
      <w:pPr>
        <w:spacing w:line="360" w:lineRule="auto"/>
        <w:rPr>
          <w:rFonts w:ascii="Book Antiqua" w:hAnsi="Book Antiqua" w:cs="Times New Roman"/>
          <w:sz w:val="24"/>
          <w:szCs w:val="24"/>
        </w:rPr>
      </w:pPr>
    </w:p>
    <w:p w:rsidR="00B142CC" w:rsidRDefault="00B142CC" w:rsidP="00352D86">
      <w:pPr>
        <w:spacing w:line="360" w:lineRule="auto"/>
        <w:rPr>
          <w:rFonts w:ascii="Book Antiqua" w:eastAsia="宋体" w:hAnsi="Book Antiqua" w:cs="Times New Roman"/>
          <w:sz w:val="24"/>
          <w:szCs w:val="24"/>
        </w:rPr>
      </w:pPr>
    </w:p>
    <w:p w:rsidR="00E55899" w:rsidRDefault="00E55899" w:rsidP="00352D86">
      <w:pPr>
        <w:spacing w:line="360" w:lineRule="auto"/>
        <w:rPr>
          <w:rFonts w:ascii="Book Antiqua" w:eastAsia="宋体" w:hAnsi="Book Antiqua" w:cs="Times New Roman"/>
          <w:sz w:val="24"/>
          <w:szCs w:val="24"/>
        </w:rPr>
      </w:pPr>
    </w:p>
    <w:p w:rsidR="00E55899" w:rsidRDefault="00E55899" w:rsidP="00352D86">
      <w:pPr>
        <w:spacing w:line="360" w:lineRule="auto"/>
        <w:rPr>
          <w:rFonts w:ascii="Book Antiqua" w:eastAsia="宋体" w:hAnsi="Book Antiqua" w:cs="Times New Roman"/>
          <w:sz w:val="24"/>
          <w:szCs w:val="24"/>
        </w:rPr>
      </w:pPr>
    </w:p>
    <w:p w:rsidR="00E55899" w:rsidRPr="00E55899" w:rsidRDefault="00E55899" w:rsidP="00352D86">
      <w:pPr>
        <w:spacing w:line="360" w:lineRule="auto"/>
        <w:rPr>
          <w:rFonts w:ascii="Book Antiqua" w:eastAsia="宋体" w:hAnsi="Book Antiqua" w:cs="Times New Roman"/>
          <w:sz w:val="24"/>
          <w:szCs w:val="24"/>
        </w:rPr>
      </w:pPr>
    </w:p>
    <w:p w:rsidR="007E1E54" w:rsidRPr="00F738CD" w:rsidRDefault="00491E41" w:rsidP="00352D86">
      <w:pPr>
        <w:spacing w:line="360" w:lineRule="auto"/>
        <w:rPr>
          <w:rFonts w:ascii="Book Antiqua" w:hAnsi="Book Antiqua" w:cs="Times New Roman"/>
          <w:b/>
          <w:sz w:val="24"/>
          <w:szCs w:val="24"/>
        </w:rPr>
      </w:pPr>
      <w:r w:rsidRPr="00F738CD">
        <w:rPr>
          <w:rFonts w:ascii="Book Antiqua" w:hAnsi="Book Antiqua" w:cs="Times New Roman"/>
          <w:b/>
          <w:sz w:val="24"/>
          <w:szCs w:val="24"/>
        </w:rPr>
        <w:lastRenderedPageBreak/>
        <w:t>T</w:t>
      </w:r>
      <w:r w:rsidR="009E654E" w:rsidRPr="00F738CD">
        <w:rPr>
          <w:rFonts w:ascii="Book Antiqua" w:hAnsi="Book Antiqua" w:cs="Times New Roman"/>
          <w:b/>
          <w:sz w:val="24"/>
          <w:szCs w:val="24"/>
        </w:rPr>
        <w:t>able 1</w:t>
      </w:r>
      <w:r w:rsidR="007E1E54" w:rsidRPr="00F738CD">
        <w:rPr>
          <w:rFonts w:ascii="Book Antiqua" w:hAnsi="Book Antiqua" w:cs="Times New Roman"/>
          <w:b/>
          <w:sz w:val="24"/>
          <w:szCs w:val="24"/>
        </w:rPr>
        <w:t xml:space="preserve"> Clinical features of the two groups classified according to the therapeutic agent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543"/>
        <w:gridCol w:w="2268"/>
        <w:gridCol w:w="986"/>
      </w:tblGrid>
      <w:tr w:rsidR="007E1E54" w:rsidRPr="008D3B68" w:rsidTr="007E1E54">
        <w:trPr>
          <w:trHeight w:val="285"/>
        </w:trPr>
        <w:tc>
          <w:tcPr>
            <w:tcW w:w="2697" w:type="dxa"/>
            <w:tcBorders>
              <w:top w:val="single" w:sz="4" w:space="0" w:color="auto"/>
              <w:bottom w:val="single" w:sz="4" w:space="0" w:color="auto"/>
            </w:tcBorders>
            <w:noWrap/>
            <w:hideMark/>
          </w:tcPr>
          <w:p w:rsidR="007E1E54" w:rsidRPr="006543D7" w:rsidRDefault="007E1E54" w:rsidP="00352D86">
            <w:pPr>
              <w:spacing w:line="360" w:lineRule="auto"/>
              <w:rPr>
                <w:rFonts w:ascii="Book Antiqua" w:hAnsi="Book Antiqua" w:cs="Times New Roman"/>
                <w:b/>
                <w:sz w:val="24"/>
                <w:szCs w:val="24"/>
              </w:rPr>
            </w:pPr>
            <w:r w:rsidRPr="006543D7">
              <w:rPr>
                <w:rFonts w:ascii="Book Antiqua" w:hAnsi="Book Antiqua" w:cs="Times New Roman"/>
                <w:b/>
                <w:sz w:val="24"/>
                <w:szCs w:val="24"/>
              </w:rPr>
              <w:t xml:space="preserve">　</w:t>
            </w:r>
          </w:p>
        </w:tc>
        <w:tc>
          <w:tcPr>
            <w:tcW w:w="2543" w:type="dxa"/>
            <w:tcBorders>
              <w:top w:val="single" w:sz="4" w:space="0" w:color="auto"/>
              <w:bottom w:val="single" w:sz="4" w:space="0" w:color="auto"/>
            </w:tcBorders>
            <w:noWrap/>
            <w:hideMark/>
          </w:tcPr>
          <w:p w:rsidR="007E1E54" w:rsidRPr="006543D7" w:rsidRDefault="008B3A4C" w:rsidP="00352D86">
            <w:pPr>
              <w:spacing w:line="360" w:lineRule="auto"/>
              <w:rPr>
                <w:rFonts w:ascii="Book Antiqua" w:hAnsi="Book Antiqua" w:cs="Times New Roman"/>
                <w:b/>
                <w:sz w:val="24"/>
                <w:szCs w:val="24"/>
              </w:rPr>
            </w:pPr>
            <w:r w:rsidRPr="006543D7">
              <w:rPr>
                <w:rFonts w:ascii="Book Antiqua" w:hAnsi="Book Antiqua" w:cs="Times New Roman"/>
                <w:b/>
                <w:sz w:val="24"/>
                <w:szCs w:val="24"/>
              </w:rPr>
              <w:t>G</w:t>
            </w:r>
            <w:r w:rsidR="007E1E54" w:rsidRPr="006543D7">
              <w:rPr>
                <w:rFonts w:ascii="Book Antiqua" w:hAnsi="Book Antiqua" w:cs="Times New Roman"/>
                <w:b/>
                <w:sz w:val="24"/>
                <w:szCs w:val="24"/>
              </w:rPr>
              <w:t>roup U (</w:t>
            </w:r>
            <w:r w:rsidR="005109D3" w:rsidRPr="006543D7">
              <w:rPr>
                <w:rFonts w:ascii="Book Antiqua" w:hAnsi="Book Antiqua" w:cs="Times New Roman"/>
                <w:b/>
                <w:i/>
                <w:sz w:val="24"/>
                <w:szCs w:val="24"/>
              </w:rPr>
              <w:t>n</w:t>
            </w:r>
            <w:r w:rsidR="005109D3" w:rsidRPr="006543D7">
              <w:rPr>
                <w:rFonts w:ascii="Book Antiqua" w:eastAsia="宋体" w:hAnsi="Book Antiqua" w:cs="Times New Roman" w:hint="eastAsia"/>
                <w:b/>
                <w:sz w:val="24"/>
                <w:szCs w:val="24"/>
              </w:rPr>
              <w:t xml:space="preserve"> </w:t>
            </w:r>
            <w:r w:rsidR="005109D3" w:rsidRPr="006543D7">
              <w:rPr>
                <w:rFonts w:ascii="Book Antiqua" w:hAnsi="Book Antiqua" w:cs="Times New Roman"/>
                <w:b/>
                <w:sz w:val="24"/>
                <w:szCs w:val="24"/>
              </w:rPr>
              <w:t xml:space="preserve">= </w:t>
            </w:r>
            <w:r w:rsidR="007E1E54" w:rsidRPr="006543D7">
              <w:rPr>
                <w:rFonts w:ascii="Book Antiqua" w:hAnsi="Book Antiqua" w:cs="Times New Roman"/>
                <w:b/>
                <w:sz w:val="24"/>
                <w:szCs w:val="24"/>
              </w:rPr>
              <w:t>48)</w:t>
            </w:r>
          </w:p>
        </w:tc>
        <w:tc>
          <w:tcPr>
            <w:tcW w:w="2268" w:type="dxa"/>
            <w:tcBorders>
              <w:top w:val="single" w:sz="4" w:space="0" w:color="auto"/>
              <w:bottom w:val="single" w:sz="4" w:space="0" w:color="auto"/>
            </w:tcBorders>
            <w:noWrap/>
            <w:hideMark/>
          </w:tcPr>
          <w:p w:rsidR="007E1E54" w:rsidRPr="006543D7" w:rsidRDefault="008B3A4C" w:rsidP="00352D86">
            <w:pPr>
              <w:spacing w:line="360" w:lineRule="auto"/>
              <w:rPr>
                <w:rFonts w:ascii="Book Antiqua" w:hAnsi="Book Antiqua" w:cs="Times New Roman"/>
                <w:b/>
                <w:sz w:val="24"/>
                <w:szCs w:val="24"/>
              </w:rPr>
            </w:pPr>
            <w:r w:rsidRPr="006543D7">
              <w:rPr>
                <w:rFonts w:ascii="Book Antiqua" w:hAnsi="Book Antiqua" w:cs="Times New Roman"/>
                <w:b/>
                <w:sz w:val="24"/>
                <w:szCs w:val="24"/>
              </w:rPr>
              <w:t>G</w:t>
            </w:r>
            <w:r w:rsidR="007E1E54" w:rsidRPr="006543D7">
              <w:rPr>
                <w:rFonts w:ascii="Book Antiqua" w:hAnsi="Book Antiqua" w:cs="Times New Roman"/>
                <w:b/>
                <w:sz w:val="24"/>
                <w:szCs w:val="24"/>
              </w:rPr>
              <w:t xml:space="preserve">roup P </w:t>
            </w:r>
            <w:r w:rsidR="007E1E54" w:rsidRPr="006543D7">
              <w:rPr>
                <w:rFonts w:ascii="Book Antiqua" w:hAnsi="Book Antiqua" w:cs="Times New Roman"/>
                <w:b/>
                <w:sz w:val="24"/>
                <w:szCs w:val="24"/>
              </w:rPr>
              <w:t>（</w:t>
            </w:r>
            <w:r w:rsidR="005109D3" w:rsidRPr="006543D7">
              <w:rPr>
                <w:rFonts w:ascii="Book Antiqua" w:hAnsi="Book Antiqua" w:cs="Times New Roman"/>
                <w:b/>
                <w:i/>
                <w:sz w:val="24"/>
                <w:szCs w:val="24"/>
              </w:rPr>
              <w:t>n</w:t>
            </w:r>
            <w:r w:rsidR="005109D3" w:rsidRPr="006543D7">
              <w:rPr>
                <w:rFonts w:ascii="Book Antiqua" w:eastAsia="宋体" w:hAnsi="Book Antiqua" w:cs="Times New Roman" w:hint="eastAsia"/>
                <w:b/>
                <w:sz w:val="24"/>
                <w:szCs w:val="24"/>
              </w:rPr>
              <w:t xml:space="preserve"> </w:t>
            </w:r>
            <w:r w:rsidR="005109D3" w:rsidRPr="006543D7">
              <w:rPr>
                <w:rFonts w:ascii="Book Antiqua" w:hAnsi="Book Antiqua" w:cs="Times New Roman"/>
                <w:b/>
                <w:sz w:val="24"/>
                <w:szCs w:val="24"/>
              </w:rPr>
              <w:t xml:space="preserve">= </w:t>
            </w:r>
            <w:r w:rsidR="007E1E54" w:rsidRPr="006543D7">
              <w:rPr>
                <w:rFonts w:ascii="Book Antiqua" w:hAnsi="Book Antiqua" w:cs="Times New Roman"/>
                <w:b/>
                <w:sz w:val="24"/>
                <w:szCs w:val="24"/>
              </w:rPr>
              <w:t>88</w:t>
            </w:r>
            <w:r w:rsidR="007E1E54" w:rsidRPr="006543D7">
              <w:rPr>
                <w:rFonts w:ascii="Book Antiqua" w:hAnsi="Book Antiqua" w:cs="Times New Roman"/>
                <w:b/>
                <w:sz w:val="24"/>
                <w:szCs w:val="24"/>
              </w:rPr>
              <w:t>）</w:t>
            </w:r>
          </w:p>
        </w:tc>
        <w:tc>
          <w:tcPr>
            <w:tcW w:w="986" w:type="dxa"/>
            <w:tcBorders>
              <w:top w:val="single" w:sz="4" w:space="0" w:color="auto"/>
              <w:bottom w:val="single" w:sz="4" w:space="0" w:color="auto"/>
            </w:tcBorders>
            <w:noWrap/>
            <w:hideMark/>
          </w:tcPr>
          <w:p w:rsidR="007E1E54" w:rsidRPr="006543D7" w:rsidRDefault="00DF4640" w:rsidP="00352D86">
            <w:pPr>
              <w:spacing w:line="360" w:lineRule="auto"/>
              <w:rPr>
                <w:rFonts w:ascii="Book Antiqua" w:hAnsi="Book Antiqua" w:cs="Times New Roman"/>
                <w:b/>
                <w:i/>
                <w:iCs/>
                <w:sz w:val="24"/>
                <w:szCs w:val="24"/>
              </w:rPr>
            </w:pPr>
            <w:r w:rsidRPr="006543D7">
              <w:rPr>
                <w:rFonts w:ascii="Book Antiqua" w:hAnsi="Book Antiqua" w:cs="Times New Roman"/>
                <w:b/>
                <w:i/>
                <w:iCs/>
                <w:sz w:val="24"/>
                <w:szCs w:val="24"/>
              </w:rPr>
              <w:t>P</w:t>
            </w:r>
          </w:p>
        </w:tc>
      </w:tr>
      <w:tr w:rsidR="007E1E54" w:rsidRPr="008D3B68" w:rsidTr="007E1E54">
        <w:trPr>
          <w:trHeight w:val="285"/>
        </w:trPr>
        <w:tc>
          <w:tcPr>
            <w:tcW w:w="2697" w:type="dxa"/>
            <w:tcBorders>
              <w:top w:val="single" w:sz="4" w:space="0" w:color="auto"/>
            </w:tcBorders>
            <w:noWrap/>
            <w:hideMark/>
          </w:tcPr>
          <w:p w:rsidR="007E1E54" w:rsidRPr="008D3B68" w:rsidRDefault="00DD556A" w:rsidP="00352D86">
            <w:pPr>
              <w:spacing w:line="360" w:lineRule="auto"/>
              <w:rPr>
                <w:rFonts w:ascii="Book Antiqua" w:hAnsi="Book Antiqua" w:cs="Times New Roman"/>
                <w:sz w:val="24"/>
                <w:szCs w:val="24"/>
              </w:rPr>
            </w:pPr>
            <w:r>
              <w:rPr>
                <w:rFonts w:ascii="Book Antiqua" w:hAnsi="Book Antiqua" w:cs="Times New Roman"/>
                <w:sz w:val="24"/>
                <w:szCs w:val="24"/>
              </w:rPr>
              <w:t>Age (yr</w:t>
            </w:r>
            <w:r w:rsidR="007E1E54" w:rsidRPr="008D3B68">
              <w:rPr>
                <w:rFonts w:ascii="Book Antiqua" w:hAnsi="Book Antiqua" w:cs="Times New Roman"/>
                <w:sz w:val="24"/>
                <w:szCs w:val="24"/>
              </w:rPr>
              <w:t>)</w:t>
            </w:r>
          </w:p>
        </w:tc>
        <w:tc>
          <w:tcPr>
            <w:tcW w:w="2543" w:type="dxa"/>
            <w:tcBorders>
              <w:top w:val="single" w:sz="4" w:space="0" w:color="auto"/>
            </w:tcBorders>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45 (17</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74)</w:t>
            </w:r>
          </w:p>
        </w:tc>
        <w:tc>
          <w:tcPr>
            <w:tcW w:w="2268" w:type="dxa"/>
            <w:tcBorders>
              <w:top w:val="single" w:sz="4" w:space="0" w:color="auto"/>
            </w:tcBorders>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51 (15</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78)</w:t>
            </w:r>
          </w:p>
        </w:tc>
        <w:tc>
          <w:tcPr>
            <w:tcW w:w="986" w:type="dxa"/>
            <w:tcBorders>
              <w:top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7" w:type="dxa"/>
            <w:noWrap/>
            <w:hideMark/>
          </w:tcPr>
          <w:p w:rsidR="007E1E54" w:rsidRPr="008D3B68" w:rsidRDefault="00491E41"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Sex </w:t>
            </w:r>
            <w:r w:rsidR="007E1E54" w:rsidRPr="008D3B68">
              <w:rPr>
                <w:rFonts w:ascii="Book Antiqua" w:hAnsi="Book Antiqua" w:cs="Times New Roman"/>
                <w:sz w:val="24"/>
                <w:szCs w:val="24"/>
              </w:rPr>
              <w:t>(female)</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45 (93.8%)</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65 (73.9%)</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0.01</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Acute presentation</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5 (10.4%)</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31 (36.5%)</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0.01</w:t>
            </w:r>
          </w:p>
        </w:tc>
      </w:tr>
      <w:tr w:rsidR="007E1E54" w:rsidRPr="008D3B68" w:rsidTr="007E1E54">
        <w:trPr>
          <w:trHeight w:val="285"/>
        </w:trPr>
        <w:tc>
          <w:tcPr>
            <w:tcW w:w="2697"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Laboratory data</w:t>
            </w:r>
          </w:p>
        </w:tc>
        <w:tc>
          <w:tcPr>
            <w:tcW w:w="25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AST </w:t>
            </w:r>
            <w:r w:rsidR="007E1E54" w:rsidRPr="008D3B68">
              <w:rPr>
                <w:rFonts w:ascii="Book Antiqua" w:hAnsi="Book Antiqua" w:cs="Times New Roman"/>
                <w:sz w:val="24"/>
                <w:szCs w:val="24"/>
              </w:rPr>
              <w:t>(I</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007E1E54" w:rsidRPr="008D3B68">
              <w:rPr>
                <w:rFonts w:ascii="Book Antiqua" w:hAnsi="Book Antiqua" w:cs="Times New Roman"/>
                <w:sz w:val="24"/>
                <w:szCs w:val="24"/>
              </w:rPr>
              <w:t>)</w:t>
            </w:r>
          </w:p>
        </w:tc>
        <w:tc>
          <w:tcPr>
            <w:tcW w:w="2543"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104 (46</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1234)</w:t>
            </w:r>
          </w:p>
        </w:tc>
        <w:tc>
          <w:tcPr>
            <w:tcW w:w="2268" w:type="dxa"/>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303 (31</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2215)</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0.001</w:t>
            </w:r>
          </w:p>
        </w:tc>
      </w:tr>
      <w:tr w:rsidR="007E1E54" w:rsidRPr="008D3B68" w:rsidTr="007E1E54">
        <w:trPr>
          <w:trHeight w:val="285"/>
        </w:trPr>
        <w:tc>
          <w:tcPr>
            <w:tcW w:w="2697"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ALT </w:t>
            </w:r>
            <w:r w:rsidR="007E1E54" w:rsidRPr="008D3B68">
              <w:rPr>
                <w:rFonts w:ascii="Book Antiqua" w:hAnsi="Book Antiqua" w:cs="Times New Roman"/>
                <w:sz w:val="24"/>
                <w:szCs w:val="24"/>
              </w:rPr>
              <w:t>(I</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007E1E54" w:rsidRPr="008D3B68">
              <w:rPr>
                <w:rFonts w:ascii="Book Antiqua" w:hAnsi="Book Antiqua" w:cs="Times New Roman"/>
                <w:sz w:val="24"/>
                <w:szCs w:val="24"/>
              </w:rPr>
              <w:t>)</w:t>
            </w:r>
          </w:p>
        </w:tc>
        <w:tc>
          <w:tcPr>
            <w:tcW w:w="2543"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149 (52</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1000)</w:t>
            </w:r>
          </w:p>
        </w:tc>
        <w:tc>
          <w:tcPr>
            <w:tcW w:w="2268"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431 (38</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2801)</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0.001</w:t>
            </w:r>
          </w:p>
        </w:tc>
      </w:tr>
      <w:tr w:rsidR="007E1E54" w:rsidRPr="008D3B68" w:rsidTr="007E1E54">
        <w:trPr>
          <w:trHeight w:val="285"/>
        </w:trPr>
        <w:tc>
          <w:tcPr>
            <w:tcW w:w="2697" w:type="dxa"/>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T.Bil </w:t>
            </w:r>
            <w:r w:rsidR="007E1E54" w:rsidRPr="008D3B68">
              <w:rPr>
                <w:rFonts w:ascii="Book Antiqua" w:hAnsi="Book Antiqua" w:cs="Times New Roman"/>
                <w:sz w:val="24"/>
                <w:szCs w:val="24"/>
              </w:rPr>
              <w:t>(mg</w:t>
            </w:r>
            <w:r w:rsidR="000B03DB" w:rsidRPr="008D3B68">
              <w:rPr>
                <w:rFonts w:ascii="Book Antiqua" w:hAnsi="Book Antiqua" w:cs="Times New Roman"/>
                <w:sz w:val="24"/>
                <w:szCs w:val="24"/>
              </w:rPr>
              <w:t>/dL</w:t>
            </w:r>
            <w:r w:rsidR="007E1E54" w:rsidRPr="008D3B68">
              <w:rPr>
                <w:rFonts w:ascii="Book Antiqua" w:hAnsi="Book Antiqua" w:cs="Times New Roman"/>
                <w:sz w:val="24"/>
                <w:szCs w:val="24"/>
              </w:rPr>
              <w:t>)</w:t>
            </w:r>
          </w:p>
        </w:tc>
        <w:tc>
          <w:tcPr>
            <w:tcW w:w="2543"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0.8 (0.3</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18)</w:t>
            </w:r>
          </w:p>
        </w:tc>
        <w:tc>
          <w:tcPr>
            <w:tcW w:w="2268"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1.3 (0.4</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19.3)</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0.05</w:t>
            </w:r>
          </w:p>
        </w:tc>
      </w:tr>
      <w:tr w:rsidR="007E1E54" w:rsidRPr="008D3B68" w:rsidTr="007E1E54">
        <w:trPr>
          <w:trHeight w:val="285"/>
        </w:trPr>
        <w:tc>
          <w:tcPr>
            <w:tcW w:w="2697"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ALP </w:t>
            </w:r>
            <w:r w:rsidR="007E1E54" w:rsidRPr="008D3B68">
              <w:rPr>
                <w:rFonts w:ascii="Book Antiqua" w:hAnsi="Book Antiqua" w:cs="Times New Roman"/>
                <w:sz w:val="24"/>
                <w:szCs w:val="24"/>
              </w:rPr>
              <w:t>(</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007E1E54" w:rsidRPr="008D3B68">
              <w:rPr>
                <w:rFonts w:ascii="Book Antiqua" w:hAnsi="Book Antiqua" w:cs="Times New Roman"/>
                <w:sz w:val="24"/>
                <w:szCs w:val="24"/>
              </w:rPr>
              <w:t>)</w:t>
            </w:r>
          </w:p>
        </w:tc>
        <w:tc>
          <w:tcPr>
            <w:tcW w:w="2543"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300 (144</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1184)</w:t>
            </w:r>
          </w:p>
        </w:tc>
        <w:tc>
          <w:tcPr>
            <w:tcW w:w="2268" w:type="dxa"/>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369 (145</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4420)</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r w:rsidR="007C46D0" w:rsidRPr="008D3B68">
              <w:rPr>
                <w:rFonts w:ascii="Book Antiqua" w:hAnsi="Book Antiqua" w:cs="Times New Roman"/>
                <w:sz w:val="24"/>
                <w:szCs w:val="24"/>
              </w:rPr>
              <w:t xml:space="preserve">γ-GTP </w:t>
            </w:r>
            <w:r w:rsidRPr="008D3B68">
              <w:rPr>
                <w:rFonts w:ascii="Book Antiqua" w:hAnsi="Book Antiqua" w:cs="Times New Roman"/>
                <w:sz w:val="24"/>
                <w:szCs w:val="24"/>
              </w:rPr>
              <w:t>(</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Pr="008D3B68">
              <w:rPr>
                <w:rFonts w:ascii="Book Antiqua" w:hAnsi="Book Antiqua" w:cs="Times New Roman"/>
                <w:sz w:val="24"/>
                <w:szCs w:val="24"/>
              </w:rPr>
              <w:t>)</w:t>
            </w:r>
          </w:p>
        </w:tc>
        <w:tc>
          <w:tcPr>
            <w:tcW w:w="2543"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82 (13</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875)</w:t>
            </w:r>
          </w:p>
        </w:tc>
        <w:tc>
          <w:tcPr>
            <w:tcW w:w="2268" w:type="dxa"/>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183 (12</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1256)</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0.05</w:t>
            </w:r>
          </w:p>
        </w:tc>
      </w:tr>
      <w:tr w:rsidR="007E1E54" w:rsidRPr="008D3B68" w:rsidTr="007E1E54">
        <w:trPr>
          <w:trHeight w:val="285"/>
        </w:trPr>
        <w:tc>
          <w:tcPr>
            <w:tcW w:w="2697"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IgG </w:t>
            </w:r>
            <w:r w:rsidR="007E1E54" w:rsidRPr="008D3B68">
              <w:rPr>
                <w:rFonts w:ascii="Book Antiqua" w:hAnsi="Book Antiqua" w:cs="Times New Roman"/>
                <w:sz w:val="24"/>
                <w:szCs w:val="24"/>
              </w:rPr>
              <w:t>(mg</w:t>
            </w:r>
            <w:r w:rsidR="000B03DB" w:rsidRPr="008D3B68">
              <w:rPr>
                <w:rFonts w:ascii="Book Antiqua" w:hAnsi="Book Antiqua" w:cs="Times New Roman"/>
                <w:sz w:val="24"/>
                <w:szCs w:val="24"/>
              </w:rPr>
              <w:t>/dL</w:t>
            </w:r>
            <w:r w:rsidR="007E1E54" w:rsidRPr="008D3B68">
              <w:rPr>
                <w:rFonts w:ascii="Book Antiqua" w:hAnsi="Book Antiqua" w:cs="Times New Roman"/>
                <w:sz w:val="24"/>
                <w:szCs w:val="24"/>
              </w:rPr>
              <w:t>)</w:t>
            </w:r>
          </w:p>
        </w:tc>
        <w:tc>
          <w:tcPr>
            <w:tcW w:w="2543"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1954 (1096</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3793)</w:t>
            </w:r>
          </w:p>
        </w:tc>
        <w:tc>
          <w:tcPr>
            <w:tcW w:w="2268" w:type="dxa"/>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2336 (1051</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5776)</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0.01</w:t>
            </w:r>
          </w:p>
        </w:tc>
      </w:tr>
      <w:tr w:rsidR="007E1E54" w:rsidRPr="008D3B68" w:rsidTr="007E1E54">
        <w:trPr>
          <w:trHeight w:val="285"/>
        </w:trPr>
        <w:tc>
          <w:tcPr>
            <w:tcW w:w="2697"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ANA </w:t>
            </w:r>
            <w:r w:rsidR="007E1E54" w:rsidRPr="008D3B68">
              <w:rPr>
                <w:rFonts w:ascii="Book Antiqua" w:hAnsi="Book Antiqua" w:cs="Times New Roman"/>
                <w:sz w:val="24"/>
                <w:szCs w:val="24"/>
              </w:rPr>
              <w:t>(</w:t>
            </w:r>
            <w:r w:rsidR="00491E41" w:rsidRPr="008D3B68">
              <w:rPr>
                <w:rFonts w:ascii="Book Antiqua" w:eastAsia="Arial Unicode MS" w:hAnsi="Book Antiqua" w:cs="Times New Roman"/>
                <w:sz w:val="24"/>
                <w:szCs w:val="24"/>
              </w:rPr>
              <w:t>≥</w:t>
            </w:r>
            <w:r w:rsidR="0097604B">
              <w:rPr>
                <w:rFonts w:ascii="Book Antiqua" w:eastAsia="Arial Unicode MS" w:hAnsi="Book Antiqua" w:cs="Times New Roman" w:hint="eastAsia"/>
                <w:sz w:val="24"/>
                <w:szCs w:val="24"/>
              </w:rPr>
              <w:t xml:space="preserve"> </w:t>
            </w:r>
            <w:r w:rsidR="007E1E54" w:rsidRPr="008D3B68">
              <w:rPr>
                <w:rFonts w:ascii="Book Antiqua" w:hAnsi="Book Antiqua" w:cs="Times New Roman"/>
                <w:sz w:val="24"/>
                <w:szCs w:val="24"/>
              </w:rPr>
              <w:t>1 : 40)</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46 (95.8%)</w:t>
            </w:r>
          </w:p>
        </w:tc>
        <w:tc>
          <w:tcPr>
            <w:tcW w:w="2268"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83 (94.3%)</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7"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SMA </w:t>
            </w:r>
            <w:r w:rsidR="007E1E54" w:rsidRPr="008D3B68">
              <w:rPr>
                <w:rFonts w:ascii="Book Antiqua" w:hAnsi="Book Antiqua" w:cs="Times New Roman"/>
                <w:sz w:val="24"/>
                <w:szCs w:val="24"/>
              </w:rPr>
              <w:t>(</w:t>
            </w:r>
            <w:r w:rsidR="00491E41" w:rsidRPr="008D3B68">
              <w:rPr>
                <w:rFonts w:ascii="Book Antiqua" w:eastAsia="Arial Unicode MS" w:hAnsi="Book Antiqua" w:cs="Times New Roman"/>
                <w:sz w:val="24"/>
                <w:szCs w:val="24"/>
              </w:rPr>
              <w:t>≥</w:t>
            </w:r>
            <w:r w:rsidR="0097604B">
              <w:rPr>
                <w:rFonts w:ascii="Book Antiqua" w:eastAsia="Arial Unicode MS" w:hAnsi="Book Antiqua" w:cs="Times New Roman" w:hint="eastAsia"/>
                <w:sz w:val="24"/>
                <w:szCs w:val="24"/>
              </w:rPr>
              <w:t xml:space="preserve"> </w:t>
            </w:r>
            <w:r w:rsidR="007E1E54" w:rsidRPr="008D3B68">
              <w:rPr>
                <w:rFonts w:ascii="Book Antiqua" w:hAnsi="Book Antiqua" w:cs="Times New Roman"/>
                <w:sz w:val="24"/>
                <w:szCs w:val="24"/>
              </w:rPr>
              <w:t>1 : 40)</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11/23 (47.8%)</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35/45 (77.8%)</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0.05</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HLA DR4</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6/16 (37.5%)</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33/57 (57.9%)</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Histological finding</w:t>
            </w:r>
          </w:p>
        </w:tc>
        <w:tc>
          <w:tcPr>
            <w:tcW w:w="25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Grading</w:t>
            </w:r>
          </w:p>
        </w:tc>
        <w:tc>
          <w:tcPr>
            <w:tcW w:w="25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A1</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29 (60.4%)</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25 (28.4%)</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0.01</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A2</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18 (37.5%)</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44 (50%)</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A3</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 (2.1%)</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19 (21.6%)</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Staging</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268"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F1</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35 (72.9%)</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43 (48.9%)</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&lt;</w:t>
            </w:r>
            <w:r w:rsidR="00DD556A">
              <w:rPr>
                <w:rFonts w:ascii="Book Antiqua" w:eastAsia="宋体" w:hAnsi="Book Antiqua" w:cs="Times New Roman" w:hint="eastAsia"/>
                <w:sz w:val="24"/>
                <w:szCs w:val="24"/>
              </w:rPr>
              <w:t xml:space="preserve"> </w:t>
            </w:r>
            <w:r w:rsidRPr="008D3B68">
              <w:rPr>
                <w:rFonts w:ascii="Book Antiqua" w:hAnsi="Book Antiqua" w:cs="Times New Roman"/>
                <w:sz w:val="24"/>
                <w:szCs w:val="24"/>
              </w:rPr>
              <w:t>0.05</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F2</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6 (12.5%)</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28 (31.8%)</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lastRenderedPageBreak/>
              <w:t xml:space="preserve">   F3</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6 (12.5%)</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10 (11.4%)</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F4</w:t>
            </w:r>
          </w:p>
        </w:tc>
        <w:tc>
          <w:tcPr>
            <w:tcW w:w="2543"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 (2.1%)</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7 (8.0)</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AIH score</w:t>
            </w:r>
          </w:p>
        </w:tc>
        <w:tc>
          <w:tcPr>
            <w:tcW w:w="25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268"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7"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Revised score</w:t>
            </w:r>
          </w:p>
        </w:tc>
        <w:tc>
          <w:tcPr>
            <w:tcW w:w="2543" w:type="dxa"/>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15 (10</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20)</w:t>
            </w:r>
          </w:p>
        </w:tc>
        <w:tc>
          <w:tcPr>
            <w:tcW w:w="2268" w:type="dxa"/>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16 (7</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23)</w:t>
            </w:r>
          </w:p>
        </w:tc>
        <w:tc>
          <w:tcPr>
            <w:tcW w:w="986"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7" w:type="dxa"/>
            <w:tcBorders>
              <w:bottom w:val="single" w:sz="4" w:space="0" w:color="auto"/>
            </w:tcBorders>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Simplified score</w:t>
            </w:r>
          </w:p>
        </w:tc>
        <w:tc>
          <w:tcPr>
            <w:tcW w:w="2543" w:type="dxa"/>
            <w:tcBorders>
              <w:bottom w:val="single" w:sz="4" w:space="0" w:color="auto"/>
            </w:tcBorders>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6 (4</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8)</w:t>
            </w:r>
          </w:p>
        </w:tc>
        <w:tc>
          <w:tcPr>
            <w:tcW w:w="2268" w:type="dxa"/>
            <w:tcBorders>
              <w:bottom w:val="single" w:sz="4" w:space="0" w:color="auto"/>
            </w:tcBorders>
            <w:noWrap/>
            <w:hideMark/>
          </w:tcPr>
          <w:p w:rsidR="007E1E54" w:rsidRPr="008D3B68" w:rsidRDefault="007E1E54" w:rsidP="00DD556A">
            <w:pPr>
              <w:spacing w:line="360" w:lineRule="auto"/>
              <w:rPr>
                <w:rFonts w:ascii="Book Antiqua" w:hAnsi="Book Antiqua" w:cs="Times New Roman"/>
                <w:sz w:val="24"/>
                <w:szCs w:val="24"/>
              </w:rPr>
            </w:pPr>
            <w:r w:rsidRPr="008D3B68">
              <w:rPr>
                <w:rFonts w:ascii="Book Antiqua" w:hAnsi="Book Antiqua" w:cs="Times New Roman"/>
                <w:sz w:val="24"/>
                <w:szCs w:val="24"/>
              </w:rPr>
              <w:t>6 (3</w:t>
            </w:r>
            <w:r w:rsidR="00DD556A">
              <w:rPr>
                <w:rFonts w:ascii="Book Antiqua" w:eastAsia="宋体" w:hAnsi="Book Antiqua" w:cs="Times New Roman" w:hint="eastAsia"/>
                <w:sz w:val="24"/>
                <w:szCs w:val="24"/>
              </w:rPr>
              <w:t>-</w:t>
            </w:r>
            <w:r w:rsidRPr="008D3B68">
              <w:rPr>
                <w:rFonts w:ascii="Book Antiqua" w:hAnsi="Book Antiqua" w:cs="Times New Roman"/>
                <w:sz w:val="24"/>
                <w:szCs w:val="24"/>
              </w:rPr>
              <w:t>8)</w:t>
            </w:r>
          </w:p>
        </w:tc>
        <w:tc>
          <w:tcPr>
            <w:tcW w:w="986" w:type="dxa"/>
            <w:tcBorders>
              <w:bottom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bl>
    <w:p w:rsidR="007E1E54" w:rsidRPr="00FB3618" w:rsidRDefault="007E1E54" w:rsidP="00352D86">
      <w:pPr>
        <w:spacing w:line="360" w:lineRule="auto"/>
        <w:rPr>
          <w:rFonts w:ascii="Book Antiqua" w:eastAsia="宋体" w:hAnsi="Book Antiqua" w:cs="Times New Roman"/>
          <w:sz w:val="24"/>
          <w:szCs w:val="24"/>
        </w:rPr>
      </w:pPr>
      <w:r w:rsidRPr="008D3B68">
        <w:rPr>
          <w:rFonts w:ascii="Book Antiqua" w:hAnsi="Book Antiqua" w:cs="Times New Roman"/>
          <w:sz w:val="24"/>
          <w:szCs w:val="24"/>
        </w:rPr>
        <w:t xml:space="preserve">Continuous variables </w:t>
      </w:r>
      <w:r w:rsidR="00491E41" w:rsidRPr="008D3B68">
        <w:rPr>
          <w:rFonts w:ascii="Book Antiqua" w:hAnsi="Book Antiqua" w:cs="Times New Roman"/>
          <w:sz w:val="24"/>
          <w:szCs w:val="24"/>
        </w:rPr>
        <w:t xml:space="preserve">are </w:t>
      </w:r>
      <w:r w:rsidRPr="008D3B68">
        <w:rPr>
          <w:rFonts w:ascii="Book Antiqua" w:hAnsi="Book Antiqua" w:cs="Times New Roman"/>
          <w:sz w:val="24"/>
          <w:szCs w:val="24"/>
        </w:rPr>
        <w:t>expressed as median (range) values. The Mann</w:t>
      </w:r>
      <w:r w:rsidR="008B3A4C" w:rsidRPr="008D3B68">
        <w:rPr>
          <w:rFonts w:ascii="Book Antiqua" w:hAnsi="Book Antiqua" w:cs="Times New Roman"/>
          <w:sz w:val="24"/>
          <w:szCs w:val="24"/>
        </w:rPr>
        <w:t>-</w:t>
      </w:r>
      <w:r w:rsidRPr="008D3B68">
        <w:rPr>
          <w:rFonts w:ascii="Book Antiqua" w:hAnsi="Book Antiqua" w:cs="Times New Roman"/>
          <w:sz w:val="24"/>
          <w:szCs w:val="24"/>
        </w:rPr>
        <w:t>Whitney U test was used to evaluate differences in continuous variables between two groups.</w:t>
      </w:r>
      <w:r w:rsidR="008712FB">
        <w:rPr>
          <w:rFonts w:ascii="Book Antiqua" w:eastAsia="宋体" w:hAnsi="Book Antiqua" w:cs="Times New Roman" w:hint="eastAsia"/>
          <w:sz w:val="24"/>
          <w:szCs w:val="24"/>
        </w:rPr>
        <w:t xml:space="preserve"> </w:t>
      </w:r>
      <w:r w:rsidRPr="008D3B68">
        <w:rPr>
          <w:rFonts w:ascii="Book Antiqua" w:hAnsi="Book Antiqua" w:cs="Times New Roman"/>
          <w:sz w:val="24"/>
          <w:szCs w:val="24"/>
        </w:rPr>
        <w:t>Dichotomous variables were compared by Pearson</w:t>
      </w:r>
      <w:r w:rsidR="00491E41" w:rsidRPr="008D3B68">
        <w:rPr>
          <w:rFonts w:ascii="Book Antiqua" w:hAnsi="Book Antiqua" w:cs="Times New Roman"/>
          <w:sz w:val="24"/>
          <w:szCs w:val="24"/>
        </w:rPr>
        <w:t>’</w:t>
      </w:r>
      <w:r w:rsidRPr="008D3B68">
        <w:rPr>
          <w:rFonts w:ascii="Book Antiqua" w:hAnsi="Book Antiqua" w:cs="Times New Roman"/>
          <w:sz w:val="24"/>
          <w:szCs w:val="24"/>
        </w:rPr>
        <w:t>s</w:t>
      </w:r>
      <w:r w:rsidR="002D310B">
        <w:rPr>
          <w:rFonts w:ascii="Book Antiqua" w:eastAsia="宋体" w:hAnsi="Book Antiqua" w:cs="Times New Roman" w:hint="eastAsia"/>
          <w:sz w:val="24"/>
          <w:szCs w:val="24"/>
        </w:rPr>
        <w:t xml:space="preserve"> </w:t>
      </w:r>
      <w:r w:rsidR="002D310B" w:rsidRPr="00026D49">
        <w:rPr>
          <w:rFonts w:ascii="Book Antiqua" w:hAnsi="Book Antiqua"/>
          <w:i/>
          <w:sz w:val="24"/>
          <w:szCs w:val="24"/>
        </w:rPr>
        <w:t>χ</w:t>
      </w:r>
      <w:r w:rsidR="002D310B" w:rsidRPr="00026D49">
        <w:rPr>
          <w:rFonts w:ascii="Book Antiqua" w:hAnsi="Book Antiqua"/>
          <w:i/>
          <w:sz w:val="24"/>
          <w:szCs w:val="24"/>
          <w:vertAlign w:val="superscript"/>
        </w:rPr>
        <w:t>2</w:t>
      </w:r>
      <w:r w:rsidRPr="008D3B68">
        <w:rPr>
          <w:rFonts w:ascii="Book Antiqua" w:hAnsi="Book Antiqua" w:cs="Times New Roman"/>
          <w:sz w:val="24"/>
          <w:szCs w:val="24"/>
        </w:rPr>
        <w:t xml:space="preserve"> test.</w:t>
      </w:r>
      <w:r w:rsidR="008712FB">
        <w:rPr>
          <w:rFonts w:ascii="Book Antiqua" w:eastAsia="宋体" w:hAnsi="Book Antiqua" w:cs="Times New Roman" w:hint="eastAsia"/>
          <w:sz w:val="24"/>
          <w:szCs w:val="24"/>
        </w:rPr>
        <w:t xml:space="preserve"> </w:t>
      </w:r>
      <w:r w:rsidR="00491E41" w:rsidRPr="008D3B68">
        <w:rPr>
          <w:rFonts w:ascii="Book Antiqua" w:hAnsi="Book Antiqua" w:cs="Times New Roman"/>
          <w:sz w:val="24"/>
          <w:szCs w:val="24"/>
        </w:rPr>
        <w:t>V</w:t>
      </w:r>
      <w:r w:rsidRPr="008D3B68">
        <w:rPr>
          <w:rFonts w:ascii="Book Antiqua" w:hAnsi="Book Antiqua" w:cs="Times New Roman"/>
          <w:sz w:val="24"/>
          <w:szCs w:val="24"/>
        </w:rPr>
        <w:t xml:space="preserve">alues of </w:t>
      </w:r>
      <w:r w:rsidR="00DF4640" w:rsidRPr="008D3B68">
        <w:rPr>
          <w:rFonts w:ascii="Book Antiqua" w:hAnsi="Book Antiqua" w:cs="Times New Roman"/>
          <w:i/>
          <w:sz w:val="24"/>
          <w:szCs w:val="24"/>
        </w:rPr>
        <w:t>P</w:t>
      </w:r>
      <w:r w:rsidR="0002243C" w:rsidRPr="008D3B68">
        <w:rPr>
          <w:rFonts w:ascii="Book Antiqua" w:hAnsi="Book Antiqua" w:cs="Times New Roman"/>
          <w:sz w:val="24"/>
          <w:szCs w:val="24"/>
        </w:rPr>
        <w:t xml:space="preserve"> </w:t>
      </w:r>
      <w:r w:rsidRPr="008D3B68">
        <w:rPr>
          <w:rFonts w:ascii="Book Antiqua" w:hAnsi="Book Antiqua" w:cs="Times New Roman"/>
          <w:sz w:val="24"/>
          <w:szCs w:val="24"/>
        </w:rPr>
        <w:t>&lt;</w:t>
      </w:r>
      <w:r w:rsidR="0002243C" w:rsidRPr="008D3B68">
        <w:rPr>
          <w:rFonts w:ascii="Book Antiqua" w:hAnsi="Book Antiqua" w:cs="Times New Roman"/>
          <w:sz w:val="24"/>
          <w:szCs w:val="24"/>
        </w:rPr>
        <w:t xml:space="preserve"> </w:t>
      </w:r>
      <w:r w:rsidRPr="008D3B68">
        <w:rPr>
          <w:rFonts w:ascii="Book Antiqua" w:hAnsi="Book Antiqua" w:cs="Times New Roman"/>
          <w:sz w:val="24"/>
          <w:szCs w:val="24"/>
        </w:rPr>
        <w:t>0.05 were considered significant.</w:t>
      </w:r>
      <w:r w:rsidR="00D23304" w:rsidRPr="00D23304">
        <w:rPr>
          <w:rFonts w:ascii="Book Antiqua" w:eastAsia="宋体" w:hAnsi="Book Antiqua" w:cs="Times New Roman" w:hint="eastAsia"/>
          <w:sz w:val="24"/>
          <w:szCs w:val="24"/>
        </w:rPr>
        <w:t xml:space="preserve"> </w:t>
      </w:r>
      <w:r w:rsidR="00D23304">
        <w:rPr>
          <w:rFonts w:ascii="Book Antiqua" w:eastAsia="宋体" w:hAnsi="Book Antiqua" w:cs="Times New Roman" w:hint="eastAsia"/>
          <w:sz w:val="24"/>
          <w:szCs w:val="24"/>
        </w:rPr>
        <w:t>ALT:</w:t>
      </w:r>
      <w:r w:rsidR="00D23304" w:rsidRPr="00397554">
        <w:rPr>
          <w:rFonts w:ascii="Book Antiqua" w:hAnsi="Book Antiqua" w:cs="Times New Roman"/>
          <w:sz w:val="24"/>
          <w:szCs w:val="24"/>
        </w:rPr>
        <w:t xml:space="preserve"> </w:t>
      </w:r>
      <w:r w:rsidR="00D23304" w:rsidRPr="008D3B68">
        <w:rPr>
          <w:rFonts w:ascii="Book Antiqua" w:hAnsi="Book Antiqua" w:cs="Times New Roman"/>
          <w:sz w:val="24"/>
          <w:szCs w:val="24"/>
        </w:rPr>
        <w:t>Alanine aminotransferase</w:t>
      </w:r>
      <w:r w:rsidR="002B7A3E">
        <w:rPr>
          <w:rFonts w:ascii="Book Antiqua" w:eastAsia="宋体" w:hAnsi="Book Antiqua" w:cs="Times New Roman" w:hint="eastAsia"/>
          <w:sz w:val="24"/>
          <w:szCs w:val="24"/>
        </w:rPr>
        <w:t>; AIH:</w:t>
      </w:r>
      <w:r w:rsidR="002B7A3E" w:rsidRPr="002B7A3E">
        <w:rPr>
          <w:rFonts w:ascii="Book Antiqua" w:hAnsi="Book Antiqua" w:cs="Times New Roman"/>
          <w:sz w:val="24"/>
          <w:szCs w:val="24"/>
        </w:rPr>
        <w:t xml:space="preserve"> </w:t>
      </w:r>
      <w:r w:rsidR="002B7A3E" w:rsidRPr="008D3B68">
        <w:rPr>
          <w:rFonts w:ascii="Book Antiqua" w:hAnsi="Book Antiqua" w:cs="Times New Roman"/>
          <w:sz w:val="24"/>
          <w:szCs w:val="24"/>
        </w:rPr>
        <w:t>Autoimmune hepatitis</w:t>
      </w:r>
      <w:r w:rsidR="00FB3618">
        <w:rPr>
          <w:rFonts w:ascii="Book Antiqua" w:eastAsia="宋体" w:hAnsi="Book Antiqua" w:cs="Times New Roman" w:hint="eastAsia"/>
          <w:sz w:val="24"/>
          <w:szCs w:val="24"/>
        </w:rPr>
        <w:t>;</w:t>
      </w:r>
      <w:r w:rsidR="00FB3618" w:rsidRPr="00FB3618">
        <w:rPr>
          <w:rFonts w:ascii="Book Antiqua" w:hAnsi="Book Antiqua" w:cs="Times New Roman"/>
          <w:sz w:val="24"/>
          <w:szCs w:val="24"/>
        </w:rPr>
        <w:t xml:space="preserve"> </w:t>
      </w:r>
      <w:r w:rsidR="00FB3618" w:rsidRPr="008D3B68">
        <w:rPr>
          <w:rFonts w:ascii="Book Antiqua" w:hAnsi="Book Antiqua" w:cs="Times New Roman"/>
          <w:sz w:val="24"/>
          <w:szCs w:val="24"/>
        </w:rPr>
        <w:t>AST</w:t>
      </w:r>
      <w:r w:rsidR="00FB3618">
        <w:rPr>
          <w:rFonts w:ascii="Book Antiqua" w:eastAsia="宋体" w:hAnsi="Book Antiqua" w:cs="Times New Roman" w:hint="eastAsia"/>
          <w:sz w:val="24"/>
          <w:szCs w:val="24"/>
        </w:rPr>
        <w:t>:</w:t>
      </w:r>
      <w:r w:rsidR="00FB3618" w:rsidRPr="00FB3618">
        <w:rPr>
          <w:rFonts w:ascii="Book Antiqua" w:hAnsi="Book Antiqua" w:cs="Times New Roman"/>
          <w:sz w:val="24"/>
          <w:szCs w:val="24"/>
        </w:rPr>
        <w:t xml:space="preserve"> </w:t>
      </w:r>
      <w:r w:rsidR="00FB3618" w:rsidRPr="008D3B68">
        <w:rPr>
          <w:rFonts w:ascii="Book Antiqua" w:hAnsi="Book Antiqua" w:cs="Times New Roman"/>
          <w:sz w:val="24"/>
          <w:szCs w:val="24"/>
        </w:rPr>
        <w:t>Aspartate transaminase</w:t>
      </w:r>
      <w:r w:rsidR="00FB3618">
        <w:rPr>
          <w:rFonts w:ascii="Book Antiqua" w:eastAsia="宋体" w:hAnsi="Book Antiqua" w:cs="Times New Roman" w:hint="eastAsia"/>
          <w:sz w:val="24"/>
          <w:szCs w:val="24"/>
        </w:rPr>
        <w:t>;</w:t>
      </w:r>
      <w:r w:rsidR="00ED7A21" w:rsidRPr="00ED7A21">
        <w:rPr>
          <w:rFonts w:ascii="Book Antiqua" w:eastAsia="宋体" w:hAnsi="Book Antiqua" w:cs="Times New Roman" w:hint="eastAsia"/>
          <w:sz w:val="24"/>
          <w:szCs w:val="24"/>
        </w:rPr>
        <w:t xml:space="preserve"> </w:t>
      </w:r>
      <w:r w:rsidR="00ED7A21">
        <w:rPr>
          <w:rFonts w:ascii="Book Antiqua" w:eastAsia="宋体" w:hAnsi="Book Antiqua" w:cs="Times New Roman" w:hint="eastAsia"/>
          <w:sz w:val="24"/>
          <w:szCs w:val="24"/>
        </w:rPr>
        <w:t>HLA:</w:t>
      </w:r>
      <w:r w:rsidR="00ED7A21" w:rsidRPr="00ED7A21">
        <w:rPr>
          <w:rFonts w:ascii="Book Antiqua" w:hAnsi="Book Antiqua" w:cs="Times New Roman"/>
          <w:sz w:val="24"/>
          <w:szCs w:val="24"/>
        </w:rPr>
        <w:t xml:space="preserve"> </w:t>
      </w:r>
      <w:r w:rsidR="00ED7A21" w:rsidRPr="008D3B68">
        <w:rPr>
          <w:rFonts w:ascii="Book Antiqua" w:hAnsi="Book Antiqua" w:cs="Times New Roman"/>
          <w:sz w:val="24"/>
          <w:szCs w:val="24"/>
        </w:rPr>
        <w:t>Human leukocyte antigen</w:t>
      </w:r>
      <w:r w:rsidR="00645870">
        <w:rPr>
          <w:rFonts w:ascii="Book Antiqua" w:eastAsia="宋体" w:hAnsi="Book Antiqua" w:cs="Times New Roman" w:hint="eastAsia"/>
          <w:sz w:val="24"/>
          <w:szCs w:val="24"/>
        </w:rPr>
        <w:t>;</w:t>
      </w:r>
      <w:r w:rsidR="00645870" w:rsidRPr="00645870">
        <w:rPr>
          <w:rFonts w:ascii="Book Antiqua" w:eastAsia="宋体" w:hAnsi="Book Antiqua" w:cs="Times New Roman" w:hint="eastAsia"/>
          <w:sz w:val="24"/>
          <w:szCs w:val="24"/>
        </w:rPr>
        <w:t xml:space="preserve"> </w:t>
      </w:r>
      <w:r w:rsidR="00645870">
        <w:rPr>
          <w:rFonts w:ascii="Book Antiqua" w:eastAsia="宋体" w:hAnsi="Book Antiqua" w:cs="Times New Roman" w:hint="eastAsia"/>
          <w:sz w:val="24"/>
          <w:szCs w:val="24"/>
        </w:rPr>
        <w:t>ANA:</w:t>
      </w:r>
      <w:r w:rsidR="00645870" w:rsidRPr="0058260D">
        <w:rPr>
          <w:rFonts w:ascii="Book Antiqua" w:hAnsi="Book Antiqua" w:cs="Times New Roman"/>
          <w:sz w:val="24"/>
          <w:szCs w:val="24"/>
        </w:rPr>
        <w:t xml:space="preserve"> </w:t>
      </w:r>
      <w:r w:rsidR="00645870" w:rsidRPr="008D3B68">
        <w:rPr>
          <w:rFonts w:ascii="Book Antiqua" w:hAnsi="Book Antiqua" w:cs="Times New Roman"/>
          <w:sz w:val="24"/>
          <w:szCs w:val="24"/>
        </w:rPr>
        <w:t>Antinuclear antibody</w:t>
      </w:r>
      <w:r w:rsidR="008A64BF">
        <w:rPr>
          <w:rFonts w:ascii="Book Antiqua" w:eastAsia="宋体" w:hAnsi="Book Antiqua" w:cs="Times New Roman" w:hint="eastAsia"/>
          <w:sz w:val="24"/>
          <w:szCs w:val="24"/>
        </w:rPr>
        <w:t>;</w:t>
      </w:r>
      <w:r w:rsidR="008A64BF" w:rsidRPr="008A64BF">
        <w:rPr>
          <w:rFonts w:ascii="Book Antiqua" w:eastAsia="宋体" w:hAnsi="Book Antiqua" w:cs="Times New Roman" w:hint="eastAsia"/>
          <w:sz w:val="24"/>
          <w:szCs w:val="24"/>
        </w:rPr>
        <w:t xml:space="preserve"> </w:t>
      </w:r>
      <w:r w:rsidR="008A64BF">
        <w:rPr>
          <w:rFonts w:ascii="Book Antiqua" w:eastAsia="宋体" w:hAnsi="Book Antiqua" w:cs="Times New Roman" w:hint="eastAsia"/>
          <w:sz w:val="24"/>
          <w:szCs w:val="24"/>
        </w:rPr>
        <w:t>ALP:</w:t>
      </w:r>
      <w:r w:rsidR="008A64BF" w:rsidRPr="00377429">
        <w:rPr>
          <w:rFonts w:ascii="Book Antiqua" w:hAnsi="Book Antiqua" w:cs="Times New Roman"/>
          <w:sz w:val="24"/>
          <w:szCs w:val="24"/>
        </w:rPr>
        <w:t xml:space="preserve"> </w:t>
      </w:r>
      <w:r w:rsidR="008A64BF" w:rsidRPr="008D3B68">
        <w:rPr>
          <w:rFonts w:ascii="Book Antiqua" w:hAnsi="Book Antiqua" w:cs="Times New Roman"/>
          <w:sz w:val="24"/>
          <w:szCs w:val="24"/>
        </w:rPr>
        <w:t>Alkaline phosphatase</w:t>
      </w:r>
      <w:r w:rsidR="0046560A">
        <w:rPr>
          <w:rFonts w:ascii="Book Antiqua" w:eastAsia="宋体" w:hAnsi="Book Antiqua" w:cs="Times New Roman" w:hint="eastAsia"/>
          <w:sz w:val="24"/>
          <w:szCs w:val="24"/>
        </w:rPr>
        <w:t>;</w:t>
      </w:r>
      <w:r w:rsidR="0046560A" w:rsidRPr="0046560A">
        <w:rPr>
          <w:rFonts w:ascii="Book Antiqua" w:hAnsi="Book Antiqua" w:cs="Times New Roman"/>
          <w:sz w:val="24"/>
          <w:szCs w:val="24"/>
        </w:rPr>
        <w:t xml:space="preserve"> </w:t>
      </w:r>
      <w:r w:rsidR="0046560A" w:rsidRPr="008D3B68">
        <w:rPr>
          <w:rFonts w:ascii="Book Antiqua" w:hAnsi="Book Antiqua" w:cs="Times New Roman"/>
          <w:sz w:val="24"/>
          <w:szCs w:val="24"/>
        </w:rPr>
        <w:t>γ</w:t>
      </w:r>
      <w:r w:rsidR="0046560A">
        <w:rPr>
          <w:rFonts w:ascii="Book Antiqua" w:eastAsia="宋体" w:hAnsi="Book Antiqua" w:cs="Times New Roman" w:hint="eastAsia"/>
          <w:sz w:val="24"/>
          <w:szCs w:val="24"/>
        </w:rPr>
        <w:t xml:space="preserve">-GTP: </w:t>
      </w:r>
      <w:r w:rsidR="0046560A" w:rsidRPr="008D3B68">
        <w:rPr>
          <w:rFonts w:ascii="Book Antiqua" w:hAnsi="Book Antiqua" w:cs="Times New Roman"/>
          <w:sz w:val="24"/>
          <w:szCs w:val="24"/>
        </w:rPr>
        <w:t>γ-glutamyltransferase</w:t>
      </w:r>
      <w:r w:rsidR="00611898">
        <w:rPr>
          <w:rFonts w:ascii="Book Antiqua" w:eastAsia="宋体" w:hAnsi="Book Antiqua" w:cs="Times New Roman" w:hint="eastAsia"/>
          <w:sz w:val="24"/>
          <w:szCs w:val="24"/>
        </w:rPr>
        <w:t>;</w:t>
      </w:r>
      <w:r w:rsidR="00611898" w:rsidRPr="00611898">
        <w:rPr>
          <w:rFonts w:ascii="Book Antiqua" w:eastAsia="宋体" w:hAnsi="Book Antiqua" w:cs="Times New Roman" w:hint="eastAsia"/>
          <w:sz w:val="24"/>
          <w:szCs w:val="24"/>
        </w:rPr>
        <w:t xml:space="preserve"> </w:t>
      </w:r>
      <w:r w:rsidR="00611898">
        <w:rPr>
          <w:rFonts w:ascii="Book Antiqua" w:eastAsia="宋体" w:hAnsi="Book Antiqua" w:cs="Times New Roman" w:hint="eastAsia"/>
          <w:sz w:val="24"/>
          <w:szCs w:val="24"/>
        </w:rPr>
        <w:t>SMA:</w:t>
      </w:r>
      <w:r w:rsidR="00611898" w:rsidRPr="00C91E9E">
        <w:rPr>
          <w:rFonts w:ascii="Book Antiqua" w:hAnsi="Book Antiqua" w:cs="Times New Roman"/>
          <w:sz w:val="24"/>
          <w:szCs w:val="24"/>
        </w:rPr>
        <w:t xml:space="preserve"> </w:t>
      </w:r>
      <w:r w:rsidR="00611898" w:rsidRPr="008D3B68">
        <w:rPr>
          <w:rFonts w:ascii="Book Antiqua" w:hAnsi="Book Antiqua" w:cs="Times New Roman"/>
          <w:sz w:val="24"/>
          <w:szCs w:val="24"/>
        </w:rPr>
        <w:t>Smooth muscle antibody</w:t>
      </w:r>
      <w:r w:rsidR="00611898">
        <w:rPr>
          <w:rFonts w:ascii="Book Antiqua" w:eastAsia="宋体" w:hAnsi="Book Antiqua" w:cs="Times New Roman" w:hint="eastAsia"/>
          <w:sz w:val="24"/>
          <w:szCs w:val="24"/>
        </w:rPr>
        <w:t>.</w:t>
      </w:r>
    </w:p>
    <w:p w:rsidR="007E1E54" w:rsidRPr="008D3B68" w:rsidRDefault="007E1E54" w:rsidP="00352D86">
      <w:pPr>
        <w:spacing w:line="360" w:lineRule="auto"/>
        <w:rPr>
          <w:rFonts w:ascii="Book Antiqua" w:hAnsi="Book Antiqua" w:cs="Times New Roman"/>
          <w:sz w:val="24"/>
          <w:szCs w:val="24"/>
        </w:rPr>
      </w:pPr>
    </w:p>
    <w:p w:rsidR="007E1E54" w:rsidRPr="008D3B68" w:rsidRDefault="007E1E54" w:rsidP="00352D86">
      <w:pPr>
        <w:spacing w:line="360" w:lineRule="auto"/>
        <w:rPr>
          <w:rFonts w:ascii="Book Antiqua" w:hAnsi="Book Antiqua" w:cs="Times New Roman"/>
          <w:sz w:val="24"/>
          <w:szCs w:val="24"/>
        </w:rPr>
      </w:pPr>
    </w:p>
    <w:p w:rsidR="007E1E54" w:rsidRPr="008D3B68" w:rsidRDefault="007E1E54" w:rsidP="00352D86">
      <w:pPr>
        <w:spacing w:line="360" w:lineRule="auto"/>
        <w:rPr>
          <w:rFonts w:ascii="Book Antiqua" w:hAnsi="Book Antiqua" w:cs="Times New Roman"/>
          <w:sz w:val="24"/>
          <w:szCs w:val="24"/>
        </w:rPr>
      </w:pPr>
    </w:p>
    <w:p w:rsidR="007A32C6" w:rsidRPr="008D3B68" w:rsidRDefault="007A32C6" w:rsidP="00352D86">
      <w:pPr>
        <w:spacing w:line="360" w:lineRule="auto"/>
        <w:rPr>
          <w:rFonts w:ascii="Book Antiqua" w:hAnsi="Book Antiqua" w:cs="Times New Roman"/>
          <w:sz w:val="24"/>
          <w:szCs w:val="24"/>
        </w:rPr>
      </w:pPr>
    </w:p>
    <w:p w:rsidR="00DC69A7" w:rsidRPr="008D3B68" w:rsidRDefault="00DC69A7">
      <w:pPr>
        <w:widowControl/>
        <w:jc w:val="left"/>
        <w:rPr>
          <w:rFonts w:ascii="Book Antiqua" w:hAnsi="Book Antiqua" w:cs="Times New Roman"/>
          <w:b/>
          <w:sz w:val="24"/>
          <w:szCs w:val="24"/>
        </w:rPr>
      </w:pPr>
      <w:r w:rsidRPr="008D3B68">
        <w:rPr>
          <w:rFonts w:ascii="Book Antiqua" w:hAnsi="Book Antiqua" w:cs="Times New Roman"/>
          <w:b/>
          <w:sz w:val="24"/>
          <w:szCs w:val="24"/>
        </w:rPr>
        <w:br w:type="page"/>
      </w:r>
    </w:p>
    <w:p w:rsidR="007E1E54" w:rsidRPr="00D455EC" w:rsidRDefault="007E1E54" w:rsidP="00352D86">
      <w:pPr>
        <w:spacing w:line="360" w:lineRule="auto"/>
        <w:rPr>
          <w:rFonts w:ascii="Book Antiqua" w:hAnsi="Book Antiqua" w:cs="Times New Roman"/>
          <w:b/>
          <w:sz w:val="24"/>
          <w:szCs w:val="24"/>
        </w:rPr>
      </w:pPr>
      <w:r w:rsidRPr="00D455EC">
        <w:rPr>
          <w:rFonts w:ascii="Book Antiqua" w:hAnsi="Book Antiqua" w:cs="Times New Roman"/>
          <w:b/>
          <w:sz w:val="24"/>
          <w:szCs w:val="24"/>
        </w:rPr>
        <w:lastRenderedPageBreak/>
        <w:t>T</w:t>
      </w:r>
      <w:r w:rsidR="009E654E" w:rsidRPr="00D455EC">
        <w:rPr>
          <w:rFonts w:ascii="Book Antiqua" w:hAnsi="Book Antiqua" w:cs="Times New Roman"/>
          <w:b/>
          <w:sz w:val="24"/>
          <w:szCs w:val="24"/>
        </w:rPr>
        <w:t>able 2</w:t>
      </w:r>
      <w:r w:rsidRPr="00D455EC">
        <w:rPr>
          <w:rFonts w:ascii="Book Antiqua" w:hAnsi="Book Antiqua" w:cs="Times New Roman"/>
          <w:b/>
          <w:sz w:val="24"/>
          <w:szCs w:val="24"/>
        </w:rPr>
        <w:t xml:space="preserve"> Clinical features of the two subgroups classified according to the effect of </w:t>
      </w:r>
      <w:r w:rsidR="00253B80" w:rsidRPr="00D455EC">
        <w:rPr>
          <w:rFonts w:ascii="Book Antiqua" w:hAnsi="Book Antiqua" w:cs="Times New Roman"/>
          <w:b/>
          <w:sz w:val="24"/>
          <w:szCs w:val="24"/>
        </w:rPr>
        <w:t>ursodeoxycholic acid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2410"/>
        <w:gridCol w:w="849"/>
      </w:tblGrid>
      <w:tr w:rsidR="007E1E54" w:rsidRPr="008D3B68" w:rsidTr="007E1E54">
        <w:trPr>
          <w:trHeight w:val="285"/>
        </w:trPr>
        <w:tc>
          <w:tcPr>
            <w:tcW w:w="2694" w:type="dxa"/>
            <w:tcBorders>
              <w:top w:val="single" w:sz="4" w:space="0" w:color="auto"/>
              <w:bottom w:val="single" w:sz="4" w:space="0" w:color="auto"/>
            </w:tcBorders>
            <w:noWrap/>
            <w:hideMark/>
          </w:tcPr>
          <w:p w:rsidR="007E1E54" w:rsidRPr="00E254AE" w:rsidRDefault="007E1E54" w:rsidP="00352D86">
            <w:pPr>
              <w:spacing w:line="360" w:lineRule="auto"/>
              <w:rPr>
                <w:rFonts w:ascii="Book Antiqua" w:hAnsi="Book Antiqua" w:cs="Times New Roman"/>
                <w:b/>
                <w:sz w:val="24"/>
                <w:szCs w:val="24"/>
              </w:rPr>
            </w:pPr>
            <w:r w:rsidRPr="00E254AE">
              <w:rPr>
                <w:rFonts w:ascii="Book Antiqua" w:hAnsi="Book Antiqua" w:cs="Times New Roman"/>
                <w:b/>
                <w:sz w:val="24"/>
                <w:szCs w:val="24"/>
              </w:rPr>
              <w:t xml:space="preserve">　</w:t>
            </w:r>
          </w:p>
        </w:tc>
        <w:tc>
          <w:tcPr>
            <w:tcW w:w="2551" w:type="dxa"/>
            <w:tcBorders>
              <w:top w:val="single" w:sz="4" w:space="0" w:color="auto"/>
              <w:bottom w:val="single" w:sz="4" w:space="0" w:color="auto"/>
            </w:tcBorders>
            <w:noWrap/>
            <w:hideMark/>
          </w:tcPr>
          <w:p w:rsidR="007E1E54" w:rsidRPr="00E254AE" w:rsidRDefault="007E1E54" w:rsidP="00B60151">
            <w:pPr>
              <w:spacing w:line="360" w:lineRule="auto"/>
              <w:rPr>
                <w:rFonts w:ascii="Book Antiqua" w:hAnsi="Book Antiqua" w:cs="Times New Roman"/>
                <w:b/>
                <w:sz w:val="24"/>
                <w:szCs w:val="24"/>
              </w:rPr>
            </w:pPr>
            <w:r w:rsidRPr="00E254AE">
              <w:rPr>
                <w:rFonts w:ascii="Book Antiqua" w:hAnsi="Book Antiqua" w:cs="Times New Roman"/>
                <w:b/>
                <w:sz w:val="24"/>
                <w:szCs w:val="24"/>
              </w:rPr>
              <w:t>Subgroup U1</w:t>
            </w:r>
            <w:r w:rsidR="00B60151" w:rsidRPr="00B60151">
              <w:rPr>
                <w:rFonts w:ascii="Book Antiqua" w:eastAsia="宋体" w:hAnsi="Book Antiqua" w:cs="Times New Roman" w:hint="eastAsia"/>
                <w:b/>
                <w:sz w:val="24"/>
                <w:szCs w:val="24"/>
                <w:vertAlign w:val="superscript"/>
              </w:rPr>
              <w:t>1</w:t>
            </w:r>
            <w:r w:rsidRPr="00E254AE">
              <w:rPr>
                <w:rFonts w:ascii="Book Antiqua" w:hAnsi="Book Antiqua" w:cs="Times New Roman"/>
                <w:b/>
                <w:sz w:val="24"/>
                <w:szCs w:val="24"/>
              </w:rPr>
              <w:t xml:space="preserve"> (</w:t>
            </w:r>
            <w:r w:rsidR="005109D3" w:rsidRPr="00E254AE">
              <w:rPr>
                <w:rFonts w:ascii="Book Antiqua" w:hAnsi="Book Antiqua" w:cs="Times New Roman"/>
                <w:b/>
                <w:i/>
                <w:sz w:val="24"/>
                <w:szCs w:val="24"/>
              </w:rPr>
              <w:t>n</w:t>
            </w:r>
            <w:r w:rsidR="005109D3" w:rsidRPr="00E254AE">
              <w:rPr>
                <w:rFonts w:ascii="Book Antiqua" w:eastAsia="宋体" w:hAnsi="Book Antiqua" w:cs="Times New Roman" w:hint="eastAsia"/>
                <w:b/>
                <w:sz w:val="24"/>
                <w:szCs w:val="24"/>
              </w:rPr>
              <w:t xml:space="preserve"> </w:t>
            </w:r>
            <w:r w:rsidR="005109D3" w:rsidRPr="00E254AE">
              <w:rPr>
                <w:rFonts w:ascii="Book Antiqua" w:hAnsi="Book Antiqua" w:cs="Times New Roman"/>
                <w:b/>
                <w:sz w:val="24"/>
                <w:szCs w:val="24"/>
              </w:rPr>
              <w:t xml:space="preserve">= </w:t>
            </w:r>
            <w:r w:rsidRPr="00E254AE">
              <w:rPr>
                <w:rFonts w:ascii="Book Antiqua" w:hAnsi="Book Antiqua" w:cs="Times New Roman"/>
                <w:b/>
                <w:sz w:val="24"/>
                <w:szCs w:val="24"/>
              </w:rPr>
              <w:t>34)</w:t>
            </w:r>
          </w:p>
        </w:tc>
        <w:tc>
          <w:tcPr>
            <w:tcW w:w="2410" w:type="dxa"/>
            <w:tcBorders>
              <w:top w:val="single" w:sz="4" w:space="0" w:color="auto"/>
              <w:bottom w:val="single" w:sz="4" w:space="0" w:color="auto"/>
            </w:tcBorders>
            <w:noWrap/>
            <w:hideMark/>
          </w:tcPr>
          <w:p w:rsidR="007E1E54" w:rsidRPr="00E254AE" w:rsidRDefault="007E1E54" w:rsidP="00B60151">
            <w:pPr>
              <w:spacing w:line="360" w:lineRule="auto"/>
              <w:rPr>
                <w:rFonts w:ascii="Book Antiqua" w:hAnsi="Book Antiqua" w:cs="Times New Roman"/>
                <w:b/>
                <w:sz w:val="24"/>
                <w:szCs w:val="24"/>
              </w:rPr>
            </w:pPr>
            <w:r w:rsidRPr="00E254AE">
              <w:rPr>
                <w:rFonts w:ascii="Book Antiqua" w:hAnsi="Book Antiqua" w:cs="Times New Roman"/>
                <w:b/>
                <w:sz w:val="24"/>
                <w:szCs w:val="24"/>
              </w:rPr>
              <w:t>Subgroup U2</w:t>
            </w:r>
            <w:r w:rsidR="00B60151">
              <w:rPr>
                <w:rFonts w:ascii="Book Antiqua" w:eastAsia="宋体" w:hAnsi="Book Antiqua" w:cs="Times New Roman" w:hint="eastAsia"/>
                <w:b/>
                <w:sz w:val="24"/>
                <w:szCs w:val="24"/>
                <w:vertAlign w:val="superscript"/>
              </w:rPr>
              <w:t>2</w:t>
            </w:r>
            <w:r w:rsidRPr="00E254AE">
              <w:rPr>
                <w:rFonts w:ascii="Book Antiqua" w:hAnsi="Book Antiqua" w:cs="Times New Roman"/>
                <w:b/>
                <w:sz w:val="24"/>
                <w:szCs w:val="24"/>
              </w:rPr>
              <w:t xml:space="preserve"> (</w:t>
            </w:r>
            <w:r w:rsidR="005109D3" w:rsidRPr="00E254AE">
              <w:rPr>
                <w:rFonts w:ascii="Book Antiqua" w:hAnsi="Book Antiqua" w:cs="Times New Roman"/>
                <w:b/>
                <w:i/>
                <w:sz w:val="24"/>
                <w:szCs w:val="24"/>
              </w:rPr>
              <w:t>n</w:t>
            </w:r>
            <w:r w:rsidR="005109D3" w:rsidRPr="00E254AE">
              <w:rPr>
                <w:rFonts w:ascii="Book Antiqua" w:eastAsia="宋体" w:hAnsi="Book Antiqua" w:cs="Times New Roman" w:hint="eastAsia"/>
                <w:b/>
                <w:sz w:val="24"/>
                <w:szCs w:val="24"/>
              </w:rPr>
              <w:t xml:space="preserve"> </w:t>
            </w:r>
            <w:r w:rsidR="005109D3" w:rsidRPr="00E254AE">
              <w:rPr>
                <w:rFonts w:ascii="Book Antiqua" w:hAnsi="Book Antiqua" w:cs="Times New Roman"/>
                <w:b/>
                <w:sz w:val="24"/>
                <w:szCs w:val="24"/>
              </w:rPr>
              <w:t xml:space="preserve">= </w:t>
            </w:r>
            <w:r w:rsidRPr="00E254AE">
              <w:rPr>
                <w:rFonts w:ascii="Book Antiqua" w:hAnsi="Book Antiqua" w:cs="Times New Roman"/>
                <w:b/>
                <w:sz w:val="24"/>
                <w:szCs w:val="24"/>
              </w:rPr>
              <w:t>14)</w:t>
            </w:r>
          </w:p>
        </w:tc>
        <w:tc>
          <w:tcPr>
            <w:tcW w:w="849" w:type="dxa"/>
            <w:tcBorders>
              <w:top w:val="single" w:sz="4" w:space="0" w:color="auto"/>
              <w:bottom w:val="single" w:sz="4" w:space="0" w:color="auto"/>
            </w:tcBorders>
            <w:noWrap/>
            <w:hideMark/>
          </w:tcPr>
          <w:p w:rsidR="007E1E54" w:rsidRPr="00E254AE" w:rsidRDefault="00DF4640" w:rsidP="00352D86">
            <w:pPr>
              <w:spacing w:line="360" w:lineRule="auto"/>
              <w:rPr>
                <w:rFonts w:ascii="Book Antiqua" w:hAnsi="Book Antiqua" w:cs="Times New Roman"/>
                <w:b/>
                <w:i/>
                <w:iCs/>
                <w:sz w:val="24"/>
                <w:szCs w:val="24"/>
              </w:rPr>
            </w:pPr>
            <w:r w:rsidRPr="00E254AE">
              <w:rPr>
                <w:rFonts w:ascii="Book Antiqua" w:hAnsi="Book Antiqua" w:cs="Times New Roman"/>
                <w:b/>
                <w:i/>
                <w:iCs/>
                <w:sz w:val="24"/>
                <w:szCs w:val="24"/>
              </w:rPr>
              <w:t>P</w:t>
            </w:r>
          </w:p>
        </w:tc>
      </w:tr>
      <w:tr w:rsidR="007E1E54" w:rsidRPr="008D3B68" w:rsidTr="007E1E54">
        <w:trPr>
          <w:trHeight w:val="285"/>
        </w:trPr>
        <w:tc>
          <w:tcPr>
            <w:tcW w:w="2694" w:type="dxa"/>
            <w:tcBorders>
              <w:top w:val="single" w:sz="4" w:space="0" w:color="auto"/>
            </w:tcBorders>
            <w:noWrap/>
            <w:hideMark/>
          </w:tcPr>
          <w:p w:rsidR="007E1E54" w:rsidRPr="008D3B68" w:rsidRDefault="00E808B0" w:rsidP="00352D86">
            <w:pPr>
              <w:spacing w:line="360" w:lineRule="auto"/>
              <w:rPr>
                <w:rFonts w:ascii="Book Antiqua" w:hAnsi="Book Antiqua" w:cs="Times New Roman"/>
                <w:sz w:val="24"/>
                <w:szCs w:val="24"/>
              </w:rPr>
            </w:pPr>
            <w:r>
              <w:rPr>
                <w:rFonts w:ascii="Book Antiqua" w:hAnsi="Book Antiqua" w:cs="Times New Roman"/>
                <w:sz w:val="24"/>
                <w:szCs w:val="24"/>
              </w:rPr>
              <w:t>Age (yr</w:t>
            </w:r>
            <w:r w:rsidR="007E1E54" w:rsidRPr="008D3B68">
              <w:rPr>
                <w:rFonts w:ascii="Book Antiqua" w:hAnsi="Book Antiqua" w:cs="Times New Roman"/>
                <w:sz w:val="24"/>
                <w:szCs w:val="24"/>
              </w:rPr>
              <w:t>)</w:t>
            </w:r>
          </w:p>
        </w:tc>
        <w:tc>
          <w:tcPr>
            <w:tcW w:w="2551" w:type="dxa"/>
            <w:tcBorders>
              <w:top w:val="single" w:sz="4" w:space="0" w:color="auto"/>
            </w:tcBorders>
            <w:noWrap/>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42 (17</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74)</w:t>
            </w:r>
          </w:p>
        </w:tc>
        <w:tc>
          <w:tcPr>
            <w:tcW w:w="2410" w:type="dxa"/>
            <w:tcBorders>
              <w:top w:val="single" w:sz="4" w:space="0" w:color="auto"/>
            </w:tcBorders>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48 (21</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66)</w:t>
            </w:r>
          </w:p>
        </w:tc>
        <w:tc>
          <w:tcPr>
            <w:tcW w:w="849" w:type="dxa"/>
            <w:tcBorders>
              <w:top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491E41"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Sex </w:t>
            </w:r>
            <w:r w:rsidR="007E1E54" w:rsidRPr="008D3B68">
              <w:rPr>
                <w:rFonts w:ascii="Book Antiqua" w:hAnsi="Book Antiqua" w:cs="Times New Roman"/>
                <w:sz w:val="24"/>
                <w:szCs w:val="24"/>
              </w:rPr>
              <w:t>(female)</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33 (97.1%)</w:t>
            </w:r>
          </w:p>
        </w:tc>
        <w:tc>
          <w:tcPr>
            <w:tcW w:w="2410"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12 (85.7%)</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Acute presentation</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4 (11.8%)</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 (7.1%)</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Laboratory data</w:t>
            </w:r>
          </w:p>
        </w:tc>
        <w:tc>
          <w:tcPr>
            <w:tcW w:w="2551"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410"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AST</w:t>
            </w:r>
            <w:r w:rsidR="007E1E54" w:rsidRPr="008D3B68">
              <w:rPr>
                <w:rFonts w:ascii="Book Antiqua" w:hAnsi="Book Antiqua" w:cs="Times New Roman"/>
                <w:sz w:val="24"/>
                <w:szCs w:val="24"/>
              </w:rPr>
              <w:t xml:space="preserve"> (I</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007E1E54" w:rsidRPr="008D3B68">
              <w:rPr>
                <w:rFonts w:ascii="Book Antiqua" w:hAnsi="Book Antiqua" w:cs="Times New Roman"/>
                <w:sz w:val="24"/>
                <w:szCs w:val="24"/>
              </w:rPr>
              <w:t>)</w:t>
            </w:r>
          </w:p>
        </w:tc>
        <w:tc>
          <w:tcPr>
            <w:tcW w:w="2551"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93 (46</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505)</w:t>
            </w:r>
          </w:p>
        </w:tc>
        <w:tc>
          <w:tcPr>
            <w:tcW w:w="2410"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144 (50</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1234)</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0.024</w:t>
            </w:r>
          </w:p>
        </w:tc>
      </w:tr>
      <w:tr w:rsidR="007E1E54" w:rsidRPr="008D3B68" w:rsidTr="007E1E54">
        <w:trPr>
          <w:trHeight w:val="285"/>
        </w:trPr>
        <w:tc>
          <w:tcPr>
            <w:tcW w:w="2694"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ALT </w:t>
            </w:r>
            <w:r w:rsidR="007E1E54" w:rsidRPr="008D3B68">
              <w:rPr>
                <w:rFonts w:ascii="Book Antiqua" w:hAnsi="Book Antiqua" w:cs="Times New Roman"/>
                <w:sz w:val="24"/>
                <w:szCs w:val="24"/>
              </w:rPr>
              <w:t>(I</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007E1E54" w:rsidRPr="008D3B68">
              <w:rPr>
                <w:rFonts w:ascii="Book Antiqua" w:hAnsi="Book Antiqua" w:cs="Times New Roman"/>
                <w:sz w:val="24"/>
                <w:szCs w:val="24"/>
              </w:rPr>
              <w:t>)</w:t>
            </w:r>
          </w:p>
        </w:tc>
        <w:tc>
          <w:tcPr>
            <w:tcW w:w="2551"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124 (52</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742)</w:t>
            </w:r>
          </w:p>
        </w:tc>
        <w:tc>
          <w:tcPr>
            <w:tcW w:w="2410"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262 (65</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1000)</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0.023</w:t>
            </w:r>
          </w:p>
        </w:tc>
      </w:tr>
      <w:tr w:rsidR="007E1E54" w:rsidRPr="008D3B68" w:rsidTr="007E1E54">
        <w:trPr>
          <w:trHeight w:val="285"/>
        </w:trPr>
        <w:tc>
          <w:tcPr>
            <w:tcW w:w="2694" w:type="dxa"/>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T.Bil </w:t>
            </w:r>
            <w:r w:rsidR="007E1E54" w:rsidRPr="008D3B68">
              <w:rPr>
                <w:rFonts w:ascii="Book Antiqua" w:hAnsi="Book Antiqua" w:cs="Times New Roman"/>
                <w:sz w:val="24"/>
                <w:szCs w:val="24"/>
              </w:rPr>
              <w:t>(mg</w:t>
            </w:r>
            <w:r w:rsidR="000B03DB" w:rsidRPr="008D3B68">
              <w:rPr>
                <w:rFonts w:ascii="Book Antiqua" w:hAnsi="Book Antiqua" w:cs="Times New Roman"/>
                <w:sz w:val="24"/>
                <w:szCs w:val="24"/>
              </w:rPr>
              <w:t>/dL</w:t>
            </w:r>
            <w:r w:rsidR="007E1E54" w:rsidRPr="008D3B68">
              <w:rPr>
                <w:rFonts w:ascii="Book Antiqua" w:hAnsi="Book Antiqua" w:cs="Times New Roman"/>
                <w:sz w:val="24"/>
                <w:szCs w:val="24"/>
              </w:rPr>
              <w:t>)</w:t>
            </w:r>
          </w:p>
        </w:tc>
        <w:tc>
          <w:tcPr>
            <w:tcW w:w="2551"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0.7 (0.3</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18)</w:t>
            </w:r>
          </w:p>
        </w:tc>
        <w:tc>
          <w:tcPr>
            <w:tcW w:w="2410"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1.0 (0.3</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2)</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ALP </w:t>
            </w:r>
            <w:r w:rsidR="007E1E54" w:rsidRPr="008D3B68">
              <w:rPr>
                <w:rFonts w:ascii="Book Antiqua" w:hAnsi="Book Antiqua" w:cs="Times New Roman"/>
                <w:sz w:val="24"/>
                <w:szCs w:val="24"/>
              </w:rPr>
              <w:t>(</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007E1E54" w:rsidRPr="008D3B68">
              <w:rPr>
                <w:rFonts w:ascii="Book Antiqua" w:hAnsi="Book Antiqua" w:cs="Times New Roman"/>
                <w:sz w:val="24"/>
                <w:szCs w:val="24"/>
              </w:rPr>
              <w:t>)</w:t>
            </w:r>
          </w:p>
        </w:tc>
        <w:tc>
          <w:tcPr>
            <w:tcW w:w="2551"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300 (144</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1184)</w:t>
            </w:r>
          </w:p>
        </w:tc>
        <w:tc>
          <w:tcPr>
            <w:tcW w:w="2410"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300 (168</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924)</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γ-GTP </w:t>
            </w:r>
            <w:r w:rsidR="007E1E54" w:rsidRPr="008D3B68">
              <w:rPr>
                <w:rFonts w:ascii="Book Antiqua" w:hAnsi="Book Antiqua" w:cs="Times New Roman"/>
                <w:sz w:val="24"/>
                <w:szCs w:val="24"/>
              </w:rPr>
              <w:t>(</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007E1E54" w:rsidRPr="008D3B68">
              <w:rPr>
                <w:rFonts w:ascii="Book Antiqua" w:hAnsi="Book Antiqua" w:cs="Times New Roman"/>
                <w:sz w:val="24"/>
                <w:szCs w:val="24"/>
              </w:rPr>
              <w:t>)</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86 (16</w:t>
            </w:r>
            <w:r w:rsidR="0002243C" w:rsidRPr="008D3B68">
              <w:rPr>
                <w:rFonts w:ascii="Book Antiqua" w:hAnsi="Book Antiqua" w:cs="Times New Roman"/>
                <w:sz w:val="24"/>
                <w:szCs w:val="24"/>
              </w:rPr>
              <w:t>–</w:t>
            </w:r>
            <w:r w:rsidRPr="008D3B68">
              <w:rPr>
                <w:rFonts w:ascii="Book Antiqua" w:hAnsi="Book Antiqua" w:cs="Times New Roman"/>
                <w:sz w:val="24"/>
                <w:szCs w:val="24"/>
              </w:rPr>
              <w:t>875)</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67 (13</w:t>
            </w:r>
            <w:r w:rsidR="0002243C" w:rsidRPr="008D3B68">
              <w:rPr>
                <w:rFonts w:ascii="Book Antiqua" w:hAnsi="Book Antiqua" w:cs="Times New Roman"/>
                <w:sz w:val="24"/>
                <w:szCs w:val="24"/>
              </w:rPr>
              <w:t>–</w:t>
            </w:r>
            <w:r w:rsidRPr="008D3B68">
              <w:rPr>
                <w:rFonts w:ascii="Book Antiqua" w:hAnsi="Book Antiqua" w:cs="Times New Roman"/>
                <w:sz w:val="24"/>
                <w:szCs w:val="24"/>
              </w:rPr>
              <w:t>405)</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IgG </w:t>
            </w:r>
            <w:r w:rsidR="007E1E54" w:rsidRPr="008D3B68">
              <w:rPr>
                <w:rFonts w:ascii="Book Antiqua" w:hAnsi="Book Antiqua" w:cs="Times New Roman"/>
                <w:sz w:val="24"/>
                <w:szCs w:val="24"/>
              </w:rPr>
              <w:t>(mg</w:t>
            </w:r>
            <w:r w:rsidR="000B03DB" w:rsidRPr="008D3B68">
              <w:rPr>
                <w:rFonts w:ascii="Book Antiqua" w:hAnsi="Book Antiqua" w:cs="Times New Roman"/>
                <w:sz w:val="24"/>
                <w:szCs w:val="24"/>
              </w:rPr>
              <w:t>/dL</w:t>
            </w:r>
            <w:r w:rsidR="007E1E54" w:rsidRPr="008D3B68">
              <w:rPr>
                <w:rFonts w:ascii="Book Antiqua" w:hAnsi="Book Antiqua" w:cs="Times New Roman"/>
                <w:sz w:val="24"/>
                <w:szCs w:val="24"/>
              </w:rPr>
              <w:t>)</w:t>
            </w:r>
          </w:p>
        </w:tc>
        <w:tc>
          <w:tcPr>
            <w:tcW w:w="2551" w:type="dxa"/>
            <w:hideMark/>
          </w:tcPr>
          <w:p w:rsidR="007E1E54" w:rsidRPr="008D3B68" w:rsidRDefault="007E1E54" w:rsidP="00B31F78">
            <w:pPr>
              <w:spacing w:line="360" w:lineRule="auto"/>
              <w:rPr>
                <w:rFonts w:ascii="Book Antiqua" w:hAnsi="Book Antiqua" w:cs="Times New Roman"/>
                <w:sz w:val="24"/>
                <w:szCs w:val="24"/>
              </w:rPr>
            </w:pPr>
            <w:r w:rsidRPr="008D3B68">
              <w:rPr>
                <w:rFonts w:ascii="Book Antiqua" w:hAnsi="Book Antiqua" w:cs="Times New Roman"/>
                <w:sz w:val="24"/>
                <w:szCs w:val="24"/>
              </w:rPr>
              <w:t>1959 (1096</w:t>
            </w:r>
            <w:r w:rsidR="00B31F78">
              <w:rPr>
                <w:rFonts w:ascii="Book Antiqua" w:eastAsia="宋体" w:hAnsi="Book Antiqua" w:cs="Times New Roman" w:hint="eastAsia"/>
                <w:sz w:val="24"/>
                <w:szCs w:val="24"/>
              </w:rPr>
              <w:t>-</w:t>
            </w:r>
            <w:r w:rsidRPr="008D3B68">
              <w:rPr>
                <w:rFonts w:ascii="Book Antiqua" w:hAnsi="Book Antiqua" w:cs="Times New Roman"/>
                <w:sz w:val="24"/>
                <w:szCs w:val="24"/>
              </w:rPr>
              <w:t>3800)</w:t>
            </w:r>
          </w:p>
        </w:tc>
        <w:tc>
          <w:tcPr>
            <w:tcW w:w="2410" w:type="dxa"/>
            <w:hideMark/>
          </w:tcPr>
          <w:p w:rsidR="007E1E54" w:rsidRPr="008D3B68" w:rsidRDefault="007E1E54" w:rsidP="00B31F78">
            <w:pPr>
              <w:spacing w:line="360" w:lineRule="auto"/>
              <w:rPr>
                <w:rFonts w:ascii="Book Antiqua" w:hAnsi="Book Antiqua" w:cs="Times New Roman"/>
                <w:sz w:val="24"/>
                <w:szCs w:val="24"/>
              </w:rPr>
            </w:pPr>
            <w:r w:rsidRPr="008D3B68">
              <w:rPr>
                <w:rFonts w:ascii="Book Antiqua" w:hAnsi="Book Antiqua" w:cs="Times New Roman"/>
                <w:sz w:val="24"/>
                <w:szCs w:val="24"/>
              </w:rPr>
              <w:t>1960 (1476</w:t>
            </w:r>
            <w:r w:rsidR="00B31F78">
              <w:rPr>
                <w:rFonts w:ascii="Book Antiqua" w:eastAsia="宋体" w:hAnsi="Book Antiqua" w:cs="Times New Roman" w:hint="eastAsia"/>
                <w:sz w:val="24"/>
                <w:szCs w:val="24"/>
              </w:rPr>
              <w:t>-</w:t>
            </w:r>
            <w:r w:rsidRPr="008D3B68">
              <w:rPr>
                <w:rFonts w:ascii="Book Antiqua" w:hAnsi="Book Antiqua" w:cs="Times New Roman"/>
                <w:sz w:val="24"/>
                <w:szCs w:val="24"/>
              </w:rPr>
              <w:t>3793)</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ANA </w:t>
            </w:r>
            <w:r w:rsidR="007E1E54" w:rsidRPr="008D3B68">
              <w:rPr>
                <w:rFonts w:ascii="Book Antiqua" w:hAnsi="Book Antiqua" w:cs="Times New Roman"/>
                <w:sz w:val="24"/>
                <w:szCs w:val="24"/>
              </w:rPr>
              <w:t>(</w:t>
            </w:r>
            <w:r w:rsidR="00491E41" w:rsidRPr="008D3B68">
              <w:rPr>
                <w:rFonts w:ascii="Book Antiqua" w:eastAsia="Arial Unicode MS" w:hAnsi="Book Antiqua" w:cs="Times New Roman"/>
                <w:sz w:val="24"/>
                <w:szCs w:val="24"/>
              </w:rPr>
              <w:t>≥</w:t>
            </w:r>
            <w:r w:rsidR="00BD3A2D">
              <w:rPr>
                <w:rFonts w:ascii="Book Antiqua" w:eastAsia="Arial Unicode MS" w:hAnsi="Book Antiqua" w:cs="Times New Roman" w:hint="eastAsia"/>
                <w:sz w:val="24"/>
                <w:szCs w:val="24"/>
              </w:rPr>
              <w:t xml:space="preserve"> </w:t>
            </w:r>
            <w:r w:rsidR="007E1E54" w:rsidRPr="008D3B68">
              <w:rPr>
                <w:rFonts w:ascii="Book Antiqua" w:hAnsi="Book Antiqua" w:cs="Times New Roman"/>
                <w:sz w:val="24"/>
                <w:szCs w:val="24"/>
              </w:rPr>
              <w:t>1 : 40)</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32 (94.1%)</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14 (100%)</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C46D0"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SMA </w:t>
            </w:r>
            <w:r w:rsidR="007E1E54" w:rsidRPr="008D3B68">
              <w:rPr>
                <w:rFonts w:ascii="Book Antiqua" w:hAnsi="Book Antiqua" w:cs="Times New Roman"/>
                <w:sz w:val="24"/>
                <w:szCs w:val="24"/>
              </w:rPr>
              <w:t>(</w:t>
            </w:r>
            <w:r w:rsidR="00491E41" w:rsidRPr="008D3B68">
              <w:rPr>
                <w:rFonts w:ascii="Book Antiqua" w:eastAsia="Arial Unicode MS" w:hAnsi="Book Antiqua" w:cs="Times New Roman"/>
                <w:sz w:val="24"/>
                <w:szCs w:val="24"/>
              </w:rPr>
              <w:t>≥</w:t>
            </w:r>
            <w:r w:rsidR="00BD3A2D">
              <w:rPr>
                <w:rFonts w:ascii="Book Antiqua" w:eastAsia="Arial Unicode MS" w:hAnsi="Book Antiqua" w:cs="Times New Roman" w:hint="eastAsia"/>
                <w:sz w:val="24"/>
                <w:szCs w:val="24"/>
              </w:rPr>
              <w:t xml:space="preserve"> </w:t>
            </w:r>
            <w:r w:rsidR="007E1E54" w:rsidRPr="008D3B68">
              <w:rPr>
                <w:rFonts w:ascii="Book Antiqua" w:hAnsi="Book Antiqua" w:cs="Times New Roman"/>
                <w:sz w:val="24"/>
                <w:szCs w:val="24"/>
              </w:rPr>
              <w:t>1 : 40)</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8/17 (47.1%)</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3/6 (50%)</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HLA DR4</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4/11 (36.4%)</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2/5 (40%)</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Histological finding</w:t>
            </w:r>
          </w:p>
        </w:tc>
        <w:tc>
          <w:tcPr>
            <w:tcW w:w="2551"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410"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Grading</w:t>
            </w:r>
          </w:p>
        </w:tc>
        <w:tc>
          <w:tcPr>
            <w:tcW w:w="2551"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410"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A1</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24 (70.6%)</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5 (35.7%)</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0.025</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A2</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10 (29.4%)</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8 (57.1%)</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A3</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0 (0%)</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 (7.1%)</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Staging</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F1</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25 (73.5%)</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10 (71.4%)</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lastRenderedPageBreak/>
              <w:t xml:space="preserve">   F2</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4 (11.8%)</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2 (14.3%)</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F3</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5 (14.7%)</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 (7.1%)</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F4</w:t>
            </w:r>
          </w:p>
        </w:tc>
        <w:tc>
          <w:tcPr>
            <w:tcW w:w="2551"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0 (0%)</w:t>
            </w:r>
          </w:p>
        </w:tc>
        <w:tc>
          <w:tcPr>
            <w:tcW w:w="2410" w:type="dxa"/>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 (7.1%)</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AIH score</w:t>
            </w:r>
          </w:p>
        </w:tc>
        <w:tc>
          <w:tcPr>
            <w:tcW w:w="2551"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2410"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285"/>
        </w:trPr>
        <w:tc>
          <w:tcPr>
            <w:tcW w:w="2694"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Revised score</w:t>
            </w:r>
          </w:p>
        </w:tc>
        <w:tc>
          <w:tcPr>
            <w:tcW w:w="2551"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15 (10</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19)</w:t>
            </w:r>
          </w:p>
        </w:tc>
        <w:tc>
          <w:tcPr>
            <w:tcW w:w="2410" w:type="dxa"/>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17 (12</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20)</w:t>
            </w:r>
          </w:p>
        </w:tc>
        <w:tc>
          <w:tcPr>
            <w:tcW w:w="84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r w:rsidR="007E1E54" w:rsidRPr="008D3B68" w:rsidTr="007E1E54">
        <w:trPr>
          <w:trHeight w:val="285"/>
        </w:trPr>
        <w:tc>
          <w:tcPr>
            <w:tcW w:w="2694" w:type="dxa"/>
            <w:tcBorders>
              <w:bottom w:val="single" w:sz="4" w:space="0" w:color="auto"/>
            </w:tcBorders>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Simplified score</w:t>
            </w:r>
          </w:p>
        </w:tc>
        <w:tc>
          <w:tcPr>
            <w:tcW w:w="2551" w:type="dxa"/>
            <w:tcBorders>
              <w:bottom w:val="single" w:sz="4" w:space="0" w:color="auto"/>
            </w:tcBorders>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6 (4</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8)</w:t>
            </w:r>
          </w:p>
        </w:tc>
        <w:tc>
          <w:tcPr>
            <w:tcW w:w="2410" w:type="dxa"/>
            <w:tcBorders>
              <w:bottom w:val="single" w:sz="4" w:space="0" w:color="auto"/>
            </w:tcBorders>
            <w:hideMark/>
          </w:tcPr>
          <w:p w:rsidR="007E1E54" w:rsidRPr="008D3B68" w:rsidRDefault="007E1E54" w:rsidP="00BD3A2D">
            <w:pPr>
              <w:spacing w:line="360" w:lineRule="auto"/>
              <w:rPr>
                <w:rFonts w:ascii="Book Antiqua" w:hAnsi="Book Antiqua" w:cs="Times New Roman"/>
                <w:sz w:val="24"/>
                <w:szCs w:val="24"/>
              </w:rPr>
            </w:pPr>
            <w:r w:rsidRPr="008D3B68">
              <w:rPr>
                <w:rFonts w:ascii="Book Antiqua" w:hAnsi="Book Antiqua" w:cs="Times New Roman"/>
                <w:sz w:val="24"/>
                <w:szCs w:val="24"/>
              </w:rPr>
              <w:t>6 (6</w:t>
            </w:r>
            <w:r w:rsidR="00BD3A2D">
              <w:rPr>
                <w:rFonts w:ascii="Book Antiqua" w:eastAsia="宋体" w:hAnsi="Book Antiqua" w:cs="Times New Roman" w:hint="eastAsia"/>
                <w:sz w:val="24"/>
                <w:szCs w:val="24"/>
              </w:rPr>
              <w:t>-</w:t>
            </w:r>
            <w:r w:rsidRPr="008D3B68">
              <w:rPr>
                <w:rFonts w:ascii="Book Antiqua" w:hAnsi="Book Antiqua" w:cs="Times New Roman"/>
                <w:sz w:val="24"/>
                <w:szCs w:val="24"/>
              </w:rPr>
              <w:t>7)</w:t>
            </w:r>
          </w:p>
        </w:tc>
        <w:tc>
          <w:tcPr>
            <w:tcW w:w="849" w:type="dxa"/>
            <w:tcBorders>
              <w:bottom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NS</w:t>
            </w:r>
          </w:p>
        </w:tc>
      </w:tr>
    </w:tbl>
    <w:p w:rsidR="007E1E54" w:rsidRPr="00EA5B80"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Continuous variables </w:t>
      </w:r>
      <w:r w:rsidR="00491E41" w:rsidRPr="008D3B68">
        <w:rPr>
          <w:rFonts w:ascii="Book Antiqua" w:hAnsi="Book Antiqua" w:cs="Times New Roman"/>
          <w:sz w:val="24"/>
          <w:szCs w:val="24"/>
        </w:rPr>
        <w:t xml:space="preserve">are </w:t>
      </w:r>
      <w:r w:rsidRPr="008D3B68">
        <w:rPr>
          <w:rFonts w:ascii="Book Antiqua" w:hAnsi="Book Antiqua" w:cs="Times New Roman"/>
          <w:sz w:val="24"/>
          <w:szCs w:val="24"/>
        </w:rPr>
        <w:t>expressed as median (range) values. The Mann</w:t>
      </w:r>
      <w:r w:rsidR="00491E41" w:rsidRPr="008D3B68">
        <w:rPr>
          <w:rFonts w:ascii="Book Antiqua" w:hAnsi="Book Antiqua" w:cs="Times New Roman"/>
          <w:sz w:val="24"/>
          <w:szCs w:val="24"/>
        </w:rPr>
        <w:t>-</w:t>
      </w:r>
      <w:r w:rsidRPr="008D3B68">
        <w:rPr>
          <w:rFonts w:ascii="Book Antiqua" w:hAnsi="Book Antiqua" w:cs="Times New Roman"/>
          <w:sz w:val="24"/>
          <w:szCs w:val="24"/>
        </w:rPr>
        <w:t>Whitney U test was used to evaluate differences in continuous variables between two groups.</w:t>
      </w:r>
      <w:r w:rsidR="00E808B0">
        <w:rPr>
          <w:rFonts w:ascii="Book Antiqua" w:eastAsia="宋体" w:hAnsi="Book Antiqua" w:cs="Times New Roman" w:hint="eastAsia"/>
          <w:sz w:val="24"/>
          <w:szCs w:val="24"/>
        </w:rPr>
        <w:t xml:space="preserve"> </w:t>
      </w:r>
      <w:r w:rsidRPr="008D3B68">
        <w:rPr>
          <w:rFonts w:ascii="Book Antiqua" w:hAnsi="Book Antiqua" w:cs="Times New Roman"/>
          <w:sz w:val="24"/>
          <w:szCs w:val="24"/>
        </w:rPr>
        <w:t>Dichotomous variables were compared by Pearson</w:t>
      </w:r>
      <w:r w:rsidR="00491E41" w:rsidRPr="008D3B68">
        <w:rPr>
          <w:rFonts w:ascii="Book Antiqua" w:hAnsi="Book Antiqua" w:cs="Times New Roman"/>
          <w:sz w:val="24"/>
          <w:szCs w:val="24"/>
        </w:rPr>
        <w:t>’s</w:t>
      </w:r>
      <w:r w:rsidR="002D310B">
        <w:rPr>
          <w:rFonts w:ascii="Book Antiqua" w:eastAsia="宋体" w:hAnsi="Book Antiqua" w:cs="Times New Roman" w:hint="eastAsia"/>
          <w:sz w:val="24"/>
          <w:szCs w:val="24"/>
        </w:rPr>
        <w:t xml:space="preserve"> </w:t>
      </w:r>
      <w:r w:rsidR="002D310B" w:rsidRPr="00026D49">
        <w:rPr>
          <w:rFonts w:ascii="Book Antiqua" w:hAnsi="Book Antiqua"/>
          <w:i/>
          <w:sz w:val="24"/>
          <w:szCs w:val="24"/>
        </w:rPr>
        <w:t>χ</w:t>
      </w:r>
      <w:r w:rsidR="002D310B" w:rsidRPr="00026D49">
        <w:rPr>
          <w:rFonts w:ascii="Book Antiqua" w:hAnsi="Book Antiqua"/>
          <w:i/>
          <w:sz w:val="24"/>
          <w:szCs w:val="24"/>
          <w:vertAlign w:val="superscript"/>
        </w:rPr>
        <w:t>2</w:t>
      </w:r>
      <w:r w:rsidRPr="008D3B68">
        <w:rPr>
          <w:rFonts w:ascii="Book Antiqua" w:hAnsi="Book Antiqua" w:cs="Times New Roman"/>
          <w:sz w:val="24"/>
          <w:szCs w:val="24"/>
        </w:rPr>
        <w:t xml:space="preserve"> test.</w:t>
      </w:r>
      <w:r w:rsidR="00551565">
        <w:rPr>
          <w:rFonts w:ascii="Book Antiqua" w:eastAsia="宋体" w:hAnsi="Book Antiqua" w:cs="Times New Roman" w:hint="eastAsia"/>
          <w:sz w:val="24"/>
          <w:szCs w:val="24"/>
        </w:rPr>
        <w:t xml:space="preserve"> </w:t>
      </w:r>
      <w:r w:rsidR="00491E41" w:rsidRPr="008D3B68">
        <w:rPr>
          <w:rFonts w:ascii="Book Antiqua" w:hAnsi="Book Antiqua" w:cs="Times New Roman"/>
          <w:sz w:val="24"/>
          <w:szCs w:val="24"/>
        </w:rPr>
        <w:t>V</w:t>
      </w:r>
      <w:r w:rsidR="00DF4640" w:rsidRPr="008D3B68">
        <w:rPr>
          <w:rFonts w:ascii="Book Antiqua" w:hAnsi="Book Antiqua" w:cs="Times New Roman"/>
          <w:sz w:val="24"/>
          <w:szCs w:val="24"/>
        </w:rPr>
        <w:t xml:space="preserve">alues of </w:t>
      </w:r>
      <w:r w:rsidR="00DF4640" w:rsidRPr="008D3B68">
        <w:rPr>
          <w:rFonts w:ascii="Book Antiqua" w:hAnsi="Book Antiqua" w:cs="Times New Roman"/>
          <w:i/>
          <w:sz w:val="24"/>
          <w:szCs w:val="24"/>
        </w:rPr>
        <w:t>P</w:t>
      </w:r>
      <w:r w:rsidR="00A261C6" w:rsidRPr="008D3B68">
        <w:rPr>
          <w:rFonts w:ascii="Book Antiqua" w:hAnsi="Book Antiqua" w:cs="Times New Roman"/>
          <w:i/>
          <w:sz w:val="24"/>
          <w:szCs w:val="24"/>
        </w:rPr>
        <w:t xml:space="preserve"> </w:t>
      </w:r>
      <w:r w:rsidRPr="008D3B68">
        <w:rPr>
          <w:rFonts w:ascii="Book Antiqua" w:hAnsi="Book Antiqua" w:cs="Times New Roman"/>
          <w:sz w:val="24"/>
          <w:szCs w:val="24"/>
        </w:rPr>
        <w:t>&lt;</w:t>
      </w:r>
      <w:r w:rsidR="00A261C6" w:rsidRPr="008D3B68">
        <w:rPr>
          <w:rFonts w:ascii="Book Antiqua" w:hAnsi="Book Antiqua" w:cs="Times New Roman"/>
          <w:sz w:val="24"/>
          <w:szCs w:val="24"/>
        </w:rPr>
        <w:t xml:space="preserve"> </w:t>
      </w:r>
      <w:r w:rsidRPr="008D3B68">
        <w:rPr>
          <w:rFonts w:ascii="Book Antiqua" w:hAnsi="Book Antiqua" w:cs="Times New Roman"/>
          <w:sz w:val="24"/>
          <w:szCs w:val="24"/>
        </w:rPr>
        <w:t>0.05 were considered significant.</w:t>
      </w:r>
      <w:r w:rsidR="00EA5B80">
        <w:rPr>
          <w:rFonts w:ascii="Book Antiqua" w:eastAsia="宋体" w:hAnsi="Book Antiqua" w:cs="Times New Roman" w:hint="eastAsia"/>
          <w:sz w:val="24"/>
          <w:szCs w:val="24"/>
        </w:rPr>
        <w:t xml:space="preserve"> </w:t>
      </w:r>
      <w:r w:rsidR="00B12FAD" w:rsidRPr="00B60151">
        <w:rPr>
          <w:rFonts w:ascii="Book Antiqua" w:eastAsia="宋体" w:hAnsi="Book Antiqua" w:cs="Times New Roman" w:hint="eastAsia"/>
          <w:b/>
          <w:sz w:val="24"/>
          <w:szCs w:val="24"/>
          <w:vertAlign w:val="superscript"/>
        </w:rPr>
        <w:t>1</w:t>
      </w:r>
      <w:r w:rsidRPr="008D3B68">
        <w:rPr>
          <w:rFonts w:ascii="Book Antiqua" w:hAnsi="Book Antiqua" w:cs="Times New Roman"/>
          <w:sz w:val="24"/>
          <w:szCs w:val="24"/>
        </w:rPr>
        <w:t>Subgroup U1</w:t>
      </w:r>
      <w:r w:rsidR="00491E41" w:rsidRPr="008D3B68">
        <w:rPr>
          <w:rFonts w:ascii="Book Antiqua" w:hAnsi="Book Antiqua" w:cs="Times New Roman"/>
          <w:sz w:val="24"/>
          <w:szCs w:val="24"/>
        </w:rPr>
        <w:t>,</w:t>
      </w:r>
      <w:r w:rsidRPr="008D3B68">
        <w:rPr>
          <w:rFonts w:ascii="Book Antiqua" w:hAnsi="Book Antiqua" w:cs="Times New Roman"/>
          <w:sz w:val="24"/>
          <w:szCs w:val="24"/>
        </w:rPr>
        <w:t xml:space="preserve"> normalized ALT and sustained remission</w:t>
      </w:r>
      <w:r w:rsidR="00EA5B80">
        <w:rPr>
          <w:rFonts w:ascii="Book Antiqua" w:eastAsia="宋体" w:hAnsi="Book Antiqua" w:cs="Times New Roman" w:hint="eastAsia"/>
          <w:sz w:val="24"/>
          <w:szCs w:val="24"/>
        </w:rPr>
        <w:t xml:space="preserve">; </w:t>
      </w:r>
      <w:r w:rsidR="00B12FAD">
        <w:rPr>
          <w:rFonts w:ascii="Book Antiqua" w:eastAsia="宋体" w:hAnsi="Book Antiqua" w:cs="Times New Roman" w:hint="eastAsia"/>
          <w:b/>
          <w:sz w:val="24"/>
          <w:szCs w:val="24"/>
          <w:vertAlign w:val="superscript"/>
        </w:rPr>
        <w:t>2</w:t>
      </w:r>
      <w:r w:rsidRPr="008D3B68">
        <w:rPr>
          <w:rFonts w:ascii="Book Antiqua" w:hAnsi="Book Antiqua" w:cs="Times New Roman"/>
          <w:sz w:val="24"/>
          <w:szCs w:val="24"/>
        </w:rPr>
        <w:t>Subgroup U2</w:t>
      </w:r>
      <w:r w:rsidR="00491E41" w:rsidRPr="008D3B68">
        <w:rPr>
          <w:rFonts w:ascii="Book Antiqua" w:hAnsi="Book Antiqua" w:cs="Times New Roman"/>
          <w:sz w:val="24"/>
          <w:szCs w:val="24"/>
        </w:rPr>
        <w:t>,</w:t>
      </w:r>
      <w:r w:rsidRPr="008D3B68">
        <w:rPr>
          <w:rFonts w:ascii="Book Antiqua" w:hAnsi="Book Antiqua" w:cs="Times New Roman"/>
          <w:sz w:val="24"/>
          <w:szCs w:val="24"/>
        </w:rPr>
        <w:t xml:space="preserve"> non-normalized ALT or relapse</w:t>
      </w:r>
      <w:r w:rsidR="00EA5B80">
        <w:rPr>
          <w:rFonts w:ascii="Book Antiqua" w:eastAsia="宋体" w:hAnsi="Book Antiqua" w:cs="Times New Roman" w:hint="eastAsia"/>
          <w:sz w:val="24"/>
          <w:szCs w:val="24"/>
        </w:rPr>
        <w:t xml:space="preserve">. </w:t>
      </w:r>
      <w:r w:rsidR="00E808B0">
        <w:rPr>
          <w:rFonts w:ascii="Book Antiqua" w:eastAsia="宋体" w:hAnsi="Book Antiqua" w:cs="Times New Roman" w:hint="eastAsia"/>
          <w:sz w:val="24"/>
          <w:szCs w:val="24"/>
        </w:rPr>
        <w:t>ALT:</w:t>
      </w:r>
      <w:r w:rsidR="00E808B0" w:rsidRPr="00397554">
        <w:rPr>
          <w:rFonts w:ascii="Book Antiqua" w:hAnsi="Book Antiqua" w:cs="Times New Roman"/>
          <w:sz w:val="24"/>
          <w:szCs w:val="24"/>
        </w:rPr>
        <w:t xml:space="preserve"> </w:t>
      </w:r>
      <w:r w:rsidR="00E808B0" w:rsidRPr="008D3B68">
        <w:rPr>
          <w:rFonts w:ascii="Book Antiqua" w:hAnsi="Book Antiqua" w:cs="Times New Roman"/>
          <w:sz w:val="24"/>
          <w:szCs w:val="24"/>
        </w:rPr>
        <w:t>Alanine aminotransferase</w:t>
      </w:r>
      <w:r w:rsidR="00E808B0">
        <w:rPr>
          <w:rFonts w:ascii="Book Antiqua" w:eastAsia="宋体" w:hAnsi="Book Antiqua" w:cs="Times New Roman" w:hint="eastAsia"/>
          <w:sz w:val="24"/>
          <w:szCs w:val="24"/>
        </w:rPr>
        <w:t>; AIH:</w:t>
      </w:r>
      <w:r w:rsidR="00E808B0" w:rsidRPr="002B7A3E">
        <w:rPr>
          <w:rFonts w:ascii="Book Antiqua" w:hAnsi="Book Antiqua" w:cs="Times New Roman"/>
          <w:sz w:val="24"/>
          <w:szCs w:val="24"/>
        </w:rPr>
        <w:t xml:space="preserve"> </w:t>
      </w:r>
      <w:r w:rsidR="00E808B0" w:rsidRPr="008D3B68">
        <w:rPr>
          <w:rFonts w:ascii="Book Antiqua" w:hAnsi="Book Antiqua" w:cs="Times New Roman"/>
          <w:sz w:val="24"/>
          <w:szCs w:val="24"/>
        </w:rPr>
        <w:t>Autoimmune hepatitis</w:t>
      </w:r>
      <w:r w:rsidR="00E808B0">
        <w:rPr>
          <w:rFonts w:ascii="Book Antiqua" w:eastAsia="宋体" w:hAnsi="Book Antiqua" w:cs="Times New Roman" w:hint="eastAsia"/>
          <w:sz w:val="24"/>
          <w:szCs w:val="24"/>
        </w:rPr>
        <w:t>;</w:t>
      </w:r>
      <w:r w:rsidR="00E808B0" w:rsidRPr="00FB3618">
        <w:rPr>
          <w:rFonts w:ascii="Book Antiqua" w:hAnsi="Book Antiqua" w:cs="Times New Roman"/>
          <w:sz w:val="24"/>
          <w:szCs w:val="24"/>
        </w:rPr>
        <w:t xml:space="preserve"> </w:t>
      </w:r>
      <w:r w:rsidR="00E808B0" w:rsidRPr="008D3B68">
        <w:rPr>
          <w:rFonts w:ascii="Book Antiqua" w:hAnsi="Book Antiqua" w:cs="Times New Roman"/>
          <w:sz w:val="24"/>
          <w:szCs w:val="24"/>
        </w:rPr>
        <w:t>AST</w:t>
      </w:r>
      <w:r w:rsidR="00E808B0">
        <w:rPr>
          <w:rFonts w:ascii="Book Antiqua" w:eastAsia="宋体" w:hAnsi="Book Antiqua" w:cs="Times New Roman" w:hint="eastAsia"/>
          <w:sz w:val="24"/>
          <w:szCs w:val="24"/>
        </w:rPr>
        <w:t>:</w:t>
      </w:r>
      <w:r w:rsidR="00E808B0" w:rsidRPr="00FB3618">
        <w:rPr>
          <w:rFonts w:ascii="Book Antiqua" w:hAnsi="Book Antiqua" w:cs="Times New Roman"/>
          <w:sz w:val="24"/>
          <w:szCs w:val="24"/>
        </w:rPr>
        <w:t xml:space="preserve"> </w:t>
      </w:r>
      <w:r w:rsidR="00E808B0" w:rsidRPr="008D3B68">
        <w:rPr>
          <w:rFonts w:ascii="Book Antiqua" w:hAnsi="Book Antiqua" w:cs="Times New Roman"/>
          <w:sz w:val="24"/>
          <w:szCs w:val="24"/>
        </w:rPr>
        <w:t>Aspartate transaminase</w:t>
      </w:r>
      <w:r w:rsidR="00E808B0">
        <w:rPr>
          <w:rFonts w:ascii="Book Antiqua" w:eastAsia="宋体" w:hAnsi="Book Antiqua" w:cs="Times New Roman" w:hint="eastAsia"/>
          <w:sz w:val="24"/>
          <w:szCs w:val="24"/>
        </w:rPr>
        <w:t>;</w:t>
      </w:r>
      <w:r w:rsidR="00E808B0" w:rsidRPr="00ED7A21">
        <w:rPr>
          <w:rFonts w:ascii="Book Antiqua" w:eastAsia="宋体" w:hAnsi="Book Antiqua" w:cs="Times New Roman" w:hint="eastAsia"/>
          <w:sz w:val="24"/>
          <w:szCs w:val="24"/>
        </w:rPr>
        <w:t xml:space="preserve"> </w:t>
      </w:r>
      <w:r w:rsidR="00E808B0">
        <w:rPr>
          <w:rFonts w:ascii="Book Antiqua" w:eastAsia="宋体" w:hAnsi="Book Antiqua" w:cs="Times New Roman" w:hint="eastAsia"/>
          <w:sz w:val="24"/>
          <w:szCs w:val="24"/>
        </w:rPr>
        <w:t>HLA:</w:t>
      </w:r>
      <w:r w:rsidR="00E808B0" w:rsidRPr="00ED7A21">
        <w:rPr>
          <w:rFonts w:ascii="Book Antiqua" w:hAnsi="Book Antiqua" w:cs="Times New Roman"/>
          <w:sz w:val="24"/>
          <w:szCs w:val="24"/>
        </w:rPr>
        <w:t xml:space="preserve"> </w:t>
      </w:r>
      <w:r w:rsidR="00E808B0" w:rsidRPr="008D3B68">
        <w:rPr>
          <w:rFonts w:ascii="Book Antiqua" w:hAnsi="Book Antiqua" w:cs="Times New Roman"/>
          <w:sz w:val="24"/>
          <w:szCs w:val="24"/>
        </w:rPr>
        <w:t>Human leukocyte antigen</w:t>
      </w:r>
      <w:r w:rsidR="00E808B0">
        <w:rPr>
          <w:rFonts w:ascii="Book Antiqua" w:eastAsia="宋体" w:hAnsi="Book Antiqua" w:cs="Times New Roman" w:hint="eastAsia"/>
          <w:sz w:val="24"/>
          <w:szCs w:val="24"/>
        </w:rPr>
        <w:t>;</w:t>
      </w:r>
      <w:r w:rsidR="00E808B0" w:rsidRPr="00645870">
        <w:rPr>
          <w:rFonts w:ascii="Book Antiqua" w:eastAsia="宋体" w:hAnsi="Book Antiqua" w:cs="Times New Roman" w:hint="eastAsia"/>
          <w:sz w:val="24"/>
          <w:szCs w:val="24"/>
        </w:rPr>
        <w:t xml:space="preserve"> </w:t>
      </w:r>
      <w:r w:rsidR="00E808B0">
        <w:rPr>
          <w:rFonts w:ascii="Book Antiqua" w:eastAsia="宋体" w:hAnsi="Book Antiqua" w:cs="Times New Roman" w:hint="eastAsia"/>
          <w:sz w:val="24"/>
          <w:szCs w:val="24"/>
        </w:rPr>
        <w:t>ANA:</w:t>
      </w:r>
      <w:r w:rsidR="00E808B0" w:rsidRPr="0058260D">
        <w:rPr>
          <w:rFonts w:ascii="Book Antiqua" w:hAnsi="Book Antiqua" w:cs="Times New Roman"/>
          <w:sz w:val="24"/>
          <w:szCs w:val="24"/>
        </w:rPr>
        <w:t xml:space="preserve"> </w:t>
      </w:r>
      <w:r w:rsidR="00E808B0" w:rsidRPr="008D3B68">
        <w:rPr>
          <w:rFonts w:ascii="Book Antiqua" w:hAnsi="Book Antiqua" w:cs="Times New Roman"/>
          <w:sz w:val="24"/>
          <w:szCs w:val="24"/>
        </w:rPr>
        <w:t>Antinuclear antibody</w:t>
      </w:r>
      <w:r w:rsidR="00E808B0">
        <w:rPr>
          <w:rFonts w:ascii="Book Antiqua" w:eastAsia="宋体" w:hAnsi="Book Antiqua" w:cs="Times New Roman" w:hint="eastAsia"/>
          <w:sz w:val="24"/>
          <w:szCs w:val="24"/>
        </w:rPr>
        <w:t>;</w:t>
      </w:r>
      <w:r w:rsidR="00E808B0" w:rsidRPr="008A64BF">
        <w:rPr>
          <w:rFonts w:ascii="Book Antiqua" w:eastAsia="宋体" w:hAnsi="Book Antiqua" w:cs="Times New Roman" w:hint="eastAsia"/>
          <w:sz w:val="24"/>
          <w:szCs w:val="24"/>
        </w:rPr>
        <w:t xml:space="preserve"> </w:t>
      </w:r>
      <w:r w:rsidR="00E808B0">
        <w:rPr>
          <w:rFonts w:ascii="Book Antiqua" w:eastAsia="宋体" w:hAnsi="Book Antiqua" w:cs="Times New Roman" w:hint="eastAsia"/>
          <w:sz w:val="24"/>
          <w:szCs w:val="24"/>
        </w:rPr>
        <w:t>ALP:</w:t>
      </w:r>
      <w:r w:rsidR="00E808B0" w:rsidRPr="00377429">
        <w:rPr>
          <w:rFonts w:ascii="Book Antiqua" w:hAnsi="Book Antiqua" w:cs="Times New Roman"/>
          <w:sz w:val="24"/>
          <w:szCs w:val="24"/>
        </w:rPr>
        <w:t xml:space="preserve"> </w:t>
      </w:r>
      <w:r w:rsidR="00E808B0" w:rsidRPr="008D3B68">
        <w:rPr>
          <w:rFonts w:ascii="Book Antiqua" w:hAnsi="Book Antiqua" w:cs="Times New Roman"/>
          <w:sz w:val="24"/>
          <w:szCs w:val="24"/>
        </w:rPr>
        <w:t>Alkaline phosphatase</w:t>
      </w:r>
      <w:r w:rsidR="00E808B0">
        <w:rPr>
          <w:rFonts w:ascii="Book Antiqua" w:eastAsia="宋体" w:hAnsi="Book Antiqua" w:cs="Times New Roman" w:hint="eastAsia"/>
          <w:sz w:val="24"/>
          <w:szCs w:val="24"/>
        </w:rPr>
        <w:t>;</w:t>
      </w:r>
      <w:r w:rsidR="00E808B0" w:rsidRPr="0046560A">
        <w:rPr>
          <w:rFonts w:ascii="Book Antiqua" w:hAnsi="Book Antiqua" w:cs="Times New Roman"/>
          <w:sz w:val="24"/>
          <w:szCs w:val="24"/>
        </w:rPr>
        <w:t xml:space="preserve"> </w:t>
      </w:r>
      <w:r w:rsidR="00E808B0" w:rsidRPr="008D3B68">
        <w:rPr>
          <w:rFonts w:ascii="Book Antiqua" w:hAnsi="Book Antiqua" w:cs="Times New Roman"/>
          <w:sz w:val="24"/>
          <w:szCs w:val="24"/>
        </w:rPr>
        <w:t>γ</w:t>
      </w:r>
      <w:r w:rsidR="00E808B0">
        <w:rPr>
          <w:rFonts w:ascii="Book Antiqua" w:eastAsia="宋体" w:hAnsi="Book Antiqua" w:cs="Times New Roman" w:hint="eastAsia"/>
          <w:sz w:val="24"/>
          <w:szCs w:val="24"/>
        </w:rPr>
        <w:t xml:space="preserve">-GTP: </w:t>
      </w:r>
      <w:r w:rsidR="00E808B0" w:rsidRPr="008D3B68">
        <w:rPr>
          <w:rFonts w:ascii="Book Antiqua" w:hAnsi="Book Antiqua" w:cs="Times New Roman"/>
          <w:sz w:val="24"/>
          <w:szCs w:val="24"/>
        </w:rPr>
        <w:t>γ-glutamyltransferase</w:t>
      </w:r>
      <w:r w:rsidR="00E808B0">
        <w:rPr>
          <w:rFonts w:ascii="Book Antiqua" w:eastAsia="宋体" w:hAnsi="Book Antiqua" w:cs="Times New Roman" w:hint="eastAsia"/>
          <w:sz w:val="24"/>
          <w:szCs w:val="24"/>
        </w:rPr>
        <w:t>;</w:t>
      </w:r>
      <w:r w:rsidR="00E808B0" w:rsidRPr="00611898">
        <w:rPr>
          <w:rFonts w:ascii="Book Antiqua" w:eastAsia="宋体" w:hAnsi="Book Antiqua" w:cs="Times New Roman" w:hint="eastAsia"/>
          <w:sz w:val="24"/>
          <w:szCs w:val="24"/>
        </w:rPr>
        <w:t xml:space="preserve"> </w:t>
      </w:r>
      <w:r w:rsidR="00E808B0">
        <w:rPr>
          <w:rFonts w:ascii="Book Antiqua" w:eastAsia="宋体" w:hAnsi="Book Antiqua" w:cs="Times New Roman" w:hint="eastAsia"/>
          <w:sz w:val="24"/>
          <w:szCs w:val="24"/>
        </w:rPr>
        <w:t>SMA:</w:t>
      </w:r>
      <w:r w:rsidR="00E808B0" w:rsidRPr="00C91E9E">
        <w:rPr>
          <w:rFonts w:ascii="Book Antiqua" w:hAnsi="Book Antiqua" w:cs="Times New Roman"/>
          <w:sz w:val="24"/>
          <w:szCs w:val="24"/>
        </w:rPr>
        <w:t xml:space="preserve"> </w:t>
      </w:r>
      <w:r w:rsidR="00E808B0" w:rsidRPr="008D3B68">
        <w:rPr>
          <w:rFonts w:ascii="Book Antiqua" w:hAnsi="Book Antiqua" w:cs="Times New Roman"/>
          <w:sz w:val="24"/>
          <w:szCs w:val="24"/>
        </w:rPr>
        <w:t>Smooth muscle antibody</w:t>
      </w:r>
      <w:r w:rsidR="00E808B0">
        <w:rPr>
          <w:rFonts w:ascii="Book Antiqua" w:eastAsia="宋体" w:hAnsi="Book Antiqua" w:cs="Times New Roman" w:hint="eastAsia"/>
          <w:sz w:val="24"/>
          <w:szCs w:val="24"/>
        </w:rPr>
        <w:t>.</w:t>
      </w:r>
    </w:p>
    <w:p w:rsidR="007E1E54" w:rsidRPr="008D3B68" w:rsidRDefault="007E1E54" w:rsidP="00352D86">
      <w:pPr>
        <w:spacing w:line="360" w:lineRule="auto"/>
        <w:rPr>
          <w:rFonts w:ascii="Book Antiqua" w:hAnsi="Book Antiqua" w:cs="Times New Roman"/>
          <w:sz w:val="24"/>
          <w:szCs w:val="24"/>
        </w:rPr>
      </w:pPr>
    </w:p>
    <w:p w:rsidR="002B7A3E" w:rsidRDefault="002B7A3E">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7E1E54" w:rsidRPr="0020505C" w:rsidRDefault="009E654E" w:rsidP="00352D86">
      <w:pPr>
        <w:spacing w:line="360" w:lineRule="auto"/>
        <w:rPr>
          <w:rFonts w:ascii="Book Antiqua" w:hAnsi="Book Antiqua" w:cs="Times New Roman"/>
          <w:b/>
          <w:sz w:val="24"/>
          <w:szCs w:val="24"/>
        </w:rPr>
      </w:pPr>
      <w:r w:rsidRPr="0020505C">
        <w:rPr>
          <w:rFonts w:ascii="Book Antiqua" w:hAnsi="Book Antiqua" w:cs="Times New Roman"/>
          <w:b/>
          <w:color w:val="000000" w:themeColor="text1"/>
          <w:sz w:val="24"/>
          <w:szCs w:val="24"/>
        </w:rPr>
        <w:lastRenderedPageBreak/>
        <w:t>Table 3</w:t>
      </w:r>
      <w:r w:rsidR="007E1E54" w:rsidRPr="0020505C">
        <w:rPr>
          <w:rFonts w:ascii="Book Antiqua" w:hAnsi="Book Antiqua" w:cs="Times New Roman"/>
          <w:b/>
          <w:sz w:val="24"/>
          <w:szCs w:val="24"/>
        </w:rPr>
        <w:t xml:space="preserve"> Multivariate logistic regression analysis of factors associated with normalized </w:t>
      </w:r>
      <w:r w:rsidR="0020505C" w:rsidRPr="0020505C">
        <w:rPr>
          <w:rFonts w:ascii="Book Antiqua" w:hAnsi="Book Antiqua" w:cs="Times New Roman"/>
          <w:b/>
          <w:sz w:val="24"/>
          <w:szCs w:val="24"/>
        </w:rPr>
        <w:t>alanine aminotransferase</w:t>
      </w:r>
      <w:r w:rsidR="007E1E54" w:rsidRPr="0020505C">
        <w:rPr>
          <w:rFonts w:ascii="Book Antiqua" w:hAnsi="Book Antiqua" w:cs="Times New Roman"/>
          <w:b/>
          <w:sz w:val="24"/>
          <w:szCs w:val="24"/>
        </w:rPr>
        <w:t xml:space="preserve"> and sustained remission of </w:t>
      </w:r>
      <w:r w:rsidR="00253B80" w:rsidRPr="0020505C">
        <w:rPr>
          <w:rFonts w:ascii="Book Antiqua" w:hAnsi="Book Antiqua" w:cs="Times New Roman"/>
          <w:b/>
          <w:sz w:val="24"/>
          <w:szCs w:val="24"/>
        </w:rPr>
        <w:t>ursodeoxycholic acid</w:t>
      </w:r>
      <w:r w:rsidR="007E1E54" w:rsidRPr="0020505C">
        <w:rPr>
          <w:rFonts w:ascii="Book Antiqua" w:hAnsi="Book Antiqua" w:cs="Times New Roman"/>
          <w:b/>
          <w:sz w:val="24"/>
          <w:szCs w:val="24"/>
        </w:rPr>
        <w:t xml:space="preserve"> monotherapy in </w:t>
      </w:r>
      <w:r w:rsidR="002B7A3E" w:rsidRPr="0020505C">
        <w:rPr>
          <w:rFonts w:ascii="Book Antiqua" w:hAnsi="Book Antiqua" w:cs="Times New Roman"/>
          <w:b/>
          <w:sz w:val="24"/>
          <w:szCs w:val="24"/>
        </w:rPr>
        <w:t>autoimmune hepatitis</w:t>
      </w:r>
      <w:r w:rsidR="007E1E54" w:rsidRPr="0020505C">
        <w:rPr>
          <w:rFonts w:ascii="Book Antiqua" w:hAnsi="Book Antiqua" w:cs="Times New Roman"/>
          <w:b/>
          <w:sz w:val="24"/>
          <w:szCs w:val="24"/>
        </w:rPr>
        <w:t xml:space="preserve">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843"/>
        <w:gridCol w:w="2273"/>
        <w:gridCol w:w="839"/>
      </w:tblGrid>
      <w:tr w:rsidR="007E1E54" w:rsidRPr="000E0723" w:rsidTr="000E0723">
        <w:trPr>
          <w:trHeight w:val="354"/>
        </w:trPr>
        <w:tc>
          <w:tcPr>
            <w:tcW w:w="3539" w:type="dxa"/>
            <w:tcBorders>
              <w:top w:val="single" w:sz="4" w:space="0" w:color="auto"/>
            </w:tcBorders>
            <w:noWrap/>
            <w:hideMark/>
          </w:tcPr>
          <w:p w:rsidR="007E1E54" w:rsidRPr="000E0723" w:rsidRDefault="007E1E54" w:rsidP="00352D86">
            <w:pPr>
              <w:spacing w:line="360" w:lineRule="auto"/>
              <w:rPr>
                <w:rFonts w:ascii="Book Antiqua" w:hAnsi="Book Antiqua" w:cs="Times New Roman"/>
                <w:b/>
                <w:sz w:val="24"/>
                <w:szCs w:val="24"/>
              </w:rPr>
            </w:pPr>
            <w:r w:rsidRPr="000E0723">
              <w:rPr>
                <w:rFonts w:ascii="Book Antiqua" w:hAnsi="Book Antiqua" w:cs="Times New Roman"/>
                <w:b/>
                <w:sz w:val="24"/>
                <w:szCs w:val="24"/>
              </w:rPr>
              <w:t>Factor</w:t>
            </w:r>
          </w:p>
        </w:tc>
        <w:tc>
          <w:tcPr>
            <w:tcW w:w="1843" w:type="dxa"/>
            <w:tcBorders>
              <w:top w:val="single" w:sz="4" w:space="0" w:color="auto"/>
            </w:tcBorders>
            <w:noWrap/>
            <w:hideMark/>
          </w:tcPr>
          <w:p w:rsidR="007E1E54" w:rsidRPr="000E0723" w:rsidRDefault="007E1E54" w:rsidP="00352D86">
            <w:pPr>
              <w:spacing w:line="360" w:lineRule="auto"/>
              <w:rPr>
                <w:rFonts w:ascii="Book Antiqua" w:hAnsi="Book Antiqua" w:cs="Times New Roman"/>
                <w:b/>
                <w:sz w:val="24"/>
                <w:szCs w:val="24"/>
              </w:rPr>
            </w:pPr>
            <w:r w:rsidRPr="000E0723">
              <w:rPr>
                <w:rFonts w:ascii="Book Antiqua" w:hAnsi="Book Antiqua" w:cs="Times New Roman"/>
                <w:b/>
                <w:sz w:val="24"/>
                <w:szCs w:val="24"/>
              </w:rPr>
              <w:t>Category</w:t>
            </w:r>
          </w:p>
        </w:tc>
        <w:tc>
          <w:tcPr>
            <w:tcW w:w="2273" w:type="dxa"/>
            <w:tcBorders>
              <w:top w:val="single" w:sz="4" w:space="0" w:color="auto"/>
            </w:tcBorders>
            <w:noWrap/>
            <w:hideMark/>
          </w:tcPr>
          <w:p w:rsidR="007E1E54" w:rsidRPr="000E0723" w:rsidRDefault="007E1E54" w:rsidP="00352D86">
            <w:pPr>
              <w:spacing w:line="360" w:lineRule="auto"/>
              <w:rPr>
                <w:rFonts w:ascii="Book Antiqua" w:hAnsi="Book Antiqua" w:cs="Times New Roman"/>
                <w:b/>
                <w:sz w:val="24"/>
                <w:szCs w:val="24"/>
              </w:rPr>
            </w:pPr>
            <w:r w:rsidRPr="000E0723">
              <w:rPr>
                <w:rFonts w:ascii="Book Antiqua" w:hAnsi="Book Antiqua" w:cs="Times New Roman"/>
                <w:b/>
                <w:sz w:val="24"/>
                <w:szCs w:val="24"/>
              </w:rPr>
              <w:t>Odds ratio</w:t>
            </w:r>
          </w:p>
        </w:tc>
        <w:tc>
          <w:tcPr>
            <w:tcW w:w="839" w:type="dxa"/>
            <w:tcBorders>
              <w:top w:val="single" w:sz="4" w:space="0" w:color="auto"/>
            </w:tcBorders>
            <w:noWrap/>
            <w:hideMark/>
          </w:tcPr>
          <w:p w:rsidR="007E1E54" w:rsidRPr="000E0723" w:rsidRDefault="00DF4640" w:rsidP="00352D86">
            <w:pPr>
              <w:spacing w:line="360" w:lineRule="auto"/>
              <w:rPr>
                <w:rFonts w:ascii="Book Antiqua" w:hAnsi="Book Antiqua" w:cs="Times New Roman"/>
                <w:b/>
                <w:i/>
                <w:iCs/>
                <w:sz w:val="24"/>
                <w:szCs w:val="24"/>
              </w:rPr>
            </w:pPr>
            <w:r w:rsidRPr="000E0723">
              <w:rPr>
                <w:rFonts w:ascii="Book Antiqua" w:hAnsi="Book Antiqua" w:cs="Times New Roman"/>
                <w:b/>
                <w:i/>
                <w:iCs/>
                <w:sz w:val="24"/>
                <w:szCs w:val="24"/>
              </w:rPr>
              <w:t>P</w:t>
            </w:r>
          </w:p>
        </w:tc>
      </w:tr>
      <w:tr w:rsidR="007E1E54" w:rsidRPr="000E0723" w:rsidTr="007E1E54">
        <w:trPr>
          <w:trHeight w:val="330"/>
        </w:trPr>
        <w:tc>
          <w:tcPr>
            <w:tcW w:w="3539" w:type="dxa"/>
            <w:tcBorders>
              <w:bottom w:val="single" w:sz="4" w:space="0" w:color="auto"/>
            </w:tcBorders>
            <w:noWrap/>
            <w:hideMark/>
          </w:tcPr>
          <w:p w:rsidR="007E1E54" w:rsidRPr="000E0723" w:rsidRDefault="007E1E54" w:rsidP="00352D86">
            <w:pPr>
              <w:spacing w:line="360" w:lineRule="auto"/>
              <w:rPr>
                <w:rFonts w:ascii="Book Antiqua" w:hAnsi="Book Antiqua" w:cs="Times New Roman"/>
                <w:b/>
                <w:sz w:val="24"/>
                <w:szCs w:val="24"/>
              </w:rPr>
            </w:pPr>
            <w:r w:rsidRPr="000E0723">
              <w:rPr>
                <w:rFonts w:ascii="Book Antiqua" w:hAnsi="Book Antiqua" w:cs="Times New Roman"/>
                <w:b/>
                <w:sz w:val="24"/>
                <w:szCs w:val="24"/>
              </w:rPr>
              <w:t xml:space="preserve">　</w:t>
            </w:r>
          </w:p>
        </w:tc>
        <w:tc>
          <w:tcPr>
            <w:tcW w:w="1843" w:type="dxa"/>
            <w:tcBorders>
              <w:bottom w:val="single" w:sz="4" w:space="0" w:color="auto"/>
            </w:tcBorders>
            <w:noWrap/>
            <w:hideMark/>
          </w:tcPr>
          <w:p w:rsidR="007E1E54" w:rsidRPr="000E0723" w:rsidRDefault="007E1E54" w:rsidP="00352D86">
            <w:pPr>
              <w:spacing w:line="360" w:lineRule="auto"/>
              <w:rPr>
                <w:rFonts w:ascii="Book Antiqua" w:hAnsi="Book Antiqua" w:cs="Times New Roman"/>
                <w:b/>
                <w:sz w:val="24"/>
                <w:szCs w:val="24"/>
              </w:rPr>
            </w:pPr>
            <w:r w:rsidRPr="000E0723">
              <w:rPr>
                <w:rFonts w:ascii="Book Antiqua" w:hAnsi="Book Antiqua" w:cs="Times New Roman"/>
                <w:b/>
                <w:sz w:val="24"/>
                <w:szCs w:val="24"/>
              </w:rPr>
              <w:t xml:space="preserve">　</w:t>
            </w:r>
          </w:p>
        </w:tc>
        <w:tc>
          <w:tcPr>
            <w:tcW w:w="2273" w:type="dxa"/>
            <w:tcBorders>
              <w:bottom w:val="single" w:sz="4" w:space="0" w:color="auto"/>
            </w:tcBorders>
            <w:noWrap/>
            <w:hideMark/>
          </w:tcPr>
          <w:p w:rsidR="007E1E54" w:rsidRPr="000E0723" w:rsidRDefault="000E0723" w:rsidP="00352D86">
            <w:pPr>
              <w:spacing w:line="360" w:lineRule="auto"/>
              <w:rPr>
                <w:rFonts w:ascii="Book Antiqua" w:hAnsi="Book Antiqua" w:cs="Times New Roman"/>
                <w:b/>
                <w:sz w:val="24"/>
                <w:szCs w:val="24"/>
              </w:rPr>
            </w:pPr>
            <w:r w:rsidRPr="000E0723">
              <w:rPr>
                <w:rFonts w:ascii="Book Antiqua" w:hAnsi="Book Antiqua" w:cs="Times New Roman"/>
                <w:b/>
                <w:sz w:val="24"/>
                <w:szCs w:val="24"/>
              </w:rPr>
              <w:t>(95%</w:t>
            </w:r>
            <w:r w:rsidR="007E1E54" w:rsidRPr="000E0723">
              <w:rPr>
                <w:rFonts w:ascii="Book Antiqua" w:hAnsi="Book Antiqua" w:cs="Times New Roman"/>
                <w:b/>
                <w:sz w:val="24"/>
                <w:szCs w:val="24"/>
              </w:rPr>
              <w:t>CI)</w:t>
            </w:r>
          </w:p>
        </w:tc>
        <w:tc>
          <w:tcPr>
            <w:tcW w:w="839" w:type="dxa"/>
            <w:tcBorders>
              <w:bottom w:val="single" w:sz="4" w:space="0" w:color="auto"/>
            </w:tcBorders>
            <w:noWrap/>
            <w:hideMark/>
          </w:tcPr>
          <w:p w:rsidR="007E1E54" w:rsidRPr="000E0723" w:rsidRDefault="007E1E54" w:rsidP="00352D86">
            <w:pPr>
              <w:spacing w:line="360" w:lineRule="auto"/>
              <w:rPr>
                <w:rFonts w:ascii="Book Antiqua" w:hAnsi="Book Antiqua" w:cs="Times New Roman"/>
                <w:b/>
                <w:i/>
                <w:iCs/>
                <w:sz w:val="24"/>
                <w:szCs w:val="24"/>
              </w:rPr>
            </w:pPr>
            <w:r w:rsidRPr="000E0723">
              <w:rPr>
                <w:rFonts w:ascii="Book Antiqua" w:hAnsi="Book Antiqua" w:cs="Times New Roman"/>
                <w:b/>
                <w:i/>
                <w:iCs/>
                <w:sz w:val="24"/>
                <w:szCs w:val="24"/>
              </w:rPr>
              <w:t xml:space="preserve">　</w:t>
            </w:r>
          </w:p>
        </w:tc>
      </w:tr>
      <w:tr w:rsidR="007E1E54" w:rsidRPr="008D3B68" w:rsidTr="007E1E54">
        <w:trPr>
          <w:trHeight w:val="285"/>
        </w:trPr>
        <w:tc>
          <w:tcPr>
            <w:tcW w:w="3539" w:type="dxa"/>
            <w:tcBorders>
              <w:top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ALT  (I</w:t>
            </w:r>
            <w:r w:rsidR="00AE4EE4" w:rsidRPr="008D3B68">
              <w:rPr>
                <w:rFonts w:ascii="Book Antiqua" w:hAnsi="Book Antiqua" w:cs="Times New Roman"/>
                <w:sz w:val="24"/>
                <w:szCs w:val="24"/>
              </w:rPr>
              <w:t>U</w:t>
            </w:r>
            <w:r w:rsidR="00ED6728" w:rsidRPr="008D3B68">
              <w:rPr>
                <w:rFonts w:ascii="Book Antiqua" w:hAnsi="Book Antiqua" w:cs="Times New Roman"/>
                <w:sz w:val="24"/>
                <w:szCs w:val="24"/>
              </w:rPr>
              <w:t>/L</w:t>
            </w:r>
            <w:r w:rsidRPr="008D3B68">
              <w:rPr>
                <w:rFonts w:ascii="Book Antiqua" w:hAnsi="Book Antiqua" w:cs="Times New Roman"/>
                <w:sz w:val="24"/>
                <w:szCs w:val="24"/>
              </w:rPr>
              <w:t>)</w:t>
            </w:r>
          </w:p>
        </w:tc>
        <w:tc>
          <w:tcPr>
            <w:tcW w:w="1843" w:type="dxa"/>
            <w:tcBorders>
              <w:top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&gt;</w:t>
            </w:r>
            <w:r w:rsidR="00206517">
              <w:rPr>
                <w:rFonts w:ascii="Book Antiqua" w:eastAsia="宋体" w:hAnsi="Book Antiqua" w:cs="Times New Roman" w:hint="eastAsia"/>
                <w:sz w:val="24"/>
                <w:szCs w:val="24"/>
              </w:rPr>
              <w:t xml:space="preserve"> </w:t>
            </w:r>
            <w:r w:rsidRPr="008D3B68">
              <w:rPr>
                <w:rFonts w:ascii="Book Antiqua" w:hAnsi="Book Antiqua" w:cs="Times New Roman"/>
                <w:sz w:val="24"/>
                <w:szCs w:val="24"/>
              </w:rPr>
              <w:t>200</w:t>
            </w:r>
          </w:p>
        </w:tc>
        <w:tc>
          <w:tcPr>
            <w:tcW w:w="2273" w:type="dxa"/>
            <w:tcBorders>
              <w:top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tcBorders>
              <w:top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330"/>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1843" w:type="dxa"/>
            <w:noWrap/>
            <w:hideMark/>
          </w:tcPr>
          <w:p w:rsidR="007E1E54" w:rsidRPr="008D3B68" w:rsidRDefault="00491E41" w:rsidP="00352D86">
            <w:pPr>
              <w:spacing w:line="360" w:lineRule="auto"/>
              <w:rPr>
                <w:rFonts w:ascii="Book Antiqua" w:hAnsi="Book Antiqua" w:cs="Times New Roman"/>
                <w:sz w:val="24"/>
                <w:szCs w:val="24"/>
              </w:rPr>
            </w:pPr>
            <w:r w:rsidRPr="008D3B68">
              <w:rPr>
                <w:rFonts w:ascii="Book Antiqua" w:eastAsia="Arial Unicode MS" w:hAnsi="Book Antiqua" w:cs="Times New Roman"/>
                <w:sz w:val="24"/>
                <w:szCs w:val="24"/>
              </w:rPr>
              <w:t>≤</w:t>
            </w:r>
            <w:r w:rsidR="00206517">
              <w:rPr>
                <w:rFonts w:ascii="Book Antiqua" w:eastAsia="Arial Unicode MS" w:hAnsi="Book Antiqua" w:cs="Times New Roman" w:hint="eastAsia"/>
                <w:sz w:val="24"/>
                <w:szCs w:val="24"/>
              </w:rPr>
              <w:t xml:space="preserve"> </w:t>
            </w:r>
            <w:r w:rsidR="007E1E54" w:rsidRPr="008D3B68">
              <w:rPr>
                <w:rFonts w:ascii="Book Antiqua" w:hAnsi="Book Antiqua" w:cs="Times New Roman"/>
                <w:sz w:val="24"/>
                <w:szCs w:val="24"/>
              </w:rPr>
              <w:t>200</w:t>
            </w:r>
          </w:p>
        </w:tc>
        <w:tc>
          <w:tcPr>
            <w:tcW w:w="2273" w:type="dxa"/>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10.8 (1.64</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71.0)</w:t>
            </w:r>
          </w:p>
        </w:tc>
        <w:tc>
          <w:tcPr>
            <w:tcW w:w="839" w:type="dxa"/>
            <w:noWrap/>
            <w:hideMark/>
          </w:tcPr>
          <w:p w:rsidR="007E1E54" w:rsidRPr="00541AAF" w:rsidRDefault="007E1E54" w:rsidP="00352D86">
            <w:pPr>
              <w:spacing w:line="360" w:lineRule="auto"/>
              <w:rPr>
                <w:rFonts w:ascii="Book Antiqua" w:hAnsi="Book Antiqua" w:cs="Times New Roman"/>
                <w:bCs/>
                <w:sz w:val="24"/>
                <w:szCs w:val="24"/>
              </w:rPr>
            </w:pPr>
            <w:r w:rsidRPr="00541AAF">
              <w:rPr>
                <w:rFonts w:ascii="Book Antiqua" w:hAnsi="Book Antiqua" w:cs="Times New Roman"/>
                <w:bCs/>
                <w:sz w:val="24"/>
                <w:szCs w:val="24"/>
              </w:rPr>
              <w:t>0.013</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Age</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&gt;</w:t>
            </w:r>
            <w:r w:rsidR="00206517">
              <w:rPr>
                <w:rFonts w:ascii="Book Antiqua" w:eastAsia="宋体" w:hAnsi="Book Antiqua" w:cs="Times New Roman" w:hint="eastAsia"/>
                <w:sz w:val="24"/>
                <w:szCs w:val="24"/>
              </w:rPr>
              <w:t xml:space="preserve"> </w:t>
            </w:r>
            <w:r w:rsidRPr="008D3B68">
              <w:rPr>
                <w:rFonts w:ascii="Book Antiqua" w:hAnsi="Book Antiqua" w:cs="Times New Roman"/>
                <w:sz w:val="24"/>
                <w:szCs w:val="24"/>
              </w:rPr>
              <w:t>50</w:t>
            </w:r>
          </w:p>
        </w:tc>
        <w:tc>
          <w:tcPr>
            <w:tcW w:w="227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 xml:space="preserve">　</w:t>
            </w:r>
          </w:p>
        </w:tc>
      </w:tr>
      <w:tr w:rsidR="007E1E54" w:rsidRPr="008D3B68" w:rsidTr="007E1E54">
        <w:trPr>
          <w:trHeight w:val="330"/>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1843" w:type="dxa"/>
            <w:noWrap/>
            <w:hideMark/>
          </w:tcPr>
          <w:p w:rsidR="007E1E54" w:rsidRPr="008D3B68" w:rsidRDefault="00491E41" w:rsidP="00352D86">
            <w:pPr>
              <w:spacing w:line="360" w:lineRule="auto"/>
              <w:rPr>
                <w:rFonts w:ascii="Book Antiqua" w:hAnsi="Book Antiqua" w:cs="Times New Roman"/>
                <w:sz w:val="24"/>
                <w:szCs w:val="24"/>
              </w:rPr>
            </w:pPr>
            <w:r w:rsidRPr="008D3B68">
              <w:rPr>
                <w:rFonts w:ascii="Book Antiqua" w:eastAsia="Arial Unicode MS" w:hAnsi="Book Antiqua" w:cs="Arial Unicode MS"/>
                <w:sz w:val="24"/>
                <w:szCs w:val="24"/>
              </w:rPr>
              <w:t>≤</w:t>
            </w:r>
            <w:r w:rsidR="00206517">
              <w:rPr>
                <w:rFonts w:ascii="Book Antiqua" w:eastAsia="Arial Unicode MS" w:hAnsi="Book Antiqua" w:cs="Arial Unicode MS" w:hint="eastAsia"/>
                <w:sz w:val="24"/>
                <w:szCs w:val="24"/>
              </w:rPr>
              <w:t xml:space="preserve"> </w:t>
            </w:r>
            <w:r w:rsidR="007E1E54" w:rsidRPr="008D3B68">
              <w:rPr>
                <w:rFonts w:ascii="Book Antiqua" w:hAnsi="Book Antiqua" w:cs="Times New Roman"/>
                <w:sz w:val="24"/>
                <w:szCs w:val="24"/>
              </w:rPr>
              <w:t>50</w:t>
            </w:r>
          </w:p>
        </w:tc>
        <w:tc>
          <w:tcPr>
            <w:tcW w:w="2273" w:type="dxa"/>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1.16 (0.21</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6.38)</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0.86</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IgG</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&gt;</w:t>
            </w:r>
            <w:r w:rsidR="00A72767">
              <w:rPr>
                <w:rFonts w:ascii="Book Antiqua" w:eastAsia="宋体" w:hAnsi="Book Antiqua" w:cs="Times New Roman" w:hint="eastAsia"/>
                <w:sz w:val="24"/>
                <w:szCs w:val="24"/>
              </w:rPr>
              <w:t xml:space="preserve"> </w:t>
            </w:r>
            <w:r w:rsidRPr="008D3B68">
              <w:rPr>
                <w:rFonts w:ascii="Book Antiqua" w:hAnsi="Book Antiqua" w:cs="Times New Roman"/>
                <w:sz w:val="24"/>
                <w:szCs w:val="24"/>
              </w:rPr>
              <w:t>2000</w:t>
            </w:r>
          </w:p>
        </w:tc>
        <w:tc>
          <w:tcPr>
            <w:tcW w:w="227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 xml:space="preserve">　</w:t>
            </w:r>
          </w:p>
        </w:tc>
      </w:tr>
      <w:tr w:rsidR="007E1E54" w:rsidRPr="008D3B68" w:rsidTr="007E1E54">
        <w:trPr>
          <w:trHeight w:val="330"/>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1843" w:type="dxa"/>
            <w:noWrap/>
            <w:hideMark/>
          </w:tcPr>
          <w:p w:rsidR="007E1E54" w:rsidRPr="008D3B68" w:rsidRDefault="00491E41" w:rsidP="00352D86">
            <w:pPr>
              <w:spacing w:line="360" w:lineRule="auto"/>
              <w:rPr>
                <w:rFonts w:ascii="Book Antiqua" w:hAnsi="Book Antiqua" w:cs="Times New Roman"/>
                <w:sz w:val="24"/>
                <w:szCs w:val="24"/>
              </w:rPr>
            </w:pPr>
            <w:r w:rsidRPr="008D3B68">
              <w:rPr>
                <w:rFonts w:ascii="Book Antiqua" w:eastAsia="Arial Unicode MS" w:hAnsi="Book Antiqua" w:cs="Times New Roman"/>
                <w:sz w:val="24"/>
                <w:szCs w:val="24"/>
              </w:rPr>
              <w:t>≤</w:t>
            </w:r>
            <w:r w:rsidR="00A72767">
              <w:rPr>
                <w:rFonts w:ascii="Book Antiqua" w:eastAsia="Arial Unicode MS" w:hAnsi="Book Antiqua" w:cs="Times New Roman" w:hint="eastAsia"/>
                <w:sz w:val="24"/>
                <w:szCs w:val="24"/>
              </w:rPr>
              <w:t xml:space="preserve"> </w:t>
            </w:r>
            <w:r w:rsidR="007E1E54" w:rsidRPr="008D3B68">
              <w:rPr>
                <w:rFonts w:ascii="Book Antiqua" w:hAnsi="Book Antiqua" w:cs="Times New Roman"/>
                <w:sz w:val="24"/>
                <w:szCs w:val="24"/>
              </w:rPr>
              <w:t>2000</w:t>
            </w:r>
          </w:p>
        </w:tc>
        <w:tc>
          <w:tcPr>
            <w:tcW w:w="2273" w:type="dxa"/>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0.65 (0.10</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4.32)</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0.66</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Acute presentation</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no</w:t>
            </w:r>
          </w:p>
        </w:tc>
        <w:tc>
          <w:tcPr>
            <w:tcW w:w="227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 xml:space="preserve">　</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yes</w:t>
            </w:r>
          </w:p>
        </w:tc>
        <w:tc>
          <w:tcPr>
            <w:tcW w:w="2273" w:type="dxa"/>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4.13 (0.15</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110.5)</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0.4</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Histological Grading</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A2 or A3</w:t>
            </w:r>
          </w:p>
        </w:tc>
        <w:tc>
          <w:tcPr>
            <w:tcW w:w="227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 xml:space="preserve">　</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A1</w:t>
            </w:r>
          </w:p>
        </w:tc>
        <w:tc>
          <w:tcPr>
            <w:tcW w:w="2273" w:type="dxa"/>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0.76 (0.10</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5.88)</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0.8</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Histological Staging</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F2 or F3 or F4</w:t>
            </w:r>
          </w:p>
        </w:tc>
        <w:tc>
          <w:tcPr>
            <w:tcW w:w="227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 xml:space="preserve">　</w:t>
            </w:r>
          </w:p>
        </w:tc>
      </w:tr>
      <w:tr w:rsidR="007E1E54" w:rsidRPr="008D3B68" w:rsidTr="007E1E54">
        <w:trPr>
          <w:trHeight w:val="285"/>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F1</w:t>
            </w:r>
          </w:p>
        </w:tc>
        <w:tc>
          <w:tcPr>
            <w:tcW w:w="2273" w:type="dxa"/>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0.41 (0.04</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4.44)</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0.46</w:t>
            </w:r>
          </w:p>
        </w:tc>
      </w:tr>
      <w:tr w:rsidR="007E1E54" w:rsidRPr="008D3B68" w:rsidTr="007E1E54">
        <w:trPr>
          <w:trHeight w:val="330"/>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AIH score</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&gt;</w:t>
            </w:r>
            <w:r w:rsidR="00A72767">
              <w:rPr>
                <w:rFonts w:ascii="Book Antiqua" w:eastAsia="宋体" w:hAnsi="Book Antiqua" w:cs="Times New Roman" w:hint="eastAsia"/>
                <w:sz w:val="24"/>
                <w:szCs w:val="24"/>
              </w:rPr>
              <w:t xml:space="preserve"> </w:t>
            </w:r>
            <w:r w:rsidRPr="008D3B68">
              <w:rPr>
                <w:rFonts w:ascii="Book Antiqua" w:hAnsi="Book Antiqua" w:cs="Times New Roman"/>
                <w:sz w:val="24"/>
                <w:szCs w:val="24"/>
              </w:rPr>
              <w:t>15</w:t>
            </w:r>
          </w:p>
        </w:tc>
        <w:tc>
          <w:tcPr>
            <w:tcW w:w="227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 xml:space="preserve">　</w:t>
            </w:r>
          </w:p>
        </w:tc>
      </w:tr>
      <w:tr w:rsidR="007E1E54" w:rsidRPr="008D3B68" w:rsidTr="007E1E54">
        <w:trPr>
          <w:trHeight w:val="330"/>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(International diagnostic criteria)</w:t>
            </w:r>
          </w:p>
        </w:tc>
        <w:tc>
          <w:tcPr>
            <w:tcW w:w="1843" w:type="dxa"/>
            <w:noWrap/>
            <w:hideMark/>
          </w:tcPr>
          <w:p w:rsidR="007E1E54" w:rsidRPr="008D3B68" w:rsidRDefault="00491E41" w:rsidP="00352D86">
            <w:pPr>
              <w:spacing w:line="360" w:lineRule="auto"/>
              <w:rPr>
                <w:rFonts w:ascii="Book Antiqua" w:hAnsi="Book Antiqua" w:cs="Times New Roman"/>
                <w:sz w:val="24"/>
                <w:szCs w:val="24"/>
              </w:rPr>
            </w:pPr>
            <w:r w:rsidRPr="008D3B68">
              <w:rPr>
                <w:rFonts w:ascii="Book Antiqua" w:eastAsia="Arial Unicode MS" w:hAnsi="Book Antiqua" w:cs="Times New Roman"/>
                <w:sz w:val="24"/>
                <w:szCs w:val="24"/>
              </w:rPr>
              <w:t>≤</w:t>
            </w:r>
            <w:r w:rsidR="00A72767">
              <w:rPr>
                <w:rFonts w:ascii="Book Antiqua" w:eastAsia="Arial Unicode MS" w:hAnsi="Book Antiqua" w:cs="Times New Roman" w:hint="eastAsia"/>
                <w:sz w:val="24"/>
                <w:szCs w:val="24"/>
              </w:rPr>
              <w:t xml:space="preserve"> </w:t>
            </w:r>
            <w:r w:rsidR="007E1E54" w:rsidRPr="008D3B68">
              <w:rPr>
                <w:rFonts w:ascii="Book Antiqua" w:hAnsi="Book Antiqua" w:cs="Times New Roman"/>
                <w:sz w:val="24"/>
                <w:szCs w:val="24"/>
              </w:rPr>
              <w:t>15</w:t>
            </w:r>
          </w:p>
        </w:tc>
        <w:tc>
          <w:tcPr>
            <w:tcW w:w="2273" w:type="dxa"/>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2.66 (0.43</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16.48)</w:t>
            </w:r>
          </w:p>
        </w:tc>
        <w:tc>
          <w:tcPr>
            <w:tcW w:w="839" w:type="dxa"/>
            <w:noWrap/>
            <w:hideMark/>
          </w:tcPr>
          <w:p w:rsidR="007E1E54" w:rsidRPr="00541AAF" w:rsidRDefault="007E1E54" w:rsidP="00352D86">
            <w:pPr>
              <w:spacing w:line="360" w:lineRule="auto"/>
              <w:rPr>
                <w:rFonts w:ascii="Book Antiqua" w:hAnsi="Book Antiqua" w:cs="Times New Roman"/>
                <w:sz w:val="24"/>
                <w:szCs w:val="24"/>
              </w:rPr>
            </w:pPr>
            <w:r w:rsidRPr="00541AAF">
              <w:rPr>
                <w:rFonts w:ascii="Book Antiqua" w:hAnsi="Book Antiqua" w:cs="Times New Roman"/>
                <w:sz w:val="24"/>
                <w:szCs w:val="24"/>
              </w:rPr>
              <w:t>0.29</w:t>
            </w:r>
          </w:p>
        </w:tc>
      </w:tr>
      <w:tr w:rsidR="007E1E54" w:rsidRPr="008D3B68" w:rsidTr="007E1E54">
        <w:trPr>
          <w:trHeight w:val="330"/>
        </w:trPr>
        <w:tc>
          <w:tcPr>
            <w:tcW w:w="35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AIH score</w:t>
            </w:r>
          </w:p>
        </w:tc>
        <w:tc>
          <w:tcPr>
            <w:tcW w:w="184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&gt;</w:t>
            </w:r>
            <w:r w:rsidR="00A72767">
              <w:rPr>
                <w:rFonts w:ascii="Book Antiqua" w:eastAsia="宋体" w:hAnsi="Book Antiqua" w:cs="Times New Roman" w:hint="eastAsia"/>
                <w:sz w:val="24"/>
                <w:szCs w:val="24"/>
              </w:rPr>
              <w:t xml:space="preserve"> </w:t>
            </w:r>
            <w:r w:rsidRPr="008D3B68">
              <w:rPr>
                <w:rFonts w:ascii="Book Antiqua" w:hAnsi="Book Antiqua" w:cs="Times New Roman"/>
                <w:sz w:val="24"/>
                <w:szCs w:val="24"/>
              </w:rPr>
              <w:t>6</w:t>
            </w:r>
          </w:p>
        </w:tc>
        <w:tc>
          <w:tcPr>
            <w:tcW w:w="2273"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1</w:t>
            </w:r>
          </w:p>
        </w:tc>
        <w:tc>
          <w:tcPr>
            <w:tcW w:w="839" w:type="dxa"/>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 xml:space="preserve">　</w:t>
            </w:r>
          </w:p>
        </w:tc>
      </w:tr>
      <w:tr w:rsidR="007E1E54" w:rsidRPr="008D3B68" w:rsidTr="007E1E54">
        <w:trPr>
          <w:trHeight w:val="330"/>
        </w:trPr>
        <w:tc>
          <w:tcPr>
            <w:tcW w:w="3539" w:type="dxa"/>
            <w:tcBorders>
              <w:bottom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(Simplified criteria)</w:t>
            </w:r>
          </w:p>
        </w:tc>
        <w:tc>
          <w:tcPr>
            <w:tcW w:w="1843" w:type="dxa"/>
            <w:tcBorders>
              <w:bottom w:val="single" w:sz="4" w:space="0" w:color="auto"/>
            </w:tcBorders>
            <w:noWrap/>
            <w:hideMark/>
          </w:tcPr>
          <w:p w:rsidR="007E1E54" w:rsidRPr="008D3B68" w:rsidRDefault="00491E41" w:rsidP="00A72767">
            <w:pPr>
              <w:spacing w:line="360" w:lineRule="auto"/>
              <w:ind w:firstLineChars="50" w:firstLine="120"/>
              <w:rPr>
                <w:rFonts w:ascii="Book Antiqua" w:hAnsi="Book Antiqua" w:cs="Times New Roman"/>
                <w:sz w:val="24"/>
                <w:szCs w:val="24"/>
              </w:rPr>
            </w:pPr>
            <w:r w:rsidRPr="008D3B68">
              <w:rPr>
                <w:rFonts w:ascii="Book Antiqua" w:eastAsia="Arial Unicode MS" w:hAnsi="Book Antiqua" w:cs="Times New Roman"/>
                <w:sz w:val="24"/>
                <w:szCs w:val="24"/>
              </w:rPr>
              <w:t>≤</w:t>
            </w:r>
            <w:r w:rsidR="007E1E54" w:rsidRPr="008D3B68">
              <w:rPr>
                <w:rFonts w:ascii="Book Antiqua" w:hAnsi="Book Antiqua" w:cs="Times New Roman"/>
                <w:sz w:val="24"/>
                <w:szCs w:val="24"/>
              </w:rPr>
              <w:t>6</w:t>
            </w:r>
          </w:p>
        </w:tc>
        <w:tc>
          <w:tcPr>
            <w:tcW w:w="2273" w:type="dxa"/>
            <w:tcBorders>
              <w:bottom w:val="single" w:sz="4" w:space="0" w:color="auto"/>
            </w:tcBorders>
            <w:noWrap/>
            <w:hideMark/>
          </w:tcPr>
          <w:p w:rsidR="007E1E54" w:rsidRPr="008D3B68" w:rsidRDefault="007E1E54" w:rsidP="00117E87">
            <w:pPr>
              <w:spacing w:line="360" w:lineRule="auto"/>
              <w:rPr>
                <w:rFonts w:ascii="Book Antiqua" w:hAnsi="Book Antiqua" w:cs="Times New Roman"/>
                <w:sz w:val="24"/>
                <w:szCs w:val="24"/>
              </w:rPr>
            </w:pPr>
            <w:r w:rsidRPr="008D3B68">
              <w:rPr>
                <w:rFonts w:ascii="Book Antiqua" w:hAnsi="Book Antiqua" w:cs="Times New Roman"/>
                <w:sz w:val="24"/>
                <w:szCs w:val="24"/>
              </w:rPr>
              <w:t>5.46 (0.37</w:t>
            </w:r>
            <w:r w:rsidR="00117E87">
              <w:rPr>
                <w:rFonts w:ascii="Book Antiqua" w:eastAsia="宋体" w:hAnsi="Book Antiqua" w:cs="Times New Roman" w:hint="eastAsia"/>
                <w:sz w:val="24"/>
                <w:szCs w:val="24"/>
              </w:rPr>
              <w:t>-</w:t>
            </w:r>
            <w:r w:rsidRPr="008D3B68">
              <w:rPr>
                <w:rFonts w:ascii="Book Antiqua" w:hAnsi="Book Antiqua" w:cs="Times New Roman"/>
                <w:sz w:val="24"/>
                <w:szCs w:val="24"/>
              </w:rPr>
              <w:t>81.3)</w:t>
            </w:r>
          </w:p>
        </w:tc>
        <w:tc>
          <w:tcPr>
            <w:tcW w:w="839" w:type="dxa"/>
            <w:tcBorders>
              <w:bottom w:val="single" w:sz="4" w:space="0" w:color="auto"/>
            </w:tcBorders>
            <w:noWrap/>
            <w:hideMark/>
          </w:tcPr>
          <w:p w:rsidR="007E1E54" w:rsidRPr="008D3B68" w:rsidRDefault="007E1E54" w:rsidP="00352D86">
            <w:pPr>
              <w:spacing w:line="360" w:lineRule="auto"/>
              <w:rPr>
                <w:rFonts w:ascii="Book Antiqua" w:hAnsi="Book Antiqua" w:cs="Times New Roman"/>
                <w:sz w:val="24"/>
                <w:szCs w:val="24"/>
              </w:rPr>
            </w:pPr>
            <w:r w:rsidRPr="008D3B68">
              <w:rPr>
                <w:rFonts w:ascii="Book Antiqua" w:hAnsi="Book Antiqua" w:cs="Times New Roman"/>
                <w:sz w:val="24"/>
                <w:szCs w:val="24"/>
              </w:rPr>
              <w:t>0.22</w:t>
            </w:r>
          </w:p>
        </w:tc>
      </w:tr>
    </w:tbl>
    <w:p w:rsidR="00DD2B21" w:rsidRPr="00415908" w:rsidRDefault="00415908" w:rsidP="00352D86">
      <w:pPr>
        <w:spacing w:line="360" w:lineRule="auto"/>
        <w:rPr>
          <w:rFonts w:ascii="Book Antiqua" w:eastAsia="宋体" w:hAnsi="Book Antiqua" w:cs="Times New Roman"/>
          <w:sz w:val="24"/>
          <w:szCs w:val="24"/>
        </w:rPr>
      </w:pPr>
      <w:r>
        <w:rPr>
          <w:rFonts w:ascii="Book Antiqua" w:eastAsia="宋体" w:hAnsi="Book Antiqua" w:cs="Times New Roman" w:hint="eastAsia"/>
          <w:sz w:val="24"/>
          <w:szCs w:val="24"/>
        </w:rPr>
        <w:t>AIH:</w:t>
      </w:r>
      <w:r w:rsidRPr="00415908">
        <w:rPr>
          <w:rFonts w:ascii="Book Antiqua" w:hAnsi="Book Antiqua" w:cs="Times New Roman"/>
          <w:sz w:val="24"/>
          <w:szCs w:val="24"/>
        </w:rPr>
        <w:t xml:space="preserve"> </w:t>
      </w:r>
      <w:r w:rsidRPr="008D3B68">
        <w:rPr>
          <w:rFonts w:ascii="Book Antiqua" w:hAnsi="Book Antiqua" w:cs="Times New Roman"/>
          <w:sz w:val="24"/>
          <w:szCs w:val="24"/>
        </w:rPr>
        <w:t>Autoimmune hepatitis</w:t>
      </w:r>
      <w:r>
        <w:rPr>
          <w:rFonts w:ascii="Book Antiqua" w:eastAsia="宋体" w:hAnsi="Book Antiqua" w:cs="Times New Roman" w:hint="eastAsia"/>
          <w:sz w:val="24"/>
          <w:szCs w:val="24"/>
        </w:rPr>
        <w:t>.</w:t>
      </w:r>
    </w:p>
    <w:sectPr w:rsidR="00DD2B21" w:rsidRPr="00415908" w:rsidSect="007E1E54">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83" w:rsidRDefault="006B6A83" w:rsidP="00A9672D">
      <w:r>
        <w:separator/>
      </w:r>
    </w:p>
  </w:endnote>
  <w:endnote w:type="continuationSeparator" w:id="0">
    <w:p w:rsidR="006B6A83" w:rsidRDefault="006B6A83" w:rsidP="00A9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PGothic">
    <w:altName w:val="ＭＳ Ｐゴシック"/>
    <w:charset w:val="80"/>
    <w:family w:val="swiss"/>
    <w:pitch w:val="variable"/>
    <w:sig w:usb0="A00002BF" w:usb1="68C7FCFB" w:usb2="00000010" w:usb3="00000000" w:csb0="0002009F" w:csb1="00000000"/>
  </w:font>
  <w:font w:name="Univers">
    <w:charset w:val="00"/>
    <w:family w:val="swiss"/>
    <w:pitch w:val="variable"/>
    <w:sig w:usb0="00000007" w:usb1="00000000" w:usb2="00000000" w:usb3="00000000" w:csb0="00000093" w:csb1="00000000"/>
  </w:font>
  <w:font w:name="宋体">
    <w:altName w:val="宋体"/>
    <w:charset w:val="50"/>
    <w:family w:val="auto"/>
    <w:pitch w:val="variable"/>
    <w:sig w:usb0="00000001" w:usb1="080E0000" w:usb2="00000010" w:usb3="00000000" w:csb0="00040000" w:csb1="00000000"/>
  </w:font>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956"/>
      <w:docPartObj>
        <w:docPartGallery w:val="Page Numbers (Bottom of Page)"/>
        <w:docPartUnique/>
      </w:docPartObj>
    </w:sdtPr>
    <w:sdtEndPr/>
    <w:sdtContent>
      <w:p w:rsidR="00653081" w:rsidRDefault="00653081">
        <w:pPr>
          <w:pStyle w:val="Footer"/>
          <w:jc w:val="center"/>
        </w:pPr>
        <w:r>
          <w:fldChar w:fldCharType="begin"/>
        </w:r>
        <w:r>
          <w:instrText>PAGE   \* MERGEFORMAT</w:instrText>
        </w:r>
        <w:r>
          <w:fldChar w:fldCharType="separate"/>
        </w:r>
        <w:r w:rsidR="009516A3" w:rsidRPr="009516A3">
          <w:rPr>
            <w:noProof/>
            <w:lang w:val="ja-JP"/>
          </w:rPr>
          <w:t>29</w:t>
        </w:r>
        <w:r>
          <w:rPr>
            <w:noProof/>
            <w:lang w:val="ja-JP"/>
          </w:rPr>
          <w:fldChar w:fldCharType="end"/>
        </w:r>
      </w:p>
    </w:sdtContent>
  </w:sdt>
  <w:p w:rsidR="00653081" w:rsidRDefault="006530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83" w:rsidRDefault="006B6A83" w:rsidP="00A9672D">
      <w:r>
        <w:separator/>
      </w:r>
    </w:p>
  </w:footnote>
  <w:footnote w:type="continuationSeparator" w:id="0">
    <w:p w:rsidR="006B6A83" w:rsidRDefault="006B6A83" w:rsidP="00A96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2D"/>
    <w:rsid w:val="000012C1"/>
    <w:rsid w:val="00001CEF"/>
    <w:rsid w:val="000024C8"/>
    <w:rsid w:val="00002769"/>
    <w:rsid w:val="00003A87"/>
    <w:rsid w:val="0002243C"/>
    <w:rsid w:val="00030936"/>
    <w:rsid w:val="00031BA8"/>
    <w:rsid w:val="0003646C"/>
    <w:rsid w:val="00037B50"/>
    <w:rsid w:val="00043493"/>
    <w:rsid w:val="00045748"/>
    <w:rsid w:val="00047EA7"/>
    <w:rsid w:val="000501F4"/>
    <w:rsid w:val="0005142E"/>
    <w:rsid w:val="00051CEA"/>
    <w:rsid w:val="00052168"/>
    <w:rsid w:val="000521BA"/>
    <w:rsid w:val="00064FDB"/>
    <w:rsid w:val="00070967"/>
    <w:rsid w:val="000756CB"/>
    <w:rsid w:val="000809AF"/>
    <w:rsid w:val="000840D6"/>
    <w:rsid w:val="00084173"/>
    <w:rsid w:val="00084F7F"/>
    <w:rsid w:val="000915A6"/>
    <w:rsid w:val="00095DC0"/>
    <w:rsid w:val="000969F7"/>
    <w:rsid w:val="000A35C0"/>
    <w:rsid w:val="000A539F"/>
    <w:rsid w:val="000B02B0"/>
    <w:rsid w:val="000B03DB"/>
    <w:rsid w:val="000B09D9"/>
    <w:rsid w:val="000B292C"/>
    <w:rsid w:val="000B37B3"/>
    <w:rsid w:val="000C2487"/>
    <w:rsid w:val="000D3B4E"/>
    <w:rsid w:val="000D601A"/>
    <w:rsid w:val="000E0723"/>
    <w:rsid w:val="000E24AE"/>
    <w:rsid w:val="000F0942"/>
    <w:rsid w:val="000F2DF6"/>
    <w:rsid w:val="000F5C43"/>
    <w:rsid w:val="00114207"/>
    <w:rsid w:val="00117E87"/>
    <w:rsid w:val="00122423"/>
    <w:rsid w:val="00127837"/>
    <w:rsid w:val="00132593"/>
    <w:rsid w:val="00132A07"/>
    <w:rsid w:val="00133B9D"/>
    <w:rsid w:val="00143CAC"/>
    <w:rsid w:val="00144D74"/>
    <w:rsid w:val="0015133D"/>
    <w:rsid w:val="00154579"/>
    <w:rsid w:val="00155AE8"/>
    <w:rsid w:val="00161A64"/>
    <w:rsid w:val="00172774"/>
    <w:rsid w:val="00177CAF"/>
    <w:rsid w:val="00180C5C"/>
    <w:rsid w:val="001825DE"/>
    <w:rsid w:val="001867C0"/>
    <w:rsid w:val="0019124B"/>
    <w:rsid w:val="001928BB"/>
    <w:rsid w:val="0019563C"/>
    <w:rsid w:val="001A1647"/>
    <w:rsid w:val="001A6364"/>
    <w:rsid w:val="001B21BB"/>
    <w:rsid w:val="001C05C7"/>
    <w:rsid w:val="001D0274"/>
    <w:rsid w:val="001E1A18"/>
    <w:rsid w:val="001E6492"/>
    <w:rsid w:val="001E6DAE"/>
    <w:rsid w:val="001F19C8"/>
    <w:rsid w:val="001F4D50"/>
    <w:rsid w:val="001F6708"/>
    <w:rsid w:val="00204BFA"/>
    <w:rsid w:val="0020505C"/>
    <w:rsid w:val="002051CF"/>
    <w:rsid w:val="00205564"/>
    <w:rsid w:val="002057D8"/>
    <w:rsid w:val="00206517"/>
    <w:rsid w:val="00207726"/>
    <w:rsid w:val="00220194"/>
    <w:rsid w:val="00222BB0"/>
    <w:rsid w:val="002352B7"/>
    <w:rsid w:val="002408F9"/>
    <w:rsid w:val="002429E2"/>
    <w:rsid w:val="00242E8D"/>
    <w:rsid w:val="00246B2D"/>
    <w:rsid w:val="00253B80"/>
    <w:rsid w:val="00255AA5"/>
    <w:rsid w:val="00261042"/>
    <w:rsid w:val="002619B7"/>
    <w:rsid w:val="00261D36"/>
    <w:rsid w:val="00262BD0"/>
    <w:rsid w:val="0026623A"/>
    <w:rsid w:val="00270E50"/>
    <w:rsid w:val="00273113"/>
    <w:rsid w:val="00277337"/>
    <w:rsid w:val="002855C1"/>
    <w:rsid w:val="00287B36"/>
    <w:rsid w:val="002932A4"/>
    <w:rsid w:val="002B215A"/>
    <w:rsid w:val="002B227A"/>
    <w:rsid w:val="002B79C2"/>
    <w:rsid w:val="002B7A3E"/>
    <w:rsid w:val="002D258E"/>
    <w:rsid w:val="002D310B"/>
    <w:rsid w:val="002D6510"/>
    <w:rsid w:val="002E13EA"/>
    <w:rsid w:val="002E2C0A"/>
    <w:rsid w:val="002E59A8"/>
    <w:rsid w:val="002E5F54"/>
    <w:rsid w:val="002E7BC3"/>
    <w:rsid w:val="002E7F18"/>
    <w:rsid w:val="003010C6"/>
    <w:rsid w:val="0031670C"/>
    <w:rsid w:val="0032775B"/>
    <w:rsid w:val="00334A70"/>
    <w:rsid w:val="00337213"/>
    <w:rsid w:val="00337346"/>
    <w:rsid w:val="00337C03"/>
    <w:rsid w:val="003440BC"/>
    <w:rsid w:val="003503F0"/>
    <w:rsid w:val="00351581"/>
    <w:rsid w:val="00352D86"/>
    <w:rsid w:val="0035515C"/>
    <w:rsid w:val="00357A8E"/>
    <w:rsid w:val="00364FBF"/>
    <w:rsid w:val="00377429"/>
    <w:rsid w:val="003818D3"/>
    <w:rsid w:val="0039344B"/>
    <w:rsid w:val="00397554"/>
    <w:rsid w:val="003A0973"/>
    <w:rsid w:val="003A21C7"/>
    <w:rsid w:val="003A21F1"/>
    <w:rsid w:val="003A5086"/>
    <w:rsid w:val="003B71E9"/>
    <w:rsid w:val="003B7D50"/>
    <w:rsid w:val="003C328B"/>
    <w:rsid w:val="003D6849"/>
    <w:rsid w:val="003E06B1"/>
    <w:rsid w:val="003E2730"/>
    <w:rsid w:val="003E3A6B"/>
    <w:rsid w:val="003E4BC2"/>
    <w:rsid w:val="003E4F52"/>
    <w:rsid w:val="004073BC"/>
    <w:rsid w:val="00415908"/>
    <w:rsid w:val="0041663B"/>
    <w:rsid w:val="00427295"/>
    <w:rsid w:val="00445E37"/>
    <w:rsid w:val="0045253C"/>
    <w:rsid w:val="00460E88"/>
    <w:rsid w:val="004637C3"/>
    <w:rsid w:val="0046560A"/>
    <w:rsid w:val="00467BED"/>
    <w:rsid w:val="004703F0"/>
    <w:rsid w:val="00473230"/>
    <w:rsid w:val="0047636B"/>
    <w:rsid w:val="00481907"/>
    <w:rsid w:val="004831BF"/>
    <w:rsid w:val="004909AC"/>
    <w:rsid w:val="00491E41"/>
    <w:rsid w:val="00492B88"/>
    <w:rsid w:val="004942DB"/>
    <w:rsid w:val="00496A0F"/>
    <w:rsid w:val="004A07ED"/>
    <w:rsid w:val="004A2FC3"/>
    <w:rsid w:val="004A6966"/>
    <w:rsid w:val="004A7203"/>
    <w:rsid w:val="004B34E2"/>
    <w:rsid w:val="004C187F"/>
    <w:rsid w:val="004C46D9"/>
    <w:rsid w:val="004C64ED"/>
    <w:rsid w:val="004D37E8"/>
    <w:rsid w:val="004D5564"/>
    <w:rsid w:val="004E1C6B"/>
    <w:rsid w:val="004E2281"/>
    <w:rsid w:val="004F0FF5"/>
    <w:rsid w:val="004F14AB"/>
    <w:rsid w:val="004F1B02"/>
    <w:rsid w:val="004F502D"/>
    <w:rsid w:val="005022CF"/>
    <w:rsid w:val="00503D9D"/>
    <w:rsid w:val="00505750"/>
    <w:rsid w:val="005109D3"/>
    <w:rsid w:val="0052035E"/>
    <w:rsid w:val="005221CF"/>
    <w:rsid w:val="00522397"/>
    <w:rsid w:val="00523B59"/>
    <w:rsid w:val="005241ED"/>
    <w:rsid w:val="00533570"/>
    <w:rsid w:val="00540011"/>
    <w:rsid w:val="00541AAF"/>
    <w:rsid w:val="00542DCC"/>
    <w:rsid w:val="00545676"/>
    <w:rsid w:val="00551565"/>
    <w:rsid w:val="005537C9"/>
    <w:rsid w:val="0057191C"/>
    <w:rsid w:val="00572546"/>
    <w:rsid w:val="0058260D"/>
    <w:rsid w:val="00583711"/>
    <w:rsid w:val="005A01FE"/>
    <w:rsid w:val="005A194C"/>
    <w:rsid w:val="005A4AAB"/>
    <w:rsid w:val="005A60EA"/>
    <w:rsid w:val="005B51F7"/>
    <w:rsid w:val="005B53E8"/>
    <w:rsid w:val="005C13A9"/>
    <w:rsid w:val="005C2B42"/>
    <w:rsid w:val="005C4637"/>
    <w:rsid w:val="005D05A4"/>
    <w:rsid w:val="005E256C"/>
    <w:rsid w:val="005E3B6E"/>
    <w:rsid w:val="005E4541"/>
    <w:rsid w:val="005E5718"/>
    <w:rsid w:val="005F624B"/>
    <w:rsid w:val="00600F4A"/>
    <w:rsid w:val="00604128"/>
    <w:rsid w:val="00606B6D"/>
    <w:rsid w:val="00610EC5"/>
    <w:rsid w:val="00611898"/>
    <w:rsid w:val="00616889"/>
    <w:rsid w:val="00617077"/>
    <w:rsid w:val="006174E6"/>
    <w:rsid w:val="00620AE7"/>
    <w:rsid w:val="00623B75"/>
    <w:rsid w:val="00627F31"/>
    <w:rsid w:val="006316D1"/>
    <w:rsid w:val="00635BAF"/>
    <w:rsid w:val="00641B51"/>
    <w:rsid w:val="00641CD6"/>
    <w:rsid w:val="00645870"/>
    <w:rsid w:val="006464B4"/>
    <w:rsid w:val="00650614"/>
    <w:rsid w:val="00653081"/>
    <w:rsid w:val="0065361D"/>
    <w:rsid w:val="006543D7"/>
    <w:rsid w:val="00654AD7"/>
    <w:rsid w:val="00654D22"/>
    <w:rsid w:val="00657C89"/>
    <w:rsid w:val="00661B68"/>
    <w:rsid w:val="006674C3"/>
    <w:rsid w:val="006705DB"/>
    <w:rsid w:val="0067325F"/>
    <w:rsid w:val="006842EC"/>
    <w:rsid w:val="00685480"/>
    <w:rsid w:val="00691261"/>
    <w:rsid w:val="006A1197"/>
    <w:rsid w:val="006A4FCA"/>
    <w:rsid w:val="006A5C18"/>
    <w:rsid w:val="006B05C1"/>
    <w:rsid w:val="006B6A83"/>
    <w:rsid w:val="006C4C80"/>
    <w:rsid w:val="006C7C34"/>
    <w:rsid w:val="006D2C65"/>
    <w:rsid w:val="006D4D3D"/>
    <w:rsid w:val="006E60CC"/>
    <w:rsid w:val="006E6A9F"/>
    <w:rsid w:val="006E78A6"/>
    <w:rsid w:val="006F1653"/>
    <w:rsid w:val="006F1BA4"/>
    <w:rsid w:val="006F4F9E"/>
    <w:rsid w:val="006F55A5"/>
    <w:rsid w:val="006F5795"/>
    <w:rsid w:val="00704BBC"/>
    <w:rsid w:val="00720D61"/>
    <w:rsid w:val="00725123"/>
    <w:rsid w:val="00725475"/>
    <w:rsid w:val="00735AEA"/>
    <w:rsid w:val="00742BE1"/>
    <w:rsid w:val="00750CA0"/>
    <w:rsid w:val="00753688"/>
    <w:rsid w:val="0075751A"/>
    <w:rsid w:val="00761464"/>
    <w:rsid w:val="00764538"/>
    <w:rsid w:val="007649A8"/>
    <w:rsid w:val="00765841"/>
    <w:rsid w:val="00766651"/>
    <w:rsid w:val="00766F3A"/>
    <w:rsid w:val="0077657B"/>
    <w:rsid w:val="0078239F"/>
    <w:rsid w:val="007843F7"/>
    <w:rsid w:val="007846E7"/>
    <w:rsid w:val="00785C5E"/>
    <w:rsid w:val="007921ED"/>
    <w:rsid w:val="007935DD"/>
    <w:rsid w:val="00796AA0"/>
    <w:rsid w:val="007A32C6"/>
    <w:rsid w:val="007A7938"/>
    <w:rsid w:val="007B211B"/>
    <w:rsid w:val="007B3217"/>
    <w:rsid w:val="007C38F8"/>
    <w:rsid w:val="007C46D0"/>
    <w:rsid w:val="007C72D1"/>
    <w:rsid w:val="007D69FA"/>
    <w:rsid w:val="007E0F9F"/>
    <w:rsid w:val="007E1E54"/>
    <w:rsid w:val="007E1F6B"/>
    <w:rsid w:val="007E63DC"/>
    <w:rsid w:val="007F596E"/>
    <w:rsid w:val="007F6CC6"/>
    <w:rsid w:val="007F7671"/>
    <w:rsid w:val="008014B2"/>
    <w:rsid w:val="00802FAD"/>
    <w:rsid w:val="00814DE8"/>
    <w:rsid w:val="00815DDD"/>
    <w:rsid w:val="0081782D"/>
    <w:rsid w:val="0082525D"/>
    <w:rsid w:val="008258C8"/>
    <w:rsid w:val="00835E2A"/>
    <w:rsid w:val="00843AB2"/>
    <w:rsid w:val="00845208"/>
    <w:rsid w:val="00845A2C"/>
    <w:rsid w:val="00853B60"/>
    <w:rsid w:val="00855A50"/>
    <w:rsid w:val="00870A0A"/>
    <w:rsid w:val="0087120C"/>
    <w:rsid w:val="008712FB"/>
    <w:rsid w:val="0088502B"/>
    <w:rsid w:val="0088681D"/>
    <w:rsid w:val="00890B9F"/>
    <w:rsid w:val="008A13D3"/>
    <w:rsid w:val="008A5117"/>
    <w:rsid w:val="008A64BF"/>
    <w:rsid w:val="008B0C1E"/>
    <w:rsid w:val="008B1F53"/>
    <w:rsid w:val="008B3A4C"/>
    <w:rsid w:val="008B48CF"/>
    <w:rsid w:val="008B749C"/>
    <w:rsid w:val="008C045E"/>
    <w:rsid w:val="008C5289"/>
    <w:rsid w:val="008D0C2D"/>
    <w:rsid w:val="008D3B68"/>
    <w:rsid w:val="008D751B"/>
    <w:rsid w:val="008D777D"/>
    <w:rsid w:val="008D795B"/>
    <w:rsid w:val="008E2063"/>
    <w:rsid w:val="008E4D0F"/>
    <w:rsid w:val="008E571D"/>
    <w:rsid w:val="008E7011"/>
    <w:rsid w:val="008F28C3"/>
    <w:rsid w:val="008F46A9"/>
    <w:rsid w:val="008F61D2"/>
    <w:rsid w:val="008F634F"/>
    <w:rsid w:val="008F6673"/>
    <w:rsid w:val="008F792B"/>
    <w:rsid w:val="00901D07"/>
    <w:rsid w:val="0090201E"/>
    <w:rsid w:val="0090711F"/>
    <w:rsid w:val="0090713D"/>
    <w:rsid w:val="0091071F"/>
    <w:rsid w:val="0091239A"/>
    <w:rsid w:val="009153D0"/>
    <w:rsid w:val="0092260D"/>
    <w:rsid w:val="00926E36"/>
    <w:rsid w:val="009319B7"/>
    <w:rsid w:val="009453E0"/>
    <w:rsid w:val="00946ADA"/>
    <w:rsid w:val="009471FF"/>
    <w:rsid w:val="00947C3B"/>
    <w:rsid w:val="00950CD2"/>
    <w:rsid w:val="009516A3"/>
    <w:rsid w:val="00953D98"/>
    <w:rsid w:val="009620D7"/>
    <w:rsid w:val="0097604B"/>
    <w:rsid w:val="009800DF"/>
    <w:rsid w:val="00983A0D"/>
    <w:rsid w:val="00985BFE"/>
    <w:rsid w:val="009971EE"/>
    <w:rsid w:val="009A0A8D"/>
    <w:rsid w:val="009A2455"/>
    <w:rsid w:val="009A4A89"/>
    <w:rsid w:val="009A61A4"/>
    <w:rsid w:val="009B0937"/>
    <w:rsid w:val="009B4769"/>
    <w:rsid w:val="009B6DAB"/>
    <w:rsid w:val="009C5070"/>
    <w:rsid w:val="009D6E56"/>
    <w:rsid w:val="009D7F44"/>
    <w:rsid w:val="009E654E"/>
    <w:rsid w:val="009F03F2"/>
    <w:rsid w:val="009F1FFC"/>
    <w:rsid w:val="00A01DE5"/>
    <w:rsid w:val="00A04CB9"/>
    <w:rsid w:val="00A15D67"/>
    <w:rsid w:val="00A1616B"/>
    <w:rsid w:val="00A21D0C"/>
    <w:rsid w:val="00A220B6"/>
    <w:rsid w:val="00A228E4"/>
    <w:rsid w:val="00A25D2B"/>
    <w:rsid w:val="00A261C6"/>
    <w:rsid w:val="00A3104F"/>
    <w:rsid w:val="00A313A7"/>
    <w:rsid w:val="00A375C3"/>
    <w:rsid w:val="00A40949"/>
    <w:rsid w:val="00A448B9"/>
    <w:rsid w:val="00A52BFF"/>
    <w:rsid w:val="00A64F4C"/>
    <w:rsid w:val="00A66BD6"/>
    <w:rsid w:val="00A72767"/>
    <w:rsid w:val="00A759B4"/>
    <w:rsid w:val="00A82094"/>
    <w:rsid w:val="00A8213E"/>
    <w:rsid w:val="00A84B0B"/>
    <w:rsid w:val="00A940AB"/>
    <w:rsid w:val="00A9672D"/>
    <w:rsid w:val="00AA22A1"/>
    <w:rsid w:val="00AA45D4"/>
    <w:rsid w:val="00AB39E9"/>
    <w:rsid w:val="00AB6AD3"/>
    <w:rsid w:val="00AC14CB"/>
    <w:rsid w:val="00AC5D6C"/>
    <w:rsid w:val="00AC7B7D"/>
    <w:rsid w:val="00AD386A"/>
    <w:rsid w:val="00AE102B"/>
    <w:rsid w:val="00AE2704"/>
    <w:rsid w:val="00AE3D3F"/>
    <w:rsid w:val="00AE4E3D"/>
    <w:rsid w:val="00AE4EE4"/>
    <w:rsid w:val="00B00A82"/>
    <w:rsid w:val="00B019BF"/>
    <w:rsid w:val="00B04614"/>
    <w:rsid w:val="00B04B77"/>
    <w:rsid w:val="00B04BC8"/>
    <w:rsid w:val="00B12FAD"/>
    <w:rsid w:val="00B142CC"/>
    <w:rsid w:val="00B224BA"/>
    <w:rsid w:val="00B316EB"/>
    <w:rsid w:val="00B31F78"/>
    <w:rsid w:val="00B35203"/>
    <w:rsid w:val="00B40769"/>
    <w:rsid w:val="00B43F47"/>
    <w:rsid w:val="00B52750"/>
    <w:rsid w:val="00B53F11"/>
    <w:rsid w:val="00B56BCB"/>
    <w:rsid w:val="00B57FA0"/>
    <w:rsid w:val="00B60151"/>
    <w:rsid w:val="00B64A75"/>
    <w:rsid w:val="00B75EE1"/>
    <w:rsid w:val="00B82046"/>
    <w:rsid w:val="00B824FB"/>
    <w:rsid w:val="00B835C7"/>
    <w:rsid w:val="00BA46C8"/>
    <w:rsid w:val="00BB23D5"/>
    <w:rsid w:val="00BC4C1B"/>
    <w:rsid w:val="00BC719E"/>
    <w:rsid w:val="00BD0B40"/>
    <w:rsid w:val="00BD3A2D"/>
    <w:rsid w:val="00BD53AD"/>
    <w:rsid w:val="00BE2618"/>
    <w:rsid w:val="00BE5C13"/>
    <w:rsid w:val="00BF3E2D"/>
    <w:rsid w:val="00C03CDC"/>
    <w:rsid w:val="00C124FD"/>
    <w:rsid w:val="00C1712A"/>
    <w:rsid w:val="00C35C23"/>
    <w:rsid w:val="00C40FA0"/>
    <w:rsid w:val="00C46212"/>
    <w:rsid w:val="00C52216"/>
    <w:rsid w:val="00C533FB"/>
    <w:rsid w:val="00C5660E"/>
    <w:rsid w:val="00C62B49"/>
    <w:rsid w:val="00C62EB6"/>
    <w:rsid w:val="00C745E6"/>
    <w:rsid w:val="00C760A3"/>
    <w:rsid w:val="00C83014"/>
    <w:rsid w:val="00C905F3"/>
    <w:rsid w:val="00C91E9E"/>
    <w:rsid w:val="00C950EC"/>
    <w:rsid w:val="00CA46A2"/>
    <w:rsid w:val="00CA57C5"/>
    <w:rsid w:val="00CB613A"/>
    <w:rsid w:val="00CC0610"/>
    <w:rsid w:val="00CC53A2"/>
    <w:rsid w:val="00CD19E3"/>
    <w:rsid w:val="00CD45A8"/>
    <w:rsid w:val="00CD4D5D"/>
    <w:rsid w:val="00CF29E9"/>
    <w:rsid w:val="00D05283"/>
    <w:rsid w:val="00D16F33"/>
    <w:rsid w:val="00D17C35"/>
    <w:rsid w:val="00D2010C"/>
    <w:rsid w:val="00D23304"/>
    <w:rsid w:val="00D25B64"/>
    <w:rsid w:val="00D32ADF"/>
    <w:rsid w:val="00D41585"/>
    <w:rsid w:val="00D455EC"/>
    <w:rsid w:val="00D45E4F"/>
    <w:rsid w:val="00D50220"/>
    <w:rsid w:val="00D5222B"/>
    <w:rsid w:val="00D63817"/>
    <w:rsid w:val="00D66728"/>
    <w:rsid w:val="00D6728D"/>
    <w:rsid w:val="00D67FA2"/>
    <w:rsid w:val="00D733B7"/>
    <w:rsid w:val="00D80BC6"/>
    <w:rsid w:val="00D831F9"/>
    <w:rsid w:val="00D92A9F"/>
    <w:rsid w:val="00D93E2E"/>
    <w:rsid w:val="00D961FD"/>
    <w:rsid w:val="00DA067E"/>
    <w:rsid w:val="00DB1EA3"/>
    <w:rsid w:val="00DB5A23"/>
    <w:rsid w:val="00DC69A7"/>
    <w:rsid w:val="00DD10A4"/>
    <w:rsid w:val="00DD2B21"/>
    <w:rsid w:val="00DD556A"/>
    <w:rsid w:val="00DE204F"/>
    <w:rsid w:val="00DF4640"/>
    <w:rsid w:val="00E070B0"/>
    <w:rsid w:val="00E21234"/>
    <w:rsid w:val="00E254AE"/>
    <w:rsid w:val="00E32546"/>
    <w:rsid w:val="00E350FA"/>
    <w:rsid w:val="00E3560B"/>
    <w:rsid w:val="00E361D1"/>
    <w:rsid w:val="00E40478"/>
    <w:rsid w:val="00E43835"/>
    <w:rsid w:val="00E448A9"/>
    <w:rsid w:val="00E522D2"/>
    <w:rsid w:val="00E54BF4"/>
    <w:rsid w:val="00E55899"/>
    <w:rsid w:val="00E55E1B"/>
    <w:rsid w:val="00E6368A"/>
    <w:rsid w:val="00E67A0A"/>
    <w:rsid w:val="00E70FF7"/>
    <w:rsid w:val="00E808B0"/>
    <w:rsid w:val="00E82804"/>
    <w:rsid w:val="00E838F0"/>
    <w:rsid w:val="00E92537"/>
    <w:rsid w:val="00E932A4"/>
    <w:rsid w:val="00E94E7D"/>
    <w:rsid w:val="00E95AAB"/>
    <w:rsid w:val="00EA1588"/>
    <w:rsid w:val="00EA3BC2"/>
    <w:rsid w:val="00EA5B80"/>
    <w:rsid w:val="00EA783A"/>
    <w:rsid w:val="00EB4F8C"/>
    <w:rsid w:val="00EB6FD6"/>
    <w:rsid w:val="00EC1DAD"/>
    <w:rsid w:val="00EC2303"/>
    <w:rsid w:val="00EC669B"/>
    <w:rsid w:val="00ED3AA0"/>
    <w:rsid w:val="00ED42C4"/>
    <w:rsid w:val="00ED6728"/>
    <w:rsid w:val="00ED7A21"/>
    <w:rsid w:val="00EE304E"/>
    <w:rsid w:val="00EF2880"/>
    <w:rsid w:val="00EF6BD3"/>
    <w:rsid w:val="00F0293A"/>
    <w:rsid w:val="00F11996"/>
    <w:rsid w:val="00F13469"/>
    <w:rsid w:val="00F2551D"/>
    <w:rsid w:val="00F35D49"/>
    <w:rsid w:val="00F36205"/>
    <w:rsid w:val="00F450CA"/>
    <w:rsid w:val="00F46C80"/>
    <w:rsid w:val="00F51487"/>
    <w:rsid w:val="00F63F99"/>
    <w:rsid w:val="00F643F4"/>
    <w:rsid w:val="00F738CD"/>
    <w:rsid w:val="00F84AB7"/>
    <w:rsid w:val="00F87DB3"/>
    <w:rsid w:val="00FB07C9"/>
    <w:rsid w:val="00FB114C"/>
    <w:rsid w:val="00FB3618"/>
    <w:rsid w:val="00FB3902"/>
    <w:rsid w:val="00FB3CC9"/>
    <w:rsid w:val="00FB66EA"/>
    <w:rsid w:val="00FB6D1E"/>
    <w:rsid w:val="00FC0559"/>
    <w:rsid w:val="00FC0679"/>
    <w:rsid w:val="00FC7A86"/>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2D"/>
    <w:pPr>
      <w:tabs>
        <w:tab w:val="center" w:pos="4252"/>
        <w:tab w:val="right" w:pos="8504"/>
      </w:tabs>
      <w:snapToGrid w:val="0"/>
    </w:pPr>
  </w:style>
  <w:style w:type="character" w:customStyle="1" w:styleId="HeaderChar">
    <w:name w:val="Header Char"/>
    <w:basedOn w:val="DefaultParagraphFont"/>
    <w:link w:val="Header"/>
    <w:uiPriority w:val="99"/>
    <w:rsid w:val="00A9672D"/>
  </w:style>
  <w:style w:type="paragraph" w:styleId="Footer">
    <w:name w:val="footer"/>
    <w:basedOn w:val="Normal"/>
    <w:link w:val="FooterChar"/>
    <w:uiPriority w:val="99"/>
    <w:unhideWhenUsed/>
    <w:rsid w:val="00A9672D"/>
    <w:pPr>
      <w:tabs>
        <w:tab w:val="center" w:pos="4252"/>
        <w:tab w:val="right" w:pos="8504"/>
      </w:tabs>
      <w:snapToGrid w:val="0"/>
    </w:pPr>
  </w:style>
  <w:style w:type="character" w:customStyle="1" w:styleId="FooterChar">
    <w:name w:val="Footer Char"/>
    <w:basedOn w:val="DefaultParagraphFont"/>
    <w:link w:val="Footer"/>
    <w:uiPriority w:val="99"/>
    <w:rsid w:val="00A9672D"/>
  </w:style>
  <w:style w:type="character" w:styleId="CommentReference">
    <w:name w:val="annotation reference"/>
    <w:basedOn w:val="DefaultParagraphFont"/>
    <w:uiPriority w:val="99"/>
    <w:semiHidden/>
    <w:unhideWhenUsed/>
    <w:rsid w:val="001E6DAE"/>
    <w:rPr>
      <w:sz w:val="18"/>
      <w:szCs w:val="18"/>
    </w:rPr>
  </w:style>
  <w:style w:type="paragraph" w:styleId="CommentText">
    <w:name w:val="annotation text"/>
    <w:basedOn w:val="Normal"/>
    <w:link w:val="CommentTextChar"/>
    <w:uiPriority w:val="99"/>
    <w:semiHidden/>
    <w:unhideWhenUsed/>
    <w:rsid w:val="001E6DAE"/>
    <w:pPr>
      <w:jc w:val="left"/>
    </w:pPr>
  </w:style>
  <w:style w:type="character" w:customStyle="1" w:styleId="CommentTextChar">
    <w:name w:val="Comment Text Char"/>
    <w:basedOn w:val="DefaultParagraphFont"/>
    <w:link w:val="CommentText"/>
    <w:uiPriority w:val="99"/>
    <w:semiHidden/>
    <w:rsid w:val="001E6DAE"/>
  </w:style>
  <w:style w:type="paragraph" w:styleId="CommentSubject">
    <w:name w:val="annotation subject"/>
    <w:basedOn w:val="CommentText"/>
    <w:next w:val="CommentText"/>
    <w:link w:val="CommentSubjectChar"/>
    <w:uiPriority w:val="99"/>
    <w:semiHidden/>
    <w:unhideWhenUsed/>
    <w:rsid w:val="001E6DAE"/>
    <w:rPr>
      <w:b/>
      <w:bCs/>
    </w:rPr>
  </w:style>
  <w:style w:type="character" w:customStyle="1" w:styleId="CommentSubjectChar">
    <w:name w:val="Comment Subject Char"/>
    <w:basedOn w:val="CommentTextChar"/>
    <w:link w:val="CommentSubject"/>
    <w:uiPriority w:val="99"/>
    <w:semiHidden/>
    <w:rsid w:val="001E6DAE"/>
    <w:rPr>
      <w:b/>
      <w:bCs/>
    </w:rPr>
  </w:style>
  <w:style w:type="paragraph" w:styleId="BalloonText">
    <w:name w:val="Balloon Text"/>
    <w:basedOn w:val="Normal"/>
    <w:link w:val="BalloonTextChar"/>
    <w:uiPriority w:val="99"/>
    <w:semiHidden/>
    <w:unhideWhenUsed/>
    <w:rsid w:val="001E6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6DAE"/>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F11996"/>
    <w:rPr>
      <w:color w:val="0563C1" w:themeColor="hyperlink"/>
      <w:u w:val="single"/>
    </w:rPr>
  </w:style>
  <w:style w:type="table" w:styleId="TableGrid">
    <w:name w:val="Table Grid"/>
    <w:basedOn w:val="TableNormal"/>
    <w:uiPriority w:val="39"/>
    <w:rsid w:val="007E1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selection">
    <w:name w:val="current-selection"/>
    <w:basedOn w:val="DefaultParagraphFont"/>
    <w:rsid w:val="00606B6D"/>
  </w:style>
  <w:style w:type="character" w:customStyle="1" w:styleId="a">
    <w:name w:val="_"/>
    <w:basedOn w:val="DefaultParagraphFont"/>
    <w:rsid w:val="00606B6D"/>
  </w:style>
  <w:style w:type="paragraph" w:styleId="NormalWeb">
    <w:name w:val="Normal (Web)"/>
    <w:basedOn w:val="Normal"/>
    <w:uiPriority w:val="99"/>
    <w:semiHidden/>
    <w:unhideWhenUsed/>
    <w:rsid w:val="0091239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0">
    <w:name w:val="一级标题"/>
    <w:basedOn w:val="Normal"/>
    <w:rsid w:val="006A1197"/>
    <w:pPr>
      <w:autoSpaceDE w:val="0"/>
      <w:autoSpaceDN w:val="0"/>
      <w:adjustRightInd w:val="0"/>
      <w:spacing w:line="360" w:lineRule="atLeast"/>
      <w:jc w:val="left"/>
    </w:pPr>
    <w:rPr>
      <w:rFonts w:ascii="Univers" w:eastAsia="宋体" w:hAnsi="Univers" w:cs="Univers"/>
      <w:b/>
      <w:bCs/>
      <w:color w:val="000000"/>
      <w:spacing w:val="-2"/>
      <w:kern w:val="0"/>
      <w:sz w:val="24"/>
      <w:szCs w:val="24"/>
      <w:lang w:val="zh-CN"/>
    </w:rPr>
  </w:style>
  <w:style w:type="paragraph" w:customStyle="1" w:styleId="a1">
    <w:name w:val="二级标题"/>
    <w:basedOn w:val="Normal"/>
    <w:rsid w:val="006A1197"/>
    <w:pPr>
      <w:suppressAutoHyphens/>
      <w:autoSpaceDE w:val="0"/>
      <w:autoSpaceDN w:val="0"/>
      <w:adjustRightInd w:val="0"/>
      <w:spacing w:line="250" w:lineRule="atLeast"/>
      <w:jc w:val="left"/>
    </w:pPr>
    <w:rPr>
      <w:rFonts w:ascii="Arial Narrow" w:eastAsia="宋体" w:hAnsi="Arial Narrow" w:cs="Arial Narrow"/>
      <w:b/>
      <w:bCs/>
      <w:i/>
      <w:iCs/>
      <w:color w:val="000000"/>
      <w:kern w:val="0"/>
      <w:szCs w:val="21"/>
      <w:lang w:val="zh-CN"/>
    </w:rPr>
  </w:style>
  <w:style w:type="paragraph" w:customStyle="1" w:styleId="8BF4">
    <w:name w:val="徠曅&lt;8BF4&gt;柧"/>
    <w:basedOn w:val="Normal"/>
    <w:rsid w:val="006A1197"/>
    <w:pPr>
      <w:suppressAutoHyphens/>
      <w:autoSpaceDE w:val="0"/>
      <w:autoSpaceDN w:val="0"/>
      <w:adjustRightInd w:val="0"/>
      <w:spacing w:line="200" w:lineRule="atLeast"/>
    </w:pPr>
    <w:rPr>
      <w:rFonts w:ascii="Arial Narrow" w:eastAsia="宋体" w:hAnsi="Arial Narrow" w:cs="Arial Narrow"/>
      <w:color w:val="000000"/>
      <w:kern w:val="0"/>
      <w:sz w:val="16"/>
      <w:szCs w:val="16"/>
    </w:rPr>
  </w:style>
  <w:style w:type="paragraph" w:styleId="PlainText">
    <w:name w:val="Plain Text"/>
    <w:basedOn w:val="Normal"/>
    <w:link w:val="PlainTextChar"/>
    <w:rsid w:val="00ED42C4"/>
    <w:rPr>
      <w:rFonts w:ascii="宋体" w:eastAsia="宋体" w:hAnsi="Courier New" w:cs="Courier New"/>
      <w:szCs w:val="21"/>
    </w:rPr>
  </w:style>
  <w:style w:type="character" w:customStyle="1" w:styleId="PlainTextChar">
    <w:name w:val="Plain Text Char"/>
    <w:basedOn w:val="DefaultParagraphFont"/>
    <w:link w:val="PlainText"/>
    <w:rsid w:val="00ED42C4"/>
    <w:rPr>
      <w:rFonts w:ascii="宋体" w:eastAsia="宋体" w:hAnsi="Courier New" w:cs="Courier New"/>
      <w:szCs w:val="21"/>
      <w:lang w:eastAsia="zh-CN"/>
    </w:rPr>
  </w:style>
  <w:style w:type="character" w:styleId="Emphasis">
    <w:name w:val="Emphasis"/>
    <w:qFormat/>
    <w:rsid w:val="009516A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2D"/>
    <w:pPr>
      <w:tabs>
        <w:tab w:val="center" w:pos="4252"/>
        <w:tab w:val="right" w:pos="8504"/>
      </w:tabs>
      <w:snapToGrid w:val="0"/>
    </w:pPr>
  </w:style>
  <w:style w:type="character" w:customStyle="1" w:styleId="HeaderChar">
    <w:name w:val="Header Char"/>
    <w:basedOn w:val="DefaultParagraphFont"/>
    <w:link w:val="Header"/>
    <w:uiPriority w:val="99"/>
    <w:rsid w:val="00A9672D"/>
  </w:style>
  <w:style w:type="paragraph" w:styleId="Footer">
    <w:name w:val="footer"/>
    <w:basedOn w:val="Normal"/>
    <w:link w:val="FooterChar"/>
    <w:uiPriority w:val="99"/>
    <w:unhideWhenUsed/>
    <w:rsid w:val="00A9672D"/>
    <w:pPr>
      <w:tabs>
        <w:tab w:val="center" w:pos="4252"/>
        <w:tab w:val="right" w:pos="8504"/>
      </w:tabs>
      <w:snapToGrid w:val="0"/>
    </w:pPr>
  </w:style>
  <w:style w:type="character" w:customStyle="1" w:styleId="FooterChar">
    <w:name w:val="Footer Char"/>
    <w:basedOn w:val="DefaultParagraphFont"/>
    <w:link w:val="Footer"/>
    <w:uiPriority w:val="99"/>
    <w:rsid w:val="00A9672D"/>
  </w:style>
  <w:style w:type="character" w:styleId="CommentReference">
    <w:name w:val="annotation reference"/>
    <w:basedOn w:val="DefaultParagraphFont"/>
    <w:uiPriority w:val="99"/>
    <w:semiHidden/>
    <w:unhideWhenUsed/>
    <w:rsid w:val="001E6DAE"/>
    <w:rPr>
      <w:sz w:val="18"/>
      <w:szCs w:val="18"/>
    </w:rPr>
  </w:style>
  <w:style w:type="paragraph" w:styleId="CommentText">
    <w:name w:val="annotation text"/>
    <w:basedOn w:val="Normal"/>
    <w:link w:val="CommentTextChar"/>
    <w:uiPriority w:val="99"/>
    <w:semiHidden/>
    <w:unhideWhenUsed/>
    <w:rsid w:val="001E6DAE"/>
    <w:pPr>
      <w:jc w:val="left"/>
    </w:pPr>
  </w:style>
  <w:style w:type="character" w:customStyle="1" w:styleId="CommentTextChar">
    <w:name w:val="Comment Text Char"/>
    <w:basedOn w:val="DefaultParagraphFont"/>
    <w:link w:val="CommentText"/>
    <w:uiPriority w:val="99"/>
    <w:semiHidden/>
    <w:rsid w:val="001E6DAE"/>
  </w:style>
  <w:style w:type="paragraph" w:styleId="CommentSubject">
    <w:name w:val="annotation subject"/>
    <w:basedOn w:val="CommentText"/>
    <w:next w:val="CommentText"/>
    <w:link w:val="CommentSubjectChar"/>
    <w:uiPriority w:val="99"/>
    <w:semiHidden/>
    <w:unhideWhenUsed/>
    <w:rsid w:val="001E6DAE"/>
    <w:rPr>
      <w:b/>
      <w:bCs/>
    </w:rPr>
  </w:style>
  <w:style w:type="character" w:customStyle="1" w:styleId="CommentSubjectChar">
    <w:name w:val="Comment Subject Char"/>
    <w:basedOn w:val="CommentTextChar"/>
    <w:link w:val="CommentSubject"/>
    <w:uiPriority w:val="99"/>
    <w:semiHidden/>
    <w:rsid w:val="001E6DAE"/>
    <w:rPr>
      <w:b/>
      <w:bCs/>
    </w:rPr>
  </w:style>
  <w:style w:type="paragraph" w:styleId="BalloonText">
    <w:name w:val="Balloon Text"/>
    <w:basedOn w:val="Normal"/>
    <w:link w:val="BalloonTextChar"/>
    <w:uiPriority w:val="99"/>
    <w:semiHidden/>
    <w:unhideWhenUsed/>
    <w:rsid w:val="001E6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6DAE"/>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F11996"/>
    <w:rPr>
      <w:color w:val="0563C1" w:themeColor="hyperlink"/>
      <w:u w:val="single"/>
    </w:rPr>
  </w:style>
  <w:style w:type="table" w:styleId="TableGrid">
    <w:name w:val="Table Grid"/>
    <w:basedOn w:val="TableNormal"/>
    <w:uiPriority w:val="39"/>
    <w:rsid w:val="007E1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selection">
    <w:name w:val="current-selection"/>
    <w:basedOn w:val="DefaultParagraphFont"/>
    <w:rsid w:val="00606B6D"/>
  </w:style>
  <w:style w:type="character" w:customStyle="1" w:styleId="a">
    <w:name w:val="_"/>
    <w:basedOn w:val="DefaultParagraphFont"/>
    <w:rsid w:val="00606B6D"/>
  </w:style>
  <w:style w:type="paragraph" w:styleId="NormalWeb">
    <w:name w:val="Normal (Web)"/>
    <w:basedOn w:val="Normal"/>
    <w:uiPriority w:val="99"/>
    <w:semiHidden/>
    <w:unhideWhenUsed/>
    <w:rsid w:val="0091239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0">
    <w:name w:val="一级标题"/>
    <w:basedOn w:val="Normal"/>
    <w:rsid w:val="006A1197"/>
    <w:pPr>
      <w:autoSpaceDE w:val="0"/>
      <w:autoSpaceDN w:val="0"/>
      <w:adjustRightInd w:val="0"/>
      <w:spacing w:line="360" w:lineRule="atLeast"/>
      <w:jc w:val="left"/>
    </w:pPr>
    <w:rPr>
      <w:rFonts w:ascii="Univers" w:eastAsia="宋体" w:hAnsi="Univers" w:cs="Univers"/>
      <w:b/>
      <w:bCs/>
      <w:color w:val="000000"/>
      <w:spacing w:val="-2"/>
      <w:kern w:val="0"/>
      <w:sz w:val="24"/>
      <w:szCs w:val="24"/>
      <w:lang w:val="zh-CN"/>
    </w:rPr>
  </w:style>
  <w:style w:type="paragraph" w:customStyle="1" w:styleId="a1">
    <w:name w:val="二级标题"/>
    <w:basedOn w:val="Normal"/>
    <w:rsid w:val="006A1197"/>
    <w:pPr>
      <w:suppressAutoHyphens/>
      <w:autoSpaceDE w:val="0"/>
      <w:autoSpaceDN w:val="0"/>
      <w:adjustRightInd w:val="0"/>
      <w:spacing w:line="250" w:lineRule="atLeast"/>
      <w:jc w:val="left"/>
    </w:pPr>
    <w:rPr>
      <w:rFonts w:ascii="Arial Narrow" w:eastAsia="宋体" w:hAnsi="Arial Narrow" w:cs="Arial Narrow"/>
      <w:b/>
      <w:bCs/>
      <w:i/>
      <w:iCs/>
      <w:color w:val="000000"/>
      <w:kern w:val="0"/>
      <w:szCs w:val="21"/>
      <w:lang w:val="zh-CN"/>
    </w:rPr>
  </w:style>
  <w:style w:type="paragraph" w:customStyle="1" w:styleId="8BF4">
    <w:name w:val="徠曅&lt;8BF4&gt;柧"/>
    <w:basedOn w:val="Normal"/>
    <w:rsid w:val="006A1197"/>
    <w:pPr>
      <w:suppressAutoHyphens/>
      <w:autoSpaceDE w:val="0"/>
      <w:autoSpaceDN w:val="0"/>
      <w:adjustRightInd w:val="0"/>
      <w:spacing w:line="200" w:lineRule="atLeast"/>
    </w:pPr>
    <w:rPr>
      <w:rFonts w:ascii="Arial Narrow" w:eastAsia="宋体" w:hAnsi="Arial Narrow" w:cs="Arial Narrow"/>
      <w:color w:val="000000"/>
      <w:kern w:val="0"/>
      <w:sz w:val="16"/>
      <w:szCs w:val="16"/>
    </w:rPr>
  </w:style>
  <w:style w:type="paragraph" w:styleId="PlainText">
    <w:name w:val="Plain Text"/>
    <w:basedOn w:val="Normal"/>
    <w:link w:val="PlainTextChar"/>
    <w:rsid w:val="00ED42C4"/>
    <w:rPr>
      <w:rFonts w:ascii="宋体" w:eastAsia="宋体" w:hAnsi="Courier New" w:cs="Courier New"/>
      <w:szCs w:val="21"/>
    </w:rPr>
  </w:style>
  <w:style w:type="character" w:customStyle="1" w:styleId="PlainTextChar">
    <w:name w:val="Plain Text Char"/>
    <w:basedOn w:val="DefaultParagraphFont"/>
    <w:link w:val="PlainText"/>
    <w:rsid w:val="00ED42C4"/>
    <w:rPr>
      <w:rFonts w:ascii="宋体" w:eastAsia="宋体" w:hAnsi="Courier New" w:cs="Courier New"/>
      <w:szCs w:val="21"/>
      <w:lang w:eastAsia="zh-CN"/>
    </w:rPr>
  </w:style>
  <w:style w:type="character" w:styleId="Emphasis">
    <w:name w:val="Emphasis"/>
    <w:qFormat/>
    <w:rsid w:val="009516A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710">
      <w:bodyDiv w:val="1"/>
      <w:marLeft w:val="0"/>
      <w:marRight w:val="0"/>
      <w:marTop w:val="0"/>
      <w:marBottom w:val="0"/>
      <w:divBdr>
        <w:top w:val="none" w:sz="0" w:space="0" w:color="auto"/>
        <w:left w:val="none" w:sz="0" w:space="0" w:color="auto"/>
        <w:bottom w:val="none" w:sz="0" w:space="0" w:color="auto"/>
        <w:right w:val="none" w:sz="0" w:space="0" w:color="auto"/>
      </w:divBdr>
    </w:div>
    <w:div w:id="216549938">
      <w:bodyDiv w:val="1"/>
      <w:marLeft w:val="0"/>
      <w:marRight w:val="0"/>
      <w:marTop w:val="0"/>
      <w:marBottom w:val="0"/>
      <w:divBdr>
        <w:top w:val="none" w:sz="0" w:space="0" w:color="auto"/>
        <w:left w:val="none" w:sz="0" w:space="0" w:color="auto"/>
        <w:bottom w:val="none" w:sz="0" w:space="0" w:color="auto"/>
        <w:right w:val="none" w:sz="0" w:space="0" w:color="auto"/>
      </w:divBdr>
      <w:divsChild>
        <w:div w:id="1900632788">
          <w:marLeft w:val="0"/>
          <w:marRight w:val="0"/>
          <w:marTop w:val="0"/>
          <w:marBottom w:val="0"/>
          <w:divBdr>
            <w:top w:val="none" w:sz="0" w:space="0" w:color="auto"/>
            <w:left w:val="none" w:sz="0" w:space="0" w:color="auto"/>
            <w:bottom w:val="none" w:sz="0" w:space="0" w:color="auto"/>
            <w:right w:val="none" w:sz="0" w:space="0" w:color="auto"/>
          </w:divBdr>
          <w:divsChild>
            <w:div w:id="1065106963">
              <w:marLeft w:val="0"/>
              <w:marRight w:val="0"/>
              <w:marTop w:val="0"/>
              <w:marBottom w:val="0"/>
              <w:divBdr>
                <w:top w:val="none" w:sz="0" w:space="0" w:color="auto"/>
                <w:left w:val="none" w:sz="0" w:space="0" w:color="auto"/>
                <w:bottom w:val="none" w:sz="0" w:space="0" w:color="auto"/>
                <w:right w:val="none" w:sz="0" w:space="0" w:color="auto"/>
              </w:divBdr>
              <w:divsChild>
                <w:div w:id="875504030">
                  <w:marLeft w:val="0"/>
                  <w:marRight w:val="0"/>
                  <w:marTop w:val="0"/>
                  <w:marBottom w:val="0"/>
                  <w:divBdr>
                    <w:top w:val="none" w:sz="0" w:space="0" w:color="auto"/>
                    <w:left w:val="none" w:sz="0" w:space="0" w:color="auto"/>
                    <w:bottom w:val="none" w:sz="0" w:space="0" w:color="auto"/>
                    <w:right w:val="none" w:sz="0" w:space="0" w:color="auto"/>
                  </w:divBdr>
                  <w:divsChild>
                    <w:div w:id="1587492272">
                      <w:marLeft w:val="0"/>
                      <w:marRight w:val="0"/>
                      <w:marTop w:val="0"/>
                      <w:marBottom w:val="0"/>
                      <w:divBdr>
                        <w:top w:val="none" w:sz="0" w:space="0" w:color="auto"/>
                        <w:left w:val="none" w:sz="0" w:space="0" w:color="auto"/>
                        <w:bottom w:val="none" w:sz="0" w:space="0" w:color="auto"/>
                        <w:right w:val="none" w:sz="0" w:space="0" w:color="auto"/>
                      </w:divBdr>
                      <w:divsChild>
                        <w:div w:id="2008824518">
                          <w:marLeft w:val="0"/>
                          <w:marRight w:val="0"/>
                          <w:marTop w:val="0"/>
                          <w:marBottom w:val="210"/>
                          <w:divBdr>
                            <w:top w:val="none" w:sz="0" w:space="0" w:color="auto"/>
                            <w:left w:val="none" w:sz="0" w:space="0" w:color="auto"/>
                            <w:bottom w:val="none" w:sz="0" w:space="0" w:color="auto"/>
                            <w:right w:val="none" w:sz="0" w:space="0" w:color="auto"/>
                          </w:divBdr>
                          <w:divsChild>
                            <w:div w:id="1057781888">
                              <w:marLeft w:val="75"/>
                              <w:marRight w:val="75"/>
                              <w:marTop w:val="0"/>
                              <w:marBottom w:val="0"/>
                              <w:divBdr>
                                <w:top w:val="none" w:sz="0" w:space="0" w:color="auto"/>
                                <w:left w:val="none" w:sz="0" w:space="0" w:color="auto"/>
                                <w:bottom w:val="none" w:sz="0" w:space="0" w:color="auto"/>
                                <w:right w:val="none" w:sz="0" w:space="0" w:color="auto"/>
                              </w:divBdr>
                              <w:divsChild>
                                <w:div w:id="140928956">
                                  <w:marLeft w:val="0"/>
                                  <w:marRight w:val="0"/>
                                  <w:marTop w:val="0"/>
                                  <w:marBottom w:val="0"/>
                                  <w:divBdr>
                                    <w:top w:val="none" w:sz="0" w:space="0" w:color="auto"/>
                                    <w:left w:val="none" w:sz="0" w:space="0" w:color="auto"/>
                                    <w:bottom w:val="none" w:sz="0" w:space="0" w:color="auto"/>
                                    <w:right w:val="none" w:sz="0" w:space="0" w:color="auto"/>
                                  </w:divBdr>
                                  <w:divsChild>
                                    <w:div w:id="4868098">
                                      <w:marLeft w:val="0"/>
                                      <w:marRight w:val="0"/>
                                      <w:marTop w:val="0"/>
                                      <w:marBottom w:val="0"/>
                                      <w:divBdr>
                                        <w:top w:val="none" w:sz="0" w:space="0" w:color="auto"/>
                                        <w:left w:val="none" w:sz="0" w:space="0" w:color="auto"/>
                                        <w:bottom w:val="none" w:sz="0" w:space="0" w:color="auto"/>
                                        <w:right w:val="none" w:sz="0" w:space="0" w:color="auto"/>
                                      </w:divBdr>
                                      <w:divsChild>
                                        <w:div w:id="313143406">
                                          <w:marLeft w:val="0"/>
                                          <w:marRight w:val="0"/>
                                          <w:marTop w:val="0"/>
                                          <w:marBottom w:val="0"/>
                                          <w:divBdr>
                                            <w:top w:val="none" w:sz="0" w:space="0" w:color="auto"/>
                                            <w:left w:val="none" w:sz="0" w:space="0" w:color="auto"/>
                                            <w:bottom w:val="none" w:sz="0" w:space="0" w:color="auto"/>
                                            <w:right w:val="none" w:sz="0" w:space="0" w:color="auto"/>
                                          </w:divBdr>
                                          <w:divsChild>
                                            <w:div w:id="1844663876">
                                              <w:marLeft w:val="0"/>
                                              <w:marRight w:val="0"/>
                                              <w:marTop w:val="0"/>
                                              <w:marBottom w:val="0"/>
                                              <w:divBdr>
                                                <w:top w:val="none" w:sz="0" w:space="0" w:color="auto"/>
                                                <w:left w:val="none" w:sz="0" w:space="0" w:color="auto"/>
                                                <w:bottom w:val="none" w:sz="0" w:space="0" w:color="auto"/>
                                                <w:right w:val="none" w:sz="0" w:space="0" w:color="auto"/>
                                              </w:divBdr>
                                              <w:divsChild>
                                                <w:div w:id="483670059">
                                                  <w:marLeft w:val="0"/>
                                                  <w:marRight w:val="0"/>
                                                  <w:marTop w:val="0"/>
                                                  <w:marBottom w:val="0"/>
                                                  <w:divBdr>
                                                    <w:top w:val="none" w:sz="0" w:space="0" w:color="auto"/>
                                                    <w:left w:val="none" w:sz="0" w:space="0" w:color="auto"/>
                                                    <w:bottom w:val="none" w:sz="0" w:space="0" w:color="auto"/>
                                                    <w:right w:val="none" w:sz="0" w:space="0" w:color="auto"/>
                                                  </w:divBdr>
                                                  <w:divsChild>
                                                    <w:div w:id="537939407">
                                                      <w:marLeft w:val="0"/>
                                                      <w:marRight w:val="0"/>
                                                      <w:marTop w:val="0"/>
                                                      <w:marBottom w:val="0"/>
                                                      <w:divBdr>
                                                        <w:top w:val="none" w:sz="0" w:space="0" w:color="auto"/>
                                                        <w:left w:val="none" w:sz="0" w:space="0" w:color="auto"/>
                                                        <w:bottom w:val="none" w:sz="0" w:space="0" w:color="auto"/>
                                                        <w:right w:val="none" w:sz="0" w:space="0" w:color="auto"/>
                                                      </w:divBdr>
                                                      <w:divsChild>
                                                        <w:div w:id="454522072">
                                                          <w:marLeft w:val="0"/>
                                                          <w:marRight w:val="0"/>
                                                          <w:marTop w:val="0"/>
                                                          <w:marBottom w:val="0"/>
                                                          <w:divBdr>
                                                            <w:top w:val="none" w:sz="0" w:space="0" w:color="auto"/>
                                                            <w:left w:val="none" w:sz="0" w:space="0" w:color="auto"/>
                                                            <w:bottom w:val="none" w:sz="0" w:space="0" w:color="auto"/>
                                                            <w:right w:val="none" w:sz="0" w:space="0" w:color="auto"/>
                                                          </w:divBdr>
                                                          <w:divsChild>
                                                            <w:div w:id="318995282">
                                                              <w:marLeft w:val="0"/>
                                                              <w:marRight w:val="0"/>
                                                              <w:marTop w:val="0"/>
                                                              <w:marBottom w:val="0"/>
                                                              <w:divBdr>
                                                                <w:top w:val="none" w:sz="0" w:space="0" w:color="auto"/>
                                                                <w:left w:val="none" w:sz="0" w:space="0" w:color="auto"/>
                                                                <w:bottom w:val="none" w:sz="0" w:space="0" w:color="auto"/>
                                                                <w:right w:val="none" w:sz="0" w:space="0" w:color="auto"/>
                                                              </w:divBdr>
                                                              <w:divsChild>
                                                                <w:div w:id="1033578756">
                                                                  <w:marLeft w:val="0"/>
                                                                  <w:marRight w:val="0"/>
                                                                  <w:marTop w:val="0"/>
                                                                  <w:marBottom w:val="0"/>
                                                                  <w:divBdr>
                                                                    <w:top w:val="none" w:sz="0" w:space="0" w:color="auto"/>
                                                                    <w:left w:val="none" w:sz="0" w:space="0" w:color="auto"/>
                                                                    <w:bottom w:val="none" w:sz="0" w:space="0" w:color="auto"/>
                                                                    <w:right w:val="none" w:sz="0" w:space="0" w:color="auto"/>
                                                                  </w:divBdr>
                                                                  <w:divsChild>
                                                                    <w:div w:id="463735910">
                                                                      <w:marLeft w:val="0"/>
                                                                      <w:marRight w:val="0"/>
                                                                      <w:marTop w:val="0"/>
                                                                      <w:marBottom w:val="0"/>
                                                                      <w:divBdr>
                                                                        <w:top w:val="none" w:sz="0" w:space="0" w:color="auto"/>
                                                                        <w:left w:val="none" w:sz="0" w:space="0" w:color="auto"/>
                                                                        <w:bottom w:val="none" w:sz="0" w:space="0" w:color="auto"/>
                                                                        <w:right w:val="none" w:sz="0" w:space="0" w:color="auto"/>
                                                                      </w:divBdr>
                                                                      <w:divsChild>
                                                                        <w:div w:id="1470630216">
                                                                          <w:marLeft w:val="0"/>
                                                                          <w:marRight w:val="0"/>
                                                                          <w:marTop w:val="0"/>
                                                                          <w:marBottom w:val="0"/>
                                                                          <w:divBdr>
                                                                            <w:top w:val="none" w:sz="0" w:space="0" w:color="auto"/>
                                                                            <w:left w:val="none" w:sz="0" w:space="0" w:color="auto"/>
                                                                            <w:bottom w:val="none" w:sz="0" w:space="0" w:color="auto"/>
                                                                            <w:right w:val="none" w:sz="0" w:space="0" w:color="auto"/>
                                                                          </w:divBdr>
                                                                          <w:divsChild>
                                                                            <w:div w:id="669601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598725">
      <w:bodyDiv w:val="1"/>
      <w:marLeft w:val="0"/>
      <w:marRight w:val="0"/>
      <w:marTop w:val="0"/>
      <w:marBottom w:val="0"/>
      <w:divBdr>
        <w:top w:val="none" w:sz="0" w:space="0" w:color="auto"/>
        <w:left w:val="none" w:sz="0" w:space="0" w:color="auto"/>
        <w:bottom w:val="none" w:sz="0" w:space="0" w:color="auto"/>
        <w:right w:val="none" w:sz="0" w:space="0" w:color="auto"/>
      </w:divBdr>
      <w:divsChild>
        <w:div w:id="1060439774">
          <w:marLeft w:val="0"/>
          <w:marRight w:val="0"/>
          <w:marTop w:val="0"/>
          <w:marBottom w:val="0"/>
          <w:divBdr>
            <w:top w:val="none" w:sz="0" w:space="0" w:color="auto"/>
            <w:left w:val="none" w:sz="0" w:space="0" w:color="auto"/>
            <w:bottom w:val="none" w:sz="0" w:space="0" w:color="auto"/>
            <w:right w:val="none" w:sz="0" w:space="0" w:color="auto"/>
          </w:divBdr>
          <w:divsChild>
            <w:div w:id="242642606">
              <w:marLeft w:val="0"/>
              <w:marRight w:val="0"/>
              <w:marTop w:val="0"/>
              <w:marBottom w:val="0"/>
              <w:divBdr>
                <w:top w:val="none" w:sz="0" w:space="0" w:color="auto"/>
                <w:left w:val="none" w:sz="0" w:space="0" w:color="auto"/>
                <w:bottom w:val="none" w:sz="0" w:space="0" w:color="auto"/>
                <w:right w:val="none" w:sz="0" w:space="0" w:color="auto"/>
              </w:divBdr>
              <w:divsChild>
                <w:div w:id="123423579">
                  <w:marLeft w:val="0"/>
                  <w:marRight w:val="0"/>
                  <w:marTop w:val="0"/>
                  <w:marBottom w:val="0"/>
                  <w:divBdr>
                    <w:top w:val="none" w:sz="0" w:space="0" w:color="auto"/>
                    <w:left w:val="none" w:sz="0" w:space="0" w:color="auto"/>
                    <w:bottom w:val="none" w:sz="0" w:space="0" w:color="auto"/>
                    <w:right w:val="none" w:sz="0" w:space="0" w:color="auto"/>
                  </w:divBdr>
                  <w:divsChild>
                    <w:div w:id="1313215700">
                      <w:marLeft w:val="0"/>
                      <w:marRight w:val="0"/>
                      <w:marTop w:val="300"/>
                      <w:marBottom w:val="0"/>
                      <w:divBdr>
                        <w:top w:val="none" w:sz="0" w:space="0" w:color="auto"/>
                        <w:left w:val="none" w:sz="0" w:space="0" w:color="auto"/>
                        <w:bottom w:val="none" w:sz="0" w:space="0" w:color="auto"/>
                        <w:right w:val="none" w:sz="0" w:space="0" w:color="auto"/>
                      </w:divBdr>
                      <w:divsChild>
                        <w:div w:id="2069917659">
                          <w:marLeft w:val="0"/>
                          <w:marRight w:val="0"/>
                          <w:marTop w:val="0"/>
                          <w:marBottom w:val="0"/>
                          <w:divBdr>
                            <w:top w:val="none" w:sz="0" w:space="0" w:color="auto"/>
                            <w:left w:val="none" w:sz="0" w:space="0" w:color="auto"/>
                            <w:bottom w:val="none" w:sz="0" w:space="0" w:color="auto"/>
                            <w:right w:val="none" w:sz="0" w:space="0" w:color="auto"/>
                          </w:divBdr>
                          <w:divsChild>
                            <w:div w:id="1288396406">
                              <w:marLeft w:val="0"/>
                              <w:marRight w:val="0"/>
                              <w:marTop w:val="0"/>
                              <w:marBottom w:val="0"/>
                              <w:divBdr>
                                <w:top w:val="none" w:sz="0" w:space="0" w:color="auto"/>
                                <w:left w:val="none" w:sz="0" w:space="0" w:color="auto"/>
                                <w:bottom w:val="none" w:sz="0" w:space="0" w:color="auto"/>
                                <w:right w:val="none" w:sz="0" w:space="0" w:color="auto"/>
                              </w:divBdr>
                              <w:divsChild>
                                <w:div w:id="708262945">
                                  <w:marLeft w:val="0"/>
                                  <w:marRight w:val="0"/>
                                  <w:marTop w:val="0"/>
                                  <w:marBottom w:val="0"/>
                                  <w:divBdr>
                                    <w:top w:val="none" w:sz="0" w:space="0" w:color="auto"/>
                                    <w:left w:val="none" w:sz="0" w:space="0" w:color="auto"/>
                                    <w:bottom w:val="none" w:sz="0" w:space="0" w:color="auto"/>
                                    <w:right w:val="none" w:sz="0" w:space="0" w:color="auto"/>
                                  </w:divBdr>
                                  <w:divsChild>
                                    <w:div w:id="1421833756">
                                      <w:marLeft w:val="0"/>
                                      <w:marRight w:val="0"/>
                                      <w:marTop w:val="0"/>
                                      <w:marBottom w:val="0"/>
                                      <w:divBdr>
                                        <w:top w:val="none" w:sz="0" w:space="0" w:color="auto"/>
                                        <w:left w:val="none" w:sz="0" w:space="0" w:color="auto"/>
                                        <w:bottom w:val="none" w:sz="0" w:space="0" w:color="auto"/>
                                        <w:right w:val="none" w:sz="0" w:space="0" w:color="auto"/>
                                      </w:divBdr>
                                      <w:divsChild>
                                        <w:div w:id="1617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65474">
      <w:bodyDiv w:val="1"/>
      <w:marLeft w:val="0"/>
      <w:marRight w:val="0"/>
      <w:marTop w:val="0"/>
      <w:marBottom w:val="0"/>
      <w:divBdr>
        <w:top w:val="none" w:sz="0" w:space="0" w:color="auto"/>
        <w:left w:val="none" w:sz="0" w:space="0" w:color="auto"/>
        <w:bottom w:val="none" w:sz="0" w:space="0" w:color="auto"/>
        <w:right w:val="none" w:sz="0" w:space="0" w:color="auto"/>
      </w:divBdr>
      <w:divsChild>
        <w:div w:id="383138297">
          <w:marLeft w:val="0"/>
          <w:marRight w:val="0"/>
          <w:marTop w:val="0"/>
          <w:marBottom w:val="0"/>
          <w:divBdr>
            <w:top w:val="none" w:sz="0" w:space="0" w:color="auto"/>
            <w:left w:val="none" w:sz="0" w:space="0" w:color="auto"/>
            <w:bottom w:val="none" w:sz="0" w:space="0" w:color="auto"/>
            <w:right w:val="none" w:sz="0" w:space="0" w:color="auto"/>
          </w:divBdr>
          <w:divsChild>
            <w:div w:id="1708987958">
              <w:marLeft w:val="0"/>
              <w:marRight w:val="0"/>
              <w:marTop w:val="0"/>
              <w:marBottom w:val="0"/>
              <w:divBdr>
                <w:top w:val="none" w:sz="0" w:space="0" w:color="auto"/>
                <w:left w:val="none" w:sz="0" w:space="0" w:color="auto"/>
                <w:bottom w:val="none" w:sz="0" w:space="0" w:color="auto"/>
                <w:right w:val="none" w:sz="0" w:space="0" w:color="auto"/>
              </w:divBdr>
              <w:divsChild>
                <w:div w:id="1010108559">
                  <w:marLeft w:val="0"/>
                  <w:marRight w:val="0"/>
                  <w:marTop w:val="0"/>
                  <w:marBottom w:val="0"/>
                  <w:divBdr>
                    <w:top w:val="none" w:sz="0" w:space="0" w:color="auto"/>
                    <w:left w:val="none" w:sz="0" w:space="0" w:color="auto"/>
                    <w:bottom w:val="none" w:sz="0" w:space="0" w:color="auto"/>
                    <w:right w:val="none" w:sz="0" w:space="0" w:color="auto"/>
                  </w:divBdr>
                  <w:divsChild>
                    <w:div w:id="469135466">
                      <w:marLeft w:val="0"/>
                      <w:marRight w:val="0"/>
                      <w:marTop w:val="0"/>
                      <w:marBottom w:val="0"/>
                      <w:divBdr>
                        <w:top w:val="none" w:sz="0" w:space="0" w:color="auto"/>
                        <w:left w:val="none" w:sz="0" w:space="0" w:color="auto"/>
                        <w:bottom w:val="none" w:sz="0" w:space="0" w:color="auto"/>
                        <w:right w:val="none" w:sz="0" w:space="0" w:color="auto"/>
                      </w:divBdr>
                      <w:divsChild>
                        <w:div w:id="1921524489">
                          <w:marLeft w:val="0"/>
                          <w:marRight w:val="0"/>
                          <w:marTop w:val="0"/>
                          <w:marBottom w:val="210"/>
                          <w:divBdr>
                            <w:top w:val="none" w:sz="0" w:space="0" w:color="auto"/>
                            <w:left w:val="none" w:sz="0" w:space="0" w:color="auto"/>
                            <w:bottom w:val="none" w:sz="0" w:space="0" w:color="auto"/>
                            <w:right w:val="none" w:sz="0" w:space="0" w:color="auto"/>
                          </w:divBdr>
                          <w:divsChild>
                            <w:div w:id="951088679">
                              <w:marLeft w:val="75"/>
                              <w:marRight w:val="75"/>
                              <w:marTop w:val="0"/>
                              <w:marBottom w:val="0"/>
                              <w:divBdr>
                                <w:top w:val="none" w:sz="0" w:space="0" w:color="auto"/>
                                <w:left w:val="none" w:sz="0" w:space="0" w:color="auto"/>
                                <w:bottom w:val="none" w:sz="0" w:space="0" w:color="auto"/>
                                <w:right w:val="none" w:sz="0" w:space="0" w:color="auto"/>
                              </w:divBdr>
                              <w:divsChild>
                                <w:div w:id="1810979287">
                                  <w:marLeft w:val="0"/>
                                  <w:marRight w:val="0"/>
                                  <w:marTop w:val="0"/>
                                  <w:marBottom w:val="0"/>
                                  <w:divBdr>
                                    <w:top w:val="none" w:sz="0" w:space="0" w:color="auto"/>
                                    <w:left w:val="none" w:sz="0" w:space="0" w:color="auto"/>
                                    <w:bottom w:val="none" w:sz="0" w:space="0" w:color="auto"/>
                                    <w:right w:val="none" w:sz="0" w:space="0" w:color="auto"/>
                                  </w:divBdr>
                                  <w:divsChild>
                                    <w:div w:id="755173793">
                                      <w:marLeft w:val="0"/>
                                      <w:marRight w:val="0"/>
                                      <w:marTop w:val="0"/>
                                      <w:marBottom w:val="0"/>
                                      <w:divBdr>
                                        <w:top w:val="none" w:sz="0" w:space="0" w:color="auto"/>
                                        <w:left w:val="none" w:sz="0" w:space="0" w:color="auto"/>
                                        <w:bottom w:val="none" w:sz="0" w:space="0" w:color="auto"/>
                                        <w:right w:val="none" w:sz="0" w:space="0" w:color="auto"/>
                                      </w:divBdr>
                                      <w:divsChild>
                                        <w:div w:id="1289583065">
                                          <w:marLeft w:val="0"/>
                                          <w:marRight w:val="0"/>
                                          <w:marTop w:val="0"/>
                                          <w:marBottom w:val="0"/>
                                          <w:divBdr>
                                            <w:top w:val="none" w:sz="0" w:space="0" w:color="auto"/>
                                            <w:left w:val="none" w:sz="0" w:space="0" w:color="auto"/>
                                            <w:bottom w:val="none" w:sz="0" w:space="0" w:color="auto"/>
                                            <w:right w:val="none" w:sz="0" w:space="0" w:color="auto"/>
                                          </w:divBdr>
                                          <w:divsChild>
                                            <w:div w:id="1108046244">
                                              <w:marLeft w:val="0"/>
                                              <w:marRight w:val="0"/>
                                              <w:marTop w:val="0"/>
                                              <w:marBottom w:val="0"/>
                                              <w:divBdr>
                                                <w:top w:val="none" w:sz="0" w:space="0" w:color="auto"/>
                                                <w:left w:val="none" w:sz="0" w:space="0" w:color="auto"/>
                                                <w:bottom w:val="none" w:sz="0" w:space="0" w:color="auto"/>
                                                <w:right w:val="none" w:sz="0" w:space="0" w:color="auto"/>
                                              </w:divBdr>
                                              <w:divsChild>
                                                <w:div w:id="1761025905">
                                                  <w:marLeft w:val="0"/>
                                                  <w:marRight w:val="0"/>
                                                  <w:marTop w:val="0"/>
                                                  <w:marBottom w:val="0"/>
                                                  <w:divBdr>
                                                    <w:top w:val="none" w:sz="0" w:space="0" w:color="auto"/>
                                                    <w:left w:val="none" w:sz="0" w:space="0" w:color="auto"/>
                                                    <w:bottom w:val="none" w:sz="0" w:space="0" w:color="auto"/>
                                                    <w:right w:val="none" w:sz="0" w:space="0" w:color="auto"/>
                                                  </w:divBdr>
                                                  <w:divsChild>
                                                    <w:div w:id="1549411467">
                                                      <w:marLeft w:val="0"/>
                                                      <w:marRight w:val="0"/>
                                                      <w:marTop w:val="0"/>
                                                      <w:marBottom w:val="0"/>
                                                      <w:divBdr>
                                                        <w:top w:val="none" w:sz="0" w:space="0" w:color="auto"/>
                                                        <w:left w:val="none" w:sz="0" w:space="0" w:color="auto"/>
                                                        <w:bottom w:val="none" w:sz="0" w:space="0" w:color="auto"/>
                                                        <w:right w:val="none" w:sz="0" w:space="0" w:color="auto"/>
                                                      </w:divBdr>
                                                      <w:divsChild>
                                                        <w:div w:id="894588109">
                                                          <w:marLeft w:val="0"/>
                                                          <w:marRight w:val="0"/>
                                                          <w:marTop w:val="0"/>
                                                          <w:marBottom w:val="0"/>
                                                          <w:divBdr>
                                                            <w:top w:val="none" w:sz="0" w:space="0" w:color="auto"/>
                                                            <w:left w:val="none" w:sz="0" w:space="0" w:color="auto"/>
                                                            <w:bottom w:val="none" w:sz="0" w:space="0" w:color="auto"/>
                                                            <w:right w:val="none" w:sz="0" w:space="0" w:color="auto"/>
                                                          </w:divBdr>
                                                          <w:divsChild>
                                                            <w:div w:id="1554582997">
                                                              <w:marLeft w:val="0"/>
                                                              <w:marRight w:val="0"/>
                                                              <w:marTop w:val="0"/>
                                                              <w:marBottom w:val="0"/>
                                                              <w:divBdr>
                                                                <w:top w:val="none" w:sz="0" w:space="0" w:color="auto"/>
                                                                <w:left w:val="none" w:sz="0" w:space="0" w:color="auto"/>
                                                                <w:bottom w:val="none" w:sz="0" w:space="0" w:color="auto"/>
                                                                <w:right w:val="none" w:sz="0" w:space="0" w:color="auto"/>
                                                              </w:divBdr>
                                                              <w:divsChild>
                                                                <w:div w:id="917132420">
                                                                  <w:marLeft w:val="0"/>
                                                                  <w:marRight w:val="0"/>
                                                                  <w:marTop w:val="0"/>
                                                                  <w:marBottom w:val="0"/>
                                                                  <w:divBdr>
                                                                    <w:top w:val="none" w:sz="0" w:space="0" w:color="auto"/>
                                                                    <w:left w:val="none" w:sz="0" w:space="0" w:color="auto"/>
                                                                    <w:bottom w:val="none" w:sz="0" w:space="0" w:color="auto"/>
                                                                    <w:right w:val="none" w:sz="0" w:space="0" w:color="auto"/>
                                                                  </w:divBdr>
                                                                  <w:divsChild>
                                                                    <w:div w:id="204952616">
                                                                      <w:marLeft w:val="0"/>
                                                                      <w:marRight w:val="0"/>
                                                                      <w:marTop w:val="0"/>
                                                                      <w:marBottom w:val="0"/>
                                                                      <w:divBdr>
                                                                        <w:top w:val="none" w:sz="0" w:space="0" w:color="auto"/>
                                                                        <w:left w:val="none" w:sz="0" w:space="0" w:color="auto"/>
                                                                        <w:bottom w:val="none" w:sz="0" w:space="0" w:color="auto"/>
                                                                        <w:right w:val="none" w:sz="0" w:space="0" w:color="auto"/>
                                                                      </w:divBdr>
                                                                      <w:divsChild>
                                                                        <w:div w:id="2093813981">
                                                                          <w:marLeft w:val="0"/>
                                                                          <w:marRight w:val="0"/>
                                                                          <w:marTop w:val="0"/>
                                                                          <w:marBottom w:val="0"/>
                                                                          <w:divBdr>
                                                                            <w:top w:val="none" w:sz="0" w:space="0" w:color="auto"/>
                                                                            <w:left w:val="none" w:sz="0" w:space="0" w:color="auto"/>
                                                                            <w:bottom w:val="none" w:sz="0" w:space="0" w:color="auto"/>
                                                                            <w:right w:val="none" w:sz="0" w:space="0" w:color="auto"/>
                                                                          </w:divBdr>
                                                                          <w:divsChild>
                                                                            <w:div w:id="989751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77628">
      <w:bodyDiv w:val="1"/>
      <w:marLeft w:val="0"/>
      <w:marRight w:val="0"/>
      <w:marTop w:val="0"/>
      <w:marBottom w:val="0"/>
      <w:divBdr>
        <w:top w:val="none" w:sz="0" w:space="0" w:color="auto"/>
        <w:left w:val="none" w:sz="0" w:space="0" w:color="auto"/>
        <w:bottom w:val="none" w:sz="0" w:space="0" w:color="auto"/>
        <w:right w:val="none" w:sz="0" w:space="0" w:color="auto"/>
      </w:divBdr>
    </w:div>
    <w:div w:id="786967890">
      <w:bodyDiv w:val="1"/>
      <w:marLeft w:val="0"/>
      <w:marRight w:val="0"/>
      <w:marTop w:val="0"/>
      <w:marBottom w:val="0"/>
      <w:divBdr>
        <w:top w:val="none" w:sz="0" w:space="0" w:color="auto"/>
        <w:left w:val="none" w:sz="0" w:space="0" w:color="auto"/>
        <w:bottom w:val="none" w:sz="0" w:space="0" w:color="auto"/>
        <w:right w:val="none" w:sz="0" w:space="0" w:color="auto"/>
      </w:divBdr>
    </w:div>
    <w:div w:id="1256329960">
      <w:bodyDiv w:val="1"/>
      <w:marLeft w:val="0"/>
      <w:marRight w:val="0"/>
      <w:marTop w:val="0"/>
      <w:marBottom w:val="0"/>
      <w:divBdr>
        <w:top w:val="none" w:sz="0" w:space="0" w:color="auto"/>
        <w:left w:val="none" w:sz="0" w:space="0" w:color="auto"/>
        <w:bottom w:val="none" w:sz="0" w:space="0" w:color="auto"/>
        <w:right w:val="none" w:sz="0" w:space="0" w:color="auto"/>
      </w:divBdr>
    </w:div>
    <w:div w:id="1331257120">
      <w:bodyDiv w:val="1"/>
      <w:marLeft w:val="0"/>
      <w:marRight w:val="0"/>
      <w:marTop w:val="0"/>
      <w:marBottom w:val="0"/>
      <w:divBdr>
        <w:top w:val="none" w:sz="0" w:space="0" w:color="auto"/>
        <w:left w:val="none" w:sz="0" w:space="0" w:color="auto"/>
        <w:bottom w:val="none" w:sz="0" w:space="0" w:color="auto"/>
        <w:right w:val="none" w:sz="0" w:space="0" w:color="auto"/>
      </w:divBdr>
    </w:div>
    <w:div w:id="16570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s://en.wikipedia.org/wiki/Bile_acid"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risu\Desktop\AIH%20UDCA\&#29694;&#22312;&#36914;&#34892;&#20013;\&#26368;&#32066;&#30151;&#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05726089052"/>
          <c:y val="0.0427682737169518"/>
          <c:w val="0.851750483061275"/>
          <c:h val="0.825136233942763"/>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1">
                  <a:lumMod val="85000"/>
                  <a:lumOff val="15000"/>
                </a:schemeClr>
              </a:solidFill>
              <a:ln>
                <a:noFill/>
              </a:ln>
              <a:effectLst/>
            </c:spPr>
            <c:extLst xmlns:c16r2="http://schemas.microsoft.com/office/drawing/2015/06/chart">
              <c:ext xmlns:c16="http://schemas.microsoft.com/office/drawing/2014/chart" uri="{C3380CC4-5D6E-409C-BE32-E72D297353CC}">
                <c16:uniqueId val="{00000001-AEB0-4A61-B2F2-A9ECCE1701B2}"/>
              </c:ext>
            </c:extLst>
          </c:dPt>
          <c:dPt>
            <c:idx val="1"/>
            <c:invertIfNegative val="0"/>
            <c:bubble3D val="0"/>
            <c:spPr>
              <a:solidFill>
                <a:schemeClr val="tx1">
                  <a:lumMod val="85000"/>
                  <a:lumOff val="15000"/>
                </a:schemeClr>
              </a:solidFill>
              <a:ln>
                <a:noFill/>
              </a:ln>
              <a:effectLst/>
            </c:spPr>
            <c:extLst xmlns:c16r2="http://schemas.microsoft.com/office/drawing/2015/06/chart">
              <c:ext xmlns:c16="http://schemas.microsoft.com/office/drawing/2014/chart" uri="{C3380CC4-5D6E-409C-BE32-E72D297353CC}">
                <c16:uniqueId val="{00000003-AEB0-4A61-B2F2-A9ECCE1701B2}"/>
              </c:ext>
            </c:extLst>
          </c:dPt>
          <c:dPt>
            <c:idx val="3"/>
            <c:invertIfNegative val="0"/>
            <c:bubble3D val="0"/>
            <c:spPr>
              <a:solidFill>
                <a:schemeClr val="bg2">
                  <a:lumMod val="75000"/>
                </a:schemeClr>
              </a:solidFill>
              <a:ln>
                <a:noFill/>
              </a:ln>
              <a:effectLst/>
            </c:spPr>
            <c:extLst xmlns:c16r2="http://schemas.microsoft.com/office/drawing/2015/06/chart">
              <c:ext xmlns:c16="http://schemas.microsoft.com/office/drawing/2014/chart" uri="{C3380CC4-5D6E-409C-BE32-E72D297353CC}">
                <c16:uniqueId val="{00000005-AEB0-4A61-B2F2-A9ECCE1701B2}"/>
              </c:ext>
            </c:extLst>
          </c:dPt>
          <c:dPt>
            <c:idx val="4"/>
            <c:invertIfNegative val="0"/>
            <c:bubble3D val="0"/>
            <c:spPr>
              <a:solidFill>
                <a:schemeClr val="bg2">
                  <a:lumMod val="75000"/>
                </a:schemeClr>
              </a:solidFill>
              <a:ln>
                <a:noFill/>
              </a:ln>
              <a:effectLst/>
            </c:spPr>
            <c:extLst xmlns:c16r2="http://schemas.microsoft.com/office/drawing/2015/06/chart">
              <c:ext xmlns:c16="http://schemas.microsoft.com/office/drawing/2014/chart" uri="{C3380CC4-5D6E-409C-BE32-E72D297353CC}">
                <c16:uniqueId val="{00000007-AEB0-4A61-B2F2-A9ECCE1701B2}"/>
              </c:ext>
            </c:extLst>
          </c:dPt>
          <c:dPt>
            <c:idx val="6"/>
            <c:invertIfNegative val="0"/>
            <c:bubble3D val="0"/>
            <c:spPr>
              <a:pattFill prst="dkDnDiag">
                <a:fgClr>
                  <a:schemeClr val="tx1">
                    <a:lumMod val="95000"/>
                    <a:lumOff val="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9-AEB0-4A61-B2F2-A9ECCE1701B2}"/>
              </c:ext>
            </c:extLst>
          </c:dPt>
          <c:dPt>
            <c:idx val="7"/>
            <c:invertIfNegative val="0"/>
            <c:bubble3D val="0"/>
            <c:spPr>
              <a:pattFill prst="dkDnDiag">
                <a:fgClr>
                  <a:schemeClr val="tx1">
                    <a:lumMod val="95000"/>
                    <a:lumOff val="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B-AEB0-4A61-B2F2-A9ECCE1701B2}"/>
              </c:ext>
            </c:extLst>
          </c:dPt>
          <c:cat>
            <c:strRef>
              <c:f>感度特異度!$G$72:$G$79</c:f>
              <c:strCache>
                <c:ptCount val="8"/>
                <c:pt idx="0">
                  <c:v>ALT≦200</c:v>
                </c:pt>
                <c:pt idx="1">
                  <c:v>ALT&gt;200</c:v>
                </c:pt>
                <c:pt idx="3">
                  <c:v>A1</c:v>
                </c:pt>
                <c:pt idx="4">
                  <c:v>A2/A3</c:v>
                </c:pt>
                <c:pt idx="6">
                  <c:v>ALT≦200 and A1</c:v>
                </c:pt>
                <c:pt idx="7">
                  <c:v>ALT&gt;200 and A2/A3</c:v>
                </c:pt>
              </c:strCache>
            </c:strRef>
          </c:cat>
          <c:val>
            <c:numRef>
              <c:f>感度特異度!$H$72:$H$79</c:f>
              <c:numCache>
                <c:formatCode>0%</c:formatCode>
                <c:ptCount val="8"/>
                <c:pt idx="0">
                  <c:v>0.848</c:v>
                </c:pt>
                <c:pt idx="1">
                  <c:v>0.4</c:v>
                </c:pt>
                <c:pt idx="3" formatCode="0.00%">
                  <c:v>0.828</c:v>
                </c:pt>
                <c:pt idx="4" formatCode="0.00%">
                  <c:v>0.526</c:v>
                </c:pt>
                <c:pt idx="6" formatCode="0.00%">
                  <c:v>0.917</c:v>
                </c:pt>
                <c:pt idx="7">
                  <c:v>0.5</c:v>
                </c:pt>
              </c:numCache>
            </c:numRef>
          </c:val>
          <c:extLst xmlns:c16r2="http://schemas.microsoft.com/office/drawing/2015/06/chart">
            <c:ext xmlns:c16="http://schemas.microsoft.com/office/drawing/2014/chart" uri="{C3380CC4-5D6E-409C-BE32-E72D297353CC}">
              <c16:uniqueId val="{0000000C-AEB0-4A61-B2F2-A9ECCE1701B2}"/>
            </c:ext>
          </c:extLst>
        </c:ser>
        <c:dLbls>
          <c:showLegendKey val="0"/>
          <c:showVal val="0"/>
          <c:showCatName val="0"/>
          <c:showSerName val="0"/>
          <c:showPercent val="0"/>
          <c:showBubbleSize val="0"/>
        </c:dLbls>
        <c:gapWidth val="219"/>
        <c:overlap val="-27"/>
        <c:axId val="-2142751640"/>
        <c:axId val="-2142640040"/>
      </c:barChart>
      <c:catAx>
        <c:axId val="-21427516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j-lt"/>
                <a:ea typeface="+mn-ea"/>
                <a:cs typeface="+mn-cs"/>
              </a:defRPr>
            </a:pPr>
            <a:endParaRPr lang="en-US"/>
          </a:p>
        </c:txPr>
        <c:crossAx val="-2142640040"/>
        <c:crosses val="autoZero"/>
        <c:auto val="1"/>
        <c:lblAlgn val="ctr"/>
        <c:lblOffset val="100"/>
        <c:noMultiLvlLbl val="0"/>
      </c:catAx>
      <c:valAx>
        <c:axId val="-2142640040"/>
        <c:scaling>
          <c:orientation val="minMax"/>
        </c:scaling>
        <c:delete val="0"/>
        <c:axPos val="l"/>
        <c:majorGridlines>
          <c:spPr>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mn-cs"/>
              </a:defRPr>
            </a:pPr>
            <a:endParaRPr lang="en-US"/>
          </a:p>
        </c:txPr>
        <c:crossAx val="-2142751640"/>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4F67-ECE9-B54A-8E57-9AD52FD5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22850</Words>
  <Characters>130250</Characters>
  <Application>Microsoft Macintosh Word</Application>
  <DocSecurity>0</DocSecurity>
  <PresentationFormat/>
  <Lines>1085</Lines>
  <Paragraphs>305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Torisu</dc:creator>
  <cp:lastModifiedBy>Na Ma</cp:lastModifiedBy>
  <cp:revision>2</cp:revision>
  <dcterms:created xsi:type="dcterms:W3CDTF">2016-11-21T23:09:00Z</dcterms:created>
  <dcterms:modified xsi:type="dcterms:W3CDTF">2016-11-21T23:09:00Z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torisu@yb4.so-net.ne.jp@www.mendeley.com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