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96" w:rsidRPr="0065084A" w:rsidRDefault="00CD4196" w:rsidP="00CD4196">
      <w:pPr>
        <w:widowControl w:val="0"/>
        <w:autoSpaceDE w:val="0"/>
        <w:autoSpaceDN w:val="0"/>
        <w:adjustRightInd w:val="0"/>
        <w:snapToGrid w:val="0"/>
        <w:spacing w:after="0"/>
        <w:rPr>
          <w:rFonts w:cs="Book Antiqua"/>
          <w:b/>
          <w:i/>
          <w:iCs/>
          <w:szCs w:val="24"/>
          <w:lang w:eastAsia="zh-CN"/>
        </w:rPr>
      </w:pPr>
      <w:r w:rsidRPr="0065084A">
        <w:rPr>
          <w:rFonts w:cs="Book Antiqua"/>
          <w:b/>
          <w:szCs w:val="24"/>
        </w:rPr>
        <w:t xml:space="preserve">Name of Journal: </w:t>
      </w:r>
      <w:r w:rsidRPr="0065084A">
        <w:rPr>
          <w:rFonts w:cs="Book Antiqua"/>
          <w:b/>
          <w:i/>
          <w:iCs/>
          <w:szCs w:val="24"/>
        </w:rPr>
        <w:t>World Journal of Gastroenterology</w:t>
      </w:r>
    </w:p>
    <w:p w:rsidR="00CD4196" w:rsidRPr="0065084A" w:rsidRDefault="00CD4196" w:rsidP="00CD4196">
      <w:pPr>
        <w:widowControl w:val="0"/>
        <w:autoSpaceDE w:val="0"/>
        <w:autoSpaceDN w:val="0"/>
        <w:adjustRightInd w:val="0"/>
        <w:snapToGrid w:val="0"/>
        <w:spacing w:after="0"/>
        <w:rPr>
          <w:rFonts w:cs="Book Antiqua"/>
          <w:b/>
          <w:iCs/>
          <w:szCs w:val="24"/>
          <w:lang w:eastAsia="zh-CN"/>
        </w:rPr>
      </w:pPr>
      <w:bookmarkStart w:id="0" w:name="OLE_LINK485"/>
      <w:bookmarkStart w:id="1" w:name="OLE_LINK486"/>
      <w:bookmarkStart w:id="2" w:name="OLE_LINK661"/>
      <w:bookmarkStart w:id="3" w:name="OLE_LINK768"/>
      <w:r w:rsidRPr="0065084A">
        <w:rPr>
          <w:rFonts w:cs="Book Antiqua"/>
          <w:b/>
          <w:iCs/>
          <w:szCs w:val="24"/>
          <w:lang w:eastAsia="zh-CN"/>
        </w:rPr>
        <w:t>ESPS Manuscript NO:</w:t>
      </w:r>
      <w:bookmarkEnd w:id="0"/>
      <w:bookmarkEnd w:id="1"/>
      <w:bookmarkEnd w:id="2"/>
      <w:bookmarkEnd w:id="3"/>
      <w:r w:rsidRPr="0065084A">
        <w:rPr>
          <w:rFonts w:cs="Book Antiqua" w:hint="eastAsia"/>
          <w:b/>
          <w:iCs/>
          <w:szCs w:val="24"/>
          <w:lang w:eastAsia="zh-CN"/>
        </w:rPr>
        <w:t xml:space="preserve"> 28679</w:t>
      </w:r>
    </w:p>
    <w:p w:rsidR="00CD4196" w:rsidRPr="0065084A" w:rsidRDefault="00CD4196" w:rsidP="00CD4196">
      <w:pPr>
        <w:widowControl w:val="0"/>
        <w:snapToGrid w:val="0"/>
        <w:spacing w:after="0"/>
        <w:rPr>
          <w:b/>
          <w:szCs w:val="24"/>
        </w:rPr>
      </w:pPr>
      <w:r w:rsidRPr="0065084A">
        <w:rPr>
          <w:rFonts w:cs="Book Antiqua"/>
          <w:b/>
          <w:szCs w:val="24"/>
        </w:rPr>
        <w:t>Manuscript Type: REVIEW</w:t>
      </w:r>
      <w:r w:rsidRPr="0065084A">
        <w:rPr>
          <w:b/>
          <w:szCs w:val="24"/>
        </w:rPr>
        <w:t xml:space="preserve"> </w:t>
      </w:r>
    </w:p>
    <w:p w:rsidR="006B5476" w:rsidRPr="00F041FF" w:rsidRDefault="006B5476" w:rsidP="00D4383F">
      <w:pPr>
        <w:pStyle w:val="Title"/>
        <w:widowControl w:val="0"/>
        <w:snapToGrid w:val="0"/>
        <w:spacing w:after="0"/>
        <w:contextualSpacing w:val="0"/>
        <w:jc w:val="both"/>
        <w:rPr>
          <w:rFonts w:eastAsia="Times New Roman"/>
          <w:sz w:val="24"/>
          <w:szCs w:val="24"/>
        </w:rPr>
      </w:pPr>
    </w:p>
    <w:p w:rsidR="00B728D3" w:rsidRPr="00F041FF" w:rsidRDefault="00B728D3" w:rsidP="00D4383F">
      <w:pPr>
        <w:pStyle w:val="Title"/>
        <w:widowControl w:val="0"/>
        <w:snapToGrid w:val="0"/>
        <w:spacing w:after="0"/>
        <w:contextualSpacing w:val="0"/>
        <w:jc w:val="both"/>
        <w:rPr>
          <w:sz w:val="24"/>
          <w:szCs w:val="24"/>
        </w:rPr>
      </w:pPr>
      <w:bookmarkStart w:id="4" w:name="OLE_LINK8"/>
      <w:bookmarkStart w:id="5" w:name="OLE_LINK9"/>
      <w:r w:rsidRPr="00F041FF">
        <w:rPr>
          <w:rFonts w:eastAsia="Times New Roman"/>
          <w:sz w:val="24"/>
          <w:szCs w:val="24"/>
        </w:rPr>
        <w:t>Molecular mechanism of action of anti-</w:t>
      </w:r>
      <w:r w:rsidR="00F041FF" w:rsidRPr="00F041FF">
        <w:rPr>
          <w:rFonts w:eastAsia="Times New Roman"/>
          <w:sz w:val="24"/>
          <w:szCs w:val="24"/>
        </w:rPr>
        <w:t>tumor necrosis factor</w:t>
      </w:r>
      <w:r w:rsidRPr="00F041FF">
        <w:rPr>
          <w:rFonts w:eastAsia="Times New Roman"/>
          <w:sz w:val="24"/>
          <w:szCs w:val="24"/>
        </w:rPr>
        <w:t xml:space="preserve"> antibodies in inflammatory bowel diseases</w:t>
      </w:r>
    </w:p>
    <w:bookmarkEnd w:id="4"/>
    <w:bookmarkEnd w:id="5"/>
    <w:p w:rsidR="006B5476" w:rsidRPr="00F041FF" w:rsidRDefault="006B5476" w:rsidP="00D4383F">
      <w:pPr>
        <w:widowControl w:val="0"/>
        <w:snapToGrid w:val="0"/>
        <w:spacing w:after="0"/>
        <w:rPr>
          <w:noProof/>
          <w:szCs w:val="24"/>
          <w:lang w:eastAsia="de-DE"/>
        </w:rPr>
      </w:pPr>
    </w:p>
    <w:p w:rsidR="00B728D3" w:rsidRPr="00F041FF" w:rsidRDefault="00D70EF7" w:rsidP="00D4383F">
      <w:pPr>
        <w:widowControl w:val="0"/>
        <w:snapToGrid w:val="0"/>
        <w:spacing w:after="0"/>
        <w:rPr>
          <w:noProof/>
          <w:szCs w:val="24"/>
          <w:lang w:eastAsia="de-DE"/>
        </w:rPr>
      </w:pPr>
      <w:r w:rsidRPr="00F041FF">
        <w:rPr>
          <w:noProof/>
          <w:szCs w:val="24"/>
          <w:lang w:eastAsia="de-DE"/>
        </w:rPr>
        <w:t xml:space="preserve">Billmeier U </w:t>
      </w:r>
      <w:r w:rsidRPr="00F041FF">
        <w:rPr>
          <w:i/>
          <w:noProof/>
          <w:szCs w:val="24"/>
          <w:lang w:eastAsia="de-DE"/>
        </w:rPr>
        <w:t>et al.</w:t>
      </w:r>
      <w:r w:rsidR="00B728D3" w:rsidRPr="00F041FF">
        <w:rPr>
          <w:noProof/>
          <w:szCs w:val="24"/>
          <w:lang w:eastAsia="de-DE"/>
        </w:rPr>
        <w:t xml:space="preserve"> Anti-TNF antibodies in </w:t>
      </w:r>
      <w:r w:rsidR="00D76A72" w:rsidRPr="00D76A72">
        <w:rPr>
          <w:szCs w:val="24"/>
        </w:rPr>
        <w:t>IBD</w:t>
      </w:r>
    </w:p>
    <w:p w:rsidR="006B5476" w:rsidRPr="00F041FF" w:rsidRDefault="006B5476" w:rsidP="00D4383F">
      <w:pPr>
        <w:widowControl w:val="0"/>
        <w:snapToGrid w:val="0"/>
        <w:spacing w:after="0"/>
        <w:rPr>
          <w:rFonts w:eastAsia="Times New Roman" w:cs="Arial"/>
          <w:b/>
          <w:noProof/>
          <w:color w:val="000000"/>
          <w:szCs w:val="24"/>
          <w:lang w:val="en-GB" w:eastAsia="de-DE"/>
        </w:rPr>
      </w:pPr>
    </w:p>
    <w:p w:rsidR="00B728D3" w:rsidRPr="0013290E" w:rsidRDefault="00B728D3" w:rsidP="00D4383F">
      <w:pPr>
        <w:widowControl w:val="0"/>
        <w:snapToGrid w:val="0"/>
        <w:spacing w:after="0"/>
        <w:rPr>
          <w:rFonts w:eastAsia="Times New Roman" w:cs="Arial"/>
          <w:b/>
          <w:noProof/>
          <w:color w:val="000000"/>
          <w:szCs w:val="24"/>
          <w:lang w:eastAsia="de-DE"/>
        </w:rPr>
      </w:pPr>
      <w:r w:rsidRPr="0013290E">
        <w:rPr>
          <w:rFonts w:eastAsia="Times New Roman" w:cs="Arial"/>
          <w:b/>
          <w:noProof/>
          <w:color w:val="000000"/>
          <w:szCs w:val="24"/>
          <w:lang w:eastAsia="de-DE"/>
        </w:rPr>
        <w:t>Ulrike Billmeier, Walburga Dieterich, Markus F</w:t>
      </w:r>
      <w:r w:rsidR="00F041FF" w:rsidRPr="0013290E">
        <w:rPr>
          <w:rFonts w:cs="Arial"/>
          <w:b/>
          <w:noProof/>
          <w:color w:val="000000"/>
          <w:szCs w:val="24"/>
          <w:lang w:eastAsia="zh-CN"/>
        </w:rPr>
        <w:t xml:space="preserve"> </w:t>
      </w:r>
      <w:r w:rsidRPr="0013290E">
        <w:rPr>
          <w:rFonts w:eastAsia="Times New Roman" w:cs="Arial"/>
          <w:b/>
          <w:noProof/>
          <w:color w:val="000000"/>
          <w:szCs w:val="24"/>
          <w:lang w:eastAsia="de-DE"/>
        </w:rPr>
        <w:t>Neurath, Raja Atreya</w:t>
      </w:r>
    </w:p>
    <w:p w:rsidR="006B5476" w:rsidRPr="0013290E" w:rsidRDefault="006B5476" w:rsidP="00D4383F">
      <w:pPr>
        <w:widowControl w:val="0"/>
        <w:snapToGrid w:val="0"/>
        <w:spacing w:after="0"/>
        <w:rPr>
          <w:rFonts w:eastAsia="Times New Roman" w:cs="Arial"/>
          <w:b/>
          <w:noProof/>
          <w:color w:val="000000"/>
          <w:szCs w:val="24"/>
          <w:lang w:eastAsia="de-DE"/>
        </w:rPr>
      </w:pPr>
    </w:p>
    <w:p w:rsidR="00B728D3" w:rsidRPr="0013290E" w:rsidRDefault="00B728D3" w:rsidP="00D4383F">
      <w:pPr>
        <w:widowControl w:val="0"/>
        <w:snapToGrid w:val="0"/>
        <w:spacing w:after="0"/>
        <w:rPr>
          <w:rFonts w:eastAsia="Times New Roman" w:cs="Arial"/>
          <w:color w:val="000000"/>
          <w:szCs w:val="24"/>
          <w:lang w:eastAsia="de-DE"/>
        </w:rPr>
      </w:pPr>
      <w:r w:rsidRPr="0013290E">
        <w:rPr>
          <w:rFonts w:eastAsia="Times New Roman" w:cs="Arial"/>
          <w:b/>
          <w:noProof/>
          <w:color w:val="000000"/>
          <w:szCs w:val="24"/>
          <w:lang w:eastAsia="de-DE"/>
        </w:rPr>
        <w:t>Ulrike Billmeier, Walburga Dieterich, Markus F</w:t>
      </w:r>
      <w:r w:rsidR="00F041FF" w:rsidRPr="0013290E">
        <w:rPr>
          <w:rFonts w:cs="Arial"/>
          <w:b/>
          <w:noProof/>
          <w:color w:val="000000"/>
          <w:szCs w:val="24"/>
          <w:lang w:eastAsia="zh-CN"/>
        </w:rPr>
        <w:t xml:space="preserve"> </w:t>
      </w:r>
      <w:r w:rsidRPr="0013290E">
        <w:rPr>
          <w:rFonts w:eastAsia="Times New Roman" w:cs="Arial"/>
          <w:b/>
          <w:noProof/>
          <w:color w:val="000000"/>
          <w:szCs w:val="24"/>
          <w:lang w:eastAsia="de-DE"/>
        </w:rPr>
        <w:t>Neurath, Raja Atreya</w:t>
      </w:r>
      <w:r w:rsidRPr="0013290E">
        <w:rPr>
          <w:rFonts w:eastAsia="Times New Roman" w:cs="Arial"/>
          <w:noProof/>
          <w:color w:val="000000"/>
          <w:szCs w:val="24"/>
          <w:lang w:eastAsia="de-DE"/>
        </w:rPr>
        <w:t xml:space="preserve">, </w:t>
      </w:r>
      <w:r w:rsidRPr="0013290E">
        <w:rPr>
          <w:rFonts w:eastAsia="Times New Roman" w:cs="Arial"/>
          <w:color w:val="000000"/>
          <w:szCs w:val="24"/>
          <w:lang w:eastAsia="de-DE"/>
        </w:rPr>
        <w:t>Medical Clinic 1, Friedrich-Alexander-Universität Erlangen-Nürnberg,</w:t>
      </w:r>
      <w:r w:rsidR="0018569A" w:rsidRPr="0013290E">
        <w:rPr>
          <w:rFonts w:cs="Arial"/>
          <w:color w:val="000000"/>
          <w:szCs w:val="24"/>
          <w:lang w:eastAsia="zh-CN"/>
        </w:rPr>
        <w:t xml:space="preserve"> </w:t>
      </w:r>
      <w:r w:rsidR="00F041FF" w:rsidRPr="00680489">
        <w:rPr>
          <w:szCs w:val="24"/>
          <w:lang w:eastAsia="de-DE"/>
        </w:rPr>
        <w:t>91054</w:t>
      </w:r>
      <w:r w:rsidR="0018569A" w:rsidRPr="00680489">
        <w:rPr>
          <w:rFonts w:hint="eastAsia"/>
          <w:szCs w:val="24"/>
          <w:lang w:eastAsia="zh-CN"/>
        </w:rPr>
        <w:t xml:space="preserve"> </w:t>
      </w:r>
      <w:r w:rsidRPr="0013290E">
        <w:rPr>
          <w:rFonts w:eastAsia="Times New Roman" w:cs="Arial"/>
          <w:color w:val="000000"/>
          <w:szCs w:val="24"/>
          <w:lang w:eastAsia="de-DE"/>
        </w:rPr>
        <w:t>Erlangen, Germany</w:t>
      </w:r>
    </w:p>
    <w:p w:rsidR="006B5476" w:rsidRPr="0013290E" w:rsidRDefault="006B5476" w:rsidP="00D4383F">
      <w:pPr>
        <w:widowControl w:val="0"/>
        <w:snapToGrid w:val="0"/>
        <w:spacing w:after="0"/>
        <w:rPr>
          <w:b/>
          <w:szCs w:val="24"/>
          <w:lang w:eastAsia="de-DE"/>
        </w:rPr>
      </w:pPr>
    </w:p>
    <w:p w:rsidR="00B728D3" w:rsidRPr="00F041FF" w:rsidRDefault="00B728D3" w:rsidP="00D4383F">
      <w:pPr>
        <w:widowControl w:val="0"/>
        <w:snapToGrid w:val="0"/>
        <w:spacing w:after="0"/>
        <w:rPr>
          <w:szCs w:val="24"/>
          <w:lang w:eastAsia="de-DE"/>
        </w:rPr>
      </w:pPr>
      <w:r w:rsidRPr="00F041FF">
        <w:rPr>
          <w:b/>
          <w:szCs w:val="24"/>
          <w:lang w:eastAsia="de-DE"/>
        </w:rPr>
        <w:t>Author contribution</w:t>
      </w:r>
      <w:r w:rsidR="00F041FF">
        <w:rPr>
          <w:rFonts w:hint="eastAsia"/>
          <w:b/>
          <w:szCs w:val="24"/>
          <w:lang w:eastAsia="zh-CN"/>
        </w:rPr>
        <w:t>s</w:t>
      </w:r>
      <w:r w:rsidRPr="00F041FF">
        <w:rPr>
          <w:b/>
          <w:szCs w:val="24"/>
          <w:lang w:eastAsia="de-DE"/>
        </w:rPr>
        <w:t>:</w:t>
      </w:r>
      <w:r w:rsidRPr="00F041FF">
        <w:rPr>
          <w:szCs w:val="24"/>
          <w:lang w:eastAsia="de-DE"/>
        </w:rPr>
        <w:t xml:space="preserve"> </w:t>
      </w:r>
      <w:r w:rsidR="00F041FF" w:rsidRPr="0013290E">
        <w:rPr>
          <w:rFonts w:eastAsia="Times New Roman" w:cs="Arial"/>
          <w:noProof/>
          <w:color w:val="000000"/>
          <w:szCs w:val="24"/>
          <w:lang w:eastAsia="de-DE"/>
        </w:rPr>
        <w:t>Billmeier U</w:t>
      </w:r>
      <w:r w:rsidR="00F041FF" w:rsidRPr="0013290E">
        <w:rPr>
          <w:rFonts w:cs="Arial"/>
          <w:noProof/>
          <w:color w:val="000000"/>
          <w:szCs w:val="24"/>
          <w:lang w:eastAsia="zh-CN"/>
        </w:rPr>
        <w:t xml:space="preserve"> </w:t>
      </w:r>
      <w:r w:rsidRPr="00F041FF">
        <w:rPr>
          <w:szCs w:val="24"/>
          <w:lang w:eastAsia="de-DE"/>
        </w:rPr>
        <w:t xml:space="preserve">wrote </w:t>
      </w:r>
      <w:r w:rsidR="00F041FF" w:rsidRPr="00F041FF">
        <w:rPr>
          <w:szCs w:val="24"/>
          <w:lang w:eastAsia="de-DE"/>
        </w:rPr>
        <w:t>the manuscript</w:t>
      </w:r>
      <w:r w:rsidR="00F041FF" w:rsidRPr="00F041FF">
        <w:rPr>
          <w:rFonts w:hint="eastAsia"/>
          <w:szCs w:val="24"/>
          <w:lang w:eastAsia="zh-CN"/>
        </w:rPr>
        <w:t>;</w:t>
      </w:r>
      <w:r w:rsidR="00F041FF" w:rsidRPr="00F041FF">
        <w:rPr>
          <w:szCs w:val="24"/>
          <w:lang w:eastAsia="de-DE"/>
        </w:rPr>
        <w:t xml:space="preserve"> </w:t>
      </w:r>
      <w:r w:rsidRPr="00F041FF">
        <w:rPr>
          <w:szCs w:val="24"/>
          <w:lang w:eastAsia="de-DE"/>
        </w:rPr>
        <w:t xml:space="preserve">and </w:t>
      </w:r>
      <w:r w:rsidR="00F041FF" w:rsidRPr="0013290E">
        <w:rPr>
          <w:rFonts w:eastAsia="Times New Roman" w:cs="Arial"/>
          <w:noProof/>
          <w:color w:val="000000"/>
          <w:szCs w:val="24"/>
          <w:lang w:eastAsia="de-DE"/>
        </w:rPr>
        <w:t>Dieterich W</w:t>
      </w:r>
      <w:r w:rsidRPr="00F041FF">
        <w:rPr>
          <w:szCs w:val="24"/>
          <w:lang w:eastAsia="de-DE"/>
        </w:rPr>
        <w:t xml:space="preserve">, </w:t>
      </w:r>
      <w:r w:rsidR="00F041FF" w:rsidRPr="0013290E">
        <w:rPr>
          <w:rFonts w:eastAsia="Times New Roman" w:cs="Arial"/>
          <w:noProof/>
          <w:color w:val="000000"/>
          <w:szCs w:val="24"/>
          <w:lang w:eastAsia="de-DE"/>
        </w:rPr>
        <w:t>Neurath</w:t>
      </w:r>
      <w:r w:rsidR="00F041FF" w:rsidRPr="00F041FF">
        <w:rPr>
          <w:szCs w:val="24"/>
          <w:lang w:eastAsia="de-DE"/>
        </w:rPr>
        <w:t xml:space="preserve"> MF</w:t>
      </w:r>
      <w:r w:rsidR="00F041FF" w:rsidRPr="00F041FF">
        <w:rPr>
          <w:rFonts w:hint="eastAsia"/>
          <w:szCs w:val="24"/>
          <w:lang w:eastAsia="zh-CN"/>
        </w:rPr>
        <w:t xml:space="preserve"> and </w:t>
      </w:r>
      <w:r w:rsidR="00F041FF" w:rsidRPr="0013290E">
        <w:rPr>
          <w:rFonts w:eastAsia="Times New Roman" w:cs="Arial"/>
          <w:noProof/>
          <w:color w:val="000000"/>
          <w:szCs w:val="24"/>
          <w:lang w:eastAsia="de-DE"/>
        </w:rPr>
        <w:t>Atreya</w:t>
      </w:r>
      <w:r w:rsidR="00F041FF" w:rsidRPr="00F041FF">
        <w:rPr>
          <w:szCs w:val="24"/>
          <w:lang w:eastAsia="de-DE"/>
        </w:rPr>
        <w:t xml:space="preserve"> </w:t>
      </w:r>
      <w:r w:rsidRPr="00F041FF">
        <w:rPr>
          <w:szCs w:val="24"/>
          <w:lang w:eastAsia="de-DE"/>
        </w:rPr>
        <w:t>R</w:t>
      </w:r>
      <w:r w:rsidR="00F041FF" w:rsidRPr="00F041FF">
        <w:rPr>
          <w:rFonts w:hint="eastAsia"/>
          <w:szCs w:val="24"/>
          <w:lang w:eastAsia="zh-CN"/>
        </w:rPr>
        <w:t xml:space="preserve"> </w:t>
      </w:r>
      <w:r w:rsidRPr="00F041FF">
        <w:rPr>
          <w:szCs w:val="24"/>
          <w:lang w:eastAsia="de-DE"/>
        </w:rPr>
        <w:t>critically reviewed the manuscript.</w:t>
      </w:r>
    </w:p>
    <w:p w:rsidR="00B728D3" w:rsidRPr="00F041FF" w:rsidRDefault="00B728D3" w:rsidP="00D4383F">
      <w:pPr>
        <w:widowControl w:val="0"/>
        <w:autoSpaceDE w:val="0"/>
        <w:autoSpaceDN w:val="0"/>
        <w:adjustRightInd w:val="0"/>
        <w:snapToGrid w:val="0"/>
        <w:spacing w:after="0"/>
        <w:rPr>
          <w:rFonts w:eastAsia="Times New Roman" w:cs="Arial"/>
          <w:color w:val="000000"/>
          <w:szCs w:val="24"/>
          <w:lang w:eastAsia="de-DE"/>
        </w:rPr>
      </w:pPr>
    </w:p>
    <w:p w:rsidR="00B728D3" w:rsidRPr="00F041FF" w:rsidRDefault="00B728D3" w:rsidP="00D4383F">
      <w:pPr>
        <w:widowControl w:val="0"/>
        <w:snapToGrid w:val="0"/>
        <w:spacing w:after="0"/>
        <w:rPr>
          <w:noProof/>
          <w:szCs w:val="24"/>
          <w:lang w:eastAsia="de-DE"/>
        </w:rPr>
      </w:pPr>
      <w:r w:rsidRPr="00F041FF">
        <w:rPr>
          <w:rStyle w:val="Heading4Char"/>
          <w:szCs w:val="24"/>
        </w:rPr>
        <w:t>Supported by</w:t>
      </w:r>
      <w:r w:rsidRPr="00F041FF">
        <w:rPr>
          <w:szCs w:val="24"/>
        </w:rPr>
        <w:t xml:space="preserve"> </w:t>
      </w:r>
      <w:r w:rsidRPr="00F041FF">
        <w:rPr>
          <w:szCs w:val="24"/>
          <w:lang w:eastAsia="de-DE"/>
        </w:rPr>
        <w:t>DFG-CRC1181 - Project number (C02)</w:t>
      </w:r>
      <w:r w:rsidR="00F041FF">
        <w:rPr>
          <w:rFonts w:hint="eastAsia"/>
          <w:szCs w:val="24"/>
          <w:lang w:eastAsia="zh-CN"/>
        </w:rPr>
        <w:t>;</w:t>
      </w:r>
      <w:r w:rsidRPr="00F041FF">
        <w:rPr>
          <w:noProof/>
          <w:szCs w:val="24"/>
          <w:lang w:eastAsia="de-DE"/>
        </w:rPr>
        <w:t xml:space="preserve"> and a research operating grant from the International Organization for the Study of Inflammatory Bowel Diseases.</w:t>
      </w:r>
    </w:p>
    <w:p w:rsidR="006B5476" w:rsidRPr="00F041FF" w:rsidRDefault="006B5476" w:rsidP="00D4383F">
      <w:pPr>
        <w:pStyle w:val="Heading4"/>
        <w:keepNext w:val="0"/>
        <w:keepLines w:val="0"/>
        <w:widowControl w:val="0"/>
        <w:snapToGrid w:val="0"/>
        <w:spacing w:before="0"/>
        <w:rPr>
          <w:szCs w:val="24"/>
        </w:rPr>
      </w:pPr>
    </w:p>
    <w:p w:rsidR="006B5476" w:rsidRDefault="006B5476" w:rsidP="00D4383F">
      <w:pPr>
        <w:widowControl w:val="0"/>
        <w:snapToGrid w:val="0"/>
        <w:spacing w:after="0"/>
        <w:rPr>
          <w:szCs w:val="24"/>
          <w:lang w:eastAsia="zh-CN"/>
        </w:rPr>
      </w:pPr>
      <w:r w:rsidRPr="00F041FF">
        <w:rPr>
          <w:b/>
          <w:szCs w:val="24"/>
        </w:rPr>
        <w:t>Conflict-of-interest statement:</w:t>
      </w:r>
      <w:r w:rsidRPr="00F041FF">
        <w:rPr>
          <w:szCs w:val="24"/>
        </w:rPr>
        <w:t xml:space="preserve"> </w:t>
      </w:r>
      <w:r w:rsidR="0086431D" w:rsidRPr="00F041FF">
        <w:rPr>
          <w:szCs w:val="24"/>
        </w:rPr>
        <w:t>Raja Atreya has served as advisor for AbbVie and Markus F</w:t>
      </w:r>
      <w:r w:rsidR="00F041FF">
        <w:rPr>
          <w:rFonts w:hint="eastAsia"/>
          <w:szCs w:val="24"/>
          <w:lang w:eastAsia="zh-CN"/>
        </w:rPr>
        <w:t xml:space="preserve"> </w:t>
      </w:r>
      <w:r w:rsidR="0086431D" w:rsidRPr="00F041FF">
        <w:rPr>
          <w:szCs w:val="24"/>
        </w:rPr>
        <w:t>Neurath has served as advisor for MSD, AbbVie, Takeda, Boehringer, Giuliani.</w:t>
      </w:r>
    </w:p>
    <w:p w:rsidR="00F041FF" w:rsidRDefault="00F041FF" w:rsidP="00D4383F">
      <w:pPr>
        <w:widowControl w:val="0"/>
        <w:snapToGrid w:val="0"/>
        <w:spacing w:after="0"/>
        <w:rPr>
          <w:b/>
          <w:szCs w:val="24"/>
          <w:lang w:eastAsia="zh-CN"/>
        </w:rPr>
      </w:pPr>
    </w:p>
    <w:p w:rsidR="00F041FF" w:rsidRPr="00005305" w:rsidRDefault="00F041FF" w:rsidP="00D4383F">
      <w:pPr>
        <w:pStyle w:val="1"/>
        <w:snapToGrid w:val="0"/>
        <w:spacing w:line="360" w:lineRule="auto"/>
        <w:jc w:val="both"/>
        <w:rPr>
          <w:rFonts w:ascii="Book Antiqua" w:hAnsi="Book Antiqua" w:cs="Times New Roman"/>
          <w:bCs/>
          <w:color w:val="auto"/>
          <w:sz w:val="24"/>
          <w:highlight w:val="white"/>
          <w:lang w:val="en-US"/>
        </w:rPr>
      </w:pPr>
      <w:bookmarkStart w:id="6" w:name="OLE_LINK734"/>
      <w:bookmarkStart w:id="7" w:name="OLE_LINK441"/>
      <w:bookmarkStart w:id="8" w:name="OLE_LINK442"/>
      <w:bookmarkStart w:id="9" w:name="OLE_LINK1032"/>
      <w:bookmarkStart w:id="10" w:name="OLE_LINK1232"/>
      <w:bookmarkStart w:id="11"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2" w:name="OLE_LINK479"/>
      <w:bookmarkStart w:id="13" w:name="OLE_LINK496"/>
      <w:bookmarkStart w:id="14" w:name="OLE_LINK506"/>
      <w:bookmarkStart w:id="15"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6"/>
      <w:bookmarkEnd w:id="12"/>
      <w:bookmarkEnd w:id="13"/>
      <w:bookmarkEnd w:id="14"/>
      <w:bookmarkEnd w:id="15"/>
    </w:p>
    <w:bookmarkEnd w:id="7"/>
    <w:bookmarkEnd w:id="8"/>
    <w:bookmarkEnd w:id="9"/>
    <w:bookmarkEnd w:id="10"/>
    <w:bookmarkEnd w:id="11"/>
    <w:p w:rsidR="00F041FF" w:rsidRDefault="00F041FF" w:rsidP="00D4383F">
      <w:pPr>
        <w:pStyle w:val="1"/>
        <w:snapToGrid w:val="0"/>
        <w:spacing w:line="360" w:lineRule="auto"/>
        <w:jc w:val="both"/>
        <w:rPr>
          <w:rFonts w:ascii="Book Antiqua" w:hAnsi="Book Antiqua" w:cs="Times New Roman"/>
          <w:b/>
          <w:bCs/>
          <w:color w:val="FF0000"/>
          <w:sz w:val="24"/>
          <w:highlight w:val="white"/>
          <w:lang w:val="en-US" w:eastAsia="zh-CN"/>
        </w:rPr>
      </w:pPr>
    </w:p>
    <w:p w:rsidR="00F041FF" w:rsidRDefault="00F041FF" w:rsidP="00D4383F">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rsidR="00F041FF" w:rsidRPr="00F041FF" w:rsidRDefault="00F041FF" w:rsidP="00D4383F">
      <w:pPr>
        <w:widowControl w:val="0"/>
        <w:snapToGrid w:val="0"/>
        <w:spacing w:after="0"/>
        <w:rPr>
          <w:b/>
          <w:szCs w:val="24"/>
          <w:lang w:eastAsia="zh-CN"/>
        </w:rPr>
      </w:pPr>
    </w:p>
    <w:p w:rsidR="00A27463" w:rsidRPr="0013290E" w:rsidRDefault="00B728D3" w:rsidP="00D4383F">
      <w:pPr>
        <w:pStyle w:val="Heading4"/>
        <w:keepNext w:val="0"/>
        <w:keepLines w:val="0"/>
        <w:widowControl w:val="0"/>
        <w:snapToGrid w:val="0"/>
        <w:spacing w:before="0"/>
        <w:rPr>
          <w:rFonts w:eastAsia="Times New Roman" w:cs="Arial"/>
          <w:b w:val="0"/>
          <w:color w:val="000000"/>
          <w:szCs w:val="24"/>
          <w:lang w:val="de-DE" w:eastAsia="de-DE"/>
        </w:rPr>
      </w:pPr>
      <w:r w:rsidRPr="0013290E">
        <w:rPr>
          <w:szCs w:val="24"/>
          <w:lang w:val="de-DE"/>
        </w:rPr>
        <w:t>Correspondence to:</w:t>
      </w:r>
      <w:r w:rsidR="00F041FF" w:rsidRPr="0013290E">
        <w:rPr>
          <w:szCs w:val="24"/>
          <w:lang w:val="de-DE" w:eastAsia="zh-CN"/>
        </w:rPr>
        <w:t xml:space="preserve"> </w:t>
      </w:r>
      <w:r w:rsidRPr="0013290E">
        <w:rPr>
          <w:szCs w:val="24"/>
          <w:lang w:val="de-DE" w:eastAsia="de-DE"/>
        </w:rPr>
        <w:t xml:space="preserve">Raja Atreya, MD, </w:t>
      </w:r>
      <w:r w:rsidR="00F041FF" w:rsidRPr="0013290E">
        <w:rPr>
          <w:szCs w:val="24"/>
          <w:lang w:val="de-DE" w:eastAsia="de-DE"/>
        </w:rPr>
        <w:t>Prof</w:t>
      </w:r>
      <w:r w:rsidR="00F041FF" w:rsidRPr="0013290E">
        <w:rPr>
          <w:szCs w:val="24"/>
          <w:lang w:val="de-DE" w:eastAsia="zh-CN"/>
        </w:rPr>
        <w:t>essor,</w:t>
      </w:r>
      <w:r w:rsidR="00F041FF" w:rsidRPr="0013290E">
        <w:rPr>
          <w:b w:val="0"/>
          <w:szCs w:val="24"/>
          <w:lang w:val="de-DE" w:eastAsia="zh-CN"/>
        </w:rPr>
        <w:t xml:space="preserve"> </w:t>
      </w:r>
      <w:r w:rsidRPr="0013290E">
        <w:rPr>
          <w:b w:val="0"/>
          <w:szCs w:val="24"/>
          <w:lang w:val="de-DE" w:eastAsia="de-DE"/>
        </w:rPr>
        <w:t>Medical Clinic 1, Friedrich-Alexander-Universität Erlangen-Nürnberg, Ulmenweg 18, 91054 Erlangen, Germany</w:t>
      </w:r>
      <w:r w:rsidR="005B6967">
        <w:rPr>
          <w:rFonts w:hint="eastAsia"/>
          <w:b w:val="0"/>
          <w:szCs w:val="24"/>
          <w:lang w:val="de-DE" w:eastAsia="zh-CN"/>
        </w:rPr>
        <w:t>.</w:t>
      </w:r>
      <w:r w:rsidRPr="0013290E">
        <w:rPr>
          <w:b w:val="0"/>
          <w:szCs w:val="24"/>
          <w:lang w:val="de-DE" w:eastAsia="de-DE"/>
        </w:rPr>
        <w:t xml:space="preserve"> raja.atreya@uk-erlangen.de</w:t>
      </w:r>
    </w:p>
    <w:p w:rsidR="00B728D3" w:rsidRPr="00F041FF" w:rsidRDefault="00B728D3" w:rsidP="00D4383F">
      <w:pPr>
        <w:widowControl w:val="0"/>
        <w:snapToGrid w:val="0"/>
        <w:spacing w:after="0"/>
        <w:rPr>
          <w:szCs w:val="24"/>
          <w:lang w:eastAsia="zh-CN"/>
        </w:rPr>
      </w:pPr>
      <w:r w:rsidRPr="00F041FF">
        <w:rPr>
          <w:b/>
          <w:szCs w:val="24"/>
          <w:lang w:eastAsia="de-DE"/>
        </w:rPr>
        <w:t>Telephone:</w:t>
      </w:r>
      <w:r w:rsidR="00F041FF">
        <w:rPr>
          <w:rFonts w:hint="eastAsia"/>
          <w:szCs w:val="24"/>
          <w:lang w:eastAsia="zh-CN"/>
        </w:rPr>
        <w:t xml:space="preserve"> </w:t>
      </w:r>
      <w:r w:rsidR="00F041FF">
        <w:rPr>
          <w:szCs w:val="24"/>
          <w:lang w:eastAsia="de-DE"/>
        </w:rPr>
        <w:t>+49-9131-8535115</w:t>
      </w:r>
    </w:p>
    <w:p w:rsidR="00B728D3" w:rsidRPr="00F041FF" w:rsidRDefault="00B728D3" w:rsidP="00D4383F">
      <w:pPr>
        <w:widowControl w:val="0"/>
        <w:snapToGrid w:val="0"/>
        <w:spacing w:after="0"/>
        <w:rPr>
          <w:szCs w:val="24"/>
          <w:lang w:eastAsia="de-DE"/>
        </w:rPr>
      </w:pPr>
      <w:r w:rsidRPr="00F041FF">
        <w:rPr>
          <w:b/>
          <w:caps/>
          <w:szCs w:val="24"/>
          <w:lang w:eastAsia="de-DE"/>
        </w:rPr>
        <w:t>f</w:t>
      </w:r>
      <w:r w:rsidRPr="00F041FF">
        <w:rPr>
          <w:b/>
          <w:szCs w:val="24"/>
          <w:lang w:eastAsia="de-DE"/>
        </w:rPr>
        <w:t>ax:</w:t>
      </w:r>
      <w:r w:rsidR="00F041FF">
        <w:rPr>
          <w:rFonts w:hint="eastAsia"/>
          <w:szCs w:val="24"/>
          <w:lang w:eastAsia="zh-CN"/>
        </w:rPr>
        <w:t xml:space="preserve"> </w:t>
      </w:r>
      <w:r w:rsidRPr="00F041FF">
        <w:rPr>
          <w:szCs w:val="24"/>
          <w:lang w:eastAsia="de-DE"/>
        </w:rPr>
        <w:t>+49-9131-</w:t>
      </w:r>
      <w:r w:rsidR="00F041FF">
        <w:rPr>
          <w:szCs w:val="24"/>
          <w:lang w:eastAsia="de-DE"/>
        </w:rPr>
        <w:t>85</w:t>
      </w:r>
      <w:r w:rsidRPr="00F041FF">
        <w:rPr>
          <w:szCs w:val="24"/>
          <w:lang w:eastAsia="de-DE"/>
        </w:rPr>
        <w:t>35116</w:t>
      </w:r>
    </w:p>
    <w:p w:rsidR="001F3FF5" w:rsidRPr="00F041FF" w:rsidRDefault="001F3FF5" w:rsidP="00D4383F">
      <w:pPr>
        <w:widowControl w:val="0"/>
        <w:snapToGrid w:val="0"/>
        <w:spacing w:after="0"/>
        <w:rPr>
          <w:szCs w:val="24"/>
        </w:rPr>
      </w:pPr>
    </w:p>
    <w:p w:rsidR="00F041FF" w:rsidRPr="00F041FF" w:rsidRDefault="00F041FF" w:rsidP="00D4383F">
      <w:pPr>
        <w:snapToGrid w:val="0"/>
        <w:spacing w:after="0"/>
        <w:rPr>
          <w:rFonts w:eastAsia="SimSun" w:cs="SimSun"/>
          <w:b/>
          <w:szCs w:val="24"/>
          <w:lang w:eastAsia="zh-CN"/>
        </w:rPr>
      </w:pPr>
      <w:r w:rsidRPr="00F041FF">
        <w:rPr>
          <w:rFonts w:eastAsia="SimSun" w:cs="SimSun"/>
          <w:b/>
          <w:szCs w:val="24"/>
          <w:lang w:eastAsia="zh-CN"/>
        </w:rPr>
        <w:t>Received:</w:t>
      </w:r>
      <w:r w:rsidRPr="00F041FF">
        <w:rPr>
          <w:rFonts w:eastAsia="SimSun" w:cs="SimSun" w:hint="eastAsia"/>
          <w:b/>
          <w:szCs w:val="24"/>
          <w:lang w:eastAsia="zh-CN"/>
        </w:rPr>
        <w:t xml:space="preserve"> </w:t>
      </w:r>
      <w:r w:rsidRPr="00F041FF">
        <w:rPr>
          <w:rFonts w:eastAsia="SimSun" w:cs="SimSun" w:hint="eastAsia"/>
          <w:szCs w:val="24"/>
          <w:lang w:eastAsia="zh-CN"/>
        </w:rPr>
        <w:t>July 10, 2016</w:t>
      </w:r>
    </w:p>
    <w:p w:rsidR="00F041FF" w:rsidRPr="00F041FF" w:rsidRDefault="00F041FF" w:rsidP="00D4383F">
      <w:pPr>
        <w:snapToGrid w:val="0"/>
        <w:spacing w:after="0"/>
        <w:rPr>
          <w:rFonts w:eastAsia="SimSun" w:cs="SimSun"/>
          <w:b/>
          <w:szCs w:val="24"/>
          <w:lang w:eastAsia="zh-CN"/>
        </w:rPr>
      </w:pPr>
      <w:r w:rsidRPr="00F041FF">
        <w:rPr>
          <w:rFonts w:eastAsia="SimSun" w:cs="SimSun"/>
          <w:b/>
          <w:szCs w:val="24"/>
          <w:lang w:eastAsia="zh-CN"/>
        </w:rPr>
        <w:t>Peer-review started:</w:t>
      </w:r>
      <w:r w:rsidRPr="00F041FF">
        <w:rPr>
          <w:rFonts w:eastAsia="SimSun" w:cs="SimSun" w:hint="eastAsia"/>
          <w:b/>
          <w:szCs w:val="24"/>
          <w:lang w:eastAsia="zh-CN"/>
        </w:rPr>
        <w:t xml:space="preserve"> </w:t>
      </w:r>
      <w:r w:rsidRPr="00F041FF">
        <w:rPr>
          <w:rFonts w:eastAsia="SimSun" w:cs="SimSun" w:hint="eastAsia"/>
          <w:szCs w:val="24"/>
          <w:lang w:eastAsia="zh-CN"/>
        </w:rPr>
        <w:t>July 1</w:t>
      </w:r>
      <w:r>
        <w:rPr>
          <w:rFonts w:eastAsia="SimSun" w:cs="SimSun" w:hint="eastAsia"/>
          <w:szCs w:val="24"/>
          <w:lang w:eastAsia="zh-CN"/>
        </w:rPr>
        <w:t>3</w:t>
      </w:r>
      <w:r w:rsidRPr="00F041FF">
        <w:rPr>
          <w:rFonts w:eastAsia="SimSun" w:cs="SimSun" w:hint="eastAsia"/>
          <w:szCs w:val="24"/>
          <w:lang w:eastAsia="zh-CN"/>
        </w:rPr>
        <w:t>, 2016</w:t>
      </w:r>
    </w:p>
    <w:p w:rsidR="00F041FF" w:rsidRPr="00F041FF" w:rsidRDefault="00F041FF" w:rsidP="00D4383F">
      <w:pPr>
        <w:snapToGrid w:val="0"/>
        <w:spacing w:after="0"/>
        <w:rPr>
          <w:rFonts w:eastAsia="SimSun" w:cs="SimSun"/>
          <w:b/>
          <w:szCs w:val="24"/>
          <w:lang w:eastAsia="zh-CN"/>
        </w:rPr>
      </w:pPr>
      <w:r w:rsidRPr="00F041FF">
        <w:rPr>
          <w:rFonts w:eastAsia="SimSun" w:cs="SimSun"/>
          <w:b/>
          <w:szCs w:val="24"/>
          <w:lang w:eastAsia="zh-CN"/>
        </w:rPr>
        <w:t>First decision:</w:t>
      </w:r>
      <w:r w:rsidRPr="00F041FF">
        <w:rPr>
          <w:rFonts w:eastAsia="SimSun" w:cs="SimSun" w:hint="eastAsia"/>
          <w:b/>
          <w:szCs w:val="24"/>
          <w:lang w:eastAsia="zh-CN"/>
        </w:rPr>
        <w:t xml:space="preserve"> </w:t>
      </w:r>
      <w:r w:rsidRPr="00F041FF">
        <w:rPr>
          <w:rFonts w:eastAsia="SimSun" w:cs="SimSun" w:hint="eastAsia"/>
          <w:szCs w:val="24"/>
          <w:lang w:eastAsia="zh-CN"/>
        </w:rPr>
        <w:t xml:space="preserve">July </w:t>
      </w:r>
      <w:r>
        <w:rPr>
          <w:rFonts w:eastAsia="SimSun" w:cs="SimSun" w:hint="eastAsia"/>
          <w:szCs w:val="24"/>
          <w:lang w:eastAsia="zh-CN"/>
        </w:rPr>
        <w:t>29</w:t>
      </w:r>
      <w:r w:rsidRPr="00F041FF">
        <w:rPr>
          <w:rFonts w:eastAsia="SimSun" w:cs="SimSun" w:hint="eastAsia"/>
          <w:szCs w:val="24"/>
          <w:lang w:eastAsia="zh-CN"/>
        </w:rPr>
        <w:t>, 2016</w:t>
      </w:r>
    </w:p>
    <w:p w:rsidR="00F041FF" w:rsidRPr="00F041FF" w:rsidRDefault="00F041FF" w:rsidP="00D4383F">
      <w:pPr>
        <w:snapToGrid w:val="0"/>
        <w:spacing w:after="0"/>
        <w:rPr>
          <w:rFonts w:eastAsia="SimSun" w:cs="SimSun"/>
          <w:b/>
          <w:szCs w:val="24"/>
          <w:lang w:eastAsia="zh-CN"/>
        </w:rPr>
      </w:pPr>
      <w:r w:rsidRPr="00F041FF">
        <w:rPr>
          <w:rFonts w:eastAsia="SimSun" w:cs="SimSun"/>
          <w:b/>
          <w:szCs w:val="24"/>
          <w:lang w:eastAsia="zh-CN"/>
        </w:rPr>
        <w:t>Revised:</w:t>
      </w:r>
      <w:r w:rsidRPr="00F041FF">
        <w:rPr>
          <w:rFonts w:eastAsia="SimSun" w:cs="SimSun" w:hint="eastAsia"/>
          <w:b/>
          <w:szCs w:val="24"/>
          <w:lang w:eastAsia="zh-CN"/>
        </w:rPr>
        <w:t xml:space="preserve"> </w:t>
      </w:r>
      <w:r w:rsidRPr="00F041FF">
        <w:rPr>
          <w:rFonts w:eastAsia="SimSun" w:cs="SimSun" w:hint="eastAsia"/>
          <w:szCs w:val="24"/>
          <w:lang w:eastAsia="zh-CN"/>
        </w:rPr>
        <w:t xml:space="preserve">September </w:t>
      </w:r>
      <w:r w:rsidR="00F80C82">
        <w:rPr>
          <w:rFonts w:eastAsia="SimSun" w:cs="SimSun" w:hint="eastAsia"/>
          <w:szCs w:val="24"/>
          <w:lang w:eastAsia="zh-CN"/>
        </w:rPr>
        <w:t>15</w:t>
      </w:r>
      <w:r w:rsidRPr="00F041FF">
        <w:rPr>
          <w:rFonts w:eastAsia="SimSun" w:cs="SimSun" w:hint="eastAsia"/>
          <w:szCs w:val="24"/>
          <w:lang w:eastAsia="zh-CN"/>
        </w:rPr>
        <w:t>, 2016</w:t>
      </w:r>
    </w:p>
    <w:p w:rsidR="00F041FF" w:rsidRPr="00E94572" w:rsidRDefault="00F041FF" w:rsidP="00E94572">
      <w:pPr>
        <w:rPr>
          <w:color w:val="000000"/>
        </w:rPr>
      </w:pPr>
      <w:r w:rsidRPr="00F041FF">
        <w:rPr>
          <w:rFonts w:eastAsia="SimSun" w:cs="SimSun"/>
          <w:b/>
          <w:szCs w:val="24"/>
          <w:lang w:eastAsia="zh-CN"/>
        </w:rPr>
        <w:t>Accepted:</w:t>
      </w:r>
      <w:r w:rsidR="00E94572" w:rsidRPr="00E94572">
        <w:rPr>
          <w:color w:val="000000"/>
        </w:rPr>
        <w:t xml:space="preserve"> </w:t>
      </w:r>
      <w:r w:rsidR="00E94572">
        <w:rPr>
          <w:color w:val="000000"/>
        </w:rPr>
        <w:t>October 10, 2016</w:t>
      </w:r>
      <w:bookmarkStart w:id="16" w:name="_GoBack"/>
      <w:bookmarkEnd w:id="16"/>
    </w:p>
    <w:p w:rsidR="00F041FF" w:rsidRPr="00F041FF" w:rsidRDefault="00F041FF" w:rsidP="00D4383F">
      <w:pPr>
        <w:snapToGrid w:val="0"/>
        <w:spacing w:after="0"/>
        <w:rPr>
          <w:rFonts w:eastAsia="SimSun" w:cs="SimSun"/>
          <w:b/>
          <w:szCs w:val="24"/>
          <w:lang w:eastAsia="zh-CN"/>
        </w:rPr>
      </w:pPr>
      <w:r w:rsidRPr="00F041FF">
        <w:rPr>
          <w:rFonts w:eastAsia="SimSun" w:cs="SimSun"/>
          <w:b/>
          <w:szCs w:val="24"/>
          <w:lang w:eastAsia="zh-CN"/>
        </w:rPr>
        <w:t>Article in press:</w:t>
      </w:r>
    </w:p>
    <w:p w:rsidR="00D70EF7" w:rsidRPr="00F041FF" w:rsidRDefault="00F041FF" w:rsidP="00D4383F">
      <w:pPr>
        <w:widowControl w:val="0"/>
        <w:snapToGrid w:val="0"/>
        <w:spacing w:after="0"/>
        <w:rPr>
          <w:szCs w:val="24"/>
        </w:rPr>
      </w:pPr>
      <w:r w:rsidRPr="00F041FF">
        <w:rPr>
          <w:rFonts w:eastAsia="SimSun" w:cs="SimSun"/>
          <w:b/>
          <w:szCs w:val="24"/>
          <w:lang w:eastAsia="zh-CN"/>
        </w:rPr>
        <w:t>Published online</w:t>
      </w:r>
      <w:r w:rsidRPr="00F041FF">
        <w:rPr>
          <w:rFonts w:eastAsia="SimSun" w:cs="SimSun" w:hint="eastAsia"/>
          <w:b/>
          <w:szCs w:val="24"/>
          <w:lang w:eastAsia="zh-CN"/>
        </w:rPr>
        <w:t>:</w:t>
      </w:r>
    </w:p>
    <w:p w:rsidR="00F041FF" w:rsidRDefault="00F041FF" w:rsidP="00D4383F">
      <w:pPr>
        <w:snapToGrid w:val="0"/>
        <w:spacing w:after="0"/>
        <w:jc w:val="left"/>
        <w:rPr>
          <w:rFonts w:eastAsiaTheme="majorEastAsia" w:cstheme="majorBidi"/>
          <w:b/>
          <w:bCs/>
          <w:szCs w:val="24"/>
          <w:u w:val="single"/>
        </w:rPr>
      </w:pPr>
      <w:r>
        <w:rPr>
          <w:szCs w:val="24"/>
          <w:u w:val="single"/>
        </w:rPr>
        <w:br w:type="page"/>
      </w:r>
    </w:p>
    <w:p w:rsidR="006B5476" w:rsidRPr="00D76A72" w:rsidRDefault="006B5476" w:rsidP="00D4383F">
      <w:pPr>
        <w:pStyle w:val="Heading1"/>
        <w:keepNext w:val="0"/>
        <w:keepLines w:val="0"/>
        <w:widowControl w:val="0"/>
        <w:snapToGrid w:val="0"/>
        <w:spacing w:before="0" w:beforeAutospacing="0" w:after="0" w:afterAutospacing="0"/>
        <w:rPr>
          <w:sz w:val="24"/>
          <w:szCs w:val="24"/>
        </w:rPr>
      </w:pPr>
      <w:r w:rsidRPr="00D76A72">
        <w:rPr>
          <w:sz w:val="24"/>
          <w:szCs w:val="24"/>
        </w:rPr>
        <w:lastRenderedPageBreak/>
        <w:t>Abstract</w:t>
      </w:r>
    </w:p>
    <w:p w:rsidR="006B5476" w:rsidRPr="00D76A72" w:rsidRDefault="006B5476" w:rsidP="00D4383F">
      <w:pPr>
        <w:widowControl w:val="0"/>
        <w:snapToGrid w:val="0"/>
        <w:spacing w:after="0"/>
        <w:rPr>
          <w:szCs w:val="24"/>
          <w:lang w:eastAsia="zh-CN"/>
        </w:rPr>
      </w:pPr>
      <w:r w:rsidRPr="00D76A72">
        <w:rPr>
          <w:szCs w:val="24"/>
        </w:rPr>
        <w:t>Anti-</w:t>
      </w:r>
      <w:r w:rsidR="00D76A72" w:rsidRPr="00F041FF">
        <w:rPr>
          <w:rFonts w:eastAsia="Times New Roman"/>
          <w:szCs w:val="24"/>
        </w:rPr>
        <w:t>tumor necrosis factor</w:t>
      </w:r>
      <w:r w:rsidR="00D76A72" w:rsidRPr="00D76A72">
        <w:rPr>
          <w:szCs w:val="24"/>
        </w:rPr>
        <w:t xml:space="preserve"> </w:t>
      </w:r>
      <w:r w:rsidR="00D76A72">
        <w:rPr>
          <w:rFonts w:hint="eastAsia"/>
          <w:szCs w:val="24"/>
          <w:lang w:eastAsia="zh-CN"/>
        </w:rPr>
        <w:t>(</w:t>
      </w:r>
      <w:r w:rsidRPr="00D76A72">
        <w:rPr>
          <w:szCs w:val="24"/>
        </w:rPr>
        <w:t>TNF</w:t>
      </w:r>
      <w:r w:rsidR="00D76A72">
        <w:rPr>
          <w:rFonts w:hint="eastAsia"/>
          <w:szCs w:val="24"/>
          <w:lang w:eastAsia="zh-CN"/>
        </w:rPr>
        <w:t>)</w:t>
      </w:r>
      <w:r w:rsidRPr="00D76A72">
        <w:rPr>
          <w:szCs w:val="24"/>
        </w:rPr>
        <w:t xml:space="preserve"> antibodies are successfully used in the therapy of inflammatory </w:t>
      </w:r>
      <w:r w:rsidR="00A27463" w:rsidRPr="00D76A72">
        <w:rPr>
          <w:szCs w:val="24"/>
        </w:rPr>
        <w:t xml:space="preserve">bowel diseases (IBD). </w:t>
      </w:r>
      <w:r w:rsidR="003408E6" w:rsidRPr="00D76A72">
        <w:rPr>
          <w:szCs w:val="24"/>
        </w:rPr>
        <w:t>However, t</w:t>
      </w:r>
      <w:r w:rsidRPr="00D76A72">
        <w:rPr>
          <w:szCs w:val="24"/>
        </w:rPr>
        <w:t xml:space="preserve">he molecular mechanism of action </w:t>
      </w:r>
      <w:r w:rsidR="003408E6" w:rsidRPr="00D76A72">
        <w:rPr>
          <w:szCs w:val="24"/>
        </w:rPr>
        <w:t>of these</w:t>
      </w:r>
      <w:r w:rsidR="00D76A72">
        <w:rPr>
          <w:rFonts w:hint="eastAsia"/>
          <w:szCs w:val="24"/>
          <w:lang w:eastAsia="zh-CN"/>
        </w:rPr>
        <w:t xml:space="preserve"> </w:t>
      </w:r>
      <w:r w:rsidR="003408E6" w:rsidRPr="00D76A72">
        <w:rPr>
          <w:szCs w:val="24"/>
        </w:rPr>
        <w:t>agent</w:t>
      </w:r>
      <w:r w:rsidR="00BF6FCB">
        <w:rPr>
          <w:szCs w:val="24"/>
        </w:rPr>
        <w:t>s</w:t>
      </w:r>
      <w:r w:rsidR="00A27463" w:rsidRPr="00D76A72">
        <w:rPr>
          <w:szCs w:val="24"/>
        </w:rPr>
        <w:t xml:space="preserve"> </w:t>
      </w:r>
      <w:r w:rsidRPr="00D76A72">
        <w:rPr>
          <w:szCs w:val="24"/>
        </w:rPr>
        <w:t>is still a matter of debate. Apart from neutralization of TNF, influence on the intestinal barrier function, induction of apoptosis in mucosal immune cells</w:t>
      </w:r>
      <w:r w:rsidR="003408E6" w:rsidRPr="00D76A72">
        <w:rPr>
          <w:szCs w:val="24"/>
        </w:rPr>
        <w:t>, formation</w:t>
      </w:r>
      <w:r w:rsidRPr="00D76A72">
        <w:rPr>
          <w:szCs w:val="24"/>
        </w:rPr>
        <w:t xml:space="preserve"> of regulatory macrophages as well as other immune modulating proper</w:t>
      </w:r>
      <w:r w:rsidR="003408E6" w:rsidRPr="00D76A72">
        <w:rPr>
          <w:szCs w:val="24"/>
        </w:rPr>
        <w:t xml:space="preserve">ties have been </w:t>
      </w:r>
      <w:r w:rsidRPr="00D76A72">
        <w:rPr>
          <w:szCs w:val="24"/>
        </w:rPr>
        <w:t>discussed</w:t>
      </w:r>
      <w:r w:rsidR="00D76A72">
        <w:rPr>
          <w:szCs w:val="24"/>
        </w:rPr>
        <w:t xml:space="preserve"> as central features</w:t>
      </w:r>
      <w:r w:rsidRPr="00D76A72">
        <w:rPr>
          <w:szCs w:val="24"/>
        </w:rPr>
        <w:t>. Nevertheless,</w:t>
      </w:r>
      <w:r w:rsidR="00D76A72">
        <w:rPr>
          <w:rFonts w:hint="eastAsia"/>
          <w:szCs w:val="24"/>
          <w:lang w:eastAsia="zh-CN"/>
        </w:rPr>
        <w:t xml:space="preserve"> </w:t>
      </w:r>
      <w:r w:rsidRPr="00D76A72">
        <w:rPr>
          <w:szCs w:val="24"/>
        </w:rPr>
        <w:t xml:space="preserve">clinically effective anti-TNF antibodies were shown to differ in their mode-of-action </w:t>
      </w:r>
      <w:r w:rsidRPr="00D76A72">
        <w:rPr>
          <w:i/>
          <w:szCs w:val="24"/>
        </w:rPr>
        <w:t>in vivo</w:t>
      </w:r>
      <w:r w:rsidRPr="00D76A72">
        <w:rPr>
          <w:szCs w:val="24"/>
        </w:rPr>
        <w:t xml:space="preserve"> and </w:t>
      </w:r>
      <w:r w:rsidRPr="00D76A72">
        <w:rPr>
          <w:i/>
          <w:szCs w:val="24"/>
        </w:rPr>
        <w:t>in vitro</w:t>
      </w:r>
      <w:r w:rsidRPr="00D76A72">
        <w:rPr>
          <w:szCs w:val="24"/>
        </w:rPr>
        <w:t xml:space="preserve">. Furthermore, the anti-TNF </w:t>
      </w:r>
      <w:r w:rsidR="00435E78">
        <w:rPr>
          <w:szCs w:val="24"/>
        </w:rPr>
        <w:t>agent</w:t>
      </w:r>
      <w:r w:rsidR="00435E78" w:rsidRPr="00D76A72">
        <w:rPr>
          <w:szCs w:val="24"/>
        </w:rPr>
        <w:t xml:space="preserve"> </w:t>
      </w:r>
      <w:r w:rsidRPr="00D76A72">
        <w:rPr>
          <w:szCs w:val="24"/>
        </w:rPr>
        <w:t>etanercept is effective in the treatment of rheumatoid arthritis but failed to induce clinical response in Crohn´s disease patient</w:t>
      </w:r>
      <w:r w:rsidR="00C2680A">
        <w:rPr>
          <w:szCs w:val="24"/>
        </w:rPr>
        <w:t>s</w:t>
      </w:r>
      <w:r w:rsidRPr="00D76A72">
        <w:rPr>
          <w:szCs w:val="24"/>
        </w:rPr>
        <w:t>, suggesting different contributions of TNF in the p</w:t>
      </w:r>
      <w:r w:rsidR="003408E6" w:rsidRPr="00D76A72">
        <w:rPr>
          <w:szCs w:val="24"/>
        </w:rPr>
        <w:t>athogenesis of these in</w:t>
      </w:r>
      <w:r w:rsidRPr="00D76A72">
        <w:rPr>
          <w:szCs w:val="24"/>
        </w:rPr>
        <w:t>flammatory diseases. In the following, we will review different aspects regarding the mechanism of action of anti-TNF agents in general and analyze comparatively different effects of each anti-TNF agent such as TNF neutralization, modulation of the immune system, reverse signaling and induction of apoptosis. We discuss the relevance of the membrane-bound form of</w:t>
      </w:r>
      <w:r w:rsidR="00D76A72">
        <w:rPr>
          <w:rFonts w:hint="eastAsia"/>
          <w:szCs w:val="24"/>
          <w:lang w:eastAsia="zh-CN"/>
        </w:rPr>
        <w:t xml:space="preserve"> </w:t>
      </w:r>
      <w:r w:rsidRPr="00D76A72">
        <w:rPr>
          <w:szCs w:val="24"/>
        </w:rPr>
        <w:t xml:space="preserve">TNF compared to the soluble form for the </w:t>
      </w:r>
      <w:r w:rsidR="003408E6" w:rsidRPr="00D76A72">
        <w:rPr>
          <w:szCs w:val="24"/>
        </w:rPr>
        <w:t>immuno</w:t>
      </w:r>
      <w:r w:rsidRPr="00D76A72">
        <w:rPr>
          <w:szCs w:val="24"/>
        </w:rPr>
        <w:t>pathogenesis o</w:t>
      </w:r>
      <w:r w:rsidR="003408E6" w:rsidRPr="00D76A72">
        <w:rPr>
          <w:szCs w:val="24"/>
        </w:rPr>
        <w:t xml:space="preserve">f IBD. Furthermore, we review reports </w:t>
      </w:r>
      <w:r w:rsidRPr="00D76A72">
        <w:rPr>
          <w:szCs w:val="24"/>
        </w:rPr>
        <w:t>that could lead to personalized medicine approaches regarding treatment with anti-TNF antibodies in chronic intestinal inflammation, by p</w:t>
      </w:r>
      <w:r w:rsidR="00D76A72">
        <w:rPr>
          <w:szCs w:val="24"/>
        </w:rPr>
        <w:t xml:space="preserve">redicting response to therapy. </w:t>
      </w:r>
    </w:p>
    <w:p w:rsidR="006B5476" w:rsidRPr="00D76A72" w:rsidRDefault="006B5476" w:rsidP="00D4383F">
      <w:pPr>
        <w:pStyle w:val="Heading4"/>
        <w:keepNext w:val="0"/>
        <w:keepLines w:val="0"/>
        <w:widowControl w:val="0"/>
        <w:snapToGrid w:val="0"/>
        <w:spacing w:before="0"/>
        <w:rPr>
          <w:szCs w:val="24"/>
        </w:rPr>
      </w:pPr>
    </w:p>
    <w:p w:rsidR="006B5476" w:rsidRPr="00D76A72" w:rsidRDefault="006B5476" w:rsidP="00D4383F">
      <w:pPr>
        <w:pStyle w:val="Heading4"/>
        <w:keepNext w:val="0"/>
        <w:keepLines w:val="0"/>
        <w:widowControl w:val="0"/>
        <w:snapToGrid w:val="0"/>
        <w:spacing w:before="0"/>
        <w:rPr>
          <w:b w:val="0"/>
          <w:szCs w:val="24"/>
        </w:rPr>
      </w:pPr>
      <w:r w:rsidRPr="00D76A72">
        <w:rPr>
          <w:szCs w:val="24"/>
        </w:rPr>
        <w:t>Key words:</w:t>
      </w:r>
      <w:r w:rsidRPr="00D76A72">
        <w:rPr>
          <w:rFonts w:eastAsia="Times New Roman"/>
          <w:szCs w:val="24"/>
          <w:lang w:eastAsia="de-DE"/>
        </w:rPr>
        <w:t xml:space="preserve"> </w:t>
      </w:r>
      <w:r w:rsidRPr="00D76A72">
        <w:rPr>
          <w:b w:val="0"/>
          <w:szCs w:val="24"/>
        </w:rPr>
        <w:t xml:space="preserve">Crohn´s disease; </w:t>
      </w:r>
      <w:r w:rsidRPr="00D76A72">
        <w:rPr>
          <w:b w:val="0"/>
          <w:caps/>
          <w:szCs w:val="24"/>
        </w:rPr>
        <w:t>u</w:t>
      </w:r>
      <w:r w:rsidRPr="00D76A72">
        <w:rPr>
          <w:b w:val="0"/>
          <w:szCs w:val="24"/>
        </w:rPr>
        <w:t xml:space="preserve">lcerative colitis; </w:t>
      </w:r>
      <w:r w:rsidR="00225234">
        <w:rPr>
          <w:b w:val="0"/>
          <w:szCs w:val="24"/>
        </w:rPr>
        <w:t>Transmembrane</w:t>
      </w:r>
      <w:r w:rsidR="00435E78">
        <w:rPr>
          <w:b w:val="0"/>
          <w:szCs w:val="24"/>
        </w:rPr>
        <w:t xml:space="preserve"> </w:t>
      </w:r>
      <w:r w:rsidR="00D4383F" w:rsidRPr="00D4383F">
        <w:rPr>
          <w:b w:val="0"/>
          <w:szCs w:val="24"/>
        </w:rPr>
        <w:t>tumor necrosis factor</w:t>
      </w:r>
      <w:r w:rsidRPr="00D76A72">
        <w:rPr>
          <w:b w:val="0"/>
          <w:szCs w:val="24"/>
        </w:rPr>
        <w:t>;</w:t>
      </w:r>
      <w:r w:rsidR="00D4383F">
        <w:rPr>
          <w:rFonts w:hint="eastAsia"/>
          <w:b w:val="0"/>
          <w:szCs w:val="24"/>
          <w:lang w:eastAsia="zh-CN"/>
        </w:rPr>
        <w:t xml:space="preserve"> </w:t>
      </w:r>
      <w:r w:rsidRPr="00D76A72">
        <w:rPr>
          <w:b w:val="0"/>
          <w:caps/>
          <w:szCs w:val="24"/>
        </w:rPr>
        <w:t>a</w:t>
      </w:r>
      <w:r w:rsidRPr="00D76A72">
        <w:rPr>
          <w:b w:val="0"/>
          <w:szCs w:val="24"/>
        </w:rPr>
        <w:t xml:space="preserve">poptosis; </w:t>
      </w:r>
      <w:r w:rsidR="00C2680A">
        <w:rPr>
          <w:b w:val="0"/>
          <w:szCs w:val="24"/>
          <w:lang w:eastAsia="zh-CN"/>
        </w:rPr>
        <w:t>L</w:t>
      </w:r>
      <w:r w:rsidR="00C2680A" w:rsidRPr="00D76A72">
        <w:rPr>
          <w:b w:val="0"/>
          <w:szCs w:val="24"/>
        </w:rPr>
        <w:t xml:space="preserve">amina </w:t>
      </w:r>
      <w:r w:rsidRPr="00D76A72">
        <w:rPr>
          <w:b w:val="0"/>
          <w:szCs w:val="24"/>
        </w:rPr>
        <w:t xml:space="preserve">propria mononuclear cells; </w:t>
      </w:r>
      <w:r w:rsidRPr="00D76A72">
        <w:rPr>
          <w:b w:val="0"/>
          <w:caps/>
          <w:szCs w:val="24"/>
        </w:rPr>
        <w:t>m</w:t>
      </w:r>
      <w:r w:rsidRPr="00D76A72">
        <w:rPr>
          <w:b w:val="0"/>
          <w:szCs w:val="24"/>
        </w:rPr>
        <w:t>ucosal immunology</w:t>
      </w:r>
    </w:p>
    <w:p w:rsidR="00D76A72" w:rsidRPr="00D4383F" w:rsidRDefault="00D76A72" w:rsidP="00D4383F">
      <w:pPr>
        <w:pStyle w:val="Heading1"/>
        <w:keepNext w:val="0"/>
        <w:keepLines w:val="0"/>
        <w:widowControl w:val="0"/>
        <w:snapToGrid w:val="0"/>
        <w:spacing w:before="0" w:beforeAutospacing="0" w:after="0" w:afterAutospacing="0"/>
        <w:rPr>
          <w:sz w:val="24"/>
          <w:szCs w:val="24"/>
          <w:u w:val="single"/>
          <w:lang w:eastAsia="zh-CN"/>
        </w:rPr>
      </w:pPr>
    </w:p>
    <w:p w:rsidR="00D4383F" w:rsidRPr="00D4383F" w:rsidRDefault="00D4383F" w:rsidP="00D4383F">
      <w:pPr>
        <w:snapToGrid w:val="0"/>
        <w:spacing w:after="0"/>
        <w:rPr>
          <w:lang w:eastAsia="zh-CN"/>
        </w:rPr>
      </w:pPr>
      <w:bookmarkStart w:id="17" w:name="OLE_LINK363"/>
      <w:bookmarkStart w:id="18" w:name="OLE_LINK364"/>
      <w:bookmarkStart w:id="19" w:name="OLE_LINK359"/>
      <w:bookmarkStart w:id="20" w:name="OLE_LINK1037"/>
      <w:bookmarkStart w:id="21" w:name="OLE_LINK1195"/>
      <w:bookmarkStart w:id="22" w:name="OLE_LINK1140"/>
      <w:bookmarkStart w:id="23" w:name="OLE_LINK1062"/>
      <w:bookmarkStart w:id="24" w:name="OLE_LINK500"/>
      <w:bookmarkStart w:id="25" w:name="OLE_LINK916"/>
      <w:r w:rsidRPr="00D4383F">
        <w:rPr>
          <w:rFonts w:hint="eastAsia"/>
          <w:b/>
          <w:lang w:eastAsia="zh-CN"/>
        </w:rPr>
        <w:t>©</w:t>
      </w:r>
      <w:r w:rsidRPr="00D4383F">
        <w:rPr>
          <w:b/>
          <w:lang w:eastAsia="zh-CN"/>
        </w:rPr>
        <w:t xml:space="preserve"> The Author(s) 201</w:t>
      </w:r>
      <w:r w:rsidRPr="00D4383F">
        <w:rPr>
          <w:rFonts w:hint="eastAsia"/>
          <w:b/>
          <w:lang w:eastAsia="zh-CN"/>
        </w:rPr>
        <w:t>6</w:t>
      </w:r>
      <w:r w:rsidRPr="00D4383F">
        <w:rPr>
          <w:b/>
          <w:lang w:eastAsia="zh-CN"/>
        </w:rPr>
        <w:t>.</w:t>
      </w:r>
      <w:r w:rsidRPr="00D4383F">
        <w:rPr>
          <w:lang w:eastAsia="zh-CN"/>
        </w:rPr>
        <w:t xml:space="preserve"> Published by Baishideng Publishing Group Inc. All rights reserved.</w:t>
      </w:r>
    </w:p>
    <w:bookmarkEnd w:id="17"/>
    <w:bookmarkEnd w:id="18"/>
    <w:bookmarkEnd w:id="19"/>
    <w:bookmarkEnd w:id="20"/>
    <w:bookmarkEnd w:id="21"/>
    <w:bookmarkEnd w:id="22"/>
    <w:bookmarkEnd w:id="23"/>
    <w:bookmarkEnd w:id="24"/>
    <w:bookmarkEnd w:id="25"/>
    <w:p w:rsidR="00D4383F" w:rsidRPr="00D4383F" w:rsidRDefault="00D4383F" w:rsidP="00D4383F">
      <w:pPr>
        <w:snapToGrid w:val="0"/>
        <w:spacing w:after="0"/>
        <w:rPr>
          <w:lang w:eastAsia="zh-CN"/>
        </w:rPr>
      </w:pPr>
    </w:p>
    <w:p w:rsidR="006B5476" w:rsidRPr="00D76A72" w:rsidRDefault="006B5476" w:rsidP="00D4383F">
      <w:pPr>
        <w:pStyle w:val="Heading1"/>
        <w:keepNext w:val="0"/>
        <w:keepLines w:val="0"/>
        <w:widowControl w:val="0"/>
        <w:snapToGrid w:val="0"/>
        <w:spacing w:before="0" w:beforeAutospacing="0" w:after="0" w:afterAutospacing="0"/>
        <w:rPr>
          <w:sz w:val="24"/>
          <w:szCs w:val="24"/>
          <w:lang w:eastAsia="zh-CN"/>
        </w:rPr>
      </w:pPr>
      <w:r w:rsidRPr="00D76A72">
        <w:rPr>
          <w:sz w:val="24"/>
          <w:szCs w:val="24"/>
        </w:rPr>
        <w:t>Core tip</w:t>
      </w:r>
      <w:r w:rsidR="00D76A72" w:rsidRPr="00D76A72">
        <w:rPr>
          <w:rFonts w:hint="eastAsia"/>
          <w:sz w:val="24"/>
          <w:szCs w:val="24"/>
          <w:lang w:eastAsia="zh-CN"/>
        </w:rPr>
        <w:t>:</w:t>
      </w:r>
      <w:r w:rsidR="00D76A72">
        <w:rPr>
          <w:rFonts w:hint="eastAsia"/>
          <w:sz w:val="24"/>
          <w:szCs w:val="24"/>
          <w:lang w:eastAsia="zh-CN"/>
        </w:rPr>
        <w:t xml:space="preserve"> </w:t>
      </w:r>
      <w:r w:rsidRPr="00D76A72">
        <w:rPr>
          <w:b w:val="0"/>
          <w:sz w:val="24"/>
          <w:szCs w:val="24"/>
        </w:rPr>
        <w:t>To improve the response rates of patients with inflammatory bowel diseases to anti-</w:t>
      </w:r>
      <w:r w:rsidR="00D76A72" w:rsidRPr="00D76A72">
        <w:rPr>
          <w:b w:val="0"/>
          <w:sz w:val="24"/>
          <w:szCs w:val="24"/>
        </w:rPr>
        <w:t xml:space="preserve">tumor necrosis factor </w:t>
      </w:r>
      <w:r w:rsidR="00D76A72" w:rsidRPr="00D76A72">
        <w:rPr>
          <w:rFonts w:hint="eastAsia"/>
          <w:b w:val="0"/>
          <w:sz w:val="24"/>
          <w:szCs w:val="24"/>
        </w:rPr>
        <w:t>(</w:t>
      </w:r>
      <w:r w:rsidR="00D76A72" w:rsidRPr="00D76A72">
        <w:rPr>
          <w:b w:val="0"/>
          <w:sz w:val="24"/>
          <w:szCs w:val="24"/>
        </w:rPr>
        <w:t>TNF</w:t>
      </w:r>
      <w:r w:rsidR="00D76A72" w:rsidRPr="00D76A72">
        <w:rPr>
          <w:rFonts w:hint="eastAsia"/>
          <w:b w:val="0"/>
          <w:sz w:val="24"/>
          <w:szCs w:val="24"/>
        </w:rPr>
        <w:t>)</w:t>
      </w:r>
      <w:r w:rsidRPr="00D76A72">
        <w:rPr>
          <w:b w:val="0"/>
          <w:sz w:val="24"/>
          <w:szCs w:val="24"/>
        </w:rPr>
        <w:t xml:space="preserve"> therapy, it is mandatory to understand the pleiotropic effects of these agents. Herein, we overview and discuss several immunological targets of anti-TNF antibody application and highlight the most important findings.</w:t>
      </w:r>
    </w:p>
    <w:p w:rsidR="00D76A72" w:rsidRDefault="00D76A72" w:rsidP="00D4383F">
      <w:pPr>
        <w:pStyle w:val="Heading1"/>
        <w:keepNext w:val="0"/>
        <w:keepLines w:val="0"/>
        <w:widowControl w:val="0"/>
        <w:snapToGrid w:val="0"/>
        <w:spacing w:before="0" w:beforeAutospacing="0" w:after="0" w:afterAutospacing="0"/>
        <w:rPr>
          <w:rFonts w:eastAsiaTheme="minorEastAsia"/>
          <w:sz w:val="24"/>
          <w:szCs w:val="24"/>
          <w:lang w:eastAsia="zh-CN"/>
        </w:rPr>
      </w:pPr>
    </w:p>
    <w:p w:rsidR="00A27463" w:rsidRPr="00F041FF" w:rsidRDefault="00A27463" w:rsidP="00D4383F">
      <w:pPr>
        <w:pStyle w:val="Heading1"/>
        <w:keepNext w:val="0"/>
        <w:keepLines w:val="0"/>
        <w:widowControl w:val="0"/>
        <w:snapToGrid w:val="0"/>
        <w:spacing w:before="0" w:beforeAutospacing="0" w:after="0" w:afterAutospacing="0"/>
        <w:rPr>
          <w:rFonts w:eastAsia="Times New Roman"/>
          <w:b w:val="0"/>
          <w:sz w:val="24"/>
          <w:szCs w:val="24"/>
        </w:rPr>
      </w:pPr>
      <w:r w:rsidRPr="00D76A72">
        <w:rPr>
          <w:rFonts w:eastAsia="Times New Roman"/>
          <w:b w:val="0"/>
          <w:sz w:val="24"/>
          <w:szCs w:val="24"/>
        </w:rPr>
        <w:lastRenderedPageBreak/>
        <w:t>Billmeier U,</w:t>
      </w:r>
      <w:r w:rsidRPr="00F041FF">
        <w:rPr>
          <w:rFonts w:eastAsia="Times New Roman"/>
          <w:sz w:val="24"/>
          <w:szCs w:val="24"/>
        </w:rPr>
        <w:t xml:space="preserve"> </w:t>
      </w:r>
      <w:r w:rsidRPr="00F041FF">
        <w:rPr>
          <w:rFonts w:eastAsia="Times New Roman"/>
          <w:b w:val="0"/>
          <w:sz w:val="24"/>
          <w:szCs w:val="24"/>
        </w:rPr>
        <w:t>Dieterich W, Neurath MF, Atreya R.</w:t>
      </w:r>
      <w:r w:rsidRPr="00F041FF">
        <w:rPr>
          <w:sz w:val="24"/>
          <w:szCs w:val="24"/>
        </w:rPr>
        <w:t xml:space="preserve"> </w:t>
      </w:r>
      <w:r w:rsidRPr="00F041FF">
        <w:rPr>
          <w:rFonts w:eastAsia="Times New Roman"/>
          <w:b w:val="0"/>
          <w:sz w:val="24"/>
          <w:szCs w:val="24"/>
        </w:rPr>
        <w:t>Molecular mechanism of action of anti-</w:t>
      </w:r>
      <w:r w:rsidR="00D76A72" w:rsidRPr="00D76A72">
        <w:rPr>
          <w:b w:val="0"/>
          <w:sz w:val="24"/>
          <w:szCs w:val="24"/>
        </w:rPr>
        <w:t>tumor necrosis factor</w:t>
      </w:r>
      <w:r w:rsidR="00D76A72">
        <w:rPr>
          <w:rFonts w:eastAsia="Times New Roman"/>
          <w:b w:val="0"/>
          <w:sz w:val="24"/>
          <w:szCs w:val="24"/>
        </w:rPr>
        <w:t xml:space="preserve"> </w:t>
      </w:r>
      <w:r w:rsidRPr="00F041FF">
        <w:rPr>
          <w:rFonts w:eastAsia="Times New Roman"/>
          <w:b w:val="0"/>
          <w:sz w:val="24"/>
          <w:szCs w:val="24"/>
        </w:rPr>
        <w:t>antibodies in inflammatory bowel diseases</w:t>
      </w:r>
      <w:r w:rsidR="00275D92" w:rsidRPr="00F041FF">
        <w:rPr>
          <w:rFonts w:eastAsia="Times New Roman"/>
          <w:b w:val="0"/>
          <w:sz w:val="24"/>
          <w:szCs w:val="24"/>
        </w:rPr>
        <w:t xml:space="preserve">. </w:t>
      </w:r>
      <w:r w:rsidR="00275D92" w:rsidRPr="00D76A72">
        <w:rPr>
          <w:rFonts w:eastAsia="Times New Roman"/>
          <w:b w:val="0"/>
          <w:i/>
          <w:sz w:val="24"/>
          <w:szCs w:val="24"/>
        </w:rPr>
        <w:t>World J Gastroenterol</w:t>
      </w:r>
      <w:r w:rsidR="00D76A72">
        <w:rPr>
          <w:rFonts w:eastAsia="Times New Roman"/>
          <w:b w:val="0"/>
          <w:sz w:val="24"/>
          <w:szCs w:val="24"/>
        </w:rPr>
        <w:t xml:space="preserve"> </w:t>
      </w:r>
      <w:r w:rsidR="00275D92" w:rsidRPr="00F041FF">
        <w:rPr>
          <w:rFonts w:eastAsia="Times New Roman"/>
          <w:b w:val="0"/>
          <w:sz w:val="24"/>
          <w:szCs w:val="24"/>
        </w:rPr>
        <w:t>2016; In press</w:t>
      </w:r>
    </w:p>
    <w:p w:rsidR="00F041FF" w:rsidRPr="00F041FF" w:rsidRDefault="00F041FF" w:rsidP="00D4383F">
      <w:pPr>
        <w:widowControl w:val="0"/>
        <w:snapToGrid w:val="0"/>
        <w:spacing w:after="0"/>
        <w:rPr>
          <w:rFonts w:eastAsia="Times New Roman" w:cstheme="majorBidi"/>
          <w:b/>
          <w:bCs/>
          <w:szCs w:val="24"/>
        </w:rPr>
      </w:pPr>
      <w:r w:rsidRPr="00F041FF">
        <w:rPr>
          <w:rFonts w:eastAsia="Times New Roman"/>
          <w:szCs w:val="24"/>
        </w:rPr>
        <w:br w:type="page"/>
      </w:r>
    </w:p>
    <w:p w:rsidR="00B728D3" w:rsidRPr="00D4383F" w:rsidRDefault="00B728D3" w:rsidP="00D4383F">
      <w:pPr>
        <w:pStyle w:val="Heading1"/>
        <w:keepNext w:val="0"/>
        <w:keepLines w:val="0"/>
        <w:widowControl w:val="0"/>
        <w:snapToGrid w:val="0"/>
        <w:spacing w:before="0" w:beforeAutospacing="0" w:after="0" w:afterAutospacing="0"/>
        <w:rPr>
          <w:rFonts w:eastAsia="Times New Roman"/>
          <w:caps/>
          <w:sz w:val="24"/>
          <w:szCs w:val="24"/>
        </w:rPr>
      </w:pPr>
      <w:r w:rsidRPr="00D4383F">
        <w:rPr>
          <w:rFonts w:eastAsia="Times New Roman"/>
          <w:caps/>
          <w:sz w:val="24"/>
          <w:szCs w:val="24"/>
        </w:rPr>
        <w:lastRenderedPageBreak/>
        <w:t>Introduction</w:t>
      </w:r>
    </w:p>
    <w:p w:rsidR="00B728D3" w:rsidRPr="00F041FF" w:rsidRDefault="00B728D3" w:rsidP="00D4383F">
      <w:pPr>
        <w:widowControl w:val="0"/>
        <w:snapToGrid w:val="0"/>
        <w:spacing w:after="0"/>
        <w:rPr>
          <w:szCs w:val="24"/>
        </w:rPr>
      </w:pPr>
      <w:r w:rsidRPr="00F041FF">
        <w:rPr>
          <w:szCs w:val="24"/>
        </w:rPr>
        <w:t>Inflammatory bowel diseases (IBD) are chronic inflammatory disorders mainly affecting the gut. The two main forms are Crohn´s disease (CD) and ulcerative colitis (UC) tha</w:t>
      </w:r>
      <w:r w:rsidR="00D4383F">
        <w:rPr>
          <w:szCs w:val="24"/>
        </w:rPr>
        <w:t xml:space="preserve">t differ in several aspects, </w:t>
      </w:r>
      <w:r w:rsidR="00D4383F" w:rsidRPr="00D4383F">
        <w:rPr>
          <w:i/>
          <w:szCs w:val="24"/>
        </w:rPr>
        <w:t>e.</w:t>
      </w:r>
      <w:r w:rsidRPr="00D4383F">
        <w:rPr>
          <w:i/>
          <w:szCs w:val="24"/>
        </w:rPr>
        <w:t>g.</w:t>
      </w:r>
      <w:r w:rsidRPr="00F041FF">
        <w:rPr>
          <w:szCs w:val="24"/>
        </w:rPr>
        <w:t xml:space="preserve"> regarding the location and distribution of inflammation and in the mucosal cell populations involved in the immune reaction. CD is a segmental, transmural disorder that can affect the whole gastrointestinal tract and type 1 T helper cells have been associated to be involved in the pathogenesis</w:t>
      </w:r>
      <w:r w:rsidRPr="00F041FF">
        <w:rPr>
          <w:noProof/>
          <w:szCs w:val="24"/>
          <w:vertAlign w:val="superscript"/>
        </w:rPr>
        <w:t>[1]</w:t>
      </w:r>
      <w:r w:rsidRPr="00F041FF">
        <w:rPr>
          <w:szCs w:val="24"/>
        </w:rPr>
        <w:t>. In contrast, UC is characterized by continuous inflammation of the colon, and a modified Th2 cyto</w:t>
      </w:r>
      <w:r w:rsidR="00D4383F">
        <w:rPr>
          <w:szCs w:val="24"/>
        </w:rPr>
        <w:t>kine profile has been described</w:t>
      </w:r>
      <w:r w:rsidRPr="00F041FF">
        <w:rPr>
          <w:noProof/>
          <w:szCs w:val="24"/>
          <w:vertAlign w:val="superscript"/>
        </w:rPr>
        <w:t>[2]</w:t>
      </w:r>
      <w:r w:rsidRPr="00F041FF">
        <w:rPr>
          <w:szCs w:val="24"/>
        </w:rPr>
        <w:t xml:space="preserve">. </w:t>
      </w:r>
      <w:r w:rsidRPr="00F041FF">
        <w:rPr>
          <w:szCs w:val="24"/>
          <w:lang w:eastAsia="de-DE"/>
        </w:rPr>
        <w:t>Additionally, the recently described Th17 cells have been reported to be present in both CD and UC</w:t>
      </w:r>
      <w:r w:rsidRPr="00F041FF">
        <w:rPr>
          <w:noProof/>
          <w:szCs w:val="24"/>
          <w:vertAlign w:val="superscript"/>
          <w:lang w:eastAsia="de-DE"/>
        </w:rPr>
        <w:t>[3]</w:t>
      </w:r>
      <w:r w:rsidRPr="00F041FF">
        <w:rPr>
          <w:szCs w:val="24"/>
          <w:lang w:eastAsia="de-DE"/>
        </w:rPr>
        <w:t xml:space="preserve">. </w:t>
      </w:r>
      <w:r w:rsidRPr="00F041FF">
        <w:rPr>
          <w:szCs w:val="24"/>
        </w:rPr>
        <w:t>However, the precise etiology of IBD is still a matter of debate but there is general consensus that genetic predisposition, environmental factors and immunological dysfunction of tolerance against the intestinal microflora are involved in the immunopathogenesis</w:t>
      </w:r>
      <w:r w:rsidRPr="00F041FF">
        <w:rPr>
          <w:noProof/>
          <w:szCs w:val="24"/>
          <w:vertAlign w:val="superscript"/>
        </w:rPr>
        <w:t>[4]</w:t>
      </w:r>
      <w:r w:rsidRPr="00F041FF">
        <w:rPr>
          <w:szCs w:val="24"/>
        </w:rPr>
        <w:t>.</w:t>
      </w:r>
      <w:r w:rsidRPr="00F041FF">
        <w:rPr>
          <w:color w:val="2E74B5" w:themeColor="accent1" w:themeShade="BF"/>
          <w:szCs w:val="24"/>
        </w:rPr>
        <w:t xml:space="preserve"> </w:t>
      </w:r>
      <w:r w:rsidRPr="00F041FF">
        <w:rPr>
          <w:szCs w:val="24"/>
        </w:rPr>
        <w:t xml:space="preserve">In this regard, mucosal CD4 T cells as key mediators in driving immune responses are critically involved </w:t>
      </w:r>
      <w:r w:rsidRPr="00F041FF">
        <w:rPr>
          <w:szCs w:val="24"/>
          <w:lang w:eastAsia="de-DE"/>
        </w:rPr>
        <w:t>in the pathogenesis of IBD and in accordance, a high number of infiltrating T lymphocytes can be found in both CD and UC in the gut</w:t>
      </w:r>
      <w:r w:rsidRPr="00F041FF">
        <w:rPr>
          <w:noProof/>
          <w:szCs w:val="24"/>
          <w:vertAlign w:val="superscript"/>
          <w:lang w:eastAsia="de-DE"/>
        </w:rPr>
        <w:t>[5]</w:t>
      </w:r>
      <w:r w:rsidRPr="00F041FF">
        <w:rPr>
          <w:szCs w:val="24"/>
          <w:lang w:eastAsia="de-DE"/>
        </w:rPr>
        <w:t>.</w:t>
      </w:r>
      <w:r w:rsidRPr="00F041FF">
        <w:rPr>
          <w:color w:val="2E74B5" w:themeColor="accent1" w:themeShade="BF"/>
          <w:szCs w:val="24"/>
          <w:lang w:eastAsia="de-DE"/>
        </w:rPr>
        <w:t xml:space="preserve"> </w:t>
      </w:r>
      <w:r w:rsidRPr="00F041FF">
        <w:rPr>
          <w:szCs w:val="24"/>
          <w:lang w:eastAsia="de-DE"/>
        </w:rPr>
        <w:t xml:space="preserve">Furthermore, recent studies strongly suggest that the proinflammatory cytokine </w:t>
      </w:r>
      <w:r w:rsidR="00D4383F" w:rsidRPr="00F041FF">
        <w:rPr>
          <w:szCs w:val="24"/>
          <w:lang w:eastAsia="de-DE"/>
        </w:rPr>
        <w:t>t</w:t>
      </w:r>
      <w:r w:rsidRPr="00F041FF">
        <w:rPr>
          <w:szCs w:val="24"/>
          <w:lang w:eastAsia="de-DE"/>
        </w:rPr>
        <w:t xml:space="preserve">umor </w:t>
      </w:r>
      <w:r w:rsidR="00D4383F" w:rsidRPr="00F041FF">
        <w:rPr>
          <w:szCs w:val="24"/>
          <w:lang w:eastAsia="de-DE"/>
        </w:rPr>
        <w:t>n</w:t>
      </w:r>
      <w:r w:rsidRPr="00F041FF">
        <w:rPr>
          <w:szCs w:val="24"/>
          <w:lang w:eastAsia="de-DE"/>
        </w:rPr>
        <w:t>ecrosis factor (TNF</w:t>
      </w:r>
      <w:r w:rsidRPr="00F041FF">
        <w:rPr>
          <w:szCs w:val="24"/>
        </w:rPr>
        <w:t>) is one of the major pathogenic cytokines involved in the pathogenesis of IBD as elevated levels of TNF are present in the serum of both UC and CD patients</w:t>
      </w:r>
      <w:r w:rsidRPr="00F041FF">
        <w:rPr>
          <w:noProof/>
          <w:szCs w:val="24"/>
          <w:vertAlign w:val="superscript"/>
        </w:rPr>
        <w:t>[6]</w:t>
      </w:r>
      <w:r w:rsidRPr="00F041FF">
        <w:rPr>
          <w:szCs w:val="24"/>
        </w:rPr>
        <w:t>. In addition, an elevated number of TNF-secreting cells in the inflamed mucosa of IBD patients has been repeatedly reported</w:t>
      </w:r>
      <w:r w:rsidRPr="00F041FF">
        <w:rPr>
          <w:noProof/>
          <w:szCs w:val="24"/>
          <w:vertAlign w:val="superscript"/>
        </w:rPr>
        <w:t>[7-9]</w:t>
      </w:r>
      <w:r w:rsidRPr="00F041FF">
        <w:rPr>
          <w:szCs w:val="24"/>
        </w:rPr>
        <w:t>. Herein, lamina propria mononuclear cells (LPMCs) isolated from colonic biopsies from IBD patients spontaneously produced increased amounts of TNF which correlated with the degree of tissue involvement and mucosal inflammation</w:t>
      </w:r>
      <w:r w:rsidRPr="00F041FF">
        <w:rPr>
          <w:noProof/>
          <w:szCs w:val="24"/>
          <w:vertAlign w:val="superscript"/>
        </w:rPr>
        <w:t>[10]</w:t>
      </w:r>
      <w:r w:rsidRPr="00F041FF">
        <w:rPr>
          <w:szCs w:val="24"/>
        </w:rPr>
        <w:t xml:space="preserve">, strengthening the importance of TNF in the inflamed gut. </w:t>
      </w:r>
    </w:p>
    <w:p w:rsidR="00B728D3" w:rsidRPr="00F041FF" w:rsidRDefault="00B728D3" w:rsidP="00D4383F">
      <w:pPr>
        <w:widowControl w:val="0"/>
        <w:snapToGrid w:val="0"/>
        <w:spacing w:after="0"/>
        <w:ind w:firstLineChars="100" w:firstLine="240"/>
        <w:rPr>
          <w:szCs w:val="24"/>
          <w:lang w:eastAsia="zh-CN"/>
        </w:rPr>
      </w:pPr>
      <w:r w:rsidRPr="00F041FF">
        <w:rPr>
          <w:szCs w:val="24"/>
        </w:rPr>
        <w:t>In accordance, application of antibodies targeting TNF in IBD patients have been shown to induce clinical response in up to 60 % of CD patients, and inducing long-term maintenance of remission in a large amount of patients</w:t>
      </w:r>
      <w:r w:rsidRPr="00F041FF">
        <w:rPr>
          <w:noProof/>
          <w:szCs w:val="24"/>
          <w:vertAlign w:val="superscript"/>
        </w:rPr>
        <w:t>[11-13]</w:t>
      </w:r>
      <w:r w:rsidRPr="00F041FF">
        <w:rPr>
          <w:szCs w:val="24"/>
        </w:rPr>
        <w:t>. Comparable results have also been described for the therapy of UC patients</w:t>
      </w:r>
      <w:r w:rsidR="00D4383F">
        <w:rPr>
          <w:noProof/>
          <w:szCs w:val="24"/>
          <w:vertAlign w:val="superscript"/>
        </w:rPr>
        <w:t>[14,</w:t>
      </w:r>
      <w:r w:rsidRPr="00F041FF">
        <w:rPr>
          <w:noProof/>
          <w:szCs w:val="24"/>
          <w:vertAlign w:val="superscript"/>
        </w:rPr>
        <w:t>15]</w:t>
      </w:r>
      <w:r w:rsidRPr="00F041FF">
        <w:rPr>
          <w:szCs w:val="24"/>
        </w:rPr>
        <w:t xml:space="preserve">. Nevertheless, the molecular mechanism of action of TNF agents is still </w:t>
      </w:r>
      <w:r w:rsidR="00F263AD">
        <w:rPr>
          <w:szCs w:val="24"/>
        </w:rPr>
        <w:t>discussed</w:t>
      </w:r>
      <w:r w:rsidRPr="00F041FF">
        <w:rPr>
          <w:szCs w:val="24"/>
        </w:rPr>
        <w:t xml:space="preserve"> and not all commercially available anti-TNF antibodies are effective in the therapy of IBD patients. Regarding the mechanism of action, TNF neutralization, diverse effects on </w:t>
      </w:r>
      <w:r w:rsidRPr="00F041FF">
        <w:rPr>
          <w:szCs w:val="24"/>
        </w:rPr>
        <w:lastRenderedPageBreak/>
        <w:t>the immune system, outside-to-inside signaling and importantly, induction of direct or indirect apoptosis have been suggested. Furthermore, first studies focusing on successful prediction of clinical response have been conducted, either via expression of various biomarkers</w:t>
      </w:r>
      <w:r w:rsidR="00D4383F">
        <w:rPr>
          <w:noProof/>
          <w:szCs w:val="24"/>
          <w:vertAlign w:val="superscript"/>
        </w:rPr>
        <w:t>[16,</w:t>
      </w:r>
      <w:r w:rsidRPr="00F041FF">
        <w:rPr>
          <w:noProof/>
          <w:szCs w:val="24"/>
          <w:vertAlign w:val="superscript"/>
        </w:rPr>
        <w:t>17]</w:t>
      </w:r>
      <w:r w:rsidRPr="00F041FF">
        <w:rPr>
          <w:szCs w:val="24"/>
        </w:rPr>
        <w:t xml:space="preserve"> or by endoscopic </w:t>
      </w:r>
      <w:r w:rsidRPr="00F041FF">
        <w:rPr>
          <w:i/>
          <w:szCs w:val="24"/>
        </w:rPr>
        <w:t>in vivo</w:t>
      </w:r>
      <w:r w:rsidRPr="00F041FF">
        <w:rPr>
          <w:szCs w:val="24"/>
        </w:rPr>
        <w:t xml:space="preserve"> molecular imaging</w:t>
      </w:r>
      <w:r w:rsidRPr="00F041FF">
        <w:rPr>
          <w:noProof/>
          <w:szCs w:val="24"/>
          <w:vertAlign w:val="superscript"/>
        </w:rPr>
        <w:t>[18]</w:t>
      </w:r>
      <w:r w:rsidRPr="00F041FF">
        <w:rPr>
          <w:szCs w:val="24"/>
        </w:rPr>
        <w:t xml:space="preserve">. In this review, TNF biology and different anti-TNF antibodies will be </w:t>
      </w:r>
      <w:r w:rsidR="00BF6FCB">
        <w:rPr>
          <w:szCs w:val="24"/>
        </w:rPr>
        <w:t>assess</w:t>
      </w:r>
      <w:r w:rsidR="00BF6FCB" w:rsidRPr="00F041FF">
        <w:rPr>
          <w:szCs w:val="24"/>
        </w:rPr>
        <w:t>ed</w:t>
      </w:r>
      <w:r w:rsidRPr="00F041FF">
        <w:rPr>
          <w:szCs w:val="24"/>
        </w:rPr>
        <w:t>, and the results of different aspects of the biological function of anti-TNF agents for the treat</w:t>
      </w:r>
      <w:r w:rsidR="00D4383F">
        <w:rPr>
          <w:szCs w:val="24"/>
        </w:rPr>
        <w:t>ment of IBD will be discussed.</w:t>
      </w:r>
    </w:p>
    <w:p w:rsidR="00D4383F" w:rsidRDefault="00D4383F" w:rsidP="00D4383F">
      <w:pPr>
        <w:pStyle w:val="Heading1"/>
        <w:keepNext w:val="0"/>
        <w:keepLines w:val="0"/>
        <w:widowControl w:val="0"/>
        <w:snapToGrid w:val="0"/>
        <w:spacing w:before="0" w:beforeAutospacing="0" w:after="0" w:afterAutospacing="0"/>
        <w:rPr>
          <w:rFonts w:eastAsiaTheme="minorEastAsia"/>
          <w:sz w:val="24"/>
          <w:szCs w:val="24"/>
          <w:lang w:eastAsia="zh-CN"/>
        </w:rPr>
      </w:pPr>
    </w:p>
    <w:p w:rsidR="00B728D3" w:rsidRPr="00D4383F" w:rsidRDefault="00B728D3" w:rsidP="00D4383F">
      <w:pPr>
        <w:pStyle w:val="Heading1"/>
        <w:keepNext w:val="0"/>
        <w:keepLines w:val="0"/>
        <w:widowControl w:val="0"/>
        <w:snapToGrid w:val="0"/>
        <w:spacing w:before="0" w:beforeAutospacing="0" w:after="0" w:afterAutospacing="0"/>
        <w:rPr>
          <w:rFonts w:eastAsia="Times New Roman"/>
          <w:caps/>
          <w:sz w:val="24"/>
          <w:szCs w:val="24"/>
        </w:rPr>
      </w:pPr>
      <w:r w:rsidRPr="00D4383F">
        <w:rPr>
          <w:rFonts w:eastAsia="Times New Roman"/>
          <w:caps/>
          <w:sz w:val="24"/>
          <w:szCs w:val="24"/>
        </w:rPr>
        <w:t>TNF biology and its signaling pathway</w:t>
      </w:r>
    </w:p>
    <w:p w:rsidR="00B728D3" w:rsidRPr="00F041FF" w:rsidRDefault="00B728D3" w:rsidP="00D4383F">
      <w:pPr>
        <w:widowControl w:val="0"/>
        <w:snapToGrid w:val="0"/>
        <w:spacing w:after="0"/>
        <w:rPr>
          <w:szCs w:val="24"/>
        </w:rPr>
      </w:pPr>
      <w:r w:rsidRPr="00F041FF">
        <w:rPr>
          <w:szCs w:val="24"/>
        </w:rPr>
        <w:t>TNF is a crucial mediator in driving inflammatory processes in the gut. It is produced by a variety of mucosal cells, mainly macrophages and T cells, as a preform on the plasma membrane</w:t>
      </w:r>
      <w:r w:rsidRPr="00F041FF">
        <w:rPr>
          <w:noProof/>
          <w:szCs w:val="24"/>
          <w:vertAlign w:val="superscript"/>
        </w:rPr>
        <w:t>[19]</w:t>
      </w:r>
      <w:r w:rsidRPr="00F041FF">
        <w:rPr>
          <w:szCs w:val="24"/>
        </w:rPr>
        <w:t>. In addition, Paneth cells in C</w:t>
      </w:r>
      <w:r w:rsidR="00D4383F">
        <w:rPr>
          <w:rFonts w:hint="eastAsia"/>
          <w:szCs w:val="24"/>
          <w:lang w:eastAsia="zh-CN"/>
        </w:rPr>
        <w:t xml:space="preserve">D </w:t>
      </w:r>
      <w:r w:rsidRPr="00F041FF">
        <w:rPr>
          <w:szCs w:val="24"/>
        </w:rPr>
        <w:t xml:space="preserve">affected segments of the terminal ileum were shown to strongly express </w:t>
      </w:r>
      <w:r w:rsidRPr="0013290E">
        <w:rPr>
          <w:i/>
          <w:szCs w:val="24"/>
        </w:rPr>
        <w:t>TNF</w:t>
      </w:r>
      <w:r w:rsidR="00D4383F">
        <w:rPr>
          <w:rFonts w:hint="eastAsia"/>
          <w:szCs w:val="24"/>
          <w:lang w:eastAsia="zh-CN"/>
        </w:rPr>
        <w:t xml:space="preserve"> </w:t>
      </w:r>
      <w:r w:rsidRPr="00F041FF">
        <w:rPr>
          <w:szCs w:val="24"/>
        </w:rPr>
        <w:t>RNA in contrast to Paneth cells in normal tissue, indicating an induct</w:t>
      </w:r>
      <w:r w:rsidR="00D4383F">
        <w:rPr>
          <w:szCs w:val="24"/>
        </w:rPr>
        <w:t>ion under pathogenic conditions</w:t>
      </w:r>
      <w:r w:rsidRPr="00F041FF">
        <w:rPr>
          <w:noProof/>
          <w:szCs w:val="24"/>
          <w:vertAlign w:val="superscript"/>
        </w:rPr>
        <w:t>[20]</w:t>
      </w:r>
      <w:r w:rsidRPr="00F041FF">
        <w:rPr>
          <w:szCs w:val="24"/>
        </w:rPr>
        <w:t>. The transmembrane precursor form (mTNF), a homotrimer of 26 kDa subunits, is cleaved by the matrixmetalloproteinase TNF-a converting enzyme (TACE/Adam17) into a soluble form (sTNF, a homotrimer of 17 kDa monomers)</w:t>
      </w:r>
      <w:r w:rsidRPr="00F041FF">
        <w:rPr>
          <w:noProof/>
          <w:szCs w:val="24"/>
          <w:vertAlign w:val="superscript"/>
        </w:rPr>
        <w:t>[21-23]</w:t>
      </w:r>
      <w:r w:rsidRPr="00F041FF">
        <w:rPr>
          <w:szCs w:val="24"/>
        </w:rPr>
        <w:t>. The expression of mTNF by CD14+ macrophages has been reported to be relevant especially in IBD</w:t>
      </w:r>
      <w:r w:rsidRPr="00F041FF">
        <w:rPr>
          <w:noProof/>
          <w:szCs w:val="24"/>
          <w:vertAlign w:val="superscript"/>
        </w:rPr>
        <w:t>[24]</w:t>
      </w:r>
      <w:r w:rsidRPr="00F041FF">
        <w:rPr>
          <w:szCs w:val="24"/>
        </w:rPr>
        <w:t xml:space="preserve"> (Figure 1).</w:t>
      </w:r>
    </w:p>
    <w:p w:rsidR="00B728D3" w:rsidRPr="00F041FF" w:rsidRDefault="00B728D3" w:rsidP="00D4383F">
      <w:pPr>
        <w:widowControl w:val="0"/>
        <w:snapToGrid w:val="0"/>
        <w:spacing w:after="0"/>
        <w:ind w:firstLineChars="100" w:firstLine="240"/>
        <w:rPr>
          <w:szCs w:val="24"/>
        </w:rPr>
      </w:pPr>
      <w:r w:rsidRPr="00F041FF">
        <w:rPr>
          <w:szCs w:val="24"/>
        </w:rPr>
        <w:t>Both forms of TNF are biologically active and signal through two distinct receptors that differ in molecule mass: the 55-kDa TNFR1 (TNFRSF1A/CD120a) and the 75-kDa TNFR2 (TNFRSF1B/CD120b) glycoproteins</w:t>
      </w:r>
      <w:r w:rsidRPr="00F041FF">
        <w:rPr>
          <w:noProof/>
          <w:szCs w:val="24"/>
          <w:vertAlign w:val="superscript"/>
        </w:rPr>
        <w:t>[25]</w:t>
      </w:r>
      <w:r w:rsidRPr="00F041FF">
        <w:rPr>
          <w:szCs w:val="24"/>
        </w:rPr>
        <w:t>. TNFR2 is mainly expressed on lymphocytes and endothelial cells, whereas TNFR1 is ubiquitously expressed and possesses an intracellular death domain</w:t>
      </w:r>
      <w:r w:rsidRPr="00F041FF">
        <w:rPr>
          <w:noProof/>
          <w:szCs w:val="24"/>
          <w:vertAlign w:val="superscript"/>
        </w:rPr>
        <w:t>[26]</w:t>
      </w:r>
      <w:r w:rsidRPr="00F041FF">
        <w:rPr>
          <w:szCs w:val="24"/>
        </w:rPr>
        <w:t>. TNF and its receptors are crucially involved in the pathogenesis of IBD. For example, elevated levels of the soluble form of TNFR1 and TNFR2 have been detected in both CD and UC patients and their expression correlated with disease activity</w:t>
      </w:r>
      <w:r w:rsidRPr="00F041FF">
        <w:rPr>
          <w:noProof/>
          <w:szCs w:val="24"/>
          <w:vertAlign w:val="superscript"/>
        </w:rPr>
        <w:t>[27]</w:t>
      </w:r>
      <w:r w:rsidRPr="00F041FF">
        <w:rPr>
          <w:szCs w:val="24"/>
        </w:rPr>
        <w:t xml:space="preserve">. </w:t>
      </w:r>
    </w:p>
    <w:p w:rsidR="00B728D3" w:rsidRPr="00F041FF" w:rsidRDefault="00B728D3" w:rsidP="001E1618">
      <w:pPr>
        <w:widowControl w:val="0"/>
        <w:snapToGrid w:val="0"/>
        <w:spacing w:after="0"/>
        <w:ind w:firstLineChars="100" w:firstLine="240"/>
        <w:rPr>
          <w:szCs w:val="24"/>
        </w:rPr>
      </w:pPr>
      <w:r w:rsidRPr="00F041FF">
        <w:rPr>
          <w:szCs w:val="24"/>
        </w:rPr>
        <w:t>Signal transduction of the membrane-bound form of TNF can be transmitted through both TNFR1 and TNFR2, whereas sTNF mainly signals through TNFR1. Binding affinity studies revealed that sTNF preferentially binds to TNFR1 with higher affinity</w:t>
      </w:r>
      <w:r w:rsidRPr="00F041FF">
        <w:rPr>
          <w:noProof/>
          <w:szCs w:val="24"/>
          <w:vertAlign w:val="superscript"/>
        </w:rPr>
        <w:t>[28]</w:t>
      </w:r>
      <w:r w:rsidRPr="00F041FF">
        <w:rPr>
          <w:szCs w:val="24"/>
        </w:rPr>
        <w:t>. In contrast, TNFR2 is mainly activated by mTNF</w:t>
      </w:r>
      <w:r w:rsidRPr="00F041FF">
        <w:rPr>
          <w:noProof/>
          <w:szCs w:val="24"/>
          <w:vertAlign w:val="superscript"/>
        </w:rPr>
        <w:t>[29]</w:t>
      </w:r>
      <w:r w:rsidRPr="00F041FF">
        <w:rPr>
          <w:szCs w:val="24"/>
        </w:rPr>
        <w:t xml:space="preserve">. Activation of TNFR1 by TNF induces an intracellular signaling cascade with pleiotropic effects </w:t>
      </w:r>
      <w:r w:rsidRPr="00F041FF">
        <w:rPr>
          <w:szCs w:val="24"/>
        </w:rPr>
        <w:lastRenderedPageBreak/>
        <w:t>involving apoptosis, cell proliferation or cytokine secretion. Activation of the nuclear factor kappa B (NFκB) following stimulation of TNFR1 results in translocation to the nucleus and transcriptional upregulation of several genes such as IL-8, IL-1, IL-6, COX2 and TNF</w:t>
      </w:r>
      <w:r w:rsidRPr="00F041FF">
        <w:rPr>
          <w:noProof/>
          <w:szCs w:val="24"/>
          <w:vertAlign w:val="superscript"/>
        </w:rPr>
        <w:t>[21]</w:t>
      </w:r>
      <w:r w:rsidRPr="00F041FF">
        <w:rPr>
          <w:szCs w:val="24"/>
        </w:rPr>
        <w:t>. Alternatively, TNFR1 can activate a Caspase-8 dependent signaling pathway via FADD resulting in apoptosis. The TNFR2 pathway does not contain a death domain and its stimulation can result in proliferation, migration and cytokine production such as IL-1 and IL-6. Furthermore, binding of mTNF to TNFR2 not only activates an intracellular signaling pathway, but can also result in reverse signaling within the TNF-expressing cell</w:t>
      </w:r>
      <w:r w:rsidRPr="00F041FF">
        <w:rPr>
          <w:noProof/>
          <w:szCs w:val="24"/>
          <w:vertAlign w:val="superscript"/>
        </w:rPr>
        <w:t>[30]</w:t>
      </w:r>
      <w:r w:rsidRPr="00F041FF">
        <w:rPr>
          <w:szCs w:val="24"/>
        </w:rPr>
        <w:t xml:space="preserve"> which will be later discussed in detail. </w:t>
      </w:r>
    </w:p>
    <w:p w:rsidR="00B728D3" w:rsidRPr="00F041FF" w:rsidRDefault="00B728D3" w:rsidP="001E1618">
      <w:pPr>
        <w:widowControl w:val="0"/>
        <w:snapToGrid w:val="0"/>
        <w:spacing w:after="0"/>
        <w:ind w:firstLineChars="100" w:firstLine="240"/>
        <w:rPr>
          <w:szCs w:val="24"/>
        </w:rPr>
      </w:pPr>
      <w:r w:rsidRPr="00F041FF">
        <w:rPr>
          <w:szCs w:val="24"/>
        </w:rPr>
        <w:t>The role of the receptors of TNF in the pathogenesis of IBD remains only partly understood. A study using a colitis mouse model suggests that both TNFR1 and TNFR2 have protective functions in intestinal inflammation</w:t>
      </w:r>
      <w:r w:rsidRPr="00F041FF">
        <w:rPr>
          <w:noProof/>
          <w:szCs w:val="24"/>
          <w:vertAlign w:val="superscript"/>
        </w:rPr>
        <w:t>[31]</w:t>
      </w:r>
      <w:r w:rsidRPr="00F041FF">
        <w:rPr>
          <w:szCs w:val="24"/>
        </w:rPr>
        <w:t>. Herein, intestinal inflammation was provoked by oral application of dextran sulfate (DSS) in mice deficient for TNFR1 or TNFR2 as well as wildtype controls. TNFR1 or TNFR2 ablation resulted in exacerbation of colitis, possibly due to increased apoptosis of colonic epithelial cells</w:t>
      </w:r>
      <w:r w:rsidRPr="00F041FF">
        <w:rPr>
          <w:noProof/>
          <w:szCs w:val="24"/>
          <w:vertAlign w:val="superscript"/>
        </w:rPr>
        <w:t>[31]</w:t>
      </w:r>
      <w:r w:rsidRPr="00F041FF">
        <w:rPr>
          <w:szCs w:val="24"/>
        </w:rPr>
        <w:t xml:space="preserve">. However, in other studies a central role of TNFR2 in mucosal inflammation has been proposed. For example, mutations in the gene of </w:t>
      </w:r>
      <w:r w:rsidR="001E1618">
        <w:rPr>
          <w:szCs w:val="24"/>
        </w:rPr>
        <w:t>TNFR2 have been linked with IBD</w:t>
      </w:r>
      <w:r w:rsidR="001E1618">
        <w:rPr>
          <w:noProof/>
          <w:szCs w:val="24"/>
          <w:vertAlign w:val="superscript"/>
        </w:rPr>
        <w:t>[32,</w:t>
      </w:r>
      <w:r w:rsidRPr="00F041FF">
        <w:rPr>
          <w:noProof/>
          <w:szCs w:val="24"/>
          <w:vertAlign w:val="superscript"/>
        </w:rPr>
        <w:t>33]</w:t>
      </w:r>
      <w:r w:rsidRPr="00F041FF">
        <w:rPr>
          <w:szCs w:val="24"/>
        </w:rPr>
        <w:t>, suggesting that this polymorphism could increase the disease risk. In accordance, its overexpression drives inflammation in a transgenic mouse stain overexpressing human TNFR2</w:t>
      </w:r>
      <w:r w:rsidR="00A40A23">
        <w:rPr>
          <w:szCs w:val="24"/>
        </w:rPr>
        <w:t>,</w:t>
      </w:r>
      <w:r w:rsidRPr="00F041FF">
        <w:rPr>
          <w:szCs w:val="24"/>
        </w:rPr>
        <w:t xml:space="preserve"> causing a severe m</w:t>
      </w:r>
      <w:r w:rsidRPr="00F041FF">
        <w:rPr>
          <w:szCs w:val="24"/>
          <w:lang w:eastAsia="de-DE"/>
        </w:rPr>
        <w:t>ultiorgan inflammatory syndrome mainly affecting liver, pancreas, kidney and lung</w:t>
      </w:r>
      <w:r w:rsidRPr="00F041FF">
        <w:rPr>
          <w:noProof/>
          <w:szCs w:val="24"/>
          <w:vertAlign w:val="superscript"/>
          <w:lang w:eastAsia="de-DE"/>
        </w:rPr>
        <w:t>[34]</w:t>
      </w:r>
      <w:r w:rsidRPr="00F041FF">
        <w:rPr>
          <w:szCs w:val="24"/>
          <w:lang w:eastAsia="de-DE"/>
        </w:rPr>
        <w:t>. Regarding IBD, TNFR2 expression was found to be upregulated on lamina propria and peripheral blood T cells in patients with CD</w:t>
      </w:r>
      <w:r w:rsidRPr="00F041FF">
        <w:rPr>
          <w:noProof/>
          <w:szCs w:val="24"/>
          <w:vertAlign w:val="superscript"/>
          <w:lang w:eastAsia="de-DE"/>
        </w:rPr>
        <w:t>[35]</w:t>
      </w:r>
      <w:r w:rsidRPr="00F041FF">
        <w:rPr>
          <w:szCs w:val="24"/>
          <w:lang w:eastAsia="de-DE"/>
        </w:rPr>
        <w:t>. In accordance, TNFR2 was found to promote experimental colitis. Herein, T cells overexpressing TNFR2 were transferred into SCID mice that do not express T and B cells. In comparison to SCID mice that received wildtype T cells, transfer of T cells overexpressing TNFR2 resulted in more severe colitis and enhanced expression of T helper cells type 1</w:t>
      </w:r>
      <w:r w:rsidRPr="00F041FF">
        <w:rPr>
          <w:noProof/>
          <w:szCs w:val="24"/>
          <w:vertAlign w:val="superscript"/>
          <w:lang w:eastAsia="de-DE"/>
        </w:rPr>
        <w:t>[35]</w:t>
      </w:r>
      <w:r w:rsidRPr="00F041FF">
        <w:rPr>
          <w:szCs w:val="24"/>
          <w:lang w:eastAsia="de-DE"/>
        </w:rPr>
        <w:t>, underlining the importance of TNFR2 in intestinal inflammation. It could moreover be shown that activation of mucosal TNFR2 expressing CD4+ T cells by mTNF expressing CD14+ led to heightened resistance of the intestinal lymphocytes to apoptosis, resulting in perpetuation of chronic intestinal inflammation in IBD</w:t>
      </w:r>
      <w:r w:rsidRPr="00F041FF">
        <w:rPr>
          <w:szCs w:val="24"/>
          <w:vertAlign w:val="superscript"/>
          <w:lang w:eastAsia="de-DE"/>
        </w:rPr>
        <w:t>[24]</w:t>
      </w:r>
      <w:r w:rsidRPr="00F041FF">
        <w:rPr>
          <w:szCs w:val="24"/>
          <w:lang w:eastAsia="de-DE"/>
        </w:rPr>
        <w:t>.</w:t>
      </w:r>
    </w:p>
    <w:p w:rsidR="001E1618" w:rsidRDefault="001E1618" w:rsidP="00D4383F">
      <w:pPr>
        <w:pStyle w:val="Heading1"/>
        <w:keepNext w:val="0"/>
        <w:keepLines w:val="0"/>
        <w:widowControl w:val="0"/>
        <w:snapToGrid w:val="0"/>
        <w:spacing w:before="0" w:beforeAutospacing="0" w:after="0" w:afterAutospacing="0"/>
        <w:rPr>
          <w:rFonts w:eastAsiaTheme="minorEastAsia"/>
          <w:sz w:val="24"/>
          <w:szCs w:val="24"/>
          <w:lang w:eastAsia="zh-CN"/>
        </w:rPr>
      </w:pPr>
    </w:p>
    <w:p w:rsidR="00B728D3" w:rsidRPr="001E1618" w:rsidRDefault="00B728D3" w:rsidP="00D4383F">
      <w:pPr>
        <w:pStyle w:val="Heading1"/>
        <w:keepNext w:val="0"/>
        <w:keepLines w:val="0"/>
        <w:widowControl w:val="0"/>
        <w:snapToGrid w:val="0"/>
        <w:spacing w:before="0" w:beforeAutospacing="0" w:after="0" w:afterAutospacing="0"/>
        <w:rPr>
          <w:rFonts w:eastAsia="Times New Roman"/>
          <w:caps/>
          <w:sz w:val="24"/>
          <w:szCs w:val="24"/>
        </w:rPr>
      </w:pPr>
      <w:r w:rsidRPr="001E1618">
        <w:rPr>
          <w:rFonts w:eastAsia="Times New Roman"/>
          <w:caps/>
          <w:sz w:val="24"/>
          <w:szCs w:val="24"/>
        </w:rPr>
        <w:lastRenderedPageBreak/>
        <w:t>Structure and application of anti-TNF antibodies</w:t>
      </w:r>
    </w:p>
    <w:p w:rsidR="00B728D3" w:rsidRPr="00F041FF" w:rsidRDefault="00B728D3" w:rsidP="00D4383F">
      <w:pPr>
        <w:pStyle w:val="Heading3"/>
        <w:keepNext w:val="0"/>
        <w:keepLines w:val="0"/>
        <w:widowControl w:val="0"/>
        <w:snapToGrid w:val="0"/>
        <w:spacing w:before="0"/>
        <w:rPr>
          <w:szCs w:val="24"/>
        </w:rPr>
      </w:pPr>
      <w:r w:rsidRPr="00F041FF">
        <w:rPr>
          <w:szCs w:val="24"/>
        </w:rPr>
        <w:t>Infliximab</w:t>
      </w:r>
    </w:p>
    <w:p w:rsidR="00B728D3" w:rsidRPr="00F041FF" w:rsidRDefault="00B728D3" w:rsidP="00D4383F">
      <w:pPr>
        <w:widowControl w:val="0"/>
        <w:snapToGrid w:val="0"/>
        <w:spacing w:after="0"/>
        <w:rPr>
          <w:szCs w:val="24"/>
        </w:rPr>
      </w:pPr>
      <w:r w:rsidRPr="00F041FF">
        <w:rPr>
          <w:szCs w:val="24"/>
        </w:rPr>
        <w:t>In 1998, infliximab (Remicade</w:t>
      </w:r>
      <w:r w:rsidRPr="00F041FF">
        <w:rPr>
          <w:rFonts w:cs="Arial"/>
          <w:szCs w:val="24"/>
        </w:rPr>
        <w:t>®</w:t>
      </w:r>
      <w:r w:rsidRPr="00F041FF">
        <w:rPr>
          <w:szCs w:val="24"/>
        </w:rPr>
        <w:t xml:space="preserve">) was the first antibody targeting TNF to be approved in the </w:t>
      </w:r>
      <w:r w:rsidR="004305C5" w:rsidRPr="004305C5">
        <w:rPr>
          <w:szCs w:val="24"/>
        </w:rPr>
        <w:t>United States</w:t>
      </w:r>
      <w:r w:rsidR="004305C5">
        <w:rPr>
          <w:rFonts w:hint="eastAsia"/>
          <w:szCs w:val="24"/>
          <w:lang w:eastAsia="zh-CN"/>
        </w:rPr>
        <w:t xml:space="preserve"> </w:t>
      </w:r>
      <w:r w:rsidRPr="00F041FF">
        <w:rPr>
          <w:szCs w:val="24"/>
        </w:rPr>
        <w:t xml:space="preserve">for the treatment of </w:t>
      </w:r>
      <w:r w:rsidR="004305C5" w:rsidRPr="00F041FF">
        <w:rPr>
          <w:szCs w:val="24"/>
        </w:rPr>
        <w:t>C</w:t>
      </w:r>
      <w:r w:rsidR="004305C5">
        <w:rPr>
          <w:rFonts w:hint="eastAsia"/>
          <w:szCs w:val="24"/>
          <w:lang w:eastAsia="zh-CN"/>
        </w:rPr>
        <w:t xml:space="preserve">D </w:t>
      </w:r>
      <w:r w:rsidRPr="00F041FF">
        <w:rPr>
          <w:szCs w:val="24"/>
        </w:rPr>
        <w:t>and later for the treatment of ulcerative colitis. It is a chimeric monoclonal anti</w:t>
      </w:r>
      <w:r w:rsidR="004305C5">
        <w:rPr>
          <w:szCs w:val="24"/>
        </w:rPr>
        <w:t>body with 25% murine and 75</w:t>
      </w:r>
      <w:r w:rsidRPr="00F041FF">
        <w:rPr>
          <w:szCs w:val="24"/>
        </w:rPr>
        <w:t>% human sequences. Infliximab therapy is intravenously initiated at weeks 0, 2 an</w:t>
      </w:r>
      <w:r w:rsidR="004305C5">
        <w:rPr>
          <w:szCs w:val="24"/>
        </w:rPr>
        <w:t>d 6 and then applied every 8 w</w:t>
      </w:r>
      <w:r w:rsidRPr="00F041FF">
        <w:rPr>
          <w:szCs w:val="24"/>
        </w:rPr>
        <w:t>k</w:t>
      </w:r>
      <w:r w:rsidR="004305C5">
        <w:rPr>
          <w:rFonts w:hint="eastAsia"/>
          <w:szCs w:val="24"/>
          <w:lang w:eastAsia="zh-CN"/>
        </w:rPr>
        <w:t xml:space="preserve"> </w:t>
      </w:r>
      <w:r w:rsidRPr="00F041FF">
        <w:rPr>
          <w:szCs w:val="24"/>
        </w:rPr>
        <w:t>for maintenance of remission. The starting concentration for both C</w:t>
      </w:r>
      <w:r w:rsidR="004305C5">
        <w:rPr>
          <w:rFonts w:hint="eastAsia"/>
          <w:szCs w:val="24"/>
          <w:lang w:eastAsia="zh-CN"/>
        </w:rPr>
        <w:t xml:space="preserve">D </w:t>
      </w:r>
      <w:r w:rsidRPr="00F041FF">
        <w:rPr>
          <w:szCs w:val="24"/>
        </w:rPr>
        <w:t>and ulcerative colitis is 5 m</w:t>
      </w:r>
      <w:r w:rsidR="001E1618">
        <w:rPr>
          <w:szCs w:val="24"/>
        </w:rPr>
        <w:t>g/kg</w:t>
      </w:r>
      <w:r w:rsidRPr="00F041FF">
        <w:rPr>
          <w:noProof/>
          <w:szCs w:val="24"/>
          <w:vertAlign w:val="superscript"/>
          <w:lang w:eastAsia="de-DE"/>
        </w:rPr>
        <w:t>[6]</w:t>
      </w:r>
      <w:r w:rsidRPr="00F041FF">
        <w:rPr>
          <w:szCs w:val="24"/>
          <w:lang w:eastAsia="de-DE"/>
        </w:rPr>
        <w:t>.</w:t>
      </w:r>
    </w:p>
    <w:p w:rsidR="001E1618" w:rsidRPr="004305C5" w:rsidRDefault="001E1618" w:rsidP="00D4383F">
      <w:pPr>
        <w:pStyle w:val="Heading3"/>
        <w:keepNext w:val="0"/>
        <w:keepLines w:val="0"/>
        <w:widowControl w:val="0"/>
        <w:snapToGrid w:val="0"/>
        <w:spacing w:before="0"/>
        <w:rPr>
          <w:szCs w:val="24"/>
          <w:lang w:eastAsia="zh-CN"/>
        </w:rPr>
      </w:pPr>
    </w:p>
    <w:p w:rsidR="00B728D3" w:rsidRPr="00F041FF" w:rsidRDefault="00B728D3" w:rsidP="00D4383F">
      <w:pPr>
        <w:pStyle w:val="Heading3"/>
        <w:keepNext w:val="0"/>
        <w:keepLines w:val="0"/>
        <w:widowControl w:val="0"/>
        <w:snapToGrid w:val="0"/>
        <w:spacing w:before="0"/>
        <w:rPr>
          <w:szCs w:val="24"/>
        </w:rPr>
      </w:pPr>
      <w:r w:rsidRPr="00F041FF">
        <w:rPr>
          <w:szCs w:val="24"/>
        </w:rPr>
        <w:t>CT-P13</w:t>
      </w:r>
    </w:p>
    <w:p w:rsidR="00B728D3" w:rsidRPr="00F041FF" w:rsidRDefault="00B728D3" w:rsidP="00D4383F">
      <w:pPr>
        <w:widowControl w:val="0"/>
        <w:snapToGrid w:val="0"/>
        <w:spacing w:after="0"/>
        <w:rPr>
          <w:szCs w:val="24"/>
        </w:rPr>
      </w:pPr>
      <w:r w:rsidRPr="00F041FF">
        <w:rPr>
          <w:szCs w:val="24"/>
        </w:rPr>
        <w:t>The infliximab biosimilar CT-P13 (Remsima</w:t>
      </w:r>
      <w:r w:rsidRPr="00F041FF">
        <w:rPr>
          <w:rFonts w:cs="Arial"/>
          <w:szCs w:val="24"/>
        </w:rPr>
        <w:t>®</w:t>
      </w:r>
      <w:r w:rsidRPr="00F041FF">
        <w:rPr>
          <w:szCs w:val="24"/>
        </w:rPr>
        <w:t>, Inflectra</w:t>
      </w:r>
      <w:r w:rsidRPr="00F041FF">
        <w:rPr>
          <w:rFonts w:cs="Arial"/>
          <w:szCs w:val="24"/>
        </w:rPr>
        <w:t>®</w:t>
      </w:r>
      <w:r w:rsidRPr="00F041FF">
        <w:rPr>
          <w:szCs w:val="24"/>
        </w:rPr>
        <w:t xml:space="preserve">) was approved in Europe for the treatment of both </w:t>
      </w:r>
      <w:r w:rsidR="004305C5" w:rsidRPr="00F041FF">
        <w:rPr>
          <w:szCs w:val="24"/>
        </w:rPr>
        <w:t>C</w:t>
      </w:r>
      <w:r w:rsidR="004305C5">
        <w:rPr>
          <w:rFonts w:hint="eastAsia"/>
          <w:szCs w:val="24"/>
          <w:lang w:eastAsia="zh-CN"/>
        </w:rPr>
        <w:t>D</w:t>
      </w:r>
      <w:r w:rsidRPr="00F041FF">
        <w:rPr>
          <w:szCs w:val="24"/>
        </w:rPr>
        <w:t xml:space="preserve"> and ulcerative colitis based on a comprehensive non-clinical comparability exercise and extrapolation of clinical data from two studies with rheumatoid arthritis patients. The biosimilar product is highly similar to its originator biological drug infliximab and is therefore clinically used in the same way. </w:t>
      </w:r>
    </w:p>
    <w:p w:rsidR="004305C5" w:rsidRDefault="004305C5" w:rsidP="00D4383F">
      <w:pPr>
        <w:pStyle w:val="Heading3"/>
        <w:keepNext w:val="0"/>
        <w:keepLines w:val="0"/>
        <w:widowControl w:val="0"/>
        <w:snapToGrid w:val="0"/>
        <w:spacing w:before="0"/>
        <w:rPr>
          <w:szCs w:val="24"/>
          <w:lang w:eastAsia="zh-CN"/>
        </w:rPr>
      </w:pPr>
    </w:p>
    <w:p w:rsidR="00B728D3" w:rsidRPr="00F041FF" w:rsidRDefault="00B728D3" w:rsidP="00D4383F">
      <w:pPr>
        <w:pStyle w:val="Heading3"/>
        <w:keepNext w:val="0"/>
        <w:keepLines w:val="0"/>
        <w:widowControl w:val="0"/>
        <w:snapToGrid w:val="0"/>
        <w:spacing w:before="0"/>
        <w:rPr>
          <w:szCs w:val="24"/>
        </w:rPr>
      </w:pPr>
      <w:r w:rsidRPr="00F041FF">
        <w:rPr>
          <w:szCs w:val="24"/>
        </w:rPr>
        <w:t>Adalimumab</w:t>
      </w:r>
    </w:p>
    <w:p w:rsidR="00B728D3" w:rsidRPr="00F041FF" w:rsidRDefault="00B728D3" w:rsidP="00D4383F">
      <w:pPr>
        <w:widowControl w:val="0"/>
        <w:snapToGrid w:val="0"/>
        <w:spacing w:after="0"/>
        <w:rPr>
          <w:szCs w:val="24"/>
        </w:rPr>
      </w:pPr>
      <w:r w:rsidRPr="00F041FF">
        <w:rPr>
          <w:szCs w:val="24"/>
        </w:rPr>
        <w:t>In contrast to infliximab, adalimumab (Humira</w:t>
      </w:r>
      <w:r w:rsidRPr="00F041FF">
        <w:rPr>
          <w:rFonts w:cs="Arial"/>
          <w:szCs w:val="24"/>
        </w:rPr>
        <w:t>®</w:t>
      </w:r>
      <w:r w:rsidRPr="00F041FF">
        <w:rPr>
          <w:szCs w:val="24"/>
        </w:rPr>
        <w:t xml:space="preserve">) is a monoclonal human antibody produced by CHO cells. It is approved for the treatment of both </w:t>
      </w:r>
      <w:r w:rsidR="004305C5" w:rsidRPr="00F041FF">
        <w:rPr>
          <w:szCs w:val="24"/>
        </w:rPr>
        <w:t>C</w:t>
      </w:r>
      <w:r w:rsidR="004305C5">
        <w:rPr>
          <w:rFonts w:hint="eastAsia"/>
          <w:szCs w:val="24"/>
          <w:lang w:eastAsia="zh-CN"/>
        </w:rPr>
        <w:t>D</w:t>
      </w:r>
      <w:r w:rsidRPr="00F041FF">
        <w:rPr>
          <w:szCs w:val="24"/>
        </w:rPr>
        <w:t xml:space="preserve"> and ulcerative colitis. Adalimumab is administered subcutaneously and can be injected by the patient himself. At therapy initiation, adalimumab is administered at 160 mg and then 80 mg two weeks later. For maintenance of remission adalim</w:t>
      </w:r>
      <w:r w:rsidR="004305C5">
        <w:rPr>
          <w:szCs w:val="24"/>
        </w:rPr>
        <w:t>umab is administered every 2 w</w:t>
      </w:r>
      <w:r w:rsidRPr="00F041FF">
        <w:rPr>
          <w:szCs w:val="24"/>
        </w:rPr>
        <w:t>k</w:t>
      </w:r>
      <w:r w:rsidR="004305C5">
        <w:rPr>
          <w:rFonts w:hint="eastAsia"/>
          <w:szCs w:val="24"/>
          <w:lang w:eastAsia="zh-CN"/>
        </w:rPr>
        <w:t xml:space="preserve"> </w:t>
      </w:r>
      <w:r w:rsidRPr="00F041FF">
        <w:rPr>
          <w:szCs w:val="24"/>
        </w:rPr>
        <w:t>at 40 mg.</w:t>
      </w:r>
    </w:p>
    <w:p w:rsidR="004305C5" w:rsidRDefault="004305C5" w:rsidP="00D4383F">
      <w:pPr>
        <w:pStyle w:val="Heading3"/>
        <w:keepNext w:val="0"/>
        <w:keepLines w:val="0"/>
        <w:widowControl w:val="0"/>
        <w:snapToGrid w:val="0"/>
        <w:spacing w:before="0"/>
        <w:rPr>
          <w:szCs w:val="24"/>
          <w:lang w:eastAsia="zh-CN"/>
        </w:rPr>
      </w:pPr>
    </w:p>
    <w:p w:rsidR="00B728D3" w:rsidRPr="00F041FF" w:rsidRDefault="00B728D3" w:rsidP="00D4383F">
      <w:pPr>
        <w:pStyle w:val="Heading3"/>
        <w:keepNext w:val="0"/>
        <w:keepLines w:val="0"/>
        <w:widowControl w:val="0"/>
        <w:snapToGrid w:val="0"/>
        <w:spacing w:before="0"/>
        <w:rPr>
          <w:szCs w:val="24"/>
        </w:rPr>
      </w:pPr>
      <w:r w:rsidRPr="00F041FF">
        <w:rPr>
          <w:szCs w:val="24"/>
        </w:rPr>
        <w:t>Golimumab</w:t>
      </w:r>
    </w:p>
    <w:p w:rsidR="00B728D3" w:rsidRPr="00F041FF" w:rsidRDefault="00B728D3" w:rsidP="00D4383F">
      <w:pPr>
        <w:widowControl w:val="0"/>
        <w:snapToGrid w:val="0"/>
        <w:spacing w:after="0"/>
        <w:rPr>
          <w:szCs w:val="24"/>
          <w:lang w:eastAsia="zh-CN"/>
        </w:rPr>
      </w:pPr>
      <w:r w:rsidRPr="00F041FF">
        <w:rPr>
          <w:szCs w:val="24"/>
        </w:rPr>
        <w:t>In 2013 golimumab (Simponi</w:t>
      </w:r>
      <w:r w:rsidRPr="00F041FF">
        <w:rPr>
          <w:rFonts w:cs="Arial"/>
          <w:szCs w:val="24"/>
        </w:rPr>
        <w:t>®</w:t>
      </w:r>
      <w:r w:rsidRPr="00F041FF">
        <w:rPr>
          <w:szCs w:val="24"/>
        </w:rPr>
        <w:t>), a fully human monoclonal antibody was approved for the treatment of UC</w:t>
      </w:r>
      <w:r w:rsidRPr="00F041FF">
        <w:rPr>
          <w:noProof/>
          <w:szCs w:val="24"/>
          <w:vertAlign w:val="superscript"/>
        </w:rPr>
        <w:t>[36]</w:t>
      </w:r>
      <w:r w:rsidRPr="00F041FF">
        <w:rPr>
          <w:szCs w:val="24"/>
        </w:rPr>
        <w:t>. Like adalimumab, it is administered subcutaneously.  The induction dose is 200 mg and then 100 mg two weeks later. Maintenance of remission is achieved by 50 mg (&lt;</w:t>
      </w:r>
      <w:r w:rsidR="004305C5">
        <w:rPr>
          <w:rFonts w:hint="eastAsia"/>
          <w:szCs w:val="24"/>
          <w:lang w:eastAsia="zh-CN"/>
        </w:rPr>
        <w:t xml:space="preserve"> </w:t>
      </w:r>
      <w:r w:rsidRPr="00F041FF">
        <w:rPr>
          <w:szCs w:val="24"/>
        </w:rPr>
        <w:t>80 kg body weight) and 100 mg (≥</w:t>
      </w:r>
      <w:r w:rsidR="004305C5">
        <w:rPr>
          <w:rFonts w:hint="eastAsia"/>
          <w:szCs w:val="24"/>
          <w:lang w:eastAsia="zh-CN"/>
        </w:rPr>
        <w:t xml:space="preserve"> </w:t>
      </w:r>
      <w:r w:rsidR="004305C5">
        <w:rPr>
          <w:szCs w:val="24"/>
        </w:rPr>
        <w:t>80 kg bodyweight) every 4 wk.</w:t>
      </w:r>
    </w:p>
    <w:p w:rsidR="004305C5" w:rsidRDefault="004305C5" w:rsidP="00D4383F">
      <w:pPr>
        <w:pStyle w:val="Heading3"/>
        <w:keepNext w:val="0"/>
        <w:keepLines w:val="0"/>
        <w:widowControl w:val="0"/>
        <w:snapToGrid w:val="0"/>
        <w:spacing w:before="0"/>
        <w:rPr>
          <w:szCs w:val="24"/>
          <w:lang w:eastAsia="zh-CN"/>
        </w:rPr>
      </w:pPr>
    </w:p>
    <w:p w:rsidR="00B728D3" w:rsidRPr="00F041FF" w:rsidRDefault="00B728D3" w:rsidP="00D4383F">
      <w:pPr>
        <w:pStyle w:val="Heading3"/>
        <w:keepNext w:val="0"/>
        <w:keepLines w:val="0"/>
        <w:widowControl w:val="0"/>
        <w:snapToGrid w:val="0"/>
        <w:spacing w:before="0"/>
        <w:rPr>
          <w:szCs w:val="24"/>
        </w:rPr>
      </w:pPr>
      <w:r w:rsidRPr="00F041FF">
        <w:rPr>
          <w:szCs w:val="24"/>
        </w:rPr>
        <w:t>Certolizumab pegol</w:t>
      </w:r>
    </w:p>
    <w:p w:rsidR="00B728D3" w:rsidRPr="00F041FF" w:rsidRDefault="00B728D3" w:rsidP="00D4383F">
      <w:pPr>
        <w:widowControl w:val="0"/>
        <w:snapToGrid w:val="0"/>
        <w:spacing w:after="0"/>
        <w:rPr>
          <w:szCs w:val="24"/>
        </w:rPr>
      </w:pPr>
      <w:r w:rsidRPr="00F041FF">
        <w:rPr>
          <w:szCs w:val="24"/>
        </w:rPr>
        <w:lastRenderedPageBreak/>
        <w:t>Certolizumab pegol (Cimzia</w:t>
      </w:r>
      <w:r w:rsidRPr="00F041FF">
        <w:rPr>
          <w:rFonts w:cs="Arial"/>
          <w:szCs w:val="24"/>
        </w:rPr>
        <w:t>®</w:t>
      </w:r>
      <w:r w:rsidRPr="00F041FF">
        <w:rPr>
          <w:szCs w:val="24"/>
        </w:rPr>
        <w:t xml:space="preserve">), a PEGylated humanized Fab´ fragment is approved for the treatment of CD in the </w:t>
      </w:r>
      <w:r w:rsidR="004305C5" w:rsidRPr="004305C5">
        <w:rPr>
          <w:szCs w:val="24"/>
        </w:rPr>
        <w:t>United States</w:t>
      </w:r>
      <w:r w:rsidRPr="00F041FF">
        <w:rPr>
          <w:szCs w:val="24"/>
        </w:rPr>
        <w:t xml:space="preserve"> and Switzerland</w:t>
      </w:r>
      <w:r w:rsidRPr="00F041FF">
        <w:rPr>
          <w:noProof/>
          <w:szCs w:val="24"/>
          <w:vertAlign w:val="superscript"/>
        </w:rPr>
        <w:t>[37]</w:t>
      </w:r>
      <w:r w:rsidRPr="00F041FF">
        <w:rPr>
          <w:szCs w:val="24"/>
        </w:rPr>
        <w:t xml:space="preserve"> but not by the European Medicines Agency. In contrast to the other anti-TNF a</w:t>
      </w:r>
      <w:r w:rsidR="00435E78">
        <w:rPr>
          <w:szCs w:val="24"/>
        </w:rPr>
        <w:t>ntibodies</w:t>
      </w:r>
      <w:r w:rsidRPr="00F041FF">
        <w:rPr>
          <w:szCs w:val="24"/>
        </w:rPr>
        <w:t xml:space="preserve">, this </w:t>
      </w:r>
      <w:r w:rsidR="00435E78" w:rsidRPr="00F041FF">
        <w:rPr>
          <w:szCs w:val="24"/>
        </w:rPr>
        <w:t>a</w:t>
      </w:r>
      <w:r w:rsidR="00435E78">
        <w:rPr>
          <w:szCs w:val="24"/>
        </w:rPr>
        <w:t>gent</w:t>
      </w:r>
      <w:r w:rsidR="00435E78" w:rsidRPr="00F041FF">
        <w:rPr>
          <w:szCs w:val="24"/>
        </w:rPr>
        <w:t xml:space="preserve"> </w:t>
      </w:r>
      <w:r w:rsidRPr="00F041FF">
        <w:rPr>
          <w:szCs w:val="24"/>
        </w:rPr>
        <w:t xml:space="preserve">does not possess a Fc fragment and correspondingly, is not recognized by Fc receptors. The subcutaneous administration is performed at week 0, 2 and 4 with 400 mg. For maintenance of remission, certolizumab pegol is given every 4 weeks in a dose of 400 mg.  </w:t>
      </w:r>
    </w:p>
    <w:p w:rsidR="004305C5" w:rsidRDefault="004305C5" w:rsidP="00D4383F">
      <w:pPr>
        <w:pStyle w:val="Heading3"/>
        <w:keepNext w:val="0"/>
        <w:keepLines w:val="0"/>
        <w:widowControl w:val="0"/>
        <w:snapToGrid w:val="0"/>
        <w:spacing w:before="0"/>
        <w:rPr>
          <w:szCs w:val="24"/>
          <w:lang w:eastAsia="zh-CN"/>
        </w:rPr>
      </w:pPr>
    </w:p>
    <w:p w:rsidR="00B728D3" w:rsidRPr="00F041FF" w:rsidRDefault="00B728D3" w:rsidP="00D4383F">
      <w:pPr>
        <w:pStyle w:val="Heading3"/>
        <w:keepNext w:val="0"/>
        <w:keepLines w:val="0"/>
        <w:widowControl w:val="0"/>
        <w:snapToGrid w:val="0"/>
        <w:spacing w:before="0"/>
        <w:rPr>
          <w:szCs w:val="24"/>
        </w:rPr>
      </w:pPr>
      <w:r w:rsidRPr="00F041FF">
        <w:rPr>
          <w:szCs w:val="24"/>
        </w:rPr>
        <w:t>Etanercept</w:t>
      </w:r>
    </w:p>
    <w:p w:rsidR="00B728D3" w:rsidRPr="00F041FF" w:rsidRDefault="00B728D3" w:rsidP="00D4383F">
      <w:pPr>
        <w:widowControl w:val="0"/>
        <w:snapToGrid w:val="0"/>
        <w:spacing w:after="0"/>
        <w:rPr>
          <w:szCs w:val="24"/>
          <w:lang w:eastAsia="zh-CN"/>
        </w:rPr>
      </w:pPr>
      <w:r w:rsidRPr="00F041FF">
        <w:rPr>
          <w:szCs w:val="24"/>
        </w:rPr>
        <w:t>Etanercept (Enbrel</w:t>
      </w:r>
      <w:r w:rsidRPr="00F041FF">
        <w:rPr>
          <w:rFonts w:cs="Arial"/>
          <w:szCs w:val="24"/>
        </w:rPr>
        <w:t>®</w:t>
      </w:r>
      <w:r w:rsidRPr="00F041FF">
        <w:rPr>
          <w:szCs w:val="24"/>
        </w:rPr>
        <w:t>) is a chimeric fusion protein that consists of the p75 part of TNFR2 and a human IgG1 Fc domain. Importantly, in combination with methotrexate, etanercept has similar efficacy in the therapy of rheumatoid arthritis as infliximab and adalimumab</w:t>
      </w:r>
      <w:r w:rsidRPr="00F041FF">
        <w:rPr>
          <w:noProof/>
          <w:szCs w:val="24"/>
          <w:vertAlign w:val="superscript"/>
        </w:rPr>
        <w:t>[38]</w:t>
      </w:r>
      <w:r w:rsidR="007E132C" w:rsidRPr="00F041FF">
        <w:rPr>
          <w:szCs w:val="24"/>
        </w:rPr>
        <w:t xml:space="preserve">. </w:t>
      </w:r>
      <w:r w:rsidR="007E132C" w:rsidRPr="004305C5">
        <w:rPr>
          <w:szCs w:val="24"/>
        </w:rPr>
        <w:t>It nevertheless</w:t>
      </w:r>
      <w:r w:rsidRPr="004305C5">
        <w:rPr>
          <w:szCs w:val="24"/>
        </w:rPr>
        <w:t xml:space="preserve"> failed to be effective in </w:t>
      </w:r>
      <w:r w:rsidR="007E132C" w:rsidRPr="004305C5">
        <w:rPr>
          <w:szCs w:val="24"/>
        </w:rPr>
        <w:t xml:space="preserve">a clinical study with </w:t>
      </w:r>
      <w:r w:rsidR="004305C5" w:rsidRPr="004305C5">
        <w:rPr>
          <w:szCs w:val="24"/>
        </w:rPr>
        <w:t>C</w:t>
      </w:r>
      <w:r w:rsidR="004305C5" w:rsidRPr="004305C5">
        <w:rPr>
          <w:rFonts w:hint="eastAsia"/>
          <w:szCs w:val="24"/>
          <w:lang w:eastAsia="zh-CN"/>
        </w:rPr>
        <w:t>D</w:t>
      </w:r>
      <w:r w:rsidRPr="004305C5">
        <w:rPr>
          <w:szCs w:val="24"/>
        </w:rPr>
        <w:t xml:space="preserve"> </w:t>
      </w:r>
      <w:r w:rsidR="007E132C" w:rsidRPr="004305C5">
        <w:rPr>
          <w:szCs w:val="24"/>
        </w:rPr>
        <w:t xml:space="preserve">patients, </w:t>
      </w:r>
      <w:r w:rsidRPr="004305C5">
        <w:rPr>
          <w:szCs w:val="24"/>
        </w:rPr>
        <w:t>when 25 mg were subcutaneously applied twice per week</w:t>
      </w:r>
      <w:r w:rsidRPr="004305C5">
        <w:rPr>
          <w:noProof/>
          <w:szCs w:val="24"/>
          <w:vertAlign w:val="superscript"/>
        </w:rPr>
        <w:t>[39]</w:t>
      </w:r>
      <w:r w:rsidRPr="004305C5">
        <w:rPr>
          <w:szCs w:val="24"/>
        </w:rPr>
        <w:t>.</w:t>
      </w:r>
      <w:r w:rsidR="007E132C" w:rsidRPr="004305C5">
        <w:rPr>
          <w:szCs w:val="24"/>
        </w:rPr>
        <w:t xml:space="preserve"> Etanercept is therefore not approved for treatment of C</w:t>
      </w:r>
      <w:r w:rsidR="004305C5">
        <w:rPr>
          <w:rFonts w:hint="eastAsia"/>
          <w:szCs w:val="24"/>
          <w:lang w:eastAsia="zh-CN"/>
        </w:rPr>
        <w:t>D</w:t>
      </w:r>
      <w:r w:rsidR="007E132C" w:rsidRPr="004305C5">
        <w:rPr>
          <w:szCs w:val="24"/>
        </w:rPr>
        <w:t>.</w:t>
      </w:r>
    </w:p>
    <w:p w:rsidR="004305C5" w:rsidRDefault="004305C5" w:rsidP="00D4383F">
      <w:pPr>
        <w:pStyle w:val="Heading1"/>
        <w:keepNext w:val="0"/>
        <w:keepLines w:val="0"/>
        <w:widowControl w:val="0"/>
        <w:snapToGrid w:val="0"/>
        <w:spacing w:before="0" w:beforeAutospacing="0" w:after="0" w:afterAutospacing="0"/>
        <w:rPr>
          <w:rFonts w:eastAsiaTheme="minorEastAsia"/>
          <w:sz w:val="24"/>
          <w:szCs w:val="24"/>
          <w:lang w:eastAsia="zh-CN"/>
        </w:rPr>
      </w:pPr>
    </w:p>
    <w:p w:rsidR="00B728D3" w:rsidRPr="004305C5" w:rsidRDefault="00B728D3" w:rsidP="00D4383F">
      <w:pPr>
        <w:pStyle w:val="Heading1"/>
        <w:keepNext w:val="0"/>
        <w:keepLines w:val="0"/>
        <w:widowControl w:val="0"/>
        <w:snapToGrid w:val="0"/>
        <w:spacing w:before="0" w:beforeAutospacing="0" w:after="0" w:afterAutospacing="0"/>
        <w:rPr>
          <w:rFonts w:eastAsiaTheme="minorHAnsi"/>
          <w:caps/>
          <w:sz w:val="24"/>
          <w:szCs w:val="24"/>
        </w:rPr>
      </w:pPr>
      <w:r w:rsidRPr="004305C5">
        <w:rPr>
          <w:rFonts w:eastAsiaTheme="minorHAnsi"/>
          <w:caps/>
          <w:sz w:val="24"/>
          <w:szCs w:val="24"/>
        </w:rPr>
        <w:t>Mechanism of action of anti-TNF antibodies</w:t>
      </w:r>
    </w:p>
    <w:p w:rsidR="00B728D3" w:rsidRPr="00F041FF" w:rsidRDefault="00B728D3" w:rsidP="00D4383F">
      <w:pPr>
        <w:widowControl w:val="0"/>
        <w:snapToGrid w:val="0"/>
        <w:spacing w:after="0"/>
        <w:rPr>
          <w:szCs w:val="24"/>
          <w:lang w:eastAsia="zh-CN"/>
        </w:rPr>
      </w:pPr>
      <w:r w:rsidRPr="00F041FF">
        <w:rPr>
          <w:szCs w:val="24"/>
        </w:rPr>
        <w:t>Although anti-TNF antibodies are approved for the therapy of IBD and other inflammatory diseases for many years, the mechanism of action is still a matter of debate. Initially, it was suggested that anti-TNF agents inactivate the proinflammatory cytokine TNF by direct neutralization, thus resulting in suppression of inflammation. Given the complexity of TNF signaling, a lot of studies indicate that anti-TNF antibodies exert more complex functions beyond simple blockade. Furthermore, functional characterization of etanercept and other anti-TNF a</w:t>
      </w:r>
      <w:r w:rsidR="00680489">
        <w:rPr>
          <w:szCs w:val="24"/>
        </w:rPr>
        <w:t>gents</w:t>
      </w:r>
      <w:r w:rsidRPr="00F041FF">
        <w:rPr>
          <w:szCs w:val="24"/>
        </w:rPr>
        <w:t xml:space="preserve"> can elucidate the signaling pathways that are important in inflammatory bowel diseases in contrast to other autoimmune diseases such as rheumatoid arthritis. In the following part we will list several described effects of anti-TNF antibody therapy that are suggested to be relevant in IBD (see also </w:t>
      </w:r>
      <w:r w:rsidRPr="004305C5">
        <w:rPr>
          <w:caps/>
          <w:szCs w:val="24"/>
        </w:rPr>
        <w:t>f</w:t>
      </w:r>
      <w:r w:rsidRPr="00F041FF">
        <w:rPr>
          <w:szCs w:val="24"/>
        </w:rPr>
        <w:t>igure 2).</w:t>
      </w:r>
    </w:p>
    <w:p w:rsidR="004305C5" w:rsidRDefault="004305C5" w:rsidP="00D4383F">
      <w:pPr>
        <w:pStyle w:val="Heading2"/>
        <w:keepNext w:val="0"/>
        <w:keepLines w:val="0"/>
        <w:widowControl w:val="0"/>
        <w:snapToGrid w:val="0"/>
        <w:spacing w:before="0"/>
        <w:rPr>
          <w:rFonts w:eastAsiaTheme="minorEastAsia"/>
          <w:szCs w:val="24"/>
          <w:lang w:eastAsia="zh-CN"/>
        </w:rPr>
      </w:pPr>
    </w:p>
    <w:p w:rsidR="00B728D3" w:rsidRPr="004305C5" w:rsidRDefault="00B728D3" w:rsidP="00D4383F">
      <w:pPr>
        <w:pStyle w:val="Heading2"/>
        <w:keepNext w:val="0"/>
        <w:keepLines w:val="0"/>
        <w:widowControl w:val="0"/>
        <w:snapToGrid w:val="0"/>
        <w:spacing w:before="0"/>
        <w:rPr>
          <w:rFonts w:eastAsia="Times New Roman"/>
          <w:caps/>
          <w:szCs w:val="24"/>
        </w:rPr>
      </w:pPr>
      <w:r w:rsidRPr="004305C5">
        <w:rPr>
          <w:rFonts w:eastAsia="Times New Roman"/>
          <w:caps/>
          <w:szCs w:val="24"/>
        </w:rPr>
        <w:t>TNF neutralization</w:t>
      </w:r>
    </w:p>
    <w:p w:rsidR="00B728D3" w:rsidRPr="00F041FF" w:rsidRDefault="00B728D3" w:rsidP="00D4383F">
      <w:pPr>
        <w:widowControl w:val="0"/>
        <w:snapToGrid w:val="0"/>
        <w:spacing w:after="0"/>
        <w:rPr>
          <w:szCs w:val="24"/>
        </w:rPr>
      </w:pPr>
      <w:r w:rsidRPr="00F041FF">
        <w:rPr>
          <w:szCs w:val="24"/>
        </w:rPr>
        <w:t>Although all anti-TNF agents have the same target, the affinity of the antibodies to TNF has been reported not to be equal</w:t>
      </w:r>
      <w:r w:rsidRPr="004305C5">
        <w:rPr>
          <w:szCs w:val="24"/>
        </w:rPr>
        <w:t xml:space="preserve">. An overview of </w:t>
      </w:r>
      <w:r w:rsidR="0021054C" w:rsidRPr="004305C5">
        <w:rPr>
          <w:szCs w:val="24"/>
        </w:rPr>
        <w:t xml:space="preserve">respective </w:t>
      </w:r>
      <w:r w:rsidRPr="004305C5">
        <w:rPr>
          <w:szCs w:val="24"/>
        </w:rPr>
        <w:t>affinit</w:t>
      </w:r>
      <w:r w:rsidR="0021054C" w:rsidRPr="004305C5">
        <w:rPr>
          <w:szCs w:val="24"/>
        </w:rPr>
        <w:t>ies</w:t>
      </w:r>
      <w:r w:rsidRPr="004305C5">
        <w:rPr>
          <w:szCs w:val="24"/>
        </w:rPr>
        <w:t xml:space="preserve"> and </w:t>
      </w:r>
      <w:r w:rsidRPr="004305C5">
        <w:rPr>
          <w:szCs w:val="24"/>
        </w:rPr>
        <w:lastRenderedPageBreak/>
        <w:t>avidit</w:t>
      </w:r>
      <w:r w:rsidR="001D0BB4">
        <w:rPr>
          <w:szCs w:val="24"/>
        </w:rPr>
        <w:t>i</w:t>
      </w:r>
      <w:r w:rsidR="0021054C" w:rsidRPr="004305C5">
        <w:rPr>
          <w:szCs w:val="24"/>
        </w:rPr>
        <w:t>es of anti-TNF agents</w:t>
      </w:r>
      <w:r w:rsidR="004305C5">
        <w:rPr>
          <w:rFonts w:hint="eastAsia"/>
          <w:szCs w:val="24"/>
          <w:lang w:eastAsia="zh-CN"/>
        </w:rPr>
        <w:t xml:space="preserve"> </w:t>
      </w:r>
      <w:r w:rsidRPr="004305C5">
        <w:rPr>
          <w:szCs w:val="24"/>
        </w:rPr>
        <w:t>is given in Table</w:t>
      </w:r>
      <w:r w:rsidR="004305C5">
        <w:rPr>
          <w:rFonts w:hint="eastAsia"/>
          <w:szCs w:val="24"/>
          <w:lang w:eastAsia="zh-CN"/>
        </w:rPr>
        <w:t>s</w:t>
      </w:r>
      <w:r w:rsidRPr="004305C5">
        <w:rPr>
          <w:szCs w:val="24"/>
        </w:rPr>
        <w:t xml:space="preserve"> 1 and 2.</w:t>
      </w:r>
      <w:r w:rsidRPr="00F041FF">
        <w:rPr>
          <w:szCs w:val="24"/>
        </w:rPr>
        <w:t xml:space="preserve"> In TNF bioassays, infliximab, etanercept, adalimumab, certolizumab pegol and golimumab all neutralize sTNF</w:t>
      </w:r>
      <w:r w:rsidRPr="00F041FF">
        <w:rPr>
          <w:noProof/>
          <w:szCs w:val="24"/>
          <w:vertAlign w:val="superscript"/>
        </w:rPr>
        <w:t>[23]</w:t>
      </w:r>
      <w:r w:rsidRPr="00F041FF">
        <w:rPr>
          <w:szCs w:val="24"/>
        </w:rPr>
        <w:t xml:space="preserve">. </w:t>
      </w:r>
      <w:r w:rsidRPr="004305C5">
        <w:rPr>
          <w:szCs w:val="24"/>
        </w:rPr>
        <w:t xml:space="preserve">However, using </w:t>
      </w:r>
      <w:r w:rsidR="0021054C" w:rsidRPr="004305C5">
        <w:rPr>
          <w:szCs w:val="24"/>
        </w:rPr>
        <w:t xml:space="preserve">the method of </w:t>
      </w:r>
      <w:r w:rsidRPr="004305C5">
        <w:rPr>
          <w:szCs w:val="24"/>
        </w:rPr>
        <w:t>surface plasmon resonance (SPR), golimumab was</w:t>
      </w:r>
      <w:r w:rsidRPr="00F041FF">
        <w:rPr>
          <w:szCs w:val="24"/>
        </w:rPr>
        <w:t xml:space="preserve"> shown to bind to soluble TNF with a similar affinity as etanercept, but with greater affinity than infliximab and adalimumab, the later showing the weakest affinity in the used setting</w:t>
      </w:r>
      <w:r w:rsidRPr="00F041FF">
        <w:rPr>
          <w:noProof/>
          <w:szCs w:val="24"/>
          <w:vertAlign w:val="superscript"/>
        </w:rPr>
        <w:t>[40]</w:t>
      </w:r>
      <w:r w:rsidRPr="00F041FF">
        <w:rPr>
          <w:szCs w:val="24"/>
        </w:rPr>
        <w:t>. However, affinity of adalimumab and infliximab were reported to be similar although less compared to etanercept in another study</w:t>
      </w:r>
      <w:r w:rsidRPr="00F041FF">
        <w:rPr>
          <w:noProof/>
          <w:szCs w:val="24"/>
          <w:vertAlign w:val="superscript"/>
        </w:rPr>
        <w:t>[41]</w:t>
      </w:r>
      <w:r w:rsidRPr="00F041FF">
        <w:rPr>
          <w:szCs w:val="24"/>
        </w:rPr>
        <w:t>. Regarding avidity, etanercept was shown to bind to sTNF with a 10- to 20-fold greater avidity as compared to adalimumab or infliximab</w:t>
      </w:r>
      <w:r w:rsidRPr="00F041FF">
        <w:rPr>
          <w:noProof/>
          <w:szCs w:val="24"/>
          <w:vertAlign w:val="superscript"/>
        </w:rPr>
        <w:t>[41]</w:t>
      </w:r>
      <w:r w:rsidRPr="00F041FF">
        <w:rPr>
          <w:szCs w:val="24"/>
        </w:rPr>
        <w:t xml:space="preserve">. </w:t>
      </w:r>
    </w:p>
    <w:p w:rsidR="00B728D3" w:rsidRPr="00F041FF" w:rsidRDefault="00B728D3" w:rsidP="004305C5">
      <w:pPr>
        <w:widowControl w:val="0"/>
        <w:snapToGrid w:val="0"/>
        <w:spacing w:after="0"/>
        <w:ind w:firstLineChars="100" w:firstLine="240"/>
        <w:rPr>
          <w:szCs w:val="24"/>
        </w:rPr>
      </w:pPr>
      <w:r w:rsidRPr="00F041FF">
        <w:rPr>
          <w:szCs w:val="24"/>
        </w:rPr>
        <w:t>For mTNF, affinity of anti-TNF antibodies has been reported to be lower than to sTNF</w:t>
      </w:r>
      <w:r w:rsidR="004305C5">
        <w:rPr>
          <w:noProof/>
          <w:szCs w:val="24"/>
          <w:vertAlign w:val="superscript"/>
        </w:rPr>
        <w:t>[40,</w:t>
      </w:r>
      <w:r w:rsidRPr="00F041FF">
        <w:rPr>
          <w:noProof/>
          <w:szCs w:val="24"/>
          <w:vertAlign w:val="superscript"/>
        </w:rPr>
        <w:t>41]</w:t>
      </w:r>
      <w:r w:rsidRPr="00F041FF">
        <w:rPr>
          <w:szCs w:val="24"/>
        </w:rPr>
        <w:t>. Using mTNF-transfected cells, binding affinities of infliximab, adalimumab and etan</w:t>
      </w:r>
      <w:r w:rsidR="004305C5">
        <w:rPr>
          <w:szCs w:val="24"/>
        </w:rPr>
        <w:t>ercept were shown to be similar</w:t>
      </w:r>
      <w:r w:rsidRPr="00F041FF">
        <w:rPr>
          <w:noProof/>
          <w:szCs w:val="24"/>
          <w:vertAlign w:val="superscript"/>
        </w:rPr>
        <w:t>[41]</w:t>
      </w:r>
      <w:r w:rsidRPr="00F041FF">
        <w:rPr>
          <w:szCs w:val="24"/>
        </w:rPr>
        <w:t>. In contrast, affinities for golimumab and infliximab to another mTNF-expressing cell line were comparable and greater than that of adalimumab, whereas all three anti-TNF agents had significantly greater affinity than etanercept</w:t>
      </w:r>
      <w:r w:rsidRPr="00F041FF">
        <w:rPr>
          <w:noProof/>
          <w:szCs w:val="24"/>
          <w:vertAlign w:val="superscript"/>
        </w:rPr>
        <w:t>[40]</w:t>
      </w:r>
      <w:r w:rsidRPr="00F041FF">
        <w:rPr>
          <w:szCs w:val="24"/>
        </w:rPr>
        <w:t>. Furthermore, in other studies binding of etanercept to mTNF could not be detected, perhaps due to the fact that peripheral blood mononuclear cells (PBMCs) and not cell lines stably expressing mTNF were examined</w:t>
      </w:r>
      <w:r w:rsidR="0018569A">
        <w:rPr>
          <w:noProof/>
          <w:szCs w:val="24"/>
          <w:vertAlign w:val="superscript"/>
        </w:rPr>
        <w:t>[42,</w:t>
      </w:r>
      <w:r w:rsidRPr="00F041FF">
        <w:rPr>
          <w:noProof/>
          <w:szCs w:val="24"/>
          <w:vertAlign w:val="superscript"/>
        </w:rPr>
        <w:t>43]</w:t>
      </w:r>
      <w:r w:rsidRPr="00F041FF">
        <w:rPr>
          <w:szCs w:val="24"/>
        </w:rPr>
        <w:t xml:space="preserve">, arising the question to what extent the binding of etanercept to mTNF expressing cell lines represents the situation </w:t>
      </w:r>
      <w:r w:rsidRPr="00F041FF">
        <w:rPr>
          <w:i/>
          <w:szCs w:val="24"/>
        </w:rPr>
        <w:t>in vivo</w:t>
      </w:r>
      <w:r w:rsidRPr="00F041FF">
        <w:rPr>
          <w:szCs w:val="24"/>
        </w:rPr>
        <w:t>. Furthermore and in discrepancy to the above mentioned study, etanercept was shown to form relatively unstable complexes with sTNF, resulting in fast release of dissociated TNF in contrast to infliximab that bound to both sTNF and mTNF by forming stabl</w:t>
      </w:r>
      <w:r w:rsidR="0018569A">
        <w:rPr>
          <w:szCs w:val="24"/>
        </w:rPr>
        <w:t>e complexes with high stability</w:t>
      </w:r>
      <w:r w:rsidRPr="00F041FF">
        <w:rPr>
          <w:noProof/>
          <w:szCs w:val="24"/>
          <w:vertAlign w:val="superscript"/>
        </w:rPr>
        <w:t>[44]</w:t>
      </w:r>
      <w:r w:rsidRPr="00F041FF">
        <w:rPr>
          <w:szCs w:val="24"/>
        </w:rPr>
        <w:t>. However, interpretations of all presented data have to take into account the different cells, methods and techniques used for respective assessment of affinity, which could have a profound effect on the data obtained.</w:t>
      </w:r>
    </w:p>
    <w:p w:rsidR="00B728D3" w:rsidRPr="00F041FF" w:rsidRDefault="00B728D3" w:rsidP="004305C5">
      <w:pPr>
        <w:widowControl w:val="0"/>
        <w:snapToGrid w:val="0"/>
        <w:spacing w:after="0"/>
        <w:ind w:firstLineChars="100" w:firstLine="240"/>
        <w:rPr>
          <w:szCs w:val="24"/>
          <w:lang w:eastAsia="zh-CN"/>
        </w:rPr>
      </w:pPr>
      <w:r w:rsidRPr="00F041FF">
        <w:rPr>
          <w:szCs w:val="24"/>
        </w:rPr>
        <w:t>Importantly, another aspect is the variation of the different anti-TNF agents in regard to cross-linking towards mTNF. Herein, it has been reported that up to three infliximab molecules can bind to each TNF homotrimer. In contrast, etanercept is thought to bind to TNF trimer in a 1:1 ratio, suggesting that not all binding sides are blocked</w:t>
      </w:r>
      <w:r w:rsidRPr="00F041FF">
        <w:rPr>
          <w:noProof/>
          <w:szCs w:val="24"/>
          <w:vertAlign w:val="superscript"/>
        </w:rPr>
        <w:t>[44]</w:t>
      </w:r>
      <w:r w:rsidRPr="00F041FF">
        <w:rPr>
          <w:szCs w:val="24"/>
        </w:rPr>
        <w:t>. This aspect together with the fact that infliximab forms more stable complexes with mTNF</w:t>
      </w:r>
      <w:r w:rsidRPr="00F041FF">
        <w:rPr>
          <w:noProof/>
          <w:szCs w:val="24"/>
          <w:vertAlign w:val="superscript"/>
        </w:rPr>
        <w:t>[44]</w:t>
      </w:r>
      <w:r w:rsidRPr="00F041FF">
        <w:rPr>
          <w:szCs w:val="24"/>
        </w:rPr>
        <w:t xml:space="preserve"> is a possible explanation why infliximab is effective in the therapy of IBD</w:t>
      </w:r>
      <w:r w:rsidR="007E132C" w:rsidRPr="00F041FF">
        <w:rPr>
          <w:szCs w:val="24"/>
        </w:rPr>
        <w:t>,</w:t>
      </w:r>
      <w:r w:rsidRPr="00F041FF">
        <w:rPr>
          <w:szCs w:val="24"/>
        </w:rPr>
        <w:t xml:space="preserve"> </w:t>
      </w:r>
      <w:r w:rsidRPr="004305C5">
        <w:rPr>
          <w:szCs w:val="24"/>
        </w:rPr>
        <w:t>wh</w:t>
      </w:r>
      <w:r w:rsidR="007E132C" w:rsidRPr="004305C5">
        <w:rPr>
          <w:szCs w:val="24"/>
        </w:rPr>
        <w:t xml:space="preserve">ereas etanercept failed to show any clinical efficacy in a trial with </w:t>
      </w:r>
      <w:r w:rsidR="007E132C" w:rsidRPr="004305C5">
        <w:rPr>
          <w:szCs w:val="24"/>
        </w:rPr>
        <w:lastRenderedPageBreak/>
        <w:t>Crohn’s disease patients and is therefore not approved for IBD treatment</w:t>
      </w:r>
      <w:r w:rsidRPr="004305C5">
        <w:rPr>
          <w:szCs w:val="24"/>
        </w:rPr>
        <w:t xml:space="preserve">. </w:t>
      </w:r>
      <w:r w:rsidRPr="00F041FF">
        <w:rPr>
          <w:szCs w:val="24"/>
        </w:rPr>
        <w:t>Recent findings indicate that the neutralization of mTNF rather than sTNF is crucial in the therapy of IBD. For example, in a mouse model of IBD the neutralization of sTNF alone was ineffective, in contrast to anti-TNF antibodies that block both sTNF and mTNF, indicating that neutralization of mTNF is crucial in the therapy of IBD</w:t>
      </w:r>
      <w:r w:rsidRPr="00F041FF">
        <w:rPr>
          <w:noProof/>
          <w:szCs w:val="24"/>
          <w:vertAlign w:val="superscript"/>
        </w:rPr>
        <w:t>[45]</w:t>
      </w:r>
      <w:r w:rsidRPr="00F041FF">
        <w:rPr>
          <w:szCs w:val="24"/>
        </w:rPr>
        <w:t>. The pivotal role of mTNF was further demonstrated in an experimental colitis model by transferring CD4 T cells into RAG2 deficient mice</w:t>
      </w:r>
      <w:r w:rsidR="004305C5" w:rsidRPr="00F041FF">
        <w:rPr>
          <w:noProof/>
          <w:szCs w:val="24"/>
          <w:vertAlign w:val="superscript"/>
        </w:rPr>
        <w:t>[46]</w:t>
      </w:r>
      <w:r w:rsidRPr="00F041FF">
        <w:rPr>
          <w:szCs w:val="24"/>
        </w:rPr>
        <w:t>. Herein, by transferring TNF mutant T cells, disease activity was compared in absence of TNF, in absence of sTNF and in presence of both sTNF and mTNF. Whereas the expression of TNF was essential for the induction of colitis, the absence of sTNF did not protect the mice from intestinal inflammation</w:t>
      </w:r>
      <w:r w:rsidRPr="00F041FF">
        <w:rPr>
          <w:noProof/>
          <w:szCs w:val="24"/>
          <w:vertAlign w:val="superscript"/>
        </w:rPr>
        <w:t>[46]</w:t>
      </w:r>
      <w:r w:rsidRPr="00F041FF">
        <w:rPr>
          <w:szCs w:val="24"/>
        </w:rPr>
        <w:t>,  clearly underlining the pathogenic role of mTNF in the pathogenesis of mucosal inflammation in the intestine.</w:t>
      </w:r>
    </w:p>
    <w:p w:rsidR="004305C5" w:rsidRDefault="004305C5" w:rsidP="00D4383F">
      <w:pPr>
        <w:pStyle w:val="Heading2"/>
        <w:keepNext w:val="0"/>
        <w:keepLines w:val="0"/>
        <w:widowControl w:val="0"/>
        <w:snapToGrid w:val="0"/>
        <w:spacing w:before="0"/>
        <w:rPr>
          <w:szCs w:val="24"/>
          <w:lang w:eastAsia="zh-CN"/>
        </w:rPr>
      </w:pPr>
    </w:p>
    <w:p w:rsidR="00B728D3" w:rsidRPr="004305C5" w:rsidRDefault="00B728D3" w:rsidP="00D4383F">
      <w:pPr>
        <w:pStyle w:val="Heading2"/>
        <w:keepNext w:val="0"/>
        <w:keepLines w:val="0"/>
        <w:widowControl w:val="0"/>
        <w:snapToGrid w:val="0"/>
        <w:spacing w:before="0"/>
        <w:rPr>
          <w:caps/>
          <w:szCs w:val="24"/>
        </w:rPr>
      </w:pPr>
      <w:r w:rsidRPr="004305C5">
        <w:rPr>
          <w:caps/>
          <w:szCs w:val="24"/>
        </w:rPr>
        <w:t>Modulation of the immune system</w:t>
      </w:r>
    </w:p>
    <w:p w:rsidR="00B728D3" w:rsidRPr="00F041FF" w:rsidRDefault="00B728D3" w:rsidP="00D4383F">
      <w:pPr>
        <w:pStyle w:val="Heading3"/>
        <w:keepNext w:val="0"/>
        <w:keepLines w:val="0"/>
        <w:widowControl w:val="0"/>
        <w:snapToGrid w:val="0"/>
        <w:spacing w:before="0"/>
        <w:rPr>
          <w:szCs w:val="24"/>
        </w:rPr>
      </w:pPr>
      <w:r w:rsidRPr="00F041FF">
        <w:rPr>
          <w:szCs w:val="24"/>
        </w:rPr>
        <w:t>Cytokines</w:t>
      </w:r>
    </w:p>
    <w:p w:rsidR="00B728D3" w:rsidRPr="00F041FF" w:rsidRDefault="00B728D3" w:rsidP="00D4383F">
      <w:pPr>
        <w:widowControl w:val="0"/>
        <w:snapToGrid w:val="0"/>
        <w:spacing w:after="0"/>
        <w:rPr>
          <w:szCs w:val="24"/>
          <w:lang w:val="en-GB"/>
        </w:rPr>
      </w:pPr>
      <w:r w:rsidRPr="00F041FF">
        <w:rPr>
          <w:szCs w:val="24"/>
        </w:rPr>
        <w:t>Cytokines as mediators of inflammation are in imbalance in inflammatory bowel diseases. On the one hand proinflammatory cytokine levels such as TNF, IL-13, IL-17 or IFN-γ</w:t>
      </w:r>
      <w:r w:rsidR="004305C5">
        <w:rPr>
          <w:noProof/>
          <w:szCs w:val="24"/>
          <w:vertAlign w:val="superscript"/>
        </w:rPr>
        <w:t>[1-3,</w:t>
      </w:r>
      <w:r w:rsidRPr="00F041FF">
        <w:rPr>
          <w:noProof/>
          <w:szCs w:val="24"/>
          <w:vertAlign w:val="superscript"/>
        </w:rPr>
        <w:t>6]</w:t>
      </w:r>
      <w:r w:rsidRPr="00F041FF">
        <w:rPr>
          <w:szCs w:val="24"/>
        </w:rPr>
        <w:t xml:space="preserve"> are elevated and drive the massive tissue damage in the gut. On the other hand, anti-inflammatory cytokines that usually regulate overwhelming immune reactions are supposed to be also involved in the pathogenesis of IBD. For example, mice deficient of IL-10 spontaneously develop a chronic intestinal inflammation, which is dependent on the influence of the microflora</w:t>
      </w:r>
      <w:r w:rsidRPr="00F041FF">
        <w:rPr>
          <w:noProof/>
          <w:szCs w:val="24"/>
          <w:vertAlign w:val="superscript"/>
        </w:rPr>
        <w:t>[47]</w:t>
      </w:r>
      <w:r w:rsidRPr="00F041FF">
        <w:rPr>
          <w:szCs w:val="24"/>
        </w:rPr>
        <w:t>. Interestingly, the enterocolitis exacerbates in mice deficient for both IL-10 and TNF, indicating that TNF has some protective effects in this context</w:t>
      </w:r>
      <w:r w:rsidRPr="00F041FF">
        <w:rPr>
          <w:noProof/>
          <w:szCs w:val="24"/>
          <w:vertAlign w:val="superscript"/>
        </w:rPr>
        <w:t>[48]</w:t>
      </w:r>
      <w:r w:rsidRPr="00F041FF">
        <w:rPr>
          <w:szCs w:val="24"/>
        </w:rPr>
        <w:t xml:space="preserve">. Crucial mediators of inflammation in the gut are neutrophils and granulocytes that accumulate in inflamed areas and secrete proinflammatory cytokines, chemokines and recruit effector cells to the side of inflammation. In this setting, Agnholt </w:t>
      </w:r>
      <w:r w:rsidRPr="0013290E">
        <w:rPr>
          <w:i/>
          <w:szCs w:val="24"/>
        </w:rPr>
        <w:t>et al</w:t>
      </w:r>
      <w:r w:rsidRPr="00F041FF">
        <w:rPr>
          <w:szCs w:val="24"/>
        </w:rPr>
        <w:t xml:space="preserve"> reported that GM-CSF, a growth factor for granulocytes and neutrophils, was decreased in </w:t>
      </w:r>
      <w:r w:rsidR="004305C5" w:rsidRPr="00F041FF">
        <w:rPr>
          <w:szCs w:val="24"/>
        </w:rPr>
        <w:t>C</w:t>
      </w:r>
      <w:r w:rsidR="004305C5">
        <w:rPr>
          <w:rFonts w:hint="eastAsia"/>
          <w:szCs w:val="24"/>
          <w:lang w:eastAsia="zh-CN"/>
        </w:rPr>
        <w:t>D</w:t>
      </w:r>
      <w:r w:rsidRPr="00F041FF">
        <w:rPr>
          <w:szCs w:val="24"/>
        </w:rPr>
        <w:t xml:space="preserve"> patients after application of infliximab</w:t>
      </w:r>
      <w:r w:rsidRPr="00F041FF">
        <w:rPr>
          <w:noProof/>
          <w:szCs w:val="24"/>
          <w:vertAlign w:val="superscript"/>
        </w:rPr>
        <w:t>[49]</w:t>
      </w:r>
      <w:r w:rsidRPr="00F041FF">
        <w:rPr>
          <w:szCs w:val="24"/>
        </w:rPr>
        <w:t xml:space="preserve">. In accordance, also reduced peripheral blood neutrophils and diminished infiltration of polymorphonuclear cells in the lamina propria were observed after anti-TNF application. Furthermore, </w:t>
      </w:r>
      <w:r w:rsidRPr="00F041FF">
        <w:rPr>
          <w:i/>
          <w:szCs w:val="24"/>
        </w:rPr>
        <w:t xml:space="preserve">in vitro </w:t>
      </w:r>
      <w:r w:rsidRPr="00F041FF">
        <w:rPr>
          <w:szCs w:val="24"/>
        </w:rPr>
        <w:t xml:space="preserve">experiments using an intestinal T cell culture system showed that GM-CSF secretion by T cells was </w:t>
      </w:r>
      <w:r w:rsidRPr="00F041FF">
        <w:rPr>
          <w:szCs w:val="24"/>
        </w:rPr>
        <w:lastRenderedPageBreak/>
        <w:t xml:space="preserve">inhibited by infliximab, suggesting direct effects of infliximab on T cells. Apart from GM-CSF, the release of the proinflammatory cytokine </w:t>
      </w:r>
      <w:r w:rsidRPr="00F041FF">
        <w:rPr>
          <w:szCs w:val="24"/>
          <w:lang w:val="en-GB"/>
        </w:rPr>
        <w:t>IL-1 beta after stimulation of human monocytes with LPS was inhibited by anti-TNF agents. Herein, certolizumab pegol was the most potent inhibitor.  Infliximab and adalimumab were also able to inhibit IL-1 beta release at higher concentrations whereas etanercept only partially prevented IL-1 beta release</w:t>
      </w:r>
      <w:r w:rsidRPr="00F041FF">
        <w:rPr>
          <w:noProof/>
          <w:szCs w:val="24"/>
          <w:vertAlign w:val="superscript"/>
          <w:lang w:val="en-GB"/>
        </w:rPr>
        <w:t>[50]</w:t>
      </w:r>
      <w:r w:rsidRPr="00F041FF">
        <w:rPr>
          <w:szCs w:val="24"/>
          <w:lang w:val="en-GB"/>
        </w:rPr>
        <w:t xml:space="preserve">. Furthermore, </w:t>
      </w:r>
      <w:r w:rsidRPr="00F041FF">
        <w:rPr>
          <w:i/>
          <w:szCs w:val="24"/>
        </w:rPr>
        <w:t xml:space="preserve">in vitro </w:t>
      </w:r>
      <w:r w:rsidRPr="00F041FF">
        <w:rPr>
          <w:szCs w:val="24"/>
        </w:rPr>
        <w:t>analysis using PBMCs from patients with UC showed that incubation of the cells with infliximab inhibited secretion of the proinflammatory cytokines IFN-γ, IL-13, IL-17A and TNF</w:t>
      </w:r>
      <w:r w:rsidRPr="00F041FF">
        <w:rPr>
          <w:noProof/>
          <w:szCs w:val="24"/>
          <w:vertAlign w:val="superscript"/>
        </w:rPr>
        <w:t>[51]</w:t>
      </w:r>
      <w:r w:rsidRPr="00F041FF">
        <w:rPr>
          <w:szCs w:val="24"/>
        </w:rPr>
        <w:t xml:space="preserve">, cytokines reported to be critically involved in the pathogenesis of IBD. In addition, infliximab reduced the expression of TNF, IL-1, IL-6 and IL-8 by LPS-stimulated monocytes </w:t>
      </w:r>
      <w:r w:rsidRPr="00F041FF">
        <w:rPr>
          <w:i/>
          <w:szCs w:val="24"/>
        </w:rPr>
        <w:t>in vitro</w:t>
      </w:r>
      <w:r w:rsidR="004305C5">
        <w:rPr>
          <w:noProof/>
          <w:szCs w:val="24"/>
          <w:vertAlign w:val="superscript"/>
        </w:rPr>
        <w:t>[21,</w:t>
      </w:r>
      <w:r w:rsidRPr="00F041FF">
        <w:rPr>
          <w:noProof/>
          <w:szCs w:val="24"/>
          <w:vertAlign w:val="superscript"/>
        </w:rPr>
        <w:t>52]</w:t>
      </w:r>
      <w:r w:rsidRPr="00F041FF">
        <w:rPr>
          <w:szCs w:val="24"/>
        </w:rPr>
        <w:t>. In addition, the key Th1 cytokine IL-12 and the anti-inflammatory cytokine IL-10 were described to be affected by anti-TNF antibodies. Monocytes that were isolated from blood of healthy controls or CD patients expressed less IL-10 or IL-12 when they were incubated in the presence of adalimumab or infliximab, whereas etanercept had no effect in this setting</w:t>
      </w:r>
      <w:r w:rsidRPr="00F041FF">
        <w:rPr>
          <w:noProof/>
          <w:szCs w:val="24"/>
          <w:vertAlign w:val="superscript"/>
        </w:rPr>
        <w:t>[53]</w:t>
      </w:r>
      <w:r w:rsidRPr="00F041FF">
        <w:rPr>
          <w:szCs w:val="24"/>
        </w:rPr>
        <w:t>.</w:t>
      </w:r>
    </w:p>
    <w:p w:rsidR="00B728D3" w:rsidRPr="00F041FF" w:rsidRDefault="00B728D3" w:rsidP="004305C5">
      <w:pPr>
        <w:widowControl w:val="0"/>
        <w:snapToGrid w:val="0"/>
        <w:spacing w:after="0"/>
        <w:ind w:firstLineChars="100" w:firstLine="240"/>
        <w:rPr>
          <w:szCs w:val="24"/>
          <w:lang w:val="en-GB"/>
        </w:rPr>
      </w:pPr>
      <w:r w:rsidRPr="00F041FF">
        <w:rPr>
          <w:szCs w:val="24"/>
          <w:lang w:val="en-GB"/>
        </w:rPr>
        <w:t>Interestingly, a recent study analysed the regulation of 14169 different genes by anti-TNF antibodies and compared the changes in anti-TNF responders versus non-responders.  Intestinal biopsies from CD patients were used and compared to controls</w:t>
      </w:r>
      <w:r w:rsidRPr="00F041FF">
        <w:rPr>
          <w:noProof/>
          <w:szCs w:val="24"/>
          <w:vertAlign w:val="superscript"/>
          <w:lang w:val="en-GB"/>
        </w:rPr>
        <w:t>[54]</w:t>
      </w:r>
      <w:r w:rsidRPr="00F041FF">
        <w:rPr>
          <w:szCs w:val="24"/>
          <w:lang w:val="en-GB"/>
        </w:rPr>
        <w:t>. They identified some genes that were regulated by anti-TNF, such as IL-6, CD69, GPR183 and MMP9. Interestingly, the proinflammatory cytokine IL-6 was downregulated by anti-TNF agents but independently of clinical response to therapy. Of note, IL-1 beta and IL-17A were found to be significantly upregulated in patients with active CD and patients refractory to anti-TNF, in accordance with an enhanced Th17 cell population in inflammatory bowel diseases</w:t>
      </w:r>
      <w:r w:rsidRPr="00F041FF">
        <w:rPr>
          <w:noProof/>
          <w:szCs w:val="24"/>
          <w:vertAlign w:val="superscript"/>
          <w:lang w:val="en-GB"/>
        </w:rPr>
        <w:t>[3]</w:t>
      </w:r>
      <w:r w:rsidRPr="00F041FF">
        <w:rPr>
          <w:szCs w:val="24"/>
          <w:lang w:val="en-GB"/>
        </w:rPr>
        <w:t xml:space="preserve">, thereby representing possible targets in anti-TNF refractory patients. In contrast to this study, Katz </w:t>
      </w:r>
      <w:r w:rsidRPr="004305C5">
        <w:rPr>
          <w:i/>
          <w:szCs w:val="24"/>
          <w:lang w:val="en-GB"/>
        </w:rPr>
        <w:t>el al</w:t>
      </w:r>
      <w:r w:rsidR="004305C5" w:rsidRPr="004305C5">
        <w:rPr>
          <w:i/>
          <w:noProof/>
          <w:szCs w:val="24"/>
          <w:vertAlign w:val="superscript"/>
          <w:lang w:val="en-GB"/>
        </w:rPr>
        <w:t>[</w:t>
      </w:r>
      <w:r w:rsidR="004305C5" w:rsidRPr="00F041FF">
        <w:rPr>
          <w:noProof/>
          <w:szCs w:val="24"/>
          <w:vertAlign w:val="superscript"/>
          <w:lang w:val="en-GB"/>
        </w:rPr>
        <w:t>55]</w:t>
      </w:r>
      <w:r w:rsidRPr="00F041FF">
        <w:rPr>
          <w:szCs w:val="24"/>
          <w:lang w:val="en-GB"/>
        </w:rPr>
        <w:t xml:space="preserve"> found IL-17 levels not to be affected by anti-TNF therapy in CD patients but showed IL-2 to be significantly decreased during anti-TNF therapy. These contradictory findings may reflect biological differences between gene expression and protein expression. </w:t>
      </w:r>
    </w:p>
    <w:p w:rsidR="004305C5" w:rsidRDefault="004305C5" w:rsidP="00D4383F">
      <w:pPr>
        <w:pStyle w:val="Heading3"/>
        <w:keepNext w:val="0"/>
        <w:keepLines w:val="0"/>
        <w:widowControl w:val="0"/>
        <w:snapToGrid w:val="0"/>
        <w:spacing w:before="0"/>
        <w:rPr>
          <w:szCs w:val="24"/>
          <w:lang w:val="en-GB" w:eastAsia="zh-CN"/>
        </w:rPr>
      </w:pPr>
    </w:p>
    <w:p w:rsidR="00B728D3" w:rsidRPr="00F041FF" w:rsidRDefault="00B728D3" w:rsidP="00D4383F">
      <w:pPr>
        <w:pStyle w:val="Heading3"/>
        <w:keepNext w:val="0"/>
        <w:keepLines w:val="0"/>
        <w:widowControl w:val="0"/>
        <w:snapToGrid w:val="0"/>
        <w:spacing w:before="0"/>
        <w:rPr>
          <w:szCs w:val="24"/>
          <w:lang w:val="en-GB"/>
        </w:rPr>
      </w:pPr>
      <w:r w:rsidRPr="00F041FF">
        <w:rPr>
          <w:szCs w:val="24"/>
          <w:lang w:val="en-GB"/>
        </w:rPr>
        <w:t>T helper cell subsets</w:t>
      </w:r>
    </w:p>
    <w:p w:rsidR="00B728D3" w:rsidRPr="00F041FF" w:rsidRDefault="00B728D3" w:rsidP="00D4383F">
      <w:pPr>
        <w:widowControl w:val="0"/>
        <w:snapToGrid w:val="0"/>
        <w:spacing w:after="0"/>
        <w:rPr>
          <w:szCs w:val="24"/>
          <w:lang w:val="en-GB" w:eastAsia="zh-CN"/>
        </w:rPr>
      </w:pPr>
      <w:r w:rsidRPr="00F041FF">
        <w:rPr>
          <w:szCs w:val="24"/>
          <w:lang w:val="en-GB"/>
        </w:rPr>
        <w:t xml:space="preserve">T cells are critically involved in the pathogenesis of IBD and therefore, modulation of immune responses by influencing the presence of T helper cell subsets is thought to </w:t>
      </w:r>
      <w:r w:rsidRPr="00F041FF">
        <w:rPr>
          <w:szCs w:val="24"/>
          <w:lang w:val="en-GB"/>
        </w:rPr>
        <w:lastRenderedPageBreak/>
        <w:t xml:space="preserve">be an important effect of anti-TNF agents. Response and clinical remission could be the result of either a reduction in proinflammatory T cell subsets such as Th1, Th2 or Th17 cells or an enhanced presence of anti-inflammatory T helper cells, or both. In this regard, several studies investigated the number of pro- and anti-inflammatory T helper cell subsets before and after anti-TNF therapy. The influence of infliximab </w:t>
      </w:r>
      <w:r w:rsidRPr="00F041FF">
        <w:rPr>
          <w:i/>
          <w:szCs w:val="24"/>
          <w:lang w:val="en-GB"/>
        </w:rPr>
        <w:t>in vitro</w:t>
      </w:r>
      <w:r w:rsidRPr="00F041FF">
        <w:rPr>
          <w:szCs w:val="24"/>
          <w:lang w:val="en-GB"/>
        </w:rPr>
        <w:t xml:space="preserve"> on isolated T cells from the peripheral blood of UC patients was examined by Dahlén </w:t>
      </w:r>
      <w:r w:rsidRPr="004305C5">
        <w:rPr>
          <w:i/>
          <w:szCs w:val="24"/>
          <w:lang w:val="en-GB"/>
        </w:rPr>
        <w:t>et al</w:t>
      </w:r>
      <w:r w:rsidRPr="00F041FF">
        <w:rPr>
          <w:noProof/>
          <w:szCs w:val="24"/>
          <w:vertAlign w:val="superscript"/>
          <w:lang w:val="en-GB"/>
        </w:rPr>
        <w:t>[51]</w:t>
      </w:r>
      <w:r w:rsidRPr="00F041FF">
        <w:rPr>
          <w:szCs w:val="24"/>
          <w:lang w:val="en-GB"/>
        </w:rPr>
        <w:t>. The T cell activation marker CD25 was reduced on both CD4+ and CD8+ blood T cells and their proliferation was inhibited after incubation with infliximab. In accordance, the level</w:t>
      </w:r>
      <w:r w:rsidR="00507575">
        <w:rPr>
          <w:szCs w:val="24"/>
          <w:lang w:val="en-GB"/>
        </w:rPr>
        <w:t>s</w:t>
      </w:r>
      <w:r w:rsidRPr="00F041FF">
        <w:rPr>
          <w:szCs w:val="24"/>
          <w:lang w:val="en-GB"/>
        </w:rPr>
        <w:t xml:space="preserve"> of proinflammatory cytokines such as IFN-γ, IL-13, IL-17A, TNF and granzyme A were inhibited. The authors also investigated effects of infliximab on regulatory T cell populations; however, the results regarding CD4</w:t>
      </w:r>
      <w:r w:rsidR="004305C5">
        <w:rPr>
          <w:szCs w:val="24"/>
          <w:lang w:val="en-GB"/>
        </w:rPr>
        <w:t>+ Foxp3+ T cells were ambiguous</w:t>
      </w:r>
      <w:r w:rsidRPr="00F041FF">
        <w:rPr>
          <w:noProof/>
          <w:szCs w:val="24"/>
          <w:vertAlign w:val="superscript"/>
          <w:lang w:val="en-GB"/>
        </w:rPr>
        <w:t>[51]</w:t>
      </w:r>
      <w:r w:rsidRPr="00F041FF">
        <w:rPr>
          <w:szCs w:val="24"/>
          <w:lang w:val="en-GB"/>
        </w:rPr>
        <w:t xml:space="preserve">. Importantly, effects of infliximab on blood or mucosal T cells were shown not to be identical. Herein, Li </w:t>
      </w:r>
      <w:r w:rsidRPr="0013290E">
        <w:rPr>
          <w:i/>
          <w:szCs w:val="24"/>
          <w:lang w:val="en-GB"/>
        </w:rPr>
        <w:t>et al</w:t>
      </w:r>
      <w:r w:rsidRPr="00F041FF">
        <w:rPr>
          <w:szCs w:val="24"/>
          <w:lang w:val="en-GB"/>
        </w:rPr>
        <w:t xml:space="preserve"> described that infliximab therapy resulted in an increase in CD4+CD25+Foxp3+ and CD4+CD25-Foxp3+ regulatory T cell populations in the blood of both UC and CD patients; in contrast, </w:t>
      </w:r>
      <w:r w:rsidRPr="00F041FF">
        <w:rPr>
          <w:i/>
          <w:szCs w:val="24"/>
          <w:lang w:val="en-GB"/>
        </w:rPr>
        <w:t>Foxp3</w:t>
      </w:r>
      <w:r w:rsidRPr="00F041FF">
        <w:rPr>
          <w:szCs w:val="24"/>
          <w:lang w:val="en-GB"/>
        </w:rPr>
        <w:t xml:space="preserve"> mRNA and protein were downregulated in the mucosa, possibly reflecting increased apoptosis rates or downregulated T cell activation in the intestine during therapy</w:t>
      </w:r>
      <w:r w:rsidRPr="00F041FF">
        <w:rPr>
          <w:noProof/>
          <w:szCs w:val="24"/>
          <w:vertAlign w:val="superscript"/>
          <w:lang w:val="en-GB"/>
        </w:rPr>
        <w:t>[56]</w:t>
      </w:r>
      <w:r w:rsidRPr="00F041FF">
        <w:rPr>
          <w:szCs w:val="24"/>
          <w:lang w:val="en-GB"/>
        </w:rPr>
        <w:t>. Other studies described general reduction of T cells in the mucosa after</w:t>
      </w:r>
      <w:r w:rsidR="004305C5">
        <w:rPr>
          <w:szCs w:val="24"/>
          <w:lang w:val="en-GB"/>
        </w:rPr>
        <w:t xml:space="preserve"> infliximab therapy for both CD</w:t>
      </w:r>
      <w:r w:rsidRPr="00F041FF">
        <w:rPr>
          <w:noProof/>
          <w:szCs w:val="24"/>
          <w:vertAlign w:val="superscript"/>
          <w:lang w:val="en-GB"/>
        </w:rPr>
        <w:t>[57]</w:t>
      </w:r>
      <w:r w:rsidR="004305C5">
        <w:rPr>
          <w:szCs w:val="24"/>
          <w:lang w:val="en-GB"/>
        </w:rPr>
        <w:t xml:space="preserve"> and UC patients</w:t>
      </w:r>
      <w:r w:rsidRPr="00F041FF">
        <w:rPr>
          <w:noProof/>
          <w:szCs w:val="24"/>
          <w:vertAlign w:val="superscript"/>
          <w:lang w:val="en-GB"/>
        </w:rPr>
        <w:t>[58]</w:t>
      </w:r>
      <w:r w:rsidRPr="00F041FF">
        <w:rPr>
          <w:szCs w:val="24"/>
          <w:lang w:val="en-GB"/>
        </w:rPr>
        <w:t xml:space="preserve">. A direct effect of adalimumab on T cell populations could be elegantly demonstrated by Maggi </w:t>
      </w:r>
      <w:r w:rsidRPr="004305C5">
        <w:rPr>
          <w:i/>
          <w:szCs w:val="24"/>
          <w:lang w:val="en-GB"/>
        </w:rPr>
        <w:t>et al</w:t>
      </w:r>
      <w:r w:rsidRPr="00F041FF">
        <w:rPr>
          <w:noProof/>
          <w:szCs w:val="24"/>
          <w:vertAlign w:val="superscript"/>
          <w:lang w:val="en-GB"/>
        </w:rPr>
        <w:t>[59]</w:t>
      </w:r>
      <w:r w:rsidRPr="00F041FF">
        <w:rPr>
          <w:szCs w:val="24"/>
          <w:lang w:val="en-GB"/>
        </w:rPr>
        <w:t>. Local injection of adalimumab along perianal fistulas in CD patients resulted in decrease of infiltrating CD4+ CD161+ T cells whereas no systemic effects on circulating T cells could be detected</w:t>
      </w:r>
      <w:r w:rsidRPr="00F041FF">
        <w:rPr>
          <w:noProof/>
          <w:szCs w:val="24"/>
          <w:vertAlign w:val="superscript"/>
          <w:lang w:val="en-GB"/>
        </w:rPr>
        <w:t>[59]</w:t>
      </w:r>
      <w:r w:rsidR="004305C5">
        <w:rPr>
          <w:szCs w:val="24"/>
          <w:lang w:val="en-GB"/>
        </w:rPr>
        <w:t>.</w:t>
      </w:r>
    </w:p>
    <w:p w:rsidR="00B728D3" w:rsidRPr="00F041FF" w:rsidRDefault="00B728D3" w:rsidP="004305C5">
      <w:pPr>
        <w:widowControl w:val="0"/>
        <w:snapToGrid w:val="0"/>
        <w:spacing w:after="0"/>
        <w:ind w:firstLineChars="100" w:firstLine="240"/>
        <w:rPr>
          <w:szCs w:val="24"/>
          <w:lang w:val="en-GB"/>
        </w:rPr>
      </w:pPr>
      <w:r w:rsidRPr="00F041FF">
        <w:rPr>
          <w:szCs w:val="24"/>
          <w:lang w:val="en-GB"/>
        </w:rPr>
        <w:t>In addition, infliximab has been shown not only to suppress CD4 T cell activation, but also to downregulate IL-21 expression by mucosal CD4+ T cells and consequently, inhibit Th17 differentiation. Using intestinal biopsies of CD patients before and after infliximab therapy, the authors could clearly show that intestinal mucosal healing during therapy was due to down-regulation of mucosal infiltration of the highly proinflammatory Th17 cells through diminished IL-21 expression, a cytokine that is pivotal to Th17 cell differentiation</w:t>
      </w:r>
      <w:r w:rsidR="004305C5" w:rsidRPr="00F041FF">
        <w:rPr>
          <w:noProof/>
          <w:szCs w:val="24"/>
          <w:vertAlign w:val="superscript"/>
          <w:lang w:val="en-GB"/>
        </w:rPr>
        <w:t>[60]</w:t>
      </w:r>
      <w:r w:rsidRPr="00F041FF">
        <w:rPr>
          <w:szCs w:val="24"/>
          <w:lang w:val="en-GB"/>
        </w:rPr>
        <w:t xml:space="preserve">. In summary, these studies clearly indicate that effects of anti-TNF antibodies on T cells are complex and differ between peripheral and mucosal T cells, as well as </w:t>
      </w:r>
      <w:r w:rsidRPr="004305C5">
        <w:rPr>
          <w:i/>
          <w:szCs w:val="24"/>
          <w:lang w:val="en-GB"/>
        </w:rPr>
        <w:t>in vivo</w:t>
      </w:r>
      <w:r w:rsidRPr="00F041FF">
        <w:rPr>
          <w:szCs w:val="24"/>
          <w:lang w:val="en-GB"/>
        </w:rPr>
        <w:t xml:space="preserve"> and</w:t>
      </w:r>
      <w:r w:rsidRPr="004305C5">
        <w:rPr>
          <w:i/>
          <w:szCs w:val="24"/>
          <w:lang w:val="en-GB"/>
        </w:rPr>
        <w:t xml:space="preserve"> in vitro</w:t>
      </w:r>
      <w:r w:rsidRPr="00F041FF">
        <w:rPr>
          <w:szCs w:val="24"/>
          <w:lang w:val="en-GB"/>
        </w:rPr>
        <w:t xml:space="preserve">.  </w:t>
      </w:r>
    </w:p>
    <w:p w:rsidR="004305C5" w:rsidRDefault="004305C5" w:rsidP="00D4383F">
      <w:pPr>
        <w:pStyle w:val="Heading3"/>
        <w:keepNext w:val="0"/>
        <w:keepLines w:val="0"/>
        <w:widowControl w:val="0"/>
        <w:snapToGrid w:val="0"/>
        <w:spacing w:before="0"/>
        <w:rPr>
          <w:szCs w:val="24"/>
          <w:lang w:val="en-GB" w:eastAsia="zh-CN"/>
        </w:rPr>
      </w:pPr>
    </w:p>
    <w:p w:rsidR="00B728D3" w:rsidRPr="00F041FF" w:rsidRDefault="00B728D3" w:rsidP="00D4383F">
      <w:pPr>
        <w:pStyle w:val="Heading3"/>
        <w:keepNext w:val="0"/>
        <w:keepLines w:val="0"/>
        <w:widowControl w:val="0"/>
        <w:snapToGrid w:val="0"/>
        <w:spacing w:before="0"/>
        <w:rPr>
          <w:szCs w:val="24"/>
          <w:lang w:val="en-GB"/>
        </w:rPr>
      </w:pPr>
      <w:r w:rsidRPr="00F041FF">
        <w:rPr>
          <w:szCs w:val="24"/>
          <w:lang w:val="en-GB"/>
        </w:rPr>
        <w:t>Epithelial cells, angiogenesis and immunosuppressive macrophages</w:t>
      </w:r>
    </w:p>
    <w:p w:rsidR="00B728D3" w:rsidRPr="00F041FF" w:rsidRDefault="00B728D3" w:rsidP="00D4383F">
      <w:pPr>
        <w:widowControl w:val="0"/>
        <w:snapToGrid w:val="0"/>
        <w:spacing w:after="0"/>
        <w:rPr>
          <w:szCs w:val="24"/>
          <w:lang w:val="en-GB"/>
        </w:rPr>
      </w:pPr>
      <w:r w:rsidRPr="00F041FF">
        <w:rPr>
          <w:szCs w:val="24"/>
          <w:lang w:val="en-GB"/>
        </w:rPr>
        <w:t xml:space="preserve">In addition to shifts in cell populations, effects of anti-TNF antibodies on the epithelial barrier function have been also examined. For example, adalimumab has been shown to prevent barrier dysfunction induced by TNF </w:t>
      </w:r>
      <w:r w:rsidRPr="00F041FF">
        <w:rPr>
          <w:i/>
          <w:szCs w:val="24"/>
        </w:rPr>
        <w:t xml:space="preserve">in vitro </w:t>
      </w:r>
      <w:r w:rsidRPr="00F041FF">
        <w:rPr>
          <w:szCs w:val="24"/>
          <w:lang w:val="en-GB"/>
        </w:rPr>
        <w:t>using the intestinal epithelial cell lines Caco-2 and T-84</w:t>
      </w:r>
      <w:r w:rsidRPr="00F041FF">
        <w:rPr>
          <w:noProof/>
          <w:szCs w:val="24"/>
          <w:vertAlign w:val="superscript"/>
          <w:lang w:val="en-GB"/>
        </w:rPr>
        <w:t>[61]</w:t>
      </w:r>
      <w:r w:rsidRPr="00F041FF">
        <w:rPr>
          <w:szCs w:val="24"/>
          <w:lang w:val="en-GB"/>
        </w:rPr>
        <w:t xml:space="preserve">. Furthermore, a role of infliximab in restoring epithelial barrier dysfunction in </w:t>
      </w:r>
      <w:r w:rsidR="004305C5" w:rsidRPr="00F041FF">
        <w:rPr>
          <w:szCs w:val="24"/>
        </w:rPr>
        <w:t>C</w:t>
      </w:r>
      <w:r w:rsidR="004305C5">
        <w:rPr>
          <w:rFonts w:hint="eastAsia"/>
          <w:szCs w:val="24"/>
          <w:lang w:eastAsia="zh-CN"/>
        </w:rPr>
        <w:t>D</w:t>
      </w:r>
      <w:r w:rsidRPr="00F041FF">
        <w:rPr>
          <w:szCs w:val="24"/>
          <w:lang w:val="en-GB"/>
        </w:rPr>
        <w:t xml:space="preserve"> has been described. Herein, downregulation of epithelial apoptosis was noticed in 10 of 11 patients undergoing therapy with infliximab</w:t>
      </w:r>
      <w:r w:rsidRPr="00F041FF">
        <w:rPr>
          <w:noProof/>
          <w:szCs w:val="24"/>
          <w:vertAlign w:val="superscript"/>
          <w:lang w:val="en-GB"/>
        </w:rPr>
        <w:t>[62]</w:t>
      </w:r>
      <w:r w:rsidRPr="00F041FF">
        <w:rPr>
          <w:szCs w:val="24"/>
          <w:lang w:val="en-GB"/>
        </w:rPr>
        <w:t xml:space="preserve">. Additionally, effects of anti-TNF antibodies on the mucosal microcirculation have been reported. In this context, infliximab was shown to downregulate CD40 expression by intestinal microvessels </w:t>
      </w:r>
      <w:r w:rsidRPr="00F041FF">
        <w:rPr>
          <w:i/>
          <w:szCs w:val="24"/>
        </w:rPr>
        <w:t>in vivo</w:t>
      </w:r>
      <w:r w:rsidRPr="00F041FF">
        <w:rPr>
          <w:szCs w:val="24"/>
        </w:rPr>
        <w:t xml:space="preserve"> </w:t>
      </w:r>
      <w:r w:rsidRPr="00F041FF">
        <w:rPr>
          <w:szCs w:val="24"/>
          <w:lang w:val="en-GB"/>
        </w:rPr>
        <w:t>in the mucosa of CD patients on the one hand and to reduce the levels of sCD40L in the circulation on the other hand, indicating an inhibition of vascular inflammation in the gut</w:t>
      </w:r>
      <w:r w:rsidRPr="00F041FF">
        <w:rPr>
          <w:noProof/>
          <w:szCs w:val="24"/>
          <w:vertAlign w:val="superscript"/>
          <w:lang w:val="en-GB"/>
        </w:rPr>
        <w:t>[63]</w:t>
      </w:r>
      <w:r w:rsidRPr="00F041FF">
        <w:rPr>
          <w:szCs w:val="24"/>
          <w:lang w:val="en-GB"/>
        </w:rPr>
        <w:t>. In addition, infliximab downregulated mucosal angiogenesis in CD patients</w:t>
      </w:r>
      <w:r w:rsidRPr="00F041FF">
        <w:rPr>
          <w:noProof/>
          <w:szCs w:val="24"/>
          <w:vertAlign w:val="superscript"/>
          <w:lang w:val="en-GB"/>
        </w:rPr>
        <w:t>[64]</w:t>
      </w:r>
      <w:r w:rsidRPr="00F041FF">
        <w:rPr>
          <w:szCs w:val="24"/>
          <w:lang w:val="en-GB"/>
        </w:rPr>
        <w:t xml:space="preserve">. A direct effect of infliximab on myofibroblasts has been described by Di Sabatino </w:t>
      </w:r>
      <w:r w:rsidRPr="004305C5">
        <w:rPr>
          <w:i/>
          <w:szCs w:val="24"/>
          <w:lang w:val="en-GB"/>
        </w:rPr>
        <w:t>et al</w:t>
      </w:r>
      <w:r w:rsidRPr="00F041FF">
        <w:rPr>
          <w:noProof/>
          <w:szCs w:val="24"/>
          <w:vertAlign w:val="superscript"/>
          <w:lang w:val="en-GB"/>
        </w:rPr>
        <w:t>[65]</w:t>
      </w:r>
      <w:r w:rsidRPr="00F041FF">
        <w:rPr>
          <w:szCs w:val="24"/>
          <w:lang w:val="en-GB"/>
        </w:rPr>
        <w:t>. Myofibroblasts isolated from CD patients expressed more mTNF than control myofibroblasts and infliximab significantly augmented the migration ability from CD myofibroblasts in a tissue inhibitor of metalloproteinases</w:t>
      </w:r>
      <w:r w:rsidR="00916CDA" w:rsidRPr="00F041FF">
        <w:rPr>
          <w:szCs w:val="24"/>
          <w:lang w:val="en-GB"/>
        </w:rPr>
        <w:t xml:space="preserve"> </w:t>
      </w:r>
      <w:r w:rsidRPr="00F041FF">
        <w:rPr>
          <w:szCs w:val="24"/>
          <w:lang w:val="en-GB"/>
        </w:rPr>
        <w:t>(TIMP)-1-dependent manner, suggesting another mode-of-action of anti-TNF antibodies that results in enhanced mucosal healing. However, the TIMP-1 production was also increased by adalimumab and etanercept, so it is still unclear if this effect is relevant for induction of clinical remission in CD. Interestingly, the induction of immunosuppressive macrophages has been suggested as mechanism of action of anti-TNF antibodies</w:t>
      </w:r>
      <w:r w:rsidRPr="00F041FF">
        <w:rPr>
          <w:noProof/>
          <w:szCs w:val="24"/>
          <w:vertAlign w:val="superscript"/>
          <w:lang w:val="en-GB"/>
        </w:rPr>
        <w:t>[42]</w:t>
      </w:r>
      <w:r w:rsidRPr="00F041FF">
        <w:rPr>
          <w:szCs w:val="24"/>
          <w:lang w:val="en-GB"/>
        </w:rPr>
        <w:t>. Therefore, the influence of infliximab, adalimumab, certolizumab pegol and etanercept was investigated in PBMCs from healthy controls. The T cell proliferation was diminished by infliximab and adalimumab in a mixed lymphocyte reaction, whereas certolizumab pegol and etanercept had no effect. The inhibition of proliferation was driven by immunosuppressive CD14+ macrophages that secreted large amounts of the anti-inflammatory cytokine IL-10 and were activated by the Fc region of the antibodies</w:t>
      </w:r>
      <w:r w:rsidRPr="00F041FF">
        <w:rPr>
          <w:noProof/>
          <w:szCs w:val="24"/>
          <w:vertAlign w:val="superscript"/>
          <w:lang w:val="en-GB"/>
        </w:rPr>
        <w:t>[42]</w:t>
      </w:r>
      <w:r w:rsidRPr="00F041FF">
        <w:rPr>
          <w:szCs w:val="24"/>
          <w:lang w:val="en-GB"/>
        </w:rPr>
        <w:t xml:space="preserve">. The same authors later showed that regulatory macrophages were induced in IBD patients with mucosal healing upon infliximab treatment and functionally, these macrophages had the ability to induce wound </w:t>
      </w:r>
      <w:r w:rsidRPr="00F041FF">
        <w:rPr>
          <w:szCs w:val="24"/>
          <w:lang w:val="en-GB"/>
        </w:rPr>
        <w:lastRenderedPageBreak/>
        <w:t xml:space="preserve">healing </w:t>
      </w:r>
      <w:r w:rsidRPr="00F041FF">
        <w:rPr>
          <w:i/>
          <w:szCs w:val="24"/>
          <w:lang w:val="en-GB"/>
        </w:rPr>
        <w:t>in vitro</w:t>
      </w:r>
      <w:r w:rsidRPr="00F041FF">
        <w:rPr>
          <w:noProof/>
          <w:szCs w:val="24"/>
          <w:vertAlign w:val="superscript"/>
          <w:lang w:val="en-GB"/>
        </w:rPr>
        <w:t>[66]</w:t>
      </w:r>
      <w:r w:rsidRPr="00F041FF">
        <w:rPr>
          <w:szCs w:val="24"/>
          <w:lang w:val="en-GB"/>
        </w:rPr>
        <w:t>.</w:t>
      </w:r>
    </w:p>
    <w:p w:rsidR="00B728D3" w:rsidRPr="00F041FF" w:rsidRDefault="00B728D3" w:rsidP="004305C5">
      <w:pPr>
        <w:widowControl w:val="0"/>
        <w:snapToGrid w:val="0"/>
        <w:spacing w:after="0"/>
        <w:ind w:firstLineChars="100" w:firstLine="240"/>
        <w:rPr>
          <w:szCs w:val="24"/>
          <w:lang w:val="en-GB"/>
        </w:rPr>
      </w:pPr>
      <w:r w:rsidRPr="00F041FF">
        <w:rPr>
          <w:szCs w:val="24"/>
          <w:lang w:val="en-GB"/>
        </w:rPr>
        <w:t>In summary, several effects of anti-TNF antibodies on the immune system have been described. The reduction of proinflammatory T cell subsets on the one hand and the induction of regulatory T cells on the other hand clearly contributes to resolution of inflammation. In addition, the induction of regulatory macrophages</w:t>
      </w:r>
      <w:r w:rsidRPr="00F041FF">
        <w:rPr>
          <w:noProof/>
          <w:szCs w:val="24"/>
          <w:vertAlign w:val="superscript"/>
          <w:lang w:val="en-GB"/>
        </w:rPr>
        <w:t>[42]</w:t>
      </w:r>
      <w:r w:rsidRPr="00F041FF">
        <w:rPr>
          <w:szCs w:val="24"/>
          <w:lang w:val="en-GB"/>
        </w:rPr>
        <w:t xml:space="preserve"> and effects on mucosal healing</w:t>
      </w:r>
      <w:r w:rsidR="004305C5">
        <w:rPr>
          <w:noProof/>
          <w:szCs w:val="24"/>
          <w:vertAlign w:val="superscript"/>
          <w:lang w:val="en-GB"/>
        </w:rPr>
        <w:t>[61,62,</w:t>
      </w:r>
      <w:r w:rsidRPr="00F041FF">
        <w:rPr>
          <w:noProof/>
          <w:szCs w:val="24"/>
          <w:vertAlign w:val="superscript"/>
          <w:lang w:val="en-GB"/>
        </w:rPr>
        <w:t>65]</w:t>
      </w:r>
      <w:r w:rsidRPr="00F041FF">
        <w:rPr>
          <w:szCs w:val="24"/>
          <w:lang w:val="en-GB"/>
        </w:rPr>
        <w:t xml:space="preserve"> have been suggested.</w:t>
      </w:r>
    </w:p>
    <w:p w:rsidR="004305C5" w:rsidRDefault="004305C5" w:rsidP="00D4383F">
      <w:pPr>
        <w:pStyle w:val="Heading2"/>
        <w:keepNext w:val="0"/>
        <w:keepLines w:val="0"/>
        <w:widowControl w:val="0"/>
        <w:snapToGrid w:val="0"/>
        <w:spacing w:before="0"/>
        <w:rPr>
          <w:szCs w:val="24"/>
          <w:lang w:val="en-GB" w:eastAsia="zh-CN"/>
        </w:rPr>
      </w:pPr>
    </w:p>
    <w:p w:rsidR="00B728D3" w:rsidRPr="004305C5" w:rsidRDefault="00B728D3" w:rsidP="00D4383F">
      <w:pPr>
        <w:pStyle w:val="Heading2"/>
        <w:keepNext w:val="0"/>
        <w:keepLines w:val="0"/>
        <w:widowControl w:val="0"/>
        <w:snapToGrid w:val="0"/>
        <w:spacing w:before="0"/>
        <w:rPr>
          <w:caps/>
          <w:szCs w:val="24"/>
          <w:lang w:val="en-GB"/>
        </w:rPr>
      </w:pPr>
      <w:r w:rsidRPr="004305C5">
        <w:rPr>
          <w:caps/>
          <w:szCs w:val="24"/>
          <w:lang w:val="en-GB"/>
        </w:rPr>
        <w:t>Outside-to-inside signalling</w:t>
      </w:r>
    </w:p>
    <w:p w:rsidR="00B728D3" w:rsidRPr="00F041FF" w:rsidRDefault="00B728D3" w:rsidP="00D4383F">
      <w:pPr>
        <w:widowControl w:val="0"/>
        <w:snapToGrid w:val="0"/>
        <w:spacing w:after="0"/>
        <w:rPr>
          <w:szCs w:val="24"/>
          <w:lang w:val="en-GB"/>
        </w:rPr>
      </w:pPr>
      <w:r w:rsidRPr="00F041FF">
        <w:rPr>
          <w:szCs w:val="24"/>
          <w:lang w:val="en-GB"/>
        </w:rPr>
        <w:t>As mentioned before, activation of the membrane-bound form of TNF can result in bidirectional signalling. The function of mTNF not only as a ligand but also as a receptor is called “outside-to-inside signal” or reverse signalling. Reverse signalling by mTNF on monocytes/macrophages confers resistance to bacterial lipopolysaccharide (LPS)</w:t>
      </w:r>
      <w:r w:rsidRPr="00F041FF">
        <w:rPr>
          <w:noProof/>
          <w:szCs w:val="24"/>
          <w:vertAlign w:val="superscript"/>
          <w:lang w:val="en-GB"/>
        </w:rPr>
        <w:t>[67]</w:t>
      </w:r>
      <w:r w:rsidRPr="00F041FF">
        <w:rPr>
          <w:szCs w:val="24"/>
          <w:lang w:val="en-GB"/>
        </w:rPr>
        <w:t>, suggesting that this pathway represents a silencing signal. A very recent paper demonstrated that the immune-suppressive effect of mTNF following LPS stimulation in macrophages was mediated by TGF-β via activation of the MAPK kinase, interestingly this effect was mediated by infliximab and golimumab whereas etanercept failed to induce TGF-β in human macrophages</w:t>
      </w:r>
      <w:r w:rsidRPr="00F041FF">
        <w:rPr>
          <w:szCs w:val="24"/>
          <w:vertAlign w:val="superscript"/>
          <w:lang w:val="en-GB"/>
        </w:rPr>
        <w:t>[68]</w:t>
      </w:r>
      <w:r w:rsidRPr="00F041FF">
        <w:rPr>
          <w:szCs w:val="24"/>
          <w:lang w:val="en-GB"/>
        </w:rPr>
        <w:t>. Functional studies showed that LPS resistance downstream of mTNF is mediated through protein kinase-C dependent and independent pathways in monocytic cells</w:t>
      </w:r>
      <w:r w:rsidRPr="00F041FF">
        <w:rPr>
          <w:noProof/>
          <w:szCs w:val="24"/>
          <w:vertAlign w:val="superscript"/>
          <w:lang w:val="en-GB"/>
        </w:rPr>
        <w:t>[67]</w:t>
      </w:r>
      <w:r w:rsidRPr="00F041FF">
        <w:rPr>
          <w:szCs w:val="24"/>
          <w:lang w:val="en-GB"/>
        </w:rPr>
        <w:t>. In addition, enhanced secretion of IL-2 and IFN-γ</w:t>
      </w:r>
      <w:r w:rsidRPr="00F041FF">
        <w:rPr>
          <w:noProof/>
          <w:szCs w:val="24"/>
          <w:vertAlign w:val="superscript"/>
          <w:lang w:val="en-GB"/>
        </w:rPr>
        <w:t>[</w:t>
      </w:r>
      <w:r w:rsidR="00487C34" w:rsidRPr="00F041FF">
        <w:rPr>
          <w:noProof/>
          <w:szCs w:val="24"/>
          <w:vertAlign w:val="superscript"/>
          <w:lang w:val="en-GB"/>
        </w:rPr>
        <w:t>69</w:t>
      </w:r>
      <w:r w:rsidRPr="00F041FF">
        <w:rPr>
          <w:noProof/>
          <w:szCs w:val="24"/>
          <w:vertAlign w:val="superscript"/>
          <w:lang w:val="en-GB"/>
        </w:rPr>
        <w:t>]</w:t>
      </w:r>
      <w:r w:rsidRPr="00F041FF">
        <w:rPr>
          <w:szCs w:val="24"/>
          <w:lang w:val="en-GB"/>
        </w:rPr>
        <w:t xml:space="preserve"> and an upregulation of E-selectin in T cells have been reported</w:t>
      </w:r>
      <w:r w:rsidRPr="00F041FF">
        <w:rPr>
          <w:noProof/>
          <w:szCs w:val="24"/>
          <w:vertAlign w:val="superscript"/>
          <w:lang w:val="en-GB"/>
        </w:rPr>
        <w:t>[</w:t>
      </w:r>
      <w:r w:rsidR="00487C34" w:rsidRPr="00F041FF">
        <w:rPr>
          <w:noProof/>
          <w:szCs w:val="24"/>
          <w:vertAlign w:val="superscript"/>
          <w:lang w:val="en-GB"/>
        </w:rPr>
        <w:t>70</w:t>
      </w:r>
      <w:r w:rsidRPr="00F041FF">
        <w:rPr>
          <w:noProof/>
          <w:szCs w:val="24"/>
          <w:vertAlign w:val="superscript"/>
          <w:lang w:val="en-GB"/>
        </w:rPr>
        <w:t>]</w:t>
      </w:r>
      <w:r w:rsidRPr="00F041FF">
        <w:rPr>
          <w:szCs w:val="24"/>
          <w:lang w:val="en-GB"/>
        </w:rPr>
        <w:t>. Furthermore, apoptosis induction as consequence of reverse signalling has also been proposed in CD patients</w:t>
      </w:r>
      <w:r w:rsidR="0018569A">
        <w:rPr>
          <w:noProof/>
          <w:szCs w:val="24"/>
          <w:vertAlign w:val="superscript"/>
          <w:lang w:val="en-GB"/>
        </w:rPr>
        <w:t>[43,</w:t>
      </w:r>
      <w:r w:rsidR="00487C34" w:rsidRPr="00F041FF">
        <w:rPr>
          <w:noProof/>
          <w:szCs w:val="24"/>
          <w:vertAlign w:val="superscript"/>
          <w:lang w:val="en-GB"/>
        </w:rPr>
        <w:t>71</w:t>
      </w:r>
      <w:r w:rsidRPr="00F041FF">
        <w:rPr>
          <w:noProof/>
          <w:szCs w:val="24"/>
          <w:vertAlign w:val="superscript"/>
          <w:lang w:val="en-GB"/>
        </w:rPr>
        <w:t>]</w:t>
      </w:r>
      <w:r w:rsidRPr="00F041FF">
        <w:rPr>
          <w:szCs w:val="24"/>
          <w:lang w:val="en-GB"/>
        </w:rPr>
        <w:t xml:space="preserve">. A study by Mitoma </w:t>
      </w:r>
      <w:r w:rsidRPr="004305C5">
        <w:rPr>
          <w:i/>
          <w:szCs w:val="24"/>
          <w:lang w:val="en-GB"/>
        </w:rPr>
        <w:t>et al</w:t>
      </w:r>
      <w:r w:rsidR="004305C5" w:rsidRPr="00F041FF">
        <w:rPr>
          <w:noProof/>
          <w:szCs w:val="24"/>
          <w:vertAlign w:val="superscript"/>
          <w:lang w:val="en-GB"/>
        </w:rPr>
        <w:t>[72]</w:t>
      </w:r>
      <w:r w:rsidR="004305C5">
        <w:rPr>
          <w:rFonts w:hint="eastAsia"/>
          <w:szCs w:val="24"/>
          <w:lang w:val="en-GB" w:eastAsia="zh-CN"/>
        </w:rPr>
        <w:t xml:space="preserve"> </w:t>
      </w:r>
      <w:r w:rsidRPr="00F041FF">
        <w:rPr>
          <w:szCs w:val="24"/>
          <w:lang w:val="en-GB"/>
        </w:rPr>
        <w:t>shed light on the reverse signalling pathway induced by infliximab and etanercept. Herein, human Jurkat T cells were stably transfected with a wild-type and a mutant form of mTNF. E-selectin expression was induced by both agents, but only infliximab induced the expression of the anti-inflammatory cytokine IL-10, activation of ROS accumulation and apoptosis by upregulation of Bax and Bak</w:t>
      </w:r>
      <w:r w:rsidRPr="00F041FF">
        <w:rPr>
          <w:noProof/>
          <w:szCs w:val="24"/>
          <w:vertAlign w:val="superscript"/>
          <w:lang w:val="en-GB"/>
        </w:rPr>
        <w:t>[</w:t>
      </w:r>
      <w:r w:rsidR="00487C34" w:rsidRPr="00F041FF">
        <w:rPr>
          <w:noProof/>
          <w:szCs w:val="24"/>
          <w:vertAlign w:val="superscript"/>
          <w:lang w:val="en-GB"/>
        </w:rPr>
        <w:t>72</w:t>
      </w:r>
      <w:r w:rsidRPr="00F041FF">
        <w:rPr>
          <w:noProof/>
          <w:szCs w:val="24"/>
          <w:vertAlign w:val="superscript"/>
          <w:lang w:val="en-GB"/>
        </w:rPr>
        <w:t>]</w:t>
      </w:r>
      <w:r w:rsidRPr="00F041FF">
        <w:rPr>
          <w:szCs w:val="24"/>
          <w:lang w:val="en-GB"/>
        </w:rPr>
        <w:t>. Interestingly, their finding that infliximab further induced G0/G1 cell cycle arrest elucidated another mechanism of action of anti-TNF antibodies. Later the induction of cell cycle arrest was shown to be mediated by adalimumab as well</w:t>
      </w:r>
      <w:r w:rsidRPr="00F041FF">
        <w:rPr>
          <w:noProof/>
          <w:szCs w:val="24"/>
          <w:vertAlign w:val="superscript"/>
          <w:lang w:val="en-GB"/>
        </w:rPr>
        <w:t>[</w:t>
      </w:r>
      <w:r w:rsidR="00487C34" w:rsidRPr="00F041FF">
        <w:rPr>
          <w:noProof/>
          <w:szCs w:val="24"/>
          <w:vertAlign w:val="superscript"/>
          <w:lang w:val="en-GB"/>
        </w:rPr>
        <w:t>73</w:t>
      </w:r>
      <w:r w:rsidRPr="00F041FF">
        <w:rPr>
          <w:noProof/>
          <w:szCs w:val="24"/>
          <w:vertAlign w:val="superscript"/>
          <w:lang w:val="en-GB"/>
        </w:rPr>
        <w:t>]</w:t>
      </w:r>
      <w:r w:rsidRPr="00F041FF">
        <w:rPr>
          <w:szCs w:val="24"/>
          <w:lang w:val="en-GB"/>
        </w:rPr>
        <w:t xml:space="preserve">. In the context of reverse signalling, a downregulation of the growth and differentiation factor-1 (GDF-1) mediated by infliximab and </w:t>
      </w:r>
      <w:r w:rsidRPr="00F041FF">
        <w:rPr>
          <w:szCs w:val="24"/>
          <w:lang w:val="en-GB"/>
        </w:rPr>
        <w:lastRenderedPageBreak/>
        <w:t>certolizumab</w:t>
      </w:r>
      <w:r w:rsidR="00E57D36">
        <w:rPr>
          <w:szCs w:val="24"/>
          <w:lang w:val="en-GB"/>
        </w:rPr>
        <w:t xml:space="preserve"> pegol</w:t>
      </w:r>
      <w:r w:rsidRPr="00F041FF">
        <w:rPr>
          <w:szCs w:val="24"/>
          <w:lang w:val="en-GB"/>
        </w:rPr>
        <w:t xml:space="preserve"> has been described</w:t>
      </w:r>
      <w:r w:rsidRPr="00F041FF">
        <w:rPr>
          <w:noProof/>
          <w:szCs w:val="24"/>
          <w:vertAlign w:val="superscript"/>
          <w:lang w:val="en-GB"/>
        </w:rPr>
        <w:t>[</w:t>
      </w:r>
      <w:r w:rsidR="00487C34" w:rsidRPr="00F041FF">
        <w:rPr>
          <w:noProof/>
          <w:szCs w:val="24"/>
          <w:vertAlign w:val="superscript"/>
          <w:lang w:val="en-GB"/>
        </w:rPr>
        <w:t>74</w:t>
      </w:r>
      <w:r w:rsidRPr="00F041FF">
        <w:rPr>
          <w:noProof/>
          <w:szCs w:val="24"/>
          <w:vertAlign w:val="superscript"/>
          <w:lang w:val="en-GB"/>
        </w:rPr>
        <w:t>]</w:t>
      </w:r>
      <w:r w:rsidRPr="00F041FF">
        <w:rPr>
          <w:szCs w:val="24"/>
          <w:lang w:val="en-GB"/>
        </w:rPr>
        <w:t>. Using gene expression assays, GDF-1 was found to be upregulated in inflamed tissue from CD patients, and downregulated after infliximab treatment in clinical responders. Furthermore, GDF-1 was shown to act as proinflammatory mediator by IL-6 and STAT-3 induction</w:t>
      </w:r>
      <w:r w:rsidRPr="00F041FF">
        <w:rPr>
          <w:noProof/>
          <w:szCs w:val="24"/>
          <w:vertAlign w:val="superscript"/>
          <w:lang w:val="en-GB"/>
        </w:rPr>
        <w:t>[</w:t>
      </w:r>
      <w:r w:rsidR="00487C34" w:rsidRPr="00F041FF">
        <w:rPr>
          <w:noProof/>
          <w:szCs w:val="24"/>
          <w:vertAlign w:val="superscript"/>
          <w:lang w:val="en-GB"/>
        </w:rPr>
        <w:t>74</w:t>
      </w:r>
      <w:r w:rsidRPr="00F041FF">
        <w:rPr>
          <w:noProof/>
          <w:szCs w:val="24"/>
          <w:vertAlign w:val="superscript"/>
          <w:lang w:val="en-GB"/>
        </w:rPr>
        <w:t>]</w:t>
      </w:r>
      <w:r w:rsidRPr="00F041FF">
        <w:rPr>
          <w:szCs w:val="24"/>
          <w:lang w:val="en-GB"/>
        </w:rPr>
        <w:t>, indicating that a down-regulation of proinflammatory effectors can also be a consequence of reverse signalling by anti-TNF agents in contrast to immune-suppressive effects.</w:t>
      </w:r>
    </w:p>
    <w:p w:rsidR="004305C5" w:rsidRDefault="004305C5" w:rsidP="00D4383F">
      <w:pPr>
        <w:pStyle w:val="Heading2"/>
        <w:keepNext w:val="0"/>
        <w:keepLines w:val="0"/>
        <w:widowControl w:val="0"/>
        <w:snapToGrid w:val="0"/>
        <w:spacing w:before="0"/>
        <w:rPr>
          <w:rFonts w:eastAsiaTheme="minorEastAsia"/>
          <w:szCs w:val="24"/>
          <w:lang w:eastAsia="zh-CN"/>
        </w:rPr>
      </w:pPr>
    </w:p>
    <w:p w:rsidR="00B728D3" w:rsidRPr="004305C5" w:rsidRDefault="00B728D3" w:rsidP="00D4383F">
      <w:pPr>
        <w:pStyle w:val="Heading2"/>
        <w:keepNext w:val="0"/>
        <w:keepLines w:val="0"/>
        <w:widowControl w:val="0"/>
        <w:snapToGrid w:val="0"/>
        <w:spacing w:before="0"/>
        <w:rPr>
          <w:rFonts w:eastAsia="Times New Roman"/>
          <w:caps/>
          <w:szCs w:val="24"/>
        </w:rPr>
      </w:pPr>
      <w:r w:rsidRPr="004305C5">
        <w:rPr>
          <w:rFonts w:eastAsia="Times New Roman"/>
          <w:caps/>
          <w:szCs w:val="24"/>
        </w:rPr>
        <w:t>Apoptosis</w:t>
      </w:r>
    </w:p>
    <w:p w:rsidR="00B728D3" w:rsidRPr="00F041FF" w:rsidRDefault="00B728D3" w:rsidP="00D4383F">
      <w:pPr>
        <w:widowControl w:val="0"/>
        <w:snapToGrid w:val="0"/>
        <w:spacing w:after="0"/>
        <w:rPr>
          <w:szCs w:val="24"/>
          <w:u w:val="single"/>
        </w:rPr>
      </w:pPr>
      <w:r w:rsidRPr="00F041FF">
        <w:rPr>
          <w:szCs w:val="24"/>
        </w:rPr>
        <w:t xml:space="preserve">The programmed cell death of immune cells is a fundamental mechanism of resolution of inflammation. Apoptosis induction by anti-TNF antibodies has therefore been addressed by several groups. The induction of apoptosis can either be direct or indirect as side effect of TNF signaling. Furthermore, apoptosis can be induced by the Fc region of anti-TNF antibodies involving the complement or natural killer cells or can be a consequence of the activation of TNF itself by antibody binding. </w:t>
      </w:r>
      <w:r w:rsidRPr="004305C5">
        <w:rPr>
          <w:szCs w:val="24"/>
        </w:rPr>
        <w:t xml:space="preserve">An overview </w:t>
      </w:r>
      <w:r w:rsidR="0021054C" w:rsidRPr="004305C5">
        <w:rPr>
          <w:szCs w:val="24"/>
        </w:rPr>
        <w:t xml:space="preserve">of the </w:t>
      </w:r>
      <w:r w:rsidRPr="004305C5">
        <w:rPr>
          <w:szCs w:val="24"/>
        </w:rPr>
        <w:t>apoptosis induc</w:t>
      </w:r>
      <w:r w:rsidR="0021054C" w:rsidRPr="004305C5">
        <w:rPr>
          <w:szCs w:val="24"/>
        </w:rPr>
        <w:t xml:space="preserve">ing capabilities of the different </w:t>
      </w:r>
      <w:r w:rsidRPr="004305C5">
        <w:rPr>
          <w:szCs w:val="24"/>
        </w:rPr>
        <w:t>anti-TNF antibodies is given in Table 3.</w:t>
      </w:r>
    </w:p>
    <w:p w:rsidR="004305C5" w:rsidRDefault="004305C5" w:rsidP="00D4383F">
      <w:pPr>
        <w:pStyle w:val="Heading4"/>
        <w:keepNext w:val="0"/>
        <w:keepLines w:val="0"/>
        <w:widowControl w:val="0"/>
        <w:snapToGrid w:val="0"/>
        <w:spacing w:before="0"/>
        <w:rPr>
          <w:szCs w:val="24"/>
          <w:lang w:eastAsia="zh-CN"/>
        </w:rPr>
      </w:pPr>
    </w:p>
    <w:p w:rsidR="00B728D3" w:rsidRPr="004305C5" w:rsidRDefault="00B728D3" w:rsidP="00D4383F">
      <w:pPr>
        <w:pStyle w:val="Heading4"/>
        <w:keepNext w:val="0"/>
        <w:keepLines w:val="0"/>
        <w:widowControl w:val="0"/>
        <w:snapToGrid w:val="0"/>
        <w:spacing w:before="0"/>
        <w:rPr>
          <w:caps/>
          <w:szCs w:val="24"/>
        </w:rPr>
      </w:pPr>
      <w:r w:rsidRPr="004305C5">
        <w:rPr>
          <w:caps/>
          <w:szCs w:val="24"/>
        </w:rPr>
        <w:t>Antibody-dependent cellular cytotoxicity and complement-dependent cytotoxicity</w:t>
      </w:r>
    </w:p>
    <w:p w:rsidR="00B728D3" w:rsidRPr="00F041FF" w:rsidRDefault="00B728D3" w:rsidP="00D4383F">
      <w:pPr>
        <w:widowControl w:val="0"/>
        <w:snapToGrid w:val="0"/>
        <w:spacing w:after="0"/>
        <w:rPr>
          <w:szCs w:val="24"/>
          <w:lang w:val="en-GB"/>
        </w:rPr>
      </w:pPr>
      <w:r w:rsidRPr="00F041FF">
        <w:rPr>
          <w:szCs w:val="24"/>
          <w:lang w:val="en-GB"/>
        </w:rPr>
        <w:t xml:space="preserve">Antibody-dependent cellular cytotoxicity (ADCC) is a mechanism of the adapted immune system in order to kill antibody-tagged target cells, for example infected cells. Therefore, after binding of an antibody to its target cell, the Fc domain is recognized by natural killer cells with the FcγRIII-receptor. The target cell then releases cytotoxic proteins such as perforins and granzymes that subsequently results in lysis of the target cell. ADCC is a mechanism of action of anti-TNF antibodies that possess a Fc domain. A recent study indicated that ADCC measured as cell lysis of co-incubation of mTNF-expressing CHO cells and PBMCs could be induced by </w:t>
      </w:r>
      <w:r w:rsidR="009B00C1">
        <w:rPr>
          <w:szCs w:val="24"/>
          <w:lang w:val="en-GB"/>
        </w:rPr>
        <w:t>a</w:t>
      </w:r>
      <w:r w:rsidR="009B00C1" w:rsidRPr="00F041FF">
        <w:rPr>
          <w:szCs w:val="24"/>
          <w:lang w:val="en-GB"/>
        </w:rPr>
        <w:t xml:space="preserve">dalimumab </w:t>
      </w:r>
      <w:r w:rsidRPr="00F041FF">
        <w:rPr>
          <w:szCs w:val="24"/>
          <w:lang w:val="en-GB"/>
        </w:rPr>
        <w:t>in up to 76%</w:t>
      </w:r>
      <w:r w:rsidR="004305C5">
        <w:rPr>
          <w:rFonts w:hint="eastAsia"/>
          <w:szCs w:val="24"/>
          <w:lang w:val="en-GB" w:eastAsia="zh-CN"/>
        </w:rPr>
        <w:t xml:space="preserve"> </w:t>
      </w:r>
      <w:r w:rsidRPr="00F041FF">
        <w:rPr>
          <w:szCs w:val="24"/>
          <w:lang w:val="en-GB"/>
        </w:rPr>
        <w:t>of cells in contrast to a control isotype that caused ADCC in less than 5 % of the cells</w:t>
      </w:r>
      <w:r w:rsidRPr="00F041FF">
        <w:rPr>
          <w:noProof/>
          <w:szCs w:val="24"/>
          <w:vertAlign w:val="superscript"/>
          <w:lang w:val="en-GB"/>
        </w:rPr>
        <w:t>[</w:t>
      </w:r>
      <w:r w:rsidR="00487C34" w:rsidRPr="00F041FF">
        <w:rPr>
          <w:noProof/>
          <w:szCs w:val="24"/>
          <w:vertAlign w:val="superscript"/>
          <w:lang w:val="en-GB"/>
        </w:rPr>
        <w:t>75</w:t>
      </w:r>
      <w:r w:rsidRPr="00F041FF">
        <w:rPr>
          <w:noProof/>
          <w:szCs w:val="24"/>
          <w:vertAlign w:val="superscript"/>
          <w:lang w:val="en-GB"/>
        </w:rPr>
        <w:t>]</w:t>
      </w:r>
      <w:r w:rsidRPr="00F041FF">
        <w:rPr>
          <w:szCs w:val="24"/>
          <w:lang w:val="en-GB"/>
        </w:rPr>
        <w:t xml:space="preserve">. In a comparative study, infliximab and adalimumab were shown to induce ADCC in a similar way and more potent as etanercept whereas certolizumab pegol did not show any effect due the fact that the later </w:t>
      </w:r>
      <w:r w:rsidR="00435E78" w:rsidRPr="00F041FF">
        <w:rPr>
          <w:szCs w:val="24"/>
          <w:lang w:val="en-GB"/>
        </w:rPr>
        <w:t>a</w:t>
      </w:r>
      <w:r w:rsidR="00435E78">
        <w:rPr>
          <w:szCs w:val="24"/>
          <w:lang w:val="en-GB"/>
        </w:rPr>
        <w:t>gent</w:t>
      </w:r>
      <w:r w:rsidR="00435E78" w:rsidRPr="00F041FF">
        <w:rPr>
          <w:szCs w:val="24"/>
          <w:lang w:val="en-GB"/>
        </w:rPr>
        <w:t xml:space="preserve"> </w:t>
      </w:r>
      <w:r w:rsidRPr="00F041FF">
        <w:rPr>
          <w:szCs w:val="24"/>
          <w:lang w:val="en-GB"/>
        </w:rPr>
        <w:t>does not possess the Fc domain</w:t>
      </w:r>
      <w:r w:rsidRPr="00F041FF">
        <w:rPr>
          <w:noProof/>
          <w:szCs w:val="24"/>
          <w:vertAlign w:val="superscript"/>
          <w:lang w:val="en-GB"/>
        </w:rPr>
        <w:t>[50]</w:t>
      </w:r>
      <w:r w:rsidRPr="00F041FF">
        <w:rPr>
          <w:szCs w:val="24"/>
          <w:lang w:val="en-GB"/>
        </w:rPr>
        <w:t>.</w:t>
      </w:r>
    </w:p>
    <w:p w:rsidR="00B728D3" w:rsidRPr="00F041FF" w:rsidRDefault="00B728D3" w:rsidP="004305C5">
      <w:pPr>
        <w:widowControl w:val="0"/>
        <w:snapToGrid w:val="0"/>
        <w:spacing w:after="0"/>
        <w:ind w:firstLineChars="100" w:firstLine="240"/>
        <w:rPr>
          <w:szCs w:val="24"/>
          <w:lang w:val="en-GB"/>
        </w:rPr>
      </w:pPr>
      <w:r w:rsidRPr="00F041FF">
        <w:rPr>
          <w:szCs w:val="24"/>
          <w:lang w:val="en-GB"/>
        </w:rPr>
        <w:lastRenderedPageBreak/>
        <w:t>Apart from ADCC, binding of antibodies to a target cells can result in complement activation. The complement consists of several different proteins that act as a cascade which finally leads to the formation of a membrane attacking complex, inducing a pore within the cell and subsequent cell death. In a CDC assay, 10 µg/m</w:t>
      </w:r>
      <w:r w:rsidRPr="004305C5">
        <w:rPr>
          <w:caps/>
          <w:szCs w:val="24"/>
          <w:lang w:val="en-GB"/>
        </w:rPr>
        <w:t>l</w:t>
      </w:r>
      <w:r w:rsidRPr="00F041FF">
        <w:rPr>
          <w:szCs w:val="24"/>
          <w:lang w:val="en-GB"/>
        </w:rPr>
        <w:t xml:space="preserve"> </w:t>
      </w:r>
      <w:r w:rsidR="004305C5" w:rsidRPr="00F041FF">
        <w:rPr>
          <w:szCs w:val="24"/>
          <w:lang w:val="en-GB"/>
        </w:rPr>
        <w:t>a</w:t>
      </w:r>
      <w:r w:rsidRPr="00F041FF">
        <w:rPr>
          <w:szCs w:val="24"/>
          <w:lang w:val="en-GB"/>
        </w:rPr>
        <w:t>dalimumab were shown to induce 90</w:t>
      </w:r>
      <w:r w:rsidR="004305C5">
        <w:rPr>
          <w:rFonts w:hint="eastAsia"/>
          <w:szCs w:val="24"/>
          <w:lang w:val="en-GB" w:eastAsia="zh-CN"/>
        </w:rPr>
        <w:t>.</w:t>
      </w:r>
      <w:r w:rsidRPr="00F041FF">
        <w:rPr>
          <w:szCs w:val="24"/>
          <w:lang w:val="en-GB"/>
        </w:rPr>
        <w:t>6% cell death in the presence of heat-inactivated human serum</w:t>
      </w:r>
      <w:r w:rsidRPr="00F041FF">
        <w:rPr>
          <w:noProof/>
          <w:szCs w:val="24"/>
          <w:vertAlign w:val="superscript"/>
          <w:lang w:val="en-GB"/>
        </w:rPr>
        <w:t>[</w:t>
      </w:r>
      <w:r w:rsidR="00487C34" w:rsidRPr="00F041FF">
        <w:rPr>
          <w:noProof/>
          <w:szCs w:val="24"/>
          <w:vertAlign w:val="superscript"/>
          <w:lang w:val="en-GB"/>
        </w:rPr>
        <w:t>75</w:t>
      </w:r>
      <w:r w:rsidRPr="00F041FF">
        <w:rPr>
          <w:noProof/>
          <w:szCs w:val="24"/>
          <w:vertAlign w:val="superscript"/>
          <w:lang w:val="en-GB"/>
        </w:rPr>
        <w:t>]</w:t>
      </w:r>
      <w:r w:rsidRPr="00F041FF">
        <w:rPr>
          <w:szCs w:val="24"/>
          <w:lang w:val="en-GB"/>
        </w:rPr>
        <w:t xml:space="preserve">. Comparing different </w:t>
      </w:r>
      <w:r w:rsidR="00435E78" w:rsidRPr="00F041FF">
        <w:rPr>
          <w:szCs w:val="24"/>
          <w:lang w:val="en-GB"/>
        </w:rPr>
        <w:t>a</w:t>
      </w:r>
      <w:r w:rsidR="00435E78">
        <w:rPr>
          <w:szCs w:val="24"/>
          <w:lang w:val="en-GB"/>
        </w:rPr>
        <w:t>gents</w:t>
      </w:r>
      <w:r w:rsidRPr="00F041FF">
        <w:rPr>
          <w:szCs w:val="24"/>
          <w:lang w:val="en-GB"/>
        </w:rPr>
        <w:t>, infliximab and adalimumab had the same capacity in inducing CDC-dependent cell death and were more effective than etanercept and as expected, certolizumab pegol did not show any effect</w:t>
      </w:r>
      <w:r w:rsidRPr="00F041FF">
        <w:rPr>
          <w:noProof/>
          <w:szCs w:val="24"/>
          <w:vertAlign w:val="superscript"/>
          <w:lang w:val="en-GB"/>
        </w:rPr>
        <w:t>[50]</w:t>
      </w:r>
      <w:r w:rsidRPr="00F041FF">
        <w:rPr>
          <w:szCs w:val="24"/>
          <w:lang w:val="en-GB"/>
        </w:rPr>
        <w:t>, which was in accordance to other studies</w:t>
      </w:r>
      <w:r w:rsidR="004305C5">
        <w:rPr>
          <w:noProof/>
          <w:szCs w:val="24"/>
          <w:vertAlign w:val="superscript"/>
          <w:lang w:val="en-GB"/>
        </w:rPr>
        <w:t>[41,</w:t>
      </w:r>
      <w:r w:rsidR="00487C34" w:rsidRPr="00F041FF">
        <w:rPr>
          <w:noProof/>
          <w:szCs w:val="24"/>
          <w:vertAlign w:val="superscript"/>
          <w:lang w:val="en-GB"/>
        </w:rPr>
        <w:t>73</w:t>
      </w:r>
      <w:r w:rsidRPr="00F041FF">
        <w:rPr>
          <w:noProof/>
          <w:szCs w:val="24"/>
          <w:vertAlign w:val="superscript"/>
          <w:lang w:val="en-GB"/>
        </w:rPr>
        <w:t>]</w:t>
      </w:r>
      <w:r w:rsidRPr="00F041FF">
        <w:rPr>
          <w:szCs w:val="24"/>
          <w:lang w:val="en-GB"/>
        </w:rPr>
        <w:t>. Of note, CDC was induced in mTNF-transfected cells by adalimumab and infliximab, but not in activated human PBMCs</w:t>
      </w:r>
      <w:r w:rsidRPr="00F041FF">
        <w:rPr>
          <w:noProof/>
          <w:szCs w:val="24"/>
          <w:vertAlign w:val="superscript"/>
          <w:lang w:val="en-GB"/>
        </w:rPr>
        <w:t>[41]</w:t>
      </w:r>
      <w:r w:rsidRPr="00F041FF">
        <w:rPr>
          <w:szCs w:val="24"/>
          <w:lang w:val="en-GB"/>
        </w:rPr>
        <w:t xml:space="preserve">, raising the question if cell lines over-expressing mTNF reflect the situation </w:t>
      </w:r>
      <w:r w:rsidRPr="00F041FF">
        <w:rPr>
          <w:i/>
          <w:szCs w:val="24"/>
          <w:lang w:val="en-GB"/>
        </w:rPr>
        <w:t>in vivo</w:t>
      </w:r>
      <w:r w:rsidRPr="00F041FF">
        <w:rPr>
          <w:szCs w:val="24"/>
          <w:lang w:val="en-GB"/>
        </w:rPr>
        <w:t>. In a functional study, affinity of infliximab and adalimumab to FcRγII and FcRγIII receptors was found to be low but significantly increased in the presence of exogenous TNF</w:t>
      </w:r>
      <w:r w:rsidRPr="00F041FF">
        <w:rPr>
          <w:noProof/>
          <w:szCs w:val="24"/>
          <w:vertAlign w:val="superscript"/>
          <w:lang w:val="en-GB"/>
        </w:rPr>
        <w:t>[</w:t>
      </w:r>
      <w:r w:rsidR="00487C34" w:rsidRPr="00F041FF">
        <w:rPr>
          <w:noProof/>
          <w:szCs w:val="24"/>
          <w:vertAlign w:val="superscript"/>
          <w:lang w:val="en-GB"/>
        </w:rPr>
        <w:t>76</w:t>
      </w:r>
      <w:r w:rsidRPr="00F041FF">
        <w:rPr>
          <w:noProof/>
          <w:szCs w:val="24"/>
          <w:vertAlign w:val="superscript"/>
          <w:lang w:val="en-GB"/>
        </w:rPr>
        <w:t>]</w:t>
      </w:r>
      <w:r w:rsidRPr="00F041FF">
        <w:rPr>
          <w:szCs w:val="24"/>
          <w:lang w:val="en-GB"/>
        </w:rPr>
        <w:t>. Similarly, both antibodies bound to the complement protein C1q in the presence of TNF. In both settings, etanercept binding was shown to be low. The more recently approved anti-TNF antibody golimumab induced both CDC and ADCC to a similar extent as infliximab and adalimumab</w:t>
      </w:r>
      <w:r w:rsidRPr="00F041FF">
        <w:rPr>
          <w:noProof/>
          <w:szCs w:val="24"/>
          <w:vertAlign w:val="superscript"/>
          <w:lang w:val="en-GB"/>
        </w:rPr>
        <w:t>[</w:t>
      </w:r>
      <w:r w:rsidR="00487C34" w:rsidRPr="00F041FF">
        <w:rPr>
          <w:noProof/>
          <w:szCs w:val="24"/>
          <w:vertAlign w:val="superscript"/>
          <w:lang w:val="en-GB"/>
        </w:rPr>
        <w:t>77</w:t>
      </w:r>
      <w:r w:rsidRPr="00F041FF">
        <w:rPr>
          <w:noProof/>
          <w:szCs w:val="24"/>
          <w:vertAlign w:val="superscript"/>
          <w:lang w:val="en-GB"/>
        </w:rPr>
        <w:t>]</w:t>
      </w:r>
      <w:r w:rsidRPr="00F041FF">
        <w:rPr>
          <w:szCs w:val="24"/>
          <w:lang w:val="en-GB"/>
        </w:rPr>
        <w:t xml:space="preserve">. </w:t>
      </w:r>
    </w:p>
    <w:p w:rsidR="00B728D3" w:rsidRPr="00F041FF" w:rsidRDefault="00B728D3" w:rsidP="004305C5">
      <w:pPr>
        <w:widowControl w:val="0"/>
        <w:snapToGrid w:val="0"/>
        <w:spacing w:after="0"/>
        <w:ind w:firstLineChars="100" w:firstLine="240"/>
        <w:rPr>
          <w:szCs w:val="24"/>
          <w:lang w:val="en-GB"/>
        </w:rPr>
      </w:pPr>
      <w:r w:rsidRPr="00F041FF">
        <w:rPr>
          <w:szCs w:val="24"/>
          <w:lang w:val="en-GB"/>
        </w:rPr>
        <w:t xml:space="preserve">Fc-mediated apoptosis has been shown to be most potently induced by infliximab and adalimumab. However, the fact that certolizumab pegol is effective in CD despite its incapacity to induce ADCC or CDC strongly suggests that Fc-mediated apoptosis by anti-TNF antibodies is not a central mechanism of action.  </w:t>
      </w:r>
    </w:p>
    <w:p w:rsidR="004305C5" w:rsidRDefault="004305C5" w:rsidP="00D4383F">
      <w:pPr>
        <w:pStyle w:val="Heading4"/>
        <w:keepNext w:val="0"/>
        <w:keepLines w:val="0"/>
        <w:widowControl w:val="0"/>
        <w:snapToGrid w:val="0"/>
        <w:spacing w:before="0"/>
        <w:rPr>
          <w:szCs w:val="24"/>
          <w:lang w:val="en-GB" w:eastAsia="zh-CN"/>
        </w:rPr>
      </w:pPr>
    </w:p>
    <w:p w:rsidR="00B728D3" w:rsidRPr="004305C5" w:rsidRDefault="00B728D3" w:rsidP="00D4383F">
      <w:pPr>
        <w:pStyle w:val="Heading4"/>
        <w:keepNext w:val="0"/>
        <w:keepLines w:val="0"/>
        <w:widowControl w:val="0"/>
        <w:snapToGrid w:val="0"/>
        <w:spacing w:before="0"/>
        <w:rPr>
          <w:caps/>
          <w:szCs w:val="24"/>
          <w:lang w:val="en-GB"/>
        </w:rPr>
      </w:pPr>
      <w:r w:rsidRPr="004305C5">
        <w:rPr>
          <w:caps/>
          <w:szCs w:val="24"/>
          <w:lang w:val="en-GB"/>
        </w:rPr>
        <w:t>Apoptosis of inflammatory immune cells</w:t>
      </w:r>
    </w:p>
    <w:p w:rsidR="00B728D3" w:rsidRPr="00F041FF" w:rsidRDefault="00B728D3" w:rsidP="00D4383F">
      <w:pPr>
        <w:widowControl w:val="0"/>
        <w:snapToGrid w:val="0"/>
        <w:spacing w:after="0"/>
        <w:rPr>
          <w:szCs w:val="24"/>
          <w:lang w:eastAsia="de-DE"/>
        </w:rPr>
      </w:pPr>
      <w:r w:rsidRPr="00F041FF">
        <w:rPr>
          <w:szCs w:val="24"/>
          <w:lang w:eastAsia="de-DE"/>
        </w:rPr>
        <w:t>Apoptosis of inflammatory immune cells as consequence of anti-TNF treatment has been discussed as a major mechanism of action explaining the fast onset of therapeutic effects upon successful therapy. Thus, the induced cell death of monocytes/macrophages or T cells have been analyzed. Regarding monocytes, in a comparative study both adalimumab and infliximab induced apoptosis in cultured monocytes rapidly in a caspase-dependent way whereas etanercept did not</w:t>
      </w:r>
      <w:r w:rsidRPr="00F041FF">
        <w:rPr>
          <w:noProof/>
          <w:szCs w:val="24"/>
          <w:vertAlign w:val="superscript"/>
          <w:lang w:eastAsia="de-DE"/>
        </w:rPr>
        <w:t>[53]</w:t>
      </w:r>
      <w:r w:rsidRPr="00F041FF">
        <w:rPr>
          <w:szCs w:val="24"/>
          <w:lang w:eastAsia="de-DE"/>
        </w:rPr>
        <w:t xml:space="preserve">. In addition, apoptosis induction via transmembrane TNF in a human monocytic cell line by adalimumab and infliximab could be detected in a chimeric mouse model and furthermore, apoptosis could be abrogated by </w:t>
      </w:r>
      <w:r w:rsidRPr="00F041FF">
        <w:rPr>
          <w:i/>
          <w:szCs w:val="24"/>
        </w:rPr>
        <w:t>in vivo</w:t>
      </w:r>
      <w:r w:rsidRPr="00F041FF">
        <w:rPr>
          <w:szCs w:val="24"/>
        </w:rPr>
        <w:t xml:space="preserve"> </w:t>
      </w:r>
      <w:r w:rsidRPr="00F041FF">
        <w:rPr>
          <w:szCs w:val="24"/>
          <w:lang w:eastAsia="de-DE"/>
        </w:rPr>
        <w:t xml:space="preserve">treatment with a pan-caspase </w:t>
      </w:r>
      <w:r w:rsidRPr="00F041FF">
        <w:rPr>
          <w:szCs w:val="24"/>
          <w:lang w:eastAsia="de-DE"/>
        </w:rPr>
        <w:lastRenderedPageBreak/>
        <w:t>inhibitor, indicating a caspase-dependent mechanism of action</w:t>
      </w:r>
      <w:r w:rsidRPr="00F041FF">
        <w:rPr>
          <w:noProof/>
          <w:szCs w:val="24"/>
          <w:vertAlign w:val="superscript"/>
          <w:lang w:eastAsia="de-DE"/>
        </w:rPr>
        <w:t>[7</w:t>
      </w:r>
      <w:r w:rsidR="00487C34" w:rsidRPr="00F041FF">
        <w:rPr>
          <w:noProof/>
          <w:szCs w:val="24"/>
          <w:vertAlign w:val="superscript"/>
          <w:lang w:eastAsia="de-DE"/>
        </w:rPr>
        <w:t>8</w:t>
      </w:r>
      <w:r w:rsidRPr="00F041FF">
        <w:rPr>
          <w:noProof/>
          <w:szCs w:val="24"/>
          <w:vertAlign w:val="superscript"/>
          <w:lang w:eastAsia="de-DE"/>
        </w:rPr>
        <w:t>]</w:t>
      </w:r>
      <w:r w:rsidRPr="00F041FF">
        <w:rPr>
          <w:szCs w:val="24"/>
          <w:lang w:eastAsia="de-DE"/>
        </w:rPr>
        <w:t>. Infliximab-induced apoptosis of monocytes required the activation of members of the caspase-family, such as caspase-8, -9 and -3 in peripheral blood monocytes derived from CD patients</w:t>
      </w:r>
      <w:r w:rsidRPr="00F041FF">
        <w:rPr>
          <w:noProof/>
          <w:szCs w:val="24"/>
          <w:vertAlign w:val="superscript"/>
          <w:lang w:eastAsia="de-DE"/>
        </w:rPr>
        <w:t>[</w:t>
      </w:r>
      <w:r w:rsidR="00487C34" w:rsidRPr="00F041FF">
        <w:rPr>
          <w:noProof/>
          <w:szCs w:val="24"/>
          <w:vertAlign w:val="superscript"/>
          <w:lang w:eastAsia="de-DE"/>
        </w:rPr>
        <w:t>79</w:t>
      </w:r>
      <w:r w:rsidRPr="00F041FF">
        <w:rPr>
          <w:noProof/>
          <w:szCs w:val="24"/>
          <w:vertAlign w:val="superscript"/>
          <w:lang w:eastAsia="de-DE"/>
        </w:rPr>
        <w:t>]</w:t>
      </w:r>
      <w:r w:rsidRPr="00F041FF">
        <w:rPr>
          <w:szCs w:val="24"/>
          <w:lang w:eastAsia="de-DE"/>
        </w:rPr>
        <w:t>. Activation of caspase was induced independently from the CD95/CD95L signaling pathway by release of mitochondrial cytochrome C, apparently triggered by Bax and Bak</w:t>
      </w:r>
      <w:r w:rsidRPr="00F041FF">
        <w:rPr>
          <w:noProof/>
          <w:szCs w:val="24"/>
          <w:vertAlign w:val="superscript"/>
          <w:lang w:eastAsia="de-DE"/>
        </w:rPr>
        <w:t>[</w:t>
      </w:r>
      <w:r w:rsidR="00487C34" w:rsidRPr="00F041FF">
        <w:rPr>
          <w:noProof/>
          <w:szCs w:val="24"/>
          <w:vertAlign w:val="superscript"/>
          <w:lang w:eastAsia="de-DE"/>
        </w:rPr>
        <w:t>79</w:t>
      </w:r>
      <w:r w:rsidRPr="00F041FF">
        <w:rPr>
          <w:noProof/>
          <w:szCs w:val="24"/>
          <w:vertAlign w:val="superscript"/>
          <w:lang w:eastAsia="de-DE"/>
        </w:rPr>
        <w:t>]</w:t>
      </w:r>
      <w:r w:rsidRPr="00F041FF">
        <w:rPr>
          <w:szCs w:val="24"/>
          <w:lang w:eastAsia="de-DE"/>
        </w:rPr>
        <w:t>.</w:t>
      </w:r>
    </w:p>
    <w:p w:rsidR="00B728D3" w:rsidRPr="00F041FF" w:rsidRDefault="00B728D3" w:rsidP="004305C5">
      <w:pPr>
        <w:widowControl w:val="0"/>
        <w:snapToGrid w:val="0"/>
        <w:spacing w:after="0"/>
        <w:ind w:firstLineChars="100" w:firstLine="240"/>
        <w:rPr>
          <w:szCs w:val="24"/>
          <w:lang w:eastAsia="de-DE"/>
        </w:rPr>
      </w:pPr>
      <w:r w:rsidRPr="00F041FF">
        <w:rPr>
          <w:szCs w:val="24"/>
          <w:lang w:eastAsia="de-DE"/>
        </w:rPr>
        <w:t xml:space="preserve">The effect of anti-TNF agents on lymphocytes was studied by van den Brande </w:t>
      </w:r>
      <w:r w:rsidRPr="0013290E">
        <w:rPr>
          <w:i/>
          <w:szCs w:val="24"/>
          <w:lang w:eastAsia="de-DE"/>
        </w:rPr>
        <w:t>et al</w:t>
      </w:r>
      <w:r w:rsidRPr="00F041FF">
        <w:rPr>
          <w:szCs w:val="24"/>
          <w:lang w:eastAsia="de-DE"/>
        </w:rPr>
        <w:t xml:space="preserve">. They could show that etanercept, </w:t>
      </w:r>
      <w:r w:rsidRPr="004305C5">
        <w:rPr>
          <w:szCs w:val="24"/>
          <w:lang w:eastAsia="de-DE"/>
        </w:rPr>
        <w:t xml:space="preserve">which is </w:t>
      </w:r>
      <w:r w:rsidR="007E132C" w:rsidRPr="004305C5">
        <w:rPr>
          <w:szCs w:val="24"/>
          <w:lang w:eastAsia="de-DE"/>
        </w:rPr>
        <w:t xml:space="preserve">ineffective </w:t>
      </w:r>
      <w:r w:rsidRPr="004305C5">
        <w:rPr>
          <w:szCs w:val="24"/>
          <w:lang w:eastAsia="de-DE"/>
        </w:rPr>
        <w:t xml:space="preserve">in </w:t>
      </w:r>
      <w:r w:rsidR="007E132C" w:rsidRPr="004305C5">
        <w:rPr>
          <w:szCs w:val="24"/>
          <w:lang w:eastAsia="de-DE"/>
        </w:rPr>
        <w:t xml:space="preserve">the treatment of </w:t>
      </w:r>
      <w:r w:rsidRPr="004305C5">
        <w:rPr>
          <w:szCs w:val="24"/>
          <w:lang w:eastAsia="de-DE"/>
        </w:rPr>
        <w:t>CD,</w:t>
      </w:r>
      <w:r w:rsidRPr="00F041FF">
        <w:rPr>
          <w:szCs w:val="24"/>
          <w:lang w:eastAsia="de-DE"/>
        </w:rPr>
        <w:t xml:space="preserve"> in contrast to infliximab was incapable of inducing apoptosis in peripheral blood lymphocytes from healthy controls and lamina propria T cells from CD patients</w:t>
      </w:r>
      <w:r w:rsidRPr="00F041FF">
        <w:rPr>
          <w:noProof/>
          <w:szCs w:val="24"/>
          <w:vertAlign w:val="superscript"/>
          <w:lang w:eastAsia="de-DE"/>
        </w:rPr>
        <w:t>[43]</w:t>
      </w:r>
      <w:r w:rsidRPr="00F041FF">
        <w:rPr>
          <w:szCs w:val="24"/>
          <w:lang w:eastAsia="de-DE"/>
        </w:rPr>
        <w:t xml:space="preserve">. Here, infliximab rapidly activated caspase 3 which possibly can also be a consequence of reverse signaling. Later the same authors demonstrated that this was also relevant </w:t>
      </w:r>
      <w:r w:rsidRPr="00F041FF">
        <w:rPr>
          <w:i/>
          <w:szCs w:val="24"/>
          <w:lang w:eastAsia="de-DE"/>
        </w:rPr>
        <w:t>in vivo</w:t>
      </w:r>
      <w:r w:rsidRPr="00F041FF">
        <w:rPr>
          <w:szCs w:val="24"/>
          <w:lang w:eastAsia="de-DE"/>
        </w:rPr>
        <w:t>. A rapid increase of apoptosis was detected in experimental colitis and importantly, also in CD patients where infliximab-mediated apoptosis occurred within 24 hours after starting the therapy</w:t>
      </w:r>
      <w:r w:rsidRPr="00F041FF">
        <w:rPr>
          <w:noProof/>
          <w:szCs w:val="24"/>
          <w:vertAlign w:val="superscript"/>
          <w:lang w:eastAsia="de-DE"/>
        </w:rPr>
        <w:t>[</w:t>
      </w:r>
      <w:r w:rsidR="00487C34" w:rsidRPr="00F041FF">
        <w:rPr>
          <w:noProof/>
          <w:szCs w:val="24"/>
          <w:vertAlign w:val="superscript"/>
          <w:lang w:eastAsia="de-DE"/>
        </w:rPr>
        <w:t>80</w:t>
      </w:r>
      <w:r w:rsidRPr="00F041FF">
        <w:rPr>
          <w:noProof/>
          <w:szCs w:val="24"/>
          <w:vertAlign w:val="superscript"/>
          <w:lang w:eastAsia="de-DE"/>
        </w:rPr>
        <w:t>]</w:t>
      </w:r>
      <w:r w:rsidRPr="00F041FF">
        <w:rPr>
          <w:szCs w:val="24"/>
          <w:lang w:eastAsia="de-DE"/>
        </w:rPr>
        <w:t xml:space="preserve">. In this </w:t>
      </w:r>
      <w:r w:rsidRPr="0013290E">
        <w:rPr>
          <w:i/>
          <w:szCs w:val="24"/>
          <w:lang w:eastAsia="de-DE"/>
        </w:rPr>
        <w:t>in vivo</w:t>
      </w:r>
      <w:r w:rsidRPr="00F041FF">
        <w:rPr>
          <w:szCs w:val="24"/>
          <w:lang w:eastAsia="de-DE"/>
        </w:rPr>
        <w:t xml:space="preserve"> molecular imaging study, patients underwent single-photon emission computer tomography (SPECT) 24 h</w:t>
      </w:r>
      <w:r w:rsidR="004305C5">
        <w:rPr>
          <w:rFonts w:hint="eastAsia"/>
          <w:szCs w:val="24"/>
          <w:lang w:eastAsia="zh-CN"/>
        </w:rPr>
        <w:t xml:space="preserve"> </w:t>
      </w:r>
      <w:r w:rsidRPr="00F041FF">
        <w:rPr>
          <w:szCs w:val="24"/>
          <w:lang w:eastAsia="de-DE"/>
        </w:rPr>
        <w:t>after infliximab infusion, and apoptosis was measured by radiolabeled annexinV uptake using scintigraphic imaging. A strong correlation of detected apoptosis signals and diseased regions was observed and furthermore, annexinV uptake was significantly higher in patients subsequently responding to infliximab therapy. In addition, in some patients LPMCs from biopsies were isolated and a marked increase in apoptosis of CD4 T cells after infliximab treatment was observed</w:t>
      </w:r>
      <w:r w:rsidRPr="00F041FF">
        <w:rPr>
          <w:noProof/>
          <w:szCs w:val="24"/>
          <w:vertAlign w:val="superscript"/>
          <w:lang w:eastAsia="de-DE"/>
        </w:rPr>
        <w:t>[</w:t>
      </w:r>
      <w:r w:rsidR="00487C34" w:rsidRPr="00F041FF">
        <w:rPr>
          <w:noProof/>
          <w:szCs w:val="24"/>
          <w:vertAlign w:val="superscript"/>
          <w:lang w:eastAsia="de-DE"/>
        </w:rPr>
        <w:t>80</w:t>
      </w:r>
      <w:r w:rsidRPr="00F041FF">
        <w:rPr>
          <w:noProof/>
          <w:szCs w:val="24"/>
          <w:vertAlign w:val="superscript"/>
          <w:lang w:eastAsia="de-DE"/>
        </w:rPr>
        <w:t>]</w:t>
      </w:r>
      <w:r w:rsidRPr="00F041FF">
        <w:rPr>
          <w:szCs w:val="24"/>
          <w:lang w:eastAsia="de-DE"/>
        </w:rPr>
        <w:t xml:space="preserve">. Another study analyzing apoptotic markers such as Bcl-2, Bax, Caspase3 and Fas in CD biopsies from patients before and after infliximab/adalimumab therapy showed that in LPMCs, a significant increase of active Caspase-3 and an increase in the pro-apoptotic </w:t>
      </w:r>
      <w:r w:rsidR="00F263AD" w:rsidRPr="00F041FF">
        <w:rPr>
          <w:szCs w:val="24"/>
          <w:lang w:eastAsia="de-DE"/>
        </w:rPr>
        <w:t>Ba</w:t>
      </w:r>
      <w:r w:rsidR="00F263AD">
        <w:rPr>
          <w:szCs w:val="24"/>
          <w:lang w:eastAsia="de-DE"/>
        </w:rPr>
        <w:t>x</w:t>
      </w:r>
      <w:r w:rsidRPr="00F041FF">
        <w:rPr>
          <w:szCs w:val="24"/>
          <w:lang w:eastAsia="de-DE"/>
        </w:rPr>
        <w:t xml:space="preserve">/Bcl-2 ratio could be detected upon anti-TNF therapy, but no change of TNFR1 or Fas expression could be measured </w:t>
      </w:r>
      <w:r w:rsidRPr="00F041FF">
        <w:rPr>
          <w:noProof/>
          <w:szCs w:val="24"/>
          <w:vertAlign w:val="superscript"/>
          <w:lang w:eastAsia="de-DE"/>
        </w:rPr>
        <w:t>[</w:t>
      </w:r>
      <w:r w:rsidR="00487C34" w:rsidRPr="00F041FF">
        <w:rPr>
          <w:noProof/>
          <w:szCs w:val="24"/>
          <w:vertAlign w:val="superscript"/>
          <w:lang w:eastAsia="de-DE"/>
        </w:rPr>
        <w:t>81</w:t>
      </w:r>
      <w:r w:rsidRPr="00F041FF">
        <w:rPr>
          <w:noProof/>
          <w:szCs w:val="24"/>
          <w:vertAlign w:val="superscript"/>
          <w:lang w:eastAsia="de-DE"/>
        </w:rPr>
        <w:t>]</w:t>
      </w:r>
      <w:r w:rsidRPr="00F041FF">
        <w:rPr>
          <w:szCs w:val="24"/>
          <w:lang w:eastAsia="de-DE"/>
        </w:rPr>
        <w:t>.</w:t>
      </w:r>
    </w:p>
    <w:p w:rsidR="00B728D3" w:rsidRPr="00F041FF" w:rsidRDefault="00B728D3" w:rsidP="004305C5">
      <w:pPr>
        <w:widowControl w:val="0"/>
        <w:snapToGrid w:val="0"/>
        <w:spacing w:after="0"/>
        <w:ind w:firstLineChars="100" w:firstLine="240"/>
        <w:rPr>
          <w:szCs w:val="24"/>
          <w:lang w:eastAsia="de-DE"/>
        </w:rPr>
      </w:pPr>
      <w:r w:rsidRPr="00F041FF">
        <w:rPr>
          <w:szCs w:val="24"/>
          <w:lang w:eastAsia="de-DE"/>
        </w:rPr>
        <w:t>In recent studies of our group, another mechanism of action apart from direct induction of apoptosis by clinically effective anti-TNF antibodies was identified. We showed that T cell apoptosis was only induced if mucosal T cells expressing TNFR2 were co-cultivated with mTNF-expressing CD14+ macrophages</w:t>
      </w:r>
      <w:r w:rsidRPr="00F041FF">
        <w:rPr>
          <w:noProof/>
          <w:szCs w:val="24"/>
          <w:vertAlign w:val="superscript"/>
          <w:lang w:eastAsia="de-DE"/>
        </w:rPr>
        <w:t>[24]</w:t>
      </w:r>
      <w:r w:rsidRPr="00F041FF">
        <w:rPr>
          <w:szCs w:val="24"/>
          <w:lang w:eastAsia="de-DE"/>
        </w:rPr>
        <w:t xml:space="preserve">. Binding of mTNF to TNFR2 on T cells resulted in activation of TNFR-2 dependent signaling pathways </w:t>
      </w:r>
      <w:r w:rsidRPr="00F041FF">
        <w:rPr>
          <w:szCs w:val="24"/>
          <w:lang w:eastAsia="de-DE"/>
        </w:rPr>
        <w:lastRenderedPageBreak/>
        <w:t>leading to TRAF2 and NF-kB induction followed by heightened IL-6 production, and subsequently resulting in T cell resistance to apoptosis, which leads to perpetuation of intestinal inflammation.</w:t>
      </w:r>
      <w:r w:rsidR="004305C5">
        <w:rPr>
          <w:rFonts w:hint="eastAsia"/>
          <w:szCs w:val="24"/>
          <w:lang w:eastAsia="zh-CN"/>
        </w:rPr>
        <w:t xml:space="preserve"> </w:t>
      </w:r>
      <w:r w:rsidRPr="00F041FF">
        <w:rPr>
          <w:szCs w:val="24"/>
          <w:lang w:eastAsia="de-DE"/>
        </w:rPr>
        <w:t>This concept proposes an indirect apoptosis induction by neutralizing the mTNF binding side for TNFR2 by anti-TNF antibody treatment, resulting in apoptosis of TNFR2 expressing T cells</w:t>
      </w:r>
      <w:r w:rsidRPr="00F041FF">
        <w:rPr>
          <w:noProof/>
          <w:szCs w:val="24"/>
          <w:vertAlign w:val="superscript"/>
          <w:lang w:eastAsia="de-DE"/>
        </w:rPr>
        <w:t>[24]</w:t>
      </w:r>
      <w:r w:rsidRPr="00F041FF">
        <w:rPr>
          <w:szCs w:val="24"/>
          <w:lang w:eastAsia="de-DE"/>
        </w:rPr>
        <w:t xml:space="preserve">. </w:t>
      </w:r>
    </w:p>
    <w:p w:rsidR="004305C5" w:rsidRPr="004305C5" w:rsidRDefault="004305C5" w:rsidP="00D4383F">
      <w:pPr>
        <w:pStyle w:val="Heading2"/>
        <w:keepNext w:val="0"/>
        <w:keepLines w:val="0"/>
        <w:widowControl w:val="0"/>
        <w:snapToGrid w:val="0"/>
        <w:spacing w:before="0"/>
        <w:rPr>
          <w:rFonts w:eastAsiaTheme="minorEastAsia"/>
          <w:szCs w:val="24"/>
          <w:lang w:eastAsia="zh-CN"/>
        </w:rPr>
      </w:pPr>
    </w:p>
    <w:p w:rsidR="00B728D3" w:rsidRPr="004305C5" w:rsidRDefault="00B728D3" w:rsidP="00D4383F">
      <w:pPr>
        <w:pStyle w:val="Heading2"/>
        <w:keepNext w:val="0"/>
        <w:keepLines w:val="0"/>
        <w:widowControl w:val="0"/>
        <w:snapToGrid w:val="0"/>
        <w:spacing w:before="0"/>
        <w:rPr>
          <w:rFonts w:eastAsia="Times New Roman"/>
          <w:caps/>
          <w:szCs w:val="24"/>
        </w:rPr>
      </w:pPr>
      <w:r w:rsidRPr="004305C5">
        <w:rPr>
          <w:rFonts w:eastAsia="Times New Roman"/>
          <w:caps/>
          <w:szCs w:val="24"/>
        </w:rPr>
        <w:t>Prediction of clinical response</w:t>
      </w:r>
    </w:p>
    <w:p w:rsidR="00B728D3" w:rsidRPr="00F041FF" w:rsidRDefault="004305C5" w:rsidP="00D4383F">
      <w:pPr>
        <w:widowControl w:val="0"/>
        <w:snapToGrid w:val="0"/>
        <w:spacing w:after="0"/>
        <w:rPr>
          <w:szCs w:val="24"/>
          <w:lang w:eastAsia="zh-CN"/>
        </w:rPr>
      </w:pPr>
      <w:r>
        <w:rPr>
          <w:szCs w:val="24"/>
          <w:lang w:eastAsia="de-DE"/>
        </w:rPr>
        <w:t>Given that approximately 30</w:t>
      </w:r>
      <w:r w:rsidR="00B728D3" w:rsidRPr="00F041FF">
        <w:rPr>
          <w:szCs w:val="24"/>
          <w:lang w:eastAsia="de-DE"/>
        </w:rPr>
        <w:t>% of the patients fail to respond to anti-TNF therapy (primar</w:t>
      </w:r>
      <w:r>
        <w:rPr>
          <w:szCs w:val="24"/>
          <w:lang w:eastAsia="de-DE"/>
        </w:rPr>
        <w:t>y non-responders), and up to 50</w:t>
      </w:r>
      <w:r w:rsidR="00B728D3" w:rsidRPr="00F041FF">
        <w:rPr>
          <w:szCs w:val="24"/>
          <w:lang w:eastAsia="de-DE"/>
        </w:rPr>
        <w:t>% lose the response during therapy (secondary non-responders)</w:t>
      </w:r>
      <w:r w:rsidR="00B728D3" w:rsidRPr="00F041FF">
        <w:rPr>
          <w:noProof/>
          <w:szCs w:val="24"/>
          <w:vertAlign w:val="superscript"/>
          <w:lang w:eastAsia="de-DE"/>
        </w:rPr>
        <w:t>[</w:t>
      </w:r>
      <w:r w:rsidR="00487C34" w:rsidRPr="00F041FF">
        <w:rPr>
          <w:noProof/>
          <w:szCs w:val="24"/>
          <w:vertAlign w:val="superscript"/>
          <w:lang w:eastAsia="de-DE"/>
        </w:rPr>
        <w:t>82</w:t>
      </w:r>
      <w:r w:rsidR="00B728D3" w:rsidRPr="00F041FF">
        <w:rPr>
          <w:noProof/>
          <w:szCs w:val="24"/>
          <w:vertAlign w:val="superscript"/>
          <w:lang w:eastAsia="de-DE"/>
        </w:rPr>
        <w:t>]</w:t>
      </w:r>
      <w:r w:rsidR="00B728D3" w:rsidRPr="00F041FF">
        <w:rPr>
          <w:szCs w:val="24"/>
          <w:lang w:eastAsia="de-DE"/>
        </w:rPr>
        <w:t>, there is a clinical need for biomarkers allowing prediction of clinical response. Expression of biomarkers in blood or intestinal biopsies has been investigated in this regard</w:t>
      </w:r>
      <w:r w:rsidR="0021054C" w:rsidRPr="00F041FF">
        <w:rPr>
          <w:szCs w:val="24"/>
          <w:lang w:eastAsia="de-DE"/>
        </w:rPr>
        <w:t>.</w:t>
      </w:r>
      <w:r w:rsidR="00790EF3" w:rsidRPr="00F041FF">
        <w:rPr>
          <w:szCs w:val="24"/>
          <w:lang w:eastAsia="de-DE"/>
        </w:rPr>
        <w:t xml:space="preserve"> </w:t>
      </w:r>
      <w:r w:rsidR="00790EF3" w:rsidRPr="004305C5">
        <w:rPr>
          <w:szCs w:val="24"/>
          <w:lang w:eastAsia="de-DE"/>
        </w:rPr>
        <w:t>Table 4 presents a</w:t>
      </w:r>
      <w:r w:rsidR="0021054C" w:rsidRPr="004305C5">
        <w:rPr>
          <w:szCs w:val="24"/>
          <w:lang w:eastAsia="de-DE"/>
        </w:rPr>
        <w:t xml:space="preserve"> selection</w:t>
      </w:r>
      <w:r w:rsidR="00790EF3" w:rsidRPr="004305C5">
        <w:rPr>
          <w:szCs w:val="24"/>
          <w:lang w:eastAsia="de-DE"/>
        </w:rPr>
        <w:t xml:space="preserve"> of</w:t>
      </w:r>
      <w:r w:rsidR="0021054C" w:rsidRPr="004305C5">
        <w:rPr>
          <w:szCs w:val="24"/>
          <w:lang w:eastAsia="de-DE"/>
        </w:rPr>
        <w:t xml:space="preserve"> so far collected data regarding</w:t>
      </w:r>
      <w:r w:rsidR="00790EF3" w:rsidRPr="004305C5">
        <w:rPr>
          <w:szCs w:val="24"/>
          <w:lang w:eastAsia="de-DE"/>
        </w:rPr>
        <w:t xml:space="preserve"> possible predictors of response</w:t>
      </w:r>
      <w:r w:rsidR="0021054C" w:rsidRPr="004305C5">
        <w:rPr>
          <w:szCs w:val="24"/>
          <w:lang w:eastAsia="de-DE"/>
        </w:rPr>
        <w:t xml:space="preserve"> to anti-TNF therapy in IBD</w:t>
      </w:r>
      <w:r w:rsidR="00B728D3" w:rsidRPr="004305C5">
        <w:rPr>
          <w:szCs w:val="24"/>
          <w:lang w:eastAsia="de-DE"/>
        </w:rPr>
        <w:t xml:space="preserve">. </w:t>
      </w:r>
      <w:r w:rsidR="00B728D3" w:rsidRPr="00F041FF">
        <w:rPr>
          <w:szCs w:val="24"/>
          <w:lang w:eastAsia="de-DE"/>
        </w:rPr>
        <w:t>A study using intestinal biopsies of patients with CD responding and non-responding to anti-TNF therapy revealed that modulation of TNF-dependent genes has also been observed in non-responsive patients, indicating biological activity of anti-TNF independently of clinical response</w:t>
      </w:r>
      <w:r w:rsidR="00B728D3" w:rsidRPr="00F041FF">
        <w:rPr>
          <w:noProof/>
          <w:szCs w:val="24"/>
          <w:vertAlign w:val="superscript"/>
          <w:lang w:eastAsia="de-DE"/>
        </w:rPr>
        <w:t>[54]</w:t>
      </w:r>
      <w:r w:rsidR="00B728D3" w:rsidRPr="00F041FF">
        <w:rPr>
          <w:szCs w:val="24"/>
          <w:lang w:eastAsia="de-DE"/>
        </w:rPr>
        <w:t>. On the other hand, in this study IL1B and IL17A remained altered in non-responders, suggesting these cytokines as relevant targets in this subgroup of patients</w:t>
      </w:r>
      <w:r w:rsidR="00B728D3" w:rsidRPr="00F041FF">
        <w:rPr>
          <w:noProof/>
          <w:szCs w:val="24"/>
          <w:vertAlign w:val="superscript"/>
          <w:lang w:eastAsia="de-DE"/>
        </w:rPr>
        <w:t>[54]</w:t>
      </w:r>
      <w:r w:rsidR="00B728D3" w:rsidRPr="00F041FF">
        <w:rPr>
          <w:szCs w:val="24"/>
          <w:lang w:eastAsia="de-DE"/>
        </w:rPr>
        <w:t xml:space="preserve">. A database search validated possible biomarkers in gene expression in patients with inflammatory bowel diseases under infliximab therapy. Of interest, datasets of PBMCs and biopsies were not comparable. Regarding intestinal biopsies, the genes </w:t>
      </w:r>
      <w:r w:rsidR="00B728D3" w:rsidRPr="00F041FF">
        <w:rPr>
          <w:i/>
          <w:szCs w:val="24"/>
          <w:lang w:eastAsia="de-DE"/>
        </w:rPr>
        <w:t>IL13RA2</w:t>
      </w:r>
      <w:r w:rsidR="00B728D3" w:rsidRPr="00F041FF">
        <w:rPr>
          <w:szCs w:val="24"/>
          <w:lang w:eastAsia="de-DE"/>
        </w:rPr>
        <w:t xml:space="preserve">, </w:t>
      </w:r>
      <w:r w:rsidR="00B728D3" w:rsidRPr="00F041FF">
        <w:rPr>
          <w:i/>
          <w:szCs w:val="24"/>
          <w:lang w:eastAsia="de-DE"/>
        </w:rPr>
        <w:t>PTGS2</w:t>
      </w:r>
      <w:r w:rsidR="00B728D3" w:rsidRPr="00F041FF">
        <w:rPr>
          <w:szCs w:val="24"/>
          <w:lang w:eastAsia="de-DE"/>
        </w:rPr>
        <w:t xml:space="preserve"> and </w:t>
      </w:r>
      <w:r w:rsidR="00B728D3" w:rsidRPr="00F041FF">
        <w:rPr>
          <w:i/>
          <w:szCs w:val="24"/>
          <w:lang w:eastAsia="de-DE"/>
        </w:rPr>
        <w:t xml:space="preserve">WNT5A </w:t>
      </w:r>
      <w:r w:rsidR="00B728D3" w:rsidRPr="00F041FF">
        <w:rPr>
          <w:szCs w:val="24"/>
          <w:lang w:eastAsia="de-DE"/>
        </w:rPr>
        <w:t>were shown to possibly predict the responsiveness to infliximab in IBD</w:t>
      </w:r>
      <w:r w:rsidR="00B728D3" w:rsidRPr="00F041FF">
        <w:rPr>
          <w:noProof/>
          <w:szCs w:val="24"/>
          <w:vertAlign w:val="superscript"/>
          <w:lang w:eastAsia="de-DE"/>
        </w:rPr>
        <w:t>[16]</w:t>
      </w:r>
      <w:r>
        <w:rPr>
          <w:szCs w:val="24"/>
          <w:lang w:eastAsia="de-DE"/>
        </w:rPr>
        <w:t>.</w:t>
      </w:r>
    </w:p>
    <w:p w:rsidR="00B728D3" w:rsidRPr="00F041FF" w:rsidRDefault="00B728D3" w:rsidP="004305C5">
      <w:pPr>
        <w:widowControl w:val="0"/>
        <w:snapToGrid w:val="0"/>
        <w:spacing w:after="0"/>
        <w:ind w:firstLineChars="100" w:firstLine="240"/>
        <w:rPr>
          <w:szCs w:val="24"/>
          <w:lang w:eastAsia="de-DE"/>
        </w:rPr>
      </w:pPr>
      <w:r w:rsidRPr="00F041FF">
        <w:rPr>
          <w:szCs w:val="24"/>
          <w:lang w:eastAsia="de-DE"/>
        </w:rPr>
        <w:t>Another study investigating UC patients before and after therapy with infliximab identified a high CAI, a negative antineutrophil cytoplasmatic autoantibody (ANCA) status and the IL23R genotype as predictors of response to therapy</w:t>
      </w:r>
      <w:r w:rsidRPr="00F041FF">
        <w:rPr>
          <w:noProof/>
          <w:szCs w:val="24"/>
          <w:vertAlign w:val="superscript"/>
          <w:lang w:eastAsia="de-DE"/>
        </w:rPr>
        <w:t>[17]</w:t>
      </w:r>
      <w:r w:rsidRPr="00F041FF">
        <w:rPr>
          <w:szCs w:val="24"/>
          <w:lang w:eastAsia="de-DE"/>
        </w:rPr>
        <w:t xml:space="preserve">. As apoptosis is a central mechanism of action of anti-TNF antibodies, a predictive model based on an apoptotic pharmacological index (API) has been proposed in another study. Herein, response rates of infliximab in </w:t>
      </w:r>
      <w:r w:rsidR="004305C5" w:rsidRPr="00F041FF">
        <w:rPr>
          <w:szCs w:val="24"/>
        </w:rPr>
        <w:t>C</w:t>
      </w:r>
      <w:r w:rsidR="004305C5">
        <w:rPr>
          <w:rFonts w:hint="eastAsia"/>
          <w:szCs w:val="24"/>
          <w:lang w:eastAsia="zh-CN"/>
        </w:rPr>
        <w:t>D</w:t>
      </w:r>
      <w:r w:rsidRPr="00F041FF">
        <w:rPr>
          <w:szCs w:val="24"/>
          <w:lang w:eastAsia="de-DE"/>
        </w:rPr>
        <w:t xml:space="preserve"> patients have been investigated in regard to polymorphisms of apoptosis genes (FAS ligand -843C/T; Fas -670G/A; Caspase-9 93 C/T). Patients with an low API had the lowest response whereas patients with an high API displayed high response and remission rates</w:t>
      </w:r>
      <w:r w:rsidRPr="00F041FF">
        <w:rPr>
          <w:noProof/>
          <w:szCs w:val="24"/>
          <w:vertAlign w:val="superscript"/>
          <w:lang w:eastAsia="de-DE"/>
        </w:rPr>
        <w:t>[</w:t>
      </w:r>
      <w:r w:rsidR="00487C34" w:rsidRPr="00F041FF">
        <w:rPr>
          <w:noProof/>
          <w:szCs w:val="24"/>
          <w:vertAlign w:val="superscript"/>
          <w:lang w:eastAsia="de-DE"/>
        </w:rPr>
        <w:t>83</w:t>
      </w:r>
      <w:r w:rsidRPr="00F041FF">
        <w:rPr>
          <w:noProof/>
          <w:szCs w:val="24"/>
          <w:vertAlign w:val="superscript"/>
          <w:lang w:eastAsia="de-DE"/>
        </w:rPr>
        <w:t>]</w:t>
      </w:r>
      <w:r w:rsidRPr="00F041FF">
        <w:rPr>
          <w:szCs w:val="24"/>
          <w:lang w:eastAsia="de-DE"/>
        </w:rPr>
        <w:t xml:space="preserve">. In addition, </w:t>
      </w:r>
      <w:r w:rsidR="00F263AD">
        <w:rPr>
          <w:szCs w:val="24"/>
          <w:lang w:eastAsia="de-DE"/>
        </w:rPr>
        <w:t xml:space="preserve">high </w:t>
      </w:r>
      <w:r w:rsidRPr="00F041FF">
        <w:rPr>
          <w:szCs w:val="24"/>
          <w:lang w:eastAsia="de-DE"/>
        </w:rPr>
        <w:t xml:space="preserve">C-reactive </w:t>
      </w:r>
      <w:r w:rsidRPr="00F041FF">
        <w:rPr>
          <w:szCs w:val="24"/>
          <w:lang w:eastAsia="de-DE"/>
        </w:rPr>
        <w:lastRenderedPageBreak/>
        <w:t>protein levels have been described as predictors for response to anti-TNF therapy</w:t>
      </w:r>
      <w:r w:rsidRPr="00F041FF">
        <w:rPr>
          <w:noProof/>
          <w:szCs w:val="24"/>
          <w:vertAlign w:val="superscript"/>
          <w:lang w:eastAsia="de-DE"/>
        </w:rPr>
        <w:t>[</w:t>
      </w:r>
      <w:r w:rsidR="00487C34" w:rsidRPr="00F041FF">
        <w:rPr>
          <w:noProof/>
          <w:szCs w:val="24"/>
          <w:vertAlign w:val="superscript"/>
          <w:lang w:eastAsia="de-DE"/>
        </w:rPr>
        <w:t>84</w:t>
      </w:r>
      <w:r w:rsidRPr="00F041FF">
        <w:rPr>
          <w:noProof/>
          <w:szCs w:val="24"/>
          <w:vertAlign w:val="superscript"/>
          <w:lang w:eastAsia="de-DE"/>
        </w:rPr>
        <w:t>]</w:t>
      </w:r>
      <w:r w:rsidRPr="00F041FF">
        <w:rPr>
          <w:szCs w:val="24"/>
          <w:lang w:eastAsia="de-DE"/>
        </w:rPr>
        <w:t xml:space="preserve">. Gene array analyses of biopsies from UC patients taken before anti-TNF treatment identified mainly five differentially expressed genes involved in adaptive immunity </w:t>
      </w:r>
      <w:r w:rsidRPr="00F041FF">
        <w:rPr>
          <w:szCs w:val="24"/>
        </w:rPr>
        <w:t>(osteoprotegerin, stanniocalcin-1, prostaglandin-endoperoxide synthase 2, IL13R alpha 2 and IL-11)</w:t>
      </w:r>
      <w:r w:rsidRPr="00F041FF">
        <w:rPr>
          <w:szCs w:val="24"/>
          <w:lang w:eastAsia="de-DE"/>
        </w:rPr>
        <w:t xml:space="preserve"> in patients later responding to infliximab as compared to patients that did not</w:t>
      </w:r>
      <w:r w:rsidRPr="00F041FF">
        <w:rPr>
          <w:noProof/>
          <w:szCs w:val="24"/>
          <w:vertAlign w:val="superscript"/>
          <w:lang w:eastAsia="de-DE"/>
        </w:rPr>
        <w:t>[</w:t>
      </w:r>
      <w:r w:rsidR="00487C34" w:rsidRPr="00F041FF">
        <w:rPr>
          <w:noProof/>
          <w:szCs w:val="24"/>
          <w:vertAlign w:val="superscript"/>
          <w:lang w:eastAsia="de-DE"/>
        </w:rPr>
        <w:t>85</w:t>
      </w:r>
      <w:r w:rsidRPr="00F041FF">
        <w:rPr>
          <w:noProof/>
          <w:szCs w:val="24"/>
          <w:vertAlign w:val="superscript"/>
          <w:lang w:eastAsia="de-DE"/>
        </w:rPr>
        <w:t>]</w:t>
      </w:r>
      <w:r w:rsidRPr="00F041FF">
        <w:rPr>
          <w:szCs w:val="24"/>
          <w:lang w:eastAsia="de-DE"/>
        </w:rPr>
        <w:t>.  However, these promising biomarkers will have to be validated in larger cohorts of patients to verify if they serve as reliable markers for prediction of therapy in the clinic.</w:t>
      </w:r>
    </w:p>
    <w:p w:rsidR="00B728D3" w:rsidRPr="00F041FF" w:rsidRDefault="00B728D3" w:rsidP="004305C5">
      <w:pPr>
        <w:widowControl w:val="0"/>
        <w:snapToGrid w:val="0"/>
        <w:spacing w:after="0"/>
        <w:ind w:firstLineChars="100" w:firstLine="240"/>
        <w:rPr>
          <w:szCs w:val="24"/>
          <w:lang w:eastAsia="de-DE"/>
        </w:rPr>
      </w:pPr>
      <w:r w:rsidRPr="00F041FF">
        <w:rPr>
          <w:szCs w:val="24"/>
          <w:lang w:eastAsia="de-DE"/>
        </w:rPr>
        <w:t xml:space="preserve">Another approach for prediction of response is </w:t>
      </w:r>
      <w:r w:rsidRPr="00F041FF">
        <w:rPr>
          <w:szCs w:val="24"/>
        </w:rPr>
        <w:t xml:space="preserve">based on biomarkers derived from the molecular mechanism of action of anti-TNF antibodies and transition into corresponding </w:t>
      </w:r>
      <w:r w:rsidRPr="0013290E">
        <w:rPr>
          <w:i/>
          <w:szCs w:val="24"/>
        </w:rPr>
        <w:t>in vivo</w:t>
      </w:r>
      <w:r w:rsidRPr="00F041FF">
        <w:rPr>
          <w:szCs w:val="24"/>
        </w:rPr>
        <w:t xml:space="preserve"> molecular imaging modalities.</w:t>
      </w:r>
      <w:r w:rsidRPr="00F041FF">
        <w:rPr>
          <w:szCs w:val="24"/>
          <w:lang w:eastAsia="de-DE"/>
        </w:rPr>
        <w:t xml:space="preserve"> As described earlier, apoptosis induction by infliximab was determined by SPECT imaging and detected a significantly higher apoptosis rate in patients later responding to infliximab</w:t>
      </w:r>
      <w:r w:rsidRPr="00F041FF">
        <w:rPr>
          <w:noProof/>
          <w:szCs w:val="24"/>
          <w:vertAlign w:val="superscript"/>
          <w:lang w:eastAsia="de-DE"/>
        </w:rPr>
        <w:t>[</w:t>
      </w:r>
      <w:r w:rsidR="00487C34" w:rsidRPr="00F041FF">
        <w:rPr>
          <w:noProof/>
          <w:szCs w:val="24"/>
          <w:vertAlign w:val="superscript"/>
          <w:lang w:eastAsia="de-DE"/>
        </w:rPr>
        <w:t>80</w:t>
      </w:r>
      <w:r w:rsidRPr="00F041FF">
        <w:rPr>
          <w:noProof/>
          <w:szCs w:val="24"/>
          <w:vertAlign w:val="superscript"/>
          <w:lang w:eastAsia="de-DE"/>
        </w:rPr>
        <w:t>]</w:t>
      </w:r>
      <w:r w:rsidRPr="00F041FF">
        <w:rPr>
          <w:szCs w:val="24"/>
          <w:lang w:eastAsia="de-DE"/>
        </w:rPr>
        <w:t>. The visualization of mTNF expressing cells by molecular imaging was the fundament of another recently published clinical trial. Based on the previous finding that the interaction of mTNF expressing cells and TNFR2 expressing T cells is targeted by anti-TNF antibodies</w:t>
      </w:r>
      <w:r w:rsidRPr="00F041FF">
        <w:rPr>
          <w:noProof/>
          <w:szCs w:val="24"/>
          <w:vertAlign w:val="superscript"/>
          <w:lang w:eastAsia="de-DE"/>
        </w:rPr>
        <w:t>[24]</w:t>
      </w:r>
      <w:r w:rsidRPr="00F041FF">
        <w:rPr>
          <w:szCs w:val="24"/>
          <w:lang w:eastAsia="de-DE"/>
        </w:rPr>
        <w:t xml:space="preserve">, it was possible to predict clinical response to subsequent anti-TNF therapy using GMP-conform fluorescent anti-TNF antibodies during endoscopy. Here, prior to initiation of anti-TNF therapy, fluorescent anti-TNF antibodies were topically applied </w:t>
      </w:r>
      <w:r w:rsidRPr="00F041FF">
        <w:rPr>
          <w:i/>
          <w:szCs w:val="24"/>
          <w:lang w:eastAsia="de-DE"/>
        </w:rPr>
        <w:t>in vivo</w:t>
      </w:r>
      <w:r w:rsidRPr="00F041FF">
        <w:rPr>
          <w:szCs w:val="24"/>
          <w:lang w:eastAsia="de-DE"/>
        </w:rPr>
        <w:t xml:space="preserve"> to the inflamed mucosa in 25 CD patients and the number of mTNF positive mucosal cells were localized with molecular imaging using a confocal laser endomicroscope. It could be demonstrated that CD</w:t>
      </w:r>
      <w:r w:rsidR="005D782D">
        <w:rPr>
          <w:szCs w:val="24"/>
          <w:lang w:eastAsia="de-DE"/>
        </w:rPr>
        <w:t xml:space="preserve"> </w:t>
      </w:r>
      <w:r w:rsidRPr="00F041FF">
        <w:rPr>
          <w:szCs w:val="24"/>
          <w:lang w:eastAsia="de-DE"/>
        </w:rPr>
        <w:t>patients with high amounts of mTNF+ cells showed significantly higher response rates at week 12 (92%) upon subsequent anti-TNF therapy as compared to patients with low amounts of mTNF+ cells (15%). Clinical response was defined as the reduction of the Crohn’s Disease Activity Index &gt;</w:t>
      </w:r>
      <w:r w:rsidR="00300253">
        <w:rPr>
          <w:rFonts w:hint="eastAsia"/>
          <w:szCs w:val="24"/>
          <w:lang w:eastAsia="zh-CN"/>
        </w:rPr>
        <w:t xml:space="preserve"> </w:t>
      </w:r>
      <w:r w:rsidRPr="00F041FF">
        <w:rPr>
          <w:szCs w:val="24"/>
          <w:lang w:eastAsia="de-DE"/>
        </w:rPr>
        <w:t>100 points at week 12 after the initiation of the anti-TNF therapy. A high number of mTNF positive cells also predicted sustained clinical response at week 52, decreased steroid use and high mucosal healing rates</w:t>
      </w:r>
      <w:r w:rsidRPr="00F041FF">
        <w:rPr>
          <w:noProof/>
          <w:szCs w:val="24"/>
          <w:vertAlign w:val="superscript"/>
          <w:lang w:eastAsia="de-DE"/>
        </w:rPr>
        <w:t>[18]</w:t>
      </w:r>
      <w:r w:rsidRPr="00F041FF">
        <w:rPr>
          <w:szCs w:val="24"/>
          <w:lang w:eastAsia="de-DE"/>
        </w:rPr>
        <w:t>. These findings represent a first step towards individualized medicine, making it possible to determine the most suitable biological therapy based on molecular level analysis thereby circumventing ineffective antibody therapy in IBD patients.</w:t>
      </w:r>
    </w:p>
    <w:p w:rsidR="00300253" w:rsidRDefault="00300253" w:rsidP="00D4383F">
      <w:pPr>
        <w:pStyle w:val="Heading1"/>
        <w:keepNext w:val="0"/>
        <w:keepLines w:val="0"/>
        <w:widowControl w:val="0"/>
        <w:snapToGrid w:val="0"/>
        <w:spacing w:before="0" w:beforeAutospacing="0" w:after="0" w:afterAutospacing="0"/>
        <w:rPr>
          <w:rFonts w:eastAsiaTheme="minorEastAsia"/>
          <w:sz w:val="24"/>
          <w:szCs w:val="24"/>
          <w:lang w:eastAsia="zh-CN"/>
        </w:rPr>
      </w:pPr>
    </w:p>
    <w:p w:rsidR="00B728D3" w:rsidRPr="00300253" w:rsidRDefault="00B728D3" w:rsidP="00D4383F">
      <w:pPr>
        <w:pStyle w:val="Heading1"/>
        <w:keepNext w:val="0"/>
        <w:keepLines w:val="0"/>
        <w:widowControl w:val="0"/>
        <w:snapToGrid w:val="0"/>
        <w:spacing w:before="0" w:beforeAutospacing="0" w:after="0" w:afterAutospacing="0"/>
        <w:rPr>
          <w:rFonts w:eastAsia="Times New Roman"/>
          <w:caps/>
          <w:sz w:val="24"/>
          <w:szCs w:val="24"/>
        </w:rPr>
      </w:pPr>
      <w:r w:rsidRPr="00300253">
        <w:rPr>
          <w:rFonts w:eastAsia="Times New Roman"/>
          <w:caps/>
          <w:sz w:val="24"/>
          <w:szCs w:val="24"/>
        </w:rPr>
        <w:t>Discussion and future research directions</w:t>
      </w:r>
    </w:p>
    <w:p w:rsidR="00B728D3" w:rsidRPr="00F041FF" w:rsidRDefault="00B728D3" w:rsidP="00D4383F">
      <w:pPr>
        <w:widowControl w:val="0"/>
        <w:snapToGrid w:val="0"/>
        <w:spacing w:after="0"/>
        <w:rPr>
          <w:szCs w:val="24"/>
        </w:rPr>
      </w:pPr>
      <w:r w:rsidRPr="00F041FF">
        <w:rPr>
          <w:szCs w:val="24"/>
        </w:rPr>
        <w:t xml:space="preserve">Given the complexity of TNF signaling, the identification of the mechanism of action of anti-TNF therapy remains challenging. In this review, several aspects of potential targets for anti-TNF antibodies have been discussed. However, as reviewed here, contradictory results concerning the influence of anti-TNF antibodies on cells </w:t>
      </w:r>
      <w:r w:rsidRPr="00F041FF">
        <w:rPr>
          <w:i/>
          <w:szCs w:val="24"/>
        </w:rPr>
        <w:t>in vivo</w:t>
      </w:r>
      <w:r w:rsidRPr="00F041FF">
        <w:rPr>
          <w:szCs w:val="24"/>
        </w:rPr>
        <w:t xml:space="preserve"> and </w:t>
      </w:r>
      <w:r w:rsidRPr="00F041FF">
        <w:rPr>
          <w:i/>
          <w:szCs w:val="24"/>
        </w:rPr>
        <w:t xml:space="preserve">in vitro </w:t>
      </w:r>
      <w:r w:rsidRPr="00F041FF">
        <w:rPr>
          <w:szCs w:val="24"/>
        </w:rPr>
        <w:t xml:space="preserve">have been reported, which possibly reflect the different experimental conditions used in each study. Furthermore, although infliximab, adalimumab, golimumab, certolizumab pegol and etanercept target the same epitope, fundamental differences in their mode-of-action </w:t>
      </w:r>
      <w:r w:rsidRPr="00F041FF">
        <w:rPr>
          <w:i/>
          <w:szCs w:val="24"/>
        </w:rPr>
        <w:t>in vivo</w:t>
      </w:r>
      <w:r w:rsidRPr="00F041FF">
        <w:rPr>
          <w:szCs w:val="24"/>
        </w:rPr>
        <w:t xml:space="preserve"> have been demonstrated, beginning with the fact that etanercept is effective in the treatment of RA</w:t>
      </w:r>
      <w:r w:rsidR="007E132C" w:rsidRPr="00F041FF">
        <w:rPr>
          <w:szCs w:val="24"/>
        </w:rPr>
        <w:t>,</w:t>
      </w:r>
      <w:r w:rsidRPr="00F041FF">
        <w:rPr>
          <w:szCs w:val="24"/>
        </w:rPr>
        <w:t xml:space="preserve"> </w:t>
      </w:r>
      <w:r w:rsidRPr="00300253">
        <w:rPr>
          <w:szCs w:val="24"/>
        </w:rPr>
        <w:t xml:space="preserve">but </w:t>
      </w:r>
      <w:r w:rsidR="007E132C" w:rsidRPr="00300253">
        <w:rPr>
          <w:szCs w:val="24"/>
        </w:rPr>
        <w:t xml:space="preserve">did </w:t>
      </w:r>
      <w:r w:rsidRPr="00300253">
        <w:rPr>
          <w:szCs w:val="24"/>
        </w:rPr>
        <w:t xml:space="preserve">not </w:t>
      </w:r>
      <w:r w:rsidR="007E132C" w:rsidRPr="00300253">
        <w:rPr>
          <w:szCs w:val="24"/>
        </w:rPr>
        <w:t xml:space="preserve">show therapeutic efficacy </w:t>
      </w:r>
      <w:r w:rsidRPr="00300253">
        <w:rPr>
          <w:szCs w:val="24"/>
        </w:rPr>
        <w:t xml:space="preserve">in the treatment of CD. </w:t>
      </w:r>
      <w:r w:rsidRPr="00F041FF">
        <w:rPr>
          <w:szCs w:val="24"/>
        </w:rPr>
        <w:t xml:space="preserve">However, in summary some conclusions can be drawn: First, as many IBD patients benefit from long-term remission induced by anti-TNF therapy, additionally to TNF neutralization fundamental biological changes must be induced, especially in those patients that can stop the medication due to stable remission. Second, it is unclear if Fc-dependent apoptosis such as ADCC and CDC by anti-TNF agents is relevant </w:t>
      </w:r>
      <w:r w:rsidRPr="00F041FF">
        <w:rPr>
          <w:i/>
          <w:szCs w:val="24"/>
        </w:rPr>
        <w:t>in vivo</w:t>
      </w:r>
      <w:r w:rsidRPr="00F041FF">
        <w:rPr>
          <w:szCs w:val="24"/>
        </w:rPr>
        <w:t xml:space="preserve"> in IBD. Certolizumab pegol is incapable in inducing ADCC and CDC due to its structure but is successfully used for the treatment of CD. Third, direct and indirect apoptosis induction of anti-TNF agents and the modulation of the immune system possibly might be connected. For example, apoptosis induction could possibly directly influence the cytokine production</w:t>
      </w:r>
      <w:r w:rsidRPr="00F041FF">
        <w:rPr>
          <w:noProof/>
          <w:szCs w:val="24"/>
          <w:vertAlign w:val="superscript"/>
        </w:rPr>
        <w:t>[53]</w:t>
      </w:r>
      <w:r w:rsidRPr="00F041FF">
        <w:rPr>
          <w:szCs w:val="24"/>
        </w:rPr>
        <w:t xml:space="preserve">. Fourth, the effects of anti-TNF agents apparently are dependent on the cell type; in some studies no detection of apoptosis induction in peripheral blood T cells could be observed, while induction of apoptosis in mucosal T cells were described </w:t>
      </w:r>
      <w:r w:rsidRPr="00F041FF">
        <w:rPr>
          <w:i/>
          <w:szCs w:val="24"/>
        </w:rPr>
        <w:t>in vitro</w:t>
      </w:r>
      <w:r w:rsidRPr="00F041FF">
        <w:rPr>
          <w:szCs w:val="24"/>
        </w:rPr>
        <w:t xml:space="preserve"> and </w:t>
      </w:r>
      <w:r w:rsidRPr="00F041FF">
        <w:rPr>
          <w:i/>
          <w:szCs w:val="24"/>
        </w:rPr>
        <w:t>in vivo</w:t>
      </w:r>
      <w:r w:rsidRPr="00F041FF">
        <w:rPr>
          <w:szCs w:val="24"/>
        </w:rPr>
        <w:t xml:space="preserve">. Lastly, several findings suggest binding of anti-TNF antibodies to mTNF rather than binding to sTNF is critical in IBD. In order to improve the response rates of anti-TNF antibody treatment, beside pharmacokinetic reasons, it is mandatory to better understand the mechanism of action of these agents and unravel the key signaling pathways involved. First clinical studies using </w:t>
      </w:r>
      <w:r w:rsidRPr="00F041FF">
        <w:rPr>
          <w:i/>
          <w:szCs w:val="24"/>
        </w:rPr>
        <w:t>in vivo</w:t>
      </w:r>
      <w:r w:rsidRPr="00F041FF">
        <w:rPr>
          <w:szCs w:val="24"/>
        </w:rPr>
        <w:t xml:space="preserve"> imaging are opening the field for individualized therapeutic approaches in the treatment of inflammatory bowel diseases.</w:t>
      </w:r>
    </w:p>
    <w:p w:rsidR="00300253" w:rsidRDefault="00300253">
      <w:pPr>
        <w:spacing w:after="160" w:line="259" w:lineRule="auto"/>
        <w:jc w:val="left"/>
        <w:rPr>
          <w:rFonts w:eastAsiaTheme="majorEastAsia" w:cstheme="majorBidi"/>
          <w:b/>
          <w:bCs/>
          <w:szCs w:val="24"/>
        </w:rPr>
      </w:pPr>
      <w:r>
        <w:rPr>
          <w:szCs w:val="24"/>
        </w:rPr>
        <w:br w:type="page"/>
      </w:r>
    </w:p>
    <w:p w:rsidR="00B728D3" w:rsidRDefault="00B728D3" w:rsidP="00D4383F">
      <w:pPr>
        <w:pStyle w:val="Heading1"/>
        <w:keepNext w:val="0"/>
        <w:keepLines w:val="0"/>
        <w:widowControl w:val="0"/>
        <w:snapToGrid w:val="0"/>
        <w:spacing w:before="0" w:beforeAutospacing="0" w:after="0" w:afterAutospacing="0"/>
        <w:rPr>
          <w:caps/>
          <w:sz w:val="24"/>
          <w:szCs w:val="24"/>
          <w:lang w:eastAsia="zh-CN"/>
        </w:rPr>
      </w:pPr>
      <w:r w:rsidRPr="00300253">
        <w:rPr>
          <w:caps/>
          <w:sz w:val="24"/>
          <w:szCs w:val="24"/>
        </w:rPr>
        <w:lastRenderedPageBreak/>
        <w:t>References</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1 </w:t>
      </w:r>
      <w:r w:rsidRPr="0075280E">
        <w:rPr>
          <w:rFonts w:eastAsia="SimSun" w:cs="SimSun"/>
          <w:b/>
          <w:bCs/>
          <w:szCs w:val="24"/>
          <w:lang w:eastAsia="zh-CN"/>
        </w:rPr>
        <w:t>Fuss IJ</w:t>
      </w:r>
      <w:r w:rsidRPr="0075280E">
        <w:rPr>
          <w:rFonts w:eastAsia="SimSun" w:cs="SimSun"/>
          <w:szCs w:val="24"/>
          <w:lang w:eastAsia="zh-CN"/>
        </w:rPr>
        <w:t>, Neurath M, Boirivant M, Klein JS, de la Motte C, Strong SA, Fiocchi C, Strober W. Disparate CD4+ lamina propria (LP) lymphokine secretion profiles in inflammatory bowel disease. Crohn's disease LP cells manifest increased secretion of IFN-gamma, whereas ulcerative colitis LP cells manifest increased secretion of IL-5. </w:t>
      </w:r>
      <w:r w:rsidRPr="0075280E">
        <w:rPr>
          <w:rFonts w:eastAsia="SimSun" w:cs="SimSun"/>
          <w:i/>
          <w:iCs/>
          <w:szCs w:val="24"/>
          <w:lang w:eastAsia="zh-CN"/>
        </w:rPr>
        <w:t>J Immunol</w:t>
      </w:r>
      <w:r w:rsidRPr="0075280E">
        <w:rPr>
          <w:rFonts w:eastAsia="SimSun" w:cs="SimSun"/>
          <w:szCs w:val="24"/>
          <w:lang w:eastAsia="zh-CN"/>
        </w:rPr>
        <w:t> 1996; </w:t>
      </w:r>
      <w:r w:rsidRPr="0075280E">
        <w:rPr>
          <w:rFonts w:eastAsia="SimSun" w:cs="SimSun"/>
          <w:b/>
          <w:bCs/>
          <w:szCs w:val="24"/>
          <w:lang w:eastAsia="zh-CN"/>
        </w:rPr>
        <w:t>157</w:t>
      </w:r>
      <w:r w:rsidRPr="0075280E">
        <w:rPr>
          <w:rFonts w:eastAsia="SimSun" w:cs="SimSun"/>
          <w:szCs w:val="24"/>
          <w:lang w:eastAsia="zh-CN"/>
        </w:rPr>
        <w:t>: 1261-1270 [PMID: 8757634]</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2 </w:t>
      </w:r>
      <w:r w:rsidRPr="0075280E">
        <w:rPr>
          <w:rFonts w:eastAsia="SimSun" w:cs="SimSun"/>
          <w:b/>
          <w:bCs/>
          <w:szCs w:val="24"/>
          <w:lang w:eastAsia="zh-CN"/>
        </w:rPr>
        <w:t>Heller F</w:t>
      </w:r>
      <w:r w:rsidRPr="0075280E">
        <w:rPr>
          <w:rFonts w:eastAsia="SimSun" w:cs="SimSun"/>
          <w:szCs w:val="24"/>
          <w:lang w:eastAsia="zh-CN"/>
        </w:rPr>
        <w:t>, Florian P, Bojarski C, Richter J, Christ M, Hillenbrand B, Mankertz J, Gitter AH, Bürgel N, Fromm M, Zeitz M, Fuss I, Strober W, Schulzke JD. Interleukin-13 is the key effector Th2 cytokine in ulcerative colitis that affects epithelial tight junctions, apoptosis, and cell restitution.</w:t>
      </w:r>
      <w:r>
        <w:rPr>
          <w:rFonts w:eastAsia="SimSun" w:cs="SimSun" w:hint="eastAsia"/>
          <w:szCs w:val="24"/>
          <w:lang w:eastAsia="zh-CN"/>
        </w:rPr>
        <w:t xml:space="preserve"> </w:t>
      </w:r>
      <w:r w:rsidRPr="0075280E">
        <w:rPr>
          <w:rFonts w:eastAsia="SimSun" w:cs="SimSun"/>
          <w:i/>
          <w:iCs/>
          <w:szCs w:val="24"/>
          <w:lang w:eastAsia="zh-CN"/>
        </w:rPr>
        <w:t>Gastroenterology</w:t>
      </w:r>
      <w:r>
        <w:rPr>
          <w:rFonts w:eastAsia="SimSun" w:cs="SimSun" w:hint="eastAsia"/>
          <w:szCs w:val="24"/>
          <w:lang w:eastAsia="zh-CN"/>
        </w:rPr>
        <w:t xml:space="preserve"> </w:t>
      </w:r>
      <w:r w:rsidRPr="0075280E">
        <w:rPr>
          <w:rFonts w:eastAsia="SimSun" w:cs="SimSun"/>
          <w:szCs w:val="24"/>
          <w:lang w:eastAsia="zh-CN"/>
        </w:rPr>
        <w:t>2005;</w:t>
      </w:r>
      <w:r>
        <w:rPr>
          <w:rFonts w:eastAsia="SimSun" w:cs="SimSun" w:hint="eastAsia"/>
          <w:szCs w:val="24"/>
          <w:lang w:eastAsia="zh-CN"/>
        </w:rPr>
        <w:t xml:space="preserve"> </w:t>
      </w:r>
      <w:r w:rsidRPr="0075280E">
        <w:rPr>
          <w:rFonts w:eastAsia="SimSun" w:cs="SimSun"/>
          <w:b/>
          <w:bCs/>
          <w:szCs w:val="24"/>
          <w:lang w:eastAsia="zh-CN"/>
        </w:rPr>
        <w:t>129</w:t>
      </w:r>
      <w:r w:rsidRPr="0075280E">
        <w:rPr>
          <w:rFonts w:eastAsia="SimSun" w:cs="SimSun"/>
          <w:szCs w:val="24"/>
          <w:lang w:eastAsia="zh-CN"/>
        </w:rPr>
        <w:t>: 550-564 [PMID: 16083712 DOI: 10.1016/j.gastro.2005.05.002]</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3 </w:t>
      </w:r>
      <w:r w:rsidRPr="0075280E">
        <w:rPr>
          <w:rFonts w:eastAsia="SimSun" w:cs="SimSun"/>
          <w:b/>
          <w:bCs/>
          <w:szCs w:val="24"/>
          <w:lang w:eastAsia="zh-CN"/>
        </w:rPr>
        <w:t>Ueno A</w:t>
      </w:r>
      <w:r w:rsidRPr="0075280E">
        <w:rPr>
          <w:rFonts w:eastAsia="SimSun" w:cs="SimSun"/>
          <w:szCs w:val="24"/>
          <w:lang w:eastAsia="zh-CN"/>
        </w:rPr>
        <w:t>, Ghosh A, Hung D, Li J, Jijon H. Th17 plasticity and its changes associated with inflammatory bowel disease. </w:t>
      </w:r>
      <w:r w:rsidRPr="0075280E">
        <w:rPr>
          <w:rFonts w:eastAsia="SimSun" w:cs="SimSun"/>
          <w:i/>
          <w:iCs/>
          <w:szCs w:val="24"/>
          <w:lang w:eastAsia="zh-CN"/>
        </w:rPr>
        <w:t>World J Gastroenterol</w:t>
      </w:r>
      <w:r w:rsidRPr="0075280E">
        <w:rPr>
          <w:rFonts w:eastAsia="SimSun" w:cs="SimSun"/>
          <w:szCs w:val="24"/>
          <w:lang w:eastAsia="zh-CN"/>
        </w:rPr>
        <w:t> 2015; </w:t>
      </w:r>
      <w:r w:rsidRPr="0075280E">
        <w:rPr>
          <w:rFonts w:eastAsia="SimSun" w:cs="SimSun"/>
          <w:b/>
          <w:bCs/>
          <w:szCs w:val="24"/>
          <w:lang w:eastAsia="zh-CN"/>
        </w:rPr>
        <w:t>21</w:t>
      </w:r>
      <w:r w:rsidRPr="0075280E">
        <w:rPr>
          <w:rFonts w:eastAsia="SimSun" w:cs="SimSun"/>
          <w:szCs w:val="24"/>
          <w:lang w:eastAsia="zh-CN"/>
        </w:rPr>
        <w:t>: 12283-12295 [PMID: 26604637 DOI: 10.3748/wjg.v21.i43.12283]</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4 </w:t>
      </w:r>
      <w:r w:rsidRPr="0075280E">
        <w:rPr>
          <w:rFonts w:eastAsia="SimSun" w:cs="SimSun"/>
          <w:b/>
          <w:bCs/>
          <w:szCs w:val="24"/>
          <w:lang w:eastAsia="zh-CN"/>
        </w:rPr>
        <w:t>Zhang YZ</w:t>
      </w:r>
      <w:r w:rsidRPr="0075280E">
        <w:rPr>
          <w:rFonts w:eastAsia="SimSun" w:cs="SimSun"/>
          <w:szCs w:val="24"/>
          <w:lang w:eastAsia="zh-CN"/>
        </w:rPr>
        <w:t>, Li YY. Inflammatory bowel disease: pathogenesis. </w:t>
      </w:r>
      <w:r w:rsidRPr="0075280E">
        <w:rPr>
          <w:rFonts w:eastAsia="SimSun" w:cs="SimSun"/>
          <w:i/>
          <w:iCs/>
          <w:szCs w:val="24"/>
          <w:lang w:eastAsia="zh-CN"/>
        </w:rPr>
        <w:t>World J Gastroenterol</w:t>
      </w:r>
      <w:r>
        <w:rPr>
          <w:rFonts w:eastAsia="SimSun" w:cs="SimSun" w:hint="eastAsia"/>
          <w:szCs w:val="24"/>
          <w:lang w:eastAsia="zh-CN"/>
        </w:rPr>
        <w:t xml:space="preserve"> </w:t>
      </w:r>
      <w:r w:rsidRPr="0075280E">
        <w:rPr>
          <w:rFonts w:eastAsia="SimSun" w:cs="SimSun"/>
          <w:szCs w:val="24"/>
          <w:lang w:eastAsia="zh-CN"/>
        </w:rPr>
        <w:t>2014; </w:t>
      </w:r>
      <w:r w:rsidRPr="0075280E">
        <w:rPr>
          <w:rFonts w:eastAsia="SimSun" w:cs="SimSun"/>
          <w:b/>
          <w:bCs/>
          <w:szCs w:val="24"/>
          <w:lang w:eastAsia="zh-CN"/>
        </w:rPr>
        <w:t>20</w:t>
      </w:r>
      <w:r w:rsidRPr="0075280E">
        <w:rPr>
          <w:rFonts w:eastAsia="SimSun" w:cs="SimSun"/>
          <w:szCs w:val="24"/>
          <w:lang w:eastAsia="zh-CN"/>
        </w:rPr>
        <w:t>: 91-99 [PMID: 24415861 DOI: 10.3748/wjg.v20.i1.91]</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5 </w:t>
      </w:r>
      <w:r w:rsidRPr="0075280E">
        <w:rPr>
          <w:rFonts w:eastAsia="SimSun" w:cs="SimSun"/>
          <w:b/>
          <w:bCs/>
          <w:szCs w:val="24"/>
          <w:lang w:eastAsia="zh-CN"/>
        </w:rPr>
        <w:t>Monteleone G</w:t>
      </w:r>
      <w:r w:rsidRPr="0075280E">
        <w:rPr>
          <w:rFonts w:eastAsia="SimSun" w:cs="SimSun"/>
          <w:szCs w:val="24"/>
          <w:lang w:eastAsia="zh-CN"/>
        </w:rPr>
        <w:t>, Caprioli F. T-cell-directed therapies in inflammatory bowel diseases.</w:t>
      </w:r>
      <w:r>
        <w:rPr>
          <w:rFonts w:eastAsia="SimSun" w:cs="SimSun" w:hint="eastAsia"/>
          <w:szCs w:val="24"/>
          <w:lang w:eastAsia="zh-CN"/>
        </w:rPr>
        <w:t xml:space="preserve"> </w:t>
      </w:r>
      <w:r w:rsidRPr="0075280E">
        <w:rPr>
          <w:rFonts w:eastAsia="SimSun" w:cs="SimSun"/>
          <w:i/>
          <w:iCs/>
          <w:szCs w:val="24"/>
          <w:lang w:eastAsia="zh-CN"/>
        </w:rPr>
        <w:t>Clin Sci (Lond)</w:t>
      </w:r>
      <w:r>
        <w:rPr>
          <w:rFonts w:eastAsia="SimSun" w:cs="SimSun" w:hint="eastAsia"/>
          <w:szCs w:val="24"/>
          <w:lang w:eastAsia="zh-CN"/>
        </w:rPr>
        <w:t xml:space="preserve"> </w:t>
      </w:r>
      <w:r w:rsidRPr="0075280E">
        <w:rPr>
          <w:rFonts w:eastAsia="SimSun" w:cs="SimSun"/>
          <w:szCs w:val="24"/>
          <w:lang w:eastAsia="zh-CN"/>
        </w:rPr>
        <w:t>2010; </w:t>
      </w:r>
      <w:r w:rsidRPr="0075280E">
        <w:rPr>
          <w:rFonts w:eastAsia="SimSun" w:cs="SimSun"/>
          <w:b/>
          <w:bCs/>
          <w:szCs w:val="24"/>
          <w:lang w:eastAsia="zh-CN"/>
        </w:rPr>
        <w:t>118</w:t>
      </w:r>
      <w:r w:rsidRPr="0075280E">
        <w:rPr>
          <w:rFonts w:eastAsia="SimSun" w:cs="SimSun"/>
          <w:szCs w:val="24"/>
          <w:lang w:eastAsia="zh-CN"/>
        </w:rPr>
        <w:t>: 707-715 [PMID: 20350293 DOI: 10.1042/CS20100027]</w:t>
      </w:r>
    </w:p>
    <w:p w:rsidR="00E36671" w:rsidRPr="0075280E" w:rsidRDefault="00E36671" w:rsidP="00E36671">
      <w:pPr>
        <w:spacing w:after="0"/>
        <w:rPr>
          <w:rFonts w:eastAsia="SimSun" w:cs="SimSun"/>
          <w:szCs w:val="24"/>
          <w:lang w:eastAsia="zh-CN"/>
        </w:rPr>
      </w:pPr>
      <w:r w:rsidRPr="00CA640C">
        <w:rPr>
          <w:rFonts w:eastAsia="SimSun" w:cs="SimSun"/>
          <w:szCs w:val="24"/>
          <w:lang w:val="de-DE" w:eastAsia="zh-CN"/>
        </w:rPr>
        <w:t>6 </w:t>
      </w:r>
      <w:r w:rsidRPr="00CA640C">
        <w:rPr>
          <w:rFonts w:eastAsia="SimSun" w:cs="SimSun"/>
          <w:b/>
          <w:bCs/>
          <w:szCs w:val="24"/>
          <w:lang w:val="de-DE" w:eastAsia="zh-CN"/>
        </w:rPr>
        <w:t>Holtmann MH</w:t>
      </w:r>
      <w:r w:rsidRPr="00CA640C">
        <w:rPr>
          <w:rFonts w:eastAsia="SimSun" w:cs="SimSun"/>
          <w:szCs w:val="24"/>
          <w:lang w:val="de-DE" w:eastAsia="zh-CN"/>
        </w:rPr>
        <w:t xml:space="preserve">, Schütz M, Galle PR, Neurath MF. </w:t>
      </w:r>
      <w:r w:rsidRPr="0075280E">
        <w:rPr>
          <w:rFonts w:eastAsia="SimSun" w:cs="SimSun"/>
          <w:szCs w:val="24"/>
          <w:lang w:eastAsia="zh-CN"/>
        </w:rPr>
        <w:t>Functional relevance of soluble TNF-alpha, transmembrane TNF-alpha and TNF-signal transduction in gastrointestinal diseases with special reference to inflammatory bowel diseases. </w:t>
      </w:r>
      <w:r w:rsidRPr="0075280E">
        <w:rPr>
          <w:rFonts w:eastAsia="SimSun" w:cs="SimSun"/>
          <w:i/>
          <w:iCs/>
          <w:szCs w:val="24"/>
          <w:lang w:eastAsia="zh-CN"/>
        </w:rPr>
        <w:t>Z Gastroenterol</w:t>
      </w:r>
      <w:r>
        <w:rPr>
          <w:rFonts w:eastAsia="SimSun" w:cs="SimSun" w:hint="eastAsia"/>
          <w:szCs w:val="24"/>
          <w:lang w:eastAsia="zh-CN"/>
        </w:rPr>
        <w:t xml:space="preserve"> </w:t>
      </w:r>
      <w:r w:rsidRPr="0075280E">
        <w:rPr>
          <w:rFonts w:eastAsia="SimSun" w:cs="SimSun"/>
          <w:szCs w:val="24"/>
          <w:lang w:eastAsia="zh-CN"/>
        </w:rPr>
        <w:t>2002; </w:t>
      </w:r>
      <w:r w:rsidRPr="0075280E">
        <w:rPr>
          <w:rFonts w:eastAsia="SimSun" w:cs="SimSun"/>
          <w:b/>
          <w:bCs/>
          <w:szCs w:val="24"/>
          <w:lang w:eastAsia="zh-CN"/>
        </w:rPr>
        <w:t>40</w:t>
      </w:r>
      <w:r w:rsidRPr="0075280E">
        <w:rPr>
          <w:rFonts w:eastAsia="SimSun" w:cs="SimSun"/>
          <w:szCs w:val="24"/>
          <w:lang w:eastAsia="zh-CN"/>
        </w:rPr>
        <w:t>: 587-600 [PMID: 12297983 DOI: 10.1055/s-2002-33418]</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7 </w:t>
      </w:r>
      <w:r w:rsidRPr="0075280E">
        <w:rPr>
          <w:rFonts w:eastAsia="SimSun" w:cs="SimSun"/>
          <w:b/>
          <w:bCs/>
          <w:szCs w:val="24"/>
          <w:lang w:eastAsia="zh-CN"/>
        </w:rPr>
        <w:t>MacDonald TT</w:t>
      </w:r>
      <w:r w:rsidRPr="0075280E">
        <w:rPr>
          <w:rFonts w:eastAsia="SimSun" w:cs="SimSun"/>
          <w:szCs w:val="24"/>
          <w:lang w:eastAsia="zh-CN"/>
        </w:rPr>
        <w:t>, Hutchings P, Choy MY, Murch S, Cooke A. Tumour necrosis factor-alpha and interferon-gamma production measured at the single cell level in normal and inflamed human intestine. </w:t>
      </w:r>
      <w:r w:rsidRPr="0075280E">
        <w:rPr>
          <w:rFonts w:eastAsia="SimSun" w:cs="SimSun"/>
          <w:i/>
          <w:iCs/>
          <w:szCs w:val="24"/>
          <w:lang w:eastAsia="zh-CN"/>
        </w:rPr>
        <w:t>Clin Exp Immunol</w:t>
      </w:r>
      <w:r w:rsidRPr="0075280E">
        <w:rPr>
          <w:rFonts w:eastAsia="SimSun" w:cs="SimSun"/>
          <w:szCs w:val="24"/>
          <w:lang w:eastAsia="zh-CN"/>
        </w:rPr>
        <w:t> 1990; </w:t>
      </w:r>
      <w:r w:rsidRPr="0075280E">
        <w:rPr>
          <w:rFonts w:eastAsia="SimSun" w:cs="SimSun"/>
          <w:b/>
          <w:bCs/>
          <w:szCs w:val="24"/>
          <w:lang w:eastAsia="zh-CN"/>
        </w:rPr>
        <w:t>81</w:t>
      </w:r>
      <w:r w:rsidRPr="0075280E">
        <w:rPr>
          <w:rFonts w:eastAsia="SimSun" w:cs="SimSun"/>
          <w:szCs w:val="24"/>
          <w:lang w:eastAsia="zh-CN"/>
        </w:rPr>
        <w:t>: 301-305 [PMID: 2117510]</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8 </w:t>
      </w:r>
      <w:r w:rsidRPr="0075280E">
        <w:rPr>
          <w:rFonts w:eastAsia="SimSun" w:cs="SimSun"/>
          <w:b/>
          <w:bCs/>
          <w:szCs w:val="24"/>
          <w:lang w:eastAsia="zh-CN"/>
        </w:rPr>
        <w:t>Reimund JM</w:t>
      </w:r>
      <w:r w:rsidRPr="0075280E">
        <w:rPr>
          <w:rFonts w:eastAsia="SimSun" w:cs="SimSun"/>
          <w:szCs w:val="24"/>
          <w:lang w:eastAsia="zh-CN"/>
        </w:rPr>
        <w:t>, Wittersheim C, Dumont S, Muller CD, Baumann R, Poindron P, Duclos B. Mucosal inflammatory cytokine production by intestinal biopsies in patients with ulcerative colitis and Crohn's disease. </w:t>
      </w:r>
      <w:r w:rsidRPr="0075280E">
        <w:rPr>
          <w:rFonts w:eastAsia="SimSun" w:cs="SimSun"/>
          <w:i/>
          <w:iCs/>
          <w:szCs w:val="24"/>
          <w:lang w:eastAsia="zh-CN"/>
        </w:rPr>
        <w:t>J Clin Immunol</w:t>
      </w:r>
      <w:r w:rsidRPr="0075280E">
        <w:rPr>
          <w:rFonts w:eastAsia="SimSun" w:cs="SimSun"/>
          <w:szCs w:val="24"/>
          <w:lang w:eastAsia="zh-CN"/>
        </w:rPr>
        <w:t> 1996; </w:t>
      </w:r>
      <w:r w:rsidRPr="0075280E">
        <w:rPr>
          <w:rFonts w:eastAsia="SimSun" w:cs="SimSun"/>
          <w:b/>
          <w:bCs/>
          <w:szCs w:val="24"/>
          <w:lang w:eastAsia="zh-CN"/>
        </w:rPr>
        <w:t>16</w:t>
      </w:r>
      <w:r w:rsidRPr="0075280E">
        <w:rPr>
          <w:rFonts w:eastAsia="SimSun" w:cs="SimSun"/>
          <w:szCs w:val="24"/>
          <w:lang w:eastAsia="zh-CN"/>
        </w:rPr>
        <w:t>: 144-150 [PMID: 8734357]</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lastRenderedPageBreak/>
        <w:t>9 </w:t>
      </w:r>
      <w:r w:rsidRPr="0075280E">
        <w:rPr>
          <w:rFonts w:eastAsia="SimSun" w:cs="SimSun"/>
          <w:b/>
          <w:bCs/>
          <w:szCs w:val="24"/>
          <w:lang w:eastAsia="zh-CN"/>
        </w:rPr>
        <w:t>Breese EJ</w:t>
      </w:r>
      <w:r w:rsidRPr="0075280E">
        <w:rPr>
          <w:rFonts w:eastAsia="SimSun" w:cs="SimSun"/>
          <w:szCs w:val="24"/>
          <w:lang w:eastAsia="zh-CN"/>
        </w:rPr>
        <w:t>, Michie CA, Nicholls SW, Murch SH, Williams CB, Domizio P, Walker-Smith JA, MacDonald TT. Tumor necrosis factor alpha-producing cells in the intestinal mucosa of children with inflammatory bowel disease. </w:t>
      </w:r>
      <w:r w:rsidRPr="0075280E">
        <w:rPr>
          <w:rFonts w:eastAsia="SimSun" w:cs="SimSun"/>
          <w:i/>
          <w:iCs/>
          <w:szCs w:val="24"/>
          <w:lang w:eastAsia="zh-CN"/>
        </w:rPr>
        <w:t>Gastroenterology</w:t>
      </w:r>
      <w:r w:rsidRPr="0075280E">
        <w:rPr>
          <w:rFonts w:eastAsia="SimSun" w:cs="SimSun"/>
          <w:szCs w:val="24"/>
          <w:lang w:eastAsia="zh-CN"/>
        </w:rPr>
        <w:t> 1994; </w:t>
      </w:r>
      <w:r w:rsidRPr="0075280E">
        <w:rPr>
          <w:rFonts w:eastAsia="SimSun" w:cs="SimSun"/>
          <w:b/>
          <w:bCs/>
          <w:szCs w:val="24"/>
          <w:lang w:eastAsia="zh-CN"/>
        </w:rPr>
        <w:t>106</w:t>
      </w:r>
      <w:r w:rsidRPr="0075280E">
        <w:rPr>
          <w:rFonts w:eastAsia="SimSun" w:cs="SimSun"/>
          <w:szCs w:val="24"/>
          <w:lang w:eastAsia="zh-CN"/>
        </w:rPr>
        <w:t>: 1455-1466 [PMID: 8194690]</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10 </w:t>
      </w:r>
      <w:r w:rsidRPr="0075280E">
        <w:rPr>
          <w:rFonts w:eastAsia="SimSun" w:cs="SimSun"/>
          <w:b/>
          <w:bCs/>
          <w:szCs w:val="24"/>
          <w:lang w:eastAsia="zh-CN"/>
        </w:rPr>
        <w:t>Reinecker HC</w:t>
      </w:r>
      <w:r w:rsidRPr="0075280E">
        <w:rPr>
          <w:rFonts w:eastAsia="SimSun" w:cs="SimSun"/>
          <w:szCs w:val="24"/>
          <w:lang w:eastAsia="zh-CN"/>
        </w:rPr>
        <w:t>, Steffen M, Witthoeft T, Pflueger I, Schreiber S, MacDermott RP, Raedler A. Enhanced secretion of tumour necrosis factor-alpha, IL-6, and IL-1 beta by isolated lamina propria mononuclear cells from patients with ulcerative colitis and Crohn's disease. </w:t>
      </w:r>
      <w:r w:rsidRPr="0075280E">
        <w:rPr>
          <w:rFonts w:eastAsia="SimSun" w:cs="SimSun"/>
          <w:i/>
          <w:iCs/>
          <w:szCs w:val="24"/>
          <w:lang w:eastAsia="zh-CN"/>
        </w:rPr>
        <w:t>Clin Exp Immunol</w:t>
      </w:r>
      <w:r w:rsidRPr="0075280E">
        <w:rPr>
          <w:rFonts w:eastAsia="SimSun" w:cs="SimSun"/>
          <w:szCs w:val="24"/>
          <w:lang w:eastAsia="zh-CN"/>
        </w:rPr>
        <w:t> 1993; </w:t>
      </w:r>
      <w:r w:rsidRPr="0075280E">
        <w:rPr>
          <w:rFonts w:eastAsia="SimSun" w:cs="SimSun"/>
          <w:b/>
          <w:bCs/>
          <w:szCs w:val="24"/>
          <w:lang w:eastAsia="zh-CN"/>
        </w:rPr>
        <w:t>94</w:t>
      </w:r>
      <w:r w:rsidRPr="0075280E">
        <w:rPr>
          <w:rFonts w:eastAsia="SimSun" w:cs="SimSun"/>
          <w:szCs w:val="24"/>
          <w:lang w:eastAsia="zh-CN"/>
        </w:rPr>
        <w:t>: 174-181 [PMID: 8403503]</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11 </w:t>
      </w:r>
      <w:r w:rsidRPr="0075280E">
        <w:rPr>
          <w:rFonts w:eastAsia="SimSun" w:cs="SimSun"/>
          <w:b/>
          <w:bCs/>
          <w:szCs w:val="24"/>
          <w:lang w:eastAsia="zh-CN"/>
        </w:rPr>
        <w:t>Targan SR</w:t>
      </w:r>
      <w:r w:rsidRPr="0075280E">
        <w:rPr>
          <w:rFonts w:eastAsia="SimSun" w:cs="SimSun"/>
          <w:szCs w:val="24"/>
          <w:lang w:eastAsia="zh-CN"/>
        </w:rPr>
        <w:t>, Hanauer SB, van Deventer SJ, Mayer L, Present DH, Braakman T, DeWoody KL, Schaible TF, Rutgeerts PJ. A short-term study of chimeric monoclonal antibody cA2 to tumor necrosis factor alpha for Crohn's disease. Crohn's Disease cA2 Study Group. </w:t>
      </w:r>
      <w:r w:rsidRPr="0075280E">
        <w:rPr>
          <w:rFonts w:eastAsia="SimSun" w:cs="SimSun"/>
          <w:i/>
          <w:iCs/>
          <w:szCs w:val="24"/>
          <w:lang w:eastAsia="zh-CN"/>
        </w:rPr>
        <w:t>N Engl J Med</w:t>
      </w:r>
      <w:r w:rsidRPr="0075280E">
        <w:rPr>
          <w:rFonts w:eastAsia="SimSun" w:cs="SimSun"/>
          <w:szCs w:val="24"/>
          <w:lang w:eastAsia="zh-CN"/>
        </w:rPr>
        <w:t> 1997; </w:t>
      </w:r>
      <w:r w:rsidRPr="0075280E">
        <w:rPr>
          <w:rFonts w:eastAsia="SimSun" w:cs="SimSun"/>
          <w:b/>
          <w:bCs/>
          <w:szCs w:val="24"/>
          <w:lang w:eastAsia="zh-CN"/>
        </w:rPr>
        <w:t>337</w:t>
      </w:r>
      <w:r w:rsidRPr="0075280E">
        <w:rPr>
          <w:rFonts w:eastAsia="SimSun" w:cs="SimSun"/>
          <w:szCs w:val="24"/>
          <w:lang w:eastAsia="zh-CN"/>
        </w:rPr>
        <w:t>: 1029-1035 [PMID: 9321530 DOI: 10.1056/NEJM199710093371502]</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12 </w:t>
      </w:r>
      <w:r w:rsidRPr="0075280E">
        <w:rPr>
          <w:rFonts w:eastAsia="SimSun" w:cs="SimSun"/>
          <w:b/>
          <w:bCs/>
          <w:szCs w:val="24"/>
          <w:lang w:eastAsia="zh-CN"/>
        </w:rPr>
        <w:t>Panaccione R</w:t>
      </w:r>
      <w:r w:rsidRPr="0075280E">
        <w:rPr>
          <w:rFonts w:eastAsia="SimSun" w:cs="SimSun"/>
          <w:szCs w:val="24"/>
          <w:lang w:eastAsia="zh-CN"/>
        </w:rPr>
        <w:t>, Colombel JF, Sandborn WJ, D'Haens G, Zhou Q, Pollack PF, Thakkar RB, Robinson AM. Adalimumab maintains remission of Crohn's disease after up to 4 years of treatment: data from CHARM and ADHERE. </w:t>
      </w:r>
      <w:r w:rsidRPr="0075280E">
        <w:rPr>
          <w:rFonts w:eastAsia="SimSun" w:cs="SimSun"/>
          <w:i/>
          <w:iCs/>
          <w:szCs w:val="24"/>
          <w:lang w:eastAsia="zh-CN"/>
        </w:rPr>
        <w:t>Aliment Pharmacol Ther</w:t>
      </w:r>
      <w:r w:rsidRPr="0075280E">
        <w:rPr>
          <w:rFonts w:eastAsia="SimSun" w:cs="SimSun"/>
          <w:szCs w:val="24"/>
          <w:lang w:eastAsia="zh-CN"/>
        </w:rPr>
        <w:t> 2013; </w:t>
      </w:r>
      <w:r w:rsidRPr="0075280E">
        <w:rPr>
          <w:rFonts w:eastAsia="SimSun" w:cs="SimSun"/>
          <w:b/>
          <w:bCs/>
          <w:szCs w:val="24"/>
          <w:lang w:eastAsia="zh-CN"/>
        </w:rPr>
        <w:t>38</w:t>
      </w:r>
      <w:r w:rsidRPr="0075280E">
        <w:rPr>
          <w:rFonts w:eastAsia="SimSun" w:cs="SimSun"/>
          <w:szCs w:val="24"/>
          <w:lang w:eastAsia="zh-CN"/>
        </w:rPr>
        <w:t>: 1236-1247 [PMID: 24134498 DOI: 10.1111/apt.12499]</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13 </w:t>
      </w:r>
      <w:r w:rsidRPr="0075280E">
        <w:rPr>
          <w:rFonts w:eastAsia="SimSun" w:cs="SimSun"/>
          <w:b/>
          <w:bCs/>
          <w:szCs w:val="24"/>
          <w:lang w:eastAsia="zh-CN"/>
        </w:rPr>
        <w:t>Schreiber S</w:t>
      </w:r>
      <w:r w:rsidRPr="0075280E">
        <w:rPr>
          <w:rFonts w:eastAsia="SimSun" w:cs="SimSun"/>
          <w:szCs w:val="24"/>
          <w:lang w:eastAsia="zh-CN"/>
        </w:rPr>
        <w:t>, Rutgeerts P, Fedorak RN, Khaliq-Kareemi M, Kamm MA, Boivin M, Bernstein CN, Staun M, Thomsen OØ, Innes A. A randomized, placebo-controlled trial of certolizumab pegol (CDP870) for treatment of Crohn's disease. </w:t>
      </w:r>
      <w:r w:rsidRPr="0075280E">
        <w:rPr>
          <w:rFonts w:eastAsia="SimSun" w:cs="SimSun"/>
          <w:i/>
          <w:iCs/>
          <w:szCs w:val="24"/>
          <w:lang w:eastAsia="zh-CN"/>
        </w:rPr>
        <w:t>Gastroenterology</w:t>
      </w:r>
      <w:r w:rsidRPr="0075280E">
        <w:rPr>
          <w:rFonts w:eastAsia="SimSun" w:cs="SimSun"/>
          <w:szCs w:val="24"/>
          <w:lang w:eastAsia="zh-CN"/>
        </w:rPr>
        <w:t> 2005; </w:t>
      </w:r>
      <w:r w:rsidRPr="0075280E">
        <w:rPr>
          <w:rFonts w:eastAsia="SimSun" w:cs="SimSun"/>
          <w:b/>
          <w:bCs/>
          <w:szCs w:val="24"/>
          <w:lang w:eastAsia="zh-CN"/>
        </w:rPr>
        <w:t>129</w:t>
      </w:r>
      <w:r w:rsidRPr="0075280E">
        <w:rPr>
          <w:rFonts w:eastAsia="SimSun" w:cs="SimSun"/>
          <w:szCs w:val="24"/>
          <w:lang w:eastAsia="zh-CN"/>
        </w:rPr>
        <w:t>: 807-818 [PMID: 16143120 DOI: 10.1053/j.gastro.2005.06.064]</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14 </w:t>
      </w:r>
      <w:r w:rsidRPr="0075280E">
        <w:rPr>
          <w:rFonts w:eastAsia="SimSun" w:cs="SimSun"/>
          <w:b/>
          <w:bCs/>
          <w:szCs w:val="24"/>
          <w:lang w:eastAsia="zh-CN"/>
        </w:rPr>
        <w:t>Armuzzi A</w:t>
      </w:r>
      <w:r w:rsidRPr="0075280E">
        <w:rPr>
          <w:rFonts w:eastAsia="SimSun" w:cs="SimSun"/>
          <w:szCs w:val="24"/>
          <w:lang w:eastAsia="zh-CN"/>
        </w:rPr>
        <w:t>, De Pascalis B, Lupascu A, Fedeli P, Leo D, Mentella MC, Vincenti F, Melina D, Gasbarrini G, Pola P, Gasbarrini A. Infliximab in the treatment of steroid-dependent ulcerative colitis. </w:t>
      </w:r>
      <w:r w:rsidRPr="0075280E">
        <w:rPr>
          <w:rFonts w:eastAsia="SimSun" w:cs="SimSun"/>
          <w:i/>
          <w:iCs/>
          <w:szCs w:val="24"/>
          <w:lang w:eastAsia="zh-CN"/>
        </w:rPr>
        <w:t>Eur Rev Med Pharmacol Sci</w:t>
      </w:r>
      <w:r w:rsidRPr="0075280E">
        <w:rPr>
          <w:rFonts w:eastAsia="SimSun" w:cs="SimSun"/>
          <w:szCs w:val="24"/>
          <w:lang w:eastAsia="zh-CN"/>
        </w:rPr>
        <w:t> ; </w:t>
      </w:r>
      <w:r w:rsidRPr="0075280E">
        <w:rPr>
          <w:rFonts w:eastAsia="SimSun" w:cs="SimSun"/>
          <w:b/>
          <w:bCs/>
          <w:szCs w:val="24"/>
          <w:lang w:eastAsia="zh-CN"/>
        </w:rPr>
        <w:t>8</w:t>
      </w:r>
      <w:r w:rsidRPr="0075280E">
        <w:rPr>
          <w:rFonts w:eastAsia="SimSun" w:cs="SimSun"/>
          <w:szCs w:val="24"/>
          <w:lang w:eastAsia="zh-CN"/>
        </w:rPr>
        <w:t>: 231-233 [PMID: 15638236]</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15 </w:t>
      </w:r>
      <w:r w:rsidRPr="0075280E">
        <w:rPr>
          <w:rFonts w:eastAsia="SimSun" w:cs="SimSun"/>
          <w:b/>
          <w:bCs/>
          <w:szCs w:val="24"/>
          <w:lang w:eastAsia="zh-CN"/>
        </w:rPr>
        <w:t>Sandborn WJ</w:t>
      </w:r>
      <w:r w:rsidRPr="0075280E">
        <w:rPr>
          <w:rFonts w:eastAsia="SimSun" w:cs="SimSun"/>
          <w:szCs w:val="24"/>
          <w:lang w:eastAsia="zh-CN"/>
        </w:rPr>
        <w:t>, van Assche G, Reinisch W, Colombel JF, D'Haens G, Wolf DC, Kron M, Tighe MB, Lazar A, Thakkar RB. Adalimumab induces and maintains clinical remission in patients with moderate-to-severe ulcerative colitis. </w:t>
      </w:r>
      <w:r w:rsidRPr="0075280E">
        <w:rPr>
          <w:rFonts w:eastAsia="SimSun" w:cs="SimSun"/>
          <w:i/>
          <w:iCs/>
          <w:szCs w:val="24"/>
          <w:lang w:eastAsia="zh-CN"/>
        </w:rPr>
        <w:t>Gastroenterology</w:t>
      </w:r>
      <w:r w:rsidRPr="0075280E">
        <w:rPr>
          <w:rFonts w:eastAsia="SimSun" w:cs="SimSun"/>
          <w:szCs w:val="24"/>
          <w:lang w:eastAsia="zh-CN"/>
        </w:rPr>
        <w:t> 2012; </w:t>
      </w:r>
      <w:r w:rsidRPr="0075280E">
        <w:rPr>
          <w:rFonts w:eastAsia="SimSun" w:cs="SimSun"/>
          <w:b/>
          <w:bCs/>
          <w:szCs w:val="24"/>
          <w:lang w:eastAsia="zh-CN"/>
        </w:rPr>
        <w:t>142</w:t>
      </w:r>
      <w:r w:rsidRPr="0075280E">
        <w:rPr>
          <w:rFonts w:eastAsia="SimSun" w:cs="SimSun"/>
          <w:szCs w:val="24"/>
          <w:lang w:eastAsia="zh-CN"/>
        </w:rPr>
        <w:t>: 257-65.e1-3 [PMID: 22062358 DOI: 10.1053/j.gastro.2011.10.032]</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16</w:t>
      </w:r>
      <w:r>
        <w:rPr>
          <w:rFonts w:eastAsia="SimSun" w:cs="SimSun" w:hint="eastAsia"/>
          <w:szCs w:val="24"/>
          <w:lang w:eastAsia="zh-CN"/>
        </w:rPr>
        <w:t xml:space="preserve"> </w:t>
      </w:r>
      <w:r w:rsidRPr="0075280E">
        <w:rPr>
          <w:rFonts w:eastAsia="SimSun" w:cs="SimSun"/>
          <w:b/>
          <w:szCs w:val="24"/>
          <w:lang w:eastAsia="zh-CN"/>
        </w:rPr>
        <w:t>Győrffy A</w:t>
      </w:r>
      <w:r>
        <w:rPr>
          <w:rFonts w:eastAsia="SimSun" w:cs="SimSun" w:hint="eastAsia"/>
          <w:szCs w:val="24"/>
          <w:lang w:eastAsia="zh-CN"/>
        </w:rPr>
        <w:t>,</w:t>
      </w:r>
      <w:r w:rsidRPr="0075280E">
        <w:rPr>
          <w:rFonts w:eastAsia="SimSun" w:cs="SimSun"/>
          <w:szCs w:val="24"/>
          <w:lang w:eastAsia="zh-CN"/>
        </w:rPr>
        <w:t xml:space="preserve"> Kormos M, Bartha L, Szabó A, Győrffy B, Budczies J, Vásárhelyi B. </w:t>
      </w:r>
      <w:bookmarkStart w:id="26" w:name="OLE_LINK6"/>
      <w:bookmarkStart w:id="27" w:name="OLE_LINK7"/>
      <w:r w:rsidRPr="0075280E">
        <w:rPr>
          <w:rFonts w:eastAsia="SimSun" w:cs="SimSun"/>
          <w:szCs w:val="24"/>
          <w:lang w:eastAsia="zh-CN"/>
        </w:rPr>
        <w:t xml:space="preserve">Validation of Biomarkers in Gene Expression Datasets of Inflammatory Bowel </w:t>
      </w:r>
      <w:r w:rsidRPr="0075280E">
        <w:rPr>
          <w:rFonts w:eastAsia="SimSun" w:cs="SimSun"/>
          <w:szCs w:val="24"/>
          <w:lang w:eastAsia="zh-CN"/>
        </w:rPr>
        <w:lastRenderedPageBreak/>
        <w:t>Disease: IL13RA2, PTGS2 and WNT5A as Predictors of Responsiveness to Infliximab Therapy.</w:t>
      </w:r>
      <w:bookmarkEnd w:id="26"/>
      <w:bookmarkEnd w:id="27"/>
      <w:r w:rsidRPr="0075280E">
        <w:rPr>
          <w:rFonts w:eastAsia="SimSun" w:cs="SimSun"/>
          <w:szCs w:val="24"/>
          <w:lang w:eastAsia="zh-CN"/>
        </w:rPr>
        <w:t xml:space="preserve"> </w:t>
      </w:r>
      <w:r w:rsidRPr="0075280E">
        <w:rPr>
          <w:rFonts w:eastAsia="SimSun" w:cs="SimSun"/>
          <w:i/>
          <w:szCs w:val="24"/>
          <w:lang w:eastAsia="zh-CN"/>
        </w:rPr>
        <w:t>J Proteomics Bioinform</w:t>
      </w:r>
      <w:r w:rsidRPr="0075280E">
        <w:rPr>
          <w:rFonts w:eastAsia="SimSun" w:cs="SimSun"/>
          <w:szCs w:val="24"/>
          <w:lang w:eastAsia="zh-CN"/>
        </w:rPr>
        <w:t xml:space="preserve"> 2014; </w:t>
      </w:r>
      <w:r w:rsidRPr="0075280E">
        <w:rPr>
          <w:rFonts w:eastAsia="SimSun" w:cs="SimSun"/>
          <w:b/>
          <w:szCs w:val="24"/>
          <w:lang w:eastAsia="zh-CN"/>
        </w:rPr>
        <w:t>7</w:t>
      </w:r>
      <w:r w:rsidRPr="0075280E">
        <w:rPr>
          <w:rFonts w:eastAsia="SimSun" w:cs="SimSun"/>
          <w:szCs w:val="24"/>
          <w:lang w:eastAsia="zh-CN"/>
        </w:rPr>
        <w:t>: 272-277 [DOI: 10.4172/jpb.1000329]</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17 </w:t>
      </w:r>
      <w:r w:rsidRPr="0075280E">
        <w:rPr>
          <w:rFonts w:eastAsia="SimSun" w:cs="SimSun"/>
          <w:b/>
          <w:bCs/>
          <w:szCs w:val="24"/>
          <w:lang w:eastAsia="zh-CN"/>
        </w:rPr>
        <w:t>Jürgens M</w:t>
      </w:r>
      <w:r w:rsidRPr="0075280E">
        <w:rPr>
          <w:rFonts w:eastAsia="SimSun" w:cs="SimSun"/>
          <w:szCs w:val="24"/>
          <w:lang w:eastAsia="zh-CN"/>
        </w:rPr>
        <w:t>, Laubender RP, Hartl F, Weidinger M, Seiderer J, Wagner J, Wetzke M, Beigel F, Pfennig S, Stallhofer J, Schnitzler F, Tillack C, Lohse P, Göke B, Glas J, Ochsenkühn T, Brand S. Disease activity, ANCA, and IL23R genotype status determine early response to infliximab in patients with ulcerative colitis. </w:t>
      </w:r>
      <w:r w:rsidRPr="0075280E">
        <w:rPr>
          <w:rFonts w:eastAsia="SimSun" w:cs="SimSun"/>
          <w:i/>
          <w:iCs/>
          <w:szCs w:val="24"/>
          <w:lang w:eastAsia="zh-CN"/>
        </w:rPr>
        <w:t>Am J Gastroenterol</w:t>
      </w:r>
      <w:r w:rsidRPr="0075280E">
        <w:rPr>
          <w:rFonts w:eastAsia="SimSun" w:cs="SimSun"/>
          <w:szCs w:val="24"/>
          <w:lang w:eastAsia="zh-CN"/>
        </w:rPr>
        <w:t> 2010; </w:t>
      </w:r>
      <w:r w:rsidRPr="0075280E">
        <w:rPr>
          <w:rFonts w:eastAsia="SimSun" w:cs="SimSun"/>
          <w:b/>
          <w:bCs/>
          <w:szCs w:val="24"/>
          <w:lang w:eastAsia="zh-CN"/>
        </w:rPr>
        <w:t>105</w:t>
      </w:r>
      <w:r w:rsidRPr="0075280E">
        <w:rPr>
          <w:rFonts w:eastAsia="SimSun" w:cs="SimSun"/>
          <w:szCs w:val="24"/>
          <w:lang w:eastAsia="zh-CN"/>
        </w:rPr>
        <w:t>: 1811-1819 [PMID: 20197757 DOI: 10.1038/ajg.2010.95]</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18 </w:t>
      </w:r>
      <w:r w:rsidRPr="0075280E">
        <w:rPr>
          <w:rFonts w:eastAsia="SimSun" w:cs="SimSun"/>
          <w:b/>
          <w:bCs/>
          <w:szCs w:val="24"/>
          <w:lang w:eastAsia="zh-CN"/>
        </w:rPr>
        <w:t>Atreya R</w:t>
      </w:r>
      <w:r w:rsidRPr="0075280E">
        <w:rPr>
          <w:rFonts w:eastAsia="SimSun" w:cs="SimSun"/>
          <w:szCs w:val="24"/>
          <w:lang w:eastAsia="zh-CN"/>
        </w:rPr>
        <w:t>, Neumann H, Neufert C, Waldner MJ, Billmeier U, Zopf Y, Willma M, App C, Münster T, Kessler H, Maas S, Gebhardt B, Heimke-Brinck R, Reuter E, Dörje F, Rau TT, Uter W, Wang TD, Kiesslich R, Vieth M, Hannappel E, Neurath MF. In vivo imaging using fluorescent antibodies to tumor necrosis factor predicts therapeutic response in Crohn's disease. </w:t>
      </w:r>
      <w:r w:rsidRPr="0075280E">
        <w:rPr>
          <w:rFonts w:eastAsia="SimSun" w:cs="SimSun"/>
          <w:i/>
          <w:iCs/>
          <w:szCs w:val="24"/>
          <w:lang w:eastAsia="zh-CN"/>
        </w:rPr>
        <w:t>Nat Med</w:t>
      </w:r>
      <w:r w:rsidRPr="0075280E">
        <w:rPr>
          <w:rFonts w:eastAsia="SimSun" w:cs="SimSun"/>
          <w:szCs w:val="24"/>
          <w:lang w:eastAsia="zh-CN"/>
        </w:rPr>
        <w:t> 2014; </w:t>
      </w:r>
      <w:r w:rsidRPr="0075280E">
        <w:rPr>
          <w:rFonts w:eastAsia="SimSun" w:cs="SimSun"/>
          <w:b/>
          <w:bCs/>
          <w:szCs w:val="24"/>
          <w:lang w:eastAsia="zh-CN"/>
        </w:rPr>
        <w:t>20</w:t>
      </w:r>
      <w:r w:rsidRPr="0075280E">
        <w:rPr>
          <w:rFonts w:eastAsia="SimSun" w:cs="SimSun"/>
          <w:szCs w:val="24"/>
          <w:lang w:eastAsia="zh-CN"/>
        </w:rPr>
        <w:t>: 313-318 [PMID: 24562382 DOI: 10.1038/nm.3462]</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19 </w:t>
      </w:r>
      <w:r w:rsidRPr="0075280E">
        <w:rPr>
          <w:rFonts w:eastAsia="SimSun" w:cs="SimSun"/>
          <w:b/>
          <w:bCs/>
          <w:szCs w:val="24"/>
          <w:lang w:eastAsia="zh-CN"/>
        </w:rPr>
        <w:t>Bradley JR</w:t>
      </w:r>
      <w:r w:rsidRPr="0075280E">
        <w:rPr>
          <w:rFonts w:eastAsia="SimSun" w:cs="SimSun"/>
          <w:szCs w:val="24"/>
          <w:lang w:eastAsia="zh-CN"/>
        </w:rPr>
        <w:t>. TNF-mediated inflammatory disease.</w:t>
      </w:r>
      <w:r>
        <w:rPr>
          <w:rFonts w:eastAsia="SimSun" w:cs="SimSun" w:hint="eastAsia"/>
          <w:szCs w:val="24"/>
          <w:lang w:eastAsia="zh-CN"/>
        </w:rPr>
        <w:t xml:space="preserve"> </w:t>
      </w:r>
      <w:r w:rsidRPr="0075280E">
        <w:rPr>
          <w:rFonts w:eastAsia="SimSun" w:cs="SimSun"/>
          <w:i/>
          <w:iCs/>
          <w:szCs w:val="24"/>
          <w:lang w:eastAsia="zh-CN"/>
        </w:rPr>
        <w:t>J Pathol</w:t>
      </w:r>
      <w:r w:rsidRPr="0075280E">
        <w:rPr>
          <w:rFonts w:eastAsia="SimSun" w:cs="SimSun"/>
          <w:szCs w:val="24"/>
          <w:lang w:eastAsia="zh-CN"/>
        </w:rPr>
        <w:t> 2008; </w:t>
      </w:r>
      <w:r w:rsidRPr="0075280E">
        <w:rPr>
          <w:rFonts w:eastAsia="SimSun" w:cs="SimSun"/>
          <w:b/>
          <w:bCs/>
          <w:szCs w:val="24"/>
          <w:lang w:eastAsia="zh-CN"/>
        </w:rPr>
        <w:t>214</w:t>
      </w:r>
      <w:r w:rsidRPr="0075280E">
        <w:rPr>
          <w:rFonts w:eastAsia="SimSun" w:cs="SimSun"/>
          <w:szCs w:val="24"/>
          <w:lang w:eastAsia="zh-CN"/>
        </w:rPr>
        <w:t>: 149-160 [PMID: 18161752 DOI: 10.1002/path.2287]</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20 </w:t>
      </w:r>
      <w:r w:rsidRPr="0075280E">
        <w:rPr>
          <w:rFonts w:eastAsia="SimSun" w:cs="SimSun"/>
          <w:b/>
          <w:bCs/>
          <w:szCs w:val="24"/>
          <w:lang w:eastAsia="zh-CN"/>
        </w:rPr>
        <w:t>Lala S</w:t>
      </w:r>
      <w:r w:rsidRPr="0075280E">
        <w:rPr>
          <w:rFonts w:eastAsia="SimSun" w:cs="SimSun"/>
          <w:szCs w:val="24"/>
          <w:lang w:eastAsia="zh-CN"/>
        </w:rPr>
        <w:t>, Ogura Y, Osborne C, Hor SY, Bromfield A, Davies S, Ogunbiyi O, Nuñez G, Keshav S. Crohn's disease and the NOD2 gene: a role for paneth cells.</w:t>
      </w:r>
      <w:r>
        <w:rPr>
          <w:rFonts w:eastAsia="SimSun" w:cs="SimSun" w:hint="eastAsia"/>
          <w:szCs w:val="24"/>
          <w:lang w:eastAsia="zh-CN"/>
        </w:rPr>
        <w:t xml:space="preserve"> </w:t>
      </w:r>
      <w:r w:rsidRPr="0075280E">
        <w:rPr>
          <w:rFonts w:eastAsia="SimSun" w:cs="SimSun"/>
          <w:i/>
          <w:iCs/>
          <w:szCs w:val="24"/>
          <w:lang w:eastAsia="zh-CN"/>
        </w:rPr>
        <w:t>Gastroenterology</w:t>
      </w:r>
      <w:r w:rsidRPr="0075280E">
        <w:rPr>
          <w:rFonts w:eastAsia="SimSun" w:cs="SimSun"/>
          <w:szCs w:val="24"/>
          <w:lang w:eastAsia="zh-CN"/>
        </w:rPr>
        <w:t> 2003; </w:t>
      </w:r>
      <w:r w:rsidRPr="0075280E">
        <w:rPr>
          <w:rFonts w:eastAsia="SimSun" w:cs="SimSun"/>
          <w:b/>
          <w:bCs/>
          <w:szCs w:val="24"/>
          <w:lang w:eastAsia="zh-CN"/>
        </w:rPr>
        <w:t>125</w:t>
      </w:r>
      <w:r w:rsidRPr="0075280E">
        <w:rPr>
          <w:rFonts w:eastAsia="SimSun" w:cs="SimSun"/>
          <w:szCs w:val="24"/>
          <w:lang w:eastAsia="zh-CN"/>
        </w:rPr>
        <w:t>: 47-57 [PMID: 12851870]</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21 </w:t>
      </w:r>
      <w:r w:rsidRPr="0075280E">
        <w:rPr>
          <w:rFonts w:eastAsia="SimSun" w:cs="SimSun"/>
          <w:b/>
          <w:bCs/>
          <w:szCs w:val="24"/>
          <w:lang w:eastAsia="zh-CN"/>
        </w:rPr>
        <w:t>Slevin SM</w:t>
      </w:r>
      <w:r w:rsidRPr="0075280E">
        <w:rPr>
          <w:rFonts w:eastAsia="SimSun" w:cs="SimSun"/>
          <w:szCs w:val="24"/>
          <w:lang w:eastAsia="zh-CN"/>
        </w:rPr>
        <w:t>, Egan LJ. New Insights into the Mechanisms of Action of Anti-Tumor Necrosis Factor-α Monoclonal Antibodies in Inflammatory Bowel Disease.</w:t>
      </w:r>
      <w:r>
        <w:rPr>
          <w:rFonts w:eastAsia="SimSun" w:cs="SimSun" w:hint="eastAsia"/>
          <w:szCs w:val="24"/>
          <w:lang w:eastAsia="zh-CN"/>
        </w:rPr>
        <w:t xml:space="preserve"> </w:t>
      </w:r>
      <w:r w:rsidRPr="0075280E">
        <w:rPr>
          <w:rFonts w:eastAsia="SimSun" w:cs="SimSun"/>
          <w:i/>
          <w:iCs/>
          <w:szCs w:val="24"/>
          <w:lang w:eastAsia="zh-CN"/>
        </w:rPr>
        <w:t>Inflamm Bowel Dis</w:t>
      </w:r>
      <w:r w:rsidRPr="0075280E">
        <w:rPr>
          <w:rFonts w:eastAsia="SimSun" w:cs="SimSun"/>
          <w:szCs w:val="24"/>
          <w:lang w:eastAsia="zh-CN"/>
        </w:rPr>
        <w:t> 2015; </w:t>
      </w:r>
      <w:r w:rsidRPr="0075280E">
        <w:rPr>
          <w:rFonts w:eastAsia="SimSun" w:cs="SimSun"/>
          <w:b/>
          <w:bCs/>
          <w:szCs w:val="24"/>
          <w:lang w:eastAsia="zh-CN"/>
        </w:rPr>
        <w:t>21</w:t>
      </w:r>
      <w:r w:rsidRPr="0075280E">
        <w:rPr>
          <w:rFonts w:eastAsia="SimSun" w:cs="SimSun"/>
          <w:szCs w:val="24"/>
          <w:lang w:eastAsia="zh-CN"/>
        </w:rPr>
        <w:t>: 2909-2920 [PMID: 26348448 DOI: 10.1097/MIB.0000000000000533]</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22 </w:t>
      </w:r>
      <w:r w:rsidRPr="0075280E">
        <w:rPr>
          <w:rFonts w:eastAsia="SimSun" w:cs="SimSun"/>
          <w:b/>
          <w:bCs/>
          <w:szCs w:val="24"/>
          <w:lang w:eastAsia="zh-CN"/>
        </w:rPr>
        <w:t>Taylor PC</w:t>
      </w:r>
      <w:r w:rsidRPr="0075280E">
        <w:rPr>
          <w:rFonts w:eastAsia="SimSun" w:cs="SimSun"/>
          <w:szCs w:val="24"/>
          <w:lang w:eastAsia="zh-CN"/>
        </w:rPr>
        <w:t>. Pharmacology of TNF blockade in rheumatoid arthritis and other chronic inflammatory diseases. </w:t>
      </w:r>
      <w:r w:rsidRPr="0075280E">
        <w:rPr>
          <w:rFonts w:eastAsia="SimSun" w:cs="SimSun"/>
          <w:i/>
          <w:iCs/>
          <w:szCs w:val="24"/>
          <w:lang w:eastAsia="zh-CN"/>
        </w:rPr>
        <w:t>Curr Opin Pharmacol</w:t>
      </w:r>
      <w:r w:rsidRPr="0075280E">
        <w:rPr>
          <w:rFonts w:eastAsia="SimSun" w:cs="SimSun"/>
          <w:szCs w:val="24"/>
          <w:lang w:eastAsia="zh-CN"/>
        </w:rPr>
        <w:t> 2010; </w:t>
      </w:r>
      <w:r w:rsidRPr="0075280E">
        <w:rPr>
          <w:rFonts w:eastAsia="SimSun" w:cs="SimSun"/>
          <w:b/>
          <w:bCs/>
          <w:szCs w:val="24"/>
          <w:lang w:eastAsia="zh-CN"/>
        </w:rPr>
        <w:t>10</w:t>
      </w:r>
      <w:r w:rsidRPr="0075280E">
        <w:rPr>
          <w:rFonts w:eastAsia="SimSun" w:cs="SimSun"/>
          <w:szCs w:val="24"/>
          <w:lang w:eastAsia="zh-CN"/>
        </w:rPr>
        <w:t>: 308-315 [PMID: 20172761 DOI: 10.1016/j.coph.2010.01.005]</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23 </w:t>
      </w:r>
      <w:r w:rsidRPr="0075280E">
        <w:rPr>
          <w:rFonts w:eastAsia="SimSun" w:cs="SimSun"/>
          <w:b/>
          <w:bCs/>
          <w:szCs w:val="24"/>
          <w:lang w:eastAsia="zh-CN"/>
        </w:rPr>
        <w:t>Tracey D</w:t>
      </w:r>
      <w:r w:rsidRPr="0075280E">
        <w:rPr>
          <w:rFonts w:eastAsia="SimSun" w:cs="SimSun"/>
          <w:szCs w:val="24"/>
          <w:lang w:eastAsia="zh-CN"/>
        </w:rPr>
        <w:t>, Klareskog L, Sasso EH, Salfeld JG, Tak PP. Tumor necrosis factor antagonist mechanisms of action: a comprehensive review. </w:t>
      </w:r>
      <w:r w:rsidRPr="0075280E">
        <w:rPr>
          <w:rFonts w:eastAsia="SimSun" w:cs="SimSun"/>
          <w:i/>
          <w:iCs/>
          <w:szCs w:val="24"/>
          <w:lang w:eastAsia="zh-CN"/>
        </w:rPr>
        <w:t>Pharmacol Ther</w:t>
      </w:r>
      <w:r>
        <w:rPr>
          <w:rFonts w:eastAsia="SimSun" w:cs="SimSun" w:hint="eastAsia"/>
          <w:szCs w:val="24"/>
          <w:lang w:eastAsia="zh-CN"/>
        </w:rPr>
        <w:t xml:space="preserve"> </w:t>
      </w:r>
      <w:r w:rsidRPr="0075280E">
        <w:rPr>
          <w:rFonts w:eastAsia="SimSun" w:cs="SimSun"/>
          <w:szCs w:val="24"/>
          <w:lang w:eastAsia="zh-CN"/>
        </w:rPr>
        <w:t>2008;</w:t>
      </w:r>
      <w:r>
        <w:rPr>
          <w:rFonts w:eastAsia="SimSun" w:cs="SimSun" w:hint="eastAsia"/>
          <w:szCs w:val="24"/>
          <w:lang w:eastAsia="zh-CN"/>
        </w:rPr>
        <w:t xml:space="preserve"> </w:t>
      </w:r>
      <w:r w:rsidRPr="0075280E">
        <w:rPr>
          <w:rFonts w:eastAsia="SimSun" w:cs="SimSun"/>
          <w:b/>
          <w:bCs/>
          <w:szCs w:val="24"/>
          <w:lang w:eastAsia="zh-CN"/>
        </w:rPr>
        <w:t>117</w:t>
      </w:r>
      <w:r w:rsidRPr="0075280E">
        <w:rPr>
          <w:rFonts w:eastAsia="SimSun" w:cs="SimSun"/>
          <w:szCs w:val="24"/>
          <w:lang w:eastAsia="zh-CN"/>
        </w:rPr>
        <w:t>: 244-279 [PMID: 18155297 DOI: 10.1016/j.pharmthera.2007.10.001]</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24 </w:t>
      </w:r>
      <w:r w:rsidRPr="0075280E">
        <w:rPr>
          <w:rFonts w:eastAsia="SimSun" w:cs="SimSun"/>
          <w:b/>
          <w:bCs/>
          <w:szCs w:val="24"/>
          <w:lang w:eastAsia="zh-CN"/>
        </w:rPr>
        <w:t>Atreya R</w:t>
      </w:r>
      <w:r w:rsidRPr="0075280E">
        <w:rPr>
          <w:rFonts w:eastAsia="SimSun" w:cs="SimSun"/>
          <w:szCs w:val="24"/>
          <w:lang w:eastAsia="zh-CN"/>
        </w:rPr>
        <w:t xml:space="preserve">, Zimmer M, Bartsch B, Waldner MJ, Atreya I, Neumann H, Hildner K, Hoffman A, Kiesslich R, Rink AD, Rau TT, Rose-John S, Kessler H, Schmidt J, Neurath MF. Antibodies against tumor necrosis factor (TNF) induce T-cell apoptosis in patients with inflammatory bowel diseases via TNF receptor 2 and intestinal </w:t>
      </w:r>
      <w:r w:rsidRPr="0075280E">
        <w:rPr>
          <w:rFonts w:eastAsia="SimSun" w:cs="SimSun"/>
          <w:szCs w:val="24"/>
          <w:lang w:eastAsia="zh-CN"/>
        </w:rPr>
        <w:lastRenderedPageBreak/>
        <w:t>CD14</w:t>
      </w:r>
      <w:r w:rsidRPr="0075280E">
        <w:rPr>
          <w:rFonts w:ascii="Cambria Math" w:eastAsia="MS Mincho" w:hAnsi="Cambria Math" w:cs="Cambria Math"/>
          <w:szCs w:val="24"/>
          <w:lang w:eastAsia="zh-CN"/>
        </w:rPr>
        <w:t>⁺</w:t>
      </w:r>
      <w:r w:rsidRPr="0075280E">
        <w:rPr>
          <w:rFonts w:eastAsia="SimSun" w:cs="SimSun"/>
          <w:szCs w:val="24"/>
          <w:lang w:eastAsia="zh-CN"/>
        </w:rPr>
        <w:t xml:space="preserve"> macrophages. </w:t>
      </w:r>
      <w:r w:rsidRPr="0075280E">
        <w:rPr>
          <w:rFonts w:eastAsia="SimSun" w:cs="SimSun"/>
          <w:i/>
          <w:iCs/>
          <w:szCs w:val="24"/>
          <w:lang w:eastAsia="zh-CN"/>
        </w:rPr>
        <w:t>Gastroenterology</w:t>
      </w:r>
      <w:r w:rsidRPr="0075280E">
        <w:rPr>
          <w:rFonts w:eastAsia="SimSun" w:cs="SimSun"/>
          <w:szCs w:val="24"/>
          <w:lang w:eastAsia="zh-CN"/>
        </w:rPr>
        <w:t> 2011; </w:t>
      </w:r>
      <w:r w:rsidRPr="0075280E">
        <w:rPr>
          <w:rFonts w:eastAsia="SimSun" w:cs="SimSun"/>
          <w:b/>
          <w:bCs/>
          <w:szCs w:val="24"/>
          <w:lang w:eastAsia="zh-CN"/>
        </w:rPr>
        <w:t>141</w:t>
      </w:r>
      <w:r w:rsidRPr="0075280E">
        <w:rPr>
          <w:rFonts w:eastAsia="SimSun" w:cs="SimSun"/>
          <w:szCs w:val="24"/>
          <w:lang w:eastAsia="zh-CN"/>
        </w:rPr>
        <w:t>: 2026-2038 [PMID: 21875498 DOI: 10.1053/j.gastro.2011.08.032]</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25 </w:t>
      </w:r>
      <w:r w:rsidRPr="0075280E">
        <w:rPr>
          <w:rFonts w:eastAsia="SimSun" w:cs="SimSun"/>
          <w:b/>
          <w:bCs/>
          <w:szCs w:val="24"/>
          <w:lang w:eastAsia="zh-CN"/>
        </w:rPr>
        <w:t>Loetscher H</w:t>
      </w:r>
      <w:r w:rsidRPr="0075280E">
        <w:rPr>
          <w:rFonts w:eastAsia="SimSun" w:cs="SimSun"/>
          <w:szCs w:val="24"/>
          <w:lang w:eastAsia="zh-CN"/>
        </w:rPr>
        <w:t>, Schlaeger EJ, Lahm HW, Pan YC, Lesslauer W, Brockhaus M. Purification and partial amino acid sequence analysis of two distinct tumor necrosis factor receptors from HL60 cells. </w:t>
      </w:r>
      <w:r w:rsidRPr="0075280E">
        <w:rPr>
          <w:rFonts w:eastAsia="SimSun" w:cs="SimSun"/>
          <w:i/>
          <w:iCs/>
          <w:szCs w:val="24"/>
          <w:lang w:eastAsia="zh-CN"/>
        </w:rPr>
        <w:t>J Biol Chem</w:t>
      </w:r>
      <w:r w:rsidRPr="0075280E">
        <w:rPr>
          <w:rFonts w:eastAsia="SimSun" w:cs="SimSun"/>
          <w:szCs w:val="24"/>
          <w:lang w:eastAsia="zh-CN"/>
        </w:rPr>
        <w:t> 1990; </w:t>
      </w:r>
      <w:r w:rsidRPr="0075280E">
        <w:rPr>
          <w:rFonts w:eastAsia="SimSun" w:cs="SimSun"/>
          <w:b/>
          <w:bCs/>
          <w:szCs w:val="24"/>
          <w:lang w:eastAsia="zh-CN"/>
        </w:rPr>
        <w:t>265</w:t>
      </w:r>
      <w:r w:rsidRPr="0075280E">
        <w:rPr>
          <w:rFonts w:eastAsia="SimSun" w:cs="SimSun"/>
          <w:szCs w:val="24"/>
          <w:lang w:eastAsia="zh-CN"/>
        </w:rPr>
        <w:t>: 20131-20138 [PMID: 2173696]</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26 </w:t>
      </w:r>
      <w:r w:rsidRPr="0075280E">
        <w:rPr>
          <w:rFonts w:eastAsia="SimSun" w:cs="SimSun"/>
          <w:b/>
          <w:bCs/>
          <w:szCs w:val="24"/>
          <w:lang w:eastAsia="zh-CN"/>
        </w:rPr>
        <w:t>Walczak H</w:t>
      </w:r>
      <w:r w:rsidRPr="0075280E">
        <w:rPr>
          <w:rFonts w:eastAsia="SimSun" w:cs="SimSun"/>
          <w:szCs w:val="24"/>
          <w:lang w:eastAsia="zh-CN"/>
        </w:rPr>
        <w:t>. TNF and ubiquitin at the crossroads of gene activation, cell death, inflammation, and cancer. </w:t>
      </w:r>
      <w:r w:rsidRPr="0075280E">
        <w:rPr>
          <w:rFonts w:eastAsia="SimSun" w:cs="SimSun"/>
          <w:i/>
          <w:iCs/>
          <w:szCs w:val="24"/>
          <w:lang w:eastAsia="zh-CN"/>
        </w:rPr>
        <w:t>Immunol Rev</w:t>
      </w:r>
      <w:r w:rsidRPr="0075280E">
        <w:rPr>
          <w:rFonts w:eastAsia="SimSun" w:cs="SimSun"/>
          <w:szCs w:val="24"/>
          <w:lang w:eastAsia="zh-CN"/>
        </w:rPr>
        <w:t> 2011; </w:t>
      </w:r>
      <w:r w:rsidRPr="0075280E">
        <w:rPr>
          <w:rFonts w:eastAsia="SimSun" w:cs="SimSun"/>
          <w:b/>
          <w:bCs/>
          <w:szCs w:val="24"/>
          <w:lang w:eastAsia="zh-CN"/>
        </w:rPr>
        <w:t>244</w:t>
      </w:r>
      <w:r w:rsidRPr="0075280E">
        <w:rPr>
          <w:rFonts w:eastAsia="SimSun" w:cs="SimSun"/>
          <w:szCs w:val="24"/>
          <w:lang w:eastAsia="zh-CN"/>
        </w:rPr>
        <w:t>: 9-28 [PMID: 22017428 DOI: 10.1111/j.1600-065X.2011.01066.x]</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27 </w:t>
      </w:r>
      <w:r w:rsidRPr="0075280E">
        <w:rPr>
          <w:rFonts w:eastAsia="SimSun" w:cs="SimSun"/>
          <w:b/>
          <w:bCs/>
          <w:szCs w:val="24"/>
          <w:lang w:eastAsia="zh-CN"/>
        </w:rPr>
        <w:t>Hadziselimovic F</w:t>
      </w:r>
      <w:r w:rsidRPr="0075280E">
        <w:rPr>
          <w:rFonts w:eastAsia="SimSun" w:cs="SimSun"/>
          <w:szCs w:val="24"/>
          <w:lang w:eastAsia="zh-CN"/>
        </w:rPr>
        <w:t>, Emmons LR, Gallati H. Soluble tumour necrosis factor receptors p55 and p75 in the urine monitor disease activity and the efficacy of treatment of inflammatory bowel disease. </w:t>
      </w:r>
      <w:r w:rsidRPr="0075280E">
        <w:rPr>
          <w:rFonts w:eastAsia="SimSun" w:cs="SimSun"/>
          <w:i/>
          <w:iCs/>
          <w:szCs w:val="24"/>
          <w:lang w:eastAsia="zh-CN"/>
        </w:rPr>
        <w:t>Gut</w:t>
      </w:r>
      <w:r w:rsidRPr="0075280E">
        <w:rPr>
          <w:rFonts w:eastAsia="SimSun" w:cs="SimSun"/>
          <w:szCs w:val="24"/>
          <w:lang w:eastAsia="zh-CN"/>
        </w:rPr>
        <w:t> 1995; </w:t>
      </w:r>
      <w:r w:rsidRPr="0075280E">
        <w:rPr>
          <w:rFonts w:eastAsia="SimSun" w:cs="SimSun"/>
          <w:b/>
          <w:bCs/>
          <w:szCs w:val="24"/>
          <w:lang w:eastAsia="zh-CN"/>
        </w:rPr>
        <w:t>37</w:t>
      </w:r>
      <w:r w:rsidRPr="0075280E">
        <w:rPr>
          <w:rFonts w:eastAsia="SimSun" w:cs="SimSun"/>
          <w:szCs w:val="24"/>
          <w:lang w:eastAsia="zh-CN"/>
        </w:rPr>
        <w:t>: 260-263 [PMID: 7557578]</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28 </w:t>
      </w:r>
      <w:r w:rsidRPr="0075280E">
        <w:rPr>
          <w:rFonts w:eastAsia="SimSun" w:cs="SimSun"/>
          <w:b/>
          <w:bCs/>
          <w:szCs w:val="24"/>
          <w:lang w:eastAsia="zh-CN"/>
        </w:rPr>
        <w:t>Grell M</w:t>
      </w:r>
      <w:r w:rsidRPr="0075280E">
        <w:rPr>
          <w:rFonts w:eastAsia="SimSun" w:cs="SimSun"/>
          <w:szCs w:val="24"/>
          <w:lang w:eastAsia="zh-CN"/>
        </w:rPr>
        <w:t>, Wajant H, Zimmermann G, Scheurich P. The type 1 receptor (CD120a) is the high-affinity receptor for soluble tumor necrosis factor. </w:t>
      </w:r>
      <w:r>
        <w:rPr>
          <w:rFonts w:eastAsia="SimSun" w:cs="SimSun"/>
          <w:i/>
          <w:iCs/>
          <w:szCs w:val="24"/>
          <w:lang w:eastAsia="zh-CN"/>
        </w:rPr>
        <w:t>Proc Natl Acad Sci US</w:t>
      </w:r>
      <w:r w:rsidRPr="0075280E">
        <w:rPr>
          <w:rFonts w:eastAsia="SimSun" w:cs="SimSun"/>
          <w:i/>
          <w:iCs/>
          <w:szCs w:val="24"/>
          <w:lang w:eastAsia="zh-CN"/>
        </w:rPr>
        <w:t>A</w:t>
      </w:r>
      <w:r w:rsidRPr="0075280E">
        <w:rPr>
          <w:rFonts w:eastAsia="SimSun" w:cs="SimSun"/>
          <w:szCs w:val="24"/>
          <w:lang w:eastAsia="zh-CN"/>
        </w:rPr>
        <w:t> 1998; </w:t>
      </w:r>
      <w:r w:rsidRPr="0075280E">
        <w:rPr>
          <w:rFonts w:eastAsia="SimSun" w:cs="SimSun"/>
          <w:b/>
          <w:bCs/>
          <w:szCs w:val="24"/>
          <w:lang w:eastAsia="zh-CN"/>
        </w:rPr>
        <w:t>95</w:t>
      </w:r>
      <w:r w:rsidRPr="0075280E">
        <w:rPr>
          <w:rFonts w:eastAsia="SimSun" w:cs="SimSun"/>
          <w:szCs w:val="24"/>
          <w:lang w:eastAsia="zh-CN"/>
        </w:rPr>
        <w:t>: 570-575 [PMID: 9435233]</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29 </w:t>
      </w:r>
      <w:r w:rsidRPr="0075280E">
        <w:rPr>
          <w:rFonts w:eastAsia="SimSun" w:cs="SimSun"/>
          <w:b/>
          <w:bCs/>
          <w:szCs w:val="24"/>
          <w:lang w:eastAsia="zh-CN"/>
        </w:rPr>
        <w:t>Grell M</w:t>
      </w:r>
      <w:r w:rsidRPr="0075280E">
        <w:rPr>
          <w:rFonts w:eastAsia="SimSun" w:cs="SimSun"/>
          <w:szCs w:val="24"/>
          <w:lang w:eastAsia="zh-CN"/>
        </w:rPr>
        <w:t>, Douni E, Wajant H, Löhden M, Clauss M, Maxeiner B, Georgopoulos S, Lesslauer W, Kollias G, Pfizenmaier K, Scheurich P. The transmembrane form of tumor necrosis factor is the prime activating ligand of the 80 kDa tumor necrosis factor receptor. </w:t>
      </w:r>
      <w:r w:rsidRPr="0075280E">
        <w:rPr>
          <w:rFonts w:eastAsia="SimSun" w:cs="SimSun"/>
          <w:i/>
          <w:iCs/>
          <w:szCs w:val="24"/>
          <w:lang w:eastAsia="zh-CN"/>
        </w:rPr>
        <w:t>Cell</w:t>
      </w:r>
      <w:r w:rsidRPr="0075280E">
        <w:rPr>
          <w:rFonts w:eastAsia="SimSun" w:cs="SimSun"/>
          <w:szCs w:val="24"/>
          <w:lang w:eastAsia="zh-CN"/>
        </w:rPr>
        <w:t> 1995; </w:t>
      </w:r>
      <w:r w:rsidRPr="0075280E">
        <w:rPr>
          <w:rFonts w:eastAsia="SimSun" w:cs="SimSun"/>
          <w:b/>
          <w:bCs/>
          <w:szCs w:val="24"/>
          <w:lang w:eastAsia="zh-CN"/>
        </w:rPr>
        <w:t>83</w:t>
      </w:r>
      <w:r w:rsidRPr="0075280E">
        <w:rPr>
          <w:rFonts w:eastAsia="SimSun" w:cs="SimSun"/>
          <w:szCs w:val="24"/>
          <w:lang w:eastAsia="zh-CN"/>
        </w:rPr>
        <w:t>: 793-802 [PMID: 8521496]</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30 </w:t>
      </w:r>
      <w:r w:rsidRPr="0075280E">
        <w:rPr>
          <w:rFonts w:eastAsia="SimSun" w:cs="SimSun"/>
          <w:b/>
          <w:bCs/>
          <w:szCs w:val="24"/>
          <w:lang w:eastAsia="zh-CN"/>
        </w:rPr>
        <w:t>Eissner G</w:t>
      </w:r>
      <w:r w:rsidRPr="0075280E">
        <w:rPr>
          <w:rFonts w:eastAsia="SimSun" w:cs="SimSun"/>
          <w:szCs w:val="24"/>
          <w:lang w:eastAsia="zh-CN"/>
        </w:rPr>
        <w:t>, Kolch W, Scheurich P. Ligands working as receptors: reverse signaling by members of the TNF superfamily enhance the plasticity of the immune system. </w:t>
      </w:r>
      <w:r w:rsidRPr="0075280E">
        <w:rPr>
          <w:rFonts w:eastAsia="SimSun" w:cs="SimSun"/>
          <w:i/>
          <w:iCs/>
          <w:szCs w:val="24"/>
          <w:lang w:eastAsia="zh-CN"/>
        </w:rPr>
        <w:t>Cytokine Growth Factor Rev</w:t>
      </w:r>
      <w:r w:rsidRPr="0075280E">
        <w:rPr>
          <w:rFonts w:eastAsia="SimSun" w:cs="SimSun"/>
          <w:szCs w:val="24"/>
          <w:lang w:eastAsia="zh-CN"/>
        </w:rPr>
        <w:t> 2004; </w:t>
      </w:r>
      <w:r w:rsidRPr="0075280E">
        <w:rPr>
          <w:rFonts w:eastAsia="SimSun" w:cs="SimSun"/>
          <w:b/>
          <w:bCs/>
          <w:szCs w:val="24"/>
          <w:lang w:eastAsia="zh-CN"/>
        </w:rPr>
        <w:t>15</w:t>
      </w:r>
      <w:r w:rsidRPr="0075280E">
        <w:rPr>
          <w:rFonts w:eastAsia="SimSun" w:cs="SimSun"/>
          <w:szCs w:val="24"/>
          <w:lang w:eastAsia="zh-CN"/>
        </w:rPr>
        <w:t>: 353-366 [PMID: 15450251 DOI: 10.1016/j.cytogfr.2004.03.011]</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31 </w:t>
      </w:r>
      <w:r w:rsidRPr="0075280E">
        <w:rPr>
          <w:rFonts w:eastAsia="SimSun" w:cs="SimSun"/>
          <w:b/>
          <w:bCs/>
          <w:szCs w:val="24"/>
          <w:lang w:eastAsia="zh-CN"/>
        </w:rPr>
        <w:t>Wang Y</w:t>
      </w:r>
      <w:r w:rsidRPr="0075280E">
        <w:rPr>
          <w:rFonts w:eastAsia="SimSun" w:cs="SimSun"/>
          <w:szCs w:val="24"/>
          <w:lang w:eastAsia="zh-CN"/>
        </w:rPr>
        <w:t>, Han G, Chen Y, Wang K, Liu G, Wang R, Xiao H, Li X, Hou C, Shen B, Guo R, Li Y, Chen G. Protective role of tumor necrosis factor (TNF) receptors in chronic intestinal inflammation: TNFR1 ablation boosts systemic inflammatory response.</w:t>
      </w:r>
      <w:r>
        <w:rPr>
          <w:rFonts w:eastAsia="SimSun" w:cs="SimSun" w:hint="eastAsia"/>
          <w:szCs w:val="24"/>
          <w:lang w:eastAsia="zh-CN"/>
        </w:rPr>
        <w:t xml:space="preserve"> </w:t>
      </w:r>
      <w:r w:rsidRPr="0075280E">
        <w:rPr>
          <w:rFonts w:eastAsia="SimSun" w:cs="SimSun"/>
          <w:i/>
          <w:iCs/>
          <w:szCs w:val="24"/>
          <w:lang w:eastAsia="zh-CN"/>
        </w:rPr>
        <w:t>Lab Invest</w:t>
      </w:r>
      <w:r w:rsidRPr="0075280E">
        <w:rPr>
          <w:rFonts w:eastAsia="SimSun" w:cs="SimSun"/>
          <w:szCs w:val="24"/>
          <w:lang w:eastAsia="zh-CN"/>
        </w:rPr>
        <w:t> 2013;</w:t>
      </w:r>
      <w:r>
        <w:rPr>
          <w:rFonts w:eastAsia="SimSun" w:cs="SimSun" w:hint="eastAsia"/>
          <w:szCs w:val="24"/>
          <w:lang w:eastAsia="zh-CN"/>
        </w:rPr>
        <w:t xml:space="preserve"> </w:t>
      </w:r>
      <w:r w:rsidRPr="0075280E">
        <w:rPr>
          <w:rFonts w:eastAsia="SimSun" w:cs="SimSun"/>
          <w:b/>
          <w:bCs/>
          <w:szCs w:val="24"/>
          <w:lang w:eastAsia="zh-CN"/>
        </w:rPr>
        <w:t>93</w:t>
      </w:r>
      <w:r w:rsidRPr="0075280E">
        <w:rPr>
          <w:rFonts w:eastAsia="SimSun" w:cs="SimSun"/>
          <w:szCs w:val="24"/>
          <w:lang w:eastAsia="zh-CN"/>
        </w:rPr>
        <w:t>: 1024-1035 [PMID: 23897411 DOI: 10.1038/labinvest.2013.89]</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32 </w:t>
      </w:r>
      <w:r w:rsidRPr="0075280E">
        <w:rPr>
          <w:rFonts w:eastAsia="SimSun" w:cs="SimSun"/>
          <w:b/>
          <w:bCs/>
          <w:szCs w:val="24"/>
          <w:lang w:eastAsia="zh-CN"/>
        </w:rPr>
        <w:t>Sashio H</w:t>
      </w:r>
      <w:r w:rsidRPr="0075280E">
        <w:rPr>
          <w:rFonts w:eastAsia="SimSun" w:cs="SimSun"/>
          <w:szCs w:val="24"/>
          <w:lang w:eastAsia="zh-CN"/>
        </w:rPr>
        <w:t>, Tamura K, Ito R, Yamamoto Y, Bamba H, Kosaka T, Fukui S, Sawada K, Fukuda Y, Tamura K, Satomi M, Shimoyama T, Furuyama J. Polymorphisms of the TNF gene and the TNF receptor superfamily member 1B gene are associated with susceptibility to ulcerative colitis and Crohn's disease, respectively.</w:t>
      </w:r>
      <w:r>
        <w:rPr>
          <w:rFonts w:eastAsia="SimSun" w:cs="SimSun" w:hint="eastAsia"/>
          <w:szCs w:val="24"/>
          <w:lang w:eastAsia="zh-CN"/>
        </w:rPr>
        <w:t xml:space="preserve"> </w:t>
      </w:r>
      <w:r w:rsidRPr="0075280E">
        <w:rPr>
          <w:rFonts w:eastAsia="SimSun" w:cs="SimSun"/>
          <w:i/>
          <w:iCs/>
          <w:szCs w:val="24"/>
          <w:lang w:eastAsia="zh-CN"/>
        </w:rPr>
        <w:t>Immunogenetics</w:t>
      </w:r>
      <w:r>
        <w:rPr>
          <w:rFonts w:eastAsia="SimSun" w:cs="SimSun" w:hint="eastAsia"/>
          <w:szCs w:val="24"/>
          <w:lang w:eastAsia="zh-CN"/>
        </w:rPr>
        <w:t xml:space="preserve"> </w:t>
      </w:r>
      <w:r w:rsidRPr="0075280E">
        <w:rPr>
          <w:rFonts w:eastAsia="SimSun" w:cs="SimSun"/>
          <w:szCs w:val="24"/>
          <w:lang w:eastAsia="zh-CN"/>
        </w:rPr>
        <w:t>2002; </w:t>
      </w:r>
      <w:r w:rsidRPr="0075280E">
        <w:rPr>
          <w:rFonts w:eastAsia="SimSun" w:cs="SimSun"/>
          <w:b/>
          <w:bCs/>
          <w:szCs w:val="24"/>
          <w:lang w:eastAsia="zh-CN"/>
        </w:rPr>
        <w:t>53</w:t>
      </w:r>
      <w:r w:rsidRPr="0075280E">
        <w:rPr>
          <w:rFonts w:eastAsia="SimSun" w:cs="SimSun"/>
          <w:szCs w:val="24"/>
          <w:lang w:eastAsia="zh-CN"/>
        </w:rPr>
        <w:t>: 1020-1027 [PMID: 11904678 DOI: 10.1007/s00251-001-0423-7]</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lastRenderedPageBreak/>
        <w:t>33 </w:t>
      </w:r>
      <w:r w:rsidRPr="0075280E">
        <w:rPr>
          <w:rFonts w:eastAsia="SimSun" w:cs="SimSun"/>
          <w:b/>
          <w:bCs/>
          <w:szCs w:val="24"/>
          <w:lang w:eastAsia="zh-CN"/>
        </w:rPr>
        <w:t>Pierik M</w:t>
      </w:r>
      <w:r w:rsidRPr="0075280E">
        <w:rPr>
          <w:rFonts w:eastAsia="SimSun" w:cs="SimSun"/>
          <w:szCs w:val="24"/>
          <w:lang w:eastAsia="zh-CN"/>
        </w:rPr>
        <w:t>, Vermeire S, Steen KV, Joossens S, Claessens G, Vlietinck R, Rutgeerts P. Tumour necrosis factor-alpha receptor 1 and 2 polymorphisms in inflammatory bowel disease and their association with response to infliximab. </w:t>
      </w:r>
      <w:r w:rsidRPr="0075280E">
        <w:rPr>
          <w:rFonts w:eastAsia="SimSun" w:cs="SimSun"/>
          <w:i/>
          <w:iCs/>
          <w:szCs w:val="24"/>
          <w:lang w:eastAsia="zh-CN"/>
        </w:rPr>
        <w:t>Aliment Pharmacol Ther</w:t>
      </w:r>
      <w:r>
        <w:rPr>
          <w:rFonts w:eastAsia="SimSun" w:cs="SimSun" w:hint="eastAsia"/>
          <w:szCs w:val="24"/>
          <w:lang w:eastAsia="zh-CN"/>
        </w:rPr>
        <w:t xml:space="preserve"> </w:t>
      </w:r>
      <w:r w:rsidRPr="0075280E">
        <w:rPr>
          <w:rFonts w:eastAsia="SimSun" w:cs="SimSun"/>
          <w:szCs w:val="24"/>
          <w:lang w:eastAsia="zh-CN"/>
        </w:rPr>
        <w:t>2004; </w:t>
      </w:r>
      <w:r w:rsidRPr="0075280E">
        <w:rPr>
          <w:rFonts w:eastAsia="SimSun" w:cs="SimSun"/>
          <w:b/>
          <w:bCs/>
          <w:szCs w:val="24"/>
          <w:lang w:eastAsia="zh-CN"/>
        </w:rPr>
        <w:t>20</w:t>
      </w:r>
      <w:r w:rsidRPr="0075280E">
        <w:rPr>
          <w:rFonts w:eastAsia="SimSun" w:cs="SimSun"/>
          <w:szCs w:val="24"/>
          <w:lang w:eastAsia="zh-CN"/>
        </w:rPr>
        <w:t>: 303-310 [PMID: 15274667 DOI: 10.1111/j.1365-2036.2004.01946.x]</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34 </w:t>
      </w:r>
      <w:r w:rsidRPr="0075280E">
        <w:rPr>
          <w:rFonts w:eastAsia="SimSun" w:cs="SimSun"/>
          <w:b/>
          <w:bCs/>
          <w:szCs w:val="24"/>
          <w:lang w:eastAsia="zh-CN"/>
        </w:rPr>
        <w:t>Douni E</w:t>
      </w:r>
      <w:r w:rsidRPr="0075280E">
        <w:rPr>
          <w:rFonts w:eastAsia="SimSun" w:cs="SimSun"/>
          <w:szCs w:val="24"/>
          <w:lang w:eastAsia="zh-CN"/>
        </w:rPr>
        <w:t>, Kollias G. A critical role of the p75 tumor necrosis factor receptor (p75TNF-R) in organ inflammation independent of TNF, lymphotoxin alpha, or the p55TNF-R. </w:t>
      </w:r>
      <w:r w:rsidRPr="0075280E">
        <w:rPr>
          <w:rFonts w:eastAsia="SimSun" w:cs="SimSun"/>
          <w:i/>
          <w:iCs/>
          <w:szCs w:val="24"/>
          <w:lang w:eastAsia="zh-CN"/>
        </w:rPr>
        <w:t>J Exp Med</w:t>
      </w:r>
      <w:r w:rsidRPr="0075280E">
        <w:rPr>
          <w:rFonts w:eastAsia="SimSun" w:cs="SimSun"/>
          <w:szCs w:val="24"/>
          <w:lang w:eastAsia="zh-CN"/>
        </w:rPr>
        <w:t> 1998; </w:t>
      </w:r>
      <w:r w:rsidRPr="0075280E">
        <w:rPr>
          <w:rFonts w:eastAsia="SimSun" w:cs="SimSun"/>
          <w:b/>
          <w:bCs/>
          <w:szCs w:val="24"/>
          <w:lang w:eastAsia="zh-CN"/>
        </w:rPr>
        <w:t>188</w:t>
      </w:r>
      <w:r w:rsidRPr="0075280E">
        <w:rPr>
          <w:rFonts w:eastAsia="SimSun" w:cs="SimSun"/>
          <w:szCs w:val="24"/>
          <w:lang w:eastAsia="zh-CN"/>
        </w:rPr>
        <w:t>: 1343-1352 [PMID: 9763613]</w:t>
      </w:r>
    </w:p>
    <w:p w:rsidR="00E36671" w:rsidRPr="0075280E" w:rsidRDefault="00E36671" w:rsidP="00E36671">
      <w:pPr>
        <w:spacing w:after="0"/>
        <w:rPr>
          <w:rFonts w:eastAsia="SimSun" w:cs="SimSun"/>
          <w:szCs w:val="24"/>
          <w:lang w:eastAsia="zh-CN"/>
        </w:rPr>
      </w:pPr>
      <w:r w:rsidRPr="00CA640C">
        <w:rPr>
          <w:rFonts w:eastAsia="SimSun" w:cs="SimSun"/>
          <w:szCs w:val="24"/>
          <w:lang w:val="de-DE" w:eastAsia="zh-CN"/>
        </w:rPr>
        <w:t>35 </w:t>
      </w:r>
      <w:r w:rsidRPr="00CA640C">
        <w:rPr>
          <w:rFonts w:eastAsia="SimSun" w:cs="SimSun"/>
          <w:b/>
          <w:bCs/>
          <w:szCs w:val="24"/>
          <w:lang w:val="de-DE" w:eastAsia="zh-CN"/>
        </w:rPr>
        <w:t>Holtmann MH</w:t>
      </w:r>
      <w:r w:rsidRPr="00CA640C">
        <w:rPr>
          <w:rFonts w:eastAsia="SimSun" w:cs="SimSun"/>
          <w:szCs w:val="24"/>
          <w:lang w:val="de-DE" w:eastAsia="zh-CN"/>
        </w:rPr>
        <w:t xml:space="preserve">, Douni E, Schütz M, Zeller G, Mudter J, Lehr HA, Gerspach J, Scheurich P, Galle PR, Kollias G, Neurath MF. </w:t>
      </w:r>
      <w:r w:rsidRPr="0075280E">
        <w:rPr>
          <w:rFonts w:eastAsia="SimSun" w:cs="SimSun"/>
          <w:szCs w:val="24"/>
          <w:lang w:eastAsia="zh-CN"/>
        </w:rPr>
        <w:t>Tumor necrosis factor-receptor 2 is up-regulated on lamina propria T cells in Crohn's disease and promotes experimental colitis in vivo. </w:t>
      </w:r>
      <w:r w:rsidRPr="0075280E">
        <w:rPr>
          <w:rFonts w:eastAsia="SimSun" w:cs="SimSun"/>
          <w:i/>
          <w:iCs/>
          <w:szCs w:val="24"/>
          <w:lang w:eastAsia="zh-CN"/>
        </w:rPr>
        <w:t>Eur J Immunol</w:t>
      </w:r>
      <w:r w:rsidRPr="0075280E">
        <w:rPr>
          <w:rFonts w:eastAsia="SimSun" w:cs="SimSun"/>
          <w:szCs w:val="24"/>
          <w:lang w:eastAsia="zh-CN"/>
        </w:rPr>
        <w:t> 2002; </w:t>
      </w:r>
      <w:r w:rsidRPr="0075280E">
        <w:rPr>
          <w:rFonts w:eastAsia="SimSun" w:cs="SimSun"/>
          <w:b/>
          <w:bCs/>
          <w:szCs w:val="24"/>
          <w:lang w:eastAsia="zh-CN"/>
        </w:rPr>
        <w:t>32</w:t>
      </w:r>
      <w:r w:rsidRPr="0075280E">
        <w:rPr>
          <w:rFonts w:eastAsia="SimSun" w:cs="SimSun"/>
          <w:szCs w:val="24"/>
          <w:lang w:eastAsia="zh-CN"/>
        </w:rPr>
        <w:t>: 3142-3151 [PMID: 12555659 DOI: 10.1002/1521-4141(200211)32: 11&lt;3142: : AID-IMMU3142&gt;3.0.CO; 2-4]</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36 </w:t>
      </w:r>
      <w:r w:rsidRPr="0075280E">
        <w:rPr>
          <w:rFonts w:eastAsia="SimSun" w:cs="SimSun"/>
          <w:b/>
          <w:bCs/>
          <w:szCs w:val="24"/>
          <w:lang w:eastAsia="zh-CN"/>
        </w:rPr>
        <w:t>Sandborn WJ</w:t>
      </w:r>
      <w:r w:rsidRPr="0075280E">
        <w:rPr>
          <w:rFonts w:eastAsia="SimSun" w:cs="SimSun"/>
          <w:szCs w:val="24"/>
          <w:lang w:eastAsia="zh-CN"/>
        </w:rPr>
        <w:t>, Feagan BG, Marano C, Zhang H, Strauss R, Johanns J, Adedokun OJ, Guzzo C, Colombel JF, Reinisch W, Gibson PR, Collins J, Järnerot G, Hibi T, Rutgeerts P. Subcutaneous golimumab induces clinical response and remission in patients with moderate-to-severe ulcerative colitis. </w:t>
      </w:r>
      <w:r w:rsidRPr="0075280E">
        <w:rPr>
          <w:rFonts w:eastAsia="SimSun" w:cs="SimSun"/>
          <w:i/>
          <w:iCs/>
          <w:szCs w:val="24"/>
          <w:lang w:eastAsia="zh-CN"/>
        </w:rPr>
        <w:t>Gastroenterology</w:t>
      </w:r>
      <w:r w:rsidRPr="0075280E">
        <w:rPr>
          <w:rFonts w:eastAsia="SimSun" w:cs="SimSun"/>
          <w:szCs w:val="24"/>
          <w:lang w:eastAsia="zh-CN"/>
        </w:rPr>
        <w:t> 2014; </w:t>
      </w:r>
      <w:r w:rsidRPr="0075280E">
        <w:rPr>
          <w:rFonts w:eastAsia="SimSun" w:cs="SimSun"/>
          <w:b/>
          <w:bCs/>
          <w:szCs w:val="24"/>
          <w:lang w:eastAsia="zh-CN"/>
        </w:rPr>
        <w:t>146</w:t>
      </w:r>
      <w:r w:rsidRPr="0075280E">
        <w:rPr>
          <w:rFonts w:eastAsia="SimSun" w:cs="SimSun"/>
          <w:szCs w:val="24"/>
          <w:lang w:eastAsia="zh-CN"/>
        </w:rPr>
        <w:t>:</w:t>
      </w:r>
      <w:r>
        <w:rPr>
          <w:rFonts w:eastAsia="SimSun" w:cs="SimSun" w:hint="eastAsia"/>
          <w:szCs w:val="24"/>
          <w:lang w:eastAsia="zh-CN"/>
        </w:rPr>
        <w:t xml:space="preserve"> </w:t>
      </w:r>
      <w:r w:rsidRPr="0075280E">
        <w:rPr>
          <w:rFonts w:eastAsia="SimSun" w:cs="SimSun"/>
          <w:szCs w:val="24"/>
          <w:lang w:eastAsia="zh-CN"/>
        </w:rPr>
        <w:t>85-95; quiz e14-e</w:t>
      </w:r>
      <w:r>
        <w:rPr>
          <w:rFonts w:eastAsia="SimSun" w:cs="SimSun" w:hint="eastAsia"/>
          <w:szCs w:val="24"/>
          <w:lang w:eastAsia="zh-CN"/>
        </w:rPr>
        <w:t>1</w:t>
      </w:r>
      <w:r w:rsidRPr="0075280E">
        <w:rPr>
          <w:rFonts w:eastAsia="SimSun" w:cs="SimSun"/>
          <w:szCs w:val="24"/>
          <w:lang w:eastAsia="zh-CN"/>
        </w:rPr>
        <w:t>5 [PMID: 23735746 DOI: 10.1053/j.gastro.2013.05.048]</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37 </w:t>
      </w:r>
      <w:r w:rsidRPr="0075280E">
        <w:rPr>
          <w:rFonts w:eastAsia="SimSun" w:cs="SimSun"/>
          <w:b/>
          <w:bCs/>
          <w:szCs w:val="24"/>
          <w:lang w:eastAsia="zh-CN"/>
        </w:rPr>
        <w:t>Vande Casteele N</w:t>
      </w:r>
      <w:r w:rsidRPr="0075280E">
        <w:rPr>
          <w:rFonts w:eastAsia="SimSun" w:cs="SimSun"/>
          <w:szCs w:val="24"/>
          <w:lang w:eastAsia="zh-CN"/>
        </w:rPr>
        <w:t>, Gils A. Pharmacokinetics of anti-TNF monoclonal antibodies in inflammatory bowel disease: Adding value to current practice. </w:t>
      </w:r>
      <w:r w:rsidRPr="0075280E">
        <w:rPr>
          <w:rFonts w:eastAsia="SimSun" w:cs="SimSun"/>
          <w:i/>
          <w:iCs/>
          <w:szCs w:val="24"/>
          <w:lang w:eastAsia="zh-CN"/>
        </w:rPr>
        <w:t>J Clin Pharmacol</w:t>
      </w:r>
      <w:r w:rsidRPr="0075280E">
        <w:rPr>
          <w:rFonts w:eastAsia="SimSun" w:cs="SimSun"/>
          <w:szCs w:val="24"/>
          <w:lang w:eastAsia="zh-CN"/>
        </w:rPr>
        <w:t> 2015; </w:t>
      </w:r>
      <w:r w:rsidRPr="0075280E">
        <w:rPr>
          <w:rFonts w:eastAsia="SimSun" w:cs="SimSun"/>
          <w:b/>
          <w:bCs/>
          <w:szCs w:val="24"/>
          <w:lang w:eastAsia="zh-CN"/>
        </w:rPr>
        <w:t>55 Suppl 3</w:t>
      </w:r>
      <w:r w:rsidRPr="0075280E">
        <w:rPr>
          <w:rFonts w:eastAsia="SimSun" w:cs="SimSun"/>
          <w:szCs w:val="24"/>
          <w:lang w:eastAsia="zh-CN"/>
        </w:rPr>
        <w:t>: S39-S50 [PMID: 25707962 DOI: 10.1002/jcph.374]</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38 </w:t>
      </w:r>
      <w:r w:rsidRPr="0075280E">
        <w:rPr>
          <w:rFonts w:eastAsia="SimSun" w:cs="SimSun"/>
          <w:b/>
          <w:bCs/>
          <w:szCs w:val="24"/>
          <w:lang w:eastAsia="zh-CN"/>
        </w:rPr>
        <w:t>Hochberg MC</w:t>
      </w:r>
      <w:r w:rsidRPr="0075280E">
        <w:rPr>
          <w:rFonts w:eastAsia="SimSun" w:cs="SimSun"/>
          <w:szCs w:val="24"/>
          <w:lang w:eastAsia="zh-CN"/>
        </w:rPr>
        <w:t>, Tracy JK, Hawkins-Holt M, Flores RH. Comparison of the efficacy of the tumour necrosis factor alpha blocking agents adalimumab, etanercept, and infliximab when added to methotrexate in patients with active rheumatoid arthritis. </w:t>
      </w:r>
      <w:r w:rsidRPr="0075280E">
        <w:rPr>
          <w:rFonts w:eastAsia="SimSun" w:cs="SimSun"/>
          <w:i/>
          <w:iCs/>
          <w:szCs w:val="24"/>
          <w:lang w:eastAsia="zh-CN"/>
        </w:rPr>
        <w:t>Ann Rheum Dis</w:t>
      </w:r>
      <w:r w:rsidRPr="0075280E">
        <w:rPr>
          <w:rFonts w:eastAsia="SimSun" w:cs="SimSun"/>
          <w:szCs w:val="24"/>
          <w:lang w:eastAsia="zh-CN"/>
        </w:rPr>
        <w:t> 2003; </w:t>
      </w:r>
      <w:r w:rsidRPr="0075280E">
        <w:rPr>
          <w:rFonts w:eastAsia="SimSun" w:cs="SimSun"/>
          <w:b/>
          <w:bCs/>
          <w:szCs w:val="24"/>
          <w:lang w:eastAsia="zh-CN"/>
        </w:rPr>
        <w:t>62 Suppl 2</w:t>
      </w:r>
      <w:r w:rsidRPr="0075280E">
        <w:rPr>
          <w:rFonts w:eastAsia="SimSun" w:cs="SimSun"/>
          <w:szCs w:val="24"/>
          <w:lang w:eastAsia="zh-CN"/>
        </w:rPr>
        <w:t>: ii13-ii16 [PMID: 14532140]</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39 </w:t>
      </w:r>
      <w:r w:rsidRPr="0075280E">
        <w:rPr>
          <w:rFonts w:eastAsia="SimSun" w:cs="SimSun"/>
          <w:b/>
          <w:bCs/>
          <w:szCs w:val="24"/>
          <w:lang w:eastAsia="zh-CN"/>
        </w:rPr>
        <w:t>Sandborn WJ</w:t>
      </w:r>
      <w:r w:rsidRPr="0075280E">
        <w:rPr>
          <w:rFonts w:eastAsia="SimSun" w:cs="SimSun"/>
          <w:szCs w:val="24"/>
          <w:lang w:eastAsia="zh-CN"/>
        </w:rPr>
        <w:t>, Hanauer SB, Katz S, Safdi M, Wolf DG, Baerg RD, Tremaine WJ, Johnson T, Diehl NN, Zinsmeister AR. Etanercept for active Crohn's disease: a randomized, double-blind, placebo-controlled trial.</w:t>
      </w:r>
      <w:r>
        <w:rPr>
          <w:rFonts w:eastAsia="SimSun" w:cs="SimSun" w:hint="eastAsia"/>
          <w:szCs w:val="24"/>
          <w:lang w:eastAsia="zh-CN"/>
        </w:rPr>
        <w:t xml:space="preserve"> </w:t>
      </w:r>
      <w:r w:rsidRPr="0075280E">
        <w:rPr>
          <w:rFonts w:eastAsia="SimSun" w:cs="SimSun"/>
          <w:i/>
          <w:iCs/>
          <w:szCs w:val="24"/>
          <w:lang w:eastAsia="zh-CN"/>
        </w:rPr>
        <w:t>Gastroenterology</w:t>
      </w:r>
      <w:r>
        <w:rPr>
          <w:rFonts w:eastAsia="SimSun" w:cs="SimSun" w:hint="eastAsia"/>
          <w:szCs w:val="24"/>
          <w:lang w:eastAsia="zh-CN"/>
        </w:rPr>
        <w:t xml:space="preserve"> </w:t>
      </w:r>
      <w:r w:rsidRPr="0075280E">
        <w:rPr>
          <w:rFonts w:eastAsia="SimSun" w:cs="SimSun"/>
          <w:szCs w:val="24"/>
          <w:lang w:eastAsia="zh-CN"/>
        </w:rPr>
        <w:t>2001;</w:t>
      </w:r>
      <w:r>
        <w:rPr>
          <w:rFonts w:eastAsia="SimSun" w:cs="SimSun" w:hint="eastAsia"/>
          <w:szCs w:val="24"/>
          <w:lang w:eastAsia="zh-CN"/>
        </w:rPr>
        <w:t xml:space="preserve"> </w:t>
      </w:r>
      <w:r w:rsidRPr="0075280E">
        <w:rPr>
          <w:rFonts w:eastAsia="SimSun" w:cs="SimSun"/>
          <w:b/>
          <w:bCs/>
          <w:szCs w:val="24"/>
          <w:lang w:eastAsia="zh-CN"/>
        </w:rPr>
        <w:t>121</w:t>
      </w:r>
      <w:r w:rsidRPr="0075280E">
        <w:rPr>
          <w:rFonts w:eastAsia="SimSun" w:cs="SimSun"/>
          <w:szCs w:val="24"/>
          <w:lang w:eastAsia="zh-CN"/>
        </w:rPr>
        <w:t>: 1088-1094 [PMID: 11677200]</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40 </w:t>
      </w:r>
      <w:r w:rsidRPr="0075280E">
        <w:rPr>
          <w:rFonts w:eastAsia="SimSun" w:cs="SimSun"/>
          <w:b/>
          <w:bCs/>
          <w:szCs w:val="24"/>
          <w:lang w:eastAsia="zh-CN"/>
        </w:rPr>
        <w:t>Shealy DJ</w:t>
      </w:r>
      <w:r w:rsidRPr="0075280E">
        <w:rPr>
          <w:rFonts w:eastAsia="SimSun" w:cs="SimSun"/>
          <w:szCs w:val="24"/>
          <w:lang w:eastAsia="zh-CN"/>
        </w:rPr>
        <w:t xml:space="preserve">, Cai A, Staquet K, Baker A, Lacy ER, Johns L, Vafa O, Gunn G, Tam S, Sague S, Wang D, Brigham-Burke M, Dalmonte P, Emmell E, Pikounis B, Bugelski PJ, Zhou H, Scallon BJ, Giles-Komar J. Characterization of golimumab, a human </w:t>
      </w:r>
      <w:r w:rsidRPr="0075280E">
        <w:rPr>
          <w:rFonts w:eastAsia="SimSun" w:cs="SimSun"/>
          <w:szCs w:val="24"/>
          <w:lang w:eastAsia="zh-CN"/>
        </w:rPr>
        <w:lastRenderedPageBreak/>
        <w:t>monoclonal antibody specific for human tumor necrosis factor α. </w:t>
      </w:r>
      <w:r w:rsidRPr="0075280E">
        <w:rPr>
          <w:rFonts w:eastAsia="SimSun" w:cs="SimSun"/>
          <w:i/>
          <w:iCs/>
          <w:szCs w:val="24"/>
          <w:lang w:eastAsia="zh-CN"/>
        </w:rPr>
        <w:t>MAbs</w:t>
      </w:r>
      <w:r w:rsidRPr="0075280E">
        <w:rPr>
          <w:rFonts w:eastAsia="SimSun" w:cs="SimSun"/>
          <w:szCs w:val="24"/>
          <w:lang w:eastAsia="zh-CN"/>
        </w:rPr>
        <w:t> ; </w:t>
      </w:r>
      <w:r w:rsidRPr="0075280E">
        <w:rPr>
          <w:rFonts w:eastAsia="SimSun" w:cs="SimSun"/>
          <w:b/>
          <w:bCs/>
          <w:szCs w:val="24"/>
          <w:lang w:eastAsia="zh-CN"/>
        </w:rPr>
        <w:t>2</w:t>
      </w:r>
      <w:r w:rsidRPr="0075280E">
        <w:rPr>
          <w:rFonts w:eastAsia="SimSun" w:cs="SimSun"/>
          <w:szCs w:val="24"/>
          <w:lang w:eastAsia="zh-CN"/>
        </w:rPr>
        <w:t>: 428-439 [PMID: 20519961]</w:t>
      </w:r>
    </w:p>
    <w:p w:rsidR="00E36671" w:rsidRPr="00CA640C" w:rsidRDefault="00E36671" w:rsidP="00E36671">
      <w:pPr>
        <w:spacing w:after="0"/>
        <w:rPr>
          <w:rFonts w:eastAsia="SimSun" w:cs="SimSun"/>
          <w:szCs w:val="24"/>
          <w:lang w:eastAsia="zh-CN"/>
        </w:rPr>
      </w:pPr>
      <w:r w:rsidRPr="0075280E">
        <w:rPr>
          <w:rFonts w:eastAsia="SimSun" w:cs="SimSun"/>
          <w:szCs w:val="24"/>
          <w:lang w:eastAsia="zh-CN"/>
        </w:rPr>
        <w:t>41 </w:t>
      </w:r>
      <w:r w:rsidRPr="0075280E">
        <w:rPr>
          <w:rFonts w:eastAsia="SimSun" w:cs="SimSun"/>
          <w:b/>
          <w:bCs/>
          <w:szCs w:val="24"/>
          <w:lang w:eastAsia="zh-CN"/>
        </w:rPr>
        <w:t>Kaymakcalan Z</w:t>
      </w:r>
      <w:r w:rsidRPr="0075280E">
        <w:rPr>
          <w:rFonts w:eastAsia="SimSun" w:cs="SimSun"/>
          <w:szCs w:val="24"/>
          <w:lang w:eastAsia="zh-CN"/>
        </w:rPr>
        <w:t>, Sakorafas P, Bose S, Scesney S, Xiong L, Hanzatian DK, Salfeld J, Sasso EH. Comparisons of affinities, avidities, and complement activation of adalimumab, infliximab, and etanercept in binding to soluble and membrane tumor necrosis factor. </w:t>
      </w:r>
      <w:r w:rsidRPr="00CA640C">
        <w:rPr>
          <w:rFonts w:eastAsia="SimSun" w:cs="SimSun"/>
          <w:i/>
          <w:iCs/>
          <w:szCs w:val="24"/>
          <w:lang w:eastAsia="zh-CN"/>
        </w:rPr>
        <w:t>Clin Immunol</w:t>
      </w:r>
      <w:r w:rsidRPr="00CA640C">
        <w:rPr>
          <w:rFonts w:eastAsia="SimSun" w:cs="SimSun"/>
          <w:szCs w:val="24"/>
          <w:lang w:eastAsia="zh-CN"/>
        </w:rPr>
        <w:t> 2009; </w:t>
      </w:r>
      <w:r w:rsidRPr="00CA640C">
        <w:rPr>
          <w:rFonts w:eastAsia="SimSun" w:cs="SimSun"/>
          <w:b/>
          <w:bCs/>
          <w:szCs w:val="24"/>
          <w:lang w:eastAsia="zh-CN"/>
        </w:rPr>
        <w:t>131</w:t>
      </w:r>
      <w:r w:rsidRPr="00CA640C">
        <w:rPr>
          <w:rFonts w:eastAsia="SimSun" w:cs="SimSun"/>
          <w:szCs w:val="24"/>
          <w:lang w:eastAsia="zh-CN"/>
        </w:rPr>
        <w:t>: 308-316 [PMID: 19188093 DOI: 10.1016/j.clim.2009.01.002]</w:t>
      </w:r>
    </w:p>
    <w:p w:rsidR="00E36671" w:rsidRPr="0075280E" w:rsidRDefault="00E36671" w:rsidP="00E36671">
      <w:pPr>
        <w:spacing w:after="0"/>
        <w:rPr>
          <w:rFonts w:eastAsia="SimSun" w:cs="SimSun"/>
          <w:szCs w:val="24"/>
          <w:lang w:eastAsia="zh-CN"/>
        </w:rPr>
      </w:pPr>
      <w:r w:rsidRPr="00C2680A">
        <w:rPr>
          <w:rFonts w:eastAsia="SimSun" w:cs="SimSun"/>
          <w:szCs w:val="24"/>
          <w:lang w:val="de-DE" w:eastAsia="zh-CN"/>
        </w:rPr>
        <w:t>42 </w:t>
      </w:r>
      <w:r w:rsidRPr="00C2680A">
        <w:rPr>
          <w:rFonts w:eastAsia="SimSun" w:cs="SimSun"/>
          <w:b/>
          <w:bCs/>
          <w:szCs w:val="24"/>
          <w:lang w:val="de-DE" w:eastAsia="zh-CN"/>
        </w:rPr>
        <w:t>Vos AC</w:t>
      </w:r>
      <w:r w:rsidRPr="00C2680A">
        <w:rPr>
          <w:rFonts w:eastAsia="SimSun" w:cs="SimSun"/>
          <w:szCs w:val="24"/>
          <w:lang w:val="de-DE" w:eastAsia="zh-CN"/>
        </w:rPr>
        <w:t xml:space="preserve">, Wildenberg ME, Duijvestein M, Verhaar AP, van den Brink GR, Hommes DW. </w:t>
      </w:r>
      <w:r w:rsidRPr="0075280E">
        <w:rPr>
          <w:rFonts w:eastAsia="SimSun" w:cs="SimSun"/>
          <w:szCs w:val="24"/>
          <w:lang w:eastAsia="zh-CN"/>
        </w:rPr>
        <w:t>Anti-tumor necrosis factor-α antibodies induce regulatory macrophages in an Fc region-dependent manner. </w:t>
      </w:r>
      <w:r w:rsidRPr="0075280E">
        <w:rPr>
          <w:rFonts w:eastAsia="SimSun" w:cs="SimSun"/>
          <w:i/>
          <w:iCs/>
          <w:szCs w:val="24"/>
          <w:lang w:eastAsia="zh-CN"/>
        </w:rPr>
        <w:t>Gastroenterology</w:t>
      </w:r>
      <w:r w:rsidRPr="0075280E">
        <w:rPr>
          <w:rFonts w:eastAsia="SimSun" w:cs="SimSun"/>
          <w:szCs w:val="24"/>
          <w:lang w:eastAsia="zh-CN"/>
        </w:rPr>
        <w:t> 2011; </w:t>
      </w:r>
      <w:r w:rsidRPr="0075280E">
        <w:rPr>
          <w:rFonts w:eastAsia="SimSun" w:cs="SimSun"/>
          <w:b/>
          <w:bCs/>
          <w:szCs w:val="24"/>
          <w:lang w:eastAsia="zh-CN"/>
        </w:rPr>
        <w:t>140</w:t>
      </w:r>
      <w:r w:rsidRPr="0075280E">
        <w:rPr>
          <w:rFonts w:eastAsia="SimSun" w:cs="SimSun"/>
          <w:szCs w:val="24"/>
          <w:lang w:eastAsia="zh-CN"/>
        </w:rPr>
        <w:t>: 221-230 [PMID: 20955706 DOI: 10.1053/j.gastro.2010.10.008]</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43 </w:t>
      </w:r>
      <w:r w:rsidRPr="0075280E">
        <w:rPr>
          <w:rFonts w:eastAsia="SimSun" w:cs="SimSun"/>
          <w:b/>
          <w:bCs/>
          <w:szCs w:val="24"/>
          <w:lang w:eastAsia="zh-CN"/>
        </w:rPr>
        <w:t>Van den Brande JM</w:t>
      </w:r>
      <w:r w:rsidRPr="0075280E">
        <w:rPr>
          <w:rFonts w:eastAsia="SimSun" w:cs="SimSun"/>
          <w:szCs w:val="24"/>
          <w:lang w:eastAsia="zh-CN"/>
        </w:rPr>
        <w:t>, Braat H, van den Brink GR, Versteeg HH, Bauer CA, Hoedemaeker I, van Montfrans C, Hommes DW, Peppelenbosch MP, van Deventer SJ. Infliximab but not etanercept induces apoptosis in lamina propria T-lymphocytes from patients with Crohn's disease. </w:t>
      </w:r>
      <w:r w:rsidRPr="0075280E">
        <w:rPr>
          <w:rFonts w:eastAsia="SimSun" w:cs="SimSun"/>
          <w:i/>
          <w:iCs/>
          <w:szCs w:val="24"/>
          <w:lang w:eastAsia="zh-CN"/>
        </w:rPr>
        <w:t>Gastroenterology</w:t>
      </w:r>
      <w:r>
        <w:rPr>
          <w:rFonts w:eastAsia="SimSun" w:cs="SimSun" w:hint="eastAsia"/>
          <w:szCs w:val="24"/>
          <w:lang w:eastAsia="zh-CN"/>
        </w:rPr>
        <w:t xml:space="preserve"> </w:t>
      </w:r>
      <w:r w:rsidRPr="0075280E">
        <w:rPr>
          <w:rFonts w:eastAsia="SimSun" w:cs="SimSun"/>
          <w:szCs w:val="24"/>
          <w:lang w:eastAsia="zh-CN"/>
        </w:rPr>
        <w:t>2003;</w:t>
      </w:r>
      <w:r>
        <w:rPr>
          <w:rFonts w:eastAsia="SimSun" w:cs="SimSun" w:hint="eastAsia"/>
          <w:szCs w:val="24"/>
          <w:lang w:eastAsia="zh-CN"/>
        </w:rPr>
        <w:t xml:space="preserve"> </w:t>
      </w:r>
      <w:r w:rsidRPr="0075280E">
        <w:rPr>
          <w:rFonts w:eastAsia="SimSun" w:cs="SimSun"/>
          <w:b/>
          <w:bCs/>
          <w:szCs w:val="24"/>
          <w:lang w:eastAsia="zh-CN"/>
        </w:rPr>
        <w:t>124</w:t>
      </w:r>
      <w:r w:rsidRPr="0075280E">
        <w:rPr>
          <w:rFonts w:eastAsia="SimSun" w:cs="SimSun"/>
          <w:szCs w:val="24"/>
          <w:lang w:eastAsia="zh-CN"/>
        </w:rPr>
        <w:t>: 1774-1785 [PMID: 12806611]</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44 </w:t>
      </w:r>
      <w:r w:rsidRPr="0075280E">
        <w:rPr>
          <w:rFonts w:eastAsia="SimSun" w:cs="SimSun"/>
          <w:b/>
          <w:bCs/>
          <w:szCs w:val="24"/>
          <w:lang w:eastAsia="zh-CN"/>
        </w:rPr>
        <w:t>Scallon B</w:t>
      </w:r>
      <w:r w:rsidRPr="0075280E">
        <w:rPr>
          <w:rFonts w:eastAsia="SimSun" w:cs="SimSun"/>
          <w:szCs w:val="24"/>
          <w:lang w:eastAsia="zh-CN"/>
        </w:rPr>
        <w:t>, Cai A, Solowski N, Rosenberg A, Song XY, Shealy D, Wagner C. Binding and functional comparisons of two types of tumor necrosis factor antagonists. </w:t>
      </w:r>
      <w:r w:rsidRPr="0075280E">
        <w:rPr>
          <w:rFonts w:eastAsia="SimSun" w:cs="SimSun"/>
          <w:i/>
          <w:iCs/>
          <w:szCs w:val="24"/>
          <w:lang w:eastAsia="zh-CN"/>
        </w:rPr>
        <w:t>J Pharmacol Exp Ther</w:t>
      </w:r>
      <w:r w:rsidRPr="0075280E">
        <w:rPr>
          <w:rFonts w:eastAsia="SimSun" w:cs="SimSun"/>
          <w:szCs w:val="24"/>
          <w:lang w:eastAsia="zh-CN"/>
        </w:rPr>
        <w:t> 2002; </w:t>
      </w:r>
      <w:r w:rsidRPr="0075280E">
        <w:rPr>
          <w:rFonts w:eastAsia="SimSun" w:cs="SimSun"/>
          <w:b/>
          <w:bCs/>
          <w:szCs w:val="24"/>
          <w:lang w:eastAsia="zh-CN"/>
        </w:rPr>
        <w:t>301</w:t>
      </w:r>
      <w:r w:rsidRPr="0075280E">
        <w:rPr>
          <w:rFonts w:eastAsia="SimSun" w:cs="SimSun"/>
          <w:szCs w:val="24"/>
          <w:lang w:eastAsia="zh-CN"/>
        </w:rPr>
        <w:t>: 418-426 [PMID: 11961039]</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45 </w:t>
      </w:r>
      <w:r w:rsidRPr="0075280E">
        <w:rPr>
          <w:rFonts w:eastAsia="SimSun" w:cs="SimSun"/>
          <w:b/>
          <w:bCs/>
          <w:szCs w:val="24"/>
          <w:lang w:eastAsia="zh-CN"/>
        </w:rPr>
        <w:t>Perrier C</w:t>
      </w:r>
      <w:r w:rsidRPr="0075280E">
        <w:rPr>
          <w:rFonts w:eastAsia="SimSun" w:cs="SimSun"/>
          <w:szCs w:val="24"/>
          <w:lang w:eastAsia="zh-CN"/>
        </w:rPr>
        <w:t>, de Hertogh G, Cremer J, Vermeire S, Rutgeerts P, Van Assche G, Szymkowski DE, Ceuppens JL. Neutralization of membrane TNF, but not soluble TNF, is crucial for the treatment of experimental colitis. </w:t>
      </w:r>
      <w:r w:rsidRPr="0075280E">
        <w:rPr>
          <w:rFonts w:eastAsia="SimSun" w:cs="SimSun"/>
          <w:i/>
          <w:iCs/>
          <w:szCs w:val="24"/>
          <w:lang w:eastAsia="zh-CN"/>
        </w:rPr>
        <w:t>Inflamm Bowel Dis</w:t>
      </w:r>
      <w:r w:rsidRPr="0075280E">
        <w:rPr>
          <w:rFonts w:eastAsia="SimSun" w:cs="SimSun"/>
          <w:szCs w:val="24"/>
          <w:lang w:eastAsia="zh-CN"/>
        </w:rPr>
        <w:t> 2013; </w:t>
      </w:r>
      <w:r w:rsidRPr="0075280E">
        <w:rPr>
          <w:rFonts w:eastAsia="SimSun" w:cs="SimSun"/>
          <w:b/>
          <w:bCs/>
          <w:szCs w:val="24"/>
          <w:lang w:eastAsia="zh-CN"/>
        </w:rPr>
        <w:t>19</w:t>
      </w:r>
      <w:r w:rsidRPr="0075280E">
        <w:rPr>
          <w:rFonts w:eastAsia="SimSun" w:cs="SimSun"/>
          <w:szCs w:val="24"/>
          <w:lang w:eastAsia="zh-CN"/>
        </w:rPr>
        <w:t>: 246-253 [PMID: 22649027 DOI: 10.1002/ibd.23023]</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46 </w:t>
      </w:r>
      <w:r w:rsidRPr="0075280E">
        <w:rPr>
          <w:rFonts w:eastAsia="SimSun" w:cs="SimSun"/>
          <w:b/>
          <w:bCs/>
          <w:szCs w:val="24"/>
          <w:lang w:eastAsia="zh-CN"/>
        </w:rPr>
        <w:t>Corazza N</w:t>
      </w:r>
      <w:r w:rsidRPr="0075280E">
        <w:rPr>
          <w:rFonts w:eastAsia="SimSun" w:cs="SimSun"/>
          <w:szCs w:val="24"/>
          <w:lang w:eastAsia="zh-CN"/>
        </w:rPr>
        <w:t>, Brunner T, Buri C, Rihs S, Imboden MA, Seibold I, Mueller C. Transmembrane tumor necrosis factor is a potent inducer of colitis even in the absence of its secreted form. </w:t>
      </w:r>
      <w:r w:rsidRPr="0075280E">
        <w:rPr>
          <w:rFonts w:eastAsia="SimSun" w:cs="SimSun"/>
          <w:i/>
          <w:iCs/>
          <w:szCs w:val="24"/>
          <w:lang w:eastAsia="zh-CN"/>
        </w:rPr>
        <w:t>Gastroenterology</w:t>
      </w:r>
      <w:r w:rsidRPr="0075280E">
        <w:rPr>
          <w:rFonts w:eastAsia="SimSun" w:cs="SimSun"/>
          <w:szCs w:val="24"/>
          <w:lang w:eastAsia="zh-CN"/>
        </w:rPr>
        <w:t> 2004; </w:t>
      </w:r>
      <w:r w:rsidRPr="0075280E">
        <w:rPr>
          <w:rFonts w:eastAsia="SimSun" w:cs="SimSun"/>
          <w:b/>
          <w:bCs/>
          <w:szCs w:val="24"/>
          <w:lang w:eastAsia="zh-CN"/>
        </w:rPr>
        <w:t>127</w:t>
      </w:r>
      <w:r w:rsidRPr="0075280E">
        <w:rPr>
          <w:rFonts w:eastAsia="SimSun" w:cs="SimSun"/>
          <w:szCs w:val="24"/>
          <w:lang w:eastAsia="zh-CN"/>
        </w:rPr>
        <w:t>: 816-825 [PMID: 15362037]</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47 </w:t>
      </w:r>
      <w:r w:rsidRPr="0075280E">
        <w:rPr>
          <w:rFonts w:eastAsia="SimSun" w:cs="SimSun"/>
          <w:b/>
          <w:bCs/>
          <w:szCs w:val="24"/>
          <w:lang w:eastAsia="zh-CN"/>
        </w:rPr>
        <w:t>Kühn R</w:t>
      </w:r>
      <w:r w:rsidRPr="0075280E">
        <w:rPr>
          <w:rFonts w:eastAsia="SimSun" w:cs="SimSun"/>
          <w:szCs w:val="24"/>
          <w:lang w:eastAsia="zh-CN"/>
        </w:rPr>
        <w:t>, Löhler J, Rennick D, Rajewsky K, Müller W. Interleukin-10-deficient mice develop chronic enterocolitis. </w:t>
      </w:r>
      <w:r w:rsidRPr="0075280E">
        <w:rPr>
          <w:rFonts w:eastAsia="SimSun" w:cs="SimSun"/>
          <w:i/>
          <w:iCs/>
          <w:szCs w:val="24"/>
          <w:lang w:eastAsia="zh-CN"/>
        </w:rPr>
        <w:t>Cell</w:t>
      </w:r>
      <w:r w:rsidRPr="0075280E">
        <w:rPr>
          <w:rFonts w:eastAsia="SimSun" w:cs="SimSun"/>
          <w:szCs w:val="24"/>
          <w:lang w:eastAsia="zh-CN"/>
        </w:rPr>
        <w:t> 1993; </w:t>
      </w:r>
      <w:r w:rsidRPr="0075280E">
        <w:rPr>
          <w:rFonts w:eastAsia="SimSun" w:cs="SimSun"/>
          <w:b/>
          <w:bCs/>
          <w:szCs w:val="24"/>
          <w:lang w:eastAsia="zh-CN"/>
        </w:rPr>
        <w:t>75</w:t>
      </w:r>
      <w:r w:rsidRPr="0075280E">
        <w:rPr>
          <w:rFonts w:eastAsia="SimSun" w:cs="SimSun"/>
          <w:szCs w:val="24"/>
          <w:lang w:eastAsia="zh-CN"/>
        </w:rPr>
        <w:t>: 263-274 [PMID: 8402911]</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48 </w:t>
      </w:r>
      <w:r w:rsidRPr="0075280E">
        <w:rPr>
          <w:rFonts w:eastAsia="SimSun" w:cs="SimSun"/>
          <w:b/>
          <w:bCs/>
          <w:szCs w:val="24"/>
          <w:lang w:eastAsia="zh-CN"/>
        </w:rPr>
        <w:t>Hale LP</w:t>
      </w:r>
      <w:r w:rsidRPr="0075280E">
        <w:rPr>
          <w:rFonts w:eastAsia="SimSun" w:cs="SimSun"/>
          <w:szCs w:val="24"/>
          <w:lang w:eastAsia="zh-CN"/>
        </w:rPr>
        <w:t>, Greer PK. A novel murine model of inflammatory bowel disease and inflammation-associated colon cancer with ulcerative colitis-like features.</w:t>
      </w:r>
      <w:r>
        <w:rPr>
          <w:rFonts w:eastAsia="SimSun" w:cs="SimSun" w:hint="eastAsia"/>
          <w:szCs w:val="24"/>
          <w:lang w:eastAsia="zh-CN"/>
        </w:rPr>
        <w:t xml:space="preserve"> </w:t>
      </w:r>
      <w:r w:rsidRPr="0075280E">
        <w:rPr>
          <w:rFonts w:eastAsia="SimSun" w:cs="SimSun"/>
          <w:i/>
          <w:iCs/>
          <w:szCs w:val="24"/>
          <w:lang w:eastAsia="zh-CN"/>
        </w:rPr>
        <w:t>PLoS One</w:t>
      </w:r>
      <w:r>
        <w:rPr>
          <w:rFonts w:eastAsia="SimSun" w:cs="SimSun" w:hint="eastAsia"/>
          <w:szCs w:val="24"/>
          <w:lang w:eastAsia="zh-CN"/>
        </w:rPr>
        <w:t xml:space="preserve"> </w:t>
      </w:r>
      <w:r w:rsidRPr="0075280E">
        <w:rPr>
          <w:rFonts w:eastAsia="SimSun" w:cs="SimSun"/>
          <w:szCs w:val="24"/>
          <w:lang w:eastAsia="zh-CN"/>
        </w:rPr>
        <w:t>2012; </w:t>
      </w:r>
      <w:r w:rsidRPr="0075280E">
        <w:rPr>
          <w:rFonts w:eastAsia="SimSun" w:cs="SimSun"/>
          <w:b/>
          <w:bCs/>
          <w:szCs w:val="24"/>
          <w:lang w:eastAsia="zh-CN"/>
        </w:rPr>
        <w:t>7</w:t>
      </w:r>
      <w:r w:rsidRPr="0075280E">
        <w:rPr>
          <w:rFonts w:eastAsia="SimSun" w:cs="SimSun"/>
          <w:szCs w:val="24"/>
          <w:lang w:eastAsia="zh-CN"/>
        </w:rPr>
        <w:t>: e41797 [PMID: 22848611 DOI: 10.1371/journal.pone.0041797]</w:t>
      </w:r>
    </w:p>
    <w:p w:rsidR="00E36671" w:rsidRPr="0075280E" w:rsidRDefault="00E36671" w:rsidP="00E36671">
      <w:pPr>
        <w:spacing w:after="0"/>
        <w:rPr>
          <w:rFonts w:eastAsia="SimSun" w:cs="SimSun"/>
          <w:szCs w:val="24"/>
          <w:lang w:eastAsia="zh-CN"/>
        </w:rPr>
      </w:pPr>
      <w:r w:rsidRPr="00CA640C">
        <w:rPr>
          <w:rFonts w:eastAsia="SimSun" w:cs="SimSun"/>
          <w:szCs w:val="24"/>
          <w:lang w:val="de-DE" w:eastAsia="zh-CN"/>
        </w:rPr>
        <w:lastRenderedPageBreak/>
        <w:t>49 </w:t>
      </w:r>
      <w:r w:rsidRPr="00CA640C">
        <w:rPr>
          <w:rFonts w:eastAsia="SimSun" w:cs="SimSun"/>
          <w:b/>
          <w:bCs/>
          <w:szCs w:val="24"/>
          <w:lang w:val="de-DE" w:eastAsia="zh-CN"/>
        </w:rPr>
        <w:t>Agnholt J</w:t>
      </w:r>
      <w:r w:rsidRPr="00CA640C">
        <w:rPr>
          <w:rFonts w:eastAsia="SimSun" w:cs="SimSun"/>
          <w:szCs w:val="24"/>
          <w:lang w:val="de-DE" w:eastAsia="zh-CN"/>
        </w:rPr>
        <w:t xml:space="preserve">, Kelsen J, Brandsborg B, Jakobsen NO, Dahlerup JF. </w:t>
      </w:r>
      <w:r w:rsidRPr="0075280E">
        <w:rPr>
          <w:rFonts w:eastAsia="SimSun" w:cs="SimSun"/>
          <w:szCs w:val="24"/>
          <w:lang w:eastAsia="zh-CN"/>
        </w:rPr>
        <w:t>Increased production of granulocyte-macrophage colony-stimulating factor in Crohn's disease--a possible target for infliximab treatment. </w:t>
      </w:r>
      <w:r w:rsidRPr="0075280E">
        <w:rPr>
          <w:rFonts w:eastAsia="SimSun" w:cs="SimSun"/>
          <w:i/>
          <w:iCs/>
          <w:szCs w:val="24"/>
          <w:lang w:eastAsia="zh-CN"/>
        </w:rPr>
        <w:t>Eur J Gastroenterol Hepatol</w:t>
      </w:r>
      <w:r w:rsidRPr="0075280E">
        <w:rPr>
          <w:rFonts w:eastAsia="SimSun" w:cs="SimSun"/>
          <w:szCs w:val="24"/>
          <w:lang w:eastAsia="zh-CN"/>
        </w:rPr>
        <w:t> 2004; </w:t>
      </w:r>
      <w:r w:rsidRPr="0075280E">
        <w:rPr>
          <w:rFonts w:eastAsia="SimSun" w:cs="SimSun"/>
          <w:b/>
          <w:bCs/>
          <w:szCs w:val="24"/>
          <w:lang w:eastAsia="zh-CN"/>
        </w:rPr>
        <w:t>16</w:t>
      </w:r>
      <w:r w:rsidRPr="0075280E">
        <w:rPr>
          <w:rFonts w:eastAsia="SimSun" w:cs="SimSun"/>
          <w:szCs w:val="24"/>
          <w:lang w:eastAsia="zh-CN"/>
        </w:rPr>
        <w:t>: 649-655 [PMID: 15201577]</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50 </w:t>
      </w:r>
      <w:r w:rsidRPr="0075280E">
        <w:rPr>
          <w:rFonts w:eastAsia="SimSun" w:cs="SimSun"/>
          <w:b/>
          <w:bCs/>
          <w:szCs w:val="24"/>
          <w:lang w:eastAsia="zh-CN"/>
        </w:rPr>
        <w:t>Nesbitt A</w:t>
      </w:r>
      <w:r w:rsidRPr="0075280E">
        <w:rPr>
          <w:rFonts w:eastAsia="SimSun" w:cs="SimSun"/>
          <w:szCs w:val="24"/>
          <w:lang w:eastAsia="zh-CN"/>
        </w:rPr>
        <w:t>, Fossati G, Bergin M, Stephens P, Stephens S, Foulkes R, Brown D, Robinson M, Bourne T. Mechanism of action of certolizumab pegol (CDP870): in vitro comparison with other anti-tumor necrosis factor alpha agents. </w:t>
      </w:r>
      <w:r w:rsidRPr="0075280E">
        <w:rPr>
          <w:rFonts w:eastAsia="SimSun" w:cs="SimSun"/>
          <w:i/>
          <w:iCs/>
          <w:szCs w:val="24"/>
          <w:lang w:eastAsia="zh-CN"/>
        </w:rPr>
        <w:t>Inflamm Bowel Dis</w:t>
      </w:r>
      <w:r w:rsidRPr="0075280E">
        <w:rPr>
          <w:rFonts w:eastAsia="SimSun" w:cs="SimSun"/>
          <w:szCs w:val="24"/>
          <w:lang w:eastAsia="zh-CN"/>
        </w:rPr>
        <w:t> 2007; </w:t>
      </w:r>
      <w:r w:rsidRPr="0075280E">
        <w:rPr>
          <w:rFonts w:eastAsia="SimSun" w:cs="SimSun"/>
          <w:b/>
          <w:bCs/>
          <w:szCs w:val="24"/>
          <w:lang w:eastAsia="zh-CN"/>
        </w:rPr>
        <w:t>13</w:t>
      </w:r>
      <w:r w:rsidRPr="0075280E">
        <w:rPr>
          <w:rFonts w:eastAsia="SimSun" w:cs="SimSun"/>
          <w:szCs w:val="24"/>
          <w:lang w:eastAsia="zh-CN"/>
        </w:rPr>
        <w:t>: 1323-1332 [PMID: 17636564 DOI: 10.1002/ibd.20225]</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51 </w:t>
      </w:r>
      <w:r w:rsidRPr="0075280E">
        <w:rPr>
          <w:rFonts w:eastAsia="SimSun" w:cs="SimSun"/>
          <w:b/>
          <w:bCs/>
          <w:szCs w:val="24"/>
          <w:lang w:eastAsia="zh-CN"/>
        </w:rPr>
        <w:t>Dahlén R</w:t>
      </w:r>
      <w:r w:rsidRPr="0075280E">
        <w:rPr>
          <w:rFonts w:eastAsia="SimSun" w:cs="SimSun"/>
          <w:szCs w:val="24"/>
          <w:lang w:eastAsia="zh-CN"/>
        </w:rPr>
        <w:t>, Strid H, Lundgren A, Isaksson S, Raghavan S, Magnusson MK, Simrén M, Sjövall H, Öhman L. Infliximab inhibits activation and effector functions of peripheral blood T cells in vitro from patients with clinically active ulcerative colitis. </w:t>
      </w:r>
      <w:r w:rsidRPr="0075280E">
        <w:rPr>
          <w:rFonts w:eastAsia="SimSun" w:cs="SimSun"/>
          <w:i/>
          <w:iCs/>
          <w:szCs w:val="24"/>
          <w:lang w:eastAsia="zh-CN"/>
        </w:rPr>
        <w:t>Scand J Immunol</w:t>
      </w:r>
      <w:r w:rsidRPr="0075280E">
        <w:rPr>
          <w:rFonts w:eastAsia="SimSun" w:cs="SimSun"/>
          <w:szCs w:val="24"/>
          <w:lang w:eastAsia="zh-CN"/>
        </w:rPr>
        <w:t> 2013; </w:t>
      </w:r>
      <w:r w:rsidRPr="0075280E">
        <w:rPr>
          <w:rFonts w:eastAsia="SimSun" w:cs="SimSun"/>
          <w:b/>
          <w:bCs/>
          <w:szCs w:val="24"/>
          <w:lang w:eastAsia="zh-CN"/>
        </w:rPr>
        <w:t>78</w:t>
      </w:r>
      <w:r w:rsidRPr="0075280E">
        <w:rPr>
          <w:rFonts w:eastAsia="SimSun" w:cs="SimSun"/>
          <w:szCs w:val="24"/>
          <w:lang w:eastAsia="zh-CN"/>
        </w:rPr>
        <w:t>: 275-284 [PMID: 23713660 DOI: 10.1111/sji.12081]</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52 </w:t>
      </w:r>
      <w:r w:rsidRPr="0075280E">
        <w:rPr>
          <w:rFonts w:eastAsia="SimSun" w:cs="SimSun"/>
          <w:b/>
          <w:bCs/>
          <w:szCs w:val="24"/>
          <w:lang w:eastAsia="zh-CN"/>
        </w:rPr>
        <w:t>Ringheanu M</w:t>
      </w:r>
      <w:r w:rsidRPr="0075280E">
        <w:rPr>
          <w:rFonts w:eastAsia="SimSun" w:cs="SimSun"/>
          <w:szCs w:val="24"/>
          <w:lang w:eastAsia="zh-CN"/>
        </w:rPr>
        <w:t>, Daum F, Markowitz J, Levine J, Katz S, Lin X, Silver J. Effects of infliximab on apoptosis and reverse signaling of monocytes from healthy individuals and patients with Crohn's disease. </w:t>
      </w:r>
      <w:r w:rsidRPr="0075280E">
        <w:rPr>
          <w:rFonts w:eastAsia="SimSun" w:cs="SimSun"/>
          <w:i/>
          <w:iCs/>
          <w:szCs w:val="24"/>
          <w:lang w:eastAsia="zh-CN"/>
        </w:rPr>
        <w:t>Inflamm Bowel Dis</w:t>
      </w:r>
      <w:r w:rsidRPr="0075280E">
        <w:rPr>
          <w:rFonts w:eastAsia="SimSun" w:cs="SimSun"/>
          <w:szCs w:val="24"/>
          <w:lang w:eastAsia="zh-CN"/>
        </w:rPr>
        <w:t> 2004; </w:t>
      </w:r>
      <w:r w:rsidRPr="0075280E">
        <w:rPr>
          <w:rFonts w:eastAsia="SimSun" w:cs="SimSun"/>
          <w:b/>
          <w:bCs/>
          <w:szCs w:val="24"/>
          <w:lang w:eastAsia="zh-CN"/>
        </w:rPr>
        <w:t>10</w:t>
      </w:r>
      <w:r w:rsidRPr="0075280E">
        <w:rPr>
          <w:rFonts w:eastAsia="SimSun" w:cs="SimSun"/>
          <w:szCs w:val="24"/>
          <w:lang w:eastAsia="zh-CN"/>
        </w:rPr>
        <w:t>: 801-810 [PMID: 15626899]</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53 </w:t>
      </w:r>
      <w:r w:rsidRPr="0075280E">
        <w:rPr>
          <w:rFonts w:eastAsia="SimSun" w:cs="SimSun"/>
          <w:b/>
          <w:bCs/>
          <w:szCs w:val="24"/>
          <w:lang w:eastAsia="zh-CN"/>
        </w:rPr>
        <w:t>Shen C</w:t>
      </w:r>
      <w:r w:rsidRPr="0075280E">
        <w:rPr>
          <w:rFonts w:eastAsia="SimSun" w:cs="SimSun"/>
          <w:szCs w:val="24"/>
          <w:lang w:eastAsia="zh-CN"/>
        </w:rPr>
        <w:t>, Assche GV, Colpaert S, Maerten P, Geboes K, Rutgeerts P, Ceuppens JL. Adalimumab induces apoptosis of human monocytes: a comparative study with infliximab and etanercept. </w:t>
      </w:r>
      <w:r w:rsidRPr="0075280E">
        <w:rPr>
          <w:rFonts w:eastAsia="SimSun" w:cs="SimSun"/>
          <w:i/>
          <w:iCs/>
          <w:szCs w:val="24"/>
          <w:lang w:eastAsia="zh-CN"/>
        </w:rPr>
        <w:t>Aliment Pharmacol Ther</w:t>
      </w:r>
      <w:r>
        <w:rPr>
          <w:rFonts w:eastAsia="SimSun" w:cs="SimSun" w:hint="eastAsia"/>
          <w:szCs w:val="24"/>
          <w:lang w:eastAsia="zh-CN"/>
        </w:rPr>
        <w:t xml:space="preserve"> </w:t>
      </w:r>
      <w:r w:rsidRPr="0075280E">
        <w:rPr>
          <w:rFonts w:eastAsia="SimSun" w:cs="SimSun"/>
          <w:szCs w:val="24"/>
          <w:lang w:eastAsia="zh-CN"/>
        </w:rPr>
        <w:t>2005;</w:t>
      </w:r>
      <w:r>
        <w:rPr>
          <w:rFonts w:eastAsia="SimSun" w:cs="SimSun" w:hint="eastAsia"/>
          <w:szCs w:val="24"/>
          <w:lang w:eastAsia="zh-CN"/>
        </w:rPr>
        <w:t xml:space="preserve"> </w:t>
      </w:r>
      <w:r w:rsidRPr="0075280E">
        <w:rPr>
          <w:rFonts w:eastAsia="SimSun" w:cs="SimSun"/>
          <w:b/>
          <w:bCs/>
          <w:szCs w:val="24"/>
          <w:lang w:eastAsia="zh-CN"/>
        </w:rPr>
        <w:t>21</w:t>
      </w:r>
      <w:r w:rsidRPr="0075280E">
        <w:rPr>
          <w:rFonts w:eastAsia="SimSun" w:cs="SimSun"/>
          <w:szCs w:val="24"/>
          <w:lang w:eastAsia="zh-CN"/>
        </w:rPr>
        <w:t>: 251-258 [PMID: 15691299 DOI: 10.1111/j.1365-2036.2005.02309.x]</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54 </w:t>
      </w:r>
      <w:r w:rsidRPr="0075280E">
        <w:rPr>
          <w:rFonts w:eastAsia="SimSun" w:cs="SimSun"/>
          <w:b/>
          <w:bCs/>
          <w:szCs w:val="24"/>
          <w:lang w:eastAsia="zh-CN"/>
        </w:rPr>
        <w:t>Leal RF</w:t>
      </w:r>
      <w:r w:rsidRPr="0075280E">
        <w:rPr>
          <w:rFonts w:eastAsia="SimSun" w:cs="SimSun"/>
          <w:szCs w:val="24"/>
          <w:lang w:eastAsia="zh-CN"/>
        </w:rPr>
        <w:t>, Planell N, Kajekar R, Lozano JJ, Ordás I, Dotti I, Esteller M, Masamunt MC, Parmar H, Ricart E, Panés J, Salas A. Identification of inflammatory mediators in patients with Crohn's disease unresponsive to anti-TNFα therapy. </w:t>
      </w:r>
      <w:r w:rsidRPr="0075280E">
        <w:rPr>
          <w:rFonts w:eastAsia="SimSun" w:cs="SimSun"/>
          <w:i/>
          <w:iCs/>
          <w:szCs w:val="24"/>
          <w:lang w:eastAsia="zh-CN"/>
        </w:rPr>
        <w:t>Gut</w:t>
      </w:r>
      <w:r w:rsidRPr="0075280E">
        <w:rPr>
          <w:rFonts w:eastAsia="SimSun" w:cs="SimSun"/>
          <w:szCs w:val="24"/>
          <w:lang w:eastAsia="zh-CN"/>
        </w:rPr>
        <w:t> 2015; </w:t>
      </w:r>
      <w:r w:rsidRPr="0075280E">
        <w:rPr>
          <w:rFonts w:eastAsia="SimSun" w:cs="SimSun"/>
          <w:b/>
          <w:bCs/>
          <w:szCs w:val="24"/>
          <w:lang w:eastAsia="zh-CN"/>
        </w:rPr>
        <w:t>64</w:t>
      </w:r>
      <w:r w:rsidRPr="0075280E">
        <w:rPr>
          <w:rFonts w:eastAsia="SimSun" w:cs="SimSun"/>
          <w:szCs w:val="24"/>
          <w:lang w:eastAsia="zh-CN"/>
        </w:rPr>
        <w:t>: 233-242 [PMID: 24700437 DOI: 10.1136/gutjnl-2013-306518]</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55 </w:t>
      </w:r>
      <w:r w:rsidRPr="0075280E">
        <w:rPr>
          <w:rFonts w:eastAsia="SimSun" w:cs="SimSun"/>
          <w:b/>
          <w:bCs/>
          <w:szCs w:val="24"/>
          <w:lang w:eastAsia="zh-CN"/>
        </w:rPr>
        <w:t>Katz LH</w:t>
      </w:r>
      <w:r w:rsidRPr="0075280E">
        <w:rPr>
          <w:rFonts w:eastAsia="SimSun" w:cs="SimSun"/>
          <w:szCs w:val="24"/>
          <w:lang w:eastAsia="zh-CN"/>
        </w:rPr>
        <w:t>, Kopylov U, Fudim E, Yavzori M, Picard O, Ungar B, Eliakim R, Ben-Horin S, Chowers Y. Expression of IL-2, IL-17 and TNF-alpha in patients with Crohn's disease treated with anti-TNF antibodies. </w:t>
      </w:r>
      <w:r w:rsidRPr="0075280E">
        <w:rPr>
          <w:rFonts w:eastAsia="SimSun" w:cs="SimSun"/>
          <w:i/>
          <w:iCs/>
          <w:szCs w:val="24"/>
          <w:lang w:eastAsia="zh-CN"/>
        </w:rPr>
        <w:t>Clin Res Hepatol Gastroenterol</w:t>
      </w:r>
      <w:r>
        <w:rPr>
          <w:rFonts w:eastAsia="SimSun" w:cs="SimSun" w:hint="eastAsia"/>
          <w:szCs w:val="24"/>
          <w:lang w:eastAsia="zh-CN"/>
        </w:rPr>
        <w:t xml:space="preserve"> </w:t>
      </w:r>
      <w:r w:rsidRPr="0075280E">
        <w:rPr>
          <w:rFonts w:eastAsia="SimSun" w:cs="SimSun"/>
          <w:szCs w:val="24"/>
          <w:lang w:eastAsia="zh-CN"/>
        </w:rPr>
        <w:t>2014; </w:t>
      </w:r>
      <w:r w:rsidRPr="0075280E">
        <w:rPr>
          <w:rFonts w:eastAsia="SimSun" w:cs="SimSun"/>
          <w:b/>
          <w:bCs/>
          <w:szCs w:val="24"/>
          <w:lang w:eastAsia="zh-CN"/>
        </w:rPr>
        <w:t>38</w:t>
      </w:r>
      <w:r w:rsidRPr="0075280E">
        <w:rPr>
          <w:rFonts w:eastAsia="SimSun" w:cs="SimSun"/>
          <w:szCs w:val="24"/>
          <w:lang w:eastAsia="zh-CN"/>
        </w:rPr>
        <w:t>: 491-498 [PMID: 24613656 DOI: 10.1016/j.clinre.2014.01.010]</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56 </w:t>
      </w:r>
      <w:r w:rsidRPr="0075280E">
        <w:rPr>
          <w:rFonts w:eastAsia="SimSun" w:cs="SimSun"/>
          <w:b/>
          <w:bCs/>
          <w:szCs w:val="24"/>
          <w:lang w:eastAsia="zh-CN"/>
        </w:rPr>
        <w:t>Li Z</w:t>
      </w:r>
      <w:r w:rsidRPr="0075280E">
        <w:rPr>
          <w:rFonts w:eastAsia="SimSun" w:cs="SimSun"/>
          <w:szCs w:val="24"/>
          <w:lang w:eastAsia="zh-CN"/>
        </w:rPr>
        <w:t xml:space="preserve">, Arijs I, De Hertogh G, Vermeire S, Noman M, Bullens D, Coorevits L, Sagaert X, Schuit F, Rutgeerts P, Ceuppens JL, Van Assche G. Reciprocal changes of Foxp3 expression in blood and intestinal mucosa in IBD patients responding to </w:t>
      </w:r>
      <w:r w:rsidRPr="0075280E">
        <w:rPr>
          <w:rFonts w:eastAsia="SimSun" w:cs="SimSun"/>
          <w:szCs w:val="24"/>
          <w:lang w:eastAsia="zh-CN"/>
        </w:rPr>
        <w:lastRenderedPageBreak/>
        <w:t>infliximab. </w:t>
      </w:r>
      <w:r w:rsidRPr="0075280E">
        <w:rPr>
          <w:rFonts w:eastAsia="SimSun" w:cs="SimSun"/>
          <w:i/>
          <w:iCs/>
          <w:szCs w:val="24"/>
          <w:lang w:eastAsia="zh-CN"/>
        </w:rPr>
        <w:t>Inflamm Bowel Dis</w:t>
      </w:r>
      <w:r w:rsidRPr="0075280E">
        <w:rPr>
          <w:rFonts w:eastAsia="SimSun" w:cs="SimSun"/>
          <w:szCs w:val="24"/>
          <w:lang w:eastAsia="zh-CN"/>
        </w:rPr>
        <w:t> 2010; </w:t>
      </w:r>
      <w:r w:rsidRPr="0075280E">
        <w:rPr>
          <w:rFonts w:eastAsia="SimSun" w:cs="SimSun"/>
          <w:b/>
          <w:bCs/>
          <w:szCs w:val="24"/>
          <w:lang w:eastAsia="zh-CN"/>
        </w:rPr>
        <w:t>16</w:t>
      </w:r>
      <w:r w:rsidRPr="0075280E">
        <w:rPr>
          <w:rFonts w:eastAsia="SimSun" w:cs="SimSun"/>
          <w:szCs w:val="24"/>
          <w:lang w:eastAsia="zh-CN"/>
        </w:rPr>
        <w:t>: 1299-1310 [PMID: 20196149 DOI: 10.1002/ibd.21229]</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57 </w:t>
      </w:r>
      <w:r w:rsidRPr="0075280E">
        <w:rPr>
          <w:rFonts w:eastAsia="SimSun" w:cs="SimSun"/>
          <w:b/>
          <w:bCs/>
          <w:szCs w:val="24"/>
          <w:lang w:eastAsia="zh-CN"/>
        </w:rPr>
        <w:t>Baert FJ</w:t>
      </w:r>
      <w:r w:rsidRPr="0075280E">
        <w:rPr>
          <w:rFonts w:eastAsia="SimSun" w:cs="SimSun"/>
          <w:szCs w:val="24"/>
          <w:lang w:eastAsia="zh-CN"/>
        </w:rPr>
        <w:t>, D'Haens GR, Peeters M, Hiele MI, Schaible TF, Shealy D, Geboes K, Rutgeerts PJ. Tumor necrosis factor alpha antibody (infliximab) therapy profoundly down-regulates the inflammation in Crohn's ileocolitis.</w:t>
      </w:r>
      <w:r>
        <w:rPr>
          <w:rFonts w:eastAsia="SimSun" w:cs="SimSun" w:hint="eastAsia"/>
          <w:szCs w:val="24"/>
          <w:lang w:eastAsia="zh-CN"/>
        </w:rPr>
        <w:t xml:space="preserve"> </w:t>
      </w:r>
      <w:r w:rsidRPr="0075280E">
        <w:rPr>
          <w:rFonts w:eastAsia="SimSun" w:cs="SimSun"/>
          <w:i/>
          <w:iCs/>
          <w:szCs w:val="24"/>
          <w:lang w:eastAsia="zh-CN"/>
        </w:rPr>
        <w:t>Gastroenterology</w:t>
      </w:r>
      <w:r>
        <w:rPr>
          <w:rFonts w:eastAsia="SimSun" w:cs="SimSun" w:hint="eastAsia"/>
          <w:szCs w:val="24"/>
          <w:lang w:eastAsia="zh-CN"/>
        </w:rPr>
        <w:t xml:space="preserve"> </w:t>
      </w:r>
      <w:r w:rsidRPr="0075280E">
        <w:rPr>
          <w:rFonts w:eastAsia="SimSun" w:cs="SimSun"/>
          <w:szCs w:val="24"/>
          <w:lang w:eastAsia="zh-CN"/>
        </w:rPr>
        <w:t>1999; </w:t>
      </w:r>
      <w:r w:rsidRPr="0075280E">
        <w:rPr>
          <w:rFonts w:eastAsia="SimSun" w:cs="SimSun"/>
          <w:b/>
          <w:bCs/>
          <w:szCs w:val="24"/>
          <w:lang w:eastAsia="zh-CN"/>
        </w:rPr>
        <w:t>116</w:t>
      </w:r>
      <w:r w:rsidRPr="0075280E">
        <w:rPr>
          <w:rFonts w:eastAsia="SimSun" w:cs="SimSun"/>
          <w:szCs w:val="24"/>
          <w:lang w:eastAsia="zh-CN"/>
        </w:rPr>
        <w:t>: 22-28 [PMID: 9869598]</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58 </w:t>
      </w:r>
      <w:r w:rsidRPr="0075280E">
        <w:rPr>
          <w:rFonts w:eastAsia="SimSun" w:cs="SimSun"/>
          <w:b/>
          <w:bCs/>
          <w:szCs w:val="24"/>
          <w:lang w:eastAsia="zh-CN"/>
        </w:rPr>
        <w:t>Olsen T</w:t>
      </w:r>
      <w:r w:rsidRPr="0075280E">
        <w:rPr>
          <w:rFonts w:eastAsia="SimSun" w:cs="SimSun"/>
          <w:szCs w:val="24"/>
          <w:lang w:eastAsia="zh-CN"/>
        </w:rPr>
        <w:t>, Cui G, Goll R, Husebekk A, Florholmen J. Infliximab therapy decreases the levels of TNF-alpha and IFN-gamma mRNA in colonic mucosa of ulcerative colitis. </w:t>
      </w:r>
      <w:r w:rsidRPr="0075280E">
        <w:rPr>
          <w:rFonts w:eastAsia="SimSun" w:cs="SimSun"/>
          <w:i/>
          <w:iCs/>
          <w:szCs w:val="24"/>
          <w:lang w:eastAsia="zh-CN"/>
        </w:rPr>
        <w:t>Scand J Gastroenterol</w:t>
      </w:r>
      <w:r w:rsidRPr="0075280E">
        <w:rPr>
          <w:rFonts w:eastAsia="SimSun" w:cs="SimSun"/>
          <w:szCs w:val="24"/>
          <w:lang w:eastAsia="zh-CN"/>
        </w:rPr>
        <w:t> 2009; </w:t>
      </w:r>
      <w:r w:rsidRPr="0075280E">
        <w:rPr>
          <w:rFonts w:eastAsia="SimSun" w:cs="SimSun"/>
          <w:b/>
          <w:bCs/>
          <w:szCs w:val="24"/>
          <w:lang w:eastAsia="zh-CN"/>
        </w:rPr>
        <w:t>44</w:t>
      </w:r>
      <w:r w:rsidRPr="0075280E">
        <w:rPr>
          <w:rFonts w:eastAsia="SimSun" w:cs="SimSun"/>
          <w:szCs w:val="24"/>
          <w:lang w:eastAsia="zh-CN"/>
        </w:rPr>
        <w:t>: 727-735 [PMID: 19294580 DOI: 10.1080/00365520902803507]</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59 </w:t>
      </w:r>
      <w:r w:rsidRPr="0075280E">
        <w:rPr>
          <w:rFonts w:eastAsia="SimSun" w:cs="SimSun"/>
          <w:b/>
          <w:bCs/>
          <w:szCs w:val="24"/>
          <w:lang w:eastAsia="zh-CN"/>
        </w:rPr>
        <w:t>Maggi L</w:t>
      </w:r>
      <w:r w:rsidRPr="0075280E">
        <w:rPr>
          <w:rFonts w:eastAsia="SimSun" w:cs="SimSun"/>
          <w:szCs w:val="24"/>
          <w:lang w:eastAsia="zh-CN"/>
        </w:rPr>
        <w:t>, Capone M, Giudici F, Santarlasci V, Querci V, Liotta F, Ficari F, Maggi E, Tonelli F, Annunziato F, Cosmi L. CD4+CD161+ T lymphocytes infiltrate Crohn's disease-associated perianal fistulas and are reduced by anti-TNF-α local therapy. </w:t>
      </w:r>
      <w:r w:rsidRPr="0075280E">
        <w:rPr>
          <w:rFonts w:eastAsia="SimSun" w:cs="SimSun"/>
          <w:i/>
          <w:iCs/>
          <w:szCs w:val="24"/>
          <w:lang w:eastAsia="zh-CN"/>
        </w:rPr>
        <w:t>Int Arch Allergy Immunol</w:t>
      </w:r>
      <w:r w:rsidRPr="0075280E">
        <w:rPr>
          <w:rFonts w:eastAsia="SimSun" w:cs="SimSun"/>
          <w:szCs w:val="24"/>
          <w:lang w:eastAsia="zh-CN"/>
        </w:rPr>
        <w:t> 2013; </w:t>
      </w:r>
      <w:r w:rsidRPr="0075280E">
        <w:rPr>
          <w:rFonts w:eastAsia="SimSun" w:cs="SimSun"/>
          <w:b/>
          <w:bCs/>
          <w:szCs w:val="24"/>
          <w:lang w:eastAsia="zh-CN"/>
        </w:rPr>
        <w:t>161</w:t>
      </w:r>
      <w:r w:rsidRPr="0075280E">
        <w:rPr>
          <w:rFonts w:eastAsia="SimSun" w:cs="SimSun"/>
          <w:szCs w:val="24"/>
          <w:lang w:eastAsia="zh-CN"/>
        </w:rPr>
        <w:t>: 81-86 [PMID: 23257766 DOI: 10.1159/000343467]</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60 </w:t>
      </w:r>
      <w:r w:rsidRPr="0075280E">
        <w:rPr>
          <w:rFonts w:eastAsia="SimSun" w:cs="SimSun"/>
          <w:b/>
          <w:bCs/>
          <w:szCs w:val="24"/>
          <w:lang w:eastAsia="zh-CN"/>
        </w:rPr>
        <w:t>Liu C</w:t>
      </w:r>
      <w:r w:rsidRPr="0075280E">
        <w:rPr>
          <w:rFonts w:eastAsia="SimSun" w:cs="SimSun"/>
          <w:szCs w:val="24"/>
          <w:lang w:eastAsia="zh-CN"/>
        </w:rPr>
        <w:t>, Xia X, Wu W, Wu R, Tang M, Chen T, Xu F, Cong Y, Xu X, Liu Z. Anti-tumour necrosis factor therapy enhances mucosal healing through down-regulation of interleukin-21 expression and T helper type 17 cell infiltration in Crohn's disease. </w:t>
      </w:r>
      <w:r w:rsidRPr="0075280E">
        <w:rPr>
          <w:rFonts w:eastAsia="SimSun" w:cs="SimSun"/>
          <w:i/>
          <w:iCs/>
          <w:szCs w:val="24"/>
          <w:lang w:eastAsia="zh-CN"/>
        </w:rPr>
        <w:t>Clin Exp Immunol</w:t>
      </w:r>
      <w:r w:rsidRPr="0075280E">
        <w:rPr>
          <w:rFonts w:eastAsia="SimSun" w:cs="SimSun"/>
          <w:szCs w:val="24"/>
          <w:lang w:eastAsia="zh-CN"/>
        </w:rPr>
        <w:t> 2013; </w:t>
      </w:r>
      <w:r w:rsidRPr="0075280E">
        <w:rPr>
          <w:rFonts w:eastAsia="SimSun" w:cs="SimSun"/>
          <w:b/>
          <w:bCs/>
          <w:szCs w:val="24"/>
          <w:lang w:eastAsia="zh-CN"/>
        </w:rPr>
        <w:t>173</w:t>
      </w:r>
      <w:r w:rsidRPr="0075280E">
        <w:rPr>
          <w:rFonts w:eastAsia="SimSun" w:cs="SimSun"/>
          <w:szCs w:val="24"/>
          <w:lang w:eastAsia="zh-CN"/>
        </w:rPr>
        <w:t>: 102-111 [PMID: 23607532 DOI: 10.1111/cei.12084]</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61 </w:t>
      </w:r>
      <w:r w:rsidRPr="0075280E">
        <w:rPr>
          <w:rFonts w:eastAsia="SimSun" w:cs="SimSun"/>
          <w:b/>
          <w:bCs/>
          <w:szCs w:val="24"/>
          <w:lang w:eastAsia="zh-CN"/>
        </w:rPr>
        <w:t>Fischer A</w:t>
      </w:r>
      <w:r w:rsidRPr="0075280E">
        <w:rPr>
          <w:rFonts w:eastAsia="SimSun" w:cs="SimSun"/>
          <w:szCs w:val="24"/>
          <w:lang w:eastAsia="zh-CN"/>
        </w:rPr>
        <w:t>, Gluth M, Pape UF, Wiedenmann B, Theuring F, Baumgart DC. Adalimumab prevents barrier dysfunction and antagonizes distinct effects of TNF-α on tight junction proteins and signaling pathways in intestinal epithelial cells. </w:t>
      </w:r>
      <w:r w:rsidRPr="0075280E">
        <w:rPr>
          <w:rFonts w:eastAsia="SimSun" w:cs="SimSun"/>
          <w:i/>
          <w:iCs/>
          <w:szCs w:val="24"/>
          <w:lang w:eastAsia="zh-CN"/>
        </w:rPr>
        <w:t>Am J Physiol Gastrointest Liver Physiol</w:t>
      </w:r>
      <w:r w:rsidRPr="0075280E">
        <w:rPr>
          <w:rFonts w:eastAsia="SimSun" w:cs="SimSun"/>
          <w:szCs w:val="24"/>
          <w:lang w:eastAsia="zh-CN"/>
        </w:rPr>
        <w:t> 2013; </w:t>
      </w:r>
      <w:r w:rsidRPr="0075280E">
        <w:rPr>
          <w:rFonts w:eastAsia="SimSun" w:cs="SimSun"/>
          <w:b/>
          <w:bCs/>
          <w:szCs w:val="24"/>
          <w:lang w:eastAsia="zh-CN"/>
        </w:rPr>
        <w:t>304</w:t>
      </w:r>
      <w:r w:rsidRPr="0075280E">
        <w:rPr>
          <w:rFonts w:eastAsia="SimSun" w:cs="SimSun"/>
          <w:szCs w:val="24"/>
          <w:lang w:eastAsia="zh-CN"/>
        </w:rPr>
        <w:t>: G970-G979 [PMID: 23538493 DOI: 10.1152/ajpgi.00183.2012]</w:t>
      </w:r>
    </w:p>
    <w:p w:rsidR="00E36671" w:rsidRPr="0075280E" w:rsidRDefault="00E36671" w:rsidP="00E36671">
      <w:pPr>
        <w:spacing w:after="0"/>
        <w:rPr>
          <w:rFonts w:eastAsia="SimSun" w:cs="SimSun"/>
          <w:szCs w:val="24"/>
          <w:lang w:eastAsia="zh-CN"/>
        </w:rPr>
      </w:pPr>
      <w:r w:rsidRPr="00C2680A">
        <w:rPr>
          <w:rFonts w:eastAsia="SimSun" w:cs="SimSun"/>
          <w:szCs w:val="24"/>
          <w:lang w:val="de-DE" w:eastAsia="zh-CN"/>
        </w:rPr>
        <w:t>62 </w:t>
      </w:r>
      <w:r w:rsidRPr="00C2680A">
        <w:rPr>
          <w:rFonts w:eastAsia="SimSun" w:cs="SimSun"/>
          <w:b/>
          <w:bCs/>
          <w:szCs w:val="24"/>
          <w:lang w:val="de-DE" w:eastAsia="zh-CN"/>
        </w:rPr>
        <w:t>Zeissig S</w:t>
      </w:r>
      <w:r w:rsidRPr="00C2680A">
        <w:rPr>
          <w:rFonts w:eastAsia="SimSun" w:cs="SimSun"/>
          <w:szCs w:val="24"/>
          <w:lang w:val="de-DE" w:eastAsia="zh-CN"/>
        </w:rPr>
        <w:t xml:space="preserve">, Bojarski C, Buergel N, Mankertz J, Zeitz M, Fromm M, Schulzke JD. </w:t>
      </w:r>
      <w:r w:rsidRPr="0075280E">
        <w:rPr>
          <w:rFonts w:eastAsia="SimSun" w:cs="SimSun"/>
          <w:szCs w:val="24"/>
          <w:lang w:eastAsia="zh-CN"/>
        </w:rPr>
        <w:t>Downregulation of epithelial apoptosis and barrier repair in active Crohn's disease by tumour necrosis factor alpha antibody treatment. </w:t>
      </w:r>
      <w:r w:rsidRPr="0075280E">
        <w:rPr>
          <w:rFonts w:eastAsia="SimSun" w:cs="SimSun"/>
          <w:i/>
          <w:iCs/>
          <w:szCs w:val="24"/>
          <w:lang w:eastAsia="zh-CN"/>
        </w:rPr>
        <w:t>Gut</w:t>
      </w:r>
      <w:r>
        <w:rPr>
          <w:rFonts w:eastAsia="SimSun" w:cs="SimSun" w:hint="eastAsia"/>
          <w:szCs w:val="24"/>
          <w:lang w:eastAsia="zh-CN"/>
        </w:rPr>
        <w:t xml:space="preserve"> </w:t>
      </w:r>
      <w:r w:rsidRPr="0075280E">
        <w:rPr>
          <w:rFonts w:eastAsia="SimSun" w:cs="SimSun"/>
          <w:szCs w:val="24"/>
          <w:lang w:eastAsia="zh-CN"/>
        </w:rPr>
        <w:t>2004;</w:t>
      </w:r>
      <w:r>
        <w:rPr>
          <w:rFonts w:eastAsia="SimSun" w:cs="SimSun" w:hint="eastAsia"/>
          <w:szCs w:val="24"/>
          <w:lang w:eastAsia="zh-CN"/>
        </w:rPr>
        <w:t xml:space="preserve"> </w:t>
      </w:r>
      <w:r w:rsidRPr="0075280E">
        <w:rPr>
          <w:rFonts w:eastAsia="SimSun" w:cs="SimSun"/>
          <w:b/>
          <w:bCs/>
          <w:szCs w:val="24"/>
          <w:lang w:eastAsia="zh-CN"/>
        </w:rPr>
        <w:t>53</w:t>
      </w:r>
      <w:r w:rsidRPr="0075280E">
        <w:rPr>
          <w:rFonts w:eastAsia="SimSun" w:cs="SimSun"/>
          <w:szCs w:val="24"/>
          <w:lang w:eastAsia="zh-CN"/>
        </w:rPr>
        <w:t>:</w:t>
      </w:r>
      <w:r>
        <w:rPr>
          <w:rFonts w:eastAsia="SimSun" w:cs="SimSun" w:hint="eastAsia"/>
          <w:szCs w:val="24"/>
          <w:lang w:eastAsia="zh-CN"/>
        </w:rPr>
        <w:t xml:space="preserve"> </w:t>
      </w:r>
      <w:r w:rsidRPr="0075280E">
        <w:rPr>
          <w:rFonts w:eastAsia="SimSun" w:cs="SimSun"/>
          <w:szCs w:val="24"/>
          <w:lang w:eastAsia="zh-CN"/>
        </w:rPr>
        <w:t>1295-1302 [PMID: 15306588 DOI: 10.1136/gut.2003.036632]</w:t>
      </w:r>
    </w:p>
    <w:p w:rsidR="00E36671" w:rsidRDefault="00E36671" w:rsidP="00E36671">
      <w:pPr>
        <w:spacing w:after="0"/>
        <w:rPr>
          <w:rFonts w:eastAsia="SimSun" w:cs="SimSun"/>
          <w:szCs w:val="24"/>
          <w:lang w:eastAsia="zh-CN"/>
        </w:rPr>
      </w:pPr>
      <w:r>
        <w:rPr>
          <w:rFonts w:eastAsia="SimSun" w:cs="SimSun" w:hint="eastAsia"/>
          <w:szCs w:val="24"/>
          <w:lang w:eastAsia="zh-CN"/>
        </w:rPr>
        <w:t xml:space="preserve">63 </w:t>
      </w:r>
      <w:r w:rsidRPr="001F1FD7">
        <w:rPr>
          <w:rFonts w:eastAsia="SimSun" w:cs="SimSun"/>
          <w:b/>
          <w:szCs w:val="24"/>
          <w:lang w:eastAsia="zh-CN"/>
        </w:rPr>
        <w:t>Danese S</w:t>
      </w:r>
      <w:r w:rsidRPr="001F1FD7">
        <w:rPr>
          <w:rFonts w:eastAsia="SimSun" w:cs="SimSun"/>
          <w:szCs w:val="24"/>
          <w:lang w:eastAsia="zh-CN"/>
        </w:rPr>
        <w:t xml:space="preserve">, Sans M, Scaldaferri F, Sgambato A, Rutella S, Cittadini A, Pique JM, Panes J, Katz JA, Gasbarrini A, Fiocchi C. TNF-alpha blockade down-regulates the CD40/CD40L pathway in the mucosal microcirculation: a novel anti-inflammatory mechanism of infliximab in Crohn's disease. </w:t>
      </w:r>
      <w:r w:rsidRPr="001F1FD7">
        <w:rPr>
          <w:rFonts w:eastAsia="SimSun" w:cs="SimSun"/>
          <w:i/>
          <w:szCs w:val="24"/>
          <w:lang w:eastAsia="zh-CN"/>
        </w:rPr>
        <w:t>J</w:t>
      </w:r>
      <w:r w:rsidRPr="001F1FD7">
        <w:rPr>
          <w:rFonts w:eastAsia="SimSun" w:cs="SimSun" w:hint="eastAsia"/>
          <w:i/>
          <w:szCs w:val="24"/>
          <w:lang w:eastAsia="zh-CN"/>
        </w:rPr>
        <w:t xml:space="preserve"> </w:t>
      </w:r>
      <w:r w:rsidRPr="001F1FD7">
        <w:rPr>
          <w:rFonts w:eastAsia="SimSun" w:cs="SimSun"/>
          <w:i/>
          <w:caps/>
          <w:szCs w:val="24"/>
          <w:lang w:eastAsia="zh-CN"/>
        </w:rPr>
        <w:t>i</w:t>
      </w:r>
      <w:r w:rsidRPr="001F1FD7">
        <w:rPr>
          <w:rFonts w:eastAsia="SimSun" w:cs="SimSun"/>
          <w:i/>
          <w:szCs w:val="24"/>
          <w:lang w:eastAsia="zh-CN"/>
        </w:rPr>
        <w:t>mmunol</w:t>
      </w:r>
      <w:r>
        <w:rPr>
          <w:rFonts w:eastAsia="SimSun" w:cs="SimSun" w:hint="eastAsia"/>
          <w:szCs w:val="24"/>
          <w:lang w:eastAsia="zh-CN"/>
        </w:rPr>
        <w:t xml:space="preserve"> </w:t>
      </w:r>
      <w:r>
        <w:rPr>
          <w:rFonts w:eastAsia="SimSun" w:cs="SimSun"/>
          <w:szCs w:val="24"/>
          <w:lang w:eastAsia="zh-CN"/>
        </w:rPr>
        <w:t xml:space="preserve">2006; </w:t>
      </w:r>
      <w:r w:rsidRPr="001F1FD7">
        <w:rPr>
          <w:rFonts w:eastAsia="SimSun" w:cs="SimSun"/>
          <w:b/>
          <w:szCs w:val="24"/>
          <w:lang w:eastAsia="zh-CN"/>
        </w:rPr>
        <w:t>176</w:t>
      </w:r>
      <w:r w:rsidRPr="001F1FD7">
        <w:rPr>
          <w:rFonts w:eastAsia="SimSun" w:cs="SimSun"/>
          <w:szCs w:val="24"/>
          <w:lang w:eastAsia="zh-CN"/>
        </w:rPr>
        <w:t>: 2617-2624 [PMID: 16456024]</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lastRenderedPageBreak/>
        <w:t>64 </w:t>
      </w:r>
      <w:r w:rsidRPr="0075280E">
        <w:rPr>
          <w:rFonts w:eastAsia="SimSun" w:cs="SimSun"/>
          <w:b/>
          <w:bCs/>
          <w:szCs w:val="24"/>
          <w:lang w:eastAsia="zh-CN"/>
        </w:rPr>
        <w:t>Rutella S</w:t>
      </w:r>
      <w:r w:rsidRPr="0075280E">
        <w:rPr>
          <w:rFonts w:eastAsia="SimSun" w:cs="SimSun"/>
          <w:szCs w:val="24"/>
          <w:lang w:eastAsia="zh-CN"/>
        </w:rPr>
        <w:t>, Fiorino G, Vetrano S, Correale C, Spinelli A, Pagano N, Arena V, Maggiano N, Repici A, Malesci A, Danese S. Infliximab therapy inhibits inflammation-induced angiogenesis in the mucosa of patients with Crohn's disease.</w:t>
      </w:r>
      <w:r>
        <w:rPr>
          <w:rFonts w:eastAsia="SimSun" w:cs="SimSun" w:hint="eastAsia"/>
          <w:szCs w:val="24"/>
          <w:lang w:eastAsia="zh-CN"/>
        </w:rPr>
        <w:t xml:space="preserve"> </w:t>
      </w:r>
      <w:r w:rsidRPr="0075280E">
        <w:rPr>
          <w:rFonts w:eastAsia="SimSun" w:cs="SimSun"/>
          <w:i/>
          <w:iCs/>
          <w:szCs w:val="24"/>
          <w:lang w:eastAsia="zh-CN"/>
        </w:rPr>
        <w:t>Am J Gastroenterol</w:t>
      </w:r>
      <w:r w:rsidRPr="0075280E">
        <w:rPr>
          <w:rFonts w:eastAsia="SimSun" w:cs="SimSun"/>
          <w:szCs w:val="24"/>
          <w:lang w:eastAsia="zh-CN"/>
        </w:rPr>
        <w:t> 2011;</w:t>
      </w:r>
      <w:r>
        <w:rPr>
          <w:rFonts w:eastAsia="SimSun" w:cs="SimSun" w:hint="eastAsia"/>
          <w:szCs w:val="24"/>
          <w:lang w:eastAsia="zh-CN"/>
        </w:rPr>
        <w:t xml:space="preserve"> </w:t>
      </w:r>
      <w:r w:rsidRPr="0075280E">
        <w:rPr>
          <w:rFonts w:eastAsia="SimSun" w:cs="SimSun"/>
          <w:b/>
          <w:bCs/>
          <w:szCs w:val="24"/>
          <w:lang w:eastAsia="zh-CN"/>
        </w:rPr>
        <w:t>106</w:t>
      </w:r>
      <w:r w:rsidRPr="0075280E">
        <w:rPr>
          <w:rFonts w:eastAsia="SimSun" w:cs="SimSun"/>
          <w:szCs w:val="24"/>
          <w:lang w:eastAsia="zh-CN"/>
        </w:rPr>
        <w:t>: 762-770 [PMID: 21364546 DOI: 10.1038/ajg.2011.48]</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65 </w:t>
      </w:r>
      <w:r w:rsidRPr="0075280E">
        <w:rPr>
          <w:rFonts w:eastAsia="SimSun" w:cs="SimSun"/>
          <w:b/>
          <w:bCs/>
          <w:szCs w:val="24"/>
          <w:lang w:eastAsia="zh-CN"/>
        </w:rPr>
        <w:t>Di Sabatino A</w:t>
      </w:r>
      <w:r w:rsidRPr="0075280E">
        <w:rPr>
          <w:rFonts w:eastAsia="SimSun" w:cs="SimSun"/>
          <w:szCs w:val="24"/>
          <w:lang w:eastAsia="zh-CN"/>
        </w:rPr>
        <w:t>, Pender SL, Jackson CL, Prothero JD, Gordon JN, Picariello L, Rovedatti L, Docena G, Monteleone G, Rampton DS, Tonelli F, Corazza GR, MacDonald TT. Functional modulation of Crohn's disease myofibroblasts by anti-tumor necrosis factor antibodies. </w:t>
      </w:r>
      <w:r w:rsidRPr="0075280E">
        <w:rPr>
          <w:rFonts w:eastAsia="SimSun" w:cs="SimSun"/>
          <w:i/>
          <w:iCs/>
          <w:szCs w:val="24"/>
          <w:lang w:eastAsia="zh-CN"/>
        </w:rPr>
        <w:t>Gastroenterology</w:t>
      </w:r>
      <w:r w:rsidRPr="0075280E">
        <w:rPr>
          <w:rFonts w:eastAsia="SimSun" w:cs="SimSun"/>
          <w:szCs w:val="24"/>
          <w:lang w:eastAsia="zh-CN"/>
        </w:rPr>
        <w:t> 2007; </w:t>
      </w:r>
      <w:r w:rsidRPr="0075280E">
        <w:rPr>
          <w:rFonts w:eastAsia="SimSun" w:cs="SimSun"/>
          <w:b/>
          <w:bCs/>
          <w:szCs w:val="24"/>
          <w:lang w:eastAsia="zh-CN"/>
        </w:rPr>
        <w:t>133</w:t>
      </w:r>
      <w:r w:rsidRPr="0075280E">
        <w:rPr>
          <w:rFonts w:eastAsia="SimSun" w:cs="SimSun"/>
          <w:szCs w:val="24"/>
          <w:lang w:eastAsia="zh-CN"/>
        </w:rPr>
        <w:t>: 137-149 [PMID: 17631138 DOI: 10.1053/j.gastro.2007.04.069]</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66 </w:t>
      </w:r>
      <w:r w:rsidRPr="0075280E">
        <w:rPr>
          <w:rFonts w:eastAsia="SimSun" w:cs="SimSun"/>
          <w:b/>
          <w:bCs/>
          <w:szCs w:val="24"/>
          <w:lang w:eastAsia="zh-CN"/>
        </w:rPr>
        <w:t>Vos AC</w:t>
      </w:r>
      <w:r w:rsidRPr="0075280E">
        <w:rPr>
          <w:rFonts w:eastAsia="SimSun" w:cs="SimSun"/>
          <w:szCs w:val="24"/>
          <w:lang w:eastAsia="zh-CN"/>
        </w:rPr>
        <w:t>, Wildenberg ME, Arijs I, Duijvestein M, Verhaar AP, de Hertogh G, Vermeire S, Rutgeerts P, van den Brink GR, Hommes DW. Regulatory macrophages induced by infliximab are involved in healing in vivo and in vitro.</w:t>
      </w:r>
      <w:r>
        <w:rPr>
          <w:rFonts w:eastAsia="SimSun" w:cs="SimSun" w:hint="eastAsia"/>
          <w:szCs w:val="24"/>
          <w:lang w:eastAsia="zh-CN"/>
        </w:rPr>
        <w:t xml:space="preserve"> </w:t>
      </w:r>
      <w:r w:rsidRPr="0075280E">
        <w:rPr>
          <w:rFonts w:eastAsia="SimSun" w:cs="SimSun"/>
          <w:i/>
          <w:iCs/>
          <w:szCs w:val="24"/>
          <w:lang w:eastAsia="zh-CN"/>
        </w:rPr>
        <w:t>Inflamm Bowel Dis</w:t>
      </w:r>
      <w:r w:rsidRPr="0075280E">
        <w:rPr>
          <w:rFonts w:eastAsia="SimSun" w:cs="SimSun"/>
          <w:szCs w:val="24"/>
          <w:lang w:eastAsia="zh-CN"/>
        </w:rPr>
        <w:t> 2012; </w:t>
      </w:r>
      <w:r w:rsidRPr="0075280E">
        <w:rPr>
          <w:rFonts w:eastAsia="SimSun" w:cs="SimSun"/>
          <w:b/>
          <w:bCs/>
          <w:szCs w:val="24"/>
          <w:lang w:eastAsia="zh-CN"/>
        </w:rPr>
        <w:t>18</w:t>
      </w:r>
      <w:r w:rsidRPr="0075280E">
        <w:rPr>
          <w:rFonts w:eastAsia="SimSun" w:cs="SimSun"/>
          <w:szCs w:val="24"/>
          <w:lang w:eastAsia="zh-CN"/>
        </w:rPr>
        <w:t>: 401-408 [PMID: 21936028 DOI: 10.1002/ibd.21818]</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67 </w:t>
      </w:r>
      <w:r w:rsidRPr="0075280E">
        <w:rPr>
          <w:rFonts w:eastAsia="SimSun" w:cs="SimSun"/>
          <w:b/>
          <w:bCs/>
          <w:szCs w:val="24"/>
          <w:lang w:eastAsia="zh-CN"/>
        </w:rPr>
        <w:t>Kirchner S</w:t>
      </w:r>
      <w:r w:rsidRPr="0075280E">
        <w:rPr>
          <w:rFonts w:eastAsia="SimSun" w:cs="SimSun"/>
          <w:szCs w:val="24"/>
          <w:lang w:eastAsia="zh-CN"/>
        </w:rPr>
        <w:t>, Boldt S, Kolch W, Haffner S, Kazak S, Janosch P, Holler E, Andreesen R, Eissner G. LPS resistance in monocytic cells caused by reverse signaling through transmembrane TNF (mTNF) is mediated by the MAPK/ERK pathway. </w:t>
      </w:r>
      <w:r w:rsidRPr="0075280E">
        <w:rPr>
          <w:rFonts w:eastAsia="SimSun" w:cs="SimSun"/>
          <w:i/>
          <w:iCs/>
          <w:szCs w:val="24"/>
          <w:lang w:eastAsia="zh-CN"/>
        </w:rPr>
        <w:t>J Leukoc Biol</w:t>
      </w:r>
      <w:r w:rsidRPr="0075280E">
        <w:rPr>
          <w:rFonts w:eastAsia="SimSun" w:cs="SimSun"/>
          <w:szCs w:val="24"/>
          <w:lang w:eastAsia="zh-CN"/>
        </w:rPr>
        <w:t> 2004; </w:t>
      </w:r>
      <w:r w:rsidRPr="0075280E">
        <w:rPr>
          <w:rFonts w:eastAsia="SimSun" w:cs="SimSun"/>
          <w:b/>
          <w:bCs/>
          <w:szCs w:val="24"/>
          <w:lang w:eastAsia="zh-CN"/>
        </w:rPr>
        <w:t>75</w:t>
      </w:r>
      <w:r w:rsidRPr="0075280E">
        <w:rPr>
          <w:rFonts w:eastAsia="SimSun" w:cs="SimSun"/>
          <w:szCs w:val="24"/>
          <w:lang w:eastAsia="zh-CN"/>
        </w:rPr>
        <w:t>: 324-331 [PMID: 14612430 DOI: 10.1189/jlb.0703343]</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68 </w:t>
      </w:r>
      <w:r w:rsidRPr="0075280E">
        <w:rPr>
          <w:rFonts w:eastAsia="SimSun" w:cs="SimSun"/>
          <w:b/>
          <w:bCs/>
          <w:szCs w:val="24"/>
          <w:lang w:eastAsia="zh-CN"/>
        </w:rPr>
        <w:t>Pallai A</w:t>
      </w:r>
      <w:r w:rsidRPr="0075280E">
        <w:rPr>
          <w:rFonts w:eastAsia="SimSun" w:cs="SimSun"/>
          <w:szCs w:val="24"/>
          <w:lang w:eastAsia="zh-CN"/>
        </w:rPr>
        <w:t>, Kiss B, Vereb G, Armaka M, Kollias G, Szekanecz Z, Szondy Z. Transmembrane TNF-α Reverse Signaling Inhibits Lipopolysaccharide-Induced Proinflammatory Cytokine Formation in Macrophages by Inducing TGF-β: Therapeutic Implications. </w:t>
      </w:r>
      <w:r w:rsidRPr="0075280E">
        <w:rPr>
          <w:rFonts w:eastAsia="SimSun" w:cs="SimSun"/>
          <w:i/>
          <w:iCs/>
          <w:szCs w:val="24"/>
          <w:lang w:eastAsia="zh-CN"/>
        </w:rPr>
        <w:t>J Immunol</w:t>
      </w:r>
      <w:r>
        <w:rPr>
          <w:rFonts w:eastAsia="SimSun" w:cs="SimSun" w:hint="eastAsia"/>
          <w:szCs w:val="24"/>
          <w:lang w:eastAsia="zh-CN"/>
        </w:rPr>
        <w:t xml:space="preserve"> </w:t>
      </w:r>
      <w:r w:rsidRPr="0075280E">
        <w:rPr>
          <w:rFonts w:eastAsia="SimSun" w:cs="SimSun"/>
          <w:szCs w:val="24"/>
          <w:lang w:eastAsia="zh-CN"/>
        </w:rPr>
        <w:t>2016;</w:t>
      </w:r>
      <w:r>
        <w:rPr>
          <w:rFonts w:eastAsia="SimSun" w:cs="SimSun" w:hint="eastAsia"/>
          <w:szCs w:val="24"/>
          <w:lang w:eastAsia="zh-CN"/>
        </w:rPr>
        <w:t xml:space="preserve"> </w:t>
      </w:r>
      <w:r w:rsidRPr="0075280E">
        <w:rPr>
          <w:rFonts w:eastAsia="SimSun" w:cs="SimSun"/>
          <w:b/>
          <w:bCs/>
          <w:szCs w:val="24"/>
          <w:lang w:eastAsia="zh-CN"/>
        </w:rPr>
        <w:t>196</w:t>
      </w:r>
      <w:r w:rsidRPr="0075280E">
        <w:rPr>
          <w:rFonts w:eastAsia="SimSun" w:cs="SimSun"/>
          <w:szCs w:val="24"/>
          <w:lang w:eastAsia="zh-CN"/>
        </w:rPr>
        <w:t>:</w:t>
      </w:r>
      <w:r>
        <w:rPr>
          <w:rFonts w:eastAsia="SimSun" w:cs="SimSun" w:hint="eastAsia"/>
          <w:szCs w:val="24"/>
          <w:lang w:eastAsia="zh-CN"/>
        </w:rPr>
        <w:t xml:space="preserve"> </w:t>
      </w:r>
      <w:r w:rsidRPr="0075280E">
        <w:rPr>
          <w:rFonts w:eastAsia="SimSun" w:cs="SimSun"/>
          <w:szCs w:val="24"/>
          <w:lang w:eastAsia="zh-CN"/>
        </w:rPr>
        <w:t>1146-1157 [PMID: 26729808 DOI: 10.4049/jimmunol.1501573]</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69 </w:t>
      </w:r>
      <w:r w:rsidRPr="0075280E">
        <w:rPr>
          <w:rFonts w:eastAsia="SimSun" w:cs="SimSun"/>
          <w:b/>
          <w:bCs/>
          <w:szCs w:val="24"/>
          <w:lang w:eastAsia="zh-CN"/>
        </w:rPr>
        <w:t>Higuchi M</w:t>
      </w:r>
      <w:r w:rsidRPr="0075280E">
        <w:rPr>
          <w:rFonts w:eastAsia="SimSun" w:cs="SimSun"/>
          <w:szCs w:val="24"/>
          <w:lang w:eastAsia="zh-CN"/>
        </w:rPr>
        <w:t>, Nagasawa K, Horiuchi T, Oike M, Ito Y, Yasukawa M, Niho Y. Membrane tumor necrosis factor-alpha (TNF-alpha) expressed on HTLV-I-infected T cells mediates a costimulatory signal for B cell activation--characterization of membrane TNF-alpha. </w:t>
      </w:r>
      <w:r w:rsidRPr="0075280E">
        <w:rPr>
          <w:rFonts w:eastAsia="SimSun" w:cs="SimSun"/>
          <w:i/>
          <w:iCs/>
          <w:szCs w:val="24"/>
          <w:lang w:eastAsia="zh-CN"/>
        </w:rPr>
        <w:t>Clin Immunol Immunopathol</w:t>
      </w:r>
      <w:r>
        <w:rPr>
          <w:rFonts w:eastAsia="SimSun" w:cs="SimSun" w:hint="eastAsia"/>
          <w:szCs w:val="24"/>
          <w:lang w:eastAsia="zh-CN"/>
        </w:rPr>
        <w:t xml:space="preserve"> </w:t>
      </w:r>
      <w:r w:rsidRPr="0075280E">
        <w:rPr>
          <w:rFonts w:eastAsia="SimSun" w:cs="SimSun"/>
          <w:szCs w:val="24"/>
          <w:lang w:eastAsia="zh-CN"/>
        </w:rPr>
        <w:t>1997; </w:t>
      </w:r>
      <w:r w:rsidRPr="0075280E">
        <w:rPr>
          <w:rFonts w:eastAsia="SimSun" w:cs="SimSun"/>
          <w:b/>
          <w:bCs/>
          <w:szCs w:val="24"/>
          <w:lang w:eastAsia="zh-CN"/>
        </w:rPr>
        <w:t>82</w:t>
      </w:r>
      <w:r w:rsidRPr="0075280E">
        <w:rPr>
          <w:rFonts w:eastAsia="SimSun" w:cs="SimSun"/>
          <w:szCs w:val="24"/>
          <w:lang w:eastAsia="zh-CN"/>
        </w:rPr>
        <w:t>: 133-140 [PMID: 9000481]</w:t>
      </w:r>
    </w:p>
    <w:p w:rsidR="00E36671" w:rsidRPr="0013290E" w:rsidRDefault="00E36671" w:rsidP="00E36671">
      <w:pPr>
        <w:spacing w:after="0"/>
        <w:rPr>
          <w:rFonts w:eastAsia="SimSun" w:cs="SimSun"/>
          <w:szCs w:val="24"/>
          <w:lang w:val="de-DE" w:eastAsia="zh-CN"/>
        </w:rPr>
      </w:pPr>
      <w:r w:rsidRPr="0075280E">
        <w:rPr>
          <w:rFonts w:eastAsia="SimSun" w:cs="SimSun"/>
          <w:szCs w:val="24"/>
          <w:lang w:eastAsia="zh-CN"/>
        </w:rPr>
        <w:t>70 </w:t>
      </w:r>
      <w:r w:rsidRPr="0075280E">
        <w:rPr>
          <w:rFonts w:eastAsia="SimSun" w:cs="SimSun"/>
          <w:b/>
          <w:bCs/>
          <w:szCs w:val="24"/>
          <w:lang w:eastAsia="zh-CN"/>
        </w:rPr>
        <w:t>Harashima S</w:t>
      </w:r>
      <w:r w:rsidRPr="0075280E">
        <w:rPr>
          <w:rFonts w:eastAsia="SimSun" w:cs="SimSun"/>
          <w:szCs w:val="24"/>
          <w:lang w:eastAsia="zh-CN"/>
        </w:rPr>
        <w:t>, Horiuchi T, Hatta N, Morita C, Higuchi M, Sawabe T, Tsukamoto H, Tahira T, Hayashi K, Fujita S, Niho Y. Outside-to-inside signal through the membrane TNF-alpha induces E-selectin (CD62E) expression on activated human CD4+ T cells. </w:t>
      </w:r>
      <w:r w:rsidRPr="0013290E">
        <w:rPr>
          <w:rFonts w:eastAsia="SimSun" w:cs="SimSun"/>
          <w:i/>
          <w:iCs/>
          <w:szCs w:val="24"/>
          <w:lang w:val="de-DE" w:eastAsia="zh-CN"/>
        </w:rPr>
        <w:t>J Immunol</w:t>
      </w:r>
      <w:r w:rsidRPr="0013290E">
        <w:rPr>
          <w:rFonts w:eastAsia="SimSun" w:cs="SimSun"/>
          <w:szCs w:val="24"/>
          <w:lang w:val="de-DE" w:eastAsia="zh-CN"/>
        </w:rPr>
        <w:t> 2001; </w:t>
      </w:r>
      <w:r w:rsidRPr="0013290E">
        <w:rPr>
          <w:rFonts w:eastAsia="SimSun" w:cs="SimSun"/>
          <w:b/>
          <w:bCs/>
          <w:szCs w:val="24"/>
          <w:lang w:val="de-DE" w:eastAsia="zh-CN"/>
        </w:rPr>
        <w:t>166</w:t>
      </w:r>
      <w:r w:rsidRPr="0013290E">
        <w:rPr>
          <w:rFonts w:eastAsia="SimSun" w:cs="SimSun"/>
          <w:szCs w:val="24"/>
          <w:lang w:val="de-DE" w:eastAsia="zh-CN"/>
        </w:rPr>
        <w:t>: 130-136 [PMID: 11123285]</w:t>
      </w:r>
    </w:p>
    <w:p w:rsidR="00E36671" w:rsidRPr="0075280E" w:rsidRDefault="00E36671" w:rsidP="00E36671">
      <w:pPr>
        <w:spacing w:after="0"/>
        <w:rPr>
          <w:rFonts w:eastAsia="SimSun" w:cs="SimSun"/>
          <w:szCs w:val="24"/>
          <w:lang w:eastAsia="zh-CN"/>
        </w:rPr>
      </w:pPr>
      <w:r w:rsidRPr="0013290E">
        <w:rPr>
          <w:rFonts w:eastAsia="SimSun" w:cs="SimSun"/>
          <w:szCs w:val="24"/>
          <w:lang w:val="de-DE" w:eastAsia="zh-CN"/>
        </w:rPr>
        <w:lastRenderedPageBreak/>
        <w:t>71 </w:t>
      </w:r>
      <w:r w:rsidRPr="0013290E">
        <w:rPr>
          <w:rFonts w:eastAsia="SimSun" w:cs="SimSun"/>
          <w:b/>
          <w:bCs/>
          <w:szCs w:val="24"/>
          <w:lang w:val="de-DE" w:eastAsia="zh-CN"/>
        </w:rPr>
        <w:t>ten Hove T</w:t>
      </w:r>
      <w:r w:rsidRPr="0013290E">
        <w:rPr>
          <w:rFonts w:eastAsia="SimSun" w:cs="SimSun"/>
          <w:szCs w:val="24"/>
          <w:lang w:val="de-DE" w:eastAsia="zh-CN"/>
        </w:rPr>
        <w:t xml:space="preserve">, van Montfrans C, Peppelenbosch MP, van Deventer SJ. </w:t>
      </w:r>
      <w:r w:rsidRPr="0075280E">
        <w:rPr>
          <w:rFonts w:eastAsia="SimSun" w:cs="SimSun"/>
          <w:szCs w:val="24"/>
          <w:lang w:eastAsia="zh-CN"/>
        </w:rPr>
        <w:t>Infliximab treatment induces apoptosis of lamina propria T lymphocytes in Crohn's disease. </w:t>
      </w:r>
      <w:r w:rsidRPr="0075280E">
        <w:rPr>
          <w:rFonts w:eastAsia="SimSun" w:cs="SimSun"/>
          <w:i/>
          <w:iCs/>
          <w:szCs w:val="24"/>
          <w:lang w:eastAsia="zh-CN"/>
        </w:rPr>
        <w:t>Gut</w:t>
      </w:r>
      <w:r w:rsidRPr="0075280E">
        <w:rPr>
          <w:rFonts w:eastAsia="SimSun" w:cs="SimSun"/>
          <w:szCs w:val="24"/>
          <w:lang w:eastAsia="zh-CN"/>
        </w:rPr>
        <w:t> 2002; </w:t>
      </w:r>
      <w:r w:rsidRPr="0075280E">
        <w:rPr>
          <w:rFonts w:eastAsia="SimSun" w:cs="SimSun"/>
          <w:b/>
          <w:bCs/>
          <w:szCs w:val="24"/>
          <w:lang w:eastAsia="zh-CN"/>
        </w:rPr>
        <w:t>50</w:t>
      </w:r>
      <w:r w:rsidRPr="0075280E">
        <w:rPr>
          <w:rFonts w:eastAsia="SimSun" w:cs="SimSun"/>
          <w:szCs w:val="24"/>
          <w:lang w:eastAsia="zh-CN"/>
        </w:rPr>
        <w:t>: 206-211 [PMID: 11788561]</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72 </w:t>
      </w:r>
      <w:r w:rsidRPr="0075280E">
        <w:rPr>
          <w:rFonts w:eastAsia="SimSun" w:cs="SimSun"/>
          <w:b/>
          <w:bCs/>
          <w:szCs w:val="24"/>
          <w:lang w:eastAsia="zh-CN"/>
        </w:rPr>
        <w:t>Mitoma H</w:t>
      </w:r>
      <w:r w:rsidRPr="0075280E">
        <w:rPr>
          <w:rFonts w:eastAsia="SimSun" w:cs="SimSun"/>
          <w:szCs w:val="24"/>
          <w:lang w:eastAsia="zh-CN"/>
        </w:rPr>
        <w:t>, Horiuchi T, Hatta N, Tsukamoto H, Harashima S, Kikuchi Y, Otsuka J, Okamura S, Fujita S, Harada M. Infliximab induces potent anti-inflammatory responses by outside-to-inside signals through transmembrane TNF-alpha.</w:t>
      </w:r>
      <w:r>
        <w:rPr>
          <w:rFonts w:eastAsia="SimSun" w:cs="SimSun" w:hint="eastAsia"/>
          <w:szCs w:val="24"/>
          <w:lang w:eastAsia="zh-CN"/>
        </w:rPr>
        <w:t xml:space="preserve"> </w:t>
      </w:r>
      <w:r w:rsidRPr="0075280E">
        <w:rPr>
          <w:rFonts w:eastAsia="SimSun" w:cs="SimSun"/>
          <w:i/>
          <w:iCs/>
          <w:szCs w:val="24"/>
          <w:lang w:eastAsia="zh-CN"/>
        </w:rPr>
        <w:t>Gastroenterology</w:t>
      </w:r>
      <w:r>
        <w:rPr>
          <w:rFonts w:eastAsia="SimSun" w:cs="SimSun" w:hint="eastAsia"/>
          <w:szCs w:val="24"/>
          <w:lang w:eastAsia="zh-CN"/>
        </w:rPr>
        <w:t xml:space="preserve"> </w:t>
      </w:r>
      <w:r w:rsidRPr="0075280E">
        <w:rPr>
          <w:rFonts w:eastAsia="SimSun" w:cs="SimSun"/>
          <w:szCs w:val="24"/>
          <w:lang w:eastAsia="zh-CN"/>
        </w:rPr>
        <w:t>2005;</w:t>
      </w:r>
      <w:r>
        <w:rPr>
          <w:rFonts w:eastAsia="SimSun" w:cs="SimSun" w:hint="eastAsia"/>
          <w:szCs w:val="24"/>
          <w:lang w:eastAsia="zh-CN"/>
        </w:rPr>
        <w:t xml:space="preserve"> </w:t>
      </w:r>
      <w:r w:rsidRPr="0075280E">
        <w:rPr>
          <w:rFonts w:eastAsia="SimSun" w:cs="SimSun"/>
          <w:b/>
          <w:bCs/>
          <w:szCs w:val="24"/>
          <w:lang w:eastAsia="zh-CN"/>
        </w:rPr>
        <w:t>128</w:t>
      </w:r>
      <w:r w:rsidRPr="0075280E">
        <w:rPr>
          <w:rFonts w:eastAsia="SimSun" w:cs="SimSun"/>
          <w:szCs w:val="24"/>
          <w:lang w:eastAsia="zh-CN"/>
        </w:rPr>
        <w:t>: 376-392 [PMID: 15685549]</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73 </w:t>
      </w:r>
      <w:r w:rsidRPr="0075280E">
        <w:rPr>
          <w:rFonts w:eastAsia="SimSun" w:cs="SimSun"/>
          <w:b/>
          <w:bCs/>
          <w:szCs w:val="24"/>
          <w:lang w:eastAsia="zh-CN"/>
        </w:rPr>
        <w:t>Mitoma H</w:t>
      </w:r>
      <w:r w:rsidRPr="0075280E">
        <w:rPr>
          <w:rFonts w:eastAsia="SimSun" w:cs="SimSun"/>
          <w:szCs w:val="24"/>
          <w:lang w:eastAsia="zh-CN"/>
        </w:rPr>
        <w:t>, Horiuchi T, Tsukamoto H, Tamimoto Y, Kimoto Y, Uchino A, To K, Harashima S, Hatta N, Harada M. Mechanisms for cytotoxic effects of anti-tumor necrosis factor agents on transmembrane tumor necrosis factor alpha-expressing cells: comparison among infliximab, etanercept, and adalimumab. </w:t>
      </w:r>
      <w:r w:rsidRPr="0075280E">
        <w:rPr>
          <w:rFonts w:eastAsia="SimSun" w:cs="SimSun"/>
          <w:i/>
          <w:iCs/>
          <w:szCs w:val="24"/>
          <w:lang w:eastAsia="zh-CN"/>
        </w:rPr>
        <w:t>Arthritis Rheum</w:t>
      </w:r>
      <w:r w:rsidRPr="0075280E">
        <w:rPr>
          <w:rFonts w:eastAsia="SimSun" w:cs="SimSun"/>
          <w:szCs w:val="24"/>
          <w:lang w:eastAsia="zh-CN"/>
        </w:rPr>
        <w:t> 2008; </w:t>
      </w:r>
      <w:r w:rsidRPr="0075280E">
        <w:rPr>
          <w:rFonts w:eastAsia="SimSun" w:cs="SimSun"/>
          <w:b/>
          <w:bCs/>
          <w:szCs w:val="24"/>
          <w:lang w:eastAsia="zh-CN"/>
        </w:rPr>
        <w:t>58</w:t>
      </w:r>
      <w:r w:rsidRPr="0075280E">
        <w:rPr>
          <w:rFonts w:eastAsia="SimSun" w:cs="SimSun"/>
          <w:szCs w:val="24"/>
          <w:lang w:eastAsia="zh-CN"/>
        </w:rPr>
        <w:t>: 1248-1257 [PMID: 18438840 DOI: 10.1002/art.23447]</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74 </w:t>
      </w:r>
      <w:r w:rsidRPr="0075280E">
        <w:rPr>
          <w:rFonts w:eastAsia="SimSun" w:cs="SimSun"/>
          <w:b/>
          <w:bCs/>
          <w:szCs w:val="24"/>
          <w:lang w:eastAsia="zh-CN"/>
        </w:rPr>
        <w:t>Derer S</w:t>
      </w:r>
      <w:r w:rsidRPr="0075280E">
        <w:rPr>
          <w:rFonts w:eastAsia="SimSun" w:cs="SimSun"/>
          <w:szCs w:val="24"/>
          <w:lang w:eastAsia="zh-CN"/>
        </w:rPr>
        <w:t>, Till A, Haesler R, Sina C, Grabe N, Jung S, Nikolaus S, Kuehbacher T, Groetzinger J, Rose-John S, Rosenstiel PC, Schreiber S. mTNF reverse signalling induced by TNFα antagonists involves a GDF-1 dependent pathway: implications for Crohn's disease. </w:t>
      </w:r>
      <w:r w:rsidRPr="0075280E">
        <w:rPr>
          <w:rFonts w:eastAsia="SimSun" w:cs="SimSun"/>
          <w:i/>
          <w:iCs/>
          <w:szCs w:val="24"/>
          <w:lang w:eastAsia="zh-CN"/>
        </w:rPr>
        <w:t>Gut</w:t>
      </w:r>
      <w:r w:rsidRPr="0075280E">
        <w:rPr>
          <w:rFonts w:eastAsia="SimSun" w:cs="SimSun"/>
          <w:szCs w:val="24"/>
          <w:lang w:eastAsia="zh-CN"/>
        </w:rPr>
        <w:t> 2013; </w:t>
      </w:r>
      <w:r w:rsidRPr="0075280E">
        <w:rPr>
          <w:rFonts w:eastAsia="SimSun" w:cs="SimSun"/>
          <w:b/>
          <w:bCs/>
          <w:szCs w:val="24"/>
          <w:lang w:eastAsia="zh-CN"/>
        </w:rPr>
        <w:t>62</w:t>
      </w:r>
      <w:r w:rsidRPr="0075280E">
        <w:rPr>
          <w:rFonts w:eastAsia="SimSun" w:cs="SimSun"/>
          <w:szCs w:val="24"/>
          <w:lang w:eastAsia="zh-CN"/>
        </w:rPr>
        <w:t>: 376-386 [PMID: 22535372 DOI: 10.1136/gutjnl-2011-300384]</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75 </w:t>
      </w:r>
      <w:r w:rsidRPr="0075280E">
        <w:rPr>
          <w:rFonts w:eastAsia="SimSun" w:cs="SimSun"/>
          <w:b/>
          <w:bCs/>
          <w:szCs w:val="24"/>
          <w:lang w:eastAsia="zh-CN"/>
        </w:rPr>
        <w:t>Yan L</w:t>
      </w:r>
      <w:r w:rsidRPr="0075280E">
        <w:rPr>
          <w:rFonts w:eastAsia="SimSun" w:cs="SimSun"/>
          <w:szCs w:val="24"/>
          <w:lang w:eastAsia="zh-CN"/>
        </w:rPr>
        <w:t>, Hu R, Tu S, Cheng WJ, Zheng Q, Wang JW, Kan WS, Ren YJ. Establishment of a cell model for screening antibody drugs against rheumatoid arthritis with ADCC and CDC. </w:t>
      </w:r>
      <w:r w:rsidRPr="0075280E">
        <w:rPr>
          <w:rFonts w:eastAsia="SimSun" w:cs="SimSun"/>
          <w:i/>
          <w:iCs/>
          <w:szCs w:val="24"/>
          <w:lang w:eastAsia="zh-CN"/>
        </w:rPr>
        <w:t>Int J Clin Exp Med</w:t>
      </w:r>
      <w:r w:rsidRPr="0075280E">
        <w:rPr>
          <w:rFonts w:eastAsia="SimSun" w:cs="SimSun"/>
          <w:szCs w:val="24"/>
          <w:lang w:eastAsia="zh-CN"/>
        </w:rPr>
        <w:t> 2015; </w:t>
      </w:r>
      <w:r w:rsidRPr="0075280E">
        <w:rPr>
          <w:rFonts w:eastAsia="SimSun" w:cs="SimSun"/>
          <w:b/>
          <w:bCs/>
          <w:szCs w:val="24"/>
          <w:lang w:eastAsia="zh-CN"/>
        </w:rPr>
        <w:t>8</w:t>
      </w:r>
      <w:r w:rsidRPr="0075280E">
        <w:rPr>
          <w:rFonts w:eastAsia="SimSun" w:cs="SimSun"/>
          <w:szCs w:val="24"/>
          <w:lang w:eastAsia="zh-CN"/>
        </w:rPr>
        <w:t>: 20065-20071 [PMID: 26884918]</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76 </w:t>
      </w:r>
      <w:r w:rsidRPr="0075280E">
        <w:rPr>
          <w:rFonts w:eastAsia="SimSun" w:cs="SimSun"/>
          <w:b/>
          <w:bCs/>
          <w:szCs w:val="24"/>
          <w:lang w:eastAsia="zh-CN"/>
        </w:rPr>
        <w:t>Arora T</w:t>
      </w:r>
      <w:r w:rsidRPr="0075280E">
        <w:rPr>
          <w:rFonts w:eastAsia="SimSun" w:cs="SimSun"/>
          <w:szCs w:val="24"/>
          <w:lang w:eastAsia="zh-CN"/>
        </w:rPr>
        <w:t>, Padaki R, Liu L, Hamburger AE, Ellison AR, Stevens SR, Louie JS, Kohno T. Differences in binding and effector functions between classes of TNF antagonists.</w:t>
      </w:r>
      <w:r>
        <w:rPr>
          <w:rFonts w:eastAsia="SimSun" w:cs="SimSun" w:hint="eastAsia"/>
          <w:szCs w:val="24"/>
          <w:lang w:eastAsia="zh-CN"/>
        </w:rPr>
        <w:t xml:space="preserve"> </w:t>
      </w:r>
      <w:r w:rsidRPr="0075280E">
        <w:rPr>
          <w:rFonts w:eastAsia="SimSun" w:cs="SimSun"/>
          <w:i/>
          <w:iCs/>
          <w:szCs w:val="24"/>
          <w:lang w:eastAsia="zh-CN"/>
        </w:rPr>
        <w:t>Cytokine</w:t>
      </w:r>
      <w:r>
        <w:rPr>
          <w:rFonts w:eastAsia="SimSun" w:cs="SimSun" w:hint="eastAsia"/>
          <w:szCs w:val="24"/>
          <w:lang w:eastAsia="zh-CN"/>
        </w:rPr>
        <w:t xml:space="preserve"> </w:t>
      </w:r>
      <w:r w:rsidRPr="0075280E">
        <w:rPr>
          <w:rFonts w:eastAsia="SimSun" w:cs="SimSun"/>
          <w:szCs w:val="24"/>
          <w:lang w:eastAsia="zh-CN"/>
        </w:rPr>
        <w:t>2009;</w:t>
      </w:r>
      <w:r>
        <w:rPr>
          <w:rFonts w:eastAsia="SimSun" w:cs="SimSun" w:hint="eastAsia"/>
          <w:szCs w:val="24"/>
          <w:lang w:eastAsia="zh-CN"/>
        </w:rPr>
        <w:t xml:space="preserve"> </w:t>
      </w:r>
      <w:r w:rsidRPr="0075280E">
        <w:rPr>
          <w:rFonts w:eastAsia="SimSun" w:cs="SimSun"/>
          <w:b/>
          <w:bCs/>
          <w:szCs w:val="24"/>
          <w:lang w:eastAsia="zh-CN"/>
        </w:rPr>
        <w:t>45</w:t>
      </w:r>
      <w:r w:rsidRPr="0075280E">
        <w:rPr>
          <w:rFonts w:eastAsia="SimSun" w:cs="SimSun"/>
          <w:szCs w:val="24"/>
          <w:lang w:eastAsia="zh-CN"/>
        </w:rPr>
        <w:t>: 124-131 [PMID: 19128982 DOI: 10.1016/j.cyto.2008.11.008]</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77 </w:t>
      </w:r>
      <w:r w:rsidRPr="0075280E">
        <w:rPr>
          <w:rFonts w:eastAsia="SimSun" w:cs="SimSun"/>
          <w:b/>
          <w:bCs/>
          <w:szCs w:val="24"/>
          <w:lang w:eastAsia="zh-CN"/>
        </w:rPr>
        <w:t>Ueda N</w:t>
      </w:r>
      <w:r w:rsidRPr="0075280E">
        <w:rPr>
          <w:rFonts w:eastAsia="SimSun" w:cs="SimSun"/>
          <w:szCs w:val="24"/>
          <w:lang w:eastAsia="zh-CN"/>
        </w:rPr>
        <w:t>, Tsukamoto H, Mitoma H, Ayano M, Tanaka A, Ohta S, Inoue Y, Arinobu Y, Niiro H, Akashi K, Horiuchi T. The cytotoxic effects of certolizumab pegol and golimumab mediated by transmembrane tumor necrosis factor α.</w:t>
      </w:r>
      <w:r>
        <w:rPr>
          <w:rFonts w:eastAsia="SimSun" w:cs="SimSun" w:hint="eastAsia"/>
          <w:szCs w:val="24"/>
          <w:lang w:eastAsia="zh-CN"/>
        </w:rPr>
        <w:t xml:space="preserve"> </w:t>
      </w:r>
      <w:r w:rsidRPr="0075280E">
        <w:rPr>
          <w:rFonts w:eastAsia="SimSun" w:cs="SimSun"/>
          <w:i/>
          <w:iCs/>
          <w:szCs w:val="24"/>
          <w:lang w:eastAsia="zh-CN"/>
        </w:rPr>
        <w:t>Inflamm Bowel Dis</w:t>
      </w:r>
      <w:r w:rsidRPr="0075280E">
        <w:rPr>
          <w:rFonts w:eastAsia="SimSun" w:cs="SimSun"/>
          <w:szCs w:val="24"/>
          <w:lang w:eastAsia="zh-CN"/>
        </w:rPr>
        <w:t> 2013;</w:t>
      </w:r>
      <w:r>
        <w:rPr>
          <w:rFonts w:eastAsia="SimSun" w:cs="SimSun" w:hint="eastAsia"/>
          <w:szCs w:val="24"/>
          <w:lang w:eastAsia="zh-CN"/>
        </w:rPr>
        <w:t xml:space="preserve"> </w:t>
      </w:r>
      <w:r w:rsidRPr="0075280E">
        <w:rPr>
          <w:rFonts w:eastAsia="SimSun" w:cs="SimSun"/>
          <w:b/>
          <w:bCs/>
          <w:szCs w:val="24"/>
          <w:lang w:eastAsia="zh-CN"/>
        </w:rPr>
        <w:t>19</w:t>
      </w:r>
      <w:r w:rsidRPr="0075280E">
        <w:rPr>
          <w:rFonts w:eastAsia="SimSun" w:cs="SimSun"/>
          <w:szCs w:val="24"/>
          <w:lang w:eastAsia="zh-CN"/>
        </w:rPr>
        <w:t>: 1224-1231 [PMID: 23619715 DOI: 10.1097/MIB.0b013e318280b169]</w:t>
      </w:r>
    </w:p>
    <w:p w:rsidR="00E36671" w:rsidRPr="0075280E" w:rsidRDefault="00E36671" w:rsidP="00E36671">
      <w:pPr>
        <w:spacing w:after="0"/>
        <w:rPr>
          <w:rFonts w:eastAsia="SimSun" w:cs="SimSun"/>
          <w:szCs w:val="24"/>
          <w:lang w:eastAsia="zh-CN"/>
        </w:rPr>
      </w:pPr>
      <w:r w:rsidRPr="0013290E">
        <w:rPr>
          <w:rFonts w:eastAsia="SimSun" w:cs="SimSun"/>
          <w:szCs w:val="24"/>
          <w:lang w:val="de-DE" w:eastAsia="zh-CN"/>
        </w:rPr>
        <w:t>78 </w:t>
      </w:r>
      <w:r w:rsidRPr="0013290E">
        <w:rPr>
          <w:rFonts w:eastAsia="SimSun" w:cs="SimSun"/>
          <w:b/>
          <w:bCs/>
          <w:szCs w:val="24"/>
          <w:lang w:val="de-DE" w:eastAsia="zh-CN"/>
        </w:rPr>
        <w:t>Shen C</w:t>
      </w:r>
      <w:r w:rsidRPr="0013290E">
        <w:rPr>
          <w:rFonts w:eastAsia="SimSun" w:cs="SimSun"/>
          <w:szCs w:val="24"/>
          <w:lang w:val="de-DE" w:eastAsia="zh-CN"/>
        </w:rPr>
        <w:t xml:space="preserve">, Van Assche G, Rutgeerts P, Ceuppens JL. </w:t>
      </w:r>
      <w:r w:rsidRPr="0075280E">
        <w:rPr>
          <w:rFonts w:eastAsia="SimSun" w:cs="SimSun"/>
          <w:szCs w:val="24"/>
          <w:lang w:eastAsia="zh-CN"/>
        </w:rPr>
        <w:t>Caspase activation and apoptosis induction by adalimumab: demonstration in vitro and in vivo in a chimeric mouse model. </w:t>
      </w:r>
      <w:r w:rsidRPr="0075280E">
        <w:rPr>
          <w:rFonts w:eastAsia="SimSun" w:cs="SimSun"/>
          <w:i/>
          <w:iCs/>
          <w:szCs w:val="24"/>
          <w:lang w:eastAsia="zh-CN"/>
        </w:rPr>
        <w:t>Inflamm Bowel Dis</w:t>
      </w:r>
      <w:r w:rsidRPr="0075280E">
        <w:rPr>
          <w:rFonts w:eastAsia="SimSun" w:cs="SimSun"/>
          <w:szCs w:val="24"/>
          <w:lang w:eastAsia="zh-CN"/>
        </w:rPr>
        <w:t> 2006; </w:t>
      </w:r>
      <w:r w:rsidRPr="0075280E">
        <w:rPr>
          <w:rFonts w:eastAsia="SimSun" w:cs="SimSun"/>
          <w:b/>
          <w:bCs/>
          <w:szCs w:val="24"/>
          <w:lang w:eastAsia="zh-CN"/>
        </w:rPr>
        <w:t>12</w:t>
      </w:r>
      <w:r w:rsidRPr="0075280E">
        <w:rPr>
          <w:rFonts w:eastAsia="SimSun" w:cs="SimSun"/>
          <w:szCs w:val="24"/>
          <w:lang w:eastAsia="zh-CN"/>
        </w:rPr>
        <w:t>: 22-28 [PMID: 16374254]</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79 </w:t>
      </w:r>
      <w:r w:rsidRPr="0075280E">
        <w:rPr>
          <w:rFonts w:eastAsia="SimSun" w:cs="SimSun"/>
          <w:b/>
          <w:bCs/>
          <w:szCs w:val="24"/>
          <w:lang w:eastAsia="zh-CN"/>
        </w:rPr>
        <w:t>Lügering A</w:t>
      </w:r>
      <w:r w:rsidRPr="0075280E">
        <w:rPr>
          <w:rFonts w:eastAsia="SimSun" w:cs="SimSun"/>
          <w:szCs w:val="24"/>
          <w:lang w:eastAsia="zh-CN"/>
        </w:rPr>
        <w:t xml:space="preserve">, Schmidt M, Lügering N, Pauels HG, Domschke W, Kucharzik T. Infliximab induces apoptosis in monocytes from patients with chronic active Crohn's </w:t>
      </w:r>
      <w:r w:rsidRPr="0075280E">
        <w:rPr>
          <w:rFonts w:eastAsia="SimSun" w:cs="SimSun"/>
          <w:szCs w:val="24"/>
          <w:lang w:eastAsia="zh-CN"/>
        </w:rPr>
        <w:lastRenderedPageBreak/>
        <w:t>disease by using a caspase-dependent pathway.</w:t>
      </w:r>
      <w:r>
        <w:rPr>
          <w:rFonts w:eastAsia="SimSun" w:cs="SimSun" w:hint="eastAsia"/>
          <w:szCs w:val="24"/>
          <w:lang w:eastAsia="zh-CN"/>
        </w:rPr>
        <w:t xml:space="preserve"> </w:t>
      </w:r>
      <w:r w:rsidRPr="0075280E">
        <w:rPr>
          <w:rFonts w:eastAsia="SimSun" w:cs="SimSun"/>
          <w:i/>
          <w:iCs/>
          <w:szCs w:val="24"/>
          <w:lang w:eastAsia="zh-CN"/>
        </w:rPr>
        <w:t>Gastroenterology</w:t>
      </w:r>
      <w:r>
        <w:rPr>
          <w:rFonts w:eastAsia="SimSun" w:cs="SimSun" w:hint="eastAsia"/>
          <w:szCs w:val="24"/>
          <w:lang w:eastAsia="zh-CN"/>
        </w:rPr>
        <w:t xml:space="preserve"> </w:t>
      </w:r>
      <w:r w:rsidRPr="0075280E">
        <w:rPr>
          <w:rFonts w:eastAsia="SimSun" w:cs="SimSun"/>
          <w:szCs w:val="24"/>
          <w:lang w:eastAsia="zh-CN"/>
        </w:rPr>
        <w:t>2001;</w:t>
      </w:r>
      <w:r>
        <w:rPr>
          <w:rFonts w:eastAsia="SimSun" w:cs="SimSun" w:hint="eastAsia"/>
          <w:szCs w:val="24"/>
          <w:lang w:eastAsia="zh-CN"/>
        </w:rPr>
        <w:t xml:space="preserve"> </w:t>
      </w:r>
      <w:r w:rsidRPr="0075280E">
        <w:rPr>
          <w:rFonts w:eastAsia="SimSun" w:cs="SimSun"/>
          <w:b/>
          <w:bCs/>
          <w:szCs w:val="24"/>
          <w:lang w:eastAsia="zh-CN"/>
        </w:rPr>
        <w:t>121</w:t>
      </w:r>
      <w:r w:rsidRPr="0075280E">
        <w:rPr>
          <w:rFonts w:eastAsia="SimSun" w:cs="SimSun"/>
          <w:szCs w:val="24"/>
          <w:lang w:eastAsia="zh-CN"/>
        </w:rPr>
        <w:t>: 1145-1157 [PMID: 11677207]</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80 </w:t>
      </w:r>
      <w:r w:rsidRPr="0075280E">
        <w:rPr>
          <w:rFonts w:eastAsia="SimSun" w:cs="SimSun"/>
          <w:b/>
          <w:bCs/>
          <w:szCs w:val="24"/>
          <w:lang w:eastAsia="zh-CN"/>
        </w:rPr>
        <w:t>Van den Brande JM</w:t>
      </w:r>
      <w:r w:rsidRPr="0075280E">
        <w:rPr>
          <w:rFonts w:eastAsia="SimSun" w:cs="SimSun"/>
          <w:szCs w:val="24"/>
          <w:lang w:eastAsia="zh-CN"/>
        </w:rPr>
        <w:t>, Koehler TC, Zelinkova Z, Bennink RJ, te Velde AA, ten Cate FJ, van Deventer SJ, Peppelenbosch MP, Hommes DW. Prediction of antitumour necrosis factor clinical efficacy by real-time visualisation of apoptosis in patients with Crohn's disease. </w:t>
      </w:r>
      <w:r w:rsidRPr="0075280E">
        <w:rPr>
          <w:rFonts w:eastAsia="SimSun" w:cs="SimSun"/>
          <w:i/>
          <w:iCs/>
          <w:szCs w:val="24"/>
          <w:lang w:eastAsia="zh-CN"/>
        </w:rPr>
        <w:t>Gut</w:t>
      </w:r>
      <w:r w:rsidRPr="0075280E">
        <w:rPr>
          <w:rFonts w:eastAsia="SimSun" w:cs="SimSun"/>
          <w:szCs w:val="24"/>
          <w:lang w:eastAsia="zh-CN"/>
        </w:rPr>
        <w:t> 2007; </w:t>
      </w:r>
      <w:r w:rsidRPr="0075280E">
        <w:rPr>
          <w:rFonts w:eastAsia="SimSun" w:cs="SimSun"/>
          <w:b/>
          <w:bCs/>
          <w:szCs w:val="24"/>
          <w:lang w:eastAsia="zh-CN"/>
        </w:rPr>
        <w:t>56</w:t>
      </w:r>
      <w:r w:rsidRPr="0075280E">
        <w:rPr>
          <w:rFonts w:eastAsia="SimSun" w:cs="SimSun"/>
          <w:szCs w:val="24"/>
          <w:lang w:eastAsia="zh-CN"/>
        </w:rPr>
        <w:t>: 509-517 [PMID: 17082252 DOI: 10.1136/gut.2006.105379]</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81 </w:t>
      </w:r>
      <w:r w:rsidRPr="0075280E">
        <w:rPr>
          <w:rFonts w:eastAsia="SimSun" w:cs="SimSun"/>
          <w:b/>
          <w:bCs/>
          <w:szCs w:val="24"/>
          <w:lang w:eastAsia="zh-CN"/>
        </w:rPr>
        <w:t>Eder P</w:t>
      </w:r>
      <w:r w:rsidRPr="0075280E">
        <w:rPr>
          <w:rFonts w:eastAsia="SimSun" w:cs="SimSun"/>
          <w:szCs w:val="24"/>
          <w:lang w:eastAsia="zh-CN"/>
        </w:rPr>
        <w:t>, Lykowska-Szuber L, Krela-Kazmierczak I, Stawczyk-Eder K, Zabel M, Linke K. The influence of infliximab and adalimumab on the expression of apoptosis-related proteins in lamina propria mononuclear cells and enterocytes in Crohn's disease - an immunohistochemical study. </w:t>
      </w:r>
      <w:r w:rsidRPr="0075280E">
        <w:rPr>
          <w:rFonts w:eastAsia="SimSun" w:cs="SimSun"/>
          <w:i/>
          <w:iCs/>
          <w:szCs w:val="24"/>
          <w:lang w:eastAsia="zh-CN"/>
        </w:rPr>
        <w:t>J Crohns Colitis</w:t>
      </w:r>
      <w:r w:rsidRPr="0075280E">
        <w:rPr>
          <w:rFonts w:eastAsia="SimSun" w:cs="SimSun"/>
          <w:szCs w:val="24"/>
          <w:lang w:eastAsia="zh-CN"/>
        </w:rPr>
        <w:t> 2013; </w:t>
      </w:r>
      <w:r w:rsidRPr="0075280E">
        <w:rPr>
          <w:rFonts w:eastAsia="SimSun" w:cs="SimSun"/>
          <w:b/>
          <w:bCs/>
          <w:szCs w:val="24"/>
          <w:lang w:eastAsia="zh-CN"/>
        </w:rPr>
        <w:t>7</w:t>
      </w:r>
      <w:r w:rsidRPr="0075280E">
        <w:rPr>
          <w:rFonts w:eastAsia="SimSun" w:cs="SimSun"/>
          <w:szCs w:val="24"/>
          <w:lang w:eastAsia="zh-CN"/>
        </w:rPr>
        <w:t>: 706-716 [PMID: 23021876 DOI: 10.1016/j.crohns.2012.09.006]</w:t>
      </w:r>
    </w:p>
    <w:p w:rsidR="00E36671" w:rsidRPr="0075280E" w:rsidRDefault="00E36671" w:rsidP="00E36671">
      <w:pPr>
        <w:spacing w:after="0"/>
        <w:rPr>
          <w:rFonts w:eastAsia="SimSun" w:cs="SimSun"/>
          <w:szCs w:val="24"/>
          <w:lang w:eastAsia="zh-CN"/>
        </w:rPr>
      </w:pPr>
      <w:r w:rsidRPr="00CA640C">
        <w:rPr>
          <w:rFonts w:eastAsia="SimSun" w:cs="SimSun"/>
          <w:szCs w:val="24"/>
          <w:lang w:val="de-DE" w:eastAsia="zh-CN"/>
        </w:rPr>
        <w:t>82 </w:t>
      </w:r>
      <w:r w:rsidRPr="00CA640C">
        <w:rPr>
          <w:rFonts w:eastAsia="SimSun" w:cs="SimSun"/>
          <w:b/>
          <w:bCs/>
          <w:szCs w:val="24"/>
          <w:lang w:val="de-DE" w:eastAsia="zh-CN"/>
        </w:rPr>
        <w:t>Olesen CM</w:t>
      </w:r>
      <w:r w:rsidRPr="00CA640C">
        <w:rPr>
          <w:rFonts w:eastAsia="SimSun" w:cs="SimSun"/>
          <w:szCs w:val="24"/>
          <w:lang w:val="de-DE" w:eastAsia="zh-CN"/>
        </w:rPr>
        <w:t xml:space="preserve">, Coskun M, Peyrin-Biroulet L, Nielsen OH. </w:t>
      </w:r>
      <w:r w:rsidRPr="0075280E">
        <w:rPr>
          <w:rFonts w:eastAsia="SimSun" w:cs="SimSun"/>
          <w:szCs w:val="24"/>
          <w:lang w:eastAsia="zh-CN"/>
        </w:rPr>
        <w:t>Mechanisms behind efficacy of tumor necrosis factor inhibitors in inflammatory bowel diseases.</w:t>
      </w:r>
      <w:r>
        <w:rPr>
          <w:rFonts w:eastAsia="SimSun" w:cs="SimSun" w:hint="eastAsia"/>
          <w:szCs w:val="24"/>
          <w:lang w:eastAsia="zh-CN"/>
        </w:rPr>
        <w:t xml:space="preserve"> </w:t>
      </w:r>
      <w:r w:rsidRPr="0075280E">
        <w:rPr>
          <w:rFonts w:eastAsia="SimSun" w:cs="SimSun"/>
          <w:i/>
          <w:iCs/>
          <w:szCs w:val="24"/>
          <w:lang w:eastAsia="zh-CN"/>
        </w:rPr>
        <w:t>Pharmacol Ther</w:t>
      </w:r>
      <w:r w:rsidRPr="0075280E">
        <w:rPr>
          <w:rFonts w:eastAsia="SimSun" w:cs="SimSun"/>
          <w:szCs w:val="24"/>
          <w:lang w:eastAsia="zh-CN"/>
        </w:rPr>
        <w:t> 2016; </w:t>
      </w:r>
      <w:r w:rsidRPr="0075280E">
        <w:rPr>
          <w:rFonts w:eastAsia="SimSun" w:cs="SimSun"/>
          <w:b/>
          <w:bCs/>
          <w:szCs w:val="24"/>
          <w:lang w:eastAsia="zh-CN"/>
        </w:rPr>
        <w:t>159</w:t>
      </w:r>
      <w:r w:rsidRPr="0075280E">
        <w:rPr>
          <w:rFonts w:eastAsia="SimSun" w:cs="SimSun"/>
          <w:szCs w:val="24"/>
          <w:lang w:eastAsia="zh-CN"/>
        </w:rPr>
        <w:t>: 110-119 [PMID: 26808166 DOI: 10.1016/j.pharmthera.2016.01.001]</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83 </w:t>
      </w:r>
      <w:r w:rsidRPr="0075280E">
        <w:rPr>
          <w:rFonts w:eastAsia="SimSun" w:cs="SimSun"/>
          <w:b/>
          <w:bCs/>
          <w:szCs w:val="24"/>
          <w:lang w:eastAsia="zh-CN"/>
        </w:rPr>
        <w:t>Hlavaty T</w:t>
      </w:r>
      <w:r w:rsidRPr="0075280E">
        <w:rPr>
          <w:rFonts w:eastAsia="SimSun" w:cs="SimSun"/>
          <w:szCs w:val="24"/>
          <w:lang w:eastAsia="zh-CN"/>
        </w:rPr>
        <w:t>, Ferrante M, Henckaerts L, Pierik M, Rutgeerts P, Vermeire S. Predictive model for the outcome of infliximab therapy in Crohn's disease based on apoptotic pharmacogenetic index and clinical predictors. </w:t>
      </w:r>
      <w:r w:rsidRPr="0075280E">
        <w:rPr>
          <w:rFonts w:eastAsia="SimSun" w:cs="SimSun"/>
          <w:i/>
          <w:iCs/>
          <w:szCs w:val="24"/>
          <w:lang w:eastAsia="zh-CN"/>
        </w:rPr>
        <w:t>Inflamm Bowel Dis</w:t>
      </w:r>
      <w:r w:rsidRPr="0075280E">
        <w:rPr>
          <w:rFonts w:eastAsia="SimSun" w:cs="SimSun"/>
          <w:szCs w:val="24"/>
          <w:lang w:eastAsia="zh-CN"/>
        </w:rPr>
        <w:t> 2007; </w:t>
      </w:r>
      <w:r w:rsidRPr="0075280E">
        <w:rPr>
          <w:rFonts w:eastAsia="SimSun" w:cs="SimSun"/>
          <w:b/>
          <w:bCs/>
          <w:szCs w:val="24"/>
          <w:lang w:eastAsia="zh-CN"/>
        </w:rPr>
        <w:t>13</w:t>
      </w:r>
      <w:r w:rsidRPr="0075280E">
        <w:rPr>
          <w:rFonts w:eastAsia="SimSun" w:cs="SimSun"/>
          <w:szCs w:val="24"/>
          <w:lang w:eastAsia="zh-CN"/>
        </w:rPr>
        <w:t>: 372-379 [PMID: 17206723 DOI: 10.1002/ibd.20024]</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84 </w:t>
      </w:r>
      <w:r w:rsidRPr="0075280E">
        <w:rPr>
          <w:rFonts w:eastAsia="SimSun" w:cs="SimSun"/>
          <w:b/>
          <w:bCs/>
          <w:szCs w:val="24"/>
          <w:lang w:eastAsia="zh-CN"/>
        </w:rPr>
        <w:t>Vermeire S</w:t>
      </w:r>
      <w:r w:rsidRPr="0075280E">
        <w:rPr>
          <w:rFonts w:eastAsia="SimSun" w:cs="SimSun"/>
          <w:szCs w:val="24"/>
          <w:lang w:eastAsia="zh-CN"/>
        </w:rPr>
        <w:t>, Van Assche G, Rutgeerts P. C-reactive protein as a marker for inflammatory bowel disease. </w:t>
      </w:r>
      <w:r w:rsidRPr="0075280E">
        <w:rPr>
          <w:rFonts w:eastAsia="SimSun" w:cs="SimSun"/>
          <w:i/>
          <w:iCs/>
          <w:szCs w:val="24"/>
          <w:lang w:eastAsia="zh-CN"/>
        </w:rPr>
        <w:t>Inflamm Bowel Dis</w:t>
      </w:r>
      <w:r w:rsidRPr="0075280E">
        <w:rPr>
          <w:rFonts w:eastAsia="SimSun" w:cs="SimSun"/>
          <w:szCs w:val="24"/>
          <w:lang w:eastAsia="zh-CN"/>
        </w:rPr>
        <w:t> 2004; </w:t>
      </w:r>
      <w:r w:rsidRPr="0075280E">
        <w:rPr>
          <w:rFonts w:eastAsia="SimSun" w:cs="SimSun"/>
          <w:b/>
          <w:bCs/>
          <w:szCs w:val="24"/>
          <w:lang w:eastAsia="zh-CN"/>
        </w:rPr>
        <w:t>10</w:t>
      </w:r>
      <w:r w:rsidRPr="0075280E">
        <w:rPr>
          <w:rFonts w:eastAsia="SimSun" w:cs="SimSun"/>
          <w:szCs w:val="24"/>
          <w:lang w:eastAsia="zh-CN"/>
        </w:rPr>
        <w:t>: 661-665 [PMID: 15472532]</w:t>
      </w:r>
    </w:p>
    <w:p w:rsidR="00E36671" w:rsidRPr="0075280E" w:rsidRDefault="00E36671" w:rsidP="00E36671">
      <w:pPr>
        <w:spacing w:after="0"/>
        <w:rPr>
          <w:rFonts w:eastAsia="SimSun" w:cs="SimSun"/>
          <w:szCs w:val="24"/>
          <w:lang w:eastAsia="zh-CN"/>
        </w:rPr>
      </w:pPr>
      <w:r w:rsidRPr="0075280E">
        <w:rPr>
          <w:rFonts w:eastAsia="SimSun" w:cs="SimSun"/>
          <w:szCs w:val="24"/>
          <w:lang w:eastAsia="zh-CN"/>
        </w:rPr>
        <w:t>85 </w:t>
      </w:r>
      <w:r w:rsidRPr="0075280E">
        <w:rPr>
          <w:rFonts w:eastAsia="SimSun" w:cs="SimSun"/>
          <w:b/>
          <w:bCs/>
          <w:szCs w:val="24"/>
          <w:lang w:eastAsia="zh-CN"/>
        </w:rPr>
        <w:t>Arijs I</w:t>
      </w:r>
      <w:r w:rsidRPr="0075280E">
        <w:rPr>
          <w:rFonts w:eastAsia="SimSun" w:cs="SimSun"/>
          <w:szCs w:val="24"/>
          <w:lang w:eastAsia="zh-CN"/>
        </w:rPr>
        <w:t>, Li K, Toedter G, Quintens R, Van Lommel L, Van Steen K, Leemans P, De Hertogh G, Lemaire K, Ferrante M, Schnitzler F, Thorrez L, Ma K, Song XY, Marano C, Van Assche G, Vermeire S, Geboes K, Schuit F, Baribaud F, Rutgeerts P. Mucosal gene signatures to predict response to infliximab in patients with ulcerative colitis. </w:t>
      </w:r>
      <w:r w:rsidRPr="0075280E">
        <w:rPr>
          <w:rFonts w:eastAsia="SimSun" w:cs="SimSun"/>
          <w:i/>
          <w:iCs/>
          <w:szCs w:val="24"/>
          <w:lang w:eastAsia="zh-CN"/>
        </w:rPr>
        <w:t>Gut</w:t>
      </w:r>
      <w:r w:rsidRPr="0075280E">
        <w:rPr>
          <w:rFonts w:eastAsia="SimSun" w:cs="SimSun"/>
          <w:szCs w:val="24"/>
          <w:lang w:eastAsia="zh-CN"/>
        </w:rPr>
        <w:t> 2009; </w:t>
      </w:r>
      <w:r w:rsidRPr="0075280E">
        <w:rPr>
          <w:rFonts w:eastAsia="SimSun" w:cs="SimSun"/>
          <w:b/>
          <w:bCs/>
          <w:szCs w:val="24"/>
          <w:lang w:eastAsia="zh-CN"/>
        </w:rPr>
        <w:t>58</w:t>
      </w:r>
      <w:r w:rsidRPr="0075280E">
        <w:rPr>
          <w:rFonts w:eastAsia="SimSun" w:cs="SimSun"/>
          <w:szCs w:val="24"/>
          <w:lang w:eastAsia="zh-CN"/>
        </w:rPr>
        <w:t>: 1612-1619 [PMID: 19700435 DOI: 10.1136/gut.2009.178665]</w:t>
      </w:r>
    </w:p>
    <w:p w:rsidR="00E36671" w:rsidRPr="000F1379" w:rsidRDefault="00E36671" w:rsidP="00E36671">
      <w:pPr>
        <w:wordWrap w:val="0"/>
        <w:snapToGrid w:val="0"/>
        <w:spacing w:after="0"/>
        <w:jc w:val="right"/>
        <w:rPr>
          <w:rFonts w:eastAsia="SimSun" w:cs="Times New Roman"/>
          <w:szCs w:val="24"/>
          <w:lang w:eastAsia="zh-CN"/>
        </w:rPr>
      </w:pPr>
      <w:bookmarkStart w:id="28" w:name="OLE_LINK51"/>
      <w:bookmarkStart w:id="29" w:name="OLE_LINK52"/>
      <w:bookmarkStart w:id="30" w:name="OLE_LINK120"/>
      <w:bookmarkStart w:id="31" w:name="OLE_LINK148"/>
      <w:bookmarkStart w:id="32" w:name="OLE_LINK72"/>
      <w:bookmarkStart w:id="33" w:name="OLE_LINK112"/>
      <w:bookmarkStart w:id="34" w:name="OLE_LINK320"/>
      <w:bookmarkStart w:id="35" w:name="OLE_LINK387"/>
      <w:bookmarkStart w:id="36" w:name="OLE_LINK183"/>
      <w:bookmarkStart w:id="37" w:name="OLE_LINK254"/>
      <w:bookmarkStart w:id="38" w:name="OLE_LINK149"/>
      <w:bookmarkStart w:id="39" w:name="OLE_LINK225"/>
      <w:bookmarkStart w:id="40" w:name="OLE_LINK207"/>
      <w:bookmarkStart w:id="41" w:name="OLE_LINK226"/>
      <w:bookmarkStart w:id="42" w:name="OLE_LINK212"/>
      <w:bookmarkStart w:id="43" w:name="OLE_LINK250"/>
      <w:bookmarkStart w:id="44" w:name="OLE_LINK281"/>
      <w:bookmarkStart w:id="45" w:name="OLE_LINK282"/>
      <w:bookmarkStart w:id="46" w:name="OLE_LINK313"/>
      <w:bookmarkStart w:id="47" w:name="OLE_LINK304"/>
      <w:bookmarkStart w:id="48" w:name="OLE_LINK321"/>
      <w:bookmarkStart w:id="49" w:name="OLE_LINK385"/>
      <w:bookmarkStart w:id="50" w:name="OLE_LINK400"/>
      <w:bookmarkStart w:id="51" w:name="OLE_LINK346"/>
      <w:bookmarkStart w:id="52" w:name="OLE_LINK371"/>
      <w:bookmarkStart w:id="53" w:name="OLE_LINK334"/>
      <w:bookmarkStart w:id="54" w:name="OLE_LINK1830"/>
      <w:bookmarkStart w:id="55" w:name="OLE_LINK457"/>
      <w:bookmarkStart w:id="56" w:name="OLE_LINK288"/>
      <w:bookmarkStart w:id="57" w:name="OLE_LINK384"/>
      <w:bookmarkStart w:id="58" w:name="OLE_LINK379"/>
      <w:bookmarkStart w:id="59" w:name="OLE_LINK303"/>
      <w:bookmarkStart w:id="60" w:name="OLE_LINK450"/>
      <w:bookmarkStart w:id="61" w:name="OLE_LINK489"/>
      <w:bookmarkStart w:id="62" w:name="OLE_LINK535"/>
      <w:bookmarkStart w:id="63" w:name="OLE_LINK648"/>
      <w:bookmarkStart w:id="64" w:name="OLE_LINK686"/>
      <w:bookmarkStart w:id="65" w:name="OLE_LINK471"/>
      <w:bookmarkStart w:id="66" w:name="OLE_LINK462"/>
      <w:bookmarkStart w:id="67" w:name="OLE_LINK519"/>
      <w:bookmarkStart w:id="68" w:name="OLE_LINK575"/>
      <w:bookmarkStart w:id="69" w:name="OLE_LINK491"/>
      <w:bookmarkStart w:id="70" w:name="OLE_LINK532"/>
      <w:bookmarkStart w:id="71" w:name="OLE_LINK572"/>
      <w:bookmarkStart w:id="72" w:name="OLE_LINK574"/>
      <w:bookmarkStart w:id="73" w:name="OLE_LINK480"/>
      <w:bookmarkStart w:id="74" w:name="OLE_LINK567"/>
      <w:bookmarkStart w:id="75" w:name="OLE_LINK2700"/>
      <w:bookmarkStart w:id="76" w:name="OLE_LINK581"/>
      <w:bookmarkStart w:id="77" w:name="OLE_LINK639"/>
      <w:bookmarkStart w:id="78" w:name="OLE_LINK688"/>
      <w:bookmarkStart w:id="79" w:name="OLE_LINK722"/>
      <w:bookmarkStart w:id="80" w:name="OLE_LINK542"/>
      <w:bookmarkStart w:id="81" w:name="OLE_LINK589"/>
      <w:bookmarkStart w:id="82" w:name="OLE_LINK582"/>
      <w:bookmarkStart w:id="83" w:name="OLE_LINK640"/>
      <w:bookmarkStart w:id="84" w:name="OLE_LINK714"/>
      <w:bookmarkStart w:id="85" w:name="OLE_LINK593"/>
      <w:bookmarkStart w:id="86" w:name="OLE_LINK716"/>
      <w:bookmarkStart w:id="87" w:name="OLE_LINK770"/>
      <w:bookmarkStart w:id="88" w:name="OLE_LINK801"/>
      <w:bookmarkStart w:id="89" w:name="OLE_LINK660"/>
      <w:bookmarkStart w:id="90" w:name="OLE_LINK781"/>
      <w:bookmarkStart w:id="91" w:name="OLE_LINK833"/>
      <w:bookmarkStart w:id="92" w:name="OLE_LINK642"/>
      <w:bookmarkStart w:id="93" w:name="OLE_LINK700"/>
      <w:bookmarkStart w:id="94" w:name="OLE_LINK792"/>
      <w:bookmarkStart w:id="95" w:name="OLE_LINK2882"/>
      <w:bookmarkStart w:id="96" w:name="OLE_LINK836"/>
      <w:bookmarkStart w:id="97" w:name="OLE_LINK889"/>
      <w:bookmarkStart w:id="98" w:name="OLE_LINK782"/>
      <w:bookmarkStart w:id="99" w:name="OLE_LINK826"/>
      <w:bookmarkStart w:id="100" w:name="OLE_LINK865"/>
      <w:bookmarkStart w:id="101" w:name="OLE_LINK856"/>
      <w:bookmarkStart w:id="102" w:name="OLE_LINK908"/>
      <w:bookmarkStart w:id="103" w:name="OLE_LINK980"/>
      <w:bookmarkStart w:id="104" w:name="OLE_LINK1018"/>
      <w:bookmarkStart w:id="105" w:name="OLE_LINK1049"/>
      <w:bookmarkStart w:id="106" w:name="OLE_LINK1076"/>
      <w:bookmarkStart w:id="107" w:name="OLE_LINK1106"/>
      <w:bookmarkStart w:id="108" w:name="OLE_LINK891"/>
      <w:bookmarkStart w:id="109" w:name="OLE_LINK943"/>
      <w:bookmarkStart w:id="110" w:name="OLE_LINK981"/>
      <w:bookmarkStart w:id="111" w:name="OLE_LINK1030"/>
      <w:bookmarkStart w:id="112" w:name="OLE_LINK847"/>
      <w:bookmarkStart w:id="113" w:name="OLE_LINK909"/>
      <w:bookmarkStart w:id="114" w:name="OLE_LINK906"/>
      <w:bookmarkStart w:id="115" w:name="OLE_LINK992"/>
      <w:bookmarkStart w:id="116" w:name="OLE_LINK993"/>
      <w:bookmarkStart w:id="117" w:name="OLE_LINK1052"/>
      <w:bookmarkStart w:id="118" w:name="OLE_LINK946"/>
      <w:bookmarkStart w:id="119" w:name="OLE_LINK911"/>
      <w:bookmarkStart w:id="120" w:name="OLE_LINK930"/>
      <w:bookmarkStart w:id="121" w:name="OLE_LINK1059"/>
      <w:bookmarkStart w:id="122" w:name="OLE_LINK1174"/>
      <w:bookmarkStart w:id="123" w:name="OLE_LINK1137"/>
      <w:bookmarkStart w:id="124" w:name="OLE_LINK1167"/>
      <w:bookmarkStart w:id="125" w:name="OLE_LINK1200"/>
      <w:bookmarkStart w:id="126" w:name="OLE_LINK1241"/>
      <w:bookmarkStart w:id="127" w:name="OLE_LINK1288"/>
      <w:bookmarkStart w:id="128" w:name="OLE_LINK1056"/>
      <w:bookmarkStart w:id="129" w:name="OLE_LINK1158"/>
      <w:bookmarkStart w:id="130" w:name="OLE_LINK1175"/>
      <w:bookmarkStart w:id="131" w:name="OLE_LINK1074"/>
      <w:bookmarkStart w:id="132" w:name="OLE_LINK1169"/>
      <w:r w:rsidRPr="000F1379">
        <w:rPr>
          <w:rFonts w:eastAsia="SimSun" w:cs="Times New Roman"/>
          <w:b/>
          <w:bCs/>
          <w:szCs w:val="24"/>
          <w:lang w:eastAsia="zh-CN"/>
        </w:rPr>
        <w:t>P-Reviewer:</w:t>
      </w:r>
      <w:r w:rsidRPr="000F1379">
        <w:rPr>
          <w:rFonts w:eastAsia="SimSun" w:cs="Times New Roman" w:hint="eastAsia"/>
          <w:b/>
          <w:bCs/>
          <w:szCs w:val="24"/>
          <w:lang w:eastAsia="zh-CN"/>
        </w:rPr>
        <w:t xml:space="preserve"> </w:t>
      </w:r>
      <w:r w:rsidRPr="000F1379">
        <w:rPr>
          <w:rFonts w:eastAsia="SimSun" w:cs="Times New Roman"/>
          <w:bCs/>
          <w:szCs w:val="24"/>
          <w:lang w:eastAsia="zh-CN"/>
        </w:rPr>
        <w:t>Eder</w:t>
      </w:r>
      <w:r w:rsidRPr="000F1379">
        <w:rPr>
          <w:rFonts w:eastAsia="SimSun" w:cs="Times New Roman" w:hint="eastAsia"/>
          <w:bCs/>
          <w:szCs w:val="24"/>
          <w:lang w:eastAsia="zh-CN"/>
        </w:rPr>
        <w:t xml:space="preserve"> </w:t>
      </w:r>
      <w:r w:rsidRPr="000F1379">
        <w:rPr>
          <w:rFonts w:eastAsia="SimSun" w:cs="Times New Roman"/>
          <w:bCs/>
          <w:szCs w:val="24"/>
          <w:lang w:eastAsia="zh-CN"/>
        </w:rPr>
        <w:t>P</w:t>
      </w:r>
      <w:r w:rsidRPr="000F1379">
        <w:rPr>
          <w:rFonts w:eastAsia="SimSun" w:cs="Times New Roman" w:hint="eastAsia"/>
          <w:bCs/>
          <w:szCs w:val="24"/>
          <w:lang w:eastAsia="zh-CN"/>
        </w:rPr>
        <w:t xml:space="preserve">, </w:t>
      </w:r>
      <w:r w:rsidRPr="000F1379">
        <w:rPr>
          <w:rFonts w:eastAsia="SimSun" w:cs="Times New Roman"/>
          <w:bCs/>
          <w:szCs w:val="24"/>
          <w:lang w:eastAsia="zh-CN"/>
        </w:rPr>
        <w:t>Ingle SB</w:t>
      </w:r>
      <w:r w:rsidRPr="000F1379">
        <w:rPr>
          <w:rFonts w:eastAsia="SimSun" w:cs="Times New Roman" w:hint="eastAsia"/>
          <w:bCs/>
          <w:szCs w:val="24"/>
          <w:lang w:eastAsia="zh-CN"/>
        </w:rPr>
        <w:t xml:space="preserve">, </w:t>
      </w:r>
      <w:r w:rsidRPr="000F1379">
        <w:rPr>
          <w:rFonts w:eastAsia="SimSun" w:cs="Times New Roman"/>
          <w:bCs/>
          <w:szCs w:val="24"/>
          <w:lang w:eastAsia="zh-CN"/>
        </w:rPr>
        <w:t>Papamichael</w:t>
      </w:r>
      <w:r w:rsidR="008B1B71">
        <w:rPr>
          <w:rFonts w:eastAsia="SimSun" w:cs="Times New Roman" w:hint="eastAsia"/>
          <w:bCs/>
          <w:szCs w:val="24"/>
          <w:lang w:eastAsia="zh-CN"/>
        </w:rPr>
        <w:t xml:space="preserve"> </w:t>
      </w:r>
      <w:r w:rsidRPr="000F1379">
        <w:rPr>
          <w:rFonts w:eastAsia="SimSun" w:cs="Times New Roman"/>
          <w:bCs/>
          <w:szCs w:val="24"/>
          <w:lang w:eastAsia="zh-CN"/>
        </w:rPr>
        <w:t>KX</w:t>
      </w:r>
      <w:r>
        <w:rPr>
          <w:rFonts w:eastAsia="SimSun" w:cs="Times New Roman" w:hint="eastAsia"/>
          <w:b/>
          <w:bCs/>
          <w:szCs w:val="24"/>
          <w:lang w:eastAsia="zh-CN"/>
        </w:rPr>
        <w:t xml:space="preserve"> </w:t>
      </w:r>
      <w:r w:rsidRPr="000F1379">
        <w:rPr>
          <w:rFonts w:eastAsia="SimSun" w:cs="Times New Roman"/>
          <w:b/>
          <w:bCs/>
          <w:szCs w:val="24"/>
          <w:lang w:eastAsia="zh-CN"/>
        </w:rPr>
        <w:t>S-Editor:</w:t>
      </w:r>
      <w:r w:rsidRPr="000F1379">
        <w:rPr>
          <w:rFonts w:eastAsia="SimSun" w:cs="Times New Roman" w:hint="eastAsia"/>
          <w:szCs w:val="24"/>
          <w:lang w:eastAsia="zh-CN"/>
        </w:rPr>
        <w:t xml:space="preserve"> Gong ZM</w:t>
      </w:r>
    </w:p>
    <w:p w:rsidR="00E36671" w:rsidRPr="000F1379" w:rsidRDefault="00E36671" w:rsidP="00E36671">
      <w:pPr>
        <w:snapToGrid w:val="0"/>
        <w:spacing w:after="0"/>
        <w:jc w:val="right"/>
        <w:rPr>
          <w:rFonts w:eastAsia="SimSun" w:cs="Times New Roman"/>
          <w:b/>
          <w:bCs/>
          <w:szCs w:val="24"/>
          <w:lang w:eastAsia="zh-CN"/>
        </w:rPr>
      </w:pPr>
      <w:r w:rsidRPr="000F1379">
        <w:rPr>
          <w:rFonts w:eastAsia="SimSun" w:cs="Times New Roman"/>
          <w:b/>
          <w:bCs/>
          <w:szCs w:val="24"/>
          <w:lang w:eastAsia="zh-CN"/>
        </w:rPr>
        <w:t>L-Editor:</w:t>
      </w:r>
      <w:r w:rsidRPr="000F1379">
        <w:rPr>
          <w:rFonts w:eastAsia="SimSun" w:cs="Times New Roman"/>
          <w:szCs w:val="24"/>
          <w:lang w:eastAsia="zh-CN"/>
        </w:rPr>
        <w:t xml:space="preserve"> </w:t>
      </w:r>
      <w:r w:rsidRPr="000F1379">
        <w:rPr>
          <w:rFonts w:eastAsia="SimSun" w:cs="Times New Roman"/>
          <w:b/>
          <w:bCs/>
          <w:szCs w:val="24"/>
          <w:lang w:eastAsia="zh-CN"/>
        </w:rPr>
        <w:t>E-Editor:</w:t>
      </w:r>
    </w:p>
    <w:p w:rsidR="00E36671" w:rsidRPr="000F1379" w:rsidRDefault="00E36671" w:rsidP="00E36671">
      <w:pPr>
        <w:shd w:val="clear" w:color="auto" w:fill="FFFFFF"/>
        <w:snapToGrid w:val="0"/>
        <w:spacing w:after="0"/>
        <w:rPr>
          <w:rFonts w:eastAsia="SimSun" w:cs="Helvetica"/>
          <w:b/>
          <w:szCs w:val="24"/>
          <w:lang w:eastAsia="zh-CN"/>
        </w:rPr>
      </w:pPr>
      <w:bookmarkStart w:id="133" w:name="OLE_LINK880"/>
      <w:bookmarkStart w:id="134" w:name="OLE_LINK881"/>
      <w:bookmarkStart w:id="135" w:name="OLE_LINK497"/>
      <w:bookmarkStart w:id="136" w:name="OLE_LINK81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0F1379">
        <w:rPr>
          <w:rFonts w:eastAsia="SimSun" w:cs="Helvetica"/>
          <w:b/>
          <w:szCs w:val="24"/>
          <w:lang w:eastAsia="zh-CN"/>
        </w:rPr>
        <w:t xml:space="preserve">Specialty type: </w:t>
      </w:r>
      <w:r w:rsidRPr="000F1379">
        <w:rPr>
          <w:rFonts w:eastAsia="SimSun" w:cs="Helvetica"/>
          <w:szCs w:val="24"/>
          <w:lang w:eastAsia="zh-CN"/>
        </w:rPr>
        <w:t>Gastroenterology and</w:t>
      </w:r>
      <w:r w:rsidRPr="000F1379">
        <w:rPr>
          <w:rFonts w:eastAsia="SimSun" w:cs="Helvetica" w:hint="eastAsia"/>
          <w:szCs w:val="24"/>
          <w:lang w:eastAsia="zh-CN"/>
        </w:rPr>
        <w:t xml:space="preserve"> </w:t>
      </w:r>
      <w:r w:rsidRPr="000F1379">
        <w:rPr>
          <w:rFonts w:eastAsia="SimSun" w:cs="Helvetica"/>
          <w:szCs w:val="24"/>
          <w:lang w:eastAsia="zh-CN"/>
        </w:rPr>
        <w:t>hepatology</w:t>
      </w:r>
    </w:p>
    <w:p w:rsidR="00E36671" w:rsidRPr="000F1379" w:rsidRDefault="00E36671" w:rsidP="00E36671">
      <w:pPr>
        <w:shd w:val="clear" w:color="auto" w:fill="FFFFFF"/>
        <w:snapToGrid w:val="0"/>
        <w:spacing w:after="0"/>
        <w:rPr>
          <w:rFonts w:eastAsia="SimSun" w:cs="Helvetica"/>
          <w:b/>
          <w:szCs w:val="24"/>
          <w:lang w:eastAsia="zh-CN"/>
        </w:rPr>
      </w:pPr>
      <w:r w:rsidRPr="000F1379">
        <w:rPr>
          <w:rFonts w:eastAsia="SimSun" w:cs="Helvetica"/>
          <w:b/>
          <w:szCs w:val="24"/>
          <w:lang w:eastAsia="zh-CN"/>
        </w:rPr>
        <w:t xml:space="preserve">Country of origin: </w:t>
      </w:r>
      <w:r>
        <w:rPr>
          <w:rFonts w:eastAsia="SimSun" w:cs="Helvetica" w:hint="eastAsia"/>
          <w:szCs w:val="24"/>
          <w:lang w:val="en-CA" w:eastAsia="zh-CN"/>
        </w:rPr>
        <w:t>Germany</w:t>
      </w:r>
    </w:p>
    <w:p w:rsidR="00E36671" w:rsidRPr="000F1379" w:rsidRDefault="00E36671" w:rsidP="00E36671">
      <w:pPr>
        <w:shd w:val="clear" w:color="auto" w:fill="FFFFFF"/>
        <w:snapToGrid w:val="0"/>
        <w:spacing w:after="0"/>
        <w:rPr>
          <w:rFonts w:eastAsia="SimSun" w:cs="Helvetica"/>
          <w:b/>
          <w:szCs w:val="24"/>
          <w:lang w:eastAsia="zh-CN"/>
        </w:rPr>
      </w:pPr>
      <w:r w:rsidRPr="000F1379">
        <w:rPr>
          <w:rFonts w:eastAsia="SimSun" w:cs="Helvetica"/>
          <w:b/>
          <w:szCs w:val="24"/>
          <w:lang w:eastAsia="zh-CN"/>
        </w:rPr>
        <w:t>Peer-review report classification</w:t>
      </w:r>
    </w:p>
    <w:p w:rsidR="00E36671" w:rsidRPr="000F1379" w:rsidRDefault="00E36671" w:rsidP="00E36671">
      <w:pPr>
        <w:shd w:val="clear" w:color="auto" w:fill="FFFFFF"/>
        <w:snapToGrid w:val="0"/>
        <w:spacing w:after="0"/>
        <w:rPr>
          <w:rFonts w:eastAsia="SimSun" w:cs="Helvetica"/>
          <w:szCs w:val="24"/>
          <w:lang w:eastAsia="zh-CN"/>
        </w:rPr>
      </w:pPr>
      <w:r w:rsidRPr="000F1379">
        <w:rPr>
          <w:rFonts w:eastAsia="SimSun" w:cs="Helvetica"/>
          <w:szCs w:val="24"/>
          <w:lang w:eastAsia="zh-CN"/>
        </w:rPr>
        <w:t xml:space="preserve">Grade A (Excellent): </w:t>
      </w:r>
      <w:r>
        <w:rPr>
          <w:rFonts w:eastAsia="SimSun" w:cs="Helvetica" w:hint="eastAsia"/>
          <w:szCs w:val="24"/>
          <w:lang w:eastAsia="zh-CN"/>
        </w:rPr>
        <w:t>A</w:t>
      </w:r>
    </w:p>
    <w:p w:rsidR="00E36671" w:rsidRPr="000F1379" w:rsidRDefault="00E36671" w:rsidP="00E36671">
      <w:pPr>
        <w:shd w:val="clear" w:color="auto" w:fill="FFFFFF"/>
        <w:snapToGrid w:val="0"/>
        <w:spacing w:after="0"/>
        <w:rPr>
          <w:rFonts w:eastAsia="SimSun" w:cs="Helvetica"/>
          <w:szCs w:val="24"/>
          <w:lang w:eastAsia="zh-CN"/>
        </w:rPr>
      </w:pPr>
      <w:r w:rsidRPr="000F1379">
        <w:rPr>
          <w:rFonts w:eastAsia="SimSun" w:cs="Helvetica"/>
          <w:szCs w:val="24"/>
          <w:lang w:eastAsia="zh-CN"/>
        </w:rPr>
        <w:lastRenderedPageBreak/>
        <w:t xml:space="preserve">Grade B (Very good): </w:t>
      </w:r>
      <w:r>
        <w:rPr>
          <w:rFonts w:eastAsia="SimSun" w:cs="Helvetica" w:hint="eastAsia"/>
          <w:szCs w:val="24"/>
          <w:lang w:eastAsia="zh-CN"/>
        </w:rPr>
        <w:t>B</w:t>
      </w:r>
    </w:p>
    <w:p w:rsidR="00E36671" w:rsidRPr="000F1379" w:rsidRDefault="00E36671" w:rsidP="00E36671">
      <w:pPr>
        <w:shd w:val="clear" w:color="auto" w:fill="FFFFFF"/>
        <w:snapToGrid w:val="0"/>
        <w:spacing w:after="0"/>
        <w:rPr>
          <w:rFonts w:eastAsia="SimSun" w:cs="Helvetica"/>
          <w:szCs w:val="24"/>
          <w:lang w:eastAsia="zh-CN"/>
        </w:rPr>
      </w:pPr>
      <w:r w:rsidRPr="000F1379">
        <w:rPr>
          <w:rFonts w:eastAsia="SimSun" w:cs="Helvetica"/>
          <w:szCs w:val="24"/>
          <w:lang w:eastAsia="zh-CN"/>
        </w:rPr>
        <w:t xml:space="preserve">Grade C (Good): </w:t>
      </w:r>
      <w:r w:rsidRPr="000F1379">
        <w:rPr>
          <w:rFonts w:eastAsia="SimSun" w:cs="Helvetica" w:hint="eastAsia"/>
          <w:szCs w:val="24"/>
          <w:lang w:eastAsia="zh-CN"/>
        </w:rPr>
        <w:t>C</w:t>
      </w:r>
    </w:p>
    <w:p w:rsidR="00E36671" w:rsidRPr="000F1379" w:rsidRDefault="00E36671" w:rsidP="00E36671">
      <w:pPr>
        <w:shd w:val="clear" w:color="auto" w:fill="FFFFFF"/>
        <w:snapToGrid w:val="0"/>
        <w:spacing w:after="0"/>
        <w:rPr>
          <w:rFonts w:eastAsia="SimSun" w:cs="Helvetica"/>
          <w:szCs w:val="24"/>
          <w:lang w:eastAsia="zh-CN"/>
        </w:rPr>
      </w:pPr>
      <w:r w:rsidRPr="000F1379">
        <w:rPr>
          <w:rFonts w:eastAsia="SimSun" w:cs="Helvetica"/>
          <w:szCs w:val="24"/>
          <w:lang w:eastAsia="zh-CN"/>
        </w:rPr>
        <w:t xml:space="preserve">Grade D (Fair): </w:t>
      </w:r>
      <w:r w:rsidRPr="000F1379">
        <w:rPr>
          <w:rFonts w:eastAsia="SimSun" w:cs="Helvetica" w:hint="eastAsia"/>
          <w:szCs w:val="24"/>
          <w:lang w:eastAsia="zh-CN"/>
        </w:rPr>
        <w:t>0</w:t>
      </w:r>
    </w:p>
    <w:p w:rsidR="0013290E" w:rsidRDefault="00E36671" w:rsidP="00E36671">
      <w:pPr>
        <w:shd w:val="clear" w:color="auto" w:fill="FFFFFF"/>
        <w:snapToGrid w:val="0"/>
        <w:spacing w:after="0"/>
        <w:rPr>
          <w:rFonts w:eastAsia="SimSun" w:cs="Helvetica"/>
          <w:szCs w:val="24"/>
          <w:lang w:eastAsia="zh-CN"/>
        </w:rPr>
      </w:pPr>
      <w:r w:rsidRPr="000F1379">
        <w:rPr>
          <w:rFonts w:eastAsia="SimSun" w:cs="Helvetica"/>
          <w:szCs w:val="24"/>
          <w:lang w:eastAsia="zh-CN"/>
        </w:rPr>
        <w:t xml:space="preserve">Grade E (Poor): </w:t>
      </w:r>
      <w:r w:rsidRPr="000F1379">
        <w:rPr>
          <w:rFonts w:eastAsia="SimSun" w:cs="Helvetica" w:hint="eastAsia"/>
          <w:szCs w:val="24"/>
          <w:lang w:eastAsia="zh-CN"/>
        </w:rPr>
        <w:t>0</w:t>
      </w:r>
      <w:bookmarkEnd w:id="133"/>
      <w:bookmarkEnd w:id="134"/>
    </w:p>
    <w:p w:rsidR="0013290E" w:rsidRDefault="0013290E">
      <w:pPr>
        <w:spacing w:after="160" w:line="259" w:lineRule="auto"/>
        <w:jc w:val="left"/>
        <w:rPr>
          <w:rFonts w:eastAsia="SimSun" w:cs="Helvetica"/>
          <w:szCs w:val="24"/>
          <w:lang w:eastAsia="zh-CN"/>
        </w:rPr>
      </w:pPr>
      <w:r>
        <w:rPr>
          <w:rFonts w:eastAsia="SimSun" w:cs="Helvetica"/>
          <w:szCs w:val="24"/>
          <w:lang w:eastAsia="zh-CN"/>
        </w:rPr>
        <w:br w:type="page"/>
      </w:r>
    </w:p>
    <w:bookmarkEnd w:id="135"/>
    <w:bookmarkEnd w:id="136"/>
    <w:p w:rsidR="00FC2631" w:rsidRPr="0013290E" w:rsidRDefault="00462FB9" w:rsidP="0013290E">
      <w:pPr>
        <w:spacing w:after="160"/>
        <w:rPr>
          <w:lang w:eastAsia="zh-CN"/>
        </w:rPr>
      </w:pPr>
      <w:r>
        <w:rPr>
          <w:noProof/>
          <w:lang w:eastAsia="zh-CN"/>
        </w:rPr>
        <w:lastRenderedPageBreak/>
        <w:drawing>
          <wp:inline distT="0" distB="0" distL="0" distR="0" wp14:anchorId="214CCFA9" wp14:editId="1AC74B68">
            <wp:extent cx="5486400" cy="2148840"/>
            <wp:effectExtent l="0" t="0" r="0" b="381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148840"/>
                    </a:xfrm>
                    <a:prstGeom prst="rect">
                      <a:avLst/>
                    </a:prstGeom>
                  </pic:spPr>
                </pic:pic>
              </a:graphicData>
            </a:graphic>
          </wp:inline>
        </w:drawing>
      </w:r>
      <w:r w:rsidR="00B728D3" w:rsidRPr="00F041FF">
        <w:rPr>
          <w:b/>
          <w:szCs w:val="24"/>
          <w:lang w:eastAsia="de-DE"/>
        </w:rPr>
        <w:t>Figure 1</w:t>
      </w:r>
      <w:r w:rsidR="00FC2631">
        <w:rPr>
          <w:rFonts w:hint="eastAsia"/>
          <w:b/>
          <w:szCs w:val="24"/>
          <w:lang w:eastAsia="zh-CN"/>
        </w:rPr>
        <w:t xml:space="preserve"> </w:t>
      </w:r>
      <w:r w:rsidR="00B728D3" w:rsidRPr="00F041FF">
        <w:rPr>
          <w:b/>
          <w:szCs w:val="24"/>
          <w:lang w:eastAsia="de-DE"/>
        </w:rPr>
        <w:t xml:space="preserve">Expression of </w:t>
      </w:r>
      <w:r w:rsidR="00FC2631" w:rsidRPr="00FC2631">
        <w:rPr>
          <w:b/>
          <w:szCs w:val="24"/>
          <w:lang w:eastAsia="de-DE"/>
        </w:rPr>
        <w:t>membrane-bound tumor necrosis factor</w:t>
      </w:r>
      <w:r w:rsidR="00B728D3" w:rsidRPr="00F041FF">
        <w:rPr>
          <w:b/>
          <w:szCs w:val="24"/>
          <w:lang w:eastAsia="de-DE"/>
        </w:rPr>
        <w:t xml:space="preserve"> in the gut.</w:t>
      </w:r>
      <w:r w:rsidR="00FC2631">
        <w:rPr>
          <w:rFonts w:hint="eastAsia"/>
          <w:szCs w:val="24"/>
          <w:lang w:eastAsia="zh-CN"/>
        </w:rPr>
        <w:t xml:space="preserve"> </w:t>
      </w:r>
      <w:r w:rsidR="00B728D3" w:rsidRPr="00F041FF">
        <w:rPr>
          <w:szCs w:val="24"/>
          <w:lang w:eastAsia="de-DE"/>
        </w:rPr>
        <w:t xml:space="preserve">Gut tissue of patients with CD </w:t>
      </w:r>
      <w:r w:rsidR="00022A93" w:rsidRPr="00F041FF">
        <w:rPr>
          <w:szCs w:val="24"/>
          <w:lang w:eastAsia="de-DE"/>
        </w:rPr>
        <w:t>w</w:t>
      </w:r>
      <w:r w:rsidR="00022A93">
        <w:rPr>
          <w:szCs w:val="24"/>
          <w:lang w:eastAsia="de-DE"/>
        </w:rPr>
        <w:t>as</w:t>
      </w:r>
      <w:r w:rsidR="00022A93" w:rsidRPr="00F041FF">
        <w:rPr>
          <w:szCs w:val="24"/>
          <w:lang w:eastAsia="de-DE"/>
        </w:rPr>
        <w:t xml:space="preserve"> </w:t>
      </w:r>
      <w:r w:rsidR="00B728D3" w:rsidRPr="00F041FF">
        <w:rPr>
          <w:szCs w:val="24"/>
          <w:lang w:eastAsia="de-DE"/>
        </w:rPr>
        <w:t>cryo-frozen and stained for cell markers by immunofluorescence. Nuclei were counterstained with DAPI. Left: Staining for mTNF (green). Right: Staining for mTNF (green) and CD14 (red). Co-expressing cells are labeled with an arrow.</w:t>
      </w:r>
      <w:r w:rsidR="00FC2631">
        <w:rPr>
          <w:rFonts w:hint="eastAsia"/>
          <w:szCs w:val="24"/>
          <w:lang w:eastAsia="zh-CN"/>
        </w:rPr>
        <w:t xml:space="preserve"> </w:t>
      </w:r>
    </w:p>
    <w:p w:rsidR="0013290E" w:rsidRDefault="0013290E">
      <w:pPr>
        <w:spacing w:after="160" w:line="259" w:lineRule="auto"/>
        <w:jc w:val="left"/>
        <w:rPr>
          <w:b/>
          <w:szCs w:val="24"/>
          <w:lang w:eastAsia="zh-CN"/>
        </w:rPr>
      </w:pPr>
      <w:r>
        <w:rPr>
          <w:b/>
          <w:szCs w:val="24"/>
          <w:lang w:eastAsia="zh-CN"/>
        </w:rPr>
        <w:br w:type="page"/>
      </w:r>
    </w:p>
    <w:p w:rsidR="0045446E" w:rsidRPr="00F041FF" w:rsidRDefault="0045446E" w:rsidP="00D4383F">
      <w:pPr>
        <w:widowControl w:val="0"/>
        <w:snapToGrid w:val="0"/>
        <w:spacing w:after="0"/>
        <w:rPr>
          <w:b/>
          <w:szCs w:val="24"/>
          <w:lang w:eastAsia="zh-CN"/>
        </w:rPr>
      </w:pPr>
    </w:p>
    <w:p w:rsidR="00FD22F5" w:rsidRPr="0013290E" w:rsidRDefault="00462FB9" w:rsidP="0013290E">
      <w:pPr>
        <w:spacing w:after="160"/>
        <w:rPr>
          <w:b/>
          <w:szCs w:val="24"/>
          <w:lang w:eastAsia="de-DE"/>
        </w:rPr>
      </w:pPr>
      <w:r>
        <w:rPr>
          <w:noProof/>
          <w:lang w:eastAsia="zh-CN"/>
        </w:rPr>
        <w:drawing>
          <wp:inline distT="0" distB="0" distL="0" distR="0" wp14:anchorId="495B8FD8" wp14:editId="58AA3439">
            <wp:extent cx="5649076" cy="3562710"/>
            <wp:effectExtent l="0" t="0" r="889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50582" cy="3563660"/>
                    </a:xfrm>
                    <a:prstGeom prst="rect">
                      <a:avLst/>
                    </a:prstGeom>
                  </pic:spPr>
                </pic:pic>
              </a:graphicData>
            </a:graphic>
          </wp:inline>
        </w:drawing>
      </w:r>
      <w:r w:rsidR="00B728D3" w:rsidRPr="00F041FF">
        <w:rPr>
          <w:b/>
          <w:szCs w:val="24"/>
          <w:lang w:eastAsia="de-DE"/>
        </w:rPr>
        <w:t>Figure 2</w:t>
      </w:r>
      <w:r w:rsidR="00FC2631">
        <w:rPr>
          <w:rFonts w:hint="eastAsia"/>
          <w:b/>
          <w:szCs w:val="24"/>
          <w:lang w:eastAsia="zh-CN"/>
        </w:rPr>
        <w:t xml:space="preserve"> </w:t>
      </w:r>
      <w:r w:rsidR="00B728D3" w:rsidRPr="00F041FF">
        <w:rPr>
          <w:b/>
          <w:szCs w:val="24"/>
          <w:lang w:eastAsia="de-DE"/>
        </w:rPr>
        <w:t>Mechanism of action of anti-</w:t>
      </w:r>
      <w:r w:rsidR="00FC2631" w:rsidRPr="00FC2631">
        <w:rPr>
          <w:b/>
          <w:szCs w:val="24"/>
          <w:lang w:eastAsia="de-DE"/>
        </w:rPr>
        <w:t>tumor necrosis factor</w:t>
      </w:r>
      <w:r w:rsidR="00B728D3" w:rsidRPr="00F041FF">
        <w:rPr>
          <w:b/>
          <w:szCs w:val="24"/>
          <w:lang w:eastAsia="de-DE"/>
        </w:rPr>
        <w:t xml:space="preserve"> antibodies in </w:t>
      </w:r>
      <w:r w:rsidR="00FC2631" w:rsidRPr="00FC2631">
        <w:rPr>
          <w:b/>
          <w:szCs w:val="24"/>
          <w:lang w:eastAsia="de-DE"/>
        </w:rPr>
        <w:t>inflammatory bowel disease</w:t>
      </w:r>
      <w:r w:rsidR="00B728D3" w:rsidRPr="00F041FF">
        <w:rPr>
          <w:b/>
          <w:szCs w:val="24"/>
          <w:lang w:eastAsia="de-DE"/>
        </w:rPr>
        <w:t>.</w:t>
      </w:r>
      <w:r w:rsidR="00FC2631">
        <w:rPr>
          <w:rFonts w:hint="eastAsia"/>
          <w:b/>
          <w:szCs w:val="24"/>
          <w:lang w:eastAsia="zh-CN"/>
        </w:rPr>
        <w:t xml:space="preserve"> </w:t>
      </w:r>
      <w:r w:rsidR="00B728D3" w:rsidRPr="00F041FF">
        <w:rPr>
          <w:szCs w:val="24"/>
          <w:lang w:eastAsia="de-DE"/>
        </w:rPr>
        <w:t>Schematic illustration of different modes of action of anti-TNF antibodies in inflammatory bowel diseases.</w:t>
      </w:r>
      <w:r w:rsidR="0013290E">
        <w:rPr>
          <w:rFonts w:hint="eastAsia"/>
          <w:szCs w:val="24"/>
          <w:lang w:eastAsia="zh-CN"/>
        </w:rPr>
        <w:t xml:space="preserve"> </w:t>
      </w:r>
      <w:r w:rsidR="00FD22F5" w:rsidRPr="00F041FF">
        <w:rPr>
          <w:szCs w:val="24"/>
          <w:lang w:eastAsia="de-DE"/>
        </w:rPr>
        <w:t>TNF</w:t>
      </w:r>
      <w:r w:rsidR="00FD22F5">
        <w:rPr>
          <w:rFonts w:hint="eastAsia"/>
          <w:szCs w:val="24"/>
          <w:lang w:eastAsia="zh-CN"/>
        </w:rPr>
        <w:t xml:space="preserve">: </w:t>
      </w:r>
      <w:r w:rsidR="00FD22F5" w:rsidRPr="00FC2631">
        <w:rPr>
          <w:caps/>
          <w:szCs w:val="24"/>
          <w:lang w:eastAsia="de-DE"/>
        </w:rPr>
        <w:t>t</w:t>
      </w:r>
      <w:r w:rsidR="00FD22F5" w:rsidRPr="00FC2631">
        <w:rPr>
          <w:szCs w:val="24"/>
          <w:lang w:eastAsia="de-DE"/>
        </w:rPr>
        <w:t>umor necrosis factor</w:t>
      </w:r>
      <w:r w:rsidR="00FD22F5" w:rsidRPr="00FC2631">
        <w:rPr>
          <w:rFonts w:hint="eastAsia"/>
          <w:szCs w:val="24"/>
          <w:lang w:eastAsia="zh-CN"/>
        </w:rPr>
        <w:t>;</w:t>
      </w:r>
      <w:r w:rsidR="00FD22F5" w:rsidRPr="00F041FF">
        <w:rPr>
          <w:szCs w:val="24"/>
          <w:lang w:eastAsia="de-DE"/>
        </w:rPr>
        <w:t xml:space="preserve"> mTNF: </w:t>
      </w:r>
      <w:r w:rsidR="00FD22F5" w:rsidRPr="00FC2631">
        <w:rPr>
          <w:caps/>
          <w:szCs w:val="24"/>
          <w:lang w:eastAsia="de-DE"/>
        </w:rPr>
        <w:t>m</w:t>
      </w:r>
      <w:r w:rsidR="00FD22F5" w:rsidRPr="00F041FF">
        <w:rPr>
          <w:szCs w:val="24"/>
          <w:lang w:eastAsia="de-DE"/>
        </w:rPr>
        <w:t xml:space="preserve">embrane-bound TNF; sTNF: </w:t>
      </w:r>
      <w:r w:rsidR="00FD22F5" w:rsidRPr="00FC2631">
        <w:rPr>
          <w:caps/>
          <w:szCs w:val="24"/>
          <w:lang w:eastAsia="de-DE"/>
        </w:rPr>
        <w:t>s</w:t>
      </w:r>
      <w:r w:rsidR="00FD22F5" w:rsidRPr="00F041FF">
        <w:rPr>
          <w:szCs w:val="24"/>
          <w:lang w:eastAsia="de-DE"/>
        </w:rPr>
        <w:t xml:space="preserve">oluble TNF; </w:t>
      </w:r>
      <w:r w:rsidR="00FD22F5" w:rsidRPr="00FC2631">
        <w:rPr>
          <w:szCs w:val="24"/>
          <w:lang w:val="en-GB" w:eastAsia="de-DE"/>
        </w:rPr>
        <w:t>TNFR</w:t>
      </w:r>
      <w:r w:rsidR="00FD22F5" w:rsidRPr="00FC2631">
        <w:rPr>
          <w:rFonts w:hint="eastAsia"/>
          <w:szCs w:val="24"/>
          <w:lang w:val="en-GB" w:eastAsia="zh-CN"/>
        </w:rPr>
        <w:t>:</w:t>
      </w:r>
      <w:r w:rsidR="00FD22F5" w:rsidRPr="00FC2631">
        <w:rPr>
          <w:szCs w:val="24"/>
          <w:lang w:val="en-GB" w:eastAsia="de-DE"/>
        </w:rPr>
        <w:t xml:space="preserve"> </w:t>
      </w:r>
      <w:r w:rsidR="00FD22F5" w:rsidRPr="00FC2631">
        <w:rPr>
          <w:szCs w:val="24"/>
          <w:lang w:eastAsia="de-DE"/>
        </w:rPr>
        <w:t>TNF receptor;</w:t>
      </w:r>
      <w:r w:rsidR="00FD22F5" w:rsidRPr="00FC2631">
        <w:rPr>
          <w:rFonts w:hint="eastAsia"/>
          <w:szCs w:val="24"/>
          <w:lang w:eastAsia="zh-CN"/>
        </w:rPr>
        <w:t xml:space="preserve"> </w:t>
      </w:r>
      <w:r w:rsidR="00FD22F5" w:rsidRPr="00F041FF">
        <w:rPr>
          <w:szCs w:val="24"/>
          <w:lang w:eastAsia="de-DE"/>
        </w:rPr>
        <w:t xml:space="preserve">NK cell: </w:t>
      </w:r>
      <w:r w:rsidR="00FD22F5" w:rsidRPr="00FC2631">
        <w:rPr>
          <w:caps/>
          <w:szCs w:val="24"/>
          <w:lang w:eastAsia="de-DE"/>
        </w:rPr>
        <w:t>n</w:t>
      </w:r>
      <w:r w:rsidR="00FD22F5" w:rsidRPr="00F041FF">
        <w:rPr>
          <w:szCs w:val="24"/>
          <w:lang w:eastAsia="de-DE"/>
        </w:rPr>
        <w:t>atural killer cell</w:t>
      </w:r>
      <w:r w:rsidR="00FD22F5">
        <w:rPr>
          <w:rFonts w:hint="eastAsia"/>
          <w:szCs w:val="24"/>
          <w:lang w:eastAsia="zh-CN"/>
        </w:rPr>
        <w:t>;</w:t>
      </w:r>
      <w:r w:rsidR="00FD22F5">
        <w:rPr>
          <w:rFonts w:hint="eastAsia"/>
          <w:noProof/>
          <w:color w:val="000000"/>
          <w:szCs w:val="24"/>
          <w:lang w:eastAsia="zh-CN"/>
        </w:rPr>
        <w:t xml:space="preserve"> </w:t>
      </w:r>
      <w:r w:rsidR="00FD22F5" w:rsidRPr="00FC2631">
        <w:rPr>
          <w:noProof/>
          <w:color w:val="000000"/>
          <w:szCs w:val="24"/>
          <w:lang w:eastAsia="de-DE"/>
        </w:rPr>
        <w:t>ADCC</w:t>
      </w:r>
      <w:r w:rsidR="00FD22F5" w:rsidRPr="00FC2631">
        <w:rPr>
          <w:rFonts w:hint="eastAsia"/>
          <w:noProof/>
          <w:color w:val="000000"/>
          <w:szCs w:val="24"/>
          <w:lang w:eastAsia="zh-CN"/>
        </w:rPr>
        <w:t>:</w:t>
      </w:r>
      <w:r w:rsidR="00FD22F5" w:rsidRPr="00FC2631">
        <w:rPr>
          <w:noProof/>
          <w:color w:val="000000"/>
          <w:szCs w:val="24"/>
          <w:lang w:eastAsia="de-DE"/>
        </w:rPr>
        <w:t xml:space="preserve"> </w:t>
      </w:r>
      <w:r w:rsidR="00FD22F5" w:rsidRPr="00FC2631">
        <w:rPr>
          <w:caps/>
          <w:noProof/>
          <w:color w:val="000000"/>
          <w:szCs w:val="24"/>
          <w:lang w:eastAsia="de-DE"/>
        </w:rPr>
        <w:t>a</w:t>
      </w:r>
      <w:r w:rsidR="00FD22F5" w:rsidRPr="00FC2631">
        <w:rPr>
          <w:noProof/>
          <w:color w:val="000000"/>
          <w:szCs w:val="24"/>
          <w:lang w:eastAsia="de-DE"/>
        </w:rPr>
        <w:t>ntibody-dependent cellular cytotoxicity; CD</w:t>
      </w:r>
      <w:r w:rsidR="00FD22F5" w:rsidRPr="00FC2631">
        <w:rPr>
          <w:rFonts w:hint="eastAsia"/>
          <w:noProof/>
          <w:color w:val="000000"/>
          <w:szCs w:val="24"/>
          <w:lang w:eastAsia="zh-CN"/>
        </w:rPr>
        <w:t>:</w:t>
      </w:r>
      <w:r w:rsidR="00FD22F5" w:rsidRPr="00FC2631">
        <w:rPr>
          <w:noProof/>
          <w:color w:val="000000"/>
          <w:szCs w:val="24"/>
          <w:lang w:eastAsia="de-DE"/>
        </w:rPr>
        <w:t xml:space="preserve"> Crohn´s disease; CDC</w:t>
      </w:r>
      <w:r w:rsidR="00FD22F5" w:rsidRPr="00FC2631">
        <w:rPr>
          <w:rFonts w:hint="eastAsia"/>
          <w:noProof/>
          <w:color w:val="000000"/>
          <w:szCs w:val="24"/>
          <w:lang w:eastAsia="zh-CN"/>
        </w:rPr>
        <w:t>:</w:t>
      </w:r>
      <w:r w:rsidR="00FD22F5" w:rsidRPr="00FC2631">
        <w:rPr>
          <w:noProof/>
          <w:color w:val="000000"/>
          <w:szCs w:val="24"/>
          <w:lang w:eastAsia="de-DE"/>
        </w:rPr>
        <w:t xml:space="preserve"> </w:t>
      </w:r>
      <w:r w:rsidR="00FD22F5" w:rsidRPr="00FC2631">
        <w:rPr>
          <w:caps/>
          <w:noProof/>
          <w:color w:val="000000"/>
          <w:szCs w:val="24"/>
          <w:lang w:eastAsia="de-DE"/>
        </w:rPr>
        <w:t>c</w:t>
      </w:r>
      <w:r w:rsidR="00FD22F5" w:rsidRPr="00FC2631">
        <w:rPr>
          <w:noProof/>
          <w:color w:val="000000"/>
          <w:szCs w:val="24"/>
          <w:lang w:eastAsia="de-DE"/>
        </w:rPr>
        <w:t>o</w:t>
      </w:r>
      <w:r w:rsidR="00FD22F5">
        <w:rPr>
          <w:noProof/>
          <w:color w:val="000000"/>
          <w:szCs w:val="24"/>
          <w:lang w:eastAsia="de-DE"/>
        </w:rPr>
        <w:t>mplement-dependent cytotoxicity</w:t>
      </w:r>
      <w:r w:rsidR="00FD22F5">
        <w:rPr>
          <w:rFonts w:hint="eastAsia"/>
          <w:noProof/>
          <w:color w:val="000000"/>
          <w:szCs w:val="24"/>
          <w:lang w:eastAsia="zh-CN"/>
        </w:rPr>
        <w:t>.</w:t>
      </w:r>
    </w:p>
    <w:p w:rsidR="00F041FF" w:rsidRPr="00F041FF" w:rsidRDefault="00F041FF" w:rsidP="00D4383F">
      <w:pPr>
        <w:widowControl w:val="0"/>
        <w:snapToGrid w:val="0"/>
        <w:spacing w:after="0"/>
        <w:rPr>
          <w:rFonts w:eastAsiaTheme="majorEastAsia" w:cstheme="majorBidi"/>
          <w:b/>
          <w:bCs/>
          <w:szCs w:val="24"/>
          <w:lang w:eastAsia="de-DE"/>
        </w:rPr>
      </w:pPr>
      <w:r w:rsidRPr="00F041FF">
        <w:rPr>
          <w:szCs w:val="24"/>
          <w:lang w:eastAsia="de-DE"/>
        </w:rPr>
        <w:br w:type="page"/>
      </w:r>
    </w:p>
    <w:p w:rsidR="0045446E" w:rsidRPr="00F041FF" w:rsidRDefault="00B728D3" w:rsidP="00D4383F">
      <w:pPr>
        <w:pStyle w:val="Heading1"/>
        <w:keepNext w:val="0"/>
        <w:keepLines w:val="0"/>
        <w:widowControl w:val="0"/>
        <w:snapToGrid w:val="0"/>
        <w:spacing w:before="0" w:beforeAutospacing="0" w:after="0" w:afterAutospacing="0"/>
        <w:rPr>
          <w:sz w:val="24"/>
          <w:szCs w:val="24"/>
          <w:lang w:eastAsia="de-DE"/>
        </w:rPr>
      </w:pPr>
      <w:r w:rsidRPr="00F041FF">
        <w:rPr>
          <w:sz w:val="24"/>
          <w:szCs w:val="24"/>
          <w:lang w:eastAsia="de-DE"/>
        </w:rPr>
        <w:lastRenderedPageBreak/>
        <w:t>Table 1 Comparison of affini</w:t>
      </w:r>
      <w:r w:rsidR="0045446E" w:rsidRPr="00F041FF">
        <w:rPr>
          <w:sz w:val="24"/>
          <w:szCs w:val="24"/>
          <w:lang w:eastAsia="de-DE"/>
        </w:rPr>
        <w:t xml:space="preserve">ty to </w:t>
      </w:r>
      <w:r w:rsidR="00300253" w:rsidRPr="00300253">
        <w:rPr>
          <w:sz w:val="24"/>
          <w:szCs w:val="24"/>
          <w:lang w:eastAsia="de-DE"/>
        </w:rPr>
        <w:t>tumor necro</w:t>
      </w:r>
      <w:r w:rsidR="00300253" w:rsidRPr="00300253">
        <w:rPr>
          <w:sz w:val="24"/>
          <w:szCs w:val="24"/>
          <w:lang w:val="en-GB" w:eastAsia="de-DE"/>
        </w:rPr>
        <w:t>sis factor</w:t>
      </w:r>
      <w:r w:rsidR="0045446E" w:rsidRPr="00F041FF">
        <w:rPr>
          <w:sz w:val="24"/>
          <w:szCs w:val="24"/>
          <w:lang w:eastAsia="de-DE"/>
        </w:rPr>
        <w:t xml:space="preserve"> by anti-</w:t>
      </w:r>
      <w:r w:rsidR="00300253" w:rsidRPr="00300253">
        <w:rPr>
          <w:sz w:val="24"/>
          <w:szCs w:val="24"/>
          <w:lang w:eastAsia="de-DE"/>
        </w:rPr>
        <w:t>tumor necro</w:t>
      </w:r>
      <w:r w:rsidR="00300253" w:rsidRPr="00300253">
        <w:rPr>
          <w:sz w:val="24"/>
          <w:szCs w:val="24"/>
          <w:lang w:val="en-GB" w:eastAsia="de-DE"/>
        </w:rPr>
        <w:t>sis factor</w:t>
      </w:r>
      <w:r w:rsidR="0045446E" w:rsidRPr="00F041FF">
        <w:rPr>
          <w:sz w:val="24"/>
          <w:szCs w:val="24"/>
          <w:lang w:eastAsia="de-DE"/>
        </w:rPr>
        <w:t xml:space="preserve"> </w:t>
      </w:r>
      <w:r w:rsidR="00435E78" w:rsidRPr="00F041FF">
        <w:rPr>
          <w:sz w:val="24"/>
          <w:szCs w:val="24"/>
          <w:lang w:eastAsia="de-DE"/>
        </w:rPr>
        <w:t>a</w:t>
      </w:r>
      <w:r w:rsidR="00435E78">
        <w:rPr>
          <w:sz w:val="24"/>
          <w:szCs w:val="24"/>
          <w:lang w:eastAsia="de-DE"/>
        </w:rPr>
        <w:t>gents</w:t>
      </w:r>
    </w:p>
    <w:tbl>
      <w:tblPr>
        <w:tblStyle w:val="LightShading"/>
        <w:tblW w:w="10286" w:type="dxa"/>
        <w:tblLook w:val="04A0" w:firstRow="1" w:lastRow="0" w:firstColumn="1" w:lastColumn="0" w:noHBand="0" w:noVBand="1"/>
      </w:tblPr>
      <w:tblGrid>
        <w:gridCol w:w="1545"/>
        <w:gridCol w:w="4116"/>
        <w:gridCol w:w="3162"/>
        <w:gridCol w:w="1463"/>
      </w:tblGrid>
      <w:tr w:rsidR="00B728D3" w:rsidRPr="00F041FF" w:rsidTr="0030025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45" w:type="dxa"/>
          </w:tcPr>
          <w:p w:rsidR="00B728D3" w:rsidRPr="00F041FF" w:rsidRDefault="00B728D3" w:rsidP="00300253">
            <w:pPr>
              <w:widowControl w:val="0"/>
              <w:snapToGrid w:val="0"/>
              <w:spacing w:after="0"/>
              <w:jc w:val="left"/>
              <w:rPr>
                <w:szCs w:val="24"/>
              </w:rPr>
            </w:pPr>
            <w:r w:rsidRPr="00F041FF">
              <w:rPr>
                <w:szCs w:val="24"/>
              </w:rPr>
              <w:t>Target</w:t>
            </w:r>
          </w:p>
        </w:tc>
        <w:tc>
          <w:tcPr>
            <w:tcW w:w="4116" w:type="dxa"/>
          </w:tcPr>
          <w:p w:rsidR="00B728D3" w:rsidRPr="00F041FF" w:rsidRDefault="00B728D3" w:rsidP="00300253">
            <w:pPr>
              <w:widowControl w:val="0"/>
              <w:snapToGrid w:val="0"/>
              <w:spacing w:after="0"/>
              <w:jc w:val="center"/>
              <w:cnfStyle w:val="100000000000" w:firstRow="1" w:lastRow="0" w:firstColumn="0" w:lastColumn="0" w:oddVBand="0" w:evenVBand="0" w:oddHBand="0" w:evenHBand="0" w:firstRowFirstColumn="0" w:firstRowLastColumn="0" w:lastRowFirstColumn="0" w:lastRowLastColumn="0"/>
              <w:rPr>
                <w:szCs w:val="24"/>
              </w:rPr>
            </w:pPr>
            <w:r w:rsidRPr="00F041FF">
              <w:rPr>
                <w:szCs w:val="24"/>
              </w:rPr>
              <w:t>Method /source</w:t>
            </w:r>
          </w:p>
        </w:tc>
        <w:tc>
          <w:tcPr>
            <w:tcW w:w="3162" w:type="dxa"/>
          </w:tcPr>
          <w:p w:rsidR="00B728D3" w:rsidRPr="00F041FF" w:rsidRDefault="00B728D3" w:rsidP="00300253">
            <w:pPr>
              <w:widowControl w:val="0"/>
              <w:snapToGrid w:val="0"/>
              <w:spacing w:after="0"/>
              <w:jc w:val="center"/>
              <w:cnfStyle w:val="100000000000" w:firstRow="1" w:lastRow="0" w:firstColumn="0" w:lastColumn="0" w:oddVBand="0" w:evenVBand="0" w:oddHBand="0" w:evenHBand="0" w:firstRowFirstColumn="0" w:firstRowLastColumn="0" w:lastRowFirstColumn="0" w:lastRowLastColumn="0"/>
              <w:rPr>
                <w:szCs w:val="24"/>
              </w:rPr>
            </w:pPr>
            <w:r w:rsidRPr="00F041FF">
              <w:rPr>
                <w:szCs w:val="24"/>
              </w:rPr>
              <w:t>Affinity</w:t>
            </w:r>
          </w:p>
        </w:tc>
        <w:tc>
          <w:tcPr>
            <w:tcW w:w="1463" w:type="dxa"/>
          </w:tcPr>
          <w:p w:rsidR="00B728D3" w:rsidRPr="00F041FF" w:rsidRDefault="00B728D3" w:rsidP="00300253">
            <w:pPr>
              <w:widowControl w:val="0"/>
              <w:snapToGrid w:val="0"/>
              <w:spacing w:after="0"/>
              <w:jc w:val="center"/>
              <w:cnfStyle w:val="100000000000" w:firstRow="1" w:lastRow="0" w:firstColumn="0" w:lastColumn="0" w:oddVBand="0" w:evenVBand="0" w:oddHBand="0" w:evenHBand="0" w:firstRowFirstColumn="0" w:firstRowLastColumn="0" w:lastRowFirstColumn="0" w:lastRowLastColumn="0"/>
              <w:rPr>
                <w:szCs w:val="24"/>
                <w:lang w:eastAsia="zh-CN"/>
              </w:rPr>
            </w:pPr>
            <w:r w:rsidRPr="00F041FF">
              <w:rPr>
                <w:szCs w:val="24"/>
              </w:rPr>
              <w:t>Ref</w:t>
            </w:r>
            <w:r w:rsidR="00300253">
              <w:rPr>
                <w:rFonts w:hint="eastAsia"/>
                <w:szCs w:val="24"/>
                <w:lang w:eastAsia="zh-CN"/>
              </w:rPr>
              <w:t>.</w:t>
            </w:r>
          </w:p>
        </w:tc>
      </w:tr>
      <w:tr w:rsidR="00B728D3" w:rsidRPr="00F041FF" w:rsidTr="007A3005">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5" w:type="dxa"/>
          </w:tcPr>
          <w:p w:rsidR="00B728D3" w:rsidRPr="00F041FF" w:rsidRDefault="00B728D3" w:rsidP="00300253">
            <w:pPr>
              <w:widowControl w:val="0"/>
              <w:snapToGrid w:val="0"/>
              <w:spacing w:after="0"/>
              <w:jc w:val="left"/>
              <w:rPr>
                <w:b w:val="0"/>
                <w:szCs w:val="24"/>
              </w:rPr>
            </w:pPr>
            <w:r w:rsidRPr="00F041FF">
              <w:rPr>
                <w:b w:val="0"/>
                <w:szCs w:val="24"/>
              </w:rPr>
              <w:t>sTNF</w:t>
            </w:r>
          </w:p>
        </w:tc>
        <w:tc>
          <w:tcPr>
            <w:tcW w:w="4116" w:type="dxa"/>
          </w:tcPr>
          <w:p w:rsidR="00B728D3" w:rsidRPr="00F041FF" w:rsidRDefault="0045446E" w:rsidP="0030025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color w:val="FF0000"/>
                <w:szCs w:val="24"/>
              </w:rPr>
            </w:pPr>
            <w:r w:rsidRPr="00F041FF">
              <w:rPr>
                <w:color w:val="auto"/>
                <w:szCs w:val="24"/>
              </w:rPr>
              <w:t>SP</w:t>
            </w:r>
            <w:r w:rsidR="001646C9">
              <w:rPr>
                <w:color w:val="auto"/>
                <w:szCs w:val="24"/>
              </w:rPr>
              <w:t>R</w:t>
            </w:r>
          </w:p>
        </w:tc>
        <w:tc>
          <w:tcPr>
            <w:tcW w:w="3162" w:type="dxa"/>
          </w:tcPr>
          <w:p w:rsidR="00B728D3" w:rsidRPr="00F041FF" w:rsidRDefault="007A3005"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GOL = ETA</w:t>
            </w:r>
            <w:r>
              <w:rPr>
                <w:rFonts w:hint="eastAsia"/>
                <w:szCs w:val="24"/>
                <w:lang w:eastAsia="zh-CN"/>
              </w:rPr>
              <w:t xml:space="preserve"> </w:t>
            </w:r>
            <w:r w:rsidR="00300253">
              <w:rPr>
                <w:szCs w:val="24"/>
              </w:rPr>
              <w:t>&gt;</w:t>
            </w:r>
            <w:r w:rsidR="00300253">
              <w:rPr>
                <w:rFonts w:hint="eastAsia"/>
                <w:szCs w:val="24"/>
                <w:lang w:eastAsia="zh-CN"/>
              </w:rPr>
              <w:t xml:space="preserve"> </w:t>
            </w:r>
            <w:r>
              <w:rPr>
                <w:szCs w:val="24"/>
              </w:rPr>
              <w:t>IFX</w:t>
            </w:r>
            <w:r>
              <w:rPr>
                <w:rFonts w:hint="eastAsia"/>
                <w:szCs w:val="24"/>
                <w:lang w:eastAsia="zh-CN"/>
              </w:rPr>
              <w:t xml:space="preserve"> </w:t>
            </w:r>
            <w:r w:rsidR="00300253">
              <w:rPr>
                <w:szCs w:val="24"/>
              </w:rPr>
              <w:t>&gt;</w:t>
            </w:r>
            <w:r w:rsidR="00300253">
              <w:rPr>
                <w:rFonts w:hint="eastAsia"/>
                <w:szCs w:val="24"/>
                <w:lang w:eastAsia="zh-CN"/>
              </w:rPr>
              <w:t xml:space="preserve"> </w:t>
            </w:r>
            <w:r w:rsidR="00B728D3" w:rsidRPr="00F041FF">
              <w:rPr>
                <w:szCs w:val="24"/>
              </w:rPr>
              <w:t>ADA</w:t>
            </w:r>
          </w:p>
        </w:tc>
        <w:tc>
          <w:tcPr>
            <w:tcW w:w="1463" w:type="dxa"/>
          </w:tcPr>
          <w:p w:rsidR="00B728D3" w:rsidRPr="007A3005" w:rsidRDefault="00B728D3" w:rsidP="0030025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7A3005">
              <w:rPr>
                <w:noProof/>
                <w:szCs w:val="24"/>
              </w:rPr>
              <w:t>[40]</w:t>
            </w:r>
          </w:p>
        </w:tc>
      </w:tr>
      <w:tr w:rsidR="00B728D3" w:rsidRPr="00F041FF" w:rsidTr="007A3005">
        <w:trPr>
          <w:trHeight w:val="575"/>
        </w:trPr>
        <w:tc>
          <w:tcPr>
            <w:cnfStyle w:val="001000000000" w:firstRow="0" w:lastRow="0" w:firstColumn="1" w:lastColumn="0" w:oddVBand="0" w:evenVBand="0" w:oddHBand="0" w:evenHBand="0" w:firstRowFirstColumn="0" w:firstRowLastColumn="0" w:lastRowFirstColumn="0" w:lastRowLastColumn="0"/>
            <w:tcW w:w="1545" w:type="dxa"/>
          </w:tcPr>
          <w:p w:rsidR="00B728D3" w:rsidRPr="00F041FF" w:rsidRDefault="00B728D3" w:rsidP="00300253">
            <w:pPr>
              <w:widowControl w:val="0"/>
              <w:snapToGrid w:val="0"/>
              <w:spacing w:after="0"/>
              <w:jc w:val="left"/>
              <w:rPr>
                <w:b w:val="0"/>
                <w:szCs w:val="24"/>
              </w:rPr>
            </w:pPr>
            <w:r w:rsidRPr="00F041FF">
              <w:rPr>
                <w:b w:val="0"/>
                <w:szCs w:val="24"/>
              </w:rPr>
              <w:t>sTNF</w:t>
            </w:r>
          </w:p>
        </w:tc>
        <w:tc>
          <w:tcPr>
            <w:tcW w:w="4116" w:type="dxa"/>
          </w:tcPr>
          <w:p w:rsidR="00B728D3" w:rsidRPr="00F041FF" w:rsidRDefault="00B728D3" w:rsidP="0030025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color w:val="FF0000"/>
                <w:szCs w:val="24"/>
              </w:rPr>
            </w:pPr>
            <w:r w:rsidRPr="00F041FF">
              <w:rPr>
                <w:color w:val="auto"/>
                <w:szCs w:val="24"/>
              </w:rPr>
              <w:t>SPR</w:t>
            </w:r>
          </w:p>
        </w:tc>
        <w:tc>
          <w:tcPr>
            <w:tcW w:w="3162" w:type="dxa"/>
          </w:tcPr>
          <w:p w:rsidR="00B728D3" w:rsidRPr="00F041FF" w:rsidRDefault="007A3005"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ETA</w:t>
            </w:r>
            <w:r>
              <w:rPr>
                <w:rFonts w:hint="eastAsia"/>
                <w:szCs w:val="24"/>
                <w:lang w:eastAsia="zh-CN"/>
              </w:rPr>
              <w:t xml:space="preserve"> </w:t>
            </w:r>
            <w:r>
              <w:rPr>
                <w:szCs w:val="24"/>
              </w:rPr>
              <w:t>&gt;</w:t>
            </w:r>
            <w:r>
              <w:rPr>
                <w:rFonts w:hint="eastAsia"/>
                <w:szCs w:val="24"/>
                <w:lang w:eastAsia="zh-CN"/>
              </w:rPr>
              <w:t xml:space="preserve"> </w:t>
            </w:r>
            <w:r w:rsidR="00B728D3" w:rsidRPr="00F041FF">
              <w:rPr>
                <w:szCs w:val="24"/>
              </w:rPr>
              <w:t>ADA = IFX</w:t>
            </w:r>
          </w:p>
        </w:tc>
        <w:tc>
          <w:tcPr>
            <w:tcW w:w="1463" w:type="dxa"/>
          </w:tcPr>
          <w:p w:rsidR="00B728D3" w:rsidRPr="007A3005" w:rsidRDefault="00B728D3" w:rsidP="0030025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7A3005">
              <w:rPr>
                <w:noProof/>
                <w:szCs w:val="24"/>
              </w:rPr>
              <w:t>[41]</w:t>
            </w:r>
          </w:p>
        </w:tc>
      </w:tr>
      <w:tr w:rsidR="00B728D3" w:rsidRPr="00F041FF" w:rsidTr="00300253">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545" w:type="dxa"/>
          </w:tcPr>
          <w:p w:rsidR="00B728D3" w:rsidRPr="00F041FF" w:rsidRDefault="00B728D3" w:rsidP="00300253">
            <w:pPr>
              <w:widowControl w:val="0"/>
              <w:snapToGrid w:val="0"/>
              <w:spacing w:after="0"/>
              <w:jc w:val="left"/>
              <w:rPr>
                <w:b w:val="0"/>
                <w:szCs w:val="24"/>
              </w:rPr>
            </w:pPr>
            <w:r w:rsidRPr="00F041FF">
              <w:rPr>
                <w:b w:val="0"/>
                <w:szCs w:val="24"/>
              </w:rPr>
              <w:t>mTNF</w:t>
            </w:r>
          </w:p>
        </w:tc>
        <w:tc>
          <w:tcPr>
            <w:tcW w:w="4116" w:type="dxa"/>
          </w:tcPr>
          <w:p w:rsidR="00B728D3" w:rsidRPr="00F041FF" w:rsidRDefault="00B728D3" w:rsidP="001D0BB4">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 xml:space="preserve">mTNF-expressing cells (Sp2/0-11A5-1 myeloma </w:t>
            </w:r>
            <w:r w:rsidR="001D0BB4" w:rsidRPr="00F041FF">
              <w:rPr>
                <w:szCs w:val="24"/>
              </w:rPr>
              <w:t>cell</w:t>
            </w:r>
            <w:r w:rsidR="001D0BB4">
              <w:rPr>
                <w:szCs w:val="24"/>
              </w:rPr>
              <w:t>s</w:t>
            </w:r>
            <w:r w:rsidRPr="00F041FF">
              <w:rPr>
                <w:szCs w:val="24"/>
              </w:rPr>
              <w:t>)</w:t>
            </w:r>
          </w:p>
        </w:tc>
        <w:tc>
          <w:tcPr>
            <w:tcW w:w="3162" w:type="dxa"/>
          </w:tcPr>
          <w:p w:rsidR="00B728D3" w:rsidRPr="00F041FF" w:rsidRDefault="00B728D3" w:rsidP="0030025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IFX = ADA =</w:t>
            </w:r>
            <w:r w:rsidR="007A3005">
              <w:rPr>
                <w:rFonts w:hint="eastAsia"/>
                <w:szCs w:val="24"/>
                <w:lang w:eastAsia="zh-CN"/>
              </w:rPr>
              <w:t xml:space="preserve"> </w:t>
            </w:r>
            <w:r w:rsidRPr="00F041FF">
              <w:rPr>
                <w:szCs w:val="24"/>
              </w:rPr>
              <w:t>ETA</w:t>
            </w:r>
          </w:p>
        </w:tc>
        <w:tc>
          <w:tcPr>
            <w:tcW w:w="1463" w:type="dxa"/>
          </w:tcPr>
          <w:p w:rsidR="00B728D3" w:rsidRPr="007A3005" w:rsidRDefault="00B728D3" w:rsidP="0030025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7A3005">
              <w:rPr>
                <w:noProof/>
                <w:szCs w:val="24"/>
              </w:rPr>
              <w:t>[41]</w:t>
            </w:r>
          </w:p>
        </w:tc>
      </w:tr>
      <w:tr w:rsidR="00B728D3" w:rsidRPr="00F041FF" w:rsidTr="007A3005">
        <w:trPr>
          <w:trHeight w:val="951"/>
        </w:trPr>
        <w:tc>
          <w:tcPr>
            <w:cnfStyle w:val="001000000000" w:firstRow="0" w:lastRow="0" w:firstColumn="1" w:lastColumn="0" w:oddVBand="0" w:evenVBand="0" w:oddHBand="0" w:evenHBand="0" w:firstRowFirstColumn="0" w:firstRowLastColumn="0" w:lastRowFirstColumn="0" w:lastRowLastColumn="0"/>
            <w:tcW w:w="1545" w:type="dxa"/>
          </w:tcPr>
          <w:p w:rsidR="00B728D3" w:rsidRPr="00F041FF" w:rsidRDefault="00B728D3" w:rsidP="00300253">
            <w:pPr>
              <w:widowControl w:val="0"/>
              <w:snapToGrid w:val="0"/>
              <w:spacing w:after="0"/>
              <w:jc w:val="left"/>
              <w:rPr>
                <w:b w:val="0"/>
                <w:szCs w:val="24"/>
              </w:rPr>
            </w:pPr>
            <w:r w:rsidRPr="00F041FF">
              <w:rPr>
                <w:b w:val="0"/>
                <w:szCs w:val="24"/>
              </w:rPr>
              <w:t>mTNF</w:t>
            </w:r>
          </w:p>
        </w:tc>
        <w:tc>
          <w:tcPr>
            <w:tcW w:w="4116" w:type="dxa"/>
          </w:tcPr>
          <w:p w:rsidR="00B728D3" w:rsidRPr="00F041FF" w:rsidRDefault="00B728D3" w:rsidP="0030025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szCs w:val="24"/>
              </w:rPr>
              <w:t>mTNF-expressing cells (K2 murine myeloma cells)</w:t>
            </w:r>
          </w:p>
        </w:tc>
        <w:tc>
          <w:tcPr>
            <w:tcW w:w="3162" w:type="dxa"/>
          </w:tcPr>
          <w:p w:rsidR="00B728D3" w:rsidRPr="00F041FF" w:rsidRDefault="007A3005"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IFX = GOL</w:t>
            </w:r>
            <w:r>
              <w:rPr>
                <w:rFonts w:hint="eastAsia"/>
                <w:szCs w:val="24"/>
                <w:lang w:eastAsia="zh-CN"/>
              </w:rPr>
              <w:t xml:space="preserve"> </w:t>
            </w:r>
            <w:r>
              <w:rPr>
                <w:szCs w:val="24"/>
              </w:rPr>
              <w:t>&gt;</w:t>
            </w:r>
            <w:r>
              <w:rPr>
                <w:rFonts w:hint="eastAsia"/>
                <w:szCs w:val="24"/>
                <w:lang w:eastAsia="zh-CN"/>
              </w:rPr>
              <w:t xml:space="preserve"> </w:t>
            </w:r>
            <w:r>
              <w:rPr>
                <w:szCs w:val="24"/>
              </w:rPr>
              <w:t>ADA</w:t>
            </w:r>
            <w:r>
              <w:rPr>
                <w:rFonts w:hint="eastAsia"/>
                <w:szCs w:val="24"/>
                <w:lang w:eastAsia="zh-CN"/>
              </w:rPr>
              <w:t xml:space="preserve"> </w:t>
            </w:r>
            <w:r>
              <w:rPr>
                <w:szCs w:val="24"/>
              </w:rPr>
              <w:t>&gt;</w:t>
            </w:r>
            <w:r>
              <w:rPr>
                <w:rFonts w:hint="eastAsia"/>
                <w:szCs w:val="24"/>
                <w:lang w:eastAsia="zh-CN"/>
              </w:rPr>
              <w:t xml:space="preserve"> </w:t>
            </w:r>
            <w:r w:rsidR="00B728D3" w:rsidRPr="00F041FF">
              <w:rPr>
                <w:szCs w:val="24"/>
              </w:rPr>
              <w:t>ETA</w:t>
            </w:r>
          </w:p>
        </w:tc>
        <w:tc>
          <w:tcPr>
            <w:tcW w:w="1463" w:type="dxa"/>
          </w:tcPr>
          <w:p w:rsidR="00B728D3" w:rsidRPr="007A3005" w:rsidRDefault="00B728D3" w:rsidP="0030025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7A3005">
              <w:rPr>
                <w:noProof/>
                <w:szCs w:val="24"/>
              </w:rPr>
              <w:t>[40]</w:t>
            </w:r>
          </w:p>
        </w:tc>
      </w:tr>
      <w:tr w:rsidR="00B728D3" w:rsidRPr="00F041FF" w:rsidTr="007A3005">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545" w:type="dxa"/>
          </w:tcPr>
          <w:p w:rsidR="00B728D3" w:rsidRPr="00F041FF" w:rsidRDefault="00B728D3" w:rsidP="00300253">
            <w:pPr>
              <w:widowControl w:val="0"/>
              <w:snapToGrid w:val="0"/>
              <w:spacing w:after="0"/>
              <w:jc w:val="left"/>
              <w:rPr>
                <w:b w:val="0"/>
                <w:szCs w:val="24"/>
              </w:rPr>
            </w:pPr>
            <w:r w:rsidRPr="00F041FF">
              <w:rPr>
                <w:b w:val="0"/>
                <w:szCs w:val="24"/>
              </w:rPr>
              <w:t>mTNF</w:t>
            </w:r>
          </w:p>
        </w:tc>
        <w:tc>
          <w:tcPr>
            <w:tcW w:w="4116" w:type="dxa"/>
          </w:tcPr>
          <w:p w:rsidR="00B728D3" w:rsidRPr="00F041FF" w:rsidRDefault="00B728D3" w:rsidP="0030025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PBMCs (T cells)</w:t>
            </w:r>
          </w:p>
          <w:p w:rsidR="00B728D3" w:rsidRPr="00F041FF" w:rsidRDefault="00B728D3" w:rsidP="0030025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Flow cytometry</w:t>
            </w:r>
          </w:p>
        </w:tc>
        <w:tc>
          <w:tcPr>
            <w:tcW w:w="3162" w:type="dxa"/>
          </w:tcPr>
          <w:p w:rsidR="00B728D3" w:rsidRPr="00F041FF"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IFX</w:t>
            </w:r>
            <w:r w:rsidR="007A3005">
              <w:rPr>
                <w:rFonts w:hint="eastAsia"/>
                <w:szCs w:val="24"/>
                <w:lang w:eastAsia="zh-CN"/>
              </w:rPr>
              <w:t xml:space="preserve"> </w:t>
            </w:r>
            <w:r w:rsidRPr="00F041FF">
              <w:rPr>
                <w:szCs w:val="24"/>
              </w:rPr>
              <w:t>=</w:t>
            </w:r>
            <w:r w:rsidR="007A3005">
              <w:rPr>
                <w:rFonts w:hint="eastAsia"/>
                <w:szCs w:val="24"/>
                <w:lang w:eastAsia="zh-CN"/>
              </w:rPr>
              <w:t xml:space="preserve"> </w:t>
            </w:r>
            <w:r w:rsidR="007A3005">
              <w:rPr>
                <w:szCs w:val="24"/>
              </w:rPr>
              <w:t>ADA</w:t>
            </w:r>
            <w:r w:rsidR="007A3005">
              <w:rPr>
                <w:rFonts w:hint="eastAsia"/>
                <w:szCs w:val="24"/>
                <w:lang w:eastAsia="zh-CN"/>
              </w:rPr>
              <w:t xml:space="preserve"> </w:t>
            </w:r>
            <w:r w:rsidR="007A3005">
              <w:rPr>
                <w:szCs w:val="24"/>
              </w:rPr>
              <w:t>&gt;</w:t>
            </w:r>
            <w:r w:rsidR="007A3005">
              <w:rPr>
                <w:rFonts w:hint="eastAsia"/>
                <w:szCs w:val="24"/>
                <w:lang w:eastAsia="zh-CN"/>
              </w:rPr>
              <w:t xml:space="preserve"> </w:t>
            </w:r>
            <w:r w:rsidR="007A3005">
              <w:rPr>
                <w:szCs w:val="24"/>
              </w:rPr>
              <w:t>Certo</w:t>
            </w:r>
            <w:r w:rsidR="007A3005">
              <w:rPr>
                <w:rFonts w:hint="eastAsia"/>
                <w:szCs w:val="24"/>
                <w:lang w:eastAsia="zh-CN"/>
              </w:rPr>
              <w:t xml:space="preserve"> </w:t>
            </w:r>
            <w:r w:rsidR="007A3005">
              <w:rPr>
                <w:szCs w:val="24"/>
              </w:rPr>
              <w:t>&gt;&gt;</w:t>
            </w:r>
            <w:r w:rsidR="007A3005">
              <w:rPr>
                <w:rFonts w:hint="eastAsia"/>
                <w:szCs w:val="24"/>
                <w:lang w:eastAsia="zh-CN"/>
              </w:rPr>
              <w:t xml:space="preserve"> </w:t>
            </w:r>
            <w:r w:rsidRPr="00F041FF">
              <w:rPr>
                <w:szCs w:val="24"/>
              </w:rPr>
              <w:t>No binding of ETA</w:t>
            </w:r>
          </w:p>
        </w:tc>
        <w:tc>
          <w:tcPr>
            <w:tcW w:w="1463" w:type="dxa"/>
          </w:tcPr>
          <w:p w:rsidR="00B728D3" w:rsidRPr="007A3005" w:rsidRDefault="00B728D3" w:rsidP="0030025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7A3005">
              <w:rPr>
                <w:noProof/>
                <w:szCs w:val="24"/>
              </w:rPr>
              <w:t>[42]</w:t>
            </w:r>
          </w:p>
        </w:tc>
      </w:tr>
      <w:tr w:rsidR="00B728D3" w:rsidRPr="00F041FF" w:rsidTr="007A3005">
        <w:trPr>
          <w:trHeight w:val="852"/>
        </w:trPr>
        <w:tc>
          <w:tcPr>
            <w:cnfStyle w:val="001000000000" w:firstRow="0" w:lastRow="0" w:firstColumn="1" w:lastColumn="0" w:oddVBand="0" w:evenVBand="0" w:oddHBand="0" w:evenHBand="0" w:firstRowFirstColumn="0" w:firstRowLastColumn="0" w:lastRowFirstColumn="0" w:lastRowLastColumn="0"/>
            <w:tcW w:w="1545" w:type="dxa"/>
          </w:tcPr>
          <w:p w:rsidR="00B728D3" w:rsidRPr="00F041FF" w:rsidRDefault="00B728D3" w:rsidP="00300253">
            <w:pPr>
              <w:widowControl w:val="0"/>
              <w:snapToGrid w:val="0"/>
              <w:spacing w:after="0"/>
              <w:jc w:val="left"/>
              <w:rPr>
                <w:b w:val="0"/>
                <w:szCs w:val="24"/>
              </w:rPr>
            </w:pPr>
            <w:r w:rsidRPr="00F041FF">
              <w:rPr>
                <w:b w:val="0"/>
                <w:szCs w:val="24"/>
              </w:rPr>
              <w:t>mTNF</w:t>
            </w:r>
          </w:p>
        </w:tc>
        <w:tc>
          <w:tcPr>
            <w:tcW w:w="4116" w:type="dxa"/>
          </w:tcPr>
          <w:p w:rsidR="00B728D3" w:rsidRPr="00F041FF" w:rsidRDefault="00B728D3" w:rsidP="0030025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szCs w:val="24"/>
              </w:rPr>
              <w:t>PBL</w:t>
            </w:r>
          </w:p>
          <w:p w:rsidR="00B728D3" w:rsidRPr="00F041FF" w:rsidRDefault="00B728D3" w:rsidP="0030025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szCs w:val="24"/>
              </w:rPr>
              <w:t>Flow cytometry</w:t>
            </w:r>
          </w:p>
        </w:tc>
        <w:tc>
          <w:tcPr>
            <w:tcW w:w="3162" w:type="dxa"/>
          </w:tcPr>
          <w:p w:rsidR="00B728D3" w:rsidRPr="00F041FF" w:rsidRDefault="007A3005"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IFX</w:t>
            </w:r>
            <w:r>
              <w:rPr>
                <w:rFonts w:hint="eastAsia"/>
                <w:szCs w:val="24"/>
                <w:lang w:eastAsia="zh-CN"/>
              </w:rPr>
              <w:t xml:space="preserve"> </w:t>
            </w:r>
            <w:r>
              <w:rPr>
                <w:szCs w:val="24"/>
              </w:rPr>
              <w:t>&gt;&gt;</w:t>
            </w:r>
            <w:r>
              <w:rPr>
                <w:rFonts w:hint="eastAsia"/>
                <w:szCs w:val="24"/>
                <w:lang w:eastAsia="zh-CN"/>
              </w:rPr>
              <w:t xml:space="preserve"> </w:t>
            </w:r>
            <w:r w:rsidR="00B728D3" w:rsidRPr="00F041FF">
              <w:rPr>
                <w:szCs w:val="24"/>
              </w:rPr>
              <w:t>No binding of ETA</w:t>
            </w:r>
          </w:p>
        </w:tc>
        <w:tc>
          <w:tcPr>
            <w:tcW w:w="1463" w:type="dxa"/>
          </w:tcPr>
          <w:p w:rsidR="00B728D3" w:rsidRPr="007A3005" w:rsidRDefault="00B728D3" w:rsidP="0030025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7A3005">
              <w:rPr>
                <w:noProof/>
                <w:szCs w:val="24"/>
              </w:rPr>
              <w:t>[43]</w:t>
            </w:r>
          </w:p>
        </w:tc>
      </w:tr>
      <w:tr w:rsidR="00B728D3" w:rsidRPr="00F041FF" w:rsidTr="007A3005">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1545" w:type="dxa"/>
          </w:tcPr>
          <w:p w:rsidR="00B728D3" w:rsidRPr="00F041FF" w:rsidRDefault="00B728D3" w:rsidP="00300253">
            <w:pPr>
              <w:widowControl w:val="0"/>
              <w:snapToGrid w:val="0"/>
              <w:spacing w:after="0"/>
              <w:jc w:val="left"/>
              <w:rPr>
                <w:b w:val="0"/>
                <w:szCs w:val="24"/>
              </w:rPr>
            </w:pPr>
            <w:r w:rsidRPr="00F041FF">
              <w:rPr>
                <w:b w:val="0"/>
                <w:szCs w:val="24"/>
              </w:rPr>
              <w:t>sTNF</w:t>
            </w:r>
          </w:p>
        </w:tc>
        <w:tc>
          <w:tcPr>
            <w:tcW w:w="4116" w:type="dxa"/>
          </w:tcPr>
          <w:p w:rsidR="00B728D3" w:rsidRPr="00F041FF" w:rsidRDefault="00B728D3" w:rsidP="0030025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Immunoassay</w:t>
            </w:r>
          </w:p>
        </w:tc>
        <w:tc>
          <w:tcPr>
            <w:tcW w:w="3162" w:type="dxa"/>
          </w:tcPr>
          <w:p w:rsidR="00B728D3" w:rsidRPr="00F041FF" w:rsidRDefault="007A3005"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IFX</w:t>
            </w:r>
            <w:r>
              <w:rPr>
                <w:rFonts w:hint="eastAsia"/>
                <w:szCs w:val="24"/>
                <w:lang w:eastAsia="zh-CN"/>
              </w:rPr>
              <w:t xml:space="preserve"> </w:t>
            </w:r>
            <w:r>
              <w:rPr>
                <w:szCs w:val="24"/>
              </w:rPr>
              <w:t>&gt;</w:t>
            </w:r>
            <w:r>
              <w:rPr>
                <w:rFonts w:hint="eastAsia"/>
                <w:szCs w:val="24"/>
                <w:lang w:eastAsia="zh-CN"/>
              </w:rPr>
              <w:t xml:space="preserve"> </w:t>
            </w:r>
            <w:r w:rsidR="00B728D3" w:rsidRPr="00F041FF">
              <w:rPr>
                <w:szCs w:val="24"/>
              </w:rPr>
              <w:t>ETA (rapid dissociation)</w:t>
            </w:r>
          </w:p>
        </w:tc>
        <w:tc>
          <w:tcPr>
            <w:tcW w:w="1463" w:type="dxa"/>
          </w:tcPr>
          <w:p w:rsidR="00B728D3" w:rsidRPr="007A3005" w:rsidRDefault="00B728D3" w:rsidP="0030025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7A3005">
              <w:rPr>
                <w:noProof/>
                <w:szCs w:val="24"/>
              </w:rPr>
              <w:t>[44]</w:t>
            </w:r>
          </w:p>
        </w:tc>
      </w:tr>
    </w:tbl>
    <w:p w:rsidR="00B728D3" w:rsidRPr="00300253" w:rsidRDefault="00300253" w:rsidP="00D4383F">
      <w:pPr>
        <w:widowControl w:val="0"/>
        <w:snapToGrid w:val="0"/>
        <w:spacing w:after="0"/>
        <w:rPr>
          <w:szCs w:val="24"/>
          <w:lang w:eastAsia="zh-CN"/>
        </w:rPr>
      </w:pPr>
      <w:r w:rsidRPr="00300253">
        <w:rPr>
          <w:noProof/>
          <w:color w:val="000000"/>
          <w:szCs w:val="24"/>
          <w:lang w:eastAsia="de-DE"/>
        </w:rPr>
        <w:t>ADA</w:t>
      </w:r>
      <w:r w:rsidRPr="00300253">
        <w:rPr>
          <w:rFonts w:hint="eastAsia"/>
          <w:noProof/>
          <w:color w:val="000000"/>
          <w:szCs w:val="24"/>
          <w:lang w:eastAsia="zh-CN"/>
        </w:rPr>
        <w:t>:</w:t>
      </w:r>
      <w:r w:rsidRPr="00300253">
        <w:rPr>
          <w:noProof/>
          <w:color w:val="000000"/>
          <w:szCs w:val="24"/>
          <w:lang w:eastAsia="de-DE"/>
        </w:rPr>
        <w:t xml:space="preserve"> Adalimumab;</w:t>
      </w:r>
      <w:r w:rsidRPr="00300253">
        <w:rPr>
          <w:rFonts w:hint="eastAsia"/>
          <w:noProof/>
          <w:color w:val="000000"/>
          <w:szCs w:val="24"/>
          <w:lang w:eastAsia="zh-CN"/>
        </w:rPr>
        <w:t xml:space="preserve"> </w:t>
      </w:r>
      <w:r w:rsidRPr="00300253">
        <w:rPr>
          <w:noProof/>
          <w:color w:val="000000"/>
          <w:szCs w:val="24"/>
          <w:lang w:eastAsia="de-DE"/>
        </w:rPr>
        <w:t>ETA</w:t>
      </w:r>
      <w:r w:rsidRPr="00300253">
        <w:rPr>
          <w:rFonts w:hint="eastAsia"/>
          <w:noProof/>
          <w:color w:val="000000"/>
          <w:szCs w:val="24"/>
          <w:lang w:eastAsia="zh-CN"/>
        </w:rPr>
        <w:t>:</w:t>
      </w:r>
      <w:r w:rsidRPr="00300253">
        <w:rPr>
          <w:noProof/>
          <w:color w:val="000000"/>
          <w:szCs w:val="24"/>
          <w:lang w:eastAsia="de-DE"/>
        </w:rPr>
        <w:t xml:space="preserve"> </w:t>
      </w:r>
      <w:r w:rsidRPr="00300253">
        <w:rPr>
          <w:caps/>
          <w:noProof/>
          <w:color w:val="000000"/>
          <w:szCs w:val="24"/>
          <w:lang w:eastAsia="de-DE"/>
        </w:rPr>
        <w:t>e</w:t>
      </w:r>
      <w:r w:rsidRPr="00300253">
        <w:rPr>
          <w:noProof/>
          <w:color w:val="000000"/>
          <w:szCs w:val="24"/>
          <w:lang w:eastAsia="de-DE"/>
        </w:rPr>
        <w:t>tanercept; GOL</w:t>
      </w:r>
      <w:r w:rsidRPr="00300253">
        <w:rPr>
          <w:rFonts w:hint="eastAsia"/>
          <w:noProof/>
          <w:color w:val="000000"/>
          <w:szCs w:val="24"/>
          <w:lang w:eastAsia="zh-CN"/>
        </w:rPr>
        <w:t>:</w:t>
      </w:r>
      <w:r w:rsidRPr="00300253">
        <w:rPr>
          <w:noProof/>
          <w:color w:val="000000"/>
          <w:szCs w:val="24"/>
          <w:lang w:eastAsia="de-DE"/>
        </w:rPr>
        <w:t xml:space="preserve"> </w:t>
      </w:r>
      <w:r w:rsidRPr="00300253">
        <w:rPr>
          <w:caps/>
          <w:noProof/>
          <w:color w:val="000000"/>
          <w:szCs w:val="24"/>
          <w:lang w:eastAsia="de-DE"/>
        </w:rPr>
        <w:t>g</w:t>
      </w:r>
      <w:r w:rsidRPr="00300253">
        <w:rPr>
          <w:noProof/>
          <w:color w:val="000000"/>
          <w:szCs w:val="24"/>
          <w:lang w:eastAsia="de-DE"/>
        </w:rPr>
        <w:t>olimumab; IFX</w:t>
      </w:r>
      <w:r w:rsidRPr="00300253">
        <w:rPr>
          <w:rFonts w:hint="eastAsia"/>
          <w:noProof/>
          <w:color w:val="000000"/>
          <w:szCs w:val="24"/>
          <w:lang w:eastAsia="zh-CN"/>
        </w:rPr>
        <w:t>:</w:t>
      </w:r>
      <w:r w:rsidRPr="00300253">
        <w:rPr>
          <w:noProof/>
          <w:color w:val="000000"/>
          <w:szCs w:val="24"/>
          <w:lang w:eastAsia="de-DE"/>
        </w:rPr>
        <w:t xml:space="preserve"> </w:t>
      </w:r>
      <w:r w:rsidRPr="00300253">
        <w:rPr>
          <w:caps/>
          <w:noProof/>
          <w:color w:val="000000"/>
          <w:szCs w:val="24"/>
          <w:lang w:eastAsia="de-DE"/>
        </w:rPr>
        <w:t>i</w:t>
      </w:r>
      <w:r w:rsidRPr="00300253">
        <w:rPr>
          <w:noProof/>
          <w:color w:val="000000"/>
          <w:szCs w:val="24"/>
          <w:lang w:eastAsia="de-DE"/>
        </w:rPr>
        <w:t>nfliximab;</w:t>
      </w:r>
      <w:r w:rsidRPr="00300253">
        <w:rPr>
          <w:szCs w:val="24"/>
        </w:rPr>
        <w:t xml:space="preserve"> </w:t>
      </w:r>
      <w:r w:rsidR="003E46C7">
        <w:rPr>
          <w:szCs w:val="24"/>
        </w:rPr>
        <w:t xml:space="preserve">PBL: peripheral blood lymphocytes; </w:t>
      </w:r>
      <w:r w:rsidRPr="00300253">
        <w:rPr>
          <w:szCs w:val="24"/>
          <w:lang w:eastAsia="de-DE"/>
        </w:rPr>
        <w:t>TNF</w:t>
      </w:r>
      <w:r w:rsidRPr="00300253">
        <w:rPr>
          <w:rFonts w:hint="eastAsia"/>
          <w:szCs w:val="24"/>
          <w:lang w:eastAsia="zh-CN"/>
        </w:rPr>
        <w:t xml:space="preserve">: </w:t>
      </w:r>
      <w:r w:rsidRPr="00300253">
        <w:rPr>
          <w:caps/>
          <w:szCs w:val="24"/>
          <w:lang w:eastAsia="de-DE"/>
        </w:rPr>
        <w:t>t</w:t>
      </w:r>
      <w:r w:rsidRPr="00300253">
        <w:rPr>
          <w:szCs w:val="24"/>
          <w:lang w:eastAsia="de-DE"/>
        </w:rPr>
        <w:t>umor necro</w:t>
      </w:r>
      <w:r w:rsidRPr="00300253">
        <w:rPr>
          <w:szCs w:val="24"/>
          <w:lang w:val="en-GB" w:eastAsia="de-DE"/>
        </w:rPr>
        <w:t>sis factor</w:t>
      </w:r>
      <w:r w:rsidRPr="00300253">
        <w:rPr>
          <w:rFonts w:hint="eastAsia"/>
          <w:szCs w:val="24"/>
          <w:lang w:val="en-GB" w:eastAsia="zh-CN"/>
        </w:rPr>
        <w:t>;</w:t>
      </w:r>
      <w:r w:rsidRPr="00300253">
        <w:rPr>
          <w:szCs w:val="24"/>
          <w:lang w:eastAsia="de-DE"/>
        </w:rPr>
        <w:t xml:space="preserve"> mTNF: </w:t>
      </w:r>
      <w:r w:rsidRPr="00300253">
        <w:rPr>
          <w:caps/>
          <w:szCs w:val="24"/>
          <w:lang w:eastAsia="de-DE"/>
        </w:rPr>
        <w:t>m</w:t>
      </w:r>
      <w:r w:rsidRPr="00300253">
        <w:rPr>
          <w:szCs w:val="24"/>
          <w:lang w:eastAsia="de-DE"/>
        </w:rPr>
        <w:t xml:space="preserve">embrane-bound TNF; sTNF: </w:t>
      </w:r>
      <w:r w:rsidRPr="00300253">
        <w:rPr>
          <w:caps/>
          <w:szCs w:val="24"/>
          <w:lang w:eastAsia="de-DE"/>
        </w:rPr>
        <w:t>s</w:t>
      </w:r>
      <w:r w:rsidRPr="00300253">
        <w:rPr>
          <w:szCs w:val="24"/>
          <w:lang w:eastAsia="de-DE"/>
        </w:rPr>
        <w:t>oluble TNF</w:t>
      </w:r>
      <w:r w:rsidRPr="00300253">
        <w:rPr>
          <w:rFonts w:hint="eastAsia"/>
          <w:szCs w:val="24"/>
          <w:lang w:eastAsia="zh-CN"/>
        </w:rPr>
        <w:t>.</w:t>
      </w:r>
    </w:p>
    <w:p w:rsidR="00300253" w:rsidRDefault="00300253">
      <w:pPr>
        <w:spacing w:after="160" w:line="259" w:lineRule="auto"/>
        <w:jc w:val="left"/>
        <w:rPr>
          <w:rFonts w:eastAsiaTheme="majorEastAsia" w:cstheme="majorBidi"/>
          <w:b/>
          <w:bCs/>
          <w:szCs w:val="24"/>
          <w:lang w:eastAsia="de-DE"/>
        </w:rPr>
      </w:pPr>
      <w:r>
        <w:rPr>
          <w:szCs w:val="24"/>
          <w:lang w:eastAsia="de-DE"/>
        </w:rPr>
        <w:br w:type="page"/>
      </w:r>
    </w:p>
    <w:p w:rsidR="00B728D3" w:rsidRPr="00F041FF" w:rsidRDefault="00B728D3" w:rsidP="00D4383F">
      <w:pPr>
        <w:pStyle w:val="Heading1"/>
        <w:keepNext w:val="0"/>
        <w:keepLines w:val="0"/>
        <w:widowControl w:val="0"/>
        <w:snapToGrid w:val="0"/>
        <w:spacing w:before="0" w:beforeAutospacing="0" w:after="0" w:afterAutospacing="0"/>
        <w:rPr>
          <w:sz w:val="24"/>
          <w:szCs w:val="24"/>
          <w:lang w:eastAsia="de-DE"/>
        </w:rPr>
      </w:pPr>
      <w:r w:rsidRPr="00F041FF">
        <w:rPr>
          <w:sz w:val="24"/>
          <w:szCs w:val="24"/>
          <w:lang w:eastAsia="de-DE"/>
        </w:rPr>
        <w:lastRenderedPageBreak/>
        <w:t xml:space="preserve">Table 2 Comparison of avidity to </w:t>
      </w:r>
      <w:r w:rsidR="007A3005" w:rsidRPr="007A3005">
        <w:rPr>
          <w:sz w:val="24"/>
          <w:szCs w:val="24"/>
          <w:lang w:eastAsia="de-DE"/>
        </w:rPr>
        <w:t>tumor necro</w:t>
      </w:r>
      <w:r w:rsidR="007A3005" w:rsidRPr="007A3005">
        <w:rPr>
          <w:sz w:val="24"/>
          <w:szCs w:val="24"/>
          <w:lang w:val="en-GB" w:eastAsia="de-DE"/>
        </w:rPr>
        <w:t>sis factor</w:t>
      </w:r>
      <w:r w:rsidRPr="00F041FF">
        <w:rPr>
          <w:sz w:val="24"/>
          <w:szCs w:val="24"/>
          <w:lang w:eastAsia="de-DE"/>
        </w:rPr>
        <w:t xml:space="preserve"> by anti-</w:t>
      </w:r>
      <w:r w:rsidR="007A3005" w:rsidRPr="007A3005">
        <w:rPr>
          <w:sz w:val="24"/>
          <w:szCs w:val="24"/>
          <w:lang w:eastAsia="de-DE"/>
        </w:rPr>
        <w:t>tumor necro</w:t>
      </w:r>
      <w:r w:rsidR="007A3005" w:rsidRPr="007A3005">
        <w:rPr>
          <w:sz w:val="24"/>
          <w:szCs w:val="24"/>
          <w:lang w:val="en-GB" w:eastAsia="de-DE"/>
        </w:rPr>
        <w:t>sis factor</w:t>
      </w:r>
      <w:r w:rsidRPr="00F041FF">
        <w:rPr>
          <w:sz w:val="24"/>
          <w:szCs w:val="24"/>
          <w:lang w:eastAsia="de-DE"/>
        </w:rPr>
        <w:t xml:space="preserve"> </w:t>
      </w:r>
      <w:r w:rsidR="00435E78">
        <w:rPr>
          <w:sz w:val="24"/>
          <w:szCs w:val="24"/>
          <w:lang w:eastAsia="de-DE"/>
        </w:rPr>
        <w:t>agents</w:t>
      </w:r>
    </w:p>
    <w:tbl>
      <w:tblPr>
        <w:tblStyle w:val="LightShading"/>
        <w:tblW w:w="0" w:type="auto"/>
        <w:tblLook w:val="04A0" w:firstRow="1" w:lastRow="0" w:firstColumn="1" w:lastColumn="0" w:noHBand="0" w:noVBand="1"/>
      </w:tblPr>
      <w:tblGrid>
        <w:gridCol w:w="1384"/>
        <w:gridCol w:w="3686"/>
        <w:gridCol w:w="2832"/>
        <w:gridCol w:w="1310"/>
      </w:tblGrid>
      <w:tr w:rsidR="00B728D3" w:rsidRPr="00F041FF" w:rsidTr="00B72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728D3" w:rsidRPr="00F041FF" w:rsidRDefault="00B728D3" w:rsidP="00D4383F">
            <w:pPr>
              <w:widowControl w:val="0"/>
              <w:snapToGrid w:val="0"/>
              <w:spacing w:after="0"/>
              <w:rPr>
                <w:b w:val="0"/>
                <w:szCs w:val="24"/>
              </w:rPr>
            </w:pPr>
            <w:r w:rsidRPr="00F041FF">
              <w:rPr>
                <w:szCs w:val="24"/>
              </w:rPr>
              <w:t>Target</w:t>
            </w:r>
          </w:p>
        </w:tc>
        <w:tc>
          <w:tcPr>
            <w:tcW w:w="3686" w:type="dxa"/>
          </w:tcPr>
          <w:p w:rsidR="00B728D3" w:rsidRPr="00F041FF" w:rsidRDefault="00B728D3" w:rsidP="00300253">
            <w:pPr>
              <w:widowControl w:val="0"/>
              <w:snapToGrid w:val="0"/>
              <w:spacing w:after="0"/>
              <w:jc w:val="center"/>
              <w:cnfStyle w:val="100000000000" w:firstRow="1" w:lastRow="0" w:firstColumn="0" w:lastColumn="0" w:oddVBand="0" w:evenVBand="0" w:oddHBand="0" w:evenHBand="0" w:firstRowFirstColumn="0" w:firstRowLastColumn="0" w:lastRowFirstColumn="0" w:lastRowLastColumn="0"/>
              <w:rPr>
                <w:szCs w:val="24"/>
              </w:rPr>
            </w:pPr>
            <w:r w:rsidRPr="00F041FF">
              <w:rPr>
                <w:szCs w:val="24"/>
              </w:rPr>
              <w:t>Method/source</w:t>
            </w:r>
          </w:p>
        </w:tc>
        <w:tc>
          <w:tcPr>
            <w:tcW w:w="2832" w:type="dxa"/>
          </w:tcPr>
          <w:p w:rsidR="00B728D3" w:rsidRPr="00F041FF" w:rsidRDefault="00B728D3" w:rsidP="00300253">
            <w:pPr>
              <w:widowControl w:val="0"/>
              <w:snapToGrid w:val="0"/>
              <w:spacing w:after="0"/>
              <w:jc w:val="center"/>
              <w:cnfStyle w:val="100000000000" w:firstRow="1" w:lastRow="0" w:firstColumn="0" w:lastColumn="0" w:oddVBand="0" w:evenVBand="0" w:oddHBand="0" w:evenHBand="0" w:firstRowFirstColumn="0" w:firstRowLastColumn="0" w:lastRowFirstColumn="0" w:lastRowLastColumn="0"/>
              <w:rPr>
                <w:szCs w:val="24"/>
              </w:rPr>
            </w:pPr>
            <w:r w:rsidRPr="00F041FF">
              <w:rPr>
                <w:szCs w:val="24"/>
              </w:rPr>
              <w:t>Avidity</w:t>
            </w:r>
          </w:p>
        </w:tc>
        <w:tc>
          <w:tcPr>
            <w:tcW w:w="1310" w:type="dxa"/>
          </w:tcPr>
          <w:p w:rsidR="00B728D3" w:rsidRPr="00F041FF" w:rsidRDefault="00B728D3" w:rsidP="00300253">
            <w:pPr>
              <w:widowControl w:val="0"/>
              <w:snapToGrid w:val="0"/>
              <w:spacing w:after="0"/>
              <w:jc w:val="center"/>
              <w:cnfStyle w:val="100000000000" w:firstRow="1" w:lastRow="0" w:firstColumn="0" w:lastColumn="0" w:oddVBand="0" w:evenVBand="0" w:oddHBand="0" w:evenHBand="0" w:firstRowFirstColumn="0" w:firstRowLastColumn="0" w:lastRowFirstColumn="0" w:lastRowLastColumn="0"/>
              <w:rPr>
                <w:szCs w:val="24"/>
                <w:lang w:eastAsia="zh-CN"/>
              </w:rPr>
            </w:pPr>
            <w:r w:rsidRPr="00F041FF">
              <w:rPr>
                <w:szCs w:val="24"/>
              </w:rPr>
              <w:t>Ref</w:t>
            </w:r>
            <w:r w:rsidR="00300253">
              <w:rPr>
                <w:rFonts w:hint="eastAsia"/>
                <w:szCs w:val="24"/>
                <w:lang w:eastAsia="zh-CN"/>
              </w:rPr>
              <w:t>.</w:t>
            </w:r>
          </w:p>
        </w:tc>
      </w:tr>
      <w:tr w:rsidR="00B728D3" w:rsidRPr="00F041FF" w:rsidTr="00B72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B728D3" w:rsidRPr="00F041FF" w:rsidRDefault="00B728D3" w:rsidP="00D4383F">
            <w:pPr>
              <w:widowControl w:val="0"/>
              <w:snapToGrid w:val="0"/>
              <w:spacing w:after="0"/>
              <w:rPr>
                <w:b w:val="0"/>
                <w:szCs w:val="24"/>
              </w:rPr>
            </w:pPr>
            <w:r w:rsidRPr="00F041FF">
              <w:rPr>
                <w:b w:val="0"/>
                <w:szCs w:val="24"/>
              </w:rPr>
              <w:t>sTNF</w:t>
            </w:r>
          </w:p>
        </w:tc>
        <w:tc>
          <w:tcPr>
            <w:tcW w:w="3686" w:type="dxa"/>
          </w:tcPr>
          <w:p w:rsidR="00B728D3" w:rsidRDefault="00B728D3" w:rsidP="0030025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KinExA ®</w:t>
            </w:r>
          </w:p>
          <w:p w:rsidR="0058416D" w:rsidRPr="00F041FF" w:rsidRDefault="0058416D" w:rsidP="0030025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Pr>
                <w:szCs w:val="24"/>
              </w:rPr>
              <w:t>(</w:t>
            </w:r>
            <w:r>
              <w:t>automated flow immunoassay system)</w:t>
            </w:r>
          </w:p>
        </w:tc>
        <w:tc>
          <w:tcPr>
            <w:tcW w:w="2832" w:type="dxa"/>
          </w:tcPr>
          <w:p w:rsidR="00B728D3" w:rsidRPr="00F041FF"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ETA</w:t>
            </w:r>
            <w:r w:rsidR="007A3005">
              <w:rPr>
                <w:rFonts w:hint="eastAsia"/>
                <w:szCs w:val="24"/>
                <w:lang w:eastAsia="zh-CN"/>
              </w:rPr>
              <w:t xml:space="preserve"> </w:t>
            </w:r>
            <w:r w:rsidR="007A3005">
              <w:rPr>
                <w:szCs w:val="24"/>
              </w:rPr>
              <w:t>&gt;</w:t>
            </w:r>
            <w:r w:rsidR="007A3005">
              <w:rPr>
                <w:rFonts w:hint="eastAsia"/>
                <w:szCs w:val="24"/>
                <w:lang w:eastAsia="zh-CN"/>
              </w:rPr>
              <w:t xml:space="preserve"> </w:t>
            </w:r>
            <w:r w:rsidRPr="00F041FF">
              <w:rPr>
                <w:szCs w:val="24"/>
              </w:rPr>
              <w:t>ADA</w:t>
            </w:r>
          </w:p>
          <w:p w:rsidR="00B728D3" w:rsidRPr="00F041FF" w:rsidRDefault="00B728D3" w:rsidP="0030025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IFX</w:t>
            </w:r>
          </w:p>
        </w:tc>
        <w:tc>
          <w:tcPr>
            <w:tcW w:w="1310" w:type="dxa"/>
          </w:tcPr>
          <w:p w:rsidR="00B728D3" w:rsidRPr="007A3005" w:rsidRDefault="00B728D3" w:rsidP="0030025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7A3005">
              <w:rPr>
                <w:noProof/>
                <w:szCs w:val="24"/>
              </w:rPr>
              <w:t>[41]</w:t>
            </w:r>
          </w:p>
        </w:tc>
      </w:tr>
      <w:tr w:rsidR="00B728D3" w:rsidRPr="00F041FF" w:rsidTr="00B728D3">
        <w:tc>
          <w:tcPr>
            <w:cnfStyle w:val="001000000000" w:firstRow="0" w:lastRow="0" w:firstColumn="1" w:lastColumn="0" w:oddVBand="0" w:evenVBand="0" w:oddHBand="0" w:evenHBand="0" w:firstRowFirstColumn="0" w:firstRowLastColumn="0" w:lastRowFirstColumn="0" w:lastRowLastColumn="0"/>
            <w:tcW w:w="1384" w:type="dxa"/>
          </w:tcPr>
          <w:p w:rsidR="00B728D3" w:rsidRPr="00F041FF" w:rsidRDefault="00B728D3" w:rsidP="00D4383F">
            <w:pPr>
              <w:widowControl w:val="0"/>
              <w:snapToGrid w:val="0"/>
              <w:spacing w:after="0"/>
              <w:rPr>
                <w:b w:val="0"/>
                <w:szCs w:val="24"/>
              </w:rPr>
            </w:pPr>
            <w:r w:rsidRPr="00F041FF">
              <w:rPr>
                <w:b w:val="0"/>
                <w:szCs w:val="24"/>
              </w:rPr>
              <w:t>mTNF</w:t>
            </w:r>
          </w:p>
        </w:tc>
        <w:tc>
          <w:tcPr>
            <w:tcW w:w="3686" w:type="dxa"/>
          </w:tcPr>
          <w:p w:rsidR="00B728D3" w:rsidRPr="00F041FF" w:rsidRDefault="001646C9" w:rsidP="001646C9">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[44]</w:t>
            </w:r>
          </w:p>
        </w:tc>
        <w:tc>
          <w:tcPr>
            <w:tcW w:w="2832" w:type="dxa"/>
          </w:tcPr>
          <w:p w:rsidR="00B728D3" w:rsidRPr="00F041FF" w:rsidRDefault="007A3005"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IFX</w:t>
            </w:r>
            <w:r>
              <w:rPr>
                <w:rFonts w:hint="eastAsia"/>
                <w:szCs w:val="24"/>
                <w:lang w:eastAsia="zh-CN"/>
              </w:rPr>
              <w:t xml:space="preserve"> </w:t>
            </w:r>
            <w:r>
              <w:rPr>
                <w:szCs w:val="24"/>
              </w:rPr>
              <w:t>&gt;</w:t>
            </w:r>
            <w:r>
              <w:rPr>
                <w:rFonts w:hint="eastAsia"/>
                <w:szCs w:val="24"/>
                <w:lang w:eastAsia="zh-CN"/>
              </w:rPr>
              <w:t xml:space="preserve"> </w:t>
            </w:r>
            <w:r w:rsidR="00B728D3" w:rsidRPr="00F041FF">
              <w:rPr>
                <w:szCs w:val="24"/>
              </w:rPr>
              <w:t>ETA</w:t>
            </w:r>
          </w:p>
        </w:tc>
        <w:tc>
          <w:tcPr>
            <w:tcW w:w="1310" w:type="dxa"/>
          </w:tcPr>
          <w:p w:rsidR="00B728D3" w:rsidRPr="007A3005" w:rsidRDefault="00B728D3" w:rsidP="0030025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7A3005">
              <w:rPr>
                <w:noProof/>
                <w:szCs w:val="24"/>
              </w:rPr>
              <w:t>[44]</w:t>
            </w:r>
          </w:p>
        </w:tc>
      </w:tr>
    </w:tbl>
    <w:p w:rsidR="007A3005" w:rsidRPr="00300253" w:rsidRDefault="007A3005" w:rsidP="007A3005">
      <w:pPr>
        <w:widowControl w:val="0"/>
        <w:snapToGrid w:val="0"/>
        <w:spacing w:after="0"/>
        <w:rPr>
          <w:szCs w:val="24"/>
          <w:lang w:eastAsia="zh-CN"/>
        </w:rPr>
      </w:pPr>
      <w:r w:rsidRPr="00300253">
        <w:rPr>
          <w:noProof/>
          <w:color w:val="000000"/>
          <w:szCs w:val="24"/>
          <w:lang w:eastAsia="de-DE"/>
        </w:rPr>
        <w:t>ADA</w:t>
      </w:r>
      <w:r w:rsidRPr="00300253">
        <w:rPr>
          <w:rFonts w:hint="eastAsia"/>
          <w:noProof/>
          <w:color w:val="000000"/>
          <w:szCs w:val="24"/>
          <w:lang w:eastAsia="zh-CN"/>
        </w:rPr>
        <w:t>:</w:t>
      </w:r>
      <w:r w:rsidRPr="00300253">
        <w:rPr>
          <w:noProof/>
          <w:color w:val="000000"/>
          <w:szCs w:val="24"/>
          <w:lang w:eastAsia="de-DE"/>
        </w:rPr>
        <w:t xml:space="preserve"> Adalimumab;</w:t>
      </w:r>
      <w:r>
        <w:rPr>
          <w:rFonts w:hint="eastAsia"/>
          <w:noProof/>
          <w:color w:val="000000"/>
          <w:szCs w:val="24"/>
          <w:lang w:eastAsia="zh-CN"/>
        </w:rPr>
        <w:t xml:space="preserve"> </w:t>
      </w:r>
      <w:r w:rsidRPr="00300253">
        <w:rPr>
          <w:noProof/>
          <w:color w:val="000000"/>
          <w:szCs w:val="24"/>
          <w:lang w:eastAsia="de-DE"/>
        </w:rPr>
        <w:t>ETA</w:t>
      </w:r>
      <w:r w:rsidRPr="00300253">
        <w:rPr>
          <w:rFonts w:hint="eastAsia"/>
          <w:noProof/>
          <w:color w:val="000000"/>
          <w:szCs w:val="24"/>
          <w:lang w:eastAsia="zh-CN"/>
        </w:rPr>
        <w:t>:</w:t>
      </w:r>
      <w:r w:rsidRPr="00300253">
        <w:rPr>
          <w:noProof/>
          <w:color w:val="000000"/>
          <w:szCs w:val="24"/>
          <w:lang w:eastAsia="de-DE"/>
        </w:rPr>
        <w:t xml:space="preserve"> </w:t>
      </w:r>
      <w:r w:rsidRPr="00300253">
        <w:rPr>
          <w:caps/>
          <w:noProof/>
          <w:color w:val="000000"/>
          <w:szCs w:val="24"/>
          <w:lang w:eastAsia="de-DE"/>
        </w:rPr>
        <w:t>e</w:t>
      </w:r>
      <w:r w:rsidRPr="00300253">
        <w:rPr>
          <w:noProof/>
          <w:color w:val="000000"/>
          <w:szCs w:val="24"/>
          <w:lang w:eastAsia="de-DE"/>
        </w:rPr>
        <w:t>tanercept;</w:t>
      </w:r>
      <w:r>
        <w:rPr>
          <w:rFonts w:hint="eastAsia"/>
          <w:noProof/>
          <w:color w:val="000000"/>
          <w:szCs w:val="24"/>
          <w:lang w:eastAsia="zh-CN"/>
        </w:rPr>
        <w:t xml:space="preserve"> </w:t>
      </w:r>
      <w:r w:rsidRPr="00300253">
        <w:rPr>
          <w:noProof/>
          <w:color w:val="000000"/>
          <w:szCs w:val="24"/>
          <w:lang w:eastAsia="de-DE"/>
        </w:rPr>
        <w:t>IFX</w:t>
      </w:r>
      <w:r w:rsidRPr="00300253">
        <w:rPr>
          <w:rFonts w:hint="eastAsia"/>
          <w:noProof/>
          <w:color w:val="000000"/>
          <w:szCs w:val="24"/>
          <w:lang w:eastAsia="zh-CN"/>
        </w:rPr>
        <w:t>:</w:t>
      </w:r>
      <w:r w:rsidRPr="00300253">
        <w:rPr>
          <w:noProof/>
          <w:color w:val="000000"/>
          <w:szCs w:val="24"/>
          <w:lang w:eastAsia="de-DE"/>
        </w:rPr>
        <w:t xml:space="preserve"> </w:t>
      </w:r>
      <w:r w:rsidRPr="00300253">
        <w:rPr>
          <w:caps/>
          <w:noProof/>
          <w:color w:val="000000"/>
          <w:szCs w:val="24"/>
          <w:lang w:eastAsia="de-DE"/>
        </w:rPr>
        <w:t>i</w:t>
      </w:r>
      <w:r w:rsidRPr="00300253">
        <w:rPr>
          <w:noProof/>
          <w:color w:val="000000"/>
          <w:szCs w:val="24"/>
          <w:lang w:eastAsia="de-DE"/>
        </w:rPr>
        <w:t>nfliximab;</w:t>
      </w:r>
      <w:r w:rsidRPr="00300253">
        <w:rPr>
          <w:szCs w:val="24"/>
        </w:rPr>
        <w:t xml:space="preserve"> </w:t>
      </w:r>
      <w:r w:rsidRPr="00300253">
        <w:rPr>
          <w:szCs w:val="24"/>
          <w:lang w:eastAsia="de-DE"/>
        </w:rPr>
        <w:t>TNF</w:t>
      </w:r>
      <w:r w:rsidRPr="00300253">
        <w:rPr>
          <w:rFonts w:hint="eastAsia"/>
          <w:szCs w:val="24"/>
          <w:lang w:eastAsia="zh-CN"/>
        </w:rPr>
        <w:t xml:space="preserve">: </w:t>
      </w:r>
      <w:r w:rsidRPr="00300253">
        <w:rPr>
          <w:caps/>
          <w:szCs w:val="24"/>
          <w:lang w:eastAsia="de-DE"/>
        </w:rPr>
        <w:t>t</w:t>
      </w:r>
      <w:r w:rsidRPr="00300253">
        <w:rPr>
          <w:szCs w:val="24"/>
          <w:lang w:eastAsia="de-DE"/>
        </w:rPr>
        <w:t>umor necro</w:t>
      </w:r>
      <w:r w:rsidRPr="00300253">
        <w:rPr>
          <w:szCs w:val="24"/>
          <w:lang w:val="en-GB" w:eastAsia="de-DE"/>
        </w:rPr>
        <w:t>sis factor</w:t>
      </w:r>
      <w:r w:rsidRPr="00300253">
        <w:rPr>
          <w:rFonts w:hint="eastAsia"/>
          <w:szCs w:val="24"/>
          <w:lang w:val="en-GB" w:eastAsia="zh-CN"/>
        </w:rPr>
        <w:t>;</w:t>
      </w:r>
      <w:r w:rsidRPr="00300253">
        <w:rPr>
          <w:szCs w:val="24"/>
          <w:lang w:eastAsia="de-DE"/>
        </w:rPr>
        <w:t xml:space="preserve"> mTNF: </w:t>
      </w:r>
      <w:r w:rsidRPr="00300253">
        <w:rPr>
          <w:caps/>
          <w:szCs w:val="24"/>
          <w:lang w:eastAsia="de-DE"/>
        </w:rPr>
        <w:t>m</w:t>
      </w:r>
      <w:r w:rsidRPr="00300253">
        <w:rPr>
          <w:szCs w:val="24"/>
          <w:lang w:eastAsia="de-DE"/>
        </w:rPr>
        <w:t xml:space="preserve">embrane-bound TNF; sTNF: </w:t>
      </w:r>
      <w:r w:rsidRPr="00300253">
        <w:rPr>
          <w:caps/>
          <w:szCs w:val="24"/>
          <w:lang w:eastAsia="de-DE"/>
        </w:rPr>
        <w:t>s</w:t>
      </w:r>
      <w:r w:rsidRPr="00300253">
        <w:rPr>
          <w:szCs w:val="24"/>
          <w:lang w:eastAsia="de-DE"/>
        </w:rPr>
        <w:t>oluble TNF</w:t>
      </w:r>
      <w:r w:rsidRPr="00300253">
        <w:rPr>
          <w:rFonts w:hint="eastAsia"/>
          <w:szCs w:val="24"/>
          <w:lang w:eastAsia="zh-CN"/>
        </w:rPr>
        <w:t>.</w:t>
      </w:r>
    </w:p>
    <w:p w:rsidR="00B728D3" w:rsidRPr="00F041FF" w:rsidRDefault="00B728D3" w:rsidP="00D4383F">
      <w:pPr>
        <w:pStyle w:val="Heading1"/>
        <w:keepNext w:val="0"/>
        <w:keepLines w:val="0"/>
        <w:widowControl w:val="0"/>
        <w:snapToGrid w:val="0"/>
        <w:spacing w:before="0" w:beforeAutospacing="0" w:after="0" w:afterAutospacing="0"/>
        <w:rPr>
          <w:sz w:val="24"/>
          <w:szCs w:val="24"/>
        </w:rPr>
      </w:pPr>
    </w:p>
    <w:p w:rsidR="00300253" w:rsidRDefault="00300253">
      <w:pPr>
        <w:spacing w:after="160" w:line="259" w:lineRule="auto"/>
        <w:jc w:val="left"/>
        <w:rPr>
          <w:rFonts w:eastAsiaTheme="majorEastAsia" w:cstheme="majorBidi"/>
          <w:b/>
          <w:bCs/>
          <w:szCs w:val="24"/>
        </w:rPr>
      </w:pPr>
      <w:r>
        <w:rPr>
          <w:szCs w:val="24"/>
        </w:rPr>
        <w:br w:type="page"/>
      </w:r>
    </w:p>
    <w:p w:rsidR="00B728D3" w:rsidRPr="00F041FF" w:rsidRDefault="00B728D3" w:rsidP="00D4383F">
      <w:pPr>
        <w:pStyle w:val="Heading1"/>
        <w:keepNext w:val="0"/>
        <w:keepLines w:val="0"/>
        <w:widowControl w:val="0"/>
        <w:snapToGrid w:val="0"/>
        <w:spacing w:before="0" w:beforeAutospacing="0" w:after="0" w:afterAutospacing="0"/>
        <w:rPr>
          <w:sz w:val="24"/>
          <w:szCs w:val="24"/>
        </w:rPr>
      </w:pPr>
      <w:r w:rsidRPr="00F041FF">
        <w:rPr>
          <w:sz w:val="24"/>
          <w:szCs w:val="24"/>
        </w:rPr>
        <w:lastRenderedPageBreak/>
        <w:t>Table 3</w:t>
      </w:r>
      <w:r w:rsidR="0045446E" w:rsidRPr="00F041FF">
        <w:rPr>
          <w:sz w:val="24"/>
          <w:szCs w:val="24"/>
        </w:rPr>
        <w:t xml:space="preserve"> Mechanism of action of anti-</w:t>
      </w:r>
      <w:r w:rsidR="007A3005" w:rsidRPr="007A3005">
        <w:rPr>
          <w:sz w:val="24"/>
          <w:szCs w:val="24"/>
        </w:rPr>
        <w:t>tumor necro</w:t>
      </w:r>
      <w:r w:rsidR="007A3005" w:rsidRPr="007A3005">
        <w:rPr>
          <w:sz w:val="24"/>
          <w:szCs w:val="24"/>
          <w:lang w:val="en-GB"/>
        </w:rPr>
        <w:t>sis factor</w:t>
      </w:r>
      <w:r w:rsidR="0045446E" w:rsidRPr="00F041FF">
        <w:rPr>
          <w:sz w:val="24"/>
          <w:szCs w:val="24"/>
        </w:rPr>
        <w:t xml:space="preserve"> </w:t>
      </w:r>
      <w:r w:rsidR="00435E78" w:rsidRPr="00F041FF">
        <w:rPr>
          <w:sz w:val="24"/>
          <w:szCs w:val="24"/>
        </w:rPr>
        <w:t>a</w:t>
      </w:r>
      <w:r w:rsidR="00435E78">
        <w:rPr>
          <w:sz w:val="24"/>
          <w:szCs w:val="24"/>
        </w:rPr>
        <w:t>gents</w:t>
      </w:r>
    </w:p>
    <w:tbl>
      <w:tblPr>
        <w:tblStyle w:val="LightShading"/>
        <w:tblW w:w="9742" w:type="dxa"/>
        <w:tblLook w:val="04A0" w:firstRow="1" w:lastRow="0" w:firstColumn="1" w:lastColumn="0" w:noHBand="0" w:noVBand="1"/>
      </w:tblPr>
      <w:tblGrid>
        <w:gridCol w:w="1464"/>
        <w:gridCol w:w="3898"/>
        <w:gridCol w:w="2995"/>
        <w:gridCol w:w="1385"/>
      </w:tblGrid>
      <w:tr w:rsidR="00B728D3" w:rsidRPr="00F041FF" w:rsidTr="007A3005">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464" w:type="dxa"/>
          </w:tcPr>
          <w:p w:rsidR="00B728D3" w:rsidRPr="00F041FF" w:rsidRDefault="00435E78" w:rsidP="00435E78">
            <w:pPr>
              <w:widowControl w:val="0"/>
              <w:snapToGrid w:val="0"/>
              <w:spacing w:after="0"/>
              <w:jc w:val="left"/>
              <w:rPr>
                <w:szCs w:val="24"/>
              </w:rPr>
            </w:pPr>
            <w:r w:rsidRPr="00F041FF">
              <w:rPr>
                <w:szCs w:val="24"/>
              </w:rPr>
              <w:t>A</w:t>
            </w:r>
            <w:r>
              <w:rPr>
                <w:szCs w:val="24"/>
              </w:rPr>
              <w:t>gent</w:t>
            </w:r>
          </w:p>
        </w:tc>
        <w:tc>
          <w:tcPr>
            <w:tcW w:w="3898" w:type="dxa"/>
          </w:tcPr>
          <w:p w:rsidR="00B728D3" w:rsidRPr="00F041FF" w:rsidRDefault="00B728D3" w:rsidP="007A3005">
            <w:pPr>
              <w:widowControl w:val="0"/>
              <w:snapToGrid w:val="0"/>
              <w:spacing w:after="0"/>
              <w:jc w:val="center"/>
              <w:cnfStyle w:val="100000000000" w:firstRow="1" w:lastRow="0" w:firstColumn="0" w:lastColumn="0" w:oddVBand="0" w:evenVBand="0" w:oddHBand="0" w:evenHBand="0" w:firstRowFirstColumn="0" w:firstRowLastColumn="0" w:lastRowFirstColumn="0" w:lastRowLastColumn="0"/>
              <w:rPr>
                <w:szCs w:val="24"/>
              </w:rPr>
            </w:pPr>
            <w:r w:rsidRPr="00F041FF">
              <w:rPr>
                <w:szCs w:val="24"/>
              </w:rPr>
              <w:t>Cell type</w:t>
            </w:r>
          </w:p>
        </w:tc>
        <w:tc>
          <w:tcPr>
            <w:tcW w:w="2995" w:type="dxa"/>
          </w:tcPr>
          <w:p w:rsidR="00B728D3" w:rsidRPr="00F041FF" w:rsidRDefault="00B728D3" w:rsidP="007A3005">
            <w:pPr>
              <w:widowControl w:val="0"/>
              <w:snapToGrid w:val="0"/>
              <w:spacing w:after="0"/>
              <w:jc w:val="center"/>
              <w:cnfStyle w:val="100000000000" w:firstRow="1" w:lastRow="0" w:firstColumn="0" w:lastColumn="0" w:oddVBand="0" w:evenVBand="0" w:oddHBand="0" w:evenHBand="0" w:firstRowFirstColumn="0" w:firstRowLastColumn="0" w:lastRowFirstColumn="0" w:lastRowLastColumn="0"/>
              <w:rPr>
                <w:szCs w:val="24"/>
              </w:rPr>
            </w:pPr>
            <w:r w:rsidRPr="00F041FF">
              <w:rPr>
                <w:szCs w:val="24"/>
              </w:rPr>
              <w:t>Mechanism of action</w:t>
            </w:r>
          </w:p>
        </w:tc>
        <w:tc>
          <w:tcPr>
            <w:tcW w:w="1385" w:type="dxa"/>
          </w:tcPr>
          <w:p w:rsidR="00B728D3" w:rsidRPr="00F041FF" w:rsidRDefault="00B728D3" w:rsidP="007A3005">
            <w:pPr>
              <w:widowControl w:val="0"/>
              <w:snapToGrid w:val="0"/>
              <w:spacing w:after="0"/>
              <w:jc w:val="center"/>
              <w:cnfStyle w:val="100000000000" w:firstRow="1" w:lastRow="0" w:firstColumn="0" w:lastColumn="0" w:oddVBand="0" w:evenVBand="0" w:oddHBand="0" w:evenHBand="0" w:firstRowFirstColumn="0" w:firstRowLastColumn="0" w:lastRowFirstColumn="0" w:lastRowLastColumn="0"/>
              <w:rPr>
                <w:szCs w:val="24"/>
                <w:lang w:eastAsia="zh-CN"/>
              </w:rPr>
            </w:pPr>
            <w:r w:rsidRPr="00F041FF">
              <w:rPr>
                <w:szCs w:val="24"/>
              </w:rPr>
              <w:t>Ref</w:t>
            </w:r>
            <w:r w:rsidR="00300253">
              <w:rPr>
                <w:rFonts w:hint="eastAsia"/>
                <w:szCs w:val="24"/>
                <w:lang w:eastAsia="zh-CN"/>
              </w:rPr>
              <w:t>.</w:t>
            </w:r>
          </w:p>
        </w:tc>
      </w:tr>
      <w:tr w:rsidR="00B728D3" w:rsidRPr="00F041FF" w:rsidTr="007A300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464" w:type="dxa"/>
          </w:tcPr>
          <w:p w:rsidR="00B728D3" w:rsidRPr="00F041FF" w:rsidRDefault="00B728D3" w:rsidP="007A3005">
            <w:pPr>
              <w:widowControl w:val="0"/>
              <w:snapToGrid w:val="0"/>
              <w:spacing w:after="0"/>
              <w:jc w:val="left"/>
              <w:rPr>
                <w:b w:val="0"/>
                <w:szCs w:val="24"/>
              </w:rPr>
            </w:pPr>
            <w:r w:rsidRPr="00F041FF">
              <w:rPr>
                <w:b w:val="0"/>
                <w:szCs w:val="24"/>
              </w:rPr>
              <w:t>ADA</w:t>
            </w:r>
          </w:p>
        </w:tc>
        <w:tc>
          <w:tcPr>
            <w:tcW w:w="3898" w:type="dxa"/>
          </w:tcPr>
          <w:p w:rsidR="00B728D3" w:rsidRPr="00F041FF"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CHO cell line stably expressing mTNF cocultured with human PBMCs</w:t>
            </w:r>
          </w:p>
        </w:tc>
        <w:tc>
          <w:tcPr>
            <w:tcW w:w="2995" w:type="dxa"/>
          </w:tcPr>
          <w:p w:rsidR="00B728D3" w:rsidRPr="00F041FF"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Induction of ADCC</w:t>
            </w:r>
          </w:p>
        </w:tc>
        <w:tc>
          <w:tcPr>
            <w:tcW w:w="1385" w:type="dxa"/>
          </w:tcPr>
          <w:p w:rsidR="00B728D3" w:rsidRPr="007A3005"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7A3005">
              <w:rPr>
                <w:noProof/>
                <w:szCs w:val="24"/>
              </w:rPr>
              <w:t>[</w:t>
            </w:r>
            <w:r w:rsidR="00C51C81" w:rsidRPr="007A3005">
              <w:rPr>
                <w:noProof/>
                <w:szCs w:val="24"/>
              </w:rPr>
              <w:t>75</w:t>
            </w:r>
            <w:r w:rsidRPr="007A3005">
              <w:rPr>
                <w:noProof/>
                <w:szCs w:val="24"/>
              </w:rPr>
              <w:t>]</w:t>
            </w:r>
          </w:p>
        </w:tc>
      </w:tr>
      <w:tr w:rsidR="00B728D3" w:rsidRPr="00F041FF" w:rsidTr="007A3005">
        <w:trPr>
          <w:trHeight w:val="145"/>
        </w:trPr>
        <w:tc>
          <w:tcPr>
            <w:cnfStyle w:val="001000000000" w:firstRow="0" w:lastRow="0" w:firstColumn="1" w:lastColumn="0" w:oddVBand="0" w:evenVBand="0" w:oddHBand="0" w:evenHBand="0" w:firstRowFirstColumn="0" w:firstRowLastColumn="0" w:lastRowFirstColumn="0" w:lastRowLastColumn="0"/>
            <w:tcW w:w="1464" w:type="dxa"/>
          </w:tcPr>
          <w:p w:rsidR="00B728D3" w:rsidRPr="00F041FF" w:rsidRDefault="00B728D3" w:rsidP="007A3005">
            <w:pPr>
              <w:widowControl w:val="0"/>
              <w:snapToGrid w:val="0"/>
              <w:spacing w:after="0"/>
              <w:jc w:val="left"/>
              <w:rPr>
                <w:b w:val="0"/>
                <w:szCs w:val="24"/>
              </w:rPr>
            </w:pPr>
            <w:r w:rsidRPr="00F041FF">
              <w:rPr>
                <w:b w:val="0"/>
                <w:szCs w:val="24"/>
              </w:rPr>
              <w:t>ADA</w:t>
            </w:r>
          </w:p>
        </w:tc>
        <w:tc>
          <w:tcPr>
            <w:tcW w:w="3898" w:type="dxa"/>
          </w:tcPr>
          <w:p w:rsidR="00B728D3" w:rsidRPr="00F041FF" w:rsidRDefault="00B728D3"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szCs w:val="24"/>
              </w:rPr>
              <w:t>CHO cell line stably expressing mTNF with human normal serum</w:t>
            </w:r>
          </w:p>
        </w:tc>
        <w:tc>
          <w:tcPr>
            <w:tcW w:w="2995" w:type="dxa"/>
          </w:tcPr>
          <w:p w:rsidR="00B728D3" w:rsidRPr="00F041FF" w:rsidRDefault="00B728D3"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szCs w:val="24"/>
              </w:rPr>
              <w:t>Induction of CDC</w:t>
            </w:r>
          </w:p>
        </w:tc>
        <w:tc>
          <w:tcPr>
            <w:tcW w:w="1385" w:type="dxa"/>
          </w:tcPr>
          <w:p w:rsidR="00B728D3" w:rsidRPr="007A3005" w:rsidRDefault="00B728D3"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7A3005">
              <w:rPr>
                <w:noProof/>
                <w:szCs w:val="24"/>
              </w:rPr>
              <w:t>[</w:t>
            </w:r>
            <w:r w:rsidR="00C51C81" w:rsidRPr="007A3005">
              <w:rPr>
                <w:noProof/>
                <w:szCs w:val="24"/>
              </w:rPr>
              <w:t>75</w:t>
            </w:r>
            <w:r w:rsidRPr="007A3005">
              <w:rPr>
                <w:noProof/>
                <w:szCs w:val="24"/>
              </w:rPr>
              <w:t>]</w:t>
            </w:r>
          </w:p>
        </w:tc>
      </w:tr>
      <w:tr w:rsidR="00B728D3" w:rsidRPr="00F041FF" w:rsidTr="007A300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464" w:type="dxa"/>
          </w:tcPr>
          <w:p w:rsidR="00B728D3" w:rsidRPr="00F041FF" w:rsidRDefault="00B728D3" w:rsidP="007A3005">
            <w:pPr>
              <w:widowControl w:val="0"/>
              <w:snapToGrid w:val="0"/>
              <w:spacing w:after="0"/>
              <w:jc w:val="left"/>
              <w:rPr>
                <w:b w:val="0"/>
                <w:szCs w:val="24"/>
              </w:rPr>
            </w:pPr>
            <w:r w:rsidRPr="00F041FF">
              <w:rPr>
                <w:b w:val="0"/>
                <w:szCs w:val="24"/>
              </w:rPr>
              <w:t>IFX, ADA, ETA, Certo</w:t>
            </w:r>
          </w:p>
        </w:tc>
        <w:tc>
          <w:tcPr>
            <w:tcW w:w="3898" w:type="dxa"/>
          </w:tcPr>
          <w:p w:rsidR="00B728D3" w:rsidRPr="00F041FF"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TNF6.5 cells (murine NSO cell line stably expressing human TNF) with baby rabbit complement</w:t>
            </w:r>
          </w:p>
        </w:tc>
        <w:tc>
          <w:tcPr>
            <w:tcW w:w="2995" w:type="dxa"/>
          </w:tcPr>
          <w:p w:rsidR="00B728D3" w:rsidRPr="00F041FF"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CDC:</w:t>
            </w:r>
            <w:r w:rsidR="007A3005">
              <w:rPr>
                <w:rFonts w:hint="eastAsia"/>
                <w:szCs w:val="24"/>
                <w:lang w:eastAsia="zh-CN"/>
              </w:rPr>
              <w:t xml:space="preserve"> </w:t>
            </w:r>
            <w:r w:rsidR="007A3005">
              <w:rPr>
                <w:szCs w:val="24"/>
              </w:rPr>
              <w:t>IFX, Ada, Eta ++</w:t>
            </w:r>
            <w:r w:rsidR="007A3005">
              <w:rPr>
                <w:rFonts w:hint="eastAsia"/>
                <w:szCs w:val="24"/>
                <w:lang w:eastAsia="zh-CN"/>
              </w:rPr>
              <w:t xml:space="preserve">; </w:t>
            </w:r>
            <w:r w:rsidRPr="00F041FF">
              <w:rPr>
                <w:szCs w:val="24"/>
              </w:rPr>
              <w:t>Certo -</w:t>
            </w:r>
          </w:p>
        </w:tc>
        <w:tc>
          <w:tcPr>
            <w:tcW w:w="1385" w:type="dxa"/>
          </w:tcPr>
          <w:p w:rsidR="00B728D3" w:rsidRPr="007A3005"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7A3005">
              <w:rPr>
                <w:noProof/>
                <w:szCs w:val="24"/>
              </w:rPr>
              <w:t>[50]</w:t>
            </w:r>
          </w:p>
        </w:tc>
      </w:tr>
      <w:tr w:rsidR="00B728D3" w:rsidRPr="00F041FF" w:rsidTr="007A3005">
        <w:trPr>
          <w:trHeight w:val="145"/>
        </w:trPr>
        <w:tc>
          <w:tcPr>
            <w:cnfStyle w:val="001000000000" w:firstRow="0" w:lastRow="0" w:firstColumn="1" w:lastColumn="0" w:oddVBand="0" w:evenVBand="0" w:oddHBand="0" w:evenHBand="0" w:firstRowFirstColumn="0" w:firstRowLastColumn="0" w:lastRowFirstColumn="0" w:lastRowLastColumn="0"/>
            <w:tcW w:w="1464" w:type="dxa"/>
          </w:tcPr>
          <w:p w:rsidR="00B728D3" w:rsidRPr="00F041FF" w:rsidRDefault="00B728D3" w:rsidP="007A3005">
            <w:pPr>
              <w:widowControl w:val="0"/>
              <w:snapToGrid w:val="0"/>
              <w:spacing w:after="0"/>
              <w:jc w:val="left"/>
              <w:rPr>
                <w:b w:val="0"/>
                <w:szCs w:val="24"/>
              </w:rPr>
            </w:pPr>
            <w:r w:rsidRPr="00F041FF">
              <w:rPr>
                <w:b w:val="0"/>
                <w:szCs w:val="24"/>
              </w:rPr>
              <w:t>IFX, ADA, ETA, Certo</w:t>
            </w:r>
          </w:p>
        </w:tc>
        <w:tc>
          <w:tcPr>
            <w:tcW w:w="3898" w:type="dxa"/>
          </w:tcPr>
          <w:p w:rsidR="00B728D3" w:rsidRPr="00F041FF" w:rsidRDefault="00B728D3"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szCs w:val="24"/>
              </w:rPr>
              <w:t>TNF6.5 cells in coculture with CD14-depleted PBMCs</w:t>
            </w:r>
          </w:p>
        </w:tc>
        <w:tc>
          <w:tcPr>
            <w:tcW w:w="2995" w:type="dxa"/>
          </w:tcPr>
          <w:p w:rsidR="00B728D3" w:rsidRPr="00F041FF" w:rsidRDefault="007A3005"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ADCC:</w:t>
            </w:r>
            <w:r>
              <w:rPr>
                <w:rFonts w:hint="eastAsia"/>
                <w:szCs w:val="24"/>
                <w:lang w:eastAsia="zh-CN"/>
              </w:rPr>
              <w:t xml:space="preserve"> </w:t>
            </w:r>
            <w:r>
              <w:rPr>
                <w:szCs w:val="24"/>
              </w:rPr>
              <w:t>IFX, ADA ++</w:t>
            </w:r>
            <w:r>
              <w:rPr>
                <w:rFonts w:hint="eastAsia"/>
                <w:szCs w:val="24"/>
                <w:lang w:eastAsia="zh-CN"/>
              </w:rPr>
              <w:t xml:space="preserve">, </w:t>
            </w:r>
            <w:r>
              <w:rPr>
                <w:szCs w:val="24"/>
              </w:rPr>
              <w:t>ETA+</w:t>
            </w:r>
            <w:r>
              <w:rPr>
                <w:rFonts w:hint="eastAsia"/>
                <w:szCs w:val="24"/>
                <w:lang w:eastAsia="zh-CN"/>
              </w:rPr>
              <w:t xml:space="preserve">, </w:t>
            </w:r>
            <w:r w:rsidR="00B728D3" w:rsidRPr="00F041FF">
              <w:rPr>
                <w:szCs w:val="24"/>
              </w:rPr>
              <w:t>Certo -</w:t>
            </w:r>
          </w:p>
        </w:tc>
        <w:tc>
          <w:tcPr>
            <w:tcW w:w="1385" w:type="dxa"/>
          </w:tcPr>
          <w:p w:rsidR="00B728D3" w:rsidRPr="007A3005" w:rsidRDefault="00B728D3"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7A3005">
              <w:rPr>
                <w:noProof/>
                <w:szCs w:val="24"/>
              </w:rPr>
              <w:t>[50]</w:t>
            </w:r>
          </w:p>
        </w:tc>
      </w:tr>
      <w:tr w:rsidR="00B728D3" w:rsidRPr="00F041FF" w:rsidTr="007A300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464" w:type="dxa"/>
          </w:tcPr>
          <w:p w:rsidR="00B728D3" w:rsidRPr="00F041FF" w:rsidRDefault="00B728D3" w:rsidP="007A3005">
            <w:pPr>
              <w:widowControl w:val="0"/>
              <w:snapToGrid w:val="0"/>
              <w:spacing w:after="0"/>
              <w:jc w:val="left"/>
              <w:rPr>
                <w:b w:val="0"/>
                <w:szCs w:val="24"/>
              </w:rPr>
            </w:pPr>
            <w:r w:rsidRPr="00F041FF">
              <w:rPr>
                <w:b w:val="0"/>
                <w:szCs w:val="24"/>
              </w:rPr>
              <w:t>IFX, ADA, ETA, Certo</w:t>
            </w:r>
          </w:p>
        </w:tc>
        <w:tc>
          <w:tcPr>
            <w:tcW w:w="3898" w:type="dxa"/>
          </w:tcPr>
          <w:p w:rsidR="00B728D3" w:rsidRPr="00F041FF"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Peripheral blood lymphocytes</w:t>
            </w:r>
          </w:p>
        </w:tc>
        <w:tc>
          <w:tcPr>
            <w:tcW w:w="2995" w:type="dxa"/>
          </w:tcPr>
          <w:p w:rsidR="00B728D3" w:rsidRPr="00F041FF" w:rsidRDefault="007A3005"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lang w:eastAsia="zh-CN"/>
              </w:rPr>
            </w:pPr>
            <w:r>
              <w:rPr>
                <w:szCs w:val="24"/>
              </w:rPr>
              <w:t>Apoptosis:</w:t>
            </w:r>
            <w:r>
              <w:rPr>
                <w:rFonts w:hint="eastAsia"/>
                <w:szCs w:val="24"/>
                <w:lang w:eastAsia="zh-CN"/>
              </w:rPr>
              <w:t xml:space="preserve"> </w:t>
            </w:r>
            <w:r w:rsidR="00B728D3" w:rsidRPr="00F041FF">
              <w:rPr>
                <w:szCs w:val="24"/>
              </w:rPr>
              <w:t>IFX, ADA ++</w:t>
            </w:r>
            <w:r>
              <w:rPr>
                <w:rFonts w:hint="eastAsia"/>
                <w:szCs w:val="24"/>
                <w:lang w:eastAsia="zh-CN"/>
              </w:rPr>
              <w:t xml:space="preserve">;  </w:t>
            </w:r>
            <w:r w:rsidR="00B728D3" w:rsidRPr="00F041FF">
              <w:rPr>
                <w:szCs w:val="24"/>
              </w:rPr>
              <w:t>ETA+</w:t>
            </w:r>
            <w:r>
              <w:rPr>
                <w:rFonts w:hint="eastAsia"/>
                <w:szCs w:val="24"/>
                <w:lang w:eastAsia="zh-CN"/>
              </w:rPr>
              <w:t xml:space="preserve">, </w:t>
            </w:r>
            <w:r w:rsidR="00B728D3" w:rsidRPr="00F041FF">
              <w:rPr>
                <w:szCs w:val="24"/>
              </w:rPr>
              <w:t>Certo -</w:t>
            </w:r>
          </w:p>
        </w:tc>
        <w:tc>
          <w:tcPr>
            <w:tcW w:w="1385" w:type="dxa"/>
          </w:tcPr>
          <w:p w:rsidR="00B728D3" w:rsidRPr="007A3005"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7A3005">
              <w:rPr>
                <w:noProof/>
                <w:szCs w:val="24"/>
              </w:rPr>
              <w:t>[50]</w:t>
            </w:r>
          </w:p>
        </w:tc>
      </w:tr>
      <w:tr w:rsidR="00B728D3" w:rsidRPr="00F041FF" w:rsidTr="007A3005">
        <w:trPr>
          <w:trHeight w:val="145"/>
        </w:trPr>
        <w:tc>
          <w:tcPr>
            <w:cnfStyle w:val="001000000000" w:firstRow="0" w:lastRow="0" w:firstColumn="1" w:lastColumn="0" w:oddVBand="0" w:evenVBand="0" w:oddHBand="0" w:evenHBand="0" w:firstRowFirstColumn="0" w:firstRowLastColumn="0" w:lastRowFirstColumn="0" w:lastRowLastColumn="0"/>
            <w:tcW w:w="1464" w:type="dxa"/>
          </w:tcPr>
          <w:p w:rsidR="00B728D3" w:rsidRPr="00F041FF" w:rsidRDefault="00B728D3" w:rsidP="007A3005">
            <w:pPr>
              <w:widowControl w:val="0"/>
              <w:snapToGrid w:val="0"/>
              <w:spacing w:after="0"/>
              <w:jc w:val="left"/>
              <w:rPr>
                <w:b w:val="0"/>
                <w:szCs w:val="24"/>
              </w:rPr>
            </w:pPr>
            <w:r w:rsidRPr="00F041FF">
              <w:rPr>
                <w:b w:val="0"/>
                <w:szCs w:val="24"/>
              </w:rPr>
              <w:t xml:space="preserve">IFX, ADA, ETA, Certo </w:t>
            </w:r>
          </w:p>
        </w:tc>
        <w:tc>
          <w:tcPr>
            <w:tcW w:w="3898" w:type="dxa"/>
          </w:tcPr>
          <w:p w:rsidR="00B728D3" w:rsidRPr="00F041FF" w:rsidRDefault="00B728D3"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szCs w:val="24"/>
              </w:rPr>
              <w:t>Peripheral blood monocytes</w:t>
            </w:r>
          </w:p>
        </w:tc>
        <w:tc>
          <w:tcPr>
            <w:tcW w:w="2995" w:type="dxa"/>
          </w:tcPr>
          <w:p w:rsidR="00B728D3" w:rsidRPr="00F041FF" w:rsidRDefault="007A3005"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lang w:eastAsia="zh-CN"/>
              </w:rPr>
            </w:pPr>
            <w:r>
              <w:rPr>
                <w:szCs w:val="24"/>
              </w:rPr>
              <w:t>Apoptosis:</w:t>
            </w:r>
            <w:r>
              <w:rPr>
                <w:rFonts w:hint="eastAsia"/>
                <w:szCs w:val="24"/>
                <w:lang w:eastAsia="zh-CN"/>
              </w:rPr>
              <w:t xml:space="preserve"> </w:t>
            </w:r>
            <w:r w:rsidR="00B728D3" w:rsidRPr="00F041FF">
              <w:rPr>
                <w:szCs w:val="24"/>
              </w:rPr>
              <w:t>IFX, ADA ++</w:t>
            </w:r>
            <w:r>
              <w:rPr>
                <w:rFonts w:hint="eastAsia"/>
                <w:szCs w:val="24"/>
                <w:lang w:eastAsia="zh-CN"/>
              </w:rPr>
              <w:t xml:space="preserve">; </w:t>
            </w:r>
            <w:r w:rsidR="00B728D3" w:rsidRPr="00F041FF">
              <w:rPr>
                <w:szCs w:val="24"/>
              </w:rPr>
              <w:t>ETA+</w:t>
            </w:r>
            <w:r>
              <w:rPr>
                <w:rFonts w:hint="eastAsia"/>
                <w:szCs w:val="24"/>
                <w:lang w:eastAsia="zh-CN"/>
              </w:rPr>
              <w:t xml:space="preserve">, </w:t>
            </w:r>
            <w:r w:rsidR="00B728D3" w:rsidRPr="00F041FF">
              <w:rPr>
                <w:szCs w:val="24"/>
              </w:rPr>
              <w:t>Certo -</w:t>
            </w:r>
          </w:p>
        </w:tc>
        <w:tc>
          <w:tcPr>
            <w:tcW w:w="1385" w:type="dxa"/>
          </w:tcPr>
          <w:p w:rsidR="00B728D3" w:rsidRPr="007A3005" w:rsidRDefault="00B728D3"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7A3005">
              <w:rPr>
                <w:noProof/>
                <w:szCs w:val="24"/>
              </w:rPr>
              <w:t>[50]</w:t>
            </w:r>
          </w:p>
        </w:tc>
      </w:tr>
      <w:tr w:rsidR="00B728D3" w:rsidRPr="00F041FF" w:rsidTr="007A300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464" w:type="dxa"/>
          </w:tcPr>
          <w:p w:rsidR="00B728D3" w:rsidRPr="00F041FF" w:rsidRDefault="00B728D3" w:rsidP="007A3005">
            <w:pPr>
              <w:widowControl w:val="0"/>
              <w:snapToGrid w:val="0"/>
              <w:spacing w:after="0"/>
              <w:jc w:val="left"/>
              <w:rPr>
                <w:b w:val="0"/>
                <w:szCs w:val="24"/>
              </w:rPr>
            </w:pPr>
            <w:r w:rsidRPr="00F041FF">
              <w:rPr>
                <w:b w:val="0"/>
                <w:szCs w:val="24"/>
              </w:rPr>
              <w:t>IFX, ADA</w:t>
            </w:r>
          </w:p>
        </w:tc>
        <w:tc>
          <w:tcPr>
            <w:tcW w:w="3898" w:type="dxa"/>
          </w:tcPr>
          <w:p w:rsidR="00B728D3" w:rsidRPr="00F041FF"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mTNF transfected cell line (SP2/0-11A5-1, murine)</w:t>
            </w:r>
          </w:p>
        </w:tc>
        <w:tc>
          <w:tcPr>
            <w:tcW w:w="2995" w:type="dxa"/>
          </w:tcPr>
          <w:p w:rsidR="00B728D3" w:rsidRPr="00F041FF"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Induction of CDC</w:t>
            </w:r>
          </w:p>
        </w:tc>
        <w:tc>
          <w:tcPr>
            <w:tcW w:w="1385" w:type="dxa"/>
          </w:tcPr>
          <w:p w:rsidR="00B728D3" w:rsidRPr="007A3005"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7A3005">
              <w:rPr>
                <w:noProof/>
                <w:szCs w:val="24"/>
              </w:rPr>
              <w:t>[41]</w:t>
            </w:r>
          </w:p>
        </w:tc>
      </w:tr>
      <w:tr w:rsidR="00B728D3" w:rsidRPr="00F041FF" w:rsidTr="007A3005">
        <w:trPr>
          <w:trHeight w:val="145"/>
        </w:trPr>
        <w:tc>
          <w:tcPr>
            <w:cnfStyle w:val="001000000000" w:firstRow="0" w:lastRow="0" w:firstColumn="1" w:lastColumn="0" w:oddVBand="0" w:evenVBand="0" w:oddHBand="0" w:evenHBand="0" w:firstRowFirstColumn="0" w:firstRowLastColumn="0" w:lastRowFirstColumn="0" w:lastRowLastColumn="0"/>
            <w:tcW w:w="1464" w:type="dxa"/>
          </w:tcPr>
          <w:p w:rsidR="00B728D3" w:rsidRPr="00F041FF" w:rsidRDefault="00B728D3" w:rsidP="007A3005">
            <w:pPr>
              <w:widowControl w:val="0"/>
              <w:snapToGrid w:val="0"/>
              <w:spacing w:after="0"/>
              <w:jc w:val="left"/>
              <w:rPr>
                <w:b w:val="0"/>
                <w:szCs w:val="24"/>
              </w:rPr>
            </w:pPr>
            <w:r w:rsidRPr="00F041FF">
              <w:rPr>
                <w:b w:val="0"/>
                <w:szCs w:val="24"/>
              </w:rPr>
              <w:t>IFX, ADA</w:t>
            </w:r>
          </w:p>
        </w:tc>
        <w:tc>
          <w:tcPr>
            <w:tcW w:w="3898" w:type="dxa"/>
          </w:tcPr>
          <w:p w:rsidR="00B728D3" w:rsidRPr="00F041FF" w:rsidRDefault="00B728D3"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szCs w:val="24"/>
              </w:rPr>
              <w:t>Activated human PBMCs</w:t>
            </w:r>
          </w:p>
        </w:tc>
        <w:tc>
          <w:tcPr>
            <w:tcW w:w="2995" w:type="dxa"/>
          </w:tcPr>
          <w:p w:rsidR="00B728D3" w:rsidRPr="00F041FF" w:rsidRDefault="00B728D3"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szCs w:val="24"/>
              </w:rPr>
              <w:t>No induction of CDC</w:t>
            </w:r>
          </w:p>
        </w:tc>
        <w:tc>
          <w:tcPr>
            <w:tcW w:w="1385" w:type="dxa"/>
          </w:tcPr>
          <w:p w:rsidR="00B728D3" w:rsidRPr="007A3005" w:rsidRDefault="00B728D3"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7A3005">
              <w:rPr>
                <w:noProof/>
                <w:szCs w:val="24"/>
              </w:rPr>
              <w:t>[41]</w:t>
            </w:r>
          </w:p>
        </w:tc>
      </w:tr>
      <w:tr w:rsidR="00B728D3" w:rsidRPr="00F041FF" w:rsidTr="007A300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464" w:type="dxa"/>
          </w:tcPr>
          <w:p w:rsidR="00B728D3" w:rsidRPr="00F041FF" w:rsidRDefault="00B728D3" w:rsidP="007A3005">
            <w:pPr>
              <w:widowControl w:val="0"/>
              <w:snapToGrid w:val="0"/>
              <w:spacing w:after="0"/>
              <w:jc w:val="left"/>
              <w:rPr>
                <w:b w:val="0"/>
                <w:szCs w:val="24"/>
              </w:rPr>
            </w:pPr>
            <w:r w:rsidRPr="00F041FF">
              <w:rPr>
                <w:b w:val="0"/>
                <w:szCs w:val="24"/>
              </w:rPr>
              <w:t>GOL, ADA, IFX, Certo</w:t>
            </w:r>
          </w:p>
        </w:tc>
        <w:tc>
          <w:tcPr>
            <w:tcW w:w="3898" w:type="dxa"/>
          </w:tcPr>
          <w:p w:rsidR="00B728D3" w:rsidRPr="00F041FF"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mTNF expressing Jurkat cells with PBMCs/human serum</w:t>
            </w:r>
          </w:p>
        </w:tc>
        <w:tc>
          <w:tcPr>
            <w:tcW w:w="2995" w:type="dxa"/>
          </w:tcPr>
          <w:p w:rsidR="00B728D3" w:rsidRPr="00F041FF" w:rsidRDefault="007A3005"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lang w:eastAsia="zh-CN"/>
              </w:rPr>
            </w:pPr>
            <w:r>
              <w:rPr>
                <w:szCs w:val="24"/>
              </w:rPr>
              <w:t>ADCC, CDC:</w:t>
            </w:r>
            <w:r>
              <w:rPr>
                <w:rFonts w:hint="eastAsia"/>
                <w:szCs w:val="24"/>
                <w:lang w:eastAsia="zh-CN"/>
              </w:rPr>
              <w:t xml:space="preserve"> </w:t>
            </w:r>
            <w:r w:rsidR="00B728D3" w:rsidRPr="00F041FF">
              <w:rPr>
                <w:szCs w:val="24"/>
              </w:rPr>
              <w:t>GOL, ADA, IFX ++</w:t>
            </w:r>
            <w:r>
              <w:rPr>
                <w:rFonts w:hint="eastAsia"/>
                <w:szCs w:val="24"/>
                <w:lang w:eastAsia="zh-CN"/>
              </w:rPr>
              <w:t xml:space="preserve">; </w:t>
            </w:r>
            <w:r w:rsidR="00B728D3" w:rsidRPr="00F041FF">
              <w:rPr>
                <w:szCs w:val="24"/>
              </w:rPr>
              <w:t>ETA+</w:t>
            </w:r>
            <w:r>
              <w:rPr>
                <w:rFonts w:hint="eastAsia"/>
                <w:szCs w:val="24"/>
                <w:lang w:eastAsia="zh-CN"/>
              </w:rPr>
              <w:t xml:space="preserve">, </w:t>
            </w:r>
            <w:r w:rsidR="00B728D3" w:rsidRPr="00F041FF">
              <w:rPr>
                <w:szCs w:val="24"/>
              </w:rPr>
              <w:t>Certo-</w:t>
            </w:r>
          </w:p>
        </w:tc>
        <w:tc>
          <w:tcPr>
            <w:tcW w:w="1385" w:type="dxa"/>
          </w:tcPr>
          <w:p w:rsidR="00B728D3" w:rsidRPr="007A3005"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7A3005">
              <w:rPr>
                <w:noProof/>
                <w:szCs w:val="24"/>
              </w:rPr>
              <w:t>[</w:t>
            </w:r>
            <w:r w:rsidR="00C51C81" w:rsidRPr="007A3005">
              <w:rPr>
                <w:noProof/>
                <w:szCs w:val="24"/>
              </w:rPr>
              <w:t>77</w:t>
            </w:r>
            <w:r w:rsidRPr="007A3005">
              <w:rPr>
                <w:noProof/>
                <w:szCs w:val="24"/>
              </w:rPr>
              <w:t>]</w:t>
            </w:r>
          </w:p>
        </w:tc>
      </w:tr>
      <w:tr w:rsidR="00B728D3" w:rsidRPr="00F041FF" w:rsidTr="007A3005">
        <w:trPr>
          <w:trHeight w:val="1370"/>
        </w:trPr>
        <w:tc>
          <w:tcPr>
            <w:cnfStyle w:val="001000000000" w:firstRow="0" w:lastRow="0" w:firstColumn="1" w:lastColumn="0" w:oddVBand="0" w:evenVBand="0" w:oddHBand="0" w:evenHBand="0" w:firstRowFirstColumn="0" w:firstRowLastColumn="0" w:lastRowFirstColumn="0" w:lastRowLastColumn="0"/>
            <w:tcW w:w="1464" w:type="dxa"/>
          </w:tcPr>
          <w:p w:rsidR="00B728D3" w:rsidRPr="00F041FF" w:rsidRDefault="00B728D3" w:rsidP="007A3005">
            <w:pPr>
              <w:widowControl w:val="0"/>
              <w:snapToGrid w:val="0"/>
              <w:spacing w:after="0"/>
              <w:jc w:val="left"/>
              <w:rPr>
                <w:b w:val="0"/>
                <w:szCs w:val="24"/>
              </w:rPr>
            </w:pPr>
            <w:r w:rsidRPr="00F041FF">
              <w:rPr>
                <w:b w:val="0"/>
                <w:szCs w:val="24"/>
              </w:rPr>
              <w:t>ADA, IFX, GOL, Certo</w:t>
            </w:r>
          </w:p>
        </w:tc>
        <w:tc>
          <w:tcPr>
            <w:tcW w:w="3898" w:type="dxa"/>
          </w:tcPr>
          <w:p w:rsidR="00B728D3" w:rsidRPr="00F041FF" w:rsidRDefault="00B728D3"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szCs w:val="24"/>
              </w:rPr>
              <w:t>mTNF expressing Jurkat cells</w:t>
            </w:r>
          </w:p>
        </w:tc>
        <w:tc>
          <w:tcPr>
            <w:tcW w:w="2995" w:type="dxa"/>
          </w:tcPr>
          <w:p w:rsidR="00B728D3" w:rsidRPr="00F041FF" w:rsidRDefault="007A3005"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Apoptosis:</w:t>
            </w:r>
            <w:r>
              <w:rPr>
                <w:rFonts w:hint="eastAsia"/>
                <w:szCs w:val="24"/>
                <w:lang w:eastAsia="zh-CN"/>
              </w:rPr>
              <w:t xml:space="preserve"> </w:t>
            </w:r>
            <w:r w:rsidR="00B728D3" w:rsidRPr="00F041FF">
              <w:rPr>
                <w:szCs w:val="24"/>
              </w:rPr>
              <w:t>ADA, IFX ++</w:t>
            </w:r>
            <w:r>
              <w:rPr>
                <w:rFonts w:hint="eastAsia"/>
                <w:szCs w:val="24"/>
                <w:lang w:eastAsia="zh-CN"/>
              </w:rPr>
              <w:t>,</w:t>
            </w:r>
          </w:p>
          <w:p w:rsidR="00B728D3" w:rsidRPr="00F041FF" w:rsidRDefault="00B728D3"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szCs w:val="24"/>
              </w:rPr>
              <w:t>Gol+, Certo+</w:t>
            </w:r>
          </w:p>
        </w:tc>
        <w:tc>
          <w:tcPr>
            <w:tcW w:w="1385" w:type="dxa"/>
          </w:tcPr>
          <w:p w:rsidR="00B728D3" w:rsidRPr="007A3005" w:rsidRDefault="00B728D3"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7A3005">
              <w:rPr>
                <w:noProof/>
                <w:szCs w:val="24"/>
              </w:rPr>
              <w:t>[</w:t>
            </w:r>
            <w:r w:rsidR="00C51C81" w:rsidRPr="007A3005">
              <w:rPr>
                <w:noProof/>
                <w:szCs w:val="24"/>
              </w:rPr>
              <w:t>77</w:t>
            </w:r>
            <w:r w:rsidRPr="007A3005">
              <w:rPr>
                <w:noProof/>
                <w:szCs w:val="24"/>
              </w:rPr>
              <w:t>]</w:t>
            </w:r>
          </w:p>
        </w:tc>
      </w:tr>
      <w:tr w:rsidR="00B728D3" w:rsidRPr="00F041FF" w:rsidTr="007A3005">
        <w:trPr>
          <w:cnfStyle w:val="000000100000" w:firstRow="0" w:lastRow="0" w:firstColumn="0" w:lastColumn="0" w:oddVBand="0" w:evenVBand="0" w:oddHBand="1" w:evenHBand="0" w:firstRowFirstColumn="0" w:firstRowLastColumn="0" w:lastRowFirstColumn="0" w:lastRowLastColumn="0"/>
          <w:trHeight w:val="1795"/>
        </w:trPr>
        <w:tc>
          <w:tcPr>
            <w:cnfStyle w:val="001000000000" w:firstRow="0" w:lastRow="0" w:firstColumn="1" w:lastColumn="0" w:oddVBand="0" w:evenVBand="0" w:oddHBand="0" w:evenHBand="0" w:firstRowFirstColumn="0" w:firstRowLastColumn="0" w:lastRowFirstColumn="0" w:lastRowLastColumn="0"/>
            <w:tcW w:w="1464" w:type="dxa"/>
          </w:tcPr>
          <w:p w:rsidR="00B728D3" w:rsidRPr="00F041FF" w:rsidRDefault="00B728D3" w:rsidP="007A3005">
            <w:pPr>
              <w:widowControl w:val="0"/>
              <w:snapToGrid w:val="0"/>
              <w:spacing w:after="0"/>
              <w:jc w:val="left"/>
              <w:rPr>
                <w:b w:val="0"/>
                <w:szCs w:val="24"/>
              </w:rPr>
            </w:pPr>
            <w:r w:rsidRPr="00F041FF">
              <w:rPr>
                <w:b w:val="0"/>
                <w:szCs w:val="24"/>
              </w:rPr>
              <w:t>ADA, IFX, ETA</w:t>
            </w:r>
          </w:p>
        </w:tc>
        <w:tc>
          <w:tcPr>
            <w:tcW w:w="3898" w:type="dxa"/>
          </w:tcPr>
          <w:p w:rsidR="00B728D3" w:rsidRPr="00F041FF"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cultured monocytes</w:t>
            </w:r>
          </w:p>
        </w:tc>
        <w:tc>
          <w:tcPr>
            <w:tcW w:w="2995" w:type="dxa"/>
          </w:tcPr>
          <w:p w:rsidR="00B728D3" w:rsidRPr="00F041FF"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lang w:eastAsia="zh-CN"/>
              </w:rPr>
            </w:pPr>
            <w:r w:rsidRPr="00F041FF">
              <w:rPr>
                <w:szCs w:val="24"/>
              </w:rPr>
              <w:t>Caspase-dependent apoptosis:</w:t>
            </w:r>
            <w:r w:rsidR="007A3005">
              <w:rPr>
                <w:rFonts w:hint="eastAsia"/>
                <w:szCs w:val="24"/>
                <w:lang w:eastAsia="zh-CN"/>
              </w:rPr>
              <w:t xml:space="preserve"> </w:t>
            </w:r>
            <w:r w:rsidRPr="00F041FF">
              <w:rPr>
                <w:szCs w:val="24"/>
              </w:rPr>
              <w:t>ADA, IFX ++</w:t>
            </w:r>
            <w:r w:rsidR="007A3005">
              <w:rPr>
                <w:rFonts w:hint="eastAsia"/>
                <w:szCs w:val="24"/>
                <w:lang w:eastAsia="zh-CN"/>
              </w:rPr>
              <w:t xml:space="preserve">; </w:t>
            </w:r>
            <w:r w:rsidRPr="00F041FF">
              <w:rPr>
                <w:szCs w:val="24"/>
              </w:rPr>
              <w:t>ETA -</w:t>
            </w:r>
          </w:p>
        </w:tc>
        <w:tc>
          <w:tcPr>
            <w:tcW w:w="1385" w:type="dxa"/>
          </w:tcPr>
          <w:p w:rsidR="00B728D3" w:rsidRPr="007A3005"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7A3005">
              <w:rPr>
                <w:noProof/>
                <w:szCs w:val="24"/>
              </w:rPr>
              <w:t>[53]</w:t>
            </w:r>
          </w:p>
        </w:tc>
      </w:tr>
      <w:tr w:rsidR="00B728D3" w:rsidRPr="00F041FF" w:rsidTr="007A3005">
        <w:trPr>
          <w:trHeight w:val="1357"/>
        </w:trPr>
        <w:tc>
          <w:tcPr>
            <w:cnfStyle w:val="001000000000" w:firstRow="0" w:lastRow="0" w:firstColumn="1" w:lastColumn="0" w:oddVBand="0" w:evenVBand="0" w:oddHBand="0" w:evenHBand="0" w:firstRowFirstColumn="0" w:firstRowLastColumn="0" w:lastRowFirstColumn="0" w:lastRowLastColumn="0"/>
            <w:tcW w:w="1464" w:type="dxa"/>
          </w:tcPr>
          <w:p w:rsidR="00B728D3" w:rsidRPr="00F041FF" w:rsidRDefault="00B728D3" w:rsidP="007A3005">
            <w:pPr>
              <w:widowControl w:val="0"/>
              <w:snapToGrid w:val="0"/>
              <w:spacing w:after="0"/>
              <w:jc w:val="left"/>
              <w:rPr>
                <w:b w:val="0"/>
                <w:szCs w:val="24"/>
              </w:rPr>
            </w:pPr>
            <w:r w:rsidRPr="00F041FF">
              <w:rPr>
                <w:b w:val="0"/>
                <w:szCs w:val="24"/>
              </w:rPr>
              <w:lastRenderedPageBreak/>
              <w:t>IFX, ETA</w:t>
            </w:r>
          </w:p>
        </w:tc>
        <w:tc>
          <w:tcPr>
            <w:tcW w:w="3898" w:type="dxa"/>
          </w:tcPr>
          <w:p w:rsidR="00B728D3" w:rsidRPr="00F041FF" w:rsidRDefault="00B728D3"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szCs w:val="24"/>
              </w:rPr>
              <w:t>Peripheral blood lymphocytes and lamina propria T cells</w:t>
            </w:r>
          </w:p>
        </w:tc>
        <w:tc>
          <w:tcPr>
            <w:tcW w:w="2995" w:type="dxa"/>
          </w:tcPr>
          <w:p w:rsidR="00B728D3" w:rsidRPr="00F041FF" w:rsidRDefault="00B728D3"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szCs w:val="24"/>
              </w:rPr>
              <w:t>Casp</w:t>
            </w:r>
            <w:r w:rsidR="007A3005">
              <w:rPr>
                <w:szCs w:val="24"/>
              </w:rPr>
              <w:t>ase-3 activation and apoptosis:</w:t>
            </w:r>
            <w:r w:rsidR="007A3005">
              <w:rPr>
                <w:rFonts w:hint="eastAsia"/>
                <w:szCs w:val="24"/>
                <w:lang w:eastAsia="zh-CN"/>
              </w:rPr>
              <w:t xml:space="preserve"> </w:t>
            </w:r>
            <w:r w:rsidRPr="00F041FF">
              <w:rPr>
                <w:szCs w:val="24"/>
              </w:rPr>
              <w:t>IFX +; ETA -</w:t>
            </w:r>
          </w:p>
        </w:tc>
        <w:tc>
          <w:tcPr>
            <w:tcW w:w="1385" w:type="dxa"/>
          </w:tcPr>
          <w:p w:rsidR="00B728D3" w:rsidRPr="007A3005" w:rsidRDefault="00B728D3" w:rsidP="007A3005">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7A3005">
              <w:rPr>
                <w:noProof/>
                <w:szCs w:val="24"/>
              </w:rPr>
              <w:t>[43]</w:t>
            </w:r>
          </w:p>
        </w:tc>
      </w:tr>
      <w:tr w:rsidR="00B728D3" w:rsidRPr="00F041FF" w:rsidTr="007A3005">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1464" w:type="dxa"/>
          </w:tcPr>
          <w:p w:rsidR="00B728D3" w:rsidRPr="00F041FF" w:rsidRDefault="00B728D3" w:rsidP="007A3005">
            <w:pPr>
              <w:widowControl w:val="0"/>
              <w:snapToGrid w:val="0"/>
              <w:spacing w:after="0"/>
              <w:jc w:val="left"/>
              <w:rPr>
                <w:b w:val="0"/>
                <w:szCs w:val="24"/>
              </w:rPr>
            </w:pPr>
            <w:r w:rsidRPr="00F041FF">
              <w:rPr>
                <w:b w:val="0"/>
                <w:szCs w:val="24"/>
              </w:rPr>
              <w:t>ADA, IFX, ETA, Certo</w:t>
            </w:r>
          </w:p>
        </w:tc>
        <w:tc>
          <w:tcPr>
            <w:tcW w:w="3898" w:type="dxa"/>
          </w:tcPr>
          <w:p w:rsidR="00B728D3" w:rsidRPr="00F041FF"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Intestinal CD4/CD14 cells from IBD patients</w:t>
            </w:r>
          </w:p>
        </w:tc>
        <w:tc>
          <w:tcPr>
            <w:tcW w:w="2995" w:type="dxa"/>
          </w:tcPr>
          <w:p w:rsidR="00B728D3" w:rsidRPr="00F041FF"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Apoptosis by targeting mTNF/TNFR2:</w:t>
            </w:r>
            <w:r w:rsidR="007A3005">
              <w:rPr>
                <w:rFonts w:hint="eastAsia"/>
                <w:szCs w:val="24"/>
                <w:lang w:eastAsia="zh-CN"/>
              </w:rPr>
              <w:t xml:space="preserve"> </w:t>
            </w:r>
            <w:r w:rsidRPr="00F041FF">
              <w:rPr>
                <w:szCs w:val="24"/>
              </w:rPr>
              <w:t>ADA, IFX, Certo +</w:t>
            </w:r>
            <w:r w:rsidR="007A3005">
              <w:rPr>
                <w:rFonts w:hint="eastAsia"/>
                <w:szCs w:val="24"/>
                <w:lang w:eastAsia="zh-CN"/>
              </w:rPr>
              <w:t xml:space="preserve">; </w:t>
            </w:r>
            <w:r w:rsidRPr="00F041FF">
              <w:rPr>
                <w:szCs w:val="24"/>
              </w:rPr>
              <w:t>ETA -</w:t>
            </w:r>
          </w:p>
        </w:tc>
        <w:tc>
          <w:tcPr>
            <w:tcW w:w="1385" w:type="dxa"/>
          </w:tcPr>
          <w:p w:rsidR="00B728D3" w:rsidRPr="007A3005" w:rsidRDefault="00B728D3" w:rsidP="007A3005">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7A3005">
              <w:rPr>
                <w:noProof/>
                <w:szCs w:val="24"/>
              </w:rPr>
              <w:t>[24]</w:t>
            </w:r>
          </w:p>
        </w:tc>
      </w:tr>
    </w:tbl>
    <w:p w:rsidR="007A3005" w:rsidRPr="00300253" w:rsidRDefault="007A3005" w:rsidP="007A3005">
      <w:pPr>
        <w:widowControl w:val="0"/>
        <w:snapToGrid w:val="0"/>
        <w:spacing w:after="0"/>
        <w:rPr>
          <w:szCs w:val="24"/>
          <w:lang w:eastAsia="zh-CN"/>
        </w:rPr>
      </w:pPr>
      <w:r w:rsidRPr="007A3005">
        <w:rPr>
          <w:szCs w:val="24"/>
        </w:rPr>
        <w:t xml:space="preserve">Apoptosis induction of anti-TNF </w:t>
      </w:r>
      <w:r w:rsidR="00435E78" w:rsidRPr="007A3005">
        <w:rPr>
          <w:szCs w:val="24"/>
        </w:rPr>
        <w:t>a</w:t>
      </w:r>
      <w:r w:rsidR="00435E78">
        <w:rPr>
          <w:szCs w:val="24"/>
        </w:rPr>
        <w:t>gents</w:t>
      </w:r>
      <w:r w:rsidRPr="007A3005">
        <w:rPr>
          <w:szCs w:val="24"/>
        </w:rPr>
        <w:t>. ++</w:t>
      </w:r>
      <w:r w:rsidRPr="007A3005">
        <w:rPr>
          <w:rFonts w:hint="eastAsia"/>
          <w:szCs w:val="24"/>
          <w:lang w:eastAsia="zh-CN"/>
        </w:rPr>
        <w:t xml:space="preserve">: </w:t>
      </w:r>
      <w:r w:rsidRPr="007A3005">
        <w:rPr>
          <w:caps/>
          <w:szCs w:val="24"/>
        </w:rPr>
        <w:t>s</w:t>
      </w:r>
      <w:r w:rsidRPr="007A3005">
        <w:rPr>
          <w:szCs w:val="24"/>
        </w:rPr>
        <w:t>trong effect; +</w:t>
      </w:r>
      <w:r w:rsidRPr="007A3005">
        <w:rPr>
          <w:rFonts w:hint="eastAsia"/>
          <w:szCs w:val="24"/>
          <w:lang w:eastAsia="zh-CN"/>
        </w:rPr>
        <w:t>:</w:t>
      </w:r>
      <w:r w:rsidRPr="007A3005">
        <w:rPr>
          <w:szCs w:val="24"/>
        </w:rPr>
        <w:t xml:space="preserve"> </w:t>
      </w:r>
      <w:r w:rsidRPr="007A3005">
        <w:rPr>
          <w:caps/>
          <w:szCs w:val="24"/>
        </w:rPr>
        <w:t>e</w:t>
      </w:r>
      <w:r w:rsidRPr="007A3005">
        <w:rPr>
          <w:szCs w:val="24"/>
        </w:rPr>
        <w:t>ffect visible; -</w:t>
      </w:r>
      <w:r w:rsidRPr="007A3005">
        <w:rPr>
          <w:rFonts w:hint="eastAsia"/>
          <w:szCs w:val="24"/>
          <w:lang w:eastAsia="zh-CN"/>
        </w:rPr>
        <w:t>:</w:t>
      </w:r>
      <w:r w:rsidRPr="007A3005">
        <w:rPr>
          <w:szCs w:val="24"/>
        </w:rPr>
        <w:t xml:space="preserve">  </w:t>
      </w:r>
      <w:r w:rsidRPr="007A3005">
        <w:rPr>
          <w:caps/>
          <w:szCs w:val="24"/>
        </w:rPr>
        <w:t>n</w:t>
      </w:r>
      <w:r w:rsidRPr="007A3005">
        <w:rPr>
          <w:szCs w:val="24"/>
        </w:rPr>
        <w:t>o effect</w:t>
      </w:r>
      <w:r w:rsidRPr="007A3005">
        <w:rPr>
          <w:rFonts w:hint="eastAsia"/>
          <w:szCs w:val="24"/>
          <w:lang w:eastAsia="zh-CN"/>
        </w:rPr>
        <w:t xml:space="preserve">; </w:t>
      </w:r>
      <w:r w:rsidRPr="00300253">
        <w:rPr>
          <w:noProof/>
          <w:color w:val="000000"/>
          <w:szCs w:val="24"/>
          <w:lang w:eastAsia="de-DE"/>
        </w:rPr>
        <w:t>ADA</w:t>
      </w:r>
      <w:r w:rsidRPr="00300253">
        <w:rPr>
          <w:rFonts w:hint="eastAsia"/>
          <w:noProof/>
          <w:color w:val="000000"/>
          <w:szCs w:val="24"/>
          <w:lang w:eastAsia="zh-CN"/>
        </w:rPr>
        <w:t>:</w:t>
      </w:r>
      <w:r w:rsidRPr="00300253">
        <w:rPr>
          <w:noProof/>
          <w:color w:val="000000"/>
          <w:szCs w:val="24"/>
          <w:lang w:eastAsia="de-DE"/>
        </w:rPr>
        <w:t xml:space="preserve"> Adalimumab;</w:t>
      </w:r>
      <w:r>
        <w:rPr>
          <w:rFonts w:hint="eastAsia"/>
          <w:noProof/>
          <w:color w:val="000000"/>
          <w:szCs w:val="24"/>
          <w:lang w:eastAsia="zh-CN"/>
        </w:rPr>
        <w:t xml:space="preserve"> </w:t>
      </w:r>
      <w:r w:rsidRPr="00300253">
        <w:rPr>
          <w:noProof/>
          <w:color w:val="000000"/>
          <w:szCs w:val="24"/>
          <w:lang w:eastAsia="de-DE"/>
        </w:rPr>
        <w:t>ETA</w:t>
      </w:r>
      <w:r w:rsidRPr="00300253">
        <w:rPr>
          <w:rFonts w:hint="eastAsia"/>
          <w:noProof/>
          <w:color w:val="000000"/>
          <w:szCs w:val="24"/>
          <w:lang w:eastAsia="zh-CN"/>
        </w:rPr>
        <w:t>:</w:t>
      </w:r>
      <w:r w:rsidRPr="00300253">
        <w:rPr>
          <w:noProof/>
          <w:color w:val="000000"/>
          <w:szCs w:val="24"/>
          <w:lang w:eastAsia="de-DE"/>
        </w:rPr>
        <w:t xml:space="preserve"> </w:t>
      </w:r>
      <w:r w:rsidRPr="00300253">
        <w:rPr>
          <w:caps/>
          <w:noProof/>
          <w:color w:val="000000"/>
          <w:szCs w:val="24"/>
          <w:lang w:eastAsia="de-DE"/>
        </w:rPr>
        <w:t>e</w:t>
      </w:r>
      <w:r w:rsidRPr="00300253">
        <w:rPr>
          <w:noProof/>
          <w:color w:val="000000"/>
          <w:szCs w:val="24"/>
          <w:lang w:eastAsia="de-DE"/>
        </w:rPr>
        <w:t>tanercept;</w:t>
      </w:r>
      <w:r>
        <w:rPr>
          <w:rFonts w:hint="eastAsia"/>
          <w:noProof/>
          <w:color w:val="000000"/>
          <w:szCs w:val="24"/>
          <w:lang w:eastAsia="zh-CN"/>
        </w:rPr>
        <w:t xml:space="preserve"> </w:t>
      </w:r>
      <w:r w:rsidRPr="00300253">
        <w:rPr>
          <w:noProof/>
          <w:color w:val="000000"/>
          <w:szCs w:val="24"/>
          <w:lang w:eastAsia="de-DE"/>
        </w:rPr>
        <w:t>IFX</w:t>
      </w:r>
      <w:r w:rsidRPr="00300253">
        <w:rPr>
          <w:rFonts w:hint="eastAsia"/>
          <w:noProof/>
          <w:color w:val="000000"/>
          <w:szCs w:val="24"/>
          <w:lang w:eastAsia="zh-CN"/>
        </w:rPr>
        <w:t>:</w:t>
      </w:r>
      <w:r w:rsidRPr="00300253">
        <w:rPr>
          <w:noProof/>
          <w:color w:val="000000"/>
          <w:szCs w:val="24"/>
          <w:lang w:eastAsia="de-DE"/>
        </w:rPr>
        <w:t xml:space="preserve"> </w:t>
      </w:r>
      <w:r w:rsidRPr="00300253">
        <w:rPr>
          <w:caps/>
          <w:noProof/>
          <w:color w:val="000000"/>
          <w:szCs w:val="24"/>
          <w:lang w:eastAsia="de-DE"/>
        </w:rPr>
        <w:t>i</w:t>
      </w:r>
      <w:r w:rsidRPr="00300253">
        <w:rPr>
          <w:noProof/>
          <w:color w:val="000000"/>
          <w:szCs w:val="24"/>
          <w:lang w:eastAsia="de-DE"/>
        </w:rPr>
        <w:t>nfliximab;</w:t>
      </w:r>
      <w:r w:rsidRPr="00300253">
        <w:rPr>
          <w:szCs w:val="24"/>
        </w:rPr>
        <w:t xml:space="preserve"> </w:t>
      </w:r>
      <w:r w:rsidR="00FC2631" w:rsidRPr="00FC2631">
        <w:rPr>
          <w:noProof/>
          <w:color w:val="000000"/>
          <w:szCs w:val="24"/>
          <w:lang w:eastAsia="de-DE"/>
        </w:rPr>
        <w:t>Certo</w:t>
      </w:r>
      <w:r w:rsidR="00FC2631" w:rsidRPr="00FC2631">
        <w:rPr>
          <w:rFonts w:hint="eastAsia"/>
          <w:noProof/>
          <w:color w:val="000000"/>
          <w:szCs w:val="24"/>
          <w:lang w:eastAsia="zh-CN"/>
        </w:rPr>
        <w:t>:</w:t>
      </w:r>
      <w:r w:rsidR="00FC2631" w:rsidRPr="00FC2631">
        <w:rPr>
          <w:noProof/>
          <w:color w:val="000000"/>
          <w:szCs w:val="24"/>
          <w:lang w:eastAsia="de-DE"/>
        </w:rPr>
        <w:t xml:space="preserve"> Certolizumab pegol;</w:t>
      </w:r>
      <w:r w:rsidR="00FC2631">
        <w:rPr>
          <w:rFonts w:hint="eastAsia"/>
          <w:noProof/>
          <w:color w:val="000000"/>
          <w:szCs w:val="24"/>
          <w:lang w:eastAsia="zh-CN"/>
        </w:rPr>
        <w:t xml:space="preserve"> </w:t>
      </w:r>
      <w:r w:rsidRPr="00300253">
        <w:rPr>
          <w:szCs w:val="24"/>
          <w:lang w:eastAsia="de-DE"/>
        </w:rPr>
        <w:t>TNF</w:t>
      </w:r>
      <w:r w:rsidRPr="00300253">
        <w:rPr>
          <w:rFonts w:hint="eastAsia"/>
          <w:szCs w:val="24"/>
          <w:lang w:eastAsia="zh-CN"/>
        </w:rPr>
        <w:t xml:space="preserve">: </w:t>
      </w:r>
      <w:r w:rsidRPr="00300253">
        <w:rPr>
          <w:caps/>
          <w:szCs w:val="24"/>
          <w:lang w:eastAsia="de-DE"/>
        </w:rPr>
        <w:t>t</w:t>
      </w:r>
      <w:r w:rsidRPr="00300253">
        <w:rPr>
          <w:szCs w:val="24"/>
          <w:lang w:eastAsia="de-DE"/>
        </w:rPr>
        <w:t>umor necro</w:t>
      </w:r>
      <w:r w:rsidRPr="00300253">
        <w:rPr>
          <w:szCs w:val="24"/>
          <w:lang w:val="en-GB" w:eastAsia="de-DE"/>
        </w:rPr>
        <w:t>sis factor</w:t>
      </w:r>
      <w:r w:rsidRPr="00300253">
        <w:rPr>
          <w:rFonts w:hint="eastAsia"/>
          <w:szCs w:val="24"/>
          <w:lang w:val="en-GB" w:eastAsia="zh-CN"/>
        </w:rPr>
        <w:t>;</w:t>
      </w:r>
      <w:r w:rsidRPr="00300253">
        <w:rPr>
          <w:szCs w:val="24"/>
          <w:lang w:eastAsia="de-DE"/>
        </w:rPr>
        <w:t xml:space="preserve"> mTNF: </w:t>
      </w:r>
      <w:r w:rsidRPr="00300253">
        <w:rPr>
          <w:caps/>
          <w:szCs w:val="24"/>
          <w:lang w:eastAsia="de-DE"/>
        </w:rPr>
        <w:t>m</w:t>
      </w:r>
      <w:r w:rsidRPr="00300253">
        <w:rPr>
          <w:szCs w:val="24"/>
          <w:lang w:eastAsia="de-DE"/>
        </w:rPr>
        <w:t xml:space="preserve">embrane-bound TNF; sTNF: </w:t>
      </w:r>
      <w:r w:rsidRPr="00300253">
        <w:rPr>
          <w:caps/>
          <w:szCs w:val="24"/>
          <w:lang w:eastAsia="de-DE"/>
        </w:rPr>
        <w:t>s</w:t>
      </w:r>
      <w:r w:rsidRPr="00300253">
        <w:rPr>
          <w:szCs w:val="24"/>
          <w:lang w:eastAsia="de-DE"/>
        </w:rPr>
        <w:t>oluble TNF</w:t>
      </w:r>
      <w:r>
        <w:rPr>
          <w:rFonts w:hint="eastAsia"/>
          <w:szCs w:val="24"/>
          <w:lang w:eastAsia="zh-CN"/>
        </w:rPr>
        <w:t>;</w:t>
      </w:r>
      <w:r w:rsidRPr="007A3005">
        <w:rPr>
          <w:szCs w:val="24"/>
        </w:rPr>
        <w:t xml:space="preserve"> </w:t>
      </w:r>
      <w:r w:rsidRPr="00F041FF">
        <w:rPr>
          <w:szCs w:val="24"/>
        </w:rPr>
        <w:t>PBMCs</w:t>
      </w:r>
      <w:r>
        <w:rPr>
          <w:rFonts w:hint="eastAsia"/>
          <w:szCs w:val="24"/>
          <w:lang w:eastAsia="zh-CN"/>
        </w:rPr>
        <w:t>:</w:t>
      </w:r>
      <w:r w:rsidRPr="00F041FF">
        <w:rPr>
          <w:szCs w:val="24"/>
        </w:rPr>
        <w:t xml:space="preserve"> </w:t>
      </w:r>
      <w:r w:rsidRPr="007A3005">
        <w:rPr>
          <w:caps/>
          <w:szCs w:val="24"/>
        </w:rPr>
        <w:t>p</w:t>
      </w:r>
      <w:r w:rsidRPr="00F041FF">
        <w:rPr>
          <w:szCs w:val="24"/>
        </w:rPr>
        <w:t>eripheral blood mononuclear cells</w:t>
      </w:r>
      <w:r>
        <w:rPr>
          <w:rFonts w:hint="eastAsia"/>
          <w:szCs w:val="24"/>
          <w:lang w:eastAsia="zh-CN"/>
        </w:rPr>
        <w:t>.</w:t>
      </w:r>
    </w:p>
    <w:p w:rsidR="0045446E" w:rsidRPr="007A3005" w:rsidRDefault="0045446E" w:rsidP="00D4383F">
      <w:pPr>
        <w:pStyle w:val="Heading1"/>
        <w:keepNext w:val="0"/>
        <w:keepLines w:val="0"/>
        <w:widowControl w:val="0"/>
        <w:snapToGrid w:val="0"/>
        <w:spacing w:before="0" w:beforeAutospacing="0" w:after="0" w:afterAutospacing="0"/>
        <w:rPr>
          <w:b w:val="0"/>
          <w:sz w:val="24"/>
          <w:szCs w:val="24"/>
          <w:lang w:eastAsia="zh-CN"/>
        </w:rPr>
      </w:pPr>
    </w:p>
    <w:p w:rsidR="00300253" w:rsidRDefault="00300253">
      <w:pPr>
        <w:spacing w:after="160" w:line="259" w:lineRule="auto"/>
        <w:jc w:val="left"/>
        <w:rPr>
          <w:rFonts w:eastAsiaTheme="majorEastAsia" w:cstheme="majorBidi"/>
          <w:b/>
          <w:bCs/>
          <w:szCs w:val="24"/>
        </w:rPr>
      </w:pPr>
      <w:r>
        <w:rPr>
          <w:szCs w:val="24"/>
        </w:rPr>
        <w:br w:type="page"/>
      </w:r>
    </w:p>
    <w:p w:rsidR="003D60AD" w:rsidRPr="00F041FF" w:rsidRDefault="003D60AD" w:rsidP="00D4383F">
      <w:pPr>
        <w:pStyle w:val="Heading1"/>
        <w:keepNext w:val="0"/>
        <w:keepLines w:val="0"/>
        <w:widowControl w:val="0"/>
        <w:snapToGrid w:val="0"/>
        <w:spacing w:before="0" w:beforeAutospacing="0" w:after="0" w:afterAutospacing="0"/>
        <w:rPr>
          <w:sz w:val="24"/>
          <w:szCs w:val="24"/>
        </w:rPr>
      </w:pPr>
      <w:r w:rsidRPr="00F041FF">
        <w:rPr>
          <w:sz w:val="24"/>
          <w:szCs w:val="24"/>
        </w:rPr>
        <w:lastRenderedPageBreak/>
        <w:t xml:space="preserve">Table 4 </w:t>
      </w:r>
      <w:r w:rsidR="0021054C" w:rsidRPr="00F041FF">
        <w:rPr>
          <w:sz w:val="24"/>
          <w:szCs w:val="24"/>
        </w:rPr>
        <w:t>Prediction</w:t>
      </w:r>
      <w:r w:rsidRPr="00F041FF">
        <w:rPr>
          <w:sz w:val="24"/>
          <w:szCs w:val="24"/>
        </w:rPr>
        <w:t xml:space="preserve"> of response to anti-</w:t>
      </w:r>
      <w:r w:rsidR="00937412" w:rsidRPr="00937412">
        <w:rPr>
          <w:sz w:val="24"/>
          <w:szCs w:val="24"/>
        </w:rPr>
        <w:t>tumor necrosis factor</w:t>
      </w:r>
      <w:r w:rsidRPr="00F041FF">
        <w:rPr>
          <w:sz w:val="24"/>
          <w:szCs w:val="24"/>
        </w:rPr>
        <w:t xml:space="preserve"> therapy</w:t>
      </w:r>
      <w:r w:rsidR="0021054C" w:rsidRPr="00F041FF">
        <w:rPr>
          <w:sz w:val="24"/>
          <w:szCs w:val="24"/>
        </w:rPr>
        <w:t xml:space="preserve"> – </w:t>
      </w:r>
      <w:r w:rsidR="00244684" w:rsidRPr="00F041FF">
        <w:rPr>
          <w:sz w:val="24"/>
          <w:szCs w:val="24"/>
        </w:rPr>
        <w:t>p</w:t>
      </w:r>
      <w:r w:rsidR="0021054C" w:rsidRPr="00F041FF">
        <w:rPr>
          <w:sz w:val="24"/>
          <w:szCs w:val="24"/>
        </w:rPr>
        <w:t>ossible biomarkers</w:t>
      </w:r>
    </w:p>
    <w:tbl>
      <w:tblPr>
        <w:tblStyle w:val="LightShading"/>
        <w:tblW w:w="10357" w:type="dxa"/>
        <w:tblInd w:w="-459" w:type="dxa"/>
        <w:tblLook w:val="04A0" w:firstRow="1" w:lastRow="0" w:firstColumn="1" w:lastColumn="0" w:noHBand="0" w:noVBand="1"/>
      </w:tblPr>
      <w:tblGrid>
        <w:gridCol w:w="2683"/>
        <w:gridCol w:w="4765"/>
        <w:gridCol w:w="1574"/>
        <w:gridCol w:w="1335"/>
      </w:tblGrid>
      <w:tr w:rsidR="003D60AD" w:rsidRPr="00F041FF" w:rsidTr="007943E3">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683" w:type="dxa"/>
          </w:tcPr>
          <w:p w:rsidR="003D60AD" w:rsidRPr="00F041FF" w:rsidRDefault="003D60AD" w:rsidP="00D4383F">
            <w:pPr>
              <w:widowControl w:val="0"/>
              <w:snapToGrid w:val="0"/>
              <w:spacing w:after="0"/>
              <w:rPr>
                <w:szCs w:val="24"/>
              </w:rPr>
            </w:pPr>
            <w:r w:rsidRPr="00F041FF">
              <w:rPr>
                <w:szCs w:val="24"/>
              </w:rPr>
              <w:t>Material/Method</w:t>
            </w:r>
          </w:p>
        </w:tc>
        <w:tc>
          <w:tcPr>
            <w:tcW w:w="4765" w:type="dxa"/>
          </w:tcPr>
          <w:p w:rsidR="003D60AD" w:rsidRPr="00F041FF" w:rsidRDefault="003D60AD" w:rsidP="007943E3">
            <w:pPr>
              <w:widowControl w:val="0"/>
              <w:snapToGrid w:val="0"/>
              <w:spacing w:after="0"/>
              <w:jc w:val="center"/>
              <w:cnfStyle w:val="100000000000" w:firstRow="1" w:lastRow="0" w:firstColumn="0" w:lastColumn="0" w:oddVBand="0" w:evenVBand="0" w:oddHBand="0" w:evenHBand="0" w:firstRowFirstColumn="0" w:firstRowLastColumn="0" w:lastRowFirstColumn="0" w:lastRowLastColumn="0"/>
              <w:rPr>
                <w:szCs w:val="24"/>
              </w:rPr>
            </w:pPr>
            <w:r w:rsidRPr="00F041FF">
              <w:rPr>
                <w:szCs w:val="24"/>
              </w:rPr>
              <w:t>Predictor for response</w:t>
            </w:r>
          </w:p>
        </w:tc>
        <w:tc>
          <w:tcPr>
            <w:tcW w:w="1574" w:type="dxa"/>
          </w:tcPr>
          <w:p w:rsidR="003D60AD" w:rsidRPr="00F041FF" w:rsidRDefault="003D60AD" w:rsidP="007943E3">
            <w:pPr>
              <w:widowControl w:val="0"/>
              <w:snapToGrid w:val="0"/>
              <w:spacing w:after="0"/>
              <w:jc w:val="center"/>
              <w:cnfStyle w:val="100000000000" w:firstRow="1" w:lastRow="0" w:firstColumn="0" w:lastColumn="0" w:oddVBand="0" w:evenVBand="0" w:oddHBand="0" w:evenHBand="0" w:firstRowFirstColumn="0" w:firstRowLastColumn="0" w:lastRowFirstColumn="0" w:lastRowLastColumn="0"/>
              <w:rPr>
                <w:szCs w:val="24"/>
              </w:rPr>
            </w:pPr>
            <w:r w:rsidRPr="00F041FF">
              <w:rPr>
                <w:szCs w:val="24"/>
              </w:rPr>
              <w:t>Disease</w:t>
            </w:r>
          </w:p>
        </w:tc>
        <w:tc>
          <w:tcPr>
            <w:tcW w:w="1335" w:type="dxa"/>
          </w:tcPr>
          <w:p w:rsidR="003D60AD" w:rsidRPr="00F041FF" w:rsidRDefault="003D60AD" w:rsidP="007943E3">
            <w:pPr>
              <w:widowControl w:val="0"/>
              <w:snapToGrid w:val="0"/>
              <w:spacing w:after="0"/>
              <w:jc w:val="center"/>
              <w:cnfStyle w:val="100000000000" w:firstRow="1" w:lastRow="0" w:firstColumn="0" w:lastColumn="0" w:oddVBand="0" w:evenVBand="0" w:oddHBand="0" w:evenHBand="0" w:firstRowFirstColumn="0" w:firstRowLastColumn="0" w:lastRowFirstColumn="0" w:lastRowLastColumn="0"/>
              <w:rPr>
                <w:szCs w:val="24"/>
                <w:lang w:eastAsia="zh-CN"/>
              </w:rPr>
            </w:pPr>
            <w:r w:rsidRPr="00F041FF">
              <w:rPr>
                <w:szCs w:val="24"/>
              </w:rPr>
              <w:t>Ref</w:t>
            </w:r>
            <w:r w:rsidR="007943E3">
              <w:rPr>
                <w:rFonts w:hint="eastAsia"/>
                <w:szCs w:val="24"/>
                <w:lang w:eastAsia="zh-CN"/>
              </w:rPr>
              <w:t>.</w:t>
            </w:r>
          </w:p>
        </w:tc>
      </w:tr>
      <w:tr w:rsidR="003D60AD" w:rsidRPr="00F041FF" w:rsidTr="007943E3">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2683" w:type="dxa"/>
          </w:tcPr>
          <w:p w:rsidR="003D60AD" w:rsidRPr="00F041FF" w:rsidRDefault="0021054C" w:rsidP="00D4383F">
            <w:pPr>
              <w:widowControl w:val="0"/>
              <w:snapToGrid w:val="0"/>
              <w:spacing w:after="0"/>
              <w:rPr>
                <w:b w:val="0"/>
                <w:szCs w:val="24"/>
              </w:rPr>
            </w:pPr>
            <w:r w:rsidRPr="00F041FF">
              <w:rPr>
                <w:b w:val="0"/>
                <w:szCs w:val="24"/>
                <w:lang w:eastAsia="de-DE"/>
              </w:rPr>
              <w:t xml:space="preserve">Intestinal </w:t>
            </w:r>
            <w:r w:rsidR="003D60AD" w:rsidRPr="00F041FF">
              <w:rPr>
                <w:b w:val="0"/>
                <w:szCs w:val="24"/>
                <w:lang w:eastAsia="de-DE"/>
              </w:rPr>
              <w:t xml:space="preserve">biopsies </w:t>
            </w:r>
          </w:p>
        </w:tc>
        <w:tc>
          <w:tcPr>
            <w:tcW w:w="4765" w:type="dxa"/>
          </w:tcPr>
          <w:p w:rsidR="003D60AD" w:rsidRPr="00F041FF" w:rsidRDefault="003D60AD" w:rsidP="007943E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i/>
                <w:szCs w:val="24"/>
                <w:lang w:eastAsia="de-DE"/>
              </w:rPr>
            </w:pPr>
            <w:r w:rsidRPr="00F041FF">
              <w:rPr>
                <w:i/>
                <w:szCs w:val="24"/>
                <w:lang w:eastAsia="de-DE"/>
              </w:rPr>
              <w:t xml:space="preserve">IL1B </w:t>
            </w:r>
            <w:r w:rsidRPr="00F041FF">
              <w:rPr>
                <w:szCs w:val="24"/>
                <w:lang w:eastAsia="de-DE"/>
              </w:rPr>
              <w:t>(upregulated in non-responders)</w:t>
            </w:r>
          </w:p>
          <w:p w:rsidR="003D60AD" w:rsidRPr="00F041FF" w:rsidRDefault="003D60AD" w:rsidP="007943E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i/>
                <w:szCs w:val="24"/>
              </w:rPr>
            </w:pPr>
            <w:r w:rsidRPr="00F041FF">
              <w:rPr>
                <w:i/>
                <w:szCs w:val="24"/>
                <w:lang w:eastAsia="de-DE"/>
              </w:rPr>
              <w:t xml:space="preserve">IL17A </w:t>
            </w:r>
            <w:r w:rsidRPr="00F041FF">
              <w:rPr>
                <w:szCs w:val="24"/>
                <w:lang w:eastAsia="de-DE"/>
              </w:rPr>
              <w:t>(upregulated in non-responders)</w:t>
            </w:r>
          </w:p>
        </w:tc>
        <w:tc>
          <w:tcPr>
            <w:tcW w:w="1574" w:type="dxa"/>
          </w:tcPr>
          <w:p w:rsidR="003D60AD" w:rsidRPr="00F041FF" w:rsidRDefault="003D60AD" w:rsidP="007943E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CD</w:t>
            </w:r>
          </w:p>
        </w:tc>
        <w:tc>
          <w:tcPr>
            <w:tcW w:w="1335" w:type="dxa"/>
          </w:tcPr>
          <w:p w:rsidR="003D60AD" w:rsidRPr="007943E3" w:rsidRDefault="003D60AD" w:rsidP="007943E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7943E3">
              <w:rPr>
                <w:noProof/>
                <w:szCs w:val="24"/>
                <w:lang w:eastAsia="de-DE"/>
              </w:rPr>
              <w:t>[54]</w:t>
            </w:r>
          </w:p>
        </w:tc>
      </w:tr>
      <w:tr w:rsidR="003D60AD" w:rsidRPr="00F041FF" w:rsidTr="007943E3">
        <w:trPr>
          <w:trHeight w:val="1323"/>
        </w:trPr>
        <w:tc>
          <w:tcPr>
            <w:cnfStyle w:val="001000000000" w:firstRow="0" w:lastRow="0" w:firstColumn="1" w:lastColumn="0" w:oddVBand="0" w:evenVBand="0" w:oddHBand="0" w:evenHBand="0" w:firstRowFirstColumn="0" w:firstRowLastColumn="0" w:lastRowFirstColumn="0" w:lastRowLastColumn="0"/>
            <w:tcW w:w="2683" w:type="dxa"/>
          </w:tcPr>
          <w:p w:rsidR="003D60AD" w:rsidRPr="00F041FF" w:rsidRDefault="0021054C" w:rsidP="00D4383F">
            <w:pPr>
              <w:widowControl w:val="0"/>
              <w:snapToGrid w:val="0"/>
              <w:spacing w:after="0"/>
              <w:rPr>
                <w:b w:val="0"/>
                <w:szCs w:val="24"/>
              </w:rPr>
            </w:pPr>
            <w:r w:rsidRPr="00F041FF">
              <w:rPr>
                <w:b w:val="0"/>
                <w:szCs w:val="24"/>
                <w:lang w:eastAsia="de-DE"/>
              </w:rPr>
              <w:t xml:space="preserve">Intestinal </w:t>
            </w:r>
            <w:r w:rsidR="003D60AD" w:rsidRPr="00F041FF">
              <w:rPr>
                <w:b w:val="0"/>
                <w:szCs w:val="24"/>
                <w:lang w:eastAsia="de-DE"/>
              </w:rPr>
              <w:t>biopsies</w:t>
            </w:r>
          </w:p>
        </w:tc>
        <w:tc>
          <w:tcPr>
            <w:tcW w:w="4765" w:type="dxa"/>
          </w:tcPr>
          <w:p w:rsidR="003D60AD" w:rsidRPr="00F041FF" w:rsidRDefault="003D60AD"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lang w:eastAsia="de-DE"/>
              </w:rPr>
            </w:pPr>
            <w:r w:rsidRPr="00F041FF">
              <w:rPr>
                <w:i/>
                <w:szCs w:val="24"/>
                <w:lang w:eastAsia="de-DE"/>
              </w:rPr>
              <w:t>IL13RA2</w:t>
            </w:r>
          </w:p>
          <w:p w:rsidR="003D60AD" w:rsidRPr="00F041FF" w:rsidRDefault="003D60AD"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i/>
                <w:szCs w:val="24"/>
                <w:lang w:eastAsia="de-DE"/>
              </w:rPr>
            </w:pPr>
            <w:r w:rsidRPr="00F041FF">
              <w:rPr>
                <w:i/>
                <w:szCs w:val="24"/>
                <w:lang w:eastAsia="de-DE"/>
              </w:rPr>
              <w:t>PTGS2</w:t>
            </w:r>
          </w:p>
          <w:p w:rsidR="003D60AD" w:rsidRPr="00F041FF" w:rsidRDefault="003D60AD"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i/>
                <w:szCs w:val="24"/>
                <w:lang w:eastAsia="de-DE"/>
              </w:rPr>
              <w:t>WNT5A</w:t>
            </w:r>
          </w:p>
        </w:tc>
        <w:tc>
          <w:tcPr>
            <w:tcW w:w="1574" w:type="dxa"/>
          </w:tcPr>
          <w:p w:rsidR="003D60AD" w:rsidRPr="00F041FF" w:rsidRDefault="003D60AD"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szCs w:val="24"/>
              </w:rPr>
              <w:t>CD and UC</w:t>
            </w:r>
          </w:p>
        </w:tc>
        <w:tc>
          <w:tcPr>
            <w:tcW w:w="1335" w:type="dxa"/>
          </w:tcPr>
          <w:p w:rsidR="003D60AD" w:rsidRPr="007943E3" w:rsidRDefault="003D60AD"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7943E3">
              <w:rPr>
                <w:noProof/>
                <w:szCs w:val="24"/>
              </w:rPr>
              <w:t>[16]</w:t>
            </w:r>
          </w:p>
        </w:tc>
      </w:tr>
      <w:tr w:rsidR="003D60AD" w:rsidRPr="00F041FF" w:rsidTr="007943E3">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2683" w:type="dxa"/>
          </w:tcPr>
          <w:p w:rsidR="003D60AD" w:rsidRPr="00F041FF" w:rsidRDefault="003D60AD" w:rsidP="00D4383F">
            <w:pPr>
              <w:widowControl w:val="0"/>
              <w:snapToGrid w:val="0"/>
              <w:spacing w:after="0"/>
              <w:rPr>
                <w:b w:val="0"/>
                <w:szCs w:val="24"/>
              </w:rPr>
            </w:pPr>
            <w:r w:rsidRPr="00F041FF">
              <w:rPr>
                <w:b w:val="0"/>
                <w:szCs w:val="24"/>
              </w:rPr>
              <w:t xml:space="preserve">Blood </w:t>
            </w:r>
          </w:p>
        </w:tc>
        <w:tc>
          <w:tcPr>
            <w:tcW w:w="4765" w:type="dxa"/>
          </w:tcPr>
          <w:p w:rsidR="003D60AD" w:rsidRPr="00F041FF" w:rsidRDefault="003D60AD" w:rsidP="007943E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lang w:eastAsia="de-DE"/>
              </w:rPr>
            </w:pPr>
            <w:r w:rsidRPr="00F041FF">
              <w:rPr>
                <w:szCs w:val="24"/>
                <w:lang w:eastAsia="de-DE"/>
              </w:rPr>
              <w:t>high CAI</w:t>
            </w:r>
          </w:p>
          <w:p w:rsidR="003D60AD" w:rsidRPr="00F041FF" w:rsidRDefault="003D60AD" w:rsidP="007943E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lang w:eastAsia="de-DE"/>
              </w:rPr>
            </w:pPr>
            <w:r w:rsidRPr="00F041FF">
              <w:rPr>
                <w:szCs w:val="24"/>
                <w:lang w:eastAsia="de-DE"/>
              </w:rPr>
              <w:t>negative ANCA</w:t>
            </w:r>
          </w:p>
          <w:p w:rsidR="003D60AD" w:rsidRPr="00F041FF" w:rsidRDefault="003D60AD" w:rsidP="007943E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lang w:eastAsia="de-DE"/>
              </w:rPr>
            </w:pPr>
            <w:r w:rsidRPr="00F041FF">
              <w:rPr>
                <w:i/>
                <w:szCs w:val="24"/>
                <w:lang w:eastAsia="de-DE"/>
              </w:rPr>
              <w:t>IL23R</w:t>
            </w:r>
          </w:p>
        </w:tc>
        <w:tc>
          <w:tcPr>
            <w:tcW w:w="1574" w:type="dxa"/>
          </w:tcPr>
          <w:p w:rsidR="003D60AD" w:rsidRPr="00F041FF" w:rsidRDefault="003D60AD" w:rsidP="007943E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UC</w:t>
            </w:r>
          </w:p>
          <w:p w:rsidR="003D60AD" w:rsidRPr="00F041FF" w:rsidRDefault="003D60AD" w:rsidP="007943E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p>
        </w:tc>
        <w:tc>
          <w:tcPr>
            <w:tcW w:w="1335" w:type="dxa"/>
          </w:tcPr>
          <w:p w:rsidR="003D60AD" w:rsidRPr="007943E3" w:rsidRDefault="003D60AD" w:rsidP="007943E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7943E3">
              <w:rPr>
                <w:noProof/>
                <w:szCs w:val="24"/>
                <w:lang w:eastAsia="de-DE"/>
              </w:rPr>
              <w:t>[17]</w:t>
            </w:r>
          </w:p>
        </w:tc>
      </w:tr>
      <w:tr w:rsidR="003D60AD" w:rsidRPr="00F041FF" w:rsidTr="007943E3">
        <w:trPr>
          <w:trHeight w:val="455"/>
        </w:trPr>
        <w:tc>
          <w:tcPr>
            <w:cnfStyle w:val="001000000000" w:firstRow="0" w:lastRow="0" w:firstColumn="1" w:lastColumn="0" w:oddVBand="0" w:evenVBand="0" w:oddHBand="0" w:evenHBand="0" w:firstRowFirstColumn="0" w:firstRowLastColumn="0" w:lastRowFirstColumn="0" w:lastRowLastColumn="0"/>
            <w:tcW w:w="2683" w:type="dxa"/>
          </w:tcPr>
          <w:p w:rsidR="003D60AD" w:rsidRPr="00F041FF" w:rsidRDefault="003D60AD" w:rsidP="00D4383F">
            <w:pPr>
              <w:widowControl w:val="0"/>
              <w:snapToGrid w:val="0"/>
              <w:spacing w:after="0"/>
              <w:rPr>
                <w:b w:val="0"/>
                <w:szCs w:val="24"/>
              </w:rPr>
            </w:pPr>
            <w:r w:rsidRPr="00F041FF">
              <w:rPr>
                <w:b w:val="0"/>
                <w:szCs w:val="24"/>
              </w:rPr>
              <w:t>Blood</w:t>
            </w:r>
          </w:p>
        </w:tc>
        <w:tc>
          <w:tcPr>
            <w:tcW w:w="4765" w:type="dxa"/>
          </w:tcPr>
          <w:p w:rsidR="003D60AD" w:rsidRPr="00F041FF" w:rsidRDefault="003D60AD"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lang w:eastAsia="de-DE"/>
              </w:rPr>
            </w:pPr>
            <w:r w:rsidRPr="00F041FF">
              <w:rPr>
                <w:szCs w:val="24"/>
                <w:lang w:eastAsia="de-DE"/>
              </w:rPr>
              <w:t>High API</w:t>
            </w:r>
          </w:p>
        </w:tc>
        <w:tc>
          <w:tcPr>
            <w:tcW w:w="1574" w:type="dxa"/>
          </w:tcPr>
          <w:p w:rsidR="003D60AD" w:rsidRPr="00F041FF" w:rsidRDefault="003D60AD"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szCs w:val="24"/>
              </w:rPr>
              <w:t>CD</w:t>
            </w:r>
          </w:p>
        </w:tc>
        <w:tc>
          <w:tcPr>
            <w:tcW w:w="1335" w:type="dxa"/>
          </w:tcPr>
          <w:p w:rsidR="003D60AD" w:rsidRPr="007943E3" w:rsidRDefault="003D60AD"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noProof/>
                <w:szCs w:val="24"/>
                <w:lang w:eastAsia="de-DE"/>
              </w:rPr>
            </w:pPr>
            <w:r w:rsidRPr="007943E3">
              <w:rPr>
                <w:noProof/>
                <w:szCs w:val="24"/>
                <w:lang w:eastAsia="de-DE"/>
              </w:rPr>
              <w:t>[8</w:t>
            </w:r>
            <w:r w:rsidR="00C51C81" w:rsidRPr="007943E3">
              <w:rPr>
                <w:noProof/>
                <w:szCs w:val="24"/>
                <w:lang w:eastAsia="de-DE"/>
              </w:rPr>
              <w:t>3</w:t>
            </w:r>
            <w:r w:rsidRPr="007943E3">
              <w:rPr>
                <w:noProof/>
                <w:szCs w:val="24"/>
                <w:lang w:eastAsia="de-DE"/>
              </w:rPr>
              <w:t>]</w:t>
            </w:r>
          </w:p>
        </w:tc>
      </w:tr>
      <w:tr w:rsidR="003D60AD" w:rsidRPr="00F041FF" w:rsidTr="007943E3">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683" w:type="dxa"/>
          </w:tcPr>
          <w:p w:rsidR="003D60AD" w:rsidRPr="00F041FF" w:rsidRDefault="003D60AD" w:rsidP="00D4383F">
            <w:pPr>
              <w:widowControl w:val="0"/>
              <w:snapToGrid w:val="0"/>
              <w:spacing w:after="0"/>
              <w:rPr>
                <w:b w:val="0"/>
                <w:szCs w:val="24"/>
              </w:rPr>
            </w:pPr>
            <w:r w:rsidRPr="00F041FF">
              <w:rPr>
                <w:b w:val="0"/>
                <w:szCs w:val="24"/>
              </w:rPr>
              <w:t xml:space="preserve">Blood </w:t>
            </w:r>
          </w:p>
        </w:tc>
        <w:tc>
          <w:tcPr>
            <w:tcW w:w="4765" w:type="dxa"/>
          </w:tcPr>
          <w:p w:rsidR="003D60AD" w:rsidRPr="00F041FF" w:rsidRDefault="003D60AD" w:rsidP="007943E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lang w:eastAsia="de-DE"/>
              </w:rPr>
            </w:pPr>
            <w:r w:rsidRPr="00F041FF">
              <w:rPr>
                <w:szCs w:val="24"/>
                <w:lang w:eastAsia="de-DE"/>
              </w:rPr>
              <w:t>C-reactive protein</w:t>
            </w:r>
          </w:p>
        </w:tc>
        <w:tc>
          <w:tcPr>
            <w:tcW w:w="1574" w:type="dxa"/>
          </w:tcPr>
          <w:p w:rsidR="003D60AD" w:rsidRPr="00F041FF" w:rsidRDefault="003D60AD" w:rsidP="007943E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CD and UC</w:t>
            </w:r>
          </w:p>
        </w:tc>
        <w:tc>
          <w:tcPr>
            <w:tcW w:w="1335" w:type="dxa"/>
          </w:tcPr>
          <w:p w:rsidR="003D60AD" w:rsidRPr="007943E3" w:rsidRDefault="003D60AD" w:rsidP="007943E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noProof/>
                <w:szCs w:val="24"/>
                <w:lang w:eastAsia="de-DE"/>
              </w:rPr>
            </w:pPr>
            <w:r w:rsidRPr="007943E3">
              <w:rPr>
                <w:noProof/>
                <w:szCs w:val="24"/>
                <w:lang w:eastAsia="de-DE"/>
              </w:rPr>
              <w:t>[8</w:t>
            </w:r>
            <w:r w:rsidR="00C51C81" w:rsidRPr="007943E3">
              <w:rPr>
                <w:noProof/>
                <w:szCs w:val="24"/>
                <w:lang w:eastAsia="de-DE"/>
              </w:rPr>
              <w:t>4</w:t>
            </w:r>
            <w:r w:rsidRPr="007943E3">
              <w:rPr>
                <w:noProof/>
                <w:szCs w:val="24"/>
                <w:lang w:eastAsia="de-DE"/>
              </w:rPr>
              <w:t>]</w:t>
            </w:r>
          </w:p>
        </w:tc>
      </w:tr>
      <w:tr w:rsidR="003D60AD" w:rsidRPr="00F041FF" w:rsidTr="007943E3">
        <w:trPr>
          <w:trHeight w:val="2633"/>
        </w:trPr>
        <w:tc>
          <w:tcPr>
            <w:cnfStyle w:val="001000000000" w:firstRow="0" w:lastRow="0" w:firstColumn="1" w:lastColumn="0" w:oddVBand="0" w:evenVBand="0" w:oddHBand="0" w:evenHBand="0" w:firstRowFirstColumn="0" w:firstRowLastColumn="0" w:lastRowFirstColumn="0" w:lastRowLastColumn="0"/>
            <w:tcW w:w="2683" w:type="dxa"/>
          </w:tcPr>
          <w:p w:rsidR="003D60AD" w:rsidRPr="00F041FF" w:rsidRDefault="0021054C" w:rsidP="00D4383F">
            <w:pPr>
              <w:widowControl w:val="0"/>
              <w:snapToGrid w:val="0"/>
              <w:spacing w:after="0"/>
              <w:rPr>
                <w:b w:val="0"/>
                <w:szCs w:val="24"/>
              </w:rPr>
            </w:pPr>
            <w:r w:rsidRPr="00F041FF">
              <w:rPr>
                <w:b w:val="0"/>
                <w:szCs w:val="24"/>
              </w:rPr>
              <w:t xml:space="preserve">Intestinal </w:t>
            </w:r>
            <w:r w:rsidR="003D60AD" w:rsidRPr="00F041FF">
              <w:rPr>
                <w:b w:val="0"/>
                <w:szCs w:val="24"/>
              </w:rPr>
              <w:t>biopsies</w:t>
            </w:r>
          </w:p>
        </w:tc>
        <w:tc>
          <w:tcPr>
            <w:tcW w:w="4765" w:type="dxa"/>
          </w:tcPr>
          <w:p w:rsidR="003D60AD" w:rsidRPr="00F041FF" w:rsidRDefault="003D60AD"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i/>
                <w:szCs w:val="24"/>
              </w:rPr>
            </w:pPr>
            <w:r w:rsidRPr="00F041FF">
              <w:rPr>
                <w:i/>
                <w:szCs w:val="24"/>
              </w:rPr>
              <w:t>TNFRSF11B (osteoprotegerin)</w:t>
            </w:r>
          </w:p>
          <w:p w:rsidR="003D60AD" w:rsidRPr="00F041FF" w:rsidRDefault="003D60AD"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i/>
                <w:szCs w:val="24"/>
              </w:rPr>
            </w:pPr>
            <w:r w:rsidRPr="00F041FF">
              <w:rPr>
                <w:i/>
                <w:szCs w:val="24"/>
              </w:rPr>
              <w:t>STC1 (stanniocalcin-1)</w:t>
            </w:r>
          </w:p>
          <w:p w:rsidR="003D60AD" w:rsidRPr="00F041FF" w:rsidRDefault="003D60AD"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i/>
                <w:szCs w:val="24"/>
              </w:rPr>
            </w:pPr>
            <w:r w:rsidRPr="00F041FF">
              <w:rPr>
                <w:i/>
                <w:szCs w:val="24"/>
              </w:rPr>
              <w:t>PTGS2 (prostaglandin-endoperoxide synthase 2)</w:t>
            </w:r>
          </w:p>
          <w:p w:rsidR="003D60AD" w:rsidRPr="00F041FF" w:rsidRDefault="003D60AD"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i/>
                <w:szCs w:val="24"/>
              </w:rPr>
            </w:pPr>
            <w:r w:rsidRPr="00F041FF">
              <w:rPr>
                <w:i/>
                <w:szCs w:val="24"/>
              </w:rPr>
              <w:t>IL13Ralpha2 (IL13R alpha 2)</w:t>
            </w:r>
          </w:p>
          <w:p w:rsidR="003D60AD" w:rsidRPr="00F041FF" w:rsidRDefault="003D60AD"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lang w:eastAsia="de-DE"/>
              </w:rPr>
            </w:pPr>
            <w:r w:rsidRPr="00F041FF">
              <w:rPr>
                <w:i/>
                <w:szCs w:val="24"/>
              </w:rPr>
              <w:t>IL11 (IL-11)</w:t>
            </w:r>
          </w:p>
        </w:tc>
        <w:tc>
          <w:tcPr>
            <w:tcW w:w="1574" w:type="dxa"/>
          </w:tcPr>
          <w:p w:rsidR="003D60AD" w:rsidRPr="00F041FF" w:rsidRDefault="003D60AD"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szCs w:val="24"/>
              </w:rPr>
              <w:t>UC</w:t>
            </w:r>
          </w:p>
        </w:tc>
        <w:tc>
          <w:tcPr>
            <w:tcW w:w="1335" w:type="dxa"/>
          </w:tcPr>
          <w:p w:rsidR="003D60AD" w:rsidRPr="007943E3" w:rsidRDefault="00C51C81"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noProof/>
                <w:szCs w:val="24"/>
                <w:lang w:eastAsia="de-DE"/>
              </w:rPr>
            </w:pPr>
            <w:r w:rsidRPr="007943E3">
              <w:rPr>
                <w:noProof/>
                <w:szCs w:val="24"/>
                <w:lang w:eastAsia="de-DE"/>
              </w:rPr>
              <w:t>[85</w:t>
            </w:r>
            <w:r w:rsidR="003D60AD" w:rsidRPr="007943E3">
              <w:rPr>
                <w:noProof/>
                <w:szCs w:val="24"/>
                <w:lang w:eastAsia="de-DE"/>
              </w:rPr>
              <w:t>]</w:t>
            </w:r>
          </w:p>
        </w:tc>
      </w:tr>
      <w:tr w:rsidR="003D60AD" w:rsidRPr="00F041FF" w:rsidTr="007943E3">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683" w:type="dxa"/>
          </w:tcPr>
          <w:p w:rsidR="003D60AD" w:rsidRPr="00F041FF" w:rsidRDefault="003D60AD" w:rsidP="00D4383F">
            <w:pPr>
              <w:widowControl w:val="0"/>
              <w:snapToGrid w:val="0"/>
              <w:spacing w:after="0"/>
              <w:rPr>
                <w:b w:val="0"/>
                <w:szCs w:val="24"/>
              </w:rPr>
            </w:pPr>
            <w:r w:rsidRPr="00F041FF">
              <w:rPr>
                <w:b w:val="0"/>
                <w:szCs w:val="24"/>
              </w:rPr>
              <w:t>SPECT</w:t>
            </w:r>
          </w:p>
        </w:tc>
        <w:tc>
          <w:tcPr>
            <w:tcW w:w="4765" w:type="dxa"/>
          </w:tcPr>
          <w:p w:rsidR="003D60AD" w:rsidRPr="00F041FF" w:rsidRDefault="00A27463" w:rsidP="007943E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i/>
                <w:szCs w:val="24"/>
              </w:rPr>
            </w:pPr>
            <w:r w:rsidRPr="00F041FF">
              <w:rPr>
                <w:szCs w:val="24"/>
                <w:lang w:eastAsia="de-DE"/>
              </w:rPr>
              <w:t>H</w:t>
            </w:r>
            <w:r w:rsidR="003D60AD" w:rsidRPr="00F041FF">
              <w:rPr>
                <w:szCs w:val="24"/>
                <w:lang w:eastAsia="de-DE"/>
              </w:rPr>
              <w:t>igh apoptosis rate</w:t>
            </w:r>
          </w:p>
        </w:tc>
        <w:tc>
          <w:tcPr>
            <w:tcW w:w="1574" w:type="dxa"/>
          </w:tcPr>
          <w:p w:rsidR="003D60AD" w:rsidRPr="00F041FF" w:rsidRDefault="003D60AD" w:rsidP="007943E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rPr>
            </w:pPr>
            <w:r w:rsidRPr="00F041FF">
              <w:rPr>
                <w:szCs w:val="24"/>
              </w:rPr>
              <w:t>CD</w:t>
            </w:r>
          </w:p>
        </w:tc>
        <w:tc>
          <w:tcPr>
            <w:tcW w:w="1335" w:type="dxa"/>
          </w:tcPr>
          <w:p w:rsidR="003D60AD" w:rsidRPr="007943E3" w:rsidRDefault="003D60AD" w:rsidP="007943E3">
            <w:pPr>
              <w:widowControl w:val="0"/>
              <w:snapToGrid w:val="0"/>
              <w:spacing w:after="0"/>
              <w:jc w:val="center"/>
              <w:cnfStyle w:val="000000100000" w:firstRow="0" w:lastRow="0" w:firstColumn="0" w:lastColumn="0" w:oddVBand="0" w:evenVBand="0" w:oddHBand="1" w:evenHBand="0" w:firstRowFirstColumn="0" w:firstRowLastColumn="0" w:lastRowFirstColumn="0" w:lastRowLastColumn="0"/>
              <w:rPr>
                <w:szCs w:val="24"/>
                <w:lang w:eastAsia="de-DE"/>
              </w:rPr>
            </w:pPr>
            <w:r w:rsidRPr="007943E3">
              <w:rPr>
                <w:noProof/>
                <w:szCs w:val="24"/>
                <w:lang w:eastAsia="de-DE"/>
              </w:rPr>
              <w:t>[</w:t>
            </w:r>
            <w:r w:rsidR="00C51C81" w:rsidRPr="007943E3">
              <w:rPr>
                <w:noProof/>
                <w:szCs w:val="24"/>
                <w:lang w:eastAsia="de-DE"/>
              </w:rPr>
              <w:t>80</w:t>
            </w:r>
            <w:r w:rsidRPr="007943E3">
              <w:rPr>
                <w:noProof/>
                <w:szCs w:val="24"/>
                <w:lang w:eastAsia="de-DE"/>
              </w:rPr>
              <w:t>]</w:t>
            </w:r>
          </w:p>
        </w:tc>
      </w:tr>
      <w:tr w:rsidR="003D60AD" w:rsidRPr="00F041FF" w:rsidTr="007943E3">
        <w:trPr>
          <w:trHeight w:val="839"/>
        </w:trPr>
        <w:tc>
          <w:tcPr>
            <w:cnfStyle w:val="001000000000" w:firstRow="0" w:lastRow="0" w:firstColumn="1" w:lastColumn="0" w:oddVBand="0" w:evenVBand="0" w:oddHBand="0" w:evenHBand="0" w:firstRowFirstColumn="0" w:firstRowLastColumn="0" w:lastRowFirstColumn="0" w:lastRowLastColumn="0"/>
            <w:tcW w:w="2683" w:type="dxa"/>
          </w:tcPr>
          <w:p w:rsidR="003D60AD" w:rsidRPr="00F041FF" w:rsidRDefault="0021054C" w:rsidP="00D4383F">
            <w:pPr>
              <w:widowControl w:val="0"/>
              <w:snapToGrid w:val="0"/>
              <w:spacing w:after="0"/>
              <w:rPr>
                <w:b w:val="0"/>
                <w:szCs w:val="24"/>
              </w:rPr>
            </w:pPr>
            <w:r w:rsidRPr="00F041FF">
              <w:rPr>
                <w:b w:val="0"/>
                <w:szCs w:val="24"/>
              </w:rPr>
              <w:t>Endoscopic molecular imaging</w:t>
            </w:r>
          </w:p>
        </w:tc>
        <w:tc>
          <w:tcPr>
            <w:tcW w:w="4765" w:type="dxa"/>
          </w:tcPr>
          <w:p w:rsidR="003D60AD" w:rsidRPr="00F041FF" w:rsidRDefault="003D60AD"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lang w:eastAsia="de-DE"/>
              </w:rPr>
            </w:pPr>
            <w:r w:rsidRPr="00F041FF">
              <w:rPr>
                <w:szCs w:val="24"/>
                <w:lang w:eastAsia="de-DE"/>
              </w:rPr>
              <w:t>High mTNF expression</w:t>
            </w:r>
            <w:r w:rsidR="0021054C" w:rsidRPr="00F041FF">
              <w:rPr>
                <w:szCs w:val="24"/>
                <w:lang w:eastAsia="de-DE"/>
              </w:rPr>
              <w:t xml:space="preserve"> </w:t>
            </w:r>
            <w:r w:rsidR="0021054C" w:rsidRPr="00F041FF">
              <w:rPr>
                <w:i/>
                <w:szCs w:val="24"/>
                <w:lang w:eastAsia="de-DE"/>
              </w:rPr>
              <w:t>in vivo</w:t>
            </w:r>
          </w:p>
        </w:tc>
        <w:tc>
          <w:tcPr>
            <w:tcW w:w="1574" w:type="dxa"/>
          </w:tcPr>
          <w:p w:rsidR="003D60AD" w:rsidRPr="00F041FF" w:rsidRDefault="003D60AD"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szCs w:val="24"/>
              </w:rPr>
            </w:pPr>
            <w:r w:rsidRPr="00F041FF">
              <w:rPr>
                <w:szCs w:val="24"/>
              </w:rPr>
              <w:t>CD</w:t>
            </w:r>
          </w:p>
        </w:tc>
        <w:tc>
          <w:tcPr>
            <w:tcW w:w="1335" w:type="dxa"/>
          </w:tcPr>
          <w:p w:rsidR="003D60AD" w:rsidRPr="007943E3" w:rsidRDefault="003D60AD" w:rsidP="007943E3">
            <w:pPr>
              <w:widowControl w:val="0"/>
              <w:snapToGrid w:val="0"/>
              <w:spacing w:after="0"/>
              <w:jc w:val="center"/>
              <w:cnfStyle w:val="000000000000" w:firstRow="0" w:lastRow="0" w:firstColumn="0" w:lastColumn="0" w:oddVBand="0" w:evenVBand="0" w:oddHBand="0" w:evenHBand="0" w:firstRowFirstColumn="0" w:firstRowLastColumn="0" w:lastRowFirstColumn="0" w:lastRowLastColumn="0"/>
              <w:rPr>
                <w:noProof/>
                <w:szCs w:val="24"/>
                <w:lang w:eastAsia="de-DE"/>
              </w:rPr>
            </w:pPr>
            <w:r w:rsidRPr="007943E3">
              <w:rPr>
                <w:noProof/>
                <w:szCs w:val="24"/>
                <w:lang w:eastAsia="de-DE"/>
              </w:rPr>
              <w:t>[18]</w:t>
            </w:r>
          </w:p>
        </w:tc>
      </w:tr>
    </w:tbl>
    <w:p w:rsidR="001031CC" w:rsidRPr="00F041FF" w:rsidRDefault="00937412" w:rsidP="00D4383F">
      <w:pPr>
        <w:widowControl w:val="0"/>
        <w:snapToGrid w:val="0"/>
        <w:spacing w:after="0"/>
        <w:rPr>
          <w:szCs w:val="24"/>
          <w:lang w:eastAsia="zh-CN"/>
        </w:rPr>
      </w:pPr>
      <w:r>
        <w:rPr>
          <w:rFonts w:hint="eastAsia"/>
          <w:szCs w:val="24"/>
          <w:lang w:eastAsia="zh-CN"/>
        </w:rPr>
        <w:t xml:space="preserve">CD: </w:t>
      </w:r>
      <w:r w:rsidRPr="00F041FF">
        <w:rPr>
          <w:szCs w:val="24"/>
        </w:rPr>
        <w:t>Crohn´s disease</w:t>
      </w:r>
      <w:r>
        <w:rPr>
          <w:rFonts w:hint="eastAsia"/>
          <w:szCs w:val="24"/>
          <w:lang w:eastAsia="zh-CN"/>
        </w:rPr>
        <w:t>;</w:t>
      </w:r>
      <w:r w:rsidR="007362F8">
        <w:rPr>
          <w:rFonts w:hint="eastAsia"/>
          <w:szCs w:val="24"/>
          <w:lang w:eastAsia="zh-CN"/>
        </w:rPr>
        <w:t xml:space="preserve"> </w:t>
      </w:r>
      <w:r>
        <w:rPr>
          <w:rFonts w:hint="eastAsia"/>
          <w:szCs w:val="24"/>
          <w:lang w:eastAsia="zh-CN"/>
        </w:rPr>
        <w:t xml:space="preserve">UC: </w:t>
      </w:r>
      <w:r w:rsidRPr="00937412">
        <w:rPr>
          <w:caps/>
          <w:szCs w:val="24"/>
        </w:rPr>
        <w:t>u</w:t>
      </w:r>
      <w:r w:rsidRPr="00F041FF">
        <w:rPr>
          <w:szCs w:val="24"/>
        </w:rPr>
        <w:t>lcerative colitis</w:t>
      </w:r>
      <w:r>
        <w:rPr>
          <w:rFonts w:hint="eastAsia"/>
          <w:szCs w:val="24"/>
          <w:lang w:eastAsia="zh-CN"/>
        </w:rPr>
        <w:t xml:space="preserve">; </w:t>
      </w:r>
      <w:r w:rsidRPr="00F041FF">
        <w:rPr>
          <w:szCs w:val="24"/>
          <w:lang w:eastAsia="de-DE"/>
        </w:rPr>
        <w:t>SPECT</w:t>
      </w:r>
      <w:r>
        <w:rPr>
          <w:rFonts w:hint="eastAsia"/>
          <w:szCs w:val="24"/>
          <w:lang w:eastAsia="zh-CN"/>
        </w:rPr>
        <w:t xml:space="preserve">: </w:t>
      </w:r>
      <w:r w:rsidRPr="00937412">
        <w:rPr>
          <w:caps/>
          <w:szCs w:val="24"/>
          <w:lang w:eastAsia="de-DE"/>
        </w:rPr>
        <w:t>s</w:t>
      </w:r>
      <w:r w:rsidRPr="00F041FF">
        <w:rPr>
          <w:szCs w:val="24"/>
          <w:lang w:eastAsia="de-DE"/>
        </w:rPr>
        <w:t>ingle-photon emission computer tomography</w:t>
      </w:r>
      <w:r>
        <w:rPr>
          <w:rFonts w:hint="eastAsia"/>
          <w:szCs w:val="24"/>
          <w:lang w:eastAsia="zh-CN"/>
        </w:rPr>
        <w:t>.</w:t>
      </w:r>
    </w:p>
    <w:sectPr w:rsidR="001031CC" w:rsidRPr="00F041F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C0" w:rsidRDefault="00C20EC0" w:rsidP="00937412">
      <w:pPr>
        <w:spacing w:after="0" w:line="240" w:lineRule="auto"/>
      </w:pPr>
      <w:r>
        <w:separator/>
      </w:r>
    </w:p>
  </w:endnote>
  <w:endnote w:type="continuationSeparator" w:id="0">
    <w:p w:rsidR="00C20EC0" w:rsidRDefault="00C20EC0" w:rsidP="0093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45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C0" w:rsidRDefault="00C20EC0" w:rsidP="00937412">
      <w:pPr>
        <w:spacing w:after="0" w:line="240" w:lineRule="auto"/>
      </w:pPr>
      <w:r>
        <w:separator/>
      </w:r>
    </w:p>
  </w:footnote>
  <w:footnote w:type="continuationSeparator" w:id="0">
    <w:p w:rsidR="00C20EC0" w:rsidRDefault="00C20EC0" w:rsidP="00937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B6D66"/>
    <w:multiLevelType w:val="hybridMultilevel"/>
    <w:tmpl w:val="6896AF8A"/>
    <w:lvl w:ilvl="0" w:tplc="65FE4BA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B728D3"/>
    <w:rsid w:val="00022A93"/>
    <w:rsid w:val="000377E4"/>
    <w:rsid w:val="001031CC"/>
    <w:rsid w:val="0013290E"/>
    <w:rsid w:val="001646C9"/>
    <w:rsid w:val="0018569A"/>
    <w:rsid w:val="001D0BB4"/>
    <w:rsid w:val="001E1618"/>
    <w:rsid w:val="001F3FF5"/>
    <w:rsid w:val="0021054C"/>
    <w:rsid w:val="00225234"/>
    <w:rsid w:val="0023720F"/>
    <w:rsid w:val="00244684"/>
    <w:rsid w:val="00275D92"/>
    <w:rsid w:val="00275F0A"/>
    <w:rsid w:val="00300253"/>
    <w:rsid w:val="003408E6"/>
    <w:rsid w:val="003836B9"/>
    <w:rsid w:val="003A351C"/>
    <w:rsid w:val="003D3933"/>
    <w:rsid w:val="003D60AD"/>
    <w:rsid w:val="003E46C7"/>
    <w:rsid w:val="004078F2"/>
    <w:rsid w:val="004305C5"/>
    <w:rsid w:val="00435E78"/>
    <w:rsid w:val="0045446E"/>
    <w:rsid w:val="00462FB9"/>
    <w:rsid w:val="00470B14"/>
    <w:rsid w:val="00487C34"/>
    <w:rsid w:val="00507575"/>
    <w:rsid w:val="0058416D"/>
    <w:rsid w:val="005A1FC0"/>
    <w:rsid w:val="005B6967"/>
    <w:rsid w:val="005D782D"/>
    <w:rsid w:val="0060347E"/>
    <w:rsid w:val="00680489"/>
    <w:rsid w:val="00683098"/>
    <w:rsid w:val="006B5476"/>
    <w:rsid w:val="007362F8"/>
    <w:rsid w:val="00790EF3"/>
    <w:rsid w:val="007943E3"/>
    <w:rsid w:val="007A3005"/>
    <w:rsid w:val="007E132C"/>
    <w:rsid w:val="00804F4C"/>
    <w:rsid w:val="0086431D"/>
    <w:rsid w:val="00867C2F"/>
    <w:rsid w:val="008B1B71"/>
    <w:rsid w:val="00901AE4"/>
    <w:rsid w:val="00907AB1"/>
    <w:rsid w:val="009139B4"/>
    <w:rsid w:val="00916CDA"/>
    <w:rsid w:val="00937412"/>
    <w:rsid w:val="00961B19"/>
    <w:rsid w:val="00996EBC"/>
    <w:rsid w:val="009B00C1"/>
    <w:rsid w:val="00A27463"/>
    <w:rsid w:val="00A40A23"/>
    <w:rsid w:val="00A74F7E"/>
    <w:rsid w:val="00B728D3"/>
    <w:rsid w:val="00BD05FC"/>
    <w:rsid w:val="00BF10D9"/>
    <w:rsid w:val="00BF6FCB"/>
    <w:rsid w:val="00C20EC0"/>
    <w:rsid w:val="00C2680A"/>
    <w:rsid w:val="00C51C81"/>
    <w:rsid w:val="00C72665"/>
    <w:rsid w:val="00CA640C"/>
    <w:rsid w:val="00CD4196"/>
    <w:rsid w:val="00CD7BBF"/>
    <w:rsid w:val="00D4383F"/>
    <w:rsid w:val="00D70EF7"/>
    <w:rsid w:val="00D76A72"/>
    <w:rsid w:val="00D93288"/>
    <w:rsid w:val="00E32FDE"/>
    <w:rsid w:val="00E36671"/>
    <w:rsid w:val="00E57D36"/>
    <w:rsid w:val="00E94572"/>
    <w:rsid w:val="00EC70E7"/>
    <w:rsid w:val="00ED1628"/>
    <w:rsid w:val="00F041FF"/>
    <w:rsid w:val="00F250F1"/>
    <w:rsid w:val="00F263AD"/>
    <w:rsid w:val="00F66B6B"/>
    <w:rsid w:val="00F80C82"/>
    <w:rsid w:val="00FC2631"/>
    <w:rsid w:val="00FD22F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1622AF-AFB1-4C26-B943-E7A28494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D3"/>
    <w:pPr>
      <w:spacing w:after="200" w:line="360" w:lineRule="auto"/>
      <w:jc w:val="both"/>
    </w:pPr>
    <w:rPr>
      <w:rFonts w:ascii="Book Antiqua" w:hAnsi="Book Antiqua"/>
      <w:sz w:val="24"/>
      <w:lang w:val="en-US"/>
    </w:rPr>
  </w:style>
  <w:style w:type="paragraph" w:styleId="Heading1">
    <w:name w:val="heading 1"/>
    <w:basedOn w:val="Normal"/>
    <w:next w:val="Normal"/>
    <w:link w:val="Heading1Char"/>
    <w:uiPriority w:val="9"/>
    <w:qFormat/>
    <w:rsid w:val="00B728D3"/>
    <w:pPr>
      <w:keepNext/>
      <w:keepLines/>
      <w:spacing w:before="100" w:beforeAutospacing="1" w:after="100" w:afterAutospacing="1"/>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728D3"/>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728D3"/>
    <w:pPr>
      <w:keepNext/>
      <w:keepLines/>
      <w:spacing w:before="200" w:after="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B728D3"/>
    <w:pPr>
      <w:keepNext/>
      <w:keepLines/>
      <w:spacing w:before="200" w:after="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8D3"/>
    <w:rPr>
      <w:rFonts w:ascii="Book Antiqua" w:eastAsiaTheme="majorEastAsia" w:hAnsi="Book Antiqua" w:cstheme="majorBidi"/>
      <w:b/>
      <w:bCs/>
      <w:sz w:val="28"/>
      <w:szCs w:val="28"/>
      <w:lang w:val="en-US"/>
    </w:rPr>
  </w:style>
  <w:style w:type="character" w:customStyle="1" w:styleId="Heading2Char">
    <w:name w:val="Heading 2 Char"/>
    <w:basedOn w:val="DefaultParagraphFont"/>
    <w:link w:val="Heading2"/>
    <w:uiPriority w:val="9"/>
    <w:rsid w:val="00B728D3"/>
    <w:rPr>
      <w:rFonts w:ascii="Book Antiqua" w:eastAsiaTheme="majorEastAsia" w:hAnsi="Book Antiqua" w:cstheme="majorBidi"/>
      <w:b/>
      <w:bCs/>
      <w:sz w:val="24"/>
      <w:szCs w:val="26"/>
      <w:lang w:val="en-US"/>
    </w:rPr>
  </w:style>
  <w:style w:type="character" w:customStyle="1" w:styleId="Heading3Char">
    <w:name w:val="Heading 3 Char"/>
    <w:basedOn w:val="DefaultParagraphFont"/>
    <w:link w:val="Heading3"/>
    <w:uiPriority w:val="9"/>
    <w:rsid w:val="00B728D3"/>
    <w:rPr>
      <w:rFonts w:ascii="Book Antiqua" w:eastAsiaTheme="majorEastAsia" w:hAnsi="Book Antiqua" w:cstheme="majorBidi"/>
      <w:b/>
      <w:bCs/>
      <w:i/>
      <w:sz w:val="24"/>
      <w:lang w:val="en-US"/>
    </w:rPr>
  </w:style>
  <w:style w:type="character" w:customStyle="1" w:styleId="Heading4Char">
    <w:name w:val="Heading 4 Char"/>
    <w:basedOn w:val="DefaultParagraphFont"/>
    <w:link w:val="Heading4"/>
    <w:uiPriority w:val="9"/>
    <w:rsid w:val="00B728D3"/>
    <w:rPr>
      <w:rFonts w:ascii="Book Antiqua" w:eastAsiaTheme="majorEastAsia" w:hAnsi="Book Antiqua" w:cstheme="majorBidi"/>
      <w:b/>
      <w:bCs/>
      <w:iCs/>
      <w:color w:val="000000" w:themeColor="text1"/>
      <w:sz w:val="24"/>
      <w:lang w:val="en-US"/>
    </w:rPr>
  </w:style>
  <w:style w:type="paragraph" w:styleId="NormalWeb">
    <w:name w:val="Normal (Web)"/>
    <w:basedOn w:val="Normal"/>
    <w:uiPriority w:val="99"/>
    <w:semiHidden/>
    <w:unhideWhenUsed/>
    <w:rsid w:val="00B728D3"/>
    <w:pPr>
      <w:spacing w:after="0"/>
    </w:pPr>
    <w:rPr>
      <w:rFonts w:ascii="Times New Roman" w:hAnsi="Times New Roman" w:cs="Times New Roman"/>
      <w:szCs w:val="24"/>
      <w:lang w:val="de-DE" w:eastAsia="de-DE"/>
    </w:rPr>
  </w:style>
  <w:style w:type="paragraph" w:styleId="Title">
    <w:name w:val="Title"/>
    <w:basedOn w:val="Normal"/>
    <w:next w:val="Normal"/>
    <w:link w:val="TitleChar"/>
    <w:uiPriority w:val="10"/>
    <w:qFormat/>
    <w:rsid w:val="00B728D3"/>
    <w:pPr>
      <w:spacing w:after="30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B728D3"/>
    <w:rPr>
      <w:rFonts w:ascii="Book Antiqua" w:eastAsiaTheme="majorEastAsia" w:hAnsi="Book Antiqua" w:cstheme="majorBidi"/>
      <w:b/>
      <w:spacing w:val="5"/>
      <w:kern w:val="28"/>
      <w:sz w:val="32"/>
      <w:szCs w:val="52"/>
      <w:lang w:val="en-US"/>
    </w:rPr>
  </w:style>
  <w:style w:type="paragraph" w:customStyle="1" w:styleId="EndNoteBibliographyTitle">
    <w:name w:val="EndNote Bibliography Title"/>
    <w:basedOn w:val="Normal"/>
    <w:link w:val="EndNoteBibliographyTitleZchn"/>
    <w:rsid w:val="00B728D3"/>
    <w:pPr>
      <w:spacing w:after="0"/>
      <w:jc w:val="center"/>
    </w:pPr>
    <w:rPr>
      <w:rFonts w:cs="Arial"/>
      <w:noProof/>
    </w:rPr>
  </w:style>
  <w:style w:type="character" w:customStyle="1" w:styleId="EndNoteBibliographyTitleZchn">
    <w:name w:val="EndNote Bibliography Title Zchn"/>
    <w:basedOn w:val="DefaultParagraphFont"/>
    <w:link w:val="EndNoteBibliographyTitle"/>
    <w:rsid w:val="00B728D3"/>
    <w:rPr>
      <w:rFonts w:ascii="Book Antiqua" w:hAnsi="Book Antiqua" w:cs="Arial"/>
      <w:noProof/>
      <w:sz w:val="24"/>
      <w:lang w:val="en-US"/>
    </w:rPr>
  </w:style>
  <w:style w:type="paragraph" w:customStyle="1" w:styleId="EndNoteBibliography">
    <w:name w:val="EndNote Bibliography"/>
    <w:basedOn w:val="Normal"/>
    <w:link w:val="EndNoteBibliographyZchn"/>
    <w:rsid w:val="00B728D3"/>
    <w:pPr>
      <w:spacing w:line="240" w:lineRule="auto"/>
    </w:pPr>
    <w:rPr>
      <w:rFonts w:cs="Arial"/>
      <w:noProof/>
    </w:rPr>
  </w:style>
  <w:style w:type="character" w:customStyle="1" w:styleId="EndNoteBibliographyZchn">
    <w:name w:val="EndNote Bibliography Zchn"/>
    <w:basedOn w:val="DefaultParagraphFont"/>
    <w:link w:val="EndNoteBibliography"/>
    <w:rsid w:val="00B728D3"/>
    <w:rPr>
      <w:rFonts w:ascii="Book Antiqua" w:hAnsi="Book Antiqua" w:cs="Arial"/>
      <w:noProof/>
      <w:sz w:val="24"/>
      <w:lang w:val="en-US"/>
    </w:rPr>
  </w:style>
  <w:style w:type="paragraph" w:customStyle="1" w:styleId="Default">
    <w:name w:val="Default"/>
    <w:uiPriority w:val="99"/>
    <w:rsid w:val="00B728D3"/>
    <w:pPr>
      <w:autoSpaceDE w:val="0"/>
      <w:autoSpaceDN w:val="0"/>
      <w:adjustRightInd w:val="0"/>
      <w:spacing w:after="0" w:line="240" w:lineRule="auto"/>
    </w:pPr>
    <w:rPr>
      <w:rFonts w:ascii="Frutiger 45 Light" w:eastAsia="SimSun" w:hAnsi="Frutiger 45 Light" w:cs="Frutiger 45 Light"/>
      <w:color w:val="000000"/>
      <w:sz w:val="24"/>
      <w:szCs w:val="24"/>
      <w:lang w:eastAsia="zh-CN"/>
    </w:rPr>
  </w:style>
  <w:style w:type="character" w:customStyle="1" w:styleId="highlight2">
    <w:name w:val="highlight2"/>
    <w:basedOn w:val="DefaultParagraphFont"/>
    <w:rsid w:val="00B728D3"/>
  </w:style>
  <w:style w:type="paragraph" w:styleId="BalloonText">
    <w:name w:val="Balloon Text"/>
    <w:basedOn w:val="Normal"/>
    <w:link w:val="BalloonTextChar"/>
    <w:uiPriority w:val="99"/>
    <w:semiHidden/>
    <w:unhideWhenUsed/>
    <w:rsid w:val="00B72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D3"/>
    <w:rPr>
      <w:rFonts w:ascii="Tahoma" w:hAnsi="Tahoma" w:cs="Tahoma"/>
      <w:sz w:val="16"/>
      <w:szCs w:val="16"/>
      <w:lang w:val="en-US"/>
    </w:rPr>
  </w:style>
  <w:style w:type="table" w:styleId="TableGrid">
    <w:name w:val="Table Grid"/>
    <w:basedOn w:val="TableNormal"/>
    <w:uiPriority w:val="59"/>
    <w:rsid w:val="00B7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728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B728D3"/>
    <w:rPr>
      <w:sz w:val="16"/>
      <w:szCs w:val="16"/>
    </w:rPr>
  </w:style>
  <w:style w:type="paragraph" w:styleId="CommentText">
    <w:name w:val="annotation text"/>
    <w:basedOn w:val="Normal"/>
    <w:link w:val="CommentTextChar"/>
    <w:uiPriority w:val="99"/>
    <w:semiHidden/>
    <w:unhideWhenUsed/>
    <w:rsid w:val="00B728D3"/>
    <w:pPr>
      <w:spacing w:line="240" w:lineRule="auto"/>
    </w:pPr>
    <w:rPr>
      <w:sz w:val="20"/>
      <w:szCs w:val="20"/>
    </w:rPr>
  </w:style>
  <w:style w:type="character" w:customStyle="1" w:styleId="CommentTextChar">
    <w:name w:val="Comment Text Char"/>
    <w:basedOn w:val="DefaultParagraphFont"/>
    <w:link w:val="CommentText"/>
    <w:uiPriority w:val="99"/>
    <w:semiHidden/>
    <w:rsid w:val="00B728D3"/>
    <w:rPr>
      <w:rFonts w:ascii="Book Antiqua" w:hAnsi="Book Antiqua"/>
      <w:sz w:val="20"/>
      <w:szCs w:val="20"/>
      <w:lang w:val="en-US"/>
    </w:rPr>
  </w:style>
  <w:style w:type="paragraph" w:styleId="CommentSubject">
    <w:name w:val="annotation subject"/>
    <w:basedOn w:val="CommentText"/>
    <w:next w:val="CommentText"/>
    <w:link w:val="CommentSubjectChar"/>
    <w:uiPriority w:val="99"/>
    <w:semiHidden/>
    <w:unhideWhenUsed/>
    <w:rsid w:val="00B728D3"/>
    <w:rPr>
      <w:b/>
      <w:bCs/>
    </w:rPr>
  </w:style>
  <w:style w:type="character" w:customStyle="1" w:styleId="CommentSubjectChar">
    <w:name w:val="Comment Subject Char"/>
    <w:basedOn w:val="CommentTextChar"/>
    <w:link w:val="CommentSubject"/>
    <w:uiPriority w:val="99"/>
    <w:semiHidden/>
    <w:rsid w:val="00B728D3"/>
    <w:rPr>
      <w:rFonts w:ascii="Book Antiqua" w:hAnsi="Book Antiqua"/>
      <w:b/>
      <w:bCs/>
      <w:sz w:val="20"/>
      <w:szCs w:val="20"/>
      <w:lang w:val="en-US"/>
    </w:rPr>
  </w:style>
  <w:style w:type="paragraph" w:styleId="ListParagraph">
    <w:name w:val="List Paragraph"/>
    <w:basedOn w:val="Normal"/>
    <w:uiPriority w:val="34"/>
    <w:qFormat/>
    <w:rsid w:val="00B728D3"/>
    <w:pPr>
      <w:spacing w:line="276" w:lineRule="auto"/>
      <w:ind w:left="720"/>
      <w:contextualSpacing/>
      <w:jc w:val="left"/>
    </w:pPr>
    <w:rPr>
      <w:rFonts w:asciiTheme="minorHAnsi" w:hAnsiTheme="minorHAnsi"/>
      <w:sz w:val="22"/>
      <w:lang w:val="de-DE"/>
    </w:rPr>
  </w:style>
  <w:style w:type="character" w:styleId="Hyperlink">
    <w:name w:val="Hyperlink"/>
    <w:basedOn w:val="DefaultParagraphFont"/>
    <w:uiPriority w:val="99"/>
    <w:unhideWhenUsed/>
    <w:rsid w:val="001F3FF5"/>
    <w:rPr>
      <w:color w:val="0563C1" w:themeColor="hyperlink"/>
      <w:u w:val="single"/>
    </w:rPr>
  </w:style>
  <w:style w:type="paragraph" w:customStyle="1" w:styleId="1">
    <w:name w:val="正文1"/>
    <w:uiPriority w:val="99"/>
    <w:rsid w:val="00F041FF"/>
    <w:pPr>
      <w:spacing w:after="0" w:line="276" w:lineRule="auto"/>
    </w:pPr>
    <w:rPr>
      <w:rFonts w:ascii="Arial" w:eastAsia="SimSun" w:hAnsi="Arial" w:cs="Arial"/>
      <w:color w:val="000000"/>
      <w:szCs w:val="20"/>
      <w:lang w:val="pl-PL" w:eastAsia="pl-PL"/>
    </w:rPr>
  </w:style>
  <w:style w:type="paragraph" w:styleId="Header">
    <w:name w:val="header"/>
    <w:basedOn w:val="Normal"/>
    <w:link w:val="HeaderChar"/>
    <w:uiPriority w:val="99"/>
    <w:unhideWhenUsed/>
    <w:rsid w:val="0093741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37412"/>
    <w:rPr>
      <w:rFonts w:ascii="Book Antiqua" w:hAnsi="Book Antiqua"/>
      <w:sz w:val="18"/>
      <w:szCs w:val="18"/>
      <w:lang w:val="en-US"/>
    </w:rPr>
  </w:style>
  <w:style w:type="paragraph" w:styleId="Footer">
    <w:name w:val="footer"/>
    <w:basedOn w:val="Normal"/>
    <w:link w:val="FooterChar"/>
    <w:uiPriority w:val="99"/>
    <w:unhideWhenUsed/>
    <w:rsid w:val="00937412"/>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937412"/>
    <w:rPr>
      <w:rFonts w:ascii="Book Antiqua" w:hAnsi="Book Antiqu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B92B-3208-41CB-8C43-51E6E5BC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10992</Words>
  <Characters>62656</Characters>
  <Application>Microsoft Office Word</Application>
  <DocSecurity>0</DocSecurity>
  <Lines>522</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Universitätsklinikum Erlangen</Company>
  <LinksUpToDate>false</LinksUpToDate>
  <CharactersWithSpaces>73501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Billmeier</dc:creator>
  <cp:lastModifiedBy>LS Ma</cp:lastModifiedBy>
  <cp:revision>2</cp:revision>
  <dcterms:created xsi:type="dcterms:W3CDTF">2016-10-09T23:04:00Z</dcterms:created>
  <dcterms:modified xsi:type="dcterms:W3CDTF">2016-10-09T23:04:00Z</dcterms:modified>
</cp:coreProperties>
</file>