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6E304" w14:textId="26D263C4" w:rsidR="00884D09" w:rsidRPr="004447D2" w:rsidRDefault="00884D09" w:rsidP="00887EC2">
      <w:pPr>
        <w:spacing w:after="0" w:line="360" w:lineRule="auto"/>
        <w:jc w:val="both"/>
        <w:rPr>
          <w:rFonts w:ascii="Book Antiqua" w:hAnsi="Book Antiqua"/>
          <w:b/>
          <w:sz w:val="24"/>
          <w:szCs w:val="24"/>
          <w:lang w:val="en-US"/>
        </w:rPr>
      </w:pPr>
      <w:r w:rsidRPr="004447D2">
        <w:rPr>
          <w:rFonts w:ascii="Book Antiqua" w:hAnsi="Book Antiqua"/>
          <w:b/>
          <w:sz w:val="24"/>
          <w:szCs w:val="24"/>
          <w:lang w:val="en-US"/>
        </w:rPr>
        <w:t xml:space="preserve">Name of Journal: </w:t>
      </w:r>
      <w:r w:rsidRPr="004447D2">
        <w:rPr>
          <w:rFonts w:ascii="Book Antiqua" w:hAnsi="Book Antiqua"/>
          <w:b/>
          <w:i/>
          <w:sz w:val="24"/>
          <w:szCs w:val="24"/>
          <w:lang w:val="en-US"/>
        </w:rPr>
        <w:t>World Journal of Transplantation</w:t>
      </w:r>
    </w:p>
    <w:p w14:paraId="10FFEC9E" w14:textId="1E89A439" w:rsidR="00884D09" w:rsidRPr="004447D2" w:rsidRDefault="00884D09" w:rsidP="00887EC2">
      <w:pPr>
        <w:spacing w:after="0" w:line="360" w:lineRule="auto"/>
        <w:jc w:val="both"/>
        <w:rPr>
          <w:rFonts w:ascii="Book Antiqua" w:hAnsi="Book Antiqua"/>
          <w:b/>
          <w:sz w:val="24"/>
          <w:szCs w:val="24"/>
          <w:lang w:val="en-US"/>
        </w:rPr>
      </w:pPr>
      <w:r w:rsidRPr="004447D2">
        <w:rPr>
          <w:rFonts w:ascii="Book Antiqua" w:hAnsi="Book Antiqua"/>
          <w:b/>
          <w:sz w:val="24"/>
          <w:szCs w:val="24"/>
          <w:lang w:val="en-US"/>
        </w:rPr>
        <w:t>ESPS Manuscript NO:</w:t>
      </w:r>
      <w:bookmarkStart w:id="0" w:name="OLE_LINK177"/>
      <w:bookmarkStart w:id="1" w:name="OLE_LINK178"/>
      <w:r w:rsidRPr="004447D2">
        <w:rPr>
          <w:rFonts w:ascii="Book Antiqua" w:hAnsi="Book Antiqua"/>
          <w:b/>
          <w:sz w:val="24"/>
          <w:szCs w:val="24"/>
          <w:lang w:val="en-US"/>
        </w:rPr>
        <w:t xml:space="preserve"> </w:t>
      </w:r>
      <w:bookmarkStart w:id="2" w:name="OLE_LINK168"/>
      <w:bookmarkStart w:id="3" w:name="OLE_LINK169"/>
      <w:bookmarkStart w:id="4" w:name="OLE_LINK277"/>
      <w:r w:rsidRPr="004447D2">
        <w:rPr>
          <w:rFonts w:ascii="Book Antiqua" w:hAnsi="Book Antiqua"/>
          <w:b/>
          <w:sz w:val="24"/>
          <w:szCs w:val="24"/>
          <w:lang w:val="en-US"/>
        </w:rPr>
        <w:t>28777</w:t>
      </w:r>
      <w:bookmarkEnd w:id="0"/>
      <w:bookmarkEnd w:id="1"/>
      <w:bookmarkEnd w:id="2"/>
      <w:bookmarkEnd w:id="3"/>
      <w:bookmarkEnd w:id="4"/>
    </w:p>
    <w:p w14:paraId="66FB8A5F" w14:textId="56D7177C" w:rsidR="00884D09" w:rsidRPr="004447D2" w:rsidRDefault="00884D09" w:rsidP="00887EC2">
      <w:pPr>
        <w:spacing w:after="0" w:line="360" w:lineRule="auto"/>
        <w:jc w:val="both"/>
        <w:rPr>
          <w:rFonts w:ascii="Book Antiqua" w:hAnsi="Book Antiqua"/>
          <w:b/>
          <w:sz w:val="24"/>
          <w:szCs w:val="24"/>
          <w:lang w:val="en-US"/>
        </w:rPr>
      </w:pPr>
      <w:r w:rsidRPr="004447D2">
        <w:rPr>
          <w:rFonts w:ascii="Book Antiqua" w:hAnsi="Book Antiqua"/>
          <w:b/>
          <w:sz w:val="24"/>
          <w:szCs w:val="24"/>
          <w:lang w:val="en-US"/>
        </w:rPr>
        <w:t xml:space="preserve">Manuscript Type: </w:t>
      </w:r>
      <w:bookmarkStart w:id="5" w:name="OLE_LINK185"/>
      <w:bookmarkStart w:id="6" w:name="OLE_LINK186"/>
      <w:bookmarkStart w:id="7" w:name="OLE_LINK187"/>
      <w:bookmarkStart w:id="8" w:name="OLE_LINK218"/>
      <w:r w:rsidRPr="004447D2">
        <w:rPr>
          <w:rFonts w:ascii="Book Antiqua" w:hAnsi="Book Antiqua"/>
          <w:b/>
          <w:sz w:val="24"/>
          <w:szCs w:val="24"/>
          <w:lang w:val="en-US"/>
        </w:rPr>
        <w:t>Evidence-Based Medicine</w:t>
      </w:r>
      <w:bookmarkEnd w:id="5"/>
      <w:bookmarkEnd w:id="6"/>
      <w:bookmarkEnd w:id="7"/>
      <w:bookmarkEnd w:id="8"/>
    </w:p>
    <w:p w14:paraId="14ACE1CA" w14:textId="77777777" w:rsidR="00884D09" w:rsidRPr="004447D2" w:rsidRDefault="00884D09" w:rsidP="00887EC2">
      <w:pPr>
        <w:spacing w:after="0" w:line="360" w:lineRule="auto"/>
        <w:jc w:val="both"/>
        <w:rPr>
          <w:rFonts w:ascii="Book Antiqua" w:hAnsi="Book Antiqua"/>
          <w:b/>
          <w:sz w:val="24"/>
          <w:szCs w:val="24"/>
          <w:lang w:val="en-US" w:eastAsia="zh-CN"/>
        </w:rPr>
      </w:pPr>
    </w:p>
    <w:p w14:paraId="57CA046A" w14:textId="697004A5" w:rsidR="0080333C" w:rsidRPr="004447D2" w:rsidRDefault="00884D09" w:rsidP="00887EC2">
      <w:pPr>
        <w:spacing w:after="0" w:line="360" w:lineRule="auto"/>
        <w:jc w:val="both"/>
        <w:rPr>
          <w:rFonts w:ascii="Book Antiqua" w:hAnsi="Book Antiqua"/>
          <w:b/>
          <w:sz w:val="24"/>
          <w:szCs w:val="24"/>
          <w:lang w:val="en-US"/>
        </w:rPr>
      </w:pPr>
      <w:bookmarkStart w:id="9" w:name="OLE_LINK167"/>
      <w:bookmarkStart w:id="10" w:name="OLE_LINK188"/>
      <w:bookmarkStart w:id="11" w:name="OLE_LINK278"/>
      <w:r w:rsidRPr="004447D2">
        <w:rPr>
          <w:rFonts w:ascii="Book Antiqua" w:hAnsi="Book Antiqua"/>
          <w:b/>
          <w:sz w:val="24"/>
          <w:szCs w:val="24"/>
          <w:lang w:val="en-US"/>
        </w:rPr>
        <w:t xml:space="preserve">Corticosteroid minimization in renal transplantation: </w:t>
      </w:r>
      <w:r w:rsidR="00E442AE" w:rsidRPr="004447D2">
        <w:rPr>
          <w:rFonts w:ascii="Book Antiqua" w:hAnsi="Book Antiqua"/>
          <w:b/>
          <w:sz w:val="24"/>
          <w:szCs w:val="24"/>
          <w:lang w:val="en-US"/>
        </w:rPr>
        <w:t>C</w:t>
      </w:r>
      <w:r w:rsidRPr="004447D2">
        <w:rPr>
          <w:rFonts w:ascii="Book Antiqua" w:hAnsi="Book Antiqua"/>
          <w:b/>
          <w:sz w:val="24"/>
          <w:szCs w:val="24"/>
          <w:lang w:val="en-US"/>
        </w:rPr>
        <w:t>areful patient selection enables feasibility</w:t>
      </w:r>
    </w:p>
    <w:bookmarkEnd w:id="9"/>
    <w:bookmarkEnd w:id="10"/>
    <w:bookmarkEnd w:id="11"/>
    <w:p w14:paraId="2F2D0BFA" w14:textId="680BA89F" w:rsidR="00E90B44" w:rsidRPr="004447D2" w:rsidRDefault="00E90B44" w:rsidP="00887EC2">
      <w:pPr>
        <w:spacing w:after="0" w:line="360" w:lineRule="auto"/>
        <w:jc w:val="both"/>
        <w:rPr>
          <w:rFonts w:ascii="Book Antiqua" w:hAnsi="Book Antiqua"/>
          <w:b/>
          <w:sz w:val="24"/>
          <w:szCs w:val="24"/>
          <w:lang w:val="en-US"/>
        </w:rPr>
      </w:pPr>
    </w:p>
    <w:p w14:paraId="2250D4A0" w14:textId="039B3FB0" w:rsidR="00E90B44" w:rsidRPr="004447D2" w:rsidRDefault="00E442AE" w:rsidP="00887EC2">
      <w:pPr>
        <w:spacing w:after="0" w:line="360" w:lineRule="auto"/>
        <w:jc w:val="both"/>
        <w:rPr>
          <w:rFonts w:ascii="Book Antiqua" w:hAnsi="Book Antiqua"/>
          <w:sz w:val="24"/>
          <w:szCs w:val="24"/>
          <w:lang w:val="en-US"/>
        </w:rPr>
      </w:pPr>
      <w:proofErr w:type="spellStart"/>
      <w:r w:rsidRPr="004447D2">
        <w:rPr>
          <w:rFonts w:ascii="Book Antiqua" w:eastAsia="MS Mincho" w:hAnsi="Book Antiqua"/>
          <w:color w:val="000000"/>
          <w:sz w:val="24"/>
          <w:szCs w:val="24"/>
          <w:lang w:val="en-US" w:eastAsia="ja-JP"/>
        </w:rPr>
        <w:t>Vlachopanos</w:t>
      </w:r>
      <w:proofErr w:type="spellEnd"/>
      <w:r w:rsidRPr="004447D2">
        <w:rPr>
          <w:rFonts w:ascii="Book Antiqua" w:hAnsi="Book Antiqua"/>
          <w:sz w:val="24"/>
          <w:szCs w:val="24"/>
          <w:lang w:val="en-US"/>
        </w:rPr>
        <w:t xml:space="preserve"> </w:t>
      </w:r>
      <w:r w:rsidR="002075F2" w:rsidRPr="004447D2">
        <w:rPr>
          <w:rFonts w:ascii="Book Antiqua" w:hAnsi="Book Antiqua"/>
          <w:sz w:val="24"/>
          <w:szCs w:val="24"/>
          <w:lang w:val="en-US" w:eastAsia="zh-CN"/>
        </w:rPr>
        <w:t>G</w:t>
      </w:r>
      <w:r w:rsidRPr="004447D2">
        <w:rPr>
          <w:rFonts w:ascii="Book Antiqua" w:hAnsi="Book Antiqua"/>
          <w:sz w:val="24"/>
          <w:szCs w:val="24"/>
          <w:lang w:val="en-US" w:eastAsia="zh-CN"/>
        </w:rPr>
        <w:t xml:space="preserve"> </w:t>
      </w:r>
      <w:r w:rsidRPr="004447D2">
        <w:rPr>
          <w:rFonts w:ascii="Book Antiqua" w:hAnsi="Book Antiqua"/>
          <w:i/>
          <w:sz w:val="24"/>
          <w:szCs w:val="24"/>
          <w:lang w:val="en-US" w:eastAsia="zh-CN"/>
        </w:rPr>
        <w:t>et al</w:t>
      </w:r>
      <w:r w:rsidRPr="004447D2">
        <w:rPr>
          <w:rFonts w:ascii="Book Antiqua" w:hAnsi="Book Antiqua"/>
          <w:sz w:val="24"/>
          <w:szCs w:val="24"/>
          <w:lang w:val="en-US" w:eastAsia="zh-CN"/>
        </w:rPr>
        <w:t xml:space="preserve">. </w:t>
      </w:r>
      <w:r w:rsidR="000005BB" w:rsidRPr="004447D2">
        <w:rPr>
          <w:rFonts w:ascii="Book Antiqua" w:hAnsi="Book Antiqua"/>
          <w:sz w:val="24"/>
          <w:szCs w:val="24"/>
          <w:lang w:val="en-US"/>
        </w:rPr>
        <w:t>Corticosteroid minimization in renal transplantation</w:t>
      </w:r>
    </w:p>
    <w:p w14:paraId="7C182853" w14:textId="77777777" w:rsidR="0080333C" w:rsidRPr="004447D2" w:rsidRDefault="0080333C" w:rsidP="00887EC2">
      <w:pPr>
        <w:spacing w:after="0" w:line="360" w:lineRule="auto"/>
        <w:jc w:val="both"/>
        <w:rPr>
          <w:rFonts w:ascii="Book Antiqua" w:hAnsi="Book Antiqua"/>
          <w:b/>
          <w:sz w:val="24"/>
          <w:szCs w:val="24"/>
          <w:lang w:val="en-US" w:eastAsia="zh-CN"/>
        </w:rPr>
      </w:pPr>
    </w:p>
    <w:p w14:paraId="29AC968E" w14:textId="4F62B6A3" w:rsidR="00394777" w:rsidRPr="004447D2" w:rsidRDefault="00394777" w:rsidP="00887EC2">
      <w:pPr>
        <w:spacing w:after="0" w:line="360" w:lineRule="auto"/>
        <w:jc w:val="both"/>
        <w:rPr>
          <w:rFonts w:ascii="Book Antiqua" w:hAnsi="Book Antiqua"/>
          <w:b/>
          <w:bCs/>
          <w:sz w:val="24"/>
          <w:szCs w:val="24"/>
          <w:lang w:val="en-US" w:eastAsia="zh-CN"/>
        </w:rPr>
      </w:pPr>
      <w:bookmarkStart w:id="12" w:name="OLE_LINK279"/>
      <w:bookmarkStart w:id="13" w:name="OLE_LINK280"/>
      <w:r w:rsidRPr="004447D2">
        <w:rPr>
          <w:rFonts w:ascii="Book Antiqua" w:eastAsia="MS Mincho" w:hAnsi="Book Antiqua"/>
          <w:b/>
          <w:color w:val="000000"/>
          <w:sz w:val="24"/>
          <w:szCs w:val="24"/>
          <w:lang w:val="en-US" w:eastAsia="ja-JP"/>
        </w:rPr>
        <w:t xml:space="preserve">Georgios </w:t>
      </w:r>
      <w:proofErr w:type="spellStart"/>
      <w:r w:rsidRPr="004447D2">
        <w:rPr>
          <w:rFonts w:ascii="Book Antiqua" w:eastAsia="MS Mincho" w:hAnsi="Book Antiqua"/>
          <w:b/>
          <w:color w:val="000000"/>
          <w:sz w:val="24"/>
          <w:szCs w:val="24"/>
          <w:lang w:val="en-US" w:eastAsia="ja-JP"/>
        </w:rPr>
        <w:t>Vlachopanos</w:t>
      </w:r>
      <w:proofErr w:type="spellEnd"/>
      <w:r w:rsidRPr="004447D2">
        <w:rPr>
          <w:rFonts w:ascii="Book Antiqua" w:hAnsi="Book Antiqua"/>
          <w:b/>
          <w:bCs/>
          <w:sz w:val="24"/>
          <w:szCs w:val="24"/>
          <w:lang w:val="en-US"/>
        </w:rPr>
        <w:t xml:space="preserve">, Julie M </w:t>
      </w:r>
      <w:proofErr w:type="spellStart"/>
      <w:r w:rsidRPr="004447D2">
        <w:rPr>
          <w:rFonts w:ascii="Book Antiqua" w:hAnsi="Book Antiqua"/>
          <w:b/>
          <w:bCs/>
          <w:sz w:val="24"/>
          <w:szCs w:val="24"/>
          <w:lang w:val="en-US"/>
        </w:rPr>
        <w:t>Bridson</w:t>
      </w:r>
      <w:proofErr w:type="spellEnd"/>
      <w:r w:rsidRPr="004447D2">
        <w:rPr>
          <w:rFonts w:ascii="Book Antiqua" w:hAnsi="Book Antiqua"/>
          <w:b/>
          <w:bCs/>
          <w:sz w:val="24"/>
          <w:szCs w:val="24"/>
          <w:lang w:val="en-US"/>
        </w:rPr>
        <w:t xml:space="preserve">, Ajay Sharma, Ahmed </w:t>
      </w:r>
      <w:proofErr w:type="spellStart"/>
      <w:r w:rsidRPr="004447D2">
        <w:rPr>
          <w:rFonts w:ascii="Book Antiqua" w:hAnsi="Book Antiqua"/>
          <w:b/>
          <w:bCs/>
          <w:sz w:val="24"/>
          <w:szCs w:val="24"/>
          <w:lang w:val="en-US"/>
        </w:rPr>
        <w:t>Halawa</w:t>
      </w:r>
      <w:proofErr w:type="spellEnd"/>
    </w:p>
    <w:bookmarkEnd w:id="12"/>
    <w:bookmarkEnd w:id="13"/>
    <w:p w14:paraId="181AF0BC" w14:textId="77777777" w:rsidR="00E442AE" w:rsidRPr="004447D2" w:rsidRDefault="00E442AE" w:rsidP="00887EC2">
      <w:pPr>
        <w:spacing w:after="0" w:line="360" w:lineRule="auto"/>
        <w:jc w:val="both"/>
        <w:rPr>
          <w:rFonts w:ascii="Book Antiqua" w:hAnsi="Book Antiqua"/>
          <w:b/>
          <w:bCs/>
          <w:sz w:val="24"/>
          <w:szCs w:val="24"/>
          <w:lang w:val="en-US" w:eastAsia="zh-CN"/>
        </w:rPr>
      </w:pPr>
    </w:p>
    <w:p w14:paraId="5F44D29F" w14:textId="1DDD9B65" w:rsidR="00F400C9" w:rsidRPr="004447D2" w:rsidRDefault="00E442AE" w:rsidP="00887EC2">
      <w:pPr>
        <w:spacing w:after="0" w:line="360" w:lineRule="auto"/>
        <w:jc w:val="both"/>
        <w:rPr>
          <w:rFonts w:ascii="Book Antiqua" w:hAnsi="Book Antiqua"/>
          <w:sz w:val="24"/>
          <w:szCs w:val="24"/>
          <w:lang w:val="en-US" w:eastAsia="zh-CN"/>
        </w:rPr>
      </w:pPr>
      <w:r w:rsidRPr="004447D2">
        <w:rPr>
          <w:rFonts w:ascii="Book Antiqua" w:eastAsia="MS Mincho" w:hAnsi="Book Antiqua"/>
          <w:b/>
          <w:color w:val="000000"/>
          <w:sz w:val="24"/>
          <w:szCs w:val="24"/>
          <w:lang w:val="en-US" w:eastAsia="ja-JP"/>
        </w:rPr>
        <w:t xml:space="preserve">Georgios </w:t>
      </w:r>
      <w:proofErr w:type="spellStart"/>
      <w:r w:rsidRPr="004447D2">
        <w:rPr>
          <w:rFonts w:ascii="Book Antiqua" w:eastAsia="MS Mincho" w:hAnsi="Book Antiqua"/>
          <w:b/>
          <w:color w:val="000000"/>
          <w:sz w:val="24"/>
          <w:szCs w:val="24"/>
          <w:lang w:val="en-US" w:eastAsia="ja-JP"/>
        </w:rPr>
        <w:t>Vlachopanos</w:t>
      </w:r>
      <w:proofErr w:type="spellEnd"/>
      <w:r w:rsidRPr="004447D2">
        <w:rPr>
          <w:rFonts w:ascii="Book Antiqua" w:hAnsi="Book Antiqua"/>
          <w:b/>
          <w:color w:val="000000"/>
          <w:sz w:val="24"/>
          <w:szCs w:val="24"/>
          <w:lang w:val="en-US" w:eastAsia="zh-CN"/>
        </w:rPr>
        <w:t xml:space="preserve">, </w:t>
      </w:r>
      <w:r w:rsidR="00D87E3D" w:rsidRPr="004447D2">
        <w:rPr>
          <w:rFonts w:ascii="Book Antiqua" w:hAnsi="Book Antiqua"/>
          <w:sz w:val="24"/>
          <w:szCs w:val="24"/>
          <w:lang w:val="en-US"/>
        </w:rPr>
        <w:t xml:space="preserve">Department of Nephrology, </w:t>
      </w:r>
      <w:proofErr w:type="spellStart"/>
      <w:r w:rsidR="00D87E3D" w:rsidRPr="004447D2">
        <w:rPr>
          <w:rFonts w:ascii="Book Antiqua" w:hAnsi="Book Antiqua"/>
          <w:sz w:val="24"/>
          <w:szCs w:val="24"/>
          <w:lang w:val="en-US"/>
        </w:rPr>
        <w:t>Rethymnon</w:t>
      </w:r>
      <w:proofErr w:type="spellEnd"/>
      <w:r w:rsidR="00D87E3D" w:rsidRPr="004447D2">
        <w:rPr>
          <w:rFonts w:ascii="Book Antiqua" w:hAnsi="Book Antiqua"/>
          <w:sz w:val="24"/>
          <w:szCs w:val="24"/>
          <w:lang w:val="en-US"/>
        </w:rPr>
        <w:t xml:space="preserve"> General Hospital, </w:t>
      </w:r>
      <w:r w:rsidRPr="004447D2">
        <w:rPr>
          <w:rFonts w:ascii="Book Antiqua" w:hAnsi="Book Antiqua"/>
          <w:sz w:val="24"/>
          <w:szCs w:val="24"/>
          <w:lang w:val="en-US"/>
        </w:rPr>
        <w:t>74100</w:t>
      </w:r>
      <w:r w:rsidRPr="004447D2">
        <w:rPr>
          <w:rFonts w:ascii="Book Antiqua" w:hAnsi="Book Antiqua"/>
          <w:sz w:val="24"/>
          <w:szCs w:val="24"/>
          <w:lang w:val="en-US" w:eastAsia="zh-CN"/>
        </w:rPr>
        <w:t xml:space="preserve"> </w:t>
      </w:r>
      <w:proofErr w:type="spellStart"/>
      <w:r w:rsidR="00D87E3D" w:rsidRPr="004447D2">
        <w:rPr>
          <w:rFonts w:ascii="Book Antiqua" w:hAnsi="Book Antiqua"/>
          <w:sz w:val="24"/>
          <w:szCs w:val="24"/>
          <w:lang w:val="en-US"/>
        </w:rPr>
        <w:t>Rethymnon</w:t>
      </w:r>
      <w:proofErr w:type="spellEnd"/>
      <w:r w:rsidR="00D87E3D" w:rsidRPr="004447D2">
        <w:rPr>
          <w:rFonts w:ascii="Book Antiqua" w:hAnsi="Book Antiqua"/>
          <w:sz w:val="24"/>
          <w:szCs w:val="24"/>
          <w:lang w:val="en-US"/>
        </w:rPr>
        <w:t>, Greece</w:t>
      </w:r>
    </w:p>
    <w:p w14:paraId="599F2E3B" w14:textId="77777777" w:rsidR="00E442AE" w:rsidRPr="004447D2" w:rsidRDefault="00E442AE" w:rsidP="00887EC2">
      <w:pPr>
        <w:spacing w:after="0" w:line="360" w:lineRule="auto"/>
        <w:jc w:val="both"/>
        <w:rPr>
          <w:rFonts w:ascii="Book Antiqua" w:hAnsi="Book Antiqua"/>
          <w:b/>
          <w:bCs/>
          <w:sz w:val="24"/>
          <w:szCs w:val="24"/>
          <w:lang w:val="en-US" w:eastAsia="zh-CN"/>
        </w:rPr>
      </w:pPr>
    </w:p>
    <w:p w14:paraId="3CB3F37A" w14:textId="386A5F8C" w:rsidR="00E442AE" w:rsidRPr="004447D2" w:rsidRDefault="00E442AE" w:rsidP="00887EC2">
      <w:pPr>
        <w:spacing w:after="0" w:line="360" w:lineRule="auto"/>
        <w:jc w:val="both"/>
        <w:rPr>
          <w:rFonts w:ascii="Book Antiqua" w:hAnsi="Book Antiqua"/>
          <w:color w:val="000000"/>
          <w:sz w:val="24"/>
          <w:szCs w:val="24"/>
          <w:lang w:val="en-US" w:eastAsia="zh-CN"/>
        </w:rPr>
      </w:pPr>
      <w:r w:rsidRPr="004447D2">
        <w:rPr>
          <w:rFonts w:ascii="Book Antiqua" w:eastAsia="MS Mincho" w:hAnsi="Book Antiqua"/>
          <w:b/>
          <w:color w:val="000000"/>
          <w:sz w:val="24"/>
          <w:szCs w:val="24"/>
          <w:lang w:val="en-US" w:eastAsia="ja-JP"/>
        </w:rPr>
        <w:t xml:space="preserve">Georgios </w:t>
      </w:r>
      <w:proofErr w:type="spellStart"/>
      <w:r w:rsidRPr="004447D2">
        <w:rPr>
          <w:rFonts w:ascii="Book Antiqua" w:eastAsia="MS Mincho" w:hAnsi="Book Antiqua"/>
          <w:b/>
          <w:color w:val="000000"/>
          <w:sz w:val="24"/>
          <w:szCs w:val="24"/>
          <w:lang w:val="en-US" w:eastAsia="ja-JP"/>
        </w:rPr>
        <w:t>Vlachopanos</w:t>
      </w:r>
      <w:proofErr w:type="spellEnd"/>
      <w:r w:rsidRPr="004447D2">
        <w:rPr>
          <w:rFonts w:ascii="Book Antiqua" w:hAnsi="Book Antiqua"/>
          <w:b/>
          <w:bCs/>
          <w:sz w:val="24"/>
          <w:szCs w:val="24"/>
          <w:lang w:val="en-US"/>
        </w:rPr>
        <w:t xml:space="preserve">, Julie M </w:t>
      </w:r>
      <w:proofErr w:type="spellStart"/>
      <w:r w:rsidRPr="004447D2">
        <w:rPr>
          <w:rFonts w:ascii="Book Antiqua" w:hAnsi="Book Antiqua"/>
          <w:b/>
          <w:bCs/>
          <w:sz w:val="24"/>
          <w:szCs w:val="24"/>
          <w:lang w:val="en-US"/>
        </w:rPr>
        <w:t>Bridson</w:t>
      </w:r>
      <w:proofErr w:type="spellEnd"/>
      <w:r w:rsidRPr="004447D2">
        <w:rPr>
          <w:rFonts w:ascii="Book Antiqua" w:hAnsi="Book Antiqua"/>
          <w:b/>
          <w:bCs/>
          <w:sz w:val="24"/>
          <w:szCs w:val="24"/>
          <w:lang w:val="en-US"/>
        </w:rPr>
        <w:t xml:space="preserve">, Ajay Sharma, Ahmed </w:t>
      </w:r>
      <w:proofErr w:type="spellStart"/>
      <w:r w:rsidRPr="004447D2">
        <w:rPr>
          <w:rFonts w:ascii="Book Antiqua" w:hAnsi="Book Antiqua"/>
          <w:b/>
          <w:bCs/>
          <w:sz w:val="24"/>
          <w:szCs w:val="24"/>
          <w:lang w:val="en-US"/>
        </w:rPr>
        <w:t>Halawa</w:t>
      </w:r>
      <w:proofErr w:type="spellEnd"/>
      <w:r w:rsidRPr="004447D2">
        <w:rPr>
          <w:rFonts w:ascii="Book Antiqua" w:hAnsi="Book Antiqua"/>
          <w:b/>
          <w:bCs/>
          <w:sz w:val="24"/>
          <w:szCs w:val="24"/>
          <w:lang w:val="en-US" w:eastAsia="zh-CN"/>
        </w:rPr>
        <w:t>,</w:t>
      </w:r>
      <w:r w:rsidR="00AB141C" w:rsidRPr="004447D2">
        <w:rPr>
          <w:rFonts w:ascii="Book Antiqua" w:hAnsi="Book Antiqua"/>
          <w:b/>
          <w:bCs/>
          <w:i/>
          <w:sz w:val="24"/>
          <w:szCs w:val="24"/>
          <w:lang w:val="en-US" w:eastAsia="zh-CN"/>
        </w:rPr>
        <w:t xml:space="preserve"> </w:t>
      </w:r>
      <w:r w:rsidR="00167663" w:rsidRPr="004447D2">
        <w:rPr>
          <w:rFonts w:ascii="Book Antiqua" w:hAnsi="Book Antiqua"/>
          <w:color w:val="000000"/>
          <w:sz w:val="24"/>
          <w:szCs w:val="24"/>
          <w:lang w:val="en-US"/>
        </w:rPr>
        <w:t xml:space="preserve">Faculty </w:t>
      </w:r>
      <w:r w:rsidR="00D87E3D" w:rsidRPr="004447D2">
        <w:rPr>
          <w:rFonts w:ascii="Book Antiqua" w:hAnsi="Book Antiqua"/>
          <w:color w:val="000000"/>
          <w:sz w:val="24"/>
          <w:szCs w:val="24"/>
          <w:lang w:val="en-US"/>
        </w:rPr>
        <w:t xml:space="preserve">of Health and </w:t>
      </w:r>
      <w:r w:rsidR="00167663" w:rsidRPr="004447D2">
        <w:rPr>
          <w:rFonts w:ascii="Book Antiqua" w:hAnsi="Book Antiqua"/>
          <w:color w:val="000000"/>
          <w:sz w:val="24"/>
          <w:szCs w:val="24"/>
          <w:lang w:val="en-US"/>
        </w:rPr>
        <w:t xml:space="preserve">Life </w:t>
      </w:r>
      <w:r w:rsidR="00D87E3D" w:rsidRPr="004447D2">
        <w:rPr>
          <w:rFonts w:ascii="Book Antiqua" w:hAnsi="Book Antiqua"/>
          <w:color w:val="000000"/>
          <w:sz w:val="24"/>
          <w:szCs w:val="24"/>
          <w:lang w:val="en-US"/>
        </w:rPr>
        <w:t>Science</w:t>
      </w:r>
      <w:r w:rsidR="00167663" w:rsidRPr="004447D2">
        <w:rPr>
          <w:rFonts w:ascii="Book Antiqua" w:hAnsi="Book Antiqua"/>
          <w:color w:val="000000"/>
          <w:sz w:val="24"/>
          <w:szCs w:val="24"/>
          <w:lang w:val="en-US"/>
        </w:rPr>
        <w:t>s</w:t>
      </w:r>
      <w:r w:rsidR="00D87E3D" w:rsidRPr="004447D2">
        <w:rPr>
          <w:rFonts w:ascii="Book Antiqua" w:hAnsi="Book Antiqua"/>
          <w:color w:val="000000"/>
          <w:sz w:val="24"/>
          <w:szCs w:val="24"/>
          <w:lang w:val="en-US"/>
        </w:rPr>
        <w:t xml:space="preserve">, </w:t>
      </w:r>
      <w:r w:rsidR="00D87E3D" w:rsidRPr="004447D2">
        <w:rPr>
          <w:rFonts w:ascii="Book Antiqua" w:hAnsi="Book Antiqua"/>
          <w:sz w:val="24"/>
          <w:szCs w:val="24"/>
          <w:lang w:val="en-US"/>
        </w:rPr>
        <w:t xml:space="preserve">Institute of Learning and Teaching, </w:t>
      </w:r>
      <w:r w:rsidR="00D87E3D" w:rsidRPr="004447D2">
        <w:rPr>
          <w:rFonts w:ascii="Book Antiqua" w:hAnsi="Book Antiqua"/>
          <w:color w:val="000000"/>
          <w:sz w:val="24"/>
          <w:szCs w:val="24"/>
          <w:lang w:val="en-US"/>
        </w:rPr>
        <w:t xml:space="preserve">University of Liverpool, </w:t>
      </w:r>
      <w:r w:rsidR="000005BB" w:rsidRPr="004447D2">
        <w:rPr>
          <w:rFonts w:ascii="Book Antiqua" w:hAnsi="Book Antiqua"/>
          <w:color w:val="000000"/>
          <w:sz w:val="24"/>
          <w:szCs w:val="24"/>
          <w:lang w:val="en-US"/>
        </w:rPr>
        <w:t>Liverpool</w:t>
      </w:r>
      <w:r w:rsidR="00A11284" w:rsidRPr="004447D2">
        <w:rPr>
          <w:rFonts w:ascii="Book Antiqua" w:hAnsi="Book Antiqua"/>
          <w:color w:val="000000"/>
          <w:sz w:val="24"/>
          <w:szCs w:val="24"/>
          <w:lang w:val="en-US"/>
        </w:rPr>
        <w:t xml:space="preserve"> L69 3BX</w:t>
      </w:r>
      <w:r w:rsidR="000005BB" w:rsidRPr="004447D2">
        <w:rPr>
          <w:rFonts w:ascii="Book Antiqua" w:hAnsi="Book Antiqua"/>
          <w:color w:val="000000"/>
          <w:sz w:val="24"/>
          <w:szCs w:val="24"/>
          <w:lang w:val="en-US"/>
        </w:rPr>
        <w:t xml:space="preserve">, </w:t>
      </w:r>
      <w:bookmarkStart w:id="14" w:name="OLE_LINK184"/>
      <w:r w:rsidR="00D87E3D" w:rsidRPr="004447D2">
        <w:rPr>
          <w:rFonts w:ascii="Book Antiqua" w:hAnsi="Book Antiqua"/>
          <w:color w:val="000000"/>
          <w:sz w:val="24"/>
          <w:szCs w:val="24"/>
          <w:lang w:val="en-US"/>
        </w:rPr>
        <w:t>U</w:t>
      </w:r>
      <w:r w:rsidRPr="004447D2">
        <w:rPr>
          <w:rFonts w:ascii="Book Antiqua" w:hAnsi="Book Antiqua"/>
          <w:color w:val="000000"/>
          <w:sz w:val="24"/>
          <w:szCs w:val="24"/>
          <w:lang w:val="en-US" w:eastAsia="zh-CN"/>
        </w:rPr>
        <w:t xml:space="preserve">nited </w:t>
      </w:r>
      <w:r w:rsidR="00D87E3D" w:rsidRPr="004447D2">
        <w:rPr>
          <w:rFonts w:ascii="Book Antiqua" w:hAnsi="Book Antiqua"/>
          <w:color w:val="000000"/>
          <w:sz w:val="24"/>
          <w:szCs w:val="24"/>
          <w:lang w:val="en-US"/>
        </w:rPr>
        <w:t>K</w:t>
      </w:r>
      <w:r w:rsidRPr="004447D2">
        <w:rPr>
          <w:rFonts w:ascii="Book Antiqua" w:hAnsi="Book Antiqua"/>
          <w:color w:val="000000"/>
          <w:sz w:val="24"/>
          <w:szCs w:val="24"/>
          <w:lang w:val="en-US" w:eastAsia="zh-CN"/>
        </w:rPr>
        <w:t>ingdom</w:t>
      </w:r>
      <w:bookmarkEnd w:id="14"/>
    </w:p>
    <w:p w14:paraId="4E8DC60A" w14:textId="30ADFE68" w:rsidR="00E442AE" w:rsidRPr="004447D2" w:rsidRDefault="00AB141C" w:rsidP="00887EC2">
      <w:pPr>
        <w:spacing w:after="0" w:line="360" w:lineRule="auto"/>
        <w:jc w:val="both"/>
        <w:rPr>
          <w:rFonts w:ascii="Book Antiqua" w:hAnsi="Book Antiqua"/>
          <w:color w:val="000000"/>
          <w:sz w:val="24"/>
          <w:szCs w:val="24"/>
          <w:lang w:val="en-US" w:eastAsia="zh-CN"/>
        </w:rPr>
      </w:pPr>
      <w:r w:rsidRPr="004447D2">
        <w:rPr>
          <w:rFonts w:ascii="Book Antiqua" w:hAnsi="Book Antiqua"/>
          <w:i/>
          <w:color w:val="000000"/>
          <w:sz w:val="24"/>
          <w:szCs w:val="24"/>
          <w:lang w:val="en-US"/>
        </w:rPr>
        <w:t xml:space="preserve"> </w:t>
      </w:r>
      <w:r w:rsidR="00D87E3D" w:rsidRPr="004447D2">
        <w:rPr>
          <w:rFonts w:ascii="Book Antiqua" w:hAnsi="Book Antiqua"/>
          <w:color w:val="000000"/>
          <w:sz w:val="24"/>
          <w:szCs w:val="24"/>
          <w:lang w:val="en-US"/>
        </w:rPr>
        <w:t xml:space="preserve"> </w:t>
      </w:r>
    </w:p>
    <w:p w14:paraId="6433FBC4" w14:textId="53A35A67" w:rsidR="00D87E3D" w:rsidRPr="004447D2" w:rsidRDefault="00E442AE" w:rsidP="00887EC2">
      <w:pPr>
        <w:spacing w:after="0" w:line="360" w:lineRule="auto"/>
        <w:jc w:val="both"/>
        <w:rPr>
          <w:rFonts w:ascii="Book Antiqua" w:hAnsi="Book Antiqua"/>
          <w:color w:val="000000"/>
          <w:sz w:val="24"/>
          <w:szCs w:val="24"/>
          <w:lang w:val="en-US" w:eastAsia="zh-CN"/>
        </w:rPr>
      </w:pPr>
      <w:r w:rsidRPr="004447D2">
        <w:rPr>
          <w:rFonts w:ascii="Book Antiqua" w:hAnsi="Book Antiqua"/>
          <w:b/>
          <w:bCs/>
          <w:sz w:val="24"/>
          <w:szCs w:val="24"/>
          <w:lang w:val="en-US"/>
        </w:rPr>
        <w:t>Ajay Sharma</w:t>
      </w:r>
      <w:r w:rsidRPr="004447D2">
        <w:rPr>
          <w:rFonts w:ascii="Book Antiqua" w:hAnsi="Book Antiqua"/>
          <w:b/>
          <w:bCs/>
          <w:sz w:val="24"/>
          <w:szCs w:val="24"/>
          <w:lang w:val="en-US" w:eastAsia="zh-CN"/>
        </w:rPr>
        <w:t xml:space="preserve">, </w:t>
      </w:r>
      <w:r w:rsidR="00167663" w:rsidRPr="004447D2">
        <w:rPr>
          <w:rFonts w:ascii="Book Antiqua" w:hAnsi="Book Antiqua"/>
          <w:bCs/>
          <w:sz w:val="24"/>
          <w:szCs w:val="24"/>
          <w:lang w:val="en-US" w:eastAsia="zh-CN"/>
        </w:rPr>
        <w:t xml:space="preserve">Department of Transplantation, </w:t>
      </w:r>
      <w:r w:rsidR="00D87E3D" w:rsidRPr="004447D2">
        <w:rPr>
          <w:rFonts w:ascii="Book Antiqua" w:hAnsi="Book Antiqua"/>
          <w:color w:val="000000"/>
          <w:sz w:val="24"/>
          <w:szCs w:val="24"/>
          <w:lang w:val="en-US"/>
        </w:rPr>
        <w:t>Royal Liverpool University Hospital, Liverpool</w:t>
      </w:r>
      <w:r w:rsidR="00A11284" w:rsidRPr="004447D2">
        <w:rPr>
          <w:rFonts w:ascii="Book Antiqua" w:hAnsi="Book Antiqua"/>
          <w:color w:val="000000"/>
          <w:sz w:val="24"/>
          <w:szCs w:val="24"/>
          <w:lang w:val="en-US"/>
        </w:rPr>
        <w:t xml:space="preserve"> L7 8XP</w:t>
      </w:r>
      <w:r w:rsidR="00D87E3D" w:rsidRPr="004447D2">
        <w:rPr>
          <w:rFonts w:ascii="Book Antiqua" w:hAnsi="Book Antiqua"/>
          <w:color w:val="000000"/>
          <w:sz w:val="24"/>
          <w:szCs w:val="24"/>
          <w:lang w:val="en-US"/>
        </w:rPr>
        <w:t xml:space="preserve">, </w:t>
      </w:r>
      <w:r w:rsidRPr="004447D2">
        <w:rPr>
          <w:rFonts w:ascii="Book Antiqua" w:hAnsi="Book Antiqua"/>
          <w:color w:val="000000"/>
          <w:sz w:val="24"/>
          <w:szCs w:val="24"/>
          <w:lang w:val="en-US"/>
        </w:rPr>
        <w:t>U</w:t>
      </w:r>
      <w:r w:rsidRPr="004447D2">
        <w:rPr>
          <w:rFonts w:ascii="Book Antiqua" w:hAnsi="Book Antiqua"/>
          <w:color w:val="000000"/>
          <w:sz w:val="24"/>
          <w:szCs w:val="24"/>
          <w:lang w:val="en-US" w:eastAsia="zh-CN"/>
        </w:rPr>
        <w:t xml:space="preserve">nited </w:t>
      </w:r>
      <w:r w:rsidRPr="004447D2">
        <w:rPr>
          <w:rFonts w:ascii="Book Antiqua" w:hAnsi="Book Antiqua"/>
          <w:color w:val="000000"/>
          <w:sz w:val="24"/>
          <w:szCs w:val="24"/>
          <w:lang w:val="en-US"/>
        </w:rPr>
        <w:t>K</w:t>
      </w:r>
      <w:r w:rsidRPr="004447D2">
        <w:rPr>
          <w:rFonts w:ascii="Book Antiqua" w:hAnsi="Book Antiqua"/>
          <w:color w:val="000000"/>
          <w:sz w:val="24"/>
          <w:szCs w:val="24"/>
          <w:lang w:val="en-US" w:eastAsia="zh-CN"/>
        </w:rPr>
        <w:t>ingdom</w:t>
      </w:r>
    </w:p>
    <w:p w14:paraId="0BDE5B9A" w14:textId="77777777" w:rsidR="00E442AE" w:rsidRPr="004447D2" w:rsidRDefault="00E442AE" w:rsidP="00887EC2">
      <w:pPr>
        <w:spacing w:after="0" w:line="360" w:lineRule="auto"/>
        <w:jc w:val="both"/>
        <w:rPr>
          <w:rFonts w:ascii="Book Antiqua" w:hAnsi="Book Antiqua"/>
          <w:b/>
          <w:bCs/>
          <w:sz w:val="24"/>
          <w:szCs w:val="24"/>
          <w:vertAlign w:val="superscript"/>
          <w:lang w:val="en-US" w:eastAsia="zh-CN"/>
        </w:rPr>
      </w:pPr>
    </w:p>
    <w:p w14:paraId="394E6C9D" w14:textId="609D82A5" w:rsidR="00D87E3D" w:rsidRPr="004447D2" w:rsidRDefault="00E442AE" w:rsidP="00887EC2">
      <w:pPr>
        <w:spacing w:after="0" w:line="360" w:lineRule="auto"/>
        <w:jc w:val="both"/>
        <w:rPr>
          <w:rFonts w:ascii="Book Antiqua" w:hAnsi="Book Antiqua"/>
          <w:b/>
          <w:bCs/>
          <w:sz w:val="24"/>
          <w:szCs w:val="24"/>
          <w:vertAlign w:val="superscript"/>
          <w:lang w:val="en-US" w:eastAsia="zh-CN"/>
        </w:rPr>
      </w:pPr>
      <w:r w:rsidRPr="004447D2">
        <w:rPr>
          <w:rFonts w:ascii="Book Antiqua" w:hAnsi="Book Antiqua"/>
          <w:b/>
          <w:bCs/>
          <w:sz w:val="24"/>
          <w:szCs w:val="24"/>
          <w:lang w:val="en-US"/>
        </w:rPr>
        <w:t xml:space="preserve">Ahmed </w:t>
      </w:r>
      <w:proofErr w:type="spellStart"/>
      <w:r w:rsidRPr="004447D2">
        <w:rPr>
          <w:rFonts w:ascii="Book Antiqua" w:hAnsi="Book Antiqua"/>
          <w:b/>
          <w:bCs/>
          <w:sz w:val="24"/>
          <w:szCs w:val="24"/>
          <w:lang w:val="en-US"/>
        </w:rPr>
        <w:t>Halawa</w:t>
      </w:r>
      <w:proofErr w:type="spellEnd"/>
      <w:r w:rsidRPr="004447D2">
        <w:rPr>
          <w:rFonts w:ascii="Book Antiqua" w:hAnsi="Book Antiqua"/>
          <w:b/>
          <w:bCs/>
          <w:sz w:val="24"/>
          <w:szCs w:val="24"/>
          <w:lang w:val="en-US" w:eastAsia="zh-CN"/>
        </w:rPr>
        <w:t xml:space="preserve">, </w:t>
      </w:r>
      <w:r w:rsidR="00167663" w:rsidRPr="004447D2">
        <w:rPr>
          <w:rFonts w:ascii="Book Antiqua" w:hAnsi="Book Antiqua"/>
          <w:bCs/>
          <w:sz w:val="24"/>
          <w:szCs w:val="24"/>
          <w:lang w:val="en-US" w:eastAsia="zh-CN"/>
        </w:rPr>
        <w:t xml:space="preserve">Department of Transplantation, </w:t>
      </w:r>
      <w:r w:rsidR="00D87E3D" w:rsidRPr="004447D2">
        <w:rPr>
          <w:rFonts w:ascii="Book Antiqua" w:hAnsi="Book Antiqua"/>
          <w:color w:val="000000"/>
          <w:sz w:val="24"/>
          <w:szCs w:val="24"/>
          <w:lang w:val="en-US"/>
        </w:rPr>
        <w:t>Sheffield Teaching Hospitals, Sheffield</w:t>
      </w:r>
      <w:r w:rsidR="00A11284" w:rsidRPr="004447D2">
        <w:rPr>
          <w:rFonts w:ascii="Book Antiqua" w:hAnsi="Book Antiqua"/>
          <w:color w:val="000000"/>
          <w:sz w:val="24"/>
          <w:szCs w:val="24"/>
          <w:lang w:val="en-US"/>
        </w:rPr>
        <w:t xml:space="preserve"> S5 7AU</w:t>
      </w:r>
      <w:r w:rsidR="00D87E3D" w:rsidRPr="004447D2">
        <w:rPr>
          <w:rFonts w:ascii="Book Antiqua" w:hAnsi="Book Antiqua"/>
          <w:color w:val="000000"/>
          <w:sz w:val="24"/>
          <w:szCs w:val="24"/>
          <w:lang w:val="en-US"/>
        </w:rPr>
        <w:t xml:space="preserve">, </w:t>
      </w:r>
      <w:r w:rsidRPr="004447D2">
        <w:rPr>
          <w:rFonts w:ascii="Book Antiqua" w:hAnsi="Book Antiqua"/>
          <w:color w:val="000000"/>
          <w:sz w:val="24"/>
          <w:szCs w:val="24"/>
          <w:lang w:val="en-US"/>
        </w:rPr>
        <w:t>U</w:t>
      </w:r>
      <w:r w:rsidRPr="004447D2">
        <w:rPr>
          <w:rFonts w:ascii="Book Antiqua" w:hAnsi="Book Antiqua"/>
          <w:color w:val="000000"/>
          <w:sz w:val="24"/>
          <w:szCs w:val="24"/>
          <w:lang w:val="en-US" w:eastAsia="zh-CN"/>
        </w:rPr>
        <w:t xml:space="preserve">nited </w:t>
      </w:r>
      <w:r w:rsidRPr="004447D2">
        <w:rPr>
          <w:rFonts w:ascii="Book Antiqua" w:hAnsi="Book Antiqua"/>
          <w:color w:val="000000"/>
          <w:sz w:val="24"/>
          <w:szCs w:val="24"/>
          <w:lang w:val="en-US"/>
        </w:rPr>
        <w:t>K</w:t>
      </w:r>
      <w:r w:rsidRPr="004447D2">
        <w:rPr>
          <w:rFonts w:ascii="Book Antiqua" w:hAnsi="Book Antiqua"/>
          <w:color w:val="000000"/>
          <w:sz w:val="24"/>
          <w:szCs w:val="24"/>
          <w:lang w:val="en-US" w:eastAsia="zh-CN"/>
        </w:rPr>
        <w:t>ingdom</w:t>
      </w:r>
    </w:p>
    <w:p w14:paraId="20032C80" w14:textId="05B5CCD1" w:rsidR="00E90B44" w:rsidRPr="004447D2" w:rsidRDefault="00E90B44" w:rsidP="00887EC2">
      <w:pPr>
        <w:pStyle w:val="aa"/>
        <w:spacing w:after="0" w:line="360" w:lineRule="auto"/>
        <w:ind w:left="0"/>
        <w:jc w:val="both"/>
        <w:rPr>
          <w:rFonts w:ascii="Book Antiqua" w:hAnsi="Book Antiqua"/>
          <w:color w:val="000000"/>
          <w:sz w:val="24"/>
          <w:szCs w:val="24"/>
        </w:rPr>
      </w:pPr>
    </w:p>
    <w:p w14:paraId="0D434693" w14:textId="21DDE748" w:rsidR="003135D0" w:rsidRPr="004447D2" w:rsidRDefault="00330EA0" w:rsidP="00887EC2">
      <w:pPr>
        <w:spacing w:after="0" w:line="360" w:lineRule="auto"/>
        <w:jc w:val="both"/>
        <w:rPr>
          <w:rFonts w:ascii="Book Antiqua" w:hAnsi="Book Antiqua"/>
          <w:b/>
          <w:sz w:val="24"/>
          <w:szCs w:val="24"/>
          <w:lang w:val="en-US"/>
        </w:rPr>
      </w:pPr>
      <w:r w:rsidRPr="004447D2">
        <w:rPr>
          <w:rFonts w:ascii="Book Antiqua" w:hAnsi="Book Antiqua"/>
          <w:b/>
          <w:sz w:val="24"/>
          <w:szCs w:val="24"/>
          <w:lang w:val="en-US"/>
        </w:rPr>
        <w:t>Author contributions:</w:t>
      </w:r>
      <w:r w:rsidRPr="004447D2">
        <w:rPr>
          <w:rFonts w:ascii="Book Antiqua" w:hAnsi="Book Antiqua"/>
          <w:b/>
          <w:sz w:val="24"/>
          <w:szCs w:val="24"/>
          <w:lang w:val="en-US" w:eastAsia="zh-CN"/>
        </w:rPr>
        <w:t xml:space="preserve"> </w:t>
      </w:r>
      <w:r w:rsidR="00F605D8" w:rsidRPr="004447D2">
        <w:rPr>
          <w:rFonts w:ascii="Book Antiqua" w:hAnsi="Book Antiqua"/>
          <w:sz w:val="24"/>
          <w:szCs w:val="24"/>
          <w:lang w:val="en-US"/>
        </w:rPr>
        <w:t xml:space="preserve">All authors contributed to the conception and design of the review as well as giving final approval of the final version; </w:t>
      </w:r>
      <w:proofErr w:type="spellStart"/>
      <w:r w:rsidR="00F605D8" w:rsidRPr="004447D2">
        <w:rPr>
          <w:rFonts w:ascii="Book Antiqua" w:hAnsi="Book Antiqua"/>
          <w:sz w:val="24"/>
          <w:szCs w:val="24"/>
          <w:lang w:val="en-US"/>
        </w:rPr>
        <w:t>Vlachopanos</w:t>
      </w:r>
      <w:proofErr w:type="spellEnd"/>
      <w:r w:rsidR="00F605D8" w:rsidRPr="004447D2">
        <w:rPr>
          <w:rFonts w:ascii="Book Antiqua" w:hAnsi="Book Antiqua"/>
          <w:sz w:val="24"/>
          <w:szCs w:val="24"/>
          <w:lang w:val="en-US"/>
        </w:rPr>
        <w:t xml:space="preserve"> G performed the literature review as well as drafting of initial version and subsequent revisions up to final version; </w:t>
      </w:r>
      <w:proofErr w:type="spellStart"/>
      <w:r w:rsidR="00F605D8" w:rsidRPr="004447D2">
        <w:rPr>
          <w:rFonts w:ascii="Book Antiqua" w:hAnsi="Book Antiqua"/>
          <w:sz w:val="24"/>
          <w:szCs w:val="24"/>
          <w:lang w:val="en-US"/>
        </w:rPr>
        <w:t>Bridson</w:t>
      </w:r>
      <w:proofErr w:type="spellEnd"/>
      <w:r w:rsidR="00F605D8" w:rsidRPr="004447D2">
        <w:rPr>
          <w:rFonts w:ascii="Book Antiqua" w:hAnsi="Book Antiqua"/>
          <w:sz w:val="24"/>
          <w:szCs w:val="24"/>
          <w:lang w:val="en-US"/>
        </w:rPr>
        <w:t xml:space="preserve"> JM, Sharma A and </w:t>
      </w:r>
      <w:proofErr w:type="spellStart"/>
      <w:r w:rsidR="00F605D8" w:rsidRPr="004447D2">
        <w:rPr>
          <w:rFonts w:ascii="Book Antiqua" w:hAnsi="Book Antiqua"/>
          <w:sz w:val="24"/>
          <w:szCs w:val="24"/>
          <w:lang w:val="en-US"/>
        </w:rPr>
        <w:t>Halawa</w:t>
      </w:r>
      <w:proofErr w:type="spellEnd"/>
      <w:r w:rsidR="00F605D8" w:rsidRPr="004447D2">
        <w:rPr>
          <w:rFonts w:ascii="Book Antiqua" w:hAnsi="Book Antiqua"/>
          <w:sz w:val="24"/>
          <w:szCs w:val="24"/>
          <w:lang w:val="en-US"/>
        </w:rPr>
        <w:t xml:space="preserve"> A provided critical revision and editing of initial and all subsequent versions.</w:t>
      </w:r>
    </w:p>
    <w:p w14:paraId="71DD774C" w14:textId="77777777" w:rsidR="005E1661" w:rsidRPr="004447D2" w:rsidRDefault="005E1661" w:rsidP="00887EC2">
      <w:pPr>
        <w:spacing w:after="0" w:line="360" w:lineRule="auto"/>
        <w:jc w:val="both"/>
        <w:rPr>
          <w:rFonts w:ascii="Book Antiqua" w:hAnsi="Book Antiqua"/>
          <w:b/>
          <w:sz w:val="24"/>
          <w:szCs w:val="24"/>
          <w:lang w:val="en-US" w:eastAsia="zh-CN"/>
        </w:rPr>
      </w:pPr>
    </w:p>
    <w:p w14:paraId="46CC69E8" w14:textId="6D0052BA" w:rsidR="000005BB" w:rsidRPr="004447D2" w:rsidRDefault="00330EA0" w:rsidP="00887EC2">
      <w:pPr>
        <w:spacing w:after="0" w:line="360" w:lineRule="auto"/>
        <w:jc w:val="both"/>
        <w:rPr>
          <w:rFonts w:ascii="Book Antiqua" w:hAnsi="Book Antiqua"/>
          <w:color w:val="000000"/>
          <w:sz w:val="24"/>
          <w:szCs w:val="24"/>
          <w:lang w:val="en-US" w:eastAsia="zh-CN"/>
        </w:rPr>
      </w:pPr>
      <w:bookmarkStart w:id="15" w:name="OLE_LINK71"/>
      <w:bookmarkStart w:id="16" w:name="OLE_LINK72"/>
      <w:r w:rsidRPr="004447D2">
        <w:rPr>
          <w:rFonts w:ascii="Book Antiqua" w:hAnsi="Book Antiqua"/>
          <w:b/>
          <w:sz w:val="24"/>
          <w:szCs w:val="24"/>
          <w:lang w:val="en-US"/>
        </w:rPr>
        <w:t xml:space="preserve">Conflict-of-interest </w:t>
      </w:r>
      <w:bookmarkStart w:id="17" w:name="OLE_LINK24"/>
      <w:bookmarkStart w:id="18" w:name="OLE_LINK25"/>
      <w:r w:rsidRPr="004447D2">
        <w:rPr>
          <w:rFonts w:ascii="Book Antiqua" w:hAnsi="Book Antiqua"/>
          <w:b/>
          <w:sz w:val="24"/>
          <w:szCs w:val="24"/>
          <w:lang w:val="en-US"/>
        </w:rPr>
        <w:t>statement</w:t>
      </w:r>
      <w:bookmarkEnd w:id="15"/>
      <w:bookmarkEnd w:id="16"/>
      <w:bookmarkEnd w:id="17"/>
      <w:bookmarkEnd w:id="18"/>
      <w:r w:rsidRPr="004447D2">
        <w:rPr>
          <w:rFonts w:ascii="Book Antiqua" w:hAnsi="Book Antiqua"/>
          <w:b/>
          <w:sz w:val="24"/>
          <w:szCs w:val="24"/>
          <w:lang w:val="en-US"/>
        </w:rPr>
        <w:t>:</w:t>
      </w:r>
      <w:r w:rsidRPr="004447D2">
        <w:rPr>
          <w:rFonts w:ascii="Book Antiqua" w:hAnsi="Book Antiqua"/>
          <w:b/>
          <w:sz w:val="24"/>
          <w:szCs w:val="24"/>
          <w:lang w:val="en-US" w:eastAsia="zh-CN"/>
        </w:rPr>
        <w:t xml:space="preserve"> </w:t>
      </w:r>
      <w:r w:rsidR="00E90B44" w:rsidRPr="004447D2">
        <w:rPr>
          <w:rFonts w:ascii="Book Antiqua" w:hAnsi="Book Antiqua"/>
          <w:color w:val="000000"/>
          <w:sz w:val="24"/>
          <w:szCs w:val="24"/>
          <w:lang w:val="en"/>
        </w:rPr>
        <w:t>None declared.</w:t>
      </w:r>
      <w:r w:rsidR="00E90B44" w:rsidRPr="004447D2">
        <w:rPr>
          <w:rFonts w:ascii="Book Antiqua" w:hAnsi="Book Antiqua"/>
          <w:color w:val="000000"/>
          <w:sz w:val="24"/>
          <w:szCs w:val="24"/>
          <w:lang w:val="en-US"/>
        </w:rPr>
        <w:t xml:space="preserve"> </w:t>
      </w:r>
    </w:p>
    <w:p w14:paraId="58368A6E" w14:textId="77777777" w:rsidR="005E1661" w:rsidRPr="004447D2" w:rsidRDefault="005E1661" w:rsidP="00887EC2">
      <w:pPr>
        <w:spacing w:after="0" w:line="360" w:lineRule="auto"/>
        <w:jc w:val="both"/>
        <w:rPr>
          <w:rFonts w:ascii="Book Antiqua" w:hAnsi="Book Antiqua"/>
          <w:color w:val="000000"/>
          <w:sz w:val="24"/>
          <w:szCs w:val="24"/>
          <w:lang w:val="en-US" w:eastAsia="zh-CN"/>
        </w:rPr>
      </w:pPr>
    </w:p>
    <w:p w14:paraId="243DB456" w14:textId="2A0E3861" w:rsidR="003863AA" w:rsidRPr="004447D2" w:rsidRDefault="00330EA0" w:rsidP="00887EC2">
      <w:pPr>
        <w:spacing w:after="0" w:line="360" w:lineRule="auto"/>
        <w:jc w:val="both"/>
        <w:rPr>
          <w:rFonts w:ascii="Book Antiqua" w:hAnsi="Book Antiqua"/>
          <w:color w:val="000000"/>
          <w:sz w:val="24"/>
          <w:szCs w:val="24"/>
          <w:lang w:val="en-US" w:eastAsia="zh-CN"/>
        </w:rPr>
      </w:pPr>
      <w:bookmarkStart w:id="19" w:name="OLE_LINK69"/>
      <w:bookmarkStart w:id="20" w:name="OLE_LINK70"/>
      <w:bookmarkStart w:id="21" w:name="OLE_LINK95"/>
      <w:bookmarkStart w:id="22" w:name="OLE_LINK128"/>
      <w:bookmarkStart w:id="23" w:name="OLE_LINK182"/>
      <w:bookmarkStart w:id="24" w:name="OLE_LINK183"/>
      <w:r w:rsidRPr="004447D2">
        <w:rPr>
          <w:rFonts w:ascii="Book Antiqua" w:hAnsi="Book Antiqua"/>
          <w:b/>
          <w:sz w:val="24"/>
          <w:szCs w:val="24"/>
          <w:lang w:val="en-US"/>
        </w:rPr>
        <w:t>Data sharing statement</w:t>
      </w:r>
      <w:bookmarkEnd w:id="19"/>
      <w:bookmarkEnd w:id="20"/>
      <w:bookmarkEnd w:id="21"/>
      <w:bookmarkEnd w:id="22"/>
      <w:bookmarkEnd w:id="23"/>
      <w:bookmarkEnd w:id="24"/>
      <w:r w:rsidRPr="004447D2">
        <w:rPr>
          <w:rFonts w:ascii="Book Antiqua" w:hAnsi="Book Antiqua"/>
          <w:b/>
          <w:sz w:val="24"/>
          <w:szCs w:val="24"/>
          <w:lang w:val="en-US"/>
        </w:rPr>
        <w:t>:</w:t>
      </w:r>
      <w:r w:rsidRPr="004447D2">
        <w:rPr>
          <w:rFonts w:ascii="Book Antiqua" w:hAnsi="Book Antiqua"/>
          <w:b/>
          <w:sz w:val="24"/>
          <w:szCs w:val="24"/>
          <w:lang w:val="en-US" w:eastAsia="zh-CN"/>
        </w:rPr>
        <w:t xml:space="preserve"> </w:t>
      </w:r>
      <w:r w:rsidR="005C5F29" w:rsidRPr="004447D2">
        <w:rPr>
          <w:rFonts w:ascii="Book Antiqua" w:hAnsi="Book Antiqua"/>
          <w:color w:val="000000"/>
          <w:sz w:val="24"/>
          <w:szCs w:val="24"/>
          <w:lang w:val="en-US"/>
        </w:rPr>
        <w:t xml:space="preserve">The manuscript summarizes data as have been reported in published literature to date. There were no new patients studied, and no new data compiled. No additional data are available. </w:t>
      </w:r>
    </w:p>
    <w:p w14:paraId="7E95BBD3" w14:textId="77777777" w:rsidR="00330EA0" w:rsidRPr="004447D2" w:rsidRDefault="00330EA0" w:rsidP="00887EC2">
      <w:pPr>
        <w:spacing w:after="0" w:line="360" w:lineRule="auto"/>
        <w:jc w:val="both"/>
        <w:rPr>
          <w:rFonts w:ascii="Book Antiqua" w:hAnsi="Book Antiqua"/>
          <w:color w:val="000000"/>
          <w:sz w:val="24"/>
          <w:szCs w:val="24"/>
          <w:lang w:val="en-US" w:eastAsia="zh-CN"/>
        </w:rPr>
      </w:pPr>
    </w:p>
    <w:p w14:paraId="0BB8A506" w14:textId="77777777" w:rsidR="00330EA0" w:rsidRPr="004447D2" w:rsidRDefault="00330EA0" w:rsidP="00887EC2">
      <w:pPr>
        <w:spacing w:after="0" w:line="360" w:lineRule="auto"/>
        <w:jc w:val="both"/>
        <w:rPr>
          <w:rFonts w:ascii="Book Antiqua" w:hAnsi="Book Antiqua"/>
          <w:sz w:val="24"/>
          <w:szCs w:val="24"/>
          <w:lang w:val="en-US"/>
        </w:rPr>
      </w:pPr>
      <w:bookmarkStart w:id="25" w:name="OLE_LINK507"/>
      <w:bookmarkStart w:id="26" w:name="OLE_LINK506"/>
      <w:bookmarkStart w:id="27" w:name="OLE_LINK496"/>
      <w:bookmarkStart w:id="28" w:name="OLE_LINK479"/>
      <w:r w:rsidRPr="004447D2">
        <w:rPr>
          <w:rFonts w:ascii="Book Antiqua" w:hAnsi="Book Antiqua"/>
          <w:b/>
          <w:sz w:val="24"/>
          <w:szCs w:val="24"/>
          <w:lang w:val="en-US"/>
        </w:rPr>
        <w:t xml:space="preserve">Open-Access: </w:t>
      </w:r>
      <w:bookmarkStart w:id="29" w:name="OLE_LINK189"/>
      <w:bookmarkStart w:id="30" w:name="OLE_LINK190"/>
      <w:r w:rsidRPr="004447D2">
        <w:rPr>
          <w:rFonts w:ascii="Book Antiqua" w:hAnsi="Book Antiqua"/>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5"/>
      <w:bookmarkEnd w:id="26"/>
      <w:bookmarkEnd w:id="27"/>
      <w:bookmarkEnd w:id="28"/>
      <w:bookmarkEnd w:id="29"/>
      <w:bookmarkEnd w:id="30"/>
    </w:p>
    <w:p w14:paraId="11851503" w14:textId="15585904" w:rsidR="00F605D8" w:rsidRPr="004447D2" w:rsidRDefault="00F605D8" w:rsidP="00887EC2">
      <w:pPr>
        <w:spacing w:after="0" w:line="360" w:lineRule="auto"/>
        <w:jc w:val="both"/>
        <w:rPr>
          <w:rFonts w:ascii="Book Antiqua" w:hAnsi="Book Antiqua"/>
          <w:b/>
          <w:sz w:val="24"/>
          <w:szCs w:val="24"/>
          <w:lang w:val="en-US" w:eastAsia="zh-CN"/>
        </w:rPr>
      </w:pPr>
    </w:p>
    <w:p w14:paraId="2F7E0283" w14:textId="77777777" w:rsidR="00C7397F" w:rsidRPr="004447D2" w:rsidRDefault="00C7397F" w:rsidP="00887EC2">
      <w:pPr>
        <w:pStyle w:val="1"/>
        <w:shd w:val="clear" w:color="auto" w:fill="FFFFFF"/>
        <w:spacing w:before="0" w:beforeAutospacing="0" w:after="0" w:afterAutospacing="0" w:line="360" w:lineRule="auto"/>
        <w:rPr>
          <w:rFonts w:ascii="Book Antiqua" w:hAnsi="Book Antiqua"/>
          <w:b w:val="0"/>
          <w:sz w:val="24"/>
          <w:szCs w:val="24"/>
        </w:rPr>
      </w:pPr>
      <w:r w:rsidRPr="004447D2">
        <w:rPr>
          <w:rFonts w:ascii="Book Antiqua" w:hAnsi="Book Antiqua"/>
          <w:sz w:val="24"/>
          <w:szCs w:val="24"/>
        </w:rPr>
        <w:t>Manuscript source:</w:t>
      </w:r>
      <w:r w:rsidRPr="004447D2">
        <w:rPr>
          <w:rFonts w:ascii="Book Antiqua" w:hAnsi="Book Antiqua"/>
          <w:b w:val="0"/>
          <w:sz w:val="24"/>
          <w:szCs w:val="24"/>
        </w:rPr>
        <w:t xml:space="preserve"> Invited manuscript</w:t>
      </w:r>
    </w:p>
    <w:p w14:paraId="5897CA7B" w14:textId="77777777" w:rsidR="0021695B" w:rsidRPr="004447D2" w:rsidRDefault="0021695B" w:rsidP="00887EC2">
      <w:pPr>
        <w:spacing w:after="0" w:line="360" w:lineRule="auto"/>
        <w:jc w:val="both"/>
        <w:rPr>
          <w:rFonts w:ascii="Book Antiqua" w:hAnsi="Book Antiqua"/>
          <w:b/>
          <w:sz w:val="24"/>
          <w:szCs w:val="24"/>
          <w:lang w:val="en-US" w:eastAsia="zh-CN"/>
        </w:rPr>
      </w:pPr>
    </w:p>
    <w:p w14:paraId="6AB64F9D" w14:textId="642553FF" w:rsidR="00D87E3D" w:rsidRPr="004447D2" w:rsidRDefault="00330EA0" w:rsidP="00887EC2">
      <w:pPr>
        <w:spacing w:after="0" w:line="360" w:lineRule="auto"/>
        <w:ind w:rightChars="50" w:right="110"/>
        <w:jc w:val="both"/>
        <w:rPr>
          <w:rFonts w:ascii="Book Antiqua" w:hAnsi="Book Antiqua" w:cs="Arial"/>
          <w:b/>
          <w:bCs/>
          <w:sz w:val="24"/>
          <w:szCs w:val="24"/>
          <w:lang w:val="en-US"/>
        </w:rPr>
      </w:pPr>
      <w:r w:rsidRPr="004447D2">
        <w:rPr>
          <w:rFonts w:ascii="Book Antiqua" w:hAnsi="Book Antiqua"/>
          <w:b/>
          <w:sz w:val="24"/>
          <w:szCs w:val="24"/>
          <w:lang w:val="en-US"/>
        </w:rPr>
        <w:t>Correspondence to:</w:t>
      </w:r>
      <w:r w:rsidRPr="004447D2">
        <w:rPr>
          <w:rFonts w:ascii="Book Antiqua" w:hAnsi="Book Antiqua" w:cs="Arial"/>
          <w:b/>
          <w:bCs/>
          <w:sz w:val="24"/>
          <w:szCs w:val="24"/>
          <w:lang w:val="en-US" w:eastAsia="zh-CN"/>
        </w:rPr>
        <w:t xml:space="preserve"> </w:t>
      </w:r>
      <w:bookmarkStart w:id="31" w:name="OLE_LINK191"/>
      <w:bookmarkStart w:id="32" w:name="OLE_LINK192"/>
      <w:bookmarkStart w:id="33" w:name="OLE_LINK281"/>
      <w:r w:rsidR="00D87E3D" w:rsidRPr="004447D2">
        <w:rPr>
          <w:rFonts w:ascii="Book Antiqua" w:hAnsi="Book Antiqua"/>
          <w:b/>
          <w:sz w:val="24"/>
          <w:szCs w:val="24"/>
          <w:lang w:val="en-US"/>
        </w:rPr>
        <w:t xml:space="preserve">Ahmed </w:t>
      </w:r>
      <w:proofErr w:type="spellStart"/>
      <w:r w:rsidR="00D87E3D" w:rsidRPr="004447D2">
        <w:rPr>
          <w:rFonts w:ascii="Book Antiqua" w:hAnsi="Book Antiqua"/>
          <w:b/>
          <w:sz w:val="24"/>
          <w:szCs w:val="24"/>
          <w:lang w:val="en-US"/>
        </w:rPr>
        <w:t>Halawa</w:t>
      </w:r>
      <w:proofErr w:type="spellEnd"/>
      <w:r w:rsidR="00F400C9" w:rsidRPr="004447D2">
        <w:rPr>
          <w:rFonts w:ascii="Book Antiqua" w:hAnsi="Book Antiqua"/>
          <w:b/>
          <w:sz w:val="24"/>
          <w:szCs w:val="24"/>
          <w:lang w:val="en-US"/>
        </w:rPr>
        <w:t xml:space="preserve">, </w:t>
      </w:r>
      <w:r w:rsidR="00D87E3D" w:rsidRPr="004447D2">
        <w:rPr>
          <w:rFonts w:ascii="Book Antiqua" w:hAnsi="Book Antiqua"/>
          <w:b/>
          <w:sz w:val="24"/>
          <w:szCs w:val="24"/>
          <w:lang w:val="en-US"/>
        </w:rPr>
        <w:t>Consultant Transplant Surgeon</w:t>
      </w:r>
      <w:r w:rsidR="00F400C9" w:rsidRPr="004447D2">
        <w:rPr>
          <w:rFonts w:ascii="Book Antiqua" w:hAnsi="Book Antiqua"/>
          <w:b/>
          <w:sz w:val="24"/>
          <w:szCs w:val="24"/>
          <w:lang w:val="en-US"/>
        </w:rPr>
        <w:t>,</w:t>
      </w:r>
      <w:r w:rsidR="00F400C9" w:rsidRPr="004447D2">
        <w:rPr>
          <w:rFonts w:ascii="Book Antiqua" w:hAnsi="Book Antiqua"/>
          <w:sz w:val="24"/>
          <w:szCs w:val="24"/>
          <w:lang w:val="en-US"/>
        </w:rPr>
        <w:t xml:space="preserve"> </w:t>
      </w:r>
      <w:r w:rsidR="008F4293" w:rsidRPr="004447D2">
        <w:rPr>
          <w:rFonts w:ascii="Book Antiqua" w:hAnsi="Book Antiqua"/>
          <w:sz w:val="24"/>
          <w:szCs w:val="24"/>
          <w:lang w:val="en-US"/>
        </w:rPr>
        <w:t xml:space="preserve">Department of Transplantation, </w:t>
      </w:r>
      <w:r w:rsidR="00D87E3D" w:rsidRPr="004447D2">
        <w:rPr>
          <w:rFonts w:ascii="Book Antiqua" w:hAnsi="Book Antiqua"/>
          <w:sz w:val="24"/>
          <w:szCs w:val="24"/>
          <w:lang w:val="en-US"/>
        </w:rPr>
        <w:t>Sheffield Teaching Hospital</w:t>
      </w:r>
      <w:r w:rsidR="00F400C9" w:rsidRPr="004447D2">
        <w:rPr>
          <w:rFonts w:ascii="Book Antiqua" w:hAnsi="Book Antiqua"/>
          <w:sz w:val="24"/>
          <w:szCs w:val="24"/>
          <w:lang w:val="en-US"/>
        </w:rPr>
        <w:t xml:space="preserve">s, </w:t>
      </w:r>
      <w:proofErr w:type="spellStart"/>
      <w:r w:rsidR="00884D09" w:rsidRPr="004447D2">
        <w:rPr>
          <w:rFonts w:ascii="Book Antiqua" w:hAnsi="Book Antiqua"/>
          <w:sz w:val="24"/>
          <w:szCs w:val="24"/>
          <w:lang w:val="en-US"/>
        </w:rPr>
        <w:t>Herries</w:t>
      </w:r>
      <w:proofErr w:type="spellEnd"/>
      <w:r w:rsidR="00884D09" w:rsidRPr="004447D2">
        <w:rPr>
          <w:rFonts w:ascii="Book Antiqua" w:hAnsi="Book Antiqua"/>
          <w:sz w:val="24"/>
          <w:szCs w:val="24"/>
          <w:lang w:val="en-US"/>
        </w:rPr>
        <w:t xml:space="preserve"> Road, </w:t>
      </w:r>
      <w:r w:rsidR="00D87E3D" w:rsidRPr="004447D2">
        <w:rPr>
          <w:rFonts w:ascii="Book Antiqua" w:hAnsi="Book Antiqua"/>
          <w:sz w:val="24"/>
          <w:szCs w:val="24"/>
          <w:lang w:val="en-US"/>
        </w:rPr>
        <w:t>Sheffield</w:t>
      </w:r>
      <w:r w:rsidR="00884D09" w:rsidRPr="004447D2">
        <w:rPr>
          <w:rFonts w:ascii="Book Antiqua" w:hAnsi="Book Antiqua"/>
          <w:sz w:val="24"/>
          <w:szCs w:val="24"/>
          <w:lang w:val="en-US"/>
        </w:rPr>
        <w:t xml:space="preserve"> S5 7AU</w:t>
      </w:r>
      <w:r w:rsidR="00D87E3D" w:rsidRPr="004447D2">
        <w:rPr>
          <w:rFonts w:ascii="Book Antiqua" w:hAnsi="Book Antiqua"/>
          <w:sz w:val="24"/>
          <w:szCs w:val="24"/>
          <w:lang w:val="en-US"/>
        </w:rPr>
        <w:t>,</w:t>
      </w:r>
      <w:r w:rsidR="00F400C9" w:rsidRPr="004447D2">
        <w:rPr>
          <w:rFonts w:ascii="Book Antiqua" w:hAnsi="Book Antiqua"/>
          <w:sz w:val="24"/>
          <w:szCs w:val="24"/>
          <w:lang w:val="en-US"/>
        </w:rPr>
        <w:t xml:space="preserve"> </w:t>
      </w:r>
      <w:r w:rsidR="00D87E3D" w:rsidRPr="004447D2">
        <w:rPr>
          <w:rFonts w:ascii="Book Antiqua" w:hAnsi="Book Antiqua"/>
          <w:sz w:val="24"/>
          <w:szCs w:val="24"/>
          <w:lang w:val="en-US"/>
        </w:rPr>
        <w:t>United Kingdom</w:t>
      </w:r>
      <w:r w:rsidR="00F400C9" w:rsidRPr="004447D2">
        <w:rPr>
          <w:rFonts w:ascii="Book Antiqua" w:hAnsi="Book Antiqua"/>
          <w:sz w:val="24"/>
          <w:szCs w:val="24"/>
          <w:lang w:val="en-US"/>
        </w:rPr>
        <w:t>.</w:t>
      </w:r>
      <w:r w:rsidR="00F06EC3" w:rsidRPr="004447D2">
        <w:rPr>
          <w:rFonts w:ascii="Book Antiqua" w:hAnsi="Book Antiqua"/>
          <w:sz w:val="24"/>
          <w:szCs w:val="24"/>
          <w:lang w:val="en-US"/>
        </w:rPr>
        <w:t xml:space="preserve"> </w:t>
      </w:r>
      <w:r w:rsidR="00683B20" w:rsidRPr="004447D2">
        <w:rPr>
          <w:rFonts w:ascii="Book Antiqua" w:hAnsi="Book Antiqua"/>
          <w:sz w:val="24"/>
          <w:szCs w:val="24"/>
          <w:lang w:val="en-US"/>
        </w:rPr>
        <w:t>ahmed.halawa@sth.nhs.uk</w:t>
      </w:r>
    </w:p>
    <w:bookmarkEnd w:id="31"/>
    <w:bookmarkEnd w:id="32"/>
    <w:bookmarkEnd w:id="33"/>
    <w:p w14:paraId="5DC9B713" w14:textId="3213BC3F" w:rsidR="00884D09" w:rsidRPr="004447D2" w:rsidRDefault="00330EA0" w:rsidP="00887EC2">
      <w:pPr>
        <w:spacing w:after="0" w:line="360" w:lineRule="auto"/>
        <w:jc w:val="both"/>
        <w:rPr>
          <w:rFonts w:ascii="Book Antiqua" w:hAnsi="Book Antiqua"/>
          <w:sz w:val="24"/>
          <w:szCs w:val="24"/>
          <w:lang w:val="en-US" w:eastAsia="zh-CN"/>
        </w:rPr>
      </w:pPr>
      <w:r w:rsidRPr="004447D2">
        <w:rPr>
          <w:rFonts w:ascii="Book Antiqua" w:hAnsi="Book Antiqua"/>
          <w:b/>
          <w:sz w:val="24"/>
          <w:szCs w:val="24"/>
          <w:lang w:val="en-US"/>
        </w:rPr>
        <w:t>Telephone:</w:t>
      </w:r>
      <w:r w:rsidRPr="004447D2">
        <w:rPr>
          <w:rFonts w:ascii="Book Antiqua" w:hAnsi="Book Antiqua"/>
          <w:sz w:val="24"/>
          <w:szCs w:val="24"/>
          <w:lang w:val="en-US"/>
        </w:rPr>
        <w:t xml:space="preserve"> +44-77-87542128</w:t>
      </w:r>
    </w:p>
    <w:p w14:paraId="3A299AD9" w14:textId="48A29585" w:rsidR="00330EA0" w:rsidRPr="004447D2" w:rsidRDefault="00330EA0" w:rsidP="00887EC2">
      <w:pPr>
        <w:spacing w:after="0" w:line="360" w:lineRule="auto"/>
        <w:jc w:val="both"/>
        <w:rPr>
          <w:rFonts w:ascii="Book Antiqua" w:hAnsi="Book Antiqua"/>
          <w:sz w:val="24"/>
          <w:szCs w:val="24"/>
          <w:lang w:val="en-US" w:eastAsia="zh-CN"/>
        </w:rPr>
      </w:pPr>
      <w:r w:rsidRPr="004447D2">
        <w:rPr>
          <w:rFonts w:ascii="Book Antiqua" w:hAnsi="Book Antiqua"/>
          <w:b/>
          <w:sz w:val="24"/>
          <w:szCs w:val="24"/>
          <w:lang w:val="en-US"/>
        </w:rPr>
        <w:t xml:space="preserve">Fax: </w:t>
      </w:r>
      <w:r w:rsidRPr="004447D2">
        <w:rPr>
          <w:rFonts w:ascii="Book Antiqua" w:hAnsi="Book Antiqua"/>
          <w:sz w:val="24"/>
          <w:szCs w:val="24"/>
          <w:lang w:val="en-US"/>
        </w:rPr>
        <w:t>+44-11-42714604</w:t>
      </w:r>
    </w:p>
    <w:p w14:paraId="1E812E91" w14:textId="3E74E1C6" w:rsidR="00884D09" w:rsidRPr="004447D2" w:rsidRDefault="00884D09" w:rsidP="00887EC2">
      <w:pPr>
        <w:spacing w:after="0" w:line="360" w:lineRule="auto"/>
        <w:jc w:val="both"/>
        <w:rPr>
          <w:rFonts w:ascii="Book Antiqua" w:hAnsi="Book Antiqua"/>
          <w:sz w:val="24"/>
          <w:szCs w:val="24"/>
          <w:lang w:val="en-US"/>
        </w:rPr>
      </w:pPr>
    </w:p>
    <w:p w14:paraId="67D832F0" w14:textId="5470DD78" w:rsidR="00330EA0" w:rsidRPr="004447D2" w:rsidRDefault="00330EA0" w:rsidP="00887EC2">
      <w:pPr>
        <w:spacing w:after="0" w:line="360" w:lineRule="auto"/>
        <w:jc w:val="both"/>
        <w:rPr>
          <w:rFonts w:ascii="Book Antiqua" w:hAnsi="Book Antiqua"/>
          <w:b/>
          <w:sz w:val="24"/>
          <w:szCs w:val="24"/>
          <w:lang w:val="en-US" w:eastAsia="zh-CN"/>
        </w:rPr>
      </w:pPr>
      <w:r w:rsidRPr="004447D2">
        <w:rPr>
          <w:rFonts w:ascii="Book Antiqua" w:hAnsi="Book Antiqua"/>
          <w:b/>
          <w:sz w:val="24"/>
          <w:szCs w:val="24"/>
          <w:lang w:val="en-US"/>
        </w:rPr>
        <w:t>Received:</w:t>
      </w:r>
      <w:r w:rsidR="00AB141C" w:rsidRPr="004447D2">
        <w:rPr>
          <w:rFonts w:ascii="Book Antiqua" w:hAnsi="Book Antiqua"/>
          <w:i/>
          <w:sz w:val="24"/>
          <w:szCs w:val="24"/>
          <w:lang w:val="en-US"/>
        </w:rPr>
        <w:t xml:space="preserve"> </w:t>
      </w:r>
      <w:r w:rsidR="00724204" w:rsidRPr="004447D2">
        <w:rPr>
          <w:rFonts w:ascii="Book Antiqua" w:hAnsi="Book Antiqua"/>
          <w:sz w:val="24"/>
          <w:szCs w:val="24"/>
          <w:lang w:val="en-US" w:eastAsia="zh-CN"/>
        </w:rPr>
        <w:t>July 14, 2016</w:t>
      </w:r>
    </w:p>
    <w:p w14:paraId="6C270AD6" w14:textId="6D52A95C" w:rsidR="00330EA0" w:rsidRPr="004447D2" w:rsidRDefault="00330EA0" w:rsidP="00887EC2">
      <w:pPr>
        <w:spacing w:after="0" w:line="360" w:lineRule="auto"/>
        <w:jc w:val="both"/>
        <w:rPr>
          <w:rFonts w:ascii="Book Antiqua" w:hAnsi="Book Antiqua"/>
          <w:b/>
          <w:sz w:val="24"/>
          <w:szCs w:val="24"/>
          <w:lang w:val="en-US" w:eastAsia="zh-CN"/>
        </w:rPr>
      </w:pPr>
      <w:r w:rsidRPr="004447D2">
        <w:rPr>
          <w:rFonts w:ascii="Book Antiqua" w:hAnsi="Book Antiqua"/>
          <w:b/>
          <w:sz w:val="24"/>
          <w:szCs w:val="24"/>
          <w:lang w:val="en-US"/>
        </w:rPr>
        <w:t>Peer-review started:</w:t>
      </w:r>
      <w:r w:rsidR="00724204" w:rsidRPr="004447D2">
        <w:rPr>
          <w:rFonts w:ascii="Book Antiqua" w:hAnsi="Book Antiqua"/>
          <w:b/>
          <w:sz w:val="24"/>
          <w:szCs w:val="24"/>
          <w:lang w:val="en-US" w:eastAsia="zh-CN"/>
        </w:rPr>
        <w:t xml:space="preserve"> </w:t>
      </w:r>
      <w:r w:rsidR="00724204" w:rsidRPr="004447D2">
        <w:rPr>
          <w:rFonts w:ascii="Book Antiqua" w:hAnsi="Book Antiqua"/>
          <w:sz w:val="24"/>
          <w:szCs w:val="24"/>
          <w:lang w:val="en-US" w:eastAsia="zh-CN"/>
        </w:rPr>
        <w:t>July 25, 2016</w:t>
      </w:r>
    </w:p>
    <w:p w14:paraId="1A5872DE" w14:textId="4E3B7B26" w:rsidR="00724204" w:rsidRPr="004447D2" w:rsidRDefault="00330EA0" w:rsidP="00887EC2">
      <w:pPr>
        <w:spacing w:after="0" w:line="360" w:lineRule="auto"/>
        <w:rPr>
          <w:rFonts w:ascii="Book Antiqua" w:hAnsi="Book Antiqua"/>
          <w:sz w:val="24"/>
          <w:szCs w:val="24"/>
          <w:lang w:eastAsia="zh-CN"/>
        </w:rPr>
      </w:pPr>
      <w:r w:rsidRPr="004447D2">
        <w:rPr>
          <w:rFonts w:ascii="Book Antiqua" w:hAnsi="Book Antiqua"/>
          <w:b/>
          <w:sz w:val="24"/>
          <w:szCs w:val="24"/>
          <w:lang w:val="en-US"/>
        </w:rPr>
        <w:t>First decision:</w:t>
      </w:r>
      <w:r w:rsidRPr="004447D2">
        <w:rPr>
          <w:rFonts w:ascii="Book Antiqua" w:hAnsi="Book Antiqua"/>
          <w:sz w:val="24"/>
          <w:szCs w:val="24"/>
          <w:lang w:val="en-US"/>
        </w:rPr>
        <w:t xml:space="preserve"> </w:t>
      </w:r>
      <w:r w:rsidR="00724204" w:rsidRPr="004447D2">
        <w:rPr>
          <w:rFonts w:ascii="Book Antiqua" w:hAnsi="Book Antiqua"/>
          <w:sz w:val="24"/>
          <w:szCs w:val="24"/>
        </w:rPr>
        <w:t>September</w:t>
      </w:r>
      <w:r w:rsidR="00724204" w:rsidRPr="004447D2">
        <w:rPr>
          <w:rFonts w:ascii="Book Antiqua" w:hAnsi="Book Antiqua"/>
          <w:sz w:val="24"/>
          <w:szCs w:val="24"/>
          <w:lang w:eastAsia="zh-CN"/>
        </w:rPr>
        <w:t xml:space="preserve"> 2, 2016</w:t>
      </w:r>
    </w:p>
    <w:p w14:paraId="4FA45F7B" w14:textId="6FEFC9F2" w:rsidR="00724204" w:rsidRPr="004447D2" w:rsidRDefault="00330EA0" w:rsidP="00887EC2">
      <w:pPr>
        <w:spacing w:after="0" w:line="360" w:lineRule="auto"/>
        <w:rPr>
          <w:rFonts w:ascii="Book Antiqua" w:hAnsi="Book Antiqua"/>
          <w:sz w:val="24"/>
          <w:szCs w:val="24"/>
          <w:lang w:eastAsia="zh-CN"/>
        </w:rPr>
      </w:pPr>
      <w:r w:rsidRPr="004447D2">
        <w:rPr>
          <w:rFonts w:ascii="Book Antiqua" w:hAnsi="Book Antiqua"/>
          <w:b/>
          <w:sz w:val="24"/>
          <w:szCs w:val="24"/>
          <w:lang w:val="en-US"/>
        </w:rPr>
        <w:t>Revised:</w:t>
      </w:r>
      <w:r w:rsidR="00AB141C" w:rsidRPr="004447D2">
        <w:rPr>
          <w:rFonts w:ascii="Book Antiqua" w:hAnsi="Book Antiqua"/>
          <w:b/>
          <w:i/>
          <w:sz w:val="24"/>
          <w:szCs w:val="24"/>
          <w:lang w:val="en-US"/>
        </w:rPr>
        <w:t xml:space="preserve"> </w:t>
      </w:r>
      <w:r w:rsidR="00724204" w:rsidRPr="004447D2">
        <w:rPr>
          <w:rFonts w:ascii="Book Antiqua" w:hAnsi="Book Antiqua"/>
          <w:sz w:val="24"/>
          <w:szCs w:val="24"/>
        </w:rPr>
        <w:t>October</w:t>
      </w:r>
      <w:r w:rsidR="00724204" w:rsidRPr="004447D2">
        <w:rPr>
          <w:rFonts w:ascii="Book Antiqua" w:hAnsi="Book Antiqua"/>
          <w:sz w:val="24"/>
          <w:szCs w:val="24"/>
          <w:lang w:eastAsia="zh-CN"/>
        </w:rPr>
        <w:t xml:space="preserve"> 23, 2016</w:t>
      </w:r>
    </w:p>
    <w:p w14:paraId="59BB9564" w14:textId="47691C48" w:rsidR="00330EA0" w:rsidRPr="004447D2" w:rsidRDefault="00330EA0" w:rsidP="00887EC2">
      <w:pPr>
        <w:spacing w:after="0" w:line="360" w:lineRule="auto"/>
        <w:jc w:val="both"/>
        <w:rPr>
          <w:rFonts w:ascii="Book Antiqua" w:hAnsi="Book Antiqua"/>
          <w:b/>
          <w:sz w:val="24"/>
          <w:szCs w:val="24"/>
          <w:lang w:val="en-US"/>
        </w:rPr>
      </w:pPr>
      <w:r w:rsidRPr="004447D2">
        <w:rPr>
          <w:rFonts w:ascii="Book Antiqua" w:hAnsi="Book Antiqua"/>
          <w:b/>
          <w:sz w:val="24"/>
          <w:szCs w:val="24"/>
          <w:lang w:val="en-US"/>
        </w:rPr>
        <w:t>Accepted:</w:t>
      </w:r>
      <w:r w:rsidR="00AB141C" w:rsidRPr="004447D2">
        <w:rPr>
          <w:rFonts w:ascii="Book Antiqua" w:hAnsi="Book Antiqua"/>
          <w:b/>
          <w:i/>
          <w:sz w:val="24"/>
          <w:szCs w:val="24"/>
          <w:lang w:val="en-US"/>
        </w:rPr>
        <w:t xml:space="preserve"> </w:t>
      </w:r>
      <w:r w:rsidR="009C39F4" w:rsidRPr="004447D2">
        <w:rPr>
          <w:rFonts w:ascii="Book Antiqua" w:hAnsi="Book Antiqua"/>
          <w:sz w:val="24"/>
          <w:szCs w:val="24"/>
          <w:lang w:val="en-US"/>
        </w:rPr>
        <w:t>November 16, 2016</w:t>
      </w:r>
    </w:p>
    <w:p w14:paraId="0C5EFD2A" w14:textId="77777777" w:rsidR="00330EA0" w:rsidRPr="004447D2" w:rsidRDefault="00330EA0" w:rsidP="00887EC2">
      <w:pPr>
        <w:spacing w:after="0" w:line="360" w:lineRule="auto"/>
        <w:jc w:val="both"/>
        <w:rPr>
          <w:rFonts w:ascii="Book Antiqua" w:hAnsi="Book Antiqua"/>
          <w:b/>
          <w:sz w:val="24"/>
          <w:szCs w:val="24"/>
          <w:lang w:val="en-US"/>
        </w:rPr>
      </w:pPr>
      <w:r w:rsidRPr="004447D2">
        <w:rPr>
          <w:rFonts w:ascii="Book Antiqua" w:hAnsi="Book Antiqua"/>
          <w:b/>
          <w:sz w:val="24"/>
          <w:szCs w:val="24"/>
          <w:lang w:val="en-US"/>
        </w:rPr>
        <w:t>Article in press:</w:t>
      </w:r>
    </w:p>
    <w:p w14:paraId="3322F3F3" w14:textId="77777777" w:rsidR="00330EA0" w:rsidRPr="004447D2" w:rsidRDefault="00330EA0" w:rsidP="00887EC2">
      <w:pPr>
        <w:spacing w:after="0" w:line="360" w:lineRule="auto"/>
        <w:jc w:val="both"/>
        <w:rPr>
          <w:rFonts w:ascii="Book Antiqua" w:hAnsi="Book Antiqua"/>
          <w:b/>
          <w:sz w:val="24"/>
          <w:szCs w:val="24"/>
          <w:lang w:val="en-US"/>
        </w:rPr>
      </w:pPr>
      <w:r w:rsidRPr="004447D2">
        <w:rPr>
          <w:rFonts w:ascii="Book Antiqua" w:hAnsi="Book Antiqua"/>
          <w:b/>
          <w:sz w:val="24"/>
          <w:szCs w:val="24"/>
          <w:lang w:val="en-US"/>
        </w:rPr>
        <w:t xml:space="preserve">Published online: </w:t>
      </w:r>
    </w:p>
    <w:p w14:paraId="22F73066" w14:textId="1FAE8310" w:rsidR="003863AA" w:rsidRPr="004447D2" w:rsidRDefault="003863AA" w:rsidP="00887EC2">
      <w:pPr>
        <w:spacing w:after="0" w:line="360" w:lineRule="auto"/>
        <w:jc w:val="both"/>
        <w:rPr>
          <w:rFonts w:ascii="Book Antiqua" w:hAnsi="Book Antiqua"/>
          <w:sz w:val="24"/>
          <w:szCs w:val="24"/>
          <w:lang w:val="en-US"/>
        </w:rPr>
      </w:pPr>
    </w:p>
    <w:p w14:paraId="04E6C45F" w14:textId="335A3616" w:rsidR="003863AA" w:rsidRPr="004447D2" w:rsidRDefault="003863AA" w:rsidP="00887EC2">
      <w:pPr>
        <w:spacing w:after="0" w:line="360" w:lineRule="auto"/>
        <w:jc w:val="both"/>
        <w:rPr>
          <w:rFonts w:ascii="Book Antiqua" w:hAnsi="Book Antiqua"/>
          <w:sz w:val="24"/>
          <w:szCs w:val="24"/>
          <w:lang w:val="en-US"/>
        </w:rPr>
      </w:pPr>
    </w:p>
    <w:p w14:paraId="26D9C807" w14:textId="60AC50AA" w:rsidR="003863AA" w:rsidRPr="004447D2" w:rsidRDefault="003863AA" w:rsidP="00887EC2">
      <w:pPr>
        <w:spacing w:after="0" w:line="360" w:lineRule="auto"/>
        <w:jc w:val="both"/>
        <w:rPr>
          <w:rFonts w:ascii="Book Antiqua" w:hAnsi="Book Antiqua"/>
          <w:sz w:val="24"/>
          <w:szCs w:val="24"/>
          <w:lang w:val="en-US"/>
        </w:rPr>
      </w:pPr>
    </w:p>
    <w:p w14:paraId="4B05A738" w14:textId="029BC36B" w:rsidR="00592E03" w:rsidRPr="004447D2" w:rsidRDefault="00592E03"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lastRenderedPageBreak/>
        <w:t>Abstract</w:t>
      </w:r>
    </w:p>
    <w:p w14:paraId="7AF1C01C" w14:textId="77777777" w:rsidR="00A421FB" w:rsidRPr="004447D2" w:rsidRDefault="000D3151" w:rsidP="00887EC2">
      <w:pPr>
        <w:pStyle w:val="a8"/>
        <w:spacing w:line="360" w:lineRule="auto"/>
        <w:jc w:val="both"/>
        <w:rPr>
          <w:rFonts w:ascii="Book Antiqua" w:hAnsi="Book Antiqua"/>
          <w:i/>
          <w:sz w:val="24"/>
          <w:szCs w:val="24"/>
          <w:lang w:val="en-US" w:eastAsia="zh-CN"/>
        </w:rPr>
      </w:pPr>
      <w:r w:rsidRPr="004447D2">
        <w:rPr>
          <w:rFonts w:ascii="Book Antiqua" w:hAnsi="Book Antiqua"/>
          <w:b/>
          <w:i/>
          <w:sz w:val="24"/>
          <w:szCs w:val="24"/>
          <w:lang w:val="en-US"/>
        </w:rPr>
        <w:t>AIM</w:t>
      </w:r>
      <w:r w:rsidRPr="004447D2">
        <w:rPr>
          <w:rFonts w:ascii="Book Antiqua" w:hAnsi="Book Antiqua"/>
          <w:i/>
          <w:sz w:val="24"/>
          <w:szCs w:val="24"/>
          <w:lang w:val="en-US"/>
        </w:rPr>
        <w:t xml:space="preserve"> </w:t>
      </w:r>
    </w:p>
    <w:p w14:paraId="2DBA2C35" w14:textId="2763D920" w:rsidR="000D3151" w:rsidRPr="004447D2" w:rsidRDefault="000D3151" w:rsidP="00887EC2">
      <w:pPr>
        <w:pStyle w:val="a8"/>
        <w:spacing w:line="360" w:lineRule="auto"/>
        <w:jc w:val="both"/>
        <w:rPr>
          <w:rFonts w:ascii="Book Antiqua" w:hAnsi="Book Antiqua"/>
          <w:sz w:val="24"/>
          <w:szCs w:val="24"/>
          <w:lang w:val="en-US" w:eastAsia="zh-CN"/>
        </w:rPr>
      </w:pPr>
      <w:proofErr w:type="gramStart"/>
      <w:r w:rsidRPr="004447D2">
        <w:rPr>
          <w:rFonts w:ascii="Book Antiqua" w:hAnsi="Book Antiqua"/>
          <w:sz w:val="24"/>
          <w:szCs w:val="24"/>
          <w:lang w:val="en-US"/>
        </w:rPr>
        <w:t>T</w:t>
      </w:r>
      <w:r w:rsidR="00C112E0" w:rsidRPr="004447D2">
        <w:rPr>
          <w:rFonts w:ascii="Book Antiqua" w:hAnsi="Book Antiqua"/>
          <w:sz w:val="24"/>
          <w:szCs w:val="24"/>
          <w:lang w:val="en-US"/>
        </w:rPr>
        <w:t>o explore</w:t>
      </w:r>
      <w:r w:rsidR="00BF057D" w:rsidRPr="004447D2">
        <w:rPr>
          <w:rFonts w:ascii="Book Antiqua" w:hAnsi="Book Antiqua"/>
          <w:sz w:val="24"/>
          <w:szCs w:val="24"/>
          <w:lang w:val="en-US"/>
        </w:rPr>
        <w:t xml:space="preserve"> the </w:t>
      </w:r>
      <w:r w:rsidR="00F30360" w:rsidRPr="004447D2">
        <w:rPr>
          <w:rFonts w:ascii="Book Antiqua" w:hAnsi="Book Antiqua"/>
          <w:sz w:val="24"/>
          <w:szCs w:val="24"/>
          <w:lang w:val="en-US"/>
        </w:rPr>
        <w:t>benefits and harms</w:t>
      </w:r>
      <w:r w:rsidRPr="004447D2">
        <w:rPr>
          <w:rFonts w:ascii="Book Antiqua" w:hAnsi="Book Antiqua"/>
          <w:sz w:val="24"/>
          <w:szCs w:val="24"/>
          <w:lang w:val="en-US"/>
        </w:rPr>
        <w:t xml:space="preserve"> of corticosteroid (CS) minimization following renal transplantation.</w:t>
      </w:r>
      <w:proofErr w:type="gramEnd"/>
      <w:r w:rsidRPr="004447D2">
        <w:rPr>
          <w:rFonts w:ascii="Book Antiqua" w:hAnsi="Book Antiqua"/>
          <w:sz w:val="24"/>
          <w:szCs w:val="24"/>
          <w:lang w:val="en-US"/>
        </w:rPr>
        <w:t xml:space="preserve"> </w:t>
      </w:r>
    </w:p>
    <w:p w14:paraId="3C8D6A21" w14:textId="77777777" w:rsidR="00A421FB" w:rsidRPr="004447D2" w:rsidRDefault="00A421FB" w:rsidP="00887EC2">
      <w:pPr>
        <w:pStyle w:val="a8"/>
        <w:spacing w:line="360" w:lineRule="auto"/>
        <w:jc w:val="both"/>
        <w:rPr>
          <w:rFonts w:ascii="Book Antiqua" w:hAnsi="Book Antiqua"/>
          <w:sz w:val="24"/>
          <w:szCs w:val="24"/>
          <w:lang w:val="en-US" w:eastAsia="zh-CN"/>
        </w:rPr>
      </w:pPr>
    </w:p>
    <w:p w14:paraId="1E266325" w14:textId="77777777" w:rsidR="00A421FB" w:rsidRPr="004447D2" w:rsidRDefault="000D3151" w:rsidP="00887EC2">
      <w:pPr>
        <w:pStyle w:val="a8"/>
        <w:spacing w:line="360" w:lineRule="auto"/>
        <w:jc w:val="both"/>
        <w:rPr>
          <w:rFonts w:ascii="Book Antiqua" w:hAnsi="Book Antiqua"/>
          <w:sz w:val="24"/>
          <w:szCs w:val="24"/>
          <w:lang w:val="en-US" w:eastAsia="zh-CN"/>
        </w:rPr>
      </w:pPr>
      <w:r w:rsidRPr="004447D2">
        <w:rPr>
          <w:rFonts w:ascii="Book Antiqua" w:hAnsi="Book Antiqua"/>
          <w:b/>
          <w:i/>
          <w:sz w:val="24"/>
          <w:szCs w:val="24"/>
          <w:lang w:val="en-US"/>
        </w:rPr>
        <w:t>METHODS</w:t>
      </w:r>
      <w:r w:rsidRPr="004447D2">
        <w:rPr>
          <w:rFonts w:ascii="Book Antiqua" w:hAnsi="Book Antiqua"/>
          <w:sz w:val="24"/>
          <w:szCs w:val="24"/>
          <w:lang w:val="en-US"/>
        </w:rPr>
        <w:t xml:space="preserve"> </w:t>
      </w:r>
    </w:p>
    <w:p w14:paraId="555956CF" w14:textId="41B64BB9" w:rsidR="000D3151" w:rsidRPr="004447D2" w:rsidRDefault="000D3151" w:rsidP="00887EC2">
      <w:pPr>
        <w:pStyle w:val="a8"/>
        <w:spacing w:line="360" w:lineRule="auto"/>
        <w:jc w:val="both"/>
        <w:rPr>
          <w:rFonts w:ascii="Book Antiqua" w:hAnsi="Book Antiqua"/>
          <w:sz w:val="24"/>
          <w:szCs w:val="24"/>
          <w:lang w:val="en-US" w:eastAsia="zh-CN"/>
        </w:rPr>
      </w:pPr>
      <w:r w:rsidRPr="004447D2">
        <w:rPr>
          <w:rFonts w:ascii="Book Antiqua" w:hAnsi="Book Antiqua"/>
          <w:sz w:val="24"/>
          <w:szCs w:val="24"/>
          <w:lang w:val="en-US"/>
        </w:rPr>
        <w:t xml:space="preserve">CS minimization attempts to </w:t>
      </w:r>
      <w:r w:rsidR="00F30360" w:rsidRPr="004447D2">
        <w:rPr>
          <w:rFonts w:ascii="Book Antiqua" w:hAnsi="Book Antiqua"/>
          <w:sz w:val="24"/>
          <w:szCs w:val="24"/>
          <w:lang w:val="en-US"/>
        </w:rPr>
        <w:t>improve cardiovascular risk factors</w:t>
      </w:r>
      <w:r w:rsidR="00C112E0" w:rsidRPr="004447D2">
        <w:rPr>
          <w:rFonts w:ascii="Book Antiqua" w:hAnsi="Book Antiqua"/>
          <w:sz w:val="24"/>
          <w:szCs w:val="24"/>
          <w:lang w:val="en-US"/>
        </w:rPr>
        <w:t xml:space="preserve"> (hypertension</w:t>
      </w:r>
      <w:r w:rsidR="00942824" w:rsidRPr="004447D2">
        <w:rPr>
          <w:rFonts w:ascii="Book Antiqua" w:hAnsi="Book Antiqua"/>
          <w:sz w:val="24"/>
          <w:szCs w:val="24"/>
          <w:lang w:val="en-US"/>
        </w:rPr>
        <w:t>,</w:t>
      </w:r>
      <w:r w:rsidR="00C112E0" w:rsidRPr="004447D2">
        <w:rPr>
          <w:rFonts w:ascii="Book Antiqua" w:hAnsi="Book Antiqua"/>
          <w:sz w:val="24"/>
          <w:szCs w:val="24"/>
          <w:lang w:val="en-US"/>
        </w:rPr>
        <w:t xml:space="preserve"> dia</w:t>
      </w:r>
      <w:r w:rsidR="00F30360" w:rsidRPr="004447D2">
        <w:rPr>
          <w:rFonts w:ascii="Book Antiqua" w:hAnsi="Book Antiqua"/>
          <w:sz w:val="24"/>
          <w:szCs w:val="24"/>
          <w:lang w:val="en-US"/>
        </w:rPr>
        <w:t>betes, dyslipidemia), to enhance</w:t>
      </w:r>
      <w:r w:rsidR="00C112E0" w:rsidRPr="004447D2">
        <w:rPr>
          <w:rFonts w:ascii="Book Antiqua" w:hAnsi="Book Antiqua"/>
          <w:sz w:val="24"/>
          <w:szCs w:val="24"/>
          <w:lang w:val="en-US"/>
        </w:rPr>
        <w:t xml:space="preserve"> growth in children</w:t>
      </w:r>
      <w:r w:rsidR="0020737E" w:rsidRPr="004447D2">
        <w:rPr>
          <w:rFonts w:ascii="Book Antiqua" w:hAnsi="Book Antiqua"/>
          <w:sz w:val="24"/>
          <w:szCs w:val="24"/>
          <w:lang w:val="en-US"/>
        </w:rPr>
        <w:t xml:space="preserve">, </w:t>
      </w:r>
      <w:r w:rsidR="00F30360" w:rsidRPr="004447D2">
        <w:rPr>
          <w:rFonts w:ascii="Book Antiqua" w:hAnsi="Book Antiqua"/>
          <w:sz w:val="24"/>
          <w:szCs w:val="24"/>
          <w:lang w:val="en-US"/>
        </w:rPr>
        <w:t>to ameliorate bone disease</w:t>
      </w:r>
      <w:r w:rsidR="0020737E" w:rsidRPr="004447D2">
        <w:rPr>
          <w:rFonts w:ascii="Book Antiqua" w:hAnsi="Book Antiqua"/>
          <w:sz w:val="24"/>
          <w:szCs w:val="24"/>
          <w:lang w:val="en-US"/>
        </w:rPr>
        <w:t xml:space="preserve"> and </w:t>
      </w:r>
      <w:r w:rsidR="00F30360" w:rsidRPr="004447D2">
        <w:rPr>
          <w:rFonts w:ascii="Book Antiqua" w:hAnsi="Book Antiqua"/>
          <w:sz w:val="24"/>
          <w:szCs w:val="24"/>
          <w:lang w:val="en-US"/>
        </w:rPr>
        <w:t xml:space="preserve">to lead to </w:t>
      </w:r>
      <w:r w:rsidR="0020737E" w:rsidRPr="004447D2">
        <w:rPr>
          <w:rFonts w:ascii="Book Antiqua" w:hAnsi="Book Antiqua"/>
          <w:sz w:val="24"/>
          <w:szCs w:val="24"/>
          <w:lang w:val="en-US"/>
        </w:rPr>
        <w:t xml:space="preserve">better </w:t>
      </w:r>
      <w:r w:rsidR="00942824" w:rsidRPr="004447D2">
        <w:rPr>
          <w:rFonts w:ascii="Book Antiqua" w:hAnsi="Book Antiqua"/>
          <w:sz w:val="24"/>
          <w:szCs w:val="24"/>
          <w:lang w:val="en-US"/>
        </w:rPr>
        <w:t>compliance with immu</w:t>
      </w:r>
      <w:r w:rsidR="0020737E" w:rsidRPr="004447D2">
        <w:rPr>
          <w:rFonts w:ascii="Book Antiqua" w:hAnsi="Book Antiqua"/>
          <w:sz w:val="24"/>
          <w:szCs w:val="24"/>
          <w:lang w:val="en-US"/>
        </w:rPr>
        <w:t>nosuppressive agents</w:t>
      </w:r>
      <w:r w:rsidR="00942824" w:rsidRPr="004447D2">
        <w:rPr>
          <w:rFonts w:ascii="Book Antiqua" w:hAnsi="Book Antiqua"/>
          <w:sz w:val="24"/>
          <w:szCs w:val="24"/>
          <w:lang w:val="en-US"/>
        </w:rPr>
        <w:t xml:space="preserve">. </w:t>
      </w:r>
      <w:r w:rsidR="003F3C9A" w:rsidRPr="004447D2">
        <w:rPr>
          <w:rFonts w:ascii="Book Antiqua" w:hAnsi="Book Antiqua"/>
          <w:sz w:val="24"/>
          <w:szCs w:val="24"/>
          <w:lang w:val="en-US"/>
        </w:rPr>
        <w:t>Neverthel</w:t>
      </w:r>
      <w:r w:rsidR="008464EE" w:rsidRPr="004447D2">
        <w:rPr>
          <w:rFonts w:ascii="Book Antiqua" w:hAnsi="Book Antiqua"/>
          <w:sz w:val="24"/>
          <w:szCs w:val="24"/>
          <w:lang w:val="en-US"/>
        </w:rPr>
        <w:t>e</w:t>
      </w:r>
      <w:r w:rsidR="003F3C9A" w:rsidRPr="004447D2">
        <w:rPr>
          <w:rFonts w:ascii="Book Antiqua" w:hAnsi="Book Antiqua"/>
          <w:sz w:val="24"/>
          <w:szCs w:val="24"/>
          <w:lang w:val="en-US"/>
        </w:rPr>
        <w:t>ss</w:t>
      </w:r>
      <w:r w:rsidR="00BF057D" w:rsidRPr="004447D2">
        <w:rPr>
          <w:rFonts w:ascii="Book Antiqua" w:hAnsi="Book Antiqua"/>
          <w:sz w:val="24"/>
          <w:szCs w:val="24"/>
          <w:lang w:val="en-US"/>
        </w:rPr>
        <w:t xml:space="preserve">, any benefit must be carefully weighed against the reduction in net immunosuppression </w:t>
      </w:r>
      <w:r w:rsidR="00013563" w:rsidRPr="004447D2">
        <w:rPr>
          <w:rFonts w:ascii="Book Antiqua" w:hAnsi="Book Antiqua"/>
          <w:sz w:val="24"/>
          <w:szCs w:val="24"/>
          <w:lang w:val="en-US"/>
        </w:rPr>
        <w:t>and the potential harm</w:t>
      </w:r>
      <w:r w:rsidR="00BF057D" w:rsidRPr="004447D2">
        <w:rPr>
          <w:rFonts w:ascii="Book Antiqua" w:hAnsi="Book Antiqua"/>
          <w:sz w:val="24"/>
          <w:szCs w:val="24"/>
          <w:lang w:val="en-US"/>
        </w:rPr>
        <w:t xml:space="preserve"> to </w:t>
      </w:r>
      <w:r w:rsidR="00013563" w:rsidRPr="004447D2">
        <w:rPr>
          <w:rFonts w:ascii="Book Antiqua" w:hAnsi="Book Antiqua"/>
          <w:sz w:val="24"/>
          <w:szCs w:val="24"/>
          <w:lang w:val="en-US"/>
        </w:rPr>
        <w:t>renal allograft function and survival.</w:t>
      </w:r>
      <w:r w:rsidR="001B5199" w:rsidRPr="004447D2">
        <w:rPr>
          <w:rFonts w:ascii="Book Antiqua" w:hAnsi="Book Antiqua"/>
          <w:sz w:val="24"/>
          <w:szCs w:val="24"/>
          <w:lang w:val="en-US"/>
        </w:rPr>
        <w:t xml:space="preserve"> </w:t>
      </w:r>
    </w:p>
    <w:p w14:paraId="0983C46A" w14:textId="77777777" w:rsidR="00A421FB" w:rsidRPr="004447D2" w:rsidRDefault="00A421FB" w:rsidP="00887EC2">
      <w:pPr>
        <w:pStyle w:val="a8"/>
        <w:spacing w:line="360" w:lineRule="auto"/>
        <w:jc w:val="both"/>
        <w:rPr>
          <w:rFonts w:ascii="Book Antiqua" w:hAnsi="Book Antiqua"/>
          <w:sz w:val="24"/>
          <w:szCs w:val="24"/>
          <w:lang w:val="en-US" w:eastAsia="zh-CN"/>
        </w:rPr>
      </w:pPr>
    </w:p>
    <w:p w14:paraId="2D4C0C32" w14:textId="77777777" w:rsidR="00A421FB" w:rsidRPr="004447D2" w:rsidRDefault="000D3151" w:rsidP="00887EC2">
      <w:pPr>
        <w:pStyle w:val="a8"/>
        <w:spacing w:line="360" w:lineRule="auto"/>
        <w:jc w:val="both"/>
        <w:rPr>
          <w:rFonts w:ascii="Book Antiqua" w:hAnsi="Book Antiqua"/>
          <w:i/>
          <w:sz w:val="24"/>
          <w:szCs w:val="24"/>
          <w:lang w:val="en-US" w:eastAsia="zh-CN"/>
        </w:rPr>
      </w:pPr>
      <w:r w:rsidRPr="004447D2">
        <w:rPr>
          <w:rFonts w:ascii="Book Antiqua" w:hAnsi="Book Antiqua"/>
          <w:b/>
          <w:i/>
          <w:sz w:val="24"/>
          <w:szCs w:val="24"/>
          <w:lang w:val="en-US"/>
        </w:rPr>
        <w:t>RESULTS</w:t>
      </w:r>
    </w:p>
    <w:p w14:paraId="23A9CF2A" w14:textId="70AB989B" w:rsidR="000C6689" w:rsidRPr="004447D2" w:rsidRDefault="00735FA5" w:rsidP="00887EC2">
      <w:pPr>
        <w:pStyle w:val="a8"/>
        <w:spacing w:line="360" w:lineRule="auto"/>
        <w:jc w:val="both"/>
        <w:rPr>
          <w:rFonts w:ascii="Book Antiqua" w:hAnsi="Book Antiqua"/>
          <w:sz w:val="24"/>
          <w:szCs w:val="24"/>
          <w:lang w:val="en-US" w:eastAsia="zh-CN"/>
        </w:rPr>
      </w:pPr>
      <w:r w:rsidRPr="004447D2">
        <w:rPr>
          <w:rFonts w:ascii="Book Antiqua" w:hAnsi="Book Antiqua"/>
          <w:sz w:val="24"/>
          <w:szCs w:val="24"/>
          <w:lang w:val="en-US"/>
        </w:rPr>
        <w:t>Complete CS avoidance or very early withdrawal (</w:t>
      </w:r>
      <w:r w:rsidRPr="004447D2">
        <w:rPr>
          <w:rFonts w:ascii="Book Antiqua" w:hAnsi="Book Antiqua"/>
          <w:i/>
          <w:sz w:val="24"/>
          <w:szCs w:val="24"/>
          <w:lang w:val="en-US"/>
        </w:rPr>
        <w:t>i.e.</w:t>
      </w:r>
      <w:r w:rsidR="00FF6F27" w:rsidRPr="004447D2">
        <w:rPr>
          <w:rFonts w:ascii="Book Antiqua" w:hAnsi="Book Antiqua"/>
          <w:sz w:val="24"/>
          <w:szCs w:val="24"/>
          <w:lang w:val="en-US" w:eastAsia="zh-CN"/>
        </w:rPr>
        <w:t>,</w:t>
      </w:r>
      <w:r w:rsidRPr="004447D2">
        <w:rPr>
          <w:rFonts w:ascii="Book Antiqua" w:hAnsi="Book Antiqua"/>
          <w:sz w:val="24"/>
          <w:szCs w:val="24"/>
          <w:lang w:val="en-US"/>
        </w:rPr>
        <w:t xml:space="preserve"> no CS after post-transplant day 7) seems to be associated with better outcomes in comparison with later withdrawal. However, a</w:t>
      </w:r>
      <w:r w:rsidR="001B5199" w:rsidRPr="004447D2">
        <w:rPr>
          <w:rFonts w:ascii="Book Antiqua" w:hAnsi="Book Antiqua"/>
          <w:sz w:val="24"/>
          <w:szCs w:val="24"/>
          <w:lang w:val="en-US"/>
        </w:rPr>
        <w:t>n increased incidence of CS-sensitive acute reje</w:t>
      </w:r>
      <w:r w:rsidR="003F3C9A" w:rsidRPr="004447D2">
        <w:rPr>
          <w:rFonts w:ascii="Book Antiqua" w:hAnsi="Book Antiqua"/>
          <w:sz w:val="24"/>
          <w:szCs w:val="24"/>
          <w:lang w:val="en-US"/>
        </w:rPr>
        <w:t xml:space="preserve">ction has been observed with </w:t>
      </w:r>
      <w:r w:rsidRPr="004447D2">
        <w:rPr>
          <w:rFonts w:ascii="Book Antiqua" w:hAnsi="Book Antiqua"/>
          <w:sz w:val="24"/>
          <w:szCs w:val="24"/>
          <w:lang w:val="en-US"/>
        </w:rPr>
        <w:t xml:space="preserve">all CS minimization strategies. </w:t>
      </w:r>
      <w:r w:rsidR="00510B5B" w:rsidRPr="004447D2">
        <w:rPr>
          <w:rFonts w:ascii="Book Antiqua" w:hAnsi="Book Antiqua"/>
          <w:sz w:val="24"/>
          <w:szCs w:val="24"/>
          <w:lang w:val="en-US"/>
        </w:rPr>
        <w:t>Among the prerequisites</w:t>
      </w:r>
      <w:r w:rsidR="00827DD2" w:rsidRPr="004447D2">
        <w:rPr>
          <w:rFonts w:ascii="Book Antiqua" w:hAnsi="Book Antiqua"/>
          <w:sz w:val="24"/>
          <w:szCs w:val="24"/>
          <w:lang w:val="en-US"/>
        </w:rPr>
        <w:t xml:space="preserve"> for the safe application</w:t>
      </w:r>
      <w:r w:rsidR="00510B5B" w:rsidRPr="004447D2">
        <w:rPr>
          <w:rFonts w:ascii="Book Antiqua" w:hAnsi="Book Antiqua"/>
          <w:sz w:val="24"/>
          <w:szCs w:val="24"/>
          <w:lang w:val="en-US"/>
        </w:rPr>
        <w:t xml:space="preserve"> of CS minimization protocols are the administration of induction immunosuppression and the inclusion of calcineurin inhibitors in maintenance immunosuppression regimens</w:t>
      </w:r>
      <w:r w:rsidR="004B5E11" w:rsidRPr="004447D2">
        <w:rPr>
          <w:rFonts w:ascii="Book Antiqua" w:hAnsi="Book Antiqua"/>
          <w:sz w:val="24"/>
          <w:szCs w:val="24"/>
          <w:lang w:val="en-US"/>
        </w:rPr>
        <w:t xml:space="preserve">. </w:t>
      </w:r>
    </w:p>
    <w:p w14:paraId="4B4C9EC4" w14:textId="77777777" w:rsidR="00A421FB" w:rsidRPr="004447D2" w:rsidRDefault="00A421FB" w:rsidP="00887EC2">
      <w:pPr>
        <w:pStyle w:val="a8"/>
        <w:spacing w:line="360" w:lineRule="auto"/>
        <w:jc w:val="both"/>
        <w:rPr>
          <w:rFonts w:ascii="Book Antiqua" w:hAnsi="Book Antiqua"/>
          <w:sz w:val="24"/>
          <w:szCs w:val="24"/>
          <w:lang w:val="en-US" w:eastAsia="zh-CN"/>
        </w:rPr>
      </w:pPr>
    </w:p>
    <w:p w14:paraId="50B48EA4" w14:textId="77777777" w:rsidR="00A421FB" w:rsidRPr="004447D2" w:rsidRDefault="000C6689" w:rsidP="00887EC2">
      <w:pPr>
        <w:pStyle w:val="a8"/>
        <w:spacing w:line="360" w:lineRule="auto"/>
        <w:jc w:val="both"/>
        <w:rPr>
          <w:rFonts w:ascii="Book Antiqua" w:hAnsi="Book Antiqua"/>
          <w:i/>
          <w:sz w:val="24"/>
          <w:szCs w:val="24"/>
          <w:lang w:val="en-US" w:eastAsia="zh-CN"/>
        </w:rPr>
      </w:pPr>
      <w:r w:rsidRPr="004447D2">
        <w:rPr>
          <w:rFonts w:ascii="Book Antiqua" w:hAnsi="Book Antiqua"/>
          <w:b/>
          <w:i/>
          <w:sz w:val="24"/>
          <w:szCs w:val="24"/>
          <w:lang w:val="en-US"/>
        </w:rPr>
        <w:t>CONCLUSION</w:t>
      </w:r>
      <w:r w:rsidRPr="004447D2">
        <w:rPr>
          <w:rFonts w:ascii="Book Antiqua" w:hAnsi="Book Antiqua"/>
          <w:i/>
          <w:sz w:val="24"/>
          <w:szCs w:val="24"/>
          <w:lang w:val="en-US"/>
        </w:rPr>
        <w:t xml:space="preserve"> </w:t>
      </w:r>
    </w:p>
    <w:p w14:paraId="45250879" w14:textId="020A7177" w:rsidR="00AB3071" w:rsidRPr="004447D2" w:rsidRDefault="004B5E1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Transplant recipients</w:t>
      </w:r>
      <w:r w:rsidR="00510B5B" w:rsidRPr="004447D2">
        <w:rPr>
          <w:rFonts w:ascii="Book Antiqua" w:hAnsi="Book Antiqua"/>
          <w:sz w:val="24"/>
          <w:szCs w:val="24"/>
          <w:lang w:val="en-US"/>
        </w:rPr>
        <w:t xml:space="preserve"> at low immunological</w:t>
      </w:r>
      <w:r w:rsidRPr="004447D2">
        <w:rPr>
          <w:rFonts w:ascii="Book Antiqua" w:hAnsi="Book Antiqua"/>
          <w:sz w:val="24"/>
          <w:szCs w:val="24"/>
          <w:lang w:val="en-US"/>
        </w:rPr>
        <w:t xml:space="preserve"> risk (primary</w:t>
      </w:r>
      <w:r w:rsidR="00510B5B" w:rsidRPr="004447D2">
        <w:rPr>
          <w:rFonts w:ascii="Book Antiqua" w:hAnsi="Book Antiqua"/>
          <w:sz w:val="24"/>
          <w:szCs w:val="24"/>
          <w:lang w:val="en-US"/>
        </w:rPr>
        <w:t xml:space="preserve"> transplant, </w:t>
      </w:r>
      <w:r w:rsidRPr="004447D2">
        <w:rPr>
          <w:rFonts w:ascii="Book Antiqua" w:hAnsi="Book Antiqua"/>
          <w:sz w:val="24"/>
          <w:szCs w:val="24"/>
          <w:lang w:val="en-US"/>
        </w:rPr>
        <w:t xml:space="preserve">low </w:t>
      </w:r>
      <w:r w:rsidR="001B2AEA" w:rsidRPr="004447D2">
        <w:rPr>
          <w:rFonts w:ascii="Book Antiqua" w:hAnsi="Book Antiqua"/>
          <w:sz w:val="24"/>
          <w:szCs w:val="24"/>
          <w:lang w:val="en-US"/>
        </w:rPr>
        <w:t>panel reactive antibodies</w:t>
      </w:r>
      <w:r w:rsidRPr="004447D2">
        <w:rPr>
          <w:rFonts w:ascii="Book Antiqua" w:hAnsi="Book Antiqua"/>
          <w:sz w:val="24"/>
          <w:szCs w:val="24"/>
          <w:lang w:val="en-US"/>
        </w:rPr>
        <w:t>) are thought as optimal</w:t>
      </w:r>
      <w:r w:rsidR="00827DD2" w:rsidRPr="004447D2">
        <w:rPr>
          <w:rFonts w:ascii="Book Antiqua" w:hAnsi="Book Antiqua"/>
          <w:sz w:val="24"/>
          <w:szCs w:val="24"/>
          <w:lang w:val="en-US"/>
        </w:rPr>
        <w:t xml:space="preserve"> candidates for</w:t>
      </w:r>
      <w:r w:rsidR="00510B5B" w:rsidRPr="004447D2">
        <w:rPr>
          <w:rFonts w:ascii="Book Antiqua" w:hAnsi="Book Antiqua"/>
          <w:sz w:val="24"/>
          <w:szCs w:val="24"/>
          <w:lang w:val="en-US"/>
        </w:rPr>
        <w:t xml:space="preserve"> CS minimization</w:t>
      </w:r>
      <w:r w:rsidRPr="004447D2">
        <w:rPr>
          <w:rFonts w:ascii="Book Antiqua" w:hAnsi="Book Antiqua"/>
          <w:sz w:val="24"/>
          <w:szCs w:val="24"/>
          <w:lang w:val="en-US"/>
        </w:rPr>
        <w:t>.</w:t>
      </w:r>
      <w:r w:rsidR="00942824" w:rsidRPr="004447D2">
        <w:rPr>
          <w:rFonts w:ascii="Book Antiqua" w:hAnsi="Book Antiqua"/>
          <w:sz w:val="24"/>
          <w:szCs w:val="24"/>
          <w:lang w:val="en-US"/>
        </w:rPr>
        <w:t xml:space="preserve"> </w:t>
      </w:r>
      <w:r w:rsidRPr="004447D2">
        <w:rPr>
          <w:rFonts w:ascii="Book Antiqua" w:hAnsi="Book Antiqua"/>
          <w:sz w:val="24"/>
          <w:szCs w:val="24"/>
          <w:lang w:val="en-US"/>
        </w:rPr>
        <w:t>CS</w:t>
      </w:r>
      <w:r w:rsidR="00942824" w:rsidRPr="004447D2">
        <w:rPr>
          <w:rFonts w:ascii="Book Antiqua" w:hAnsi="Book Antiqua"/>
          <w:sz w:val="24"/>
          <w:szCs w:val="24"/>
          <w:lang w:val="en-US"/>
        </w:rPr>
        <w:t xml:space="preserve"> avoidance may </w:t>
      </w:r>
      <w:r w:rsidRPr="004447D2">
        <w:rPr>
          <w:rFonts w:ascii="Book Antiqua" w:hAnsi="Book Antiqua"/>
          <w:sz w:val="24"/>
          <w:szCs w:val="24"/>
          <w:lang w:val="en-US"/>
        </w:rPr>
        <w:t>also be undesirable</w:t>
      </w:r>
      <w:r w:rsidR="00942824" w:rsidRPr="004447D2">
        <w:rPr>
          <w:rFonts w:ascii="Book Antiqua" w:hAnsi="Book Antiqua"/>
          <w:sz w:val="24"/>
          <w:szCs w:val="24"/>
          <w:lang w:val="en-US"/>
        </w:rPr>
        <w:t xml:space="preserve"> in patien</w:t>
      </w:r>
      <w:r w:rsidRPr="004447D2">
        <w:rPr>
          <w:rFonts w:ascii="Book Antiqua" w:hAnsi="Book Antiqua"/>
          <w:sz w:val="24"/>
          <w:szCs w:val="24"/>
          <w:lang w:val="en-US"/>
        </w:rPr>
        <w:t>ts at risk for</w:t>
      </w:r>
      <w:r w:rsidR="00942824" w:rsidRPr="004447D2">
        <w:rPr>
          <w:rFonts w:ascii="Book Antiqua" w:hAnsi="Book Antiqua"/>
          <w:sz w:val="24"/>
          <w:szCs w:val="24"/>
          <w:lang w:val="en-US"/>
        </w:rPr>
        <w:t xml:space="preserve"> </w:t>
      </w:r>
      <w:r w:rsidRPr="004447D2">
        <w:rPr>
          <w:rFonts w:ascii="Book Antiqua" w:hAnsi="Book Antiqua"/>
          <w:sz w:val="24"/>
          <w:szCs w:val="24"/>
          <w:lang w:val="en-US"/>
        </w:rPr>
        <w:t>glomerulonephritis recurrence</w:t>
      </w:r>
      <w:r w:rsidR="007B7AE2" w:rsidRPr="004447D2">
        <w:rPr>
          <w:rFonts w:ascii="Book Antiqua" w:hAnsi="Book Antiqua"/>
          <w:sz w:val="24"/>
          <w:szCs w:val="24"/>
          <w:lang w:val="en-US"/>
        </w:rPr>
        <w:t xml:space="preserve"> or with severe </w:t>
      </w:r>
      <w:r w:rsidR="00DF12FE" w:rsidRPr="004447D2">
        <w:rPr>
          <w:rFonts w:ascii="Book Antiqua" w:hAnsi="Book Antiqua"/>
          <w:sz w:val="24"/>
          <w:szCs w:val="24"/>
          <w:lang w:val="en-US"/>
        </w:rPr>
        <w:t>delayed graft function and prolonged cold ischemia time.</w:t>
      </w:r>
      <w:r w:rsidR="00827DD2" w:rsidRPr="004447D2">
        <w:rPr>
          <w:rFonts w:ascii="Book Antiqua" w:hAnsi="Book Antiqua"/>
          <w:sz w:val="24"/>
          <w:szCs w:val="24"/>
          <w:lang w:val="en-US"/>
        </w:rPr>
        <w:t xml:space="preserve"> Thus, CS minimization is not yet ready for implementation in the majority of transplant recipients. </w:t>
      </w:r>
    </w:p>
    <w:p w14:paraId="38C2D376" w14:textId="77777777" w:rsidR="00AB3071" w:rsidRPr="004447D2" w:rsidRDefault="00AB3071" w:rsidP="00887EC2">
      <w:pPr>
        <w:pStyle w:val="a8"/>
        <w:spacing w:line="360" w:lineRule="auto"/>
        <w:jc w:val="both"/>
        <w:rPr>
          <w:rFonts w:ascii="Book Antiqua" w:hAnsi="Book Antiqua"/>
          <w:sz w:val="24"/>
          <w:szCs w:val="24"/>
          <w:lang w:val="en-US"/>
        </w:rPr>
      </w:pPr>
    </w:p>
    <w:p w14:paraId="253736FA" w14:textId="32F56B29" w:rsidR="00271E80" w:rsidRPr="004447D2" w:rsidRDefault="00271E80" w:rsidP="00887EC2">
      <w:pPr>
        <w:pStyle w:val="a8"/>
        <w:spacing w:line="360" w:lineRule="auto"/>
        <w:jc w:val="both"/>
        <w:rPr>
          <w:rFonts w:ascii="Book Antiqua" w:hAnsi="Book Antiqua"/>
          <w:sz w:val="24"/>
          <w:szCs w:val="24"/>
          <w:lang w:val="en-US" w:eastAsia="zh-CN"/>
        </w:rPr>
      </w:pPr>
      <w:r w:rsidRPr="004447D2">
        <w:rPr>
          <w:rFonts w:ascii="Book Antiqua" w:hAnsi="Book Antiqua"/>
          <w:b/>
          <w:sz w:val="24"/>
          <w:szCs w:val="24"/>
          <w:lang w:val="en-US"/>
        </w:rPr>
        <w:t>Key</w:t>
      </w:r>
      <w:r w:rsidR="00394777" w:rsidRPr="004447D2">
        <w:rPr>
          <w:rFonts w:ascii="Book Antiqua" w:hAnsi="Book Antiqua"/>
          <w:b/>
          <w:sz w:val="24"/>
          <w:szCs w:val="24"/>
          <w:lang w:val="en-US" w:eastAsia="zh-CN"/>
        </w:rPr>
        <w:t xml:space="preserve"> </w:t>
      </w:r>
      <w:r w:rsidRPr="004447D2">
        <w:rPr>
          <w:rFonts w:ascii="Book Antiqua" w:hAnsi="Book Antiqua"/>
          <w:b/>
          <w:sz w:val="24"/>
          <w:szCs w:val="24"/>
          <w:lang w:val="en-US"/>
        </w:rPr>
        <w:t xml:space="preserve">words: </w:t>
      </w:r>
      <w:bookmarkStart w:id="34" w:name="OLE_LINK282"/>
      <w:bookmarkStart w:id="35" w:name="OLE_LINK283"/>
      <w:r w:rsidR="00394777" w:rsidRPr="004447D2">
        <w:rPr>
          <w:rFonts w:ascii="Book Antiqua" w:hAnsi="Book Antiqua"/>
          <w:sz w:val="24"/>
          <w:szCs w:val="24"/>
          <w:lang w:val="en-US"/>
        </w:rPr>
        <w:t>R</w:t>
      </w:r>
      <w:r w:rsidR="008464EE" w:rsidRPr="004447D2">
        <w:rPr>
          <w:rFonts w:ascii="Book Antiqua" w:hAnsi="Book Antiqua"/>
          <w:sz w:val="24"/>
          <w:szCs w:val="24"/>
          <w:lang w:val="en-US"/>
        </w:rPr>
        <w:t>enal transplantation</w:t>
      </w:r>
      <w:r w:rsidR="00394777" w:rsidRPr="004447D2">
        <w:rPr>
          <w:rFonts w:ascii="Book Antiqua" w:hAnsi="Book Antiqua"/>
          <w:sz w:val="24"/>
          <w:szCs w:val="24"/>
          <w:lang w:val="en-US" w:eastAsia="zh-CN"/>
        </w:rPr>
        <w:t>;</w:t>
      </w:r>
      <w:r w:rsidR="008464EE" w:rsidRPr="004447D2">
        <w:rPr>
          <w:rFonts w:ascii="Book Antiqua" w:hAnsi="Book Antiqua"/>
          <w:sz w:val="24"/>
          <w:szCs w:val="24"/>
          <w:lang w:val="en-US"/>
        </w:rPr>
        <w:t xml:space="preserve"> </w:t>
      </w:r>
      <w:r w:rsidR="00394777" w:rsidRPr="004447D2">
        <w:rPr>
          <w:rFonts w:ascii="Book Antiqua" w:hAnsi="Book Antiqua"/>
          <w:sz w:val="24"/>
          <w:szCs w:val="24"/>
          <w:lang w:val="en-US"/>
        </w:rPr>
        <w:t>C</w:t>
      </w:r>
      <w:r w:rsidR="008464EE" w:rsidRPr="004447D2">
        <w:rPr>
          <w:rFonts w:ascii="Book Antiqua" w:hAnsi="Book Antiqua"/>
          <w:sz w:val="24"/>
          <w:szCs w:val="24"/>
          <w:lang w:val="en-US"/>
        </w:rPr>
        <w:t>orticosteroid minimization</w:t>
      </w:r>
      <w:r w:rsidR="00394777" w:rsidRPr="004447D2">
        <w:rPr>
          <w:rFonts w:ascii="Book Antiqua" w:hAnsi="Book Antiqua"/>
          <w:sz w:val="24"/>
          <w:szCs w:val="24"/>
          <w:lang w:val="en-US" w:eastAsia="zh-CN"/>
        </w:rPr>
        <w:t>;</w:t>
      </w:r>
      <w:r w:rsidR="008464EE" w:rsidRPr="004447D2">
        <w:rPr>
          <w:rFonts w:ascii="Book Antiqua" w:hAnsi="Book Antiqua"/>
          <w:sz w:val="24"/>
          <w:szCs w:val="24"/>
          <w:lang w:val="en-US"/>
        </w:rPr>
        <w:t xml:space="preserve"> </w:t>
      </w:r>
      <w:r w:rsidR="00394777" w:rsidRPr="004447D2">
        <w:rPr>
          <w:rFonts w:ascii="Book Antiqua" w:hAnsi="Book Antiqua"/>
          <w:sz w:val="24"/>
          <w:szCs w:val="24"/>
          <w:lang w:val="en-US"/>
        </w:rPr>
        <w:t>C</w:t>
      </w:r>
      <w:r w:rsidR="008464EE" w:rsidRPr="004447D2">
        <w:rPr>
          <w:rFonts w:ascii="Book Antiqua" w:hAnsi="Book Antiqua"/>
          <w:sz w:val="24"/>
          <w:szCs w:val="24"/>
          <w:lang w:val="en-US"/>
        </w:rPr>
        <w:t>orticosteroid withdrawal</w:t>
      </w:r>
      <w:r w:rsidR="00394777" w:rsidRPr="004447D2">
        <w:rPr>
          <w:rFonts w:ascii="Book Antiqua" w:hAnsi="Book Antiqua"/>
          <w:sz w:val="24"/>
          <w:szCs w:val="24"/>
          <w:lang w:val="en-US" w:eastAsia="zh-CN"/>
        </w:rPr>
        <w:t>;</w:t>
      </w:r>
      <w:r w:rsidR="008464EE" w:rsidRPr="004447D2">
        <w:rPr>
          <w:rFonts w:ascii="Book Antiqua" w:hAnsi="Book Antiqua"/>
          <w:sz w:val="24"/>
          <w:szCs w:val="24"/>
          <w:lang w:val="en-US"/>
        </w:rPr>
        <w:t xml:space="preserve"> </w:t>
      </w:r>
      <w:r w:rsidR="00394777" w:rsidRPr="004447D2">
        <w:rPr>
          <w:rFonts w:ascii="Book Antiqua" w:hAnsi="Book Antiqua"/>
          <w:sz w:val="24"/>
          <w:szCs w:val="24"/>
          <w:lang w:val="en-US"/>
        </w:rPr>
        <w:t>C</w:t>
      </w:r>
      <w:r w:rsidR="008464EE" w:rsidRPr="004447D2">
        <w:rPr>
          <w:rFonts w:ascii="Book Antiqua" w:hAnsi="Book Antiqua"/>
          <w:sz w:val="24"/>
          <w:szCs w:val="24"/>
          <w:lang w:val="en-US"/>
        </w:rPr>
        <w:t>orticosteroid avoidance</w:t>
      </w:r>
      <w:r w:rsidR="00394777" w:rsidRPr="004447D2">
        <w:rPr>
          <w:rFonts w:ascii="Book Antiqua" w:hAnsi="Book Antiqua"/>
          <w:sz w:val="24"/>
          <w:szCs w:val="24"/>
          <w:lang w:val="en-US" w:eastAsia="zh-CN"/>
        </w:rPr>
        <w:t>;</w:t>
      </w:r>
      <w:r w:rsidR="008464EE" w:rsidRPr="004447D2">
        <w:rPr>
          <w:rFonts w:ascii="Book Antiqua" w:hAnsi="Book Antiqua"/>
          <w:sz w:val="24"/>
          <w:szCs w:val="24"/>
          <w:lang w:val="en-US"/>
        </w:rPr>
        <w:t xml:space="preserve"> </w:t>
      </w:r>
      <w:proofErr w:type="gramStart"/>
      <w:r w:rsidR="00394777" w:rsidRPr="004447D2">
        <w:rPr>
          <w:rFonts w:ascii="Book Antiqua" w:hAnsi="Book Antiqua"/>
          <w:sz w:val="24"/>
          <w:szCs w:val="24"/>
          <w:lang w:val="en-US"/>
        </w:rPr>
        <w:t>A</w:t>
      </w:r>
      <w:r w:rsidR="008464EE" w:rsidRPr="004447D2">
        <w:rPr>
          <w:rFonts w:ascii="Book Antiqua" w:hAnsi="Book Antiqua"/>
          <w:sz w:val="24"/>
          <w:szCs w:val="24"/>
          <w:lang w:val="en-US"/>
        </w:rPr>
        <w:t>cute</w:t>
      </w:r>
      <w:proofErr w:type="gramEnd"/>
      <w:r w:rsidR="008464EE" w:rsidRPr="004447D2">
        <w:rPr>
          <w:rFonts w:ascii="Book Antiqua" w:hAnsi="Book Antiqua"/>
          <w:sz w:val="24"/>
          <w:szCs w:val="24"/>
          <w:lang w:val="en-US"/>
        </w:rPr>
        <w:t xml:space="preserve"> rejection</w:t>
      </w:r>
      <w:r w:rsidR="00394777" w:rsidRPr="004447D2">
        <w:rPr>
          <w:rFonts w:ascii="Book Antiqua" w:hAnsi="Book Antiqua"/>
          <w:sz w:val="24"/>
          <w:szCs w:val="24"/>
          <w:lang w:val="en-US" w:eastAsia="zh-CN"/>
        </w:rPr>
        <w:t>;</w:t>
      </w:r>
      <w:r w:rsidR="00394777" w:rsidRPr="004447D2">
        <w:rPr>
          <w:rFonts w:ascii="Book Antiqua" w:hAnsi="Book Antiqua"/>
          <w:sz w:val="24"/>
          <w:szCs w:val="24"/>
          <w:lang w:val="en-US"/>
        </w:rPr>
        <w:t xml:space="preserve"> I</w:t>
      </w:r>
      <w:r w:rsidR="00704BC2" w:rsidRPr="004447D2">
        <w:rPr>
          <w:rFonts w:ascii="Book Antiqua" w:hAnsi="Book Antiqua"/>
          <w:sz w:val="24"/>
          <w:szCs w:val="24"/>
          <w:lang w:val="en-US"/>
        </w:rPr>
        <w:t>mmunosuppression</w:t>
      </w:r>
    </w:p>
    <w:bookmarkEnd w:id="34"/>
    <w:bookmarkEnd w:id="35"/>
    <w:p w14:paraId="1DE07241" w14:textId="258F3C4C" w:rsidR="00D05358" w:rsidRPr="004447D2" w:rsidRDefault="00D05358" w:rsidP="00887EC2">
      <w:pPr>
        <w:pStyle w:val="a8"/>
        <w:spacing w:line="360" w:lineRule="auto"/>
        <w:jc w:val="both"/>
        <w:rPr>
          <w:rFonts w:ascii="Book Antiqua" w:hAnsi="Book Antiqua"/>
          <w:sz w:val="24"/>
          <w:szCs w:val="24"/>
          <w:lang w:val="en-US" w:eastAsia="zh-CN"/>
        </w:rPr>
      </w:pPr>
    </w:p>
    <w:p w14:paraId="164B4E4C" w14:textId="77777777" w:rsidR="00330EA0" w:rsidRPr="004447D2" w:rsidRDefault="00330EA0" w:rsidP="00887EC2">
      <w:pPr>
        <w:snapToGrid w:val="0"/>
        <w:spacing w:after="0" w:line="360" w:lineRule="auto"/>
        <w:jc w:val="both"/>
        <w:rPr>
          <w:rFonts w:ascii="Book Antiqua" w:hAnsi="Book Antiqua"/>
          <w:sz w:val="24"/>
          <w:szCs w:val="24"/>
          <w:lang w:val="en-US"/>
        </w:rPr>
      </w:pPr>
      <w:bookmarkStart w:id="36" w:name="OLE_LINK193"/>
      <w:bookmarkStart w:id="37" w:name="OLE_LINK194"/>
      <w:proofErr w:type="gramStart"/>
      <w:r w:rsidRPr="004447D2">
        <w:rPr>
          <w:rFonts w:ascii="Book Antiqua" w:hAnsi="Book Antiqua"/>
          <w:sz w:val="24"/>
          <w:szCs w:val="24"/>
          <w:lang w:val="en-US"/>
        </w:rPr>
        <w:t xml:space="preserve">© </w:t>
      </w:r>
      <w:r w:rsidRPr="004447D2">
        <w:rPr>
          <w:rFonts w:ascii="Book Antiqua" w:hAnsi="Book Antiqua"/>
          <w:b/>
          <w:sz w:val="24"/>
          <w:szCs w:val="24"/>
          <w:lang w:val="en-US"/>
        </w:rPr>
        <w:t>The Author(s) 2016</w:t>
      </w:r>
      <w:r w:rsidRPr="004447D2">
        <w:rPr>
          <w:rFonts w:ascii="Book Antiqua" w:hAnsi="Book Antiqua"/>
          <w:sz w:val="24"/>
          <w:szCs w:val="24"/>
          <w:lang w:val="en-US"/>
        </w:rPr>
        <w:t>.</w:t>
      </w:r>
      <w:proofErr w:type="gramEnd"/>
      <w:r w:rsidRPr="004447D2">
        <w:rPr>
          <w:rFonts w:ascii="Book Antiqua" w:hAnsi="Book Antiqua"/>
          <w:sz w:val="24"/>
          <w:szCs w:val="24"/>
          <w:lang w:val="en-US"/>
        </w:rPr>
        <w:t xml:space="preserve"> </w:t>
      </w:r>
      <w:proofErr w:type="gramStart"/>
      <w:r w:rsidRPr="004447D2">
        <w:rPr>
          <w:rFonts w:ascii="Book Antiqua" w:hAnsi="Book Antiqua"/>
          <w:sz w:val="24"/>
          <w:szCs w:val="24"/>
          <w:lang w:val="en-US"/>
        </w:rPr>
        <w:t xml:space="preserve">Published by </w:t>
      </w:r>
      <w:proofErr w:type="spellStart"/>
      <w:r w:rsidRPr="004447D2">
        <w:rPr>
          <w:rFonts w:ascii="Book Antiqua" w:hAnsi="Book Antiqua"/>
          <w:sz w:val="24"/>
          <w:szCs w:val="24"/>
          <w:lang w:val="en-US"/>
        </w:rPr>
        <w:t>Baishideng</w:t>
      </w:r>
      <w:proofErr w:type="spellEnd"/>
      <w:r w:rsidRPr="004447D2">
        <w:rPr>
          <w:rFonts w:ascii="Book Antiqua" w:hAnsi="Book Antiqua"/>
          <w:sz w:val="24"/>
          <w:szCs w:val="24"/>
          <w:lang w:val="en-US"/>
        </w:rPr>
        <w:t xml:space="preserve"> Publishing Group Inc.</w:t>
      </w:r>
      <w:proofErr w:type="gramEnd"/>
      <w:r w:rsidRPr="004447D2">
        <w:rPr>
          <w:rFonts w:ascii="Book Antiqua" w:hAnsi="Book Antiqua"/>
          <w:sz w:val="24"/>
          <w:szCs w:val="24"/>
          <w:lang w:val="en-US"/>
        </w:rPr>
        <w:t xml:space="preserve"> All rights reserved.</w:t>
      </w:r>
    </w:p>
    <w:bookmarkEnd w:id="36"/>
    <w:bookmarkEnd w:id="37"/>
    <w:p w14:paraId="2DBF27CE" w14:textId="77777777" w:rsidR="00330EA0" w:rsidRPr="004447D2" w:rsidRDefault="00330EA0" w:rsidP="00887EC2">
      <w:pPr>
        <w:pStyle w:val="a8"/>
        <w:spacing w:line="360" w:lineRule="auto"/>
        <w:jc w:val="both"/>
        <w:rPr>
          <w:rFonts w:ascii="Book Antiqua" w:hAnsi="Book Antiqua"/>
          <w:sz w:val="24"/>
          <w:szCs w:val="24"/>
          <w:lang w:val="en-US" w:eastAsia="zh-CN"/>
        </w:rPr>
      </w:pPr>
    </w:p>
    <w:p w14:paraId="783B2186" w14:textId="6CBD66FF" w:rsidR="000005BB" w:rsidRPr="004447D2" w:rsidRDefault="00394777" w:rsidP="00887EC2">
      <w:pPr>
        <w:pStyle w:val="a8"/>
        <w:spacing w:line="360" w:lineRule="auto"/>
        <w:jc w:val="both"/>
        <w:rPr>
          <w:rFonts w:ascii="Book Antiqua" w:hAnsi="Book Antiqua"/>
          <w:sz w:val="24"/>
          <w:szCs w:val="24"/>
          <w:lang w:val="en-US"/>
        </w:rPr>
      </w:pPr>
      <w:r w:rsidRPr="004447D2">
        <w:rPr>
          <w:rFonts w:ascii="Book Antiqua" w:hAnsi="Book Antiqua"/>
          <w:b/>
          <w:sz w:val="24"/>
          <w:szCs w:val="24"/>
          <w:lang w:val="en-US"/>
        </w:rPr>
        <w:t>Core</w:t>
      </w:r>
      <w:r w:rsidRPr="004447D2">
        <w:rPr>
          <w:rFonts w:ascii="Book Antiqua" w:hAnsi="Book Antiqua"/>
          <w:b/>
          <w:sz w:val="24"/>
          <w:szCs w:val="24"/>
          <w:lang w:val="en-US" w:eastAsia="zh-CN"/>
        </w:rPr>
        <w:t xml:space="preserve"> </w:t>
      </w:r>
      <w:r w:rsidR="000005BB" w:rsidRPr="004447D2">
        <w:rPr>
          <w:rFonts w:ascii="Book Antiqua" w:hAnsi="Book Antiqua"/>
          <w:b/>
          <w:sz w:val="24"/>
          <w:szCs w:val="24"/>
          <w:lang w:val="en-US"/>
        </w:rPr>
        <w:t xml:space="preserve">tip: </w:t>
      </w:r>
      <w:bookmarkStart w:id="38" w:name="OLE_LINK284"/>
      <w:bookmarkStart w:id="39" w:name="OLE_LINK285"/>
      <w:r w:rsidR="00D814C0" w:rsidRPr="004447D2">
        <w:rPr>
          <w:rFonts w:ascii="Book Antiqua" w:hAnsi="Book Antiqua"/>
          <w:sz w:val="24"/>
          <w:szCs w:val="24"/>
          <w:lang w:val="en-US"/>
        </w:rPr>
        <w:t>Although c</w:t>
      </w:r>
      <w:r w:rsidR="008528E6" w:rsidRPr="004447D2">
        <w:rPr>
          <w:rFonts w:ascii="Book Antiqua" w:hAnsi="Book Antiqua"/>
          <w:sz w:val="24"/>
          <w:szCs w:val="24"/>
          <w:lang w:val="en-US"/>
        </w:rPr>
        <w:t>orticosteroids have</w:t>
      </w:r>
      <w:r w:rsidR="00D814C0" w:rsidRPr="004447D2">
        <w:rPr>
          <w:rFonts w:ascii="Book Antiqua" w:hAnsi="Book Antiqua"/>
          <w:sz w:val="24"/>
          <w:szCs w:val="24"/>
          <w:lang w:val="en-US"/>
        </w:rPr>
        <w:t xml:space="preserve"> been traditional components of immunosuppressive regimens in renal transplantation, corticosteroid minimization strategies </w:t>
      </w:r>
      <w:r w:rsidR="008528E6" w:rsidRPr="004447D2">
        <w:rPr>
          <w:rFonts w:ascii="Book Antiqua" w:hAnsi="Book Antiqua"/>
          <w:sz w:val="24"/>
          <w:szCs w:val="24"/>
          <w:lang w:val="en-US"/>
        </w:rPr>
        <w:t>are</w:t>
      </w:r>
      <w:r w:rsidR="00D814C0" w:rsidRPr="004447D2">
        <w:rPr>
          <w:rFonts w:ascii="Book Antiqua" w:hAnsi="Book Antiqua"/>
          <w:sz w:val="24"/>
          <w:szCs w:val="24"/>
          <w:lang w:val="en-US"/>
        </w:rPr>
        <w:t xml:space="preserve"> developed in an attempt to mitigate their </w:t>
      </w:r>
      <w:r w:rsidR="008528E6" w:rsidRPr="004447D2">
        <w:rPr>
          <w:rFonts w:ascii="Book Antiqua" w:hAnsi="Book Antiqua"/>
          <w:sz w:val="24"/>
          <w:szCs w:val="24"/>
          <w:lang w:val="en-US"/>
        </w:rPr>
        <w:t xml:space="preserve">many </w:t>
      </w:r>
      <w:r w:rsidR="00D814C0" w:rsidRPr="004447D2">
        <w:rPr>
          <w:rFonts w:ascii="Book Antiqua" w:hAnsi="Book Antiqua"/>
          <w:sz w:val="24"/>
          <w:szCs w:val="24"/>
          <w:lang w:val="en-US"/>
        </w:rPr>
        <w:t xml:space="preserve">side-effects. </w:t>
      </w:r>
      <w:r w:rsidR="008528E6" w:rsidRPr="004447D2">
        <w:rPr>
          <w:rFonts w:ascii="Book Antiqua" w:hAnsi="Book Antiqua"/>
          <w:sz w:val="24"/>
          <w:szCs w:val="24"/>
          <w:lang w:val="en-US"/>
        </w:rPr>
        <w:t>The benefit from this approach must be balanced against the risk of acute re</w:t>
      </w:r>
      <w:r w:rsidR="00BC1275" w:rsidRPr="004447D2">
        <w:rPr>
          <w:rFonts w:ascii="Book Antiqua" w:hAnsi="Book Antiqua"/>
          <w:sz w:val="24"/>
          <w:szCs w:val="24"/>
          <w:lang w:val="en-US"/>
        </w:rPr>
        <w:t xml:space="preserve">jection due to insufficient immunosuppression and the potential harm to allograft survival. </w:t>
      </w:r>
      <w:r w:rsidR="008528E6" w:rsidRPr="004447D2">
        <w:rPr>
          <w:rFonts w:ascii="Book Antiqua" w:hAnsi="Book Antiqua"/>
          <w:sz w:val="24"/>
          <w:szCs w:val="24"/>
          <w:lang w:val="en-US"/>
        </w:rPr>
        <w:t>We present an overview of these strategies and their impact on clinical outcomes analyzing the key clinical trials performed. Furthermore, we focus on patient selection according to the immunological risk</w:t>
      </w:r>
      <w:r w:rsidR="00F65594" w:rsidRPr="004447D2">
        <w:rPr>
          <w:rFonts w:ascii="Book Antiqua" w:hAnsi="Book Antiqua"/>
          <w:sz w:val="24"/>
          <w:szCs w:val="24"/>
          <w:lang w:val="en-US"/>
        </w:rPr>
        <w:t xml:space="preserve"> and the induction immunosuppression</w:t>
      </w:r>
      <w:r w:rsidR="008528E6" w:rsidRPr="004447D2">
        <w:rPr>
          <w:rFonts w:ascii="Book Antiqua" w:hAnsi="Book Antiqua"/>
          <w:sz w:val="24"/>
          <w:szCs w:val="24"/>
          <w:lang w:val="en-US"/>
        </w:rPr>
        <w:t>, the principal factor</w:t>
      </w:r>
      <w:r w:rsidR="00F65594" w:rsidRPr="004447D2">
        <w:rPr>
          <w:rFonts w:ascii="Book Antiqua" w:hAnsi="Book Antiqua"/>
          <w:sz w:val="24"/>
          <w:szCs w:val="24"/>
          <w:lang w:val="en-US"/>
        </w:rPr>
        <w:t>s</w:t>
      </w:r>
      <w:r w:rsidR="008528E6" w:rsidRPr="004447D2">
        <w:rPr>
          <w:rFonts w:ascii="Book Antiqua" w:hAnsi="Book Antiqua"/>
          <w:sz w:val="24"/>
          <w:szCs w:val="24"/>
          <w:lang w:val="en-US"/>
        </w:rPr>
        <w:t xml:space="preserve"> </w:t>
      </w:r>
      <w:r w:rsidR="00F65594" w:rsidRPr="004447D2">
        <w:rPr>
          <w:rFonts w:ascii="Book Antiqua" w:hAnsi="Book Antiqua"/>
          <w:sz w:val="24"/>
          <w:szCs w:val="24"/>
          <w:lang w:val="en-US"/>
        </w:rPr>
        <w:t>that determine</w:t>
      </w:r>
      <w:r w:rsidR="008528E6" w:rsidRPr="004447D2">
        <w:rPr>
          <w:rFonts w:ascii="Book Antiqua" w:hAnsi="Book Antiqua"/>
          <w:sz w:val="24"/>
          <w:szCs w:val="24"/>
          <w:lang w:val="en-US"/>
        </w:rPr>
        <w:t xml:space="preserve"> the success of corticosteroid withdrawal and avoidance protocols.</w:t>
      </w:r>
    </w:p>
    <w:bookmarkEnd w:id="38"/>
    <w:bookmarkEnd w:id="39"/>
    <w:p w14:paraId="60257AF1" w14:textId="7FCBD442" w:rsidR="000005BB" w:rsidRPr="004447D2" w:rsidRDefault="000005BB" w:rsidP="00887EC2">
      <w:pPr>
        <w:pStyle w:val="a8"/>
        <w:spacing w:line="360" w:lineRule="auto"/>
        <w:jc w:val="both"/>
        <w:rPr>
          <w:rFonts w:ascii="Book Antiqua" w:hAnsi="Book Antiqua"/>
          <w:b/>
          <w:sz w:val="24"/>
          <w:szCs w:val="24"/>
          <w:lang w:val="en-US"/>
        </w:rPr>
      </w:pPr>
    </w:p>
    <w:p w14:paraId="52DA2D95" w14:textId="77777777" w:rsidR="00330EA0" w:rsidRPr="004447D2" w:rsidRDefault="00330EA0" w:rsidP="00887EC2">
      <w:pPr>
        <w:spacing w:after="0" w:line="360" w:lineRule="auto"/>
        <w:jc w:val="both"/>
        <w:rPr>
          <w:rFonts w:ascii="Book Antiqua" w:hAnsi="Book Antiqua"/>
          <w:b/>
          <w:sz w:val="24"/>
          <w:szCs w:val="24"/>
          <w:lang w:val="en-US" w:eastAsia="zh-CN"/>
        </w:rPr>
      </w:pPr>
      <w:proofErr w:type="spellStart"/>
      <w:r w:rsidRPr="004447D2">
        <w:rPr>
          <w:rFonts w:ascii="Book Antiqua" w:hAnsi="Book Antiqua"/>
          <w:sz w:val="24"/>
          <w:szCs w:val="24"/>
          <w:lang w:val="en-US"/>
        </w:rPr>
        <w:t>Vlachopanos</w:t>
      </w:r>
      <w:proofErr w:type="spellEnd"/>
      <w:r w:rsidRPr="004447D2">
        <w:rPr>
          <w:rFonts w:ascii="Book Antiqua" w:hAnsi="Book Antiqua"/>
          <w:sz w:val="24"/>
          <w:szCs w:val="24"/>
          <w:lang w:val="en-US"/>
        </w:rPr>
        <w:t xml:space="preserve"> G,</w:t>
      </w:r>
      <w:r w:rsidRPr="004447D2">
        <w:rPr>
          <w:rFonts w:ascii="Book Antiqua" w:hAnsi="Book Antiqua"/>
          <w:b/>
          <w:sz w:val="24"/>
          <w:szCs w:val="24"/>
          <w:lang w:val="en-US"/>
        </w:rPr>
        <w:t xml:space="preserve"> </w:t>
      </w:r>
      <w:proofErr w:type="spellStart"/>
      <w:r w:rsidRPr="004447D2">
        <w:rPr>
          <w:rFonts w:ascii="Book Antiqua" w:hAnsi="Book Antiqua"/>
          <w:sz w:val="24"/>
          <w:szCs w:val="24"/>
          <w:lang w:val="en-US"/>
        </w:rPr>
        <w:t>Bridson</w:t>
      </w:r>
      <w:proofErr w:type="spellEnd"/>
      <w:r w:rsidRPr="004447D2">
        <w:rPr>
          <w:rFonts w:ascii="Book Antiqua" w:hAnsi="Book Antiqua"/>
          <w:sz w:val="24"/>
          <w:szCs w:val="24"/>
          <w:lang w:val="en-US"/>
        </w:rPr>
        <w:t xml:space="preserve"> JM, Sharma A, </w:t>
      </w:r>
      <w:proofErr w:type="spellStart"/>
      <w:r w:rsidRPr="004447D2">
        <w:rPr>
          <w:rFonts w:ascii="Book Antiqua" w:hAnsi="Book Antiqua"/>
          <w:sz w:val="24"/>
          <w:szCs w:val="24"/>
          <w:lang w:val="en-US"/>
        </w:rPr>
        <w:t>Halawa</w:t>
      </w:r>
      <w:proofErr w:type="spellEnd"/>
      <w:r w:rsidRPr="004447D2">
        <w:rPr>
          <w:rFonts w:ascii="Book Antiqua" w:hAnsi="Book Antiqua"/>
          <w:sz w:val="24"/>
          <w:szCs w:val="24"/>
          <w:lang w:val="en-US"/>
        </w:rPr>
        <w:t xml:space="preserve"> A. Corticosteroid minimization in renal transplantation: Careful patient selection enables feasibility</w:t>
      </w:r>
      <w:r w:rsidRPr="004447D2">
        <w:rPr>
          <w:rFonts w:ascii="Book Antiqua" w:hAnsi="Book Antiqua"/>
          <w:sz w:val="24"/>
          <w:szCs w:val="24"/>
          <w:lang w:val="en-US" w:eastAsia="zh-CN"/>
        </w:rPr>
        <w:t xml:space="preserve">. </w:t>
      </w:r>
      <w:r w:rsidRPr="004447D2">
        <w:rPr>
          <w:rFonts w:ascii="Book Antiqua" w:hAnsi="Book Antiqua"/>
          <w:i/>
          <w:iCs/>
          <w:sz w:val="24"/>
          <w:szCs w:val="24"/>
          <w:lang w:val="en-US"/>
        </w:rPr>
        <w:t>World J Transplant</w:t>
      </w:r>
      <w:r w:rsidRPr="004447D2">
        <w:rPr>
          <w:rFonts w:ascii="Book Antiqua" w:hAnsi="Book Antiqua"/>
          <w:iCs/>
          <w:sz w:val="24"/>
          <w:szCs w:val="24"/>
          <w:lang w:val="en-US" w:eastAsia="zh-CN"/>
        </w:rPr>
        <w:t xml:space="preserve"> 2016; </w:t>
      </w:r>
      <w:proofErr w:type="gramStart"/>
      <w:r w:rsidRPr="004447D2">
        <w:rPr>
          <w:rFonts w:ascii="Book Antiqua" w:hAnsi="Book Antiqua"/>
          <w:iCs/>
          <w:sz w:val="24"/>
          <w:szCs w:val="24"/>
          <w:lang w:val="en-US" w:eastAsia="zh-CN"/>
        </w:rPr>
        <w:t>In</w:t>
      </w:r>
      <w:proofErr w:type="gramEnd"/>
      <w:r w:rsidRPr="004447D2">
        <w:rPr>
          <w:rFonts w:ascii="Book Antiqua" w:hAnsi="Book Antiqua"/>
          <w:iCs/>
          <w:sz w:val="24"/>
          <w:szCs w:val="24"/>
          <w:lang w:val="en-US" w:eastAsia="zh-CN"/>
        </w:rPr>
        <w:t xml:space="preserve"> press</w:t>
      </w:r>
    </w:p>
    <w:p w14:paraId="5244D7E1" w14:textId="171380D4" w:rsidR="00330EA0" w:rsidRPr="004447D2" w:rsidRDefault="00330EA0" w:rsidP="00887EC2">
      <w:pPr>
        <w:spacing w:after="0" w:line="360" w:lineRule="auto"/>
        <w:rPr>
          <w:rFonts w:ascii="Book Antiqua" w:hAnsi="Book Antiqua"/>
          <w:sz w:val="24"/>
          <w:szCs w:val="24"/>
          <w:lang w:val="en-US"/>
        </w:rPr>
      </w:pPr>
      <w:r w:rsidRPr="004447D2">
        <w:rPr>
          <w:rFonts w:ascii="Book Antiqua" w:hAnsi="Book Antiqua"/>
          <w:sz w:val="24"/>
          <w:szCs w:val="24"/>
          <w:lang w:val="en-US"/>
        </w:rPr>
        <w:br w:type="page"/>
      </w:r>
    </w:p>
    <w:p w14:paraId="07FF92EC" w14:textId="5AF6EDD1" w:rsidR="005D0F29" w:rsidRPr="004447D2" w:rsidRDefault="00330EA0"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lastRenderedPageBreak/>
        <w:t xml:space="preserve">INTRODUCTION </w:t>
      </w:r>
    </w:p>
    <w:p w14:paraId="5282AE67" w14:textId="2713A593" w:rsidR="00DA7708" w:rsidRPr="004447D2" w:rsidRDefault="00DA7708"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Corticosteroids (CS) have been ubiquitously included in immunosuppressive regimens since the early days of renal transplantation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They have significantly contributed to the successful transformation of a highly experimental intervention into a universally adopted clinical treatment. However, their use is associated with a plethora of adverse events due to their non-specific mode of action. The negative impact of CS on cardiovascular disease risk factors such as hypertension, diabetes mellitus, and dyslipidemia is well known. Non-cardiovascular adverse events such as growth retardation, impaired wound healing, </w:t>
      </w:r>
      <w:proofErr w:type="spellStart"/>
      <w:r w:rsidRPr="004447D2">
        <w:rPr>
          <w:rFonts w:ascii="Book Antiqua" w:hAnsi="Book Antiqua"/>
          <w:sz w:val="24"/>
          <w:szCs w:val="24"/>
          <w:lang w:val="en-US"/>
        </w:rPr>
        <w:t>subcapsular</w:t>
      </w:r>
      <w:proofErr w:type="spellEnd"/>
      <w:r w:rsidRPr="004447D2">
        <w:rPr>
          <w:rFonts w:ascii="Book Antiqua" w:hAnsi="Book Antiqua"/>
          <w:sz w:val="24"/>
          <w:szCs w:val="24"/>
          <w:lang w:val="en-US"/>
        </w:rPr>
        <w:t xml:space="preserve"> cataract, bone problems (osteoporosis, fractures, avascular necrosis) and cosmetic effects leading to patient non-compliance are equal</w:t>
      </w:r>
      <w:r w:rsidR="00884A7D" w:rsidRPr="004447D2">
        <w:rPr>
          <w:rFonts w:ascii="Book Antiqua" w:hAnsi="Book Antiqua"/>
          <w:sz w:val="24"/>
          <w:szCs w:val="24"/>
          <w:lang w:val="en-US"/>
        </w:rPr>
        <w:t>ly established</w:t>
      </w:r>
      <w:r w:rsidRPr="004447D2">
        <w:rPr>
          <w:rFonts w:ascii="Book Antiqua" w:hAnsi="Book Antiqua"/>
          <w:sz w:val="24"/>
          <w:szCs w:val="24"/>
          <w:vertAlign w:val="superscript"/>
          <w:lang w:val="en-US"/>
        </w:rPr>
        <w:t>[1</w:t>
      </w:r>
      <w:r w:rsidR="00C61A1B" w:rsidRPr="004447D2">
        <w:rPr>
          <w:rFonts w:ascii="Book Antiqua" w:hAnsi="Book Antiqua"/>
          <w:sz w:val="24"/>
          <w:szCs w:val="24"/>
          <w:vertAlign w:val="superscript"/>
          <w:lang w:val="en-US" w:eastAsia="zh-CN"/>
        </w:rPr>
        <w:t>-</w:t>
      </w:r>
      <w:r w:rsidRPr="004447D2">
        <w:rPr>
          <w:rFonts w:ascii="Book Antiqua" w:hAnsi="Book Antiqua"/>
          <w:sz w:val="24"/>
          <w:szCs w:val="24"/>
          <w:vertAlign w:val="superscript"/>
          <w:lang w:val="en-US"/>
        </w:rPr>
        <w:t>4]</w:t>
      </w:r>
      <w:r w:rsidRPr="004447D2">
        <w:rPr>
          <w:rFonts w:ascii="Book Antiqua" w:hAnsi="Book Antiqua"/>
          <w:sz w:val="24"/>
          <w:szCs w:val="24"/>
          <w:lang w:val="en-US"/>
        </w:rPr>
        <w:t>. An increasing interest in minimizing the exposure to CS in transplant recipients with stable allograft function has been manifested by renal transplant clinicians to reduce the morbidity burden associated with their use. In the U</w:t>
      </w:r>
      <w:r w:rsidR="00C61A1B" w:rsidRPr="004447D2">
        <w:rPr>
          <w:rFonts w:ascii="Book Antiqua" w:hAnsi="Book Antiqua"/>
          <w:sz w:val="24"/>
          <w:szCs w:val="24"/>
          <w:lang w:val="en-US" w:eastAsia="zh-CN"/>
        </w:rPr>
        <w:t xml:space="preserve">nited </w:t>
      </w:r>
      <w:r w:rsidR="00C61A1B" w:rsidRPr="004447D2">
        <w:rPr>
          <w:rFonts w:ascii="Book Antiqua" w:hAnsi="Book Antiqua"/>
          <w:sz w:val="24"/>
          <w:szCs w:val="24"/>
          <w:lang w:val="en-US"/>
        </w:rPr>
        <w:t>S</w:t>
      </w:r>
      <w:r w:rsidR="00C61A1B" w:rsidRPr="004447D2">
        <w:rPr>
          <w:rFonts w:ascii="Book Antiqua" w:hAnsi="Book Antiqua"/>
          <w:sz w:val="24"/>
          <w:szCs w:val="24"/>
          <w:lang w:val="en-US" w:eastAsia="zh-CN"/>
        </w:rPr>
        <w:t>tates</w:t>
      </w:r>
      <w:r w:rsidRPr="004447D2">
        <w:rPr>
          <w:rFonts w:ascii="Book Antiqua" w:hAnsi="Book Antiqua"/>
          <w:sz w:val="24"/>
          <w:szCs w:val="24"/>
          <w:lang w:val="en-US"/>
        </w:rPr>
        <w:t>, CS avoidance regimens were administered to 23% of all first rena</w:t>
      </w:r>
      <w:r w:rsidR="00496523" w:rsidRPr="004447D2">
        <w:rPr>
          <w:rFonts w:ascii="Book Antiqua" w:hAnsi="Book Antiqua"/>
          <w:sz w:val="24"/>
          <w:szCs w:val="24"/>
          <w:lang w:val="en-US"/>
        </w:rPr>
        <w:t>l transplant recipients in 2004</w:t>
      </w:r>
      <w:r w:rsidRPr="004447D2">
        <w:rPr>
          <w:rFonts w:ascii="Book Antiqua" w:hAnsi="Book Antiqua"/>
          <w:sz w:val="24"/>
          <w:szCs w:val="24"/>
          <w:vertAlign w:val="superscript"/>
          <w:lang w:val="en-US"/>
        </w:rPr>
        <w:t>[5]</w:t>
      </w:r>
      <w:r w:rsidRPr="004447D2">
        <w:rPr>
          <w:rFonts w:ascii="Book Antiqua" w:hAnsi="Book Antiqua"/>
          <w:sz w:val="24"/>
          <w:szCs w:val="24"/>
          <w:lang w:val="en-US"/>
        </w:rPr>
        <w:t>. Among the remaining 77% who were discharged on CS, roughly 10% had CS withdrawn during the first post-transplant year. Nonetheless, this policy has to be carefully balanced against the risk of acute rejection due to ins</w:t>
      </w:r>
      <w:r w:rsidR="009317CC" w:rsidRPr="004447D2">
        <w:rPr>
          <w:rFonts w:ascii="Book Antiqua" w:hAnsi="Book Antiqua"/>
          <w:sz w:val="24"/>
          <w:szCs w:val="24"/>
          <w:lang w:val="en-US"/>
        </w:rPr>
        <w:t>ufficient immunosuppression and</w:t>
      </w:r>
      <w:r w:rsidRPr="004447D2">
        <w:rPr>
          <w:rFonts w:ascii="Book Antiqua" w:hAnsi="Book Antiqua"/>
          <w:sz w:val="24"/>
          <w:szCs w:val="24"/>
          <w:lang w:val="en-US"/>
        </w:rPr>
        <w:t xml:space="preserve"> </w:t>
      </w:r>
      <w:r w:rsidR="00F26ABD" w:rsidRPr="004447D2">
        <w:rPr>
          <w:rFonts w:ascii="Book Antiqua" w:hAnsi="Book Antiqua"/>
          <w:sz w:val="24"/>
          <w:szCs w:val="24"/>
          <w:lang w:val="en-US"/>
        </w:rPr>
        <w:t xml:space="preserve">should </w:t>
      </w:r>
      <w:r w:rsidRPr="004447D2">
        <w:rPr>
          <w:rFonts w:ascii="Book Antiqua" w:hAnsi="Book Antiqua"/>
          <w:sz w:val="24"/>
          <w:szCs w:val="24"/>
          <w:lang w:val="en-US"/>
        </w:rPr>
        <w:t xml:space="preserve">not jeopardize renal allograft function and survival. </w:t>
      </w:r>
    </w:p>
    <w:p w14:paraId="20F3BF86" w14:textId="0A41059C" w:rsidR="009317CC" w:rsidRPr="004447D2" w:rsidRDefault="009317CC" w:rsidP="00887EC2">
      <w:pPr>
        <w:pStyle w:val="a8"/>
        <w:spacing w:line="360" w:lineRule="auto"/>
        <w:jc w:val="both"/>
        <w:rPr>
          <w:rFonts w:ascii="Book Antiqua" w:hAnsi="Book Antiqua"/>
          <w:sz w:val="24"/>
          <w:szCs w:val="24"/>
          <w:lang w:val="en-US"/>
        </w:rPr>
      </w:pPr>
    </w:p>
    <w:p w14:paraId="17B27029" w14:textId="77777777" w:rsidR="00A421FB" w:rsidRPr="004447D2" w:rsidRDefault="00A421FB" w:rsidP="00887EC2">
      <w:pPr>
        <w:spacing w:after="0" w:line="360" w:lineRule="auto"/>
        <w:rPr>
          <w:rFonts w:ascii="Book Antiqua" w:hAnsi="Book Antiqua"/>
          <w:b/>
          <w:sz w:val="24"/>
          <w:szCs w:val="24"/>
        </w:rPr>
      </w:pPr>
      <w:r w:rsidRPr="004447D2">
        <w:rPr>
          <w:rFonts w:ascii="Book Antiqua" w:hAnsi="Book Antiqua"/>
          <w:b/>
          <w:sz w:val="24"/>
          <w:szCs w:val="24"/>
        </w:rPr>
        <w:t>MATERIALS AND METHODS</w:t>
      </w:r>
    </w:p>
    <w:p w14:paraId="0492EBF0" w14:textId="7224E63B" w:rsidR="006676E2" w:rsidRPr="004447D2" w:rsidRDefault="006676E2" w:rsidP="00887EC2">
      <w:pPr>
        <w:pStyle w:val="a8"/>
        <w:spacing w:line="360" w:lineRule="auto"/>
        <w:jc w:val="both"/>
        <w:rPr>
          <w:rFonts w:ascii="Book Antiqua" w:hAnsi="Book Antiqua"/>
          <w:b/>
          <w:i/>
          <w:sz w:val="24"/>
          <w:szCs w:val="24"/>
          <w:lang w:val="en-US"/>
        </w:rPr>
      </w:pPr>
      <w:r w:rsidRPr="004447D2">
        <w:rPr>
          <w:rFonts w:ascii="Book Antiqua" w:hAnsi="Book Antiqua"/>
          <w:b/>
          <w:i/>
          <w:sz w:val="24"/>
          <w:szCs w:val="24"/>
          <w:lang w:val="en-US"/>
        </w:rPr>
        <w:t>Definitions</w:t>
      </w:r>
    </w:p>
    <w:p w14:paraId="7A697A89" w14:textId="33B9F488" w:rsidR="00DA7708" w:rsidRPr="004447D2" w:rsidRDefault="00DA7708"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 xml:space="preserve">Strategies for CS minimization can be categorized as: </w:t>
      </w:r>
      <w:r w:rsidR="00C61A1B" w:rsidRPr="004447D2">
        <w:rPr>
          <w:rFonts w:ascii="Book Antiqua" w:hAnsi="Book Antiqua"/>
          <w:sz w:val="24"/>
          <w:szCs w:val="24"/>
          <w:lang w:val="en-US" w:eastAsia="zh-CN"/>
        </w:rPr>
        <w:t>(</w:t>
      </w:r>
      <w:r w:rsidRPr="004447D2">
        <w:rPr>
          <w:rFonts w:ascii="Book Antiqua" w:hAnsi="Book Antiqua"/>
          <w:sz w:val="24"/>
          <w:szCs w:val="24"/>
          <w:lang w:val="en-US"/>
        </w:rPr>
        <w:t>1) CS avoidance</w:t>
      </w:r>
      <w:r w:rsidR="00C61A1B" w:rsidRPr="004447D2">
        <w:rPr>
          <w:rFonts w:ascii="Book Antiqua" w:hAnsi="Book Antiqua"/>
          <w:sz w:val="24"/>
          <w:szCs w:val="24"/>
          <w:lang w:val="en-US" w:eastAsia="zh-CN"/>
        </w:rPr>
        <w:t>;</w:t>
      </w:r>
      <w:r w:rsidRPr="004447D2">
        <w:rPr>
          <w:rFonts w:ascii="Book Antiqua" w:hAnsi="Book Antiqua"/>
          <w:sz w:val="24"/>
          <w:szCs w:val="24"/>
          <w:lang w:val="en-US"/>
        </w:rPr>
        <w:t xml:space="preserve"> </w:t>
      </w:r>
      <w:r w:rsidR="00C61A1B" w:rsidRPr="004447D2">
        <w:rPr>
          <w:rFonts w:ascii="Book Antiqua" w:hAnsi="Book Antiqua"/>
          <w:sz w:val="24"/>
          <w:szCs w:val="24"/>
          <w:lang w:val="en-US" w:eastAsia="zh-CN"/>
        </w:rPr>
        <w:t>(</w:t>
      </w:r>
      <w:r w:rsidRPr="004447D2">
        <w:rPr>
          <w:rFonts w:ascii="Book Antiqua" w:hAnsi="Book Antiqua"/>
          <w:sz w:val="24"/>
          <w:szCs w:val="24"/>
          <w:lang w:val="en-US"/>
        </w:rPr>
        <w:t xml:space="preserve">2) CS withdrawal following a period after </w:t>
      </w:r>
      <w:proofErr w:type="spellStart"/>
      <w:proofErr w:type="gramStart"/>
      <w:r w:rsidRPr="004447D2">
        <w:rPr>
          <w:rFonts w:ascii="Book Antiqua" w:hAnsi="Book Antiqua"/>
          <w:sz w:val="24"/>
          <w:szCs w:val="24"/>
          <w:lang w:val="en-US"/>
        </w:rPr>
        <w:t>Tx</w:t>
      </w:r>
      <w:proofErr w:type="spellEnd"/>
      <w:proofErr w:type="gramEnd"/>
      <w:r w:rsidRPr="004447D2">
        <w:rPr>
          <w:rFonts w:ascii="Book Antiqua" w:hAnsi="Book Antiqua"/>
          <w:sz w:val="24"/>
          <w:szCs w:val="24"/>
          <w:lang w:val="en-US"/>
        </w:rPr>
        <w:t xml:space="preserve">. The latter can be further divided as early withdrawal (weeks or months after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usually 3-6 mo after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or late withdrawal (at least 6 mo after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Overlapping between these categories has been reported in the literature leading to a degree of uncertainty over the exact terminology. For instance, very early withdrawal (&lt;</w:t>
      </w:r>
      <w:r w:rsidR="00C61A1B" w:rsidRPr="004447D2">
        <w:rPr>
          <w:rFonts w:ascii="Book Antiqua" w:hAnsi="Book Antiqua"/>
          <w:sz w:val="24"/>
          <w:szCs w:val="24"/>
          <w:lang w:val="en-US" w:eastAsia="zh-CN"/>
        </w:rPr>
        <w:t xml:space="preserve"> </w:t>
      </w:r>
      <w:r w:rsidR="00C61A1B" w:rsidRPr="004447D2">
        <w:rPr>
          <w:rFonts w:ascii="Book Antiqua" w:hAnsi="Book Antiqua"/>
          <w:sz w:val="24"/>
          <w:szCs w:val="24"/>
          <w:lang w:val="en-US"/>
        </w:rPr>
        <w:t xml:space="preserve">2 </w:t>
      </w:r>
      <w:proofErr w:type="spellStart"/>
      <w:r w:rsidR="00C61A1B" w:rsidRPr="004447D2">
        <w:rPr>
          <w:rFonts w:ascii="Book Antiqua" w:hAnsi="Book Antiqua"/>
          <w:sz w:val="24"/>
          <w:szCs w:val="24"/>
          <w:lang w:val="en-US"/>
        </w:rPr>
        <w:t>wk</w:t>
      </w:r>
      <w:proofErr w:type="spellEnd"/>
      <w:r w:rsidRPr="004447D2">
        <w:rPr>
          <w:rFonts w:ascii="Book Antiqua" w:hAnsi="Book Antiqua"/>
          <w:sz w:val="24"/>
          <w:szCs w:val="24"/>
          <w:lang w:val="en-US"/>
        </w:rPr>
        <w:t xml:space="preserve">) has been classified under both CS avoidance and CS withdrawal strategies. For the purpose of this manuscript, we will include very early withdrawal under the CS avoidance strategy. The overall efficacy of CS </w:t>
      </w:r>
      <w:r w:rsidRPr="004447D2">
        <w:rPr>
          <w:rFonts w:ascii="Book Antiqua" w:hAnsi="Book Antiqua"/>
          <w:sz w:val="24"/>
          <w:szCs w:val="24"/>
          <w:lang w:val="en-US"/>
        </w:rPr>
        <w:lastRenderedPageBreak/>
        <w:t xml:space="preserve">minimization regimens depends on the extent to which the rest of the immunosuppressive agents can suppress the </w:t>
      </w:r>
      <w:proofErr w:type="spellStart"/>
      <w:r w:rsidRPr="004447D2">
        <w:rPr>
          <w:rFonts w:ascii="Book Antiqua" w:hAnsi="Book Antiqua"/>
          <w:sz w:val="24"/>
          <w:szCs w:val="24"/>
          <w:lang w:val="en-US"/>
        </w:rPr>
        <w:t>alloimmune</w:t>
      </w:r>
      <w:proofErr w:type="spellEnd"/>
      <w:r w:rsidRPr="004447D2">
        <w:rPr>
          <w:rFonts w:ascii="Book Antiqua" w:hAnsi="Book Antiqua"/>
          <w:sz w:val="24"/>
          <w:szCs w:val="24"/>
          <w:lang w:val="en-US"/>
        </w:rPr>
        <w:t xml:space="preserve"> response and on the immunological risk stratification. In general, induction immunosuppression is required for the safe application of CS minimization as well as the inclusion of calcineurin inhibitors in maintenance immunosuppression. Patients at low immunological risk (first transplant, non-sensitized) are considered as ideal candidates for the im</w:t>
      </w:r>
      <w:r w:rsidR="00496523" w:rsidRPr="004447D2">
        <w:rPr>
          <w:rFonts w:ascii="Book Antiqua" w:hAnsi="Book Antiqua"/>
          <w:sz w:val="24"/>
          <w:szCs w:val="24"/>
          <w:lang w:val="en-US"/>
        </w:rPr>
        <w:t xml:space="preserve">plementation of CS </w:t>
      </w:r>
      <w:proofErr w:type="gramStart"/>
      <w:r w:rsidR="00496523" w:rsidRPr="004447D2">
        <w:rPr>
          <w:rFonts w:ascii="Book Antiqua" w:hAnsi="Book Antiqua"/>
          <w:sz w:val="24"/>
          <w:szCs w:val="24"/>
          <w:lang w:val="en-US"/>
        </w:rPr>
        <w:t>minimization</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6]</w:t>
      </w:r>
      <w:r w:rsidRPr="004447D2">
        <w:rPr>
          <w:rFonts w:ascii="Book Antiqua" w:hAnsi="Book Antiqua"/>
          <w:sz w:val="24"/>
          <w:szCs w:val="24"/>
          <w:lang w:val="en-US"/>
        </w:rPr>
        <w:t>.</w:t>
      </w:r>
    </w:p>
    <w:p w14:paraId="53F32647" w14:textId="022C19F5" w:rsidR="00347B89" w:rsidRPr="004447D2" w:rsidRDefault="00DA7708" w:rsidP="00887EC2">
      <w:pPr>
        <w:pStyle w:val="a8"/>
        <w:spacing w:line="360" w:lineRule="auto"/>
        <w:ind w:firstLineChars="200" w:firstLine="480"/>
        <w:jc w:val="both"/>
        <w:rPr>
          <w:rFonts w:ascii="Book Antiqua" w:hAnsi="Book Antiqua"/>
          <w:sz w:val="24"/>
          <w:szCs w:val="24"/>
          <w:lang w:val="en-US"/>
        </w:rPr>
      </w:pPr>
      <w:r w:rsidRPr="004447D2">
        <w:rPr>
          <w:rFonts w:ascii="Book Antiqua" w:hAnsi="Book Antiqua"/>
          <w:sz w:val="24"/>
          <w:szCs w:val="24"/>
          <w:lang w:val="en-US"/>
        </w:rPr>
        <w:t xml:space="preserve">Data from studies on CS minimization have produced conflicting results regarding benefit </w:t>
      </w:r>
      <w:r w:rsidRPr="004447D2">
        <w:rPr>
          <w:rFonts w:ascii="Book Antiqua" w:hAnsi="Book Antiqua"/>
          <w:i/>
          <w:sz w:val="24"/>
          <w:szCs w:val="24"/>
          <w:lang w:val="en-US"/>
        </w:rPr>
        <w:t>vs</w:t>
      </w:r>
      <w:r w:rsidRPr="004447D2">
        <w:rPr>
          <w:rFonts w:ascii="Book Antiqua" w:hAnsi="Book Antiqua"/>
          <w:sz w:val="24"/>
          <w:szCs w:val="24"/>
          <w:lang w:val="en-US"/>
        </w:rPr>
        <w:t xml:space="preserve"> harm. Clinical heterogeneity across these studies is moderate to high, especially regarding the spectrum of induction and maintenance immunosuppression agents used. Some studies have reported reductions in cardiovascular ri</w:t>
      </w:r>
      <w:r w:rsidR="00496523" w:rsidRPr="004447D2">
        <w:rPr>
          <w:rFonts w:ascii="Book Antiqua" w:hAnsi="Book Antiqua"/>
          <w:sz w:val="24"/>
          <w:szCs w:val="24"/>
          <w:lang w:val="en-US"/>
        </w:rPr>
        <w:t xml:space="preserve">sk factors such as </w:t>
      </w:r>
      <w:proofErr w:type="gramStart"/>
      <w:r w:rsidR="00496523" w:rsidRPr="004447D2">
        <w:rPr>
          <w:rFonts w:ascii="Book Antiqua" w:hAnsi="Book Antiqua"/>
          <w:sz w:val="24"/>
          <w:szCs w:val="24"/>
          <w:lang w:val="en-US"/>
        </w:rPr>
        <w:t>dyslipidemia</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7]</w:t>
      </w:r>
      <w:r w:rsidRPr="004447D2">
        <w:rPr>
          <w:rFonts w:ascii="Book Antiqua" w:hAnsi="Book Antiqua"/>
          <w:sz w:val="24"/>
          <w:szCs w:val="24"/>
          <w:lang w:val="en-US"/>
        </w:rPr>
        <w:t xml:space="preserve">, but there is no clearly proven reduction of the burden of cardiovascular disease. On the other hand, although CS avoidance or withdrawal studies resulted in increased rates of acute rejection, the impact on allograft survival appears to be neutral. Given the current dilemma over the efficacy </w:t>
      </w:r>
      <w:r w:rsidRPr="004447D2">
        <w:rPr>
          <w:rFonts w:ascii="Book Antiqua" w:hAnsi="Book Antiqua"/>
          <w:i/>
          <w:sz w:val="24"/>
          <w:szCs w:val="24"/>
          <w:lang w:val="en-US"/>
        </w:rPr>
        <w:t>vs</w:t>
      </w:r>
      <w:r w:rsidRPr="004447D2">
        <w:rPr>
          <w:rFonts w:ascii="Book Antiqua" w:hAnsi="Book Antiqua"/>
          <w:sz w:val="24"/>
          <w:szCs w:val="24"/>
          <w:lang w:val="en-US"/>
        </w:rPr>
        <w:t xml:space="preserve"> safety profile of CS minimization strategies, our institution has continued on the traditional strategy of rapid CS tapering after </w:t>
      </w:r>
      <w:proofErr w:type="spellStart"/>
      <w:r w:rsidRPr="004447D2">
        <w:rPr>
          <w:rFonts w:ascii="Book Antiqua" w:hAnsi="Book Antiqua"/>
          <w:sz w:val="24"/>
          <w:szCs w:val="24"/>
          <w:lang w:val="en-US"/>
        </w:rPr>
        <w:t>T</w:t>
      </w:r>
      <w:r w:rsidR="00C61A1B" w:rsidRPr="004447D2">
        <w:rPr>
          <w:rFonts w:ascii="Book Antiqua" w:hAnsi="Book Antiqua"/>
          <w:sz w:val="24"/>
          <w:szCs w:val="24"/>
          <w:lang w:val="en-US"/>
        </w:rPr>
        <w:t>x</w:t>
      </w:r>
      <w:proofErr w:type="spellEnd"/>
      <w:r w:rsidRPr="004447D2">
        <w:rPr>
          <w:rFonts w:ascii="Book Antiqua" w:hAnsi="Book Antiqua"/>
          <w:sz w:val="24"/>
          <w:szCs w:val="24"/>
          <w:lang w:val="en-US"/>
        </w:rPr>
        <w:t xml:space="preserve"> to the lowest possible dose. We reserve CS avoidance or withdrawal for highly selected cases at low immunological risk who present compelling contraindications to CS such as severe osteoporosis. We will try to elaborate on the potential advantages and disadvantages of our protocol focusing on the comparison with the CS minimization practices mentioned above. Our goal is to identify the optimal management strategy, which will allow for the maximum benefit of different patient subsets without compromising safety and will likely improve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outcomes.</w:t>
      </w:r>
    </w:p>
    <w:p w14:paraId="6E8722A8" w14:textId="77777777" w:rsidR="00DA7708" w:rsidRPr="004447D2" w:rsidRDefault="00DA7708" w:rsidP="00887EC2">
      <w:pPr>
        <w:pStyle w:val="a8"/>
        <w:spacing w:line="360" w:lineRule="auto"/>
        <w:jc w:val="both"/>
        <w:rPr>
          <w:rFonts w:ascii="Book Antiqua" w:hAnsi="Book Antiqua"/>
          <w:sz w:val="24"/>
          <w:szCs w:val="24"/>
          <w:lang w:val="en-US"/>
        </w:rPr>
      </w:pPr>
    </w:p>
    <w:p w14:paraId="15042928" w14:textId="2D4FD5CE" w:rsidR="00F20BAC" w:rsidRPr="004447D2" w:rsidRDefault="00F20BAC"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RESULTS</w:t>
      </w:r>
    </w:p>
    <w:p w14:paraId="3682D3E7" w14:textId="3479B7EA" w:rsidR="0036139A" w:rsidRPr="004447D2" w:rsidRDefault="0036139A" w:rsidP="00887EC2">
      <w:pPr>
        <w:pStyle w:val="a8"/>
        <w:spacing w:line="360" w:lineRule="auto"/>
        <w:jc w:val="both"/>
        <w:rPr>
          <w:rFonts w:ascii="Book Antiqua" w:hAnsi="Book Antiqua"/>
          <w:b/>
          <w:i/>
          <w:sz w:val="24"/>
          <w:szCs w:val="24"/>
          <w:lang w:val="en-US" w:eastAsia="zh-CN"/>
        </w:rPr>
      </w:pPr>
      <w:r w:rsidRPr="004447D2">
        <w:rPr>
          <w:rFonts w:ascii="Book Antiqua" w:hAnsi="Book Antiqua"/>
          <w:b/>
          <w:i/>
          <w:sz w:val="24"/>
          <w:szCs w:val="24"/>
          <w:lang w:val="en-US"/>
        </w:rPr>
        <w:t>Low CS dose as maintenance therapy</w:t>
      </w:r>
    </w:p>
    <w:p w14:paraId="66BAF737" w14:textId="3314544F" w:rsidR="00EA59F6" w:rsidRPr="004447D2" w:rsidRDefault="00EA59F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 xml:space="preserve">We advocate the immunosuppressive protocol, which involves the administration of three daily intravenous pulses of 500 mg, 250 mg, and 250 mg methylprednisolone intraoperatively and on postoperative days 1 and 2 respectively. We attempt to </w:t>
      </w:r>
      <w:r w:rsidRPr="004447D2">
        <w:rPr>
          <w:rFonts w:ascii="Book Antiqua" w:hAnsi="Book Antiqua"/>
          <w:sz w:val="24"/>
          <w:szCs w:val="24"/>
          <w:lang w:val="en-US"/>
        </w:rPr>
        <w:lastRenderedPageBreak/>
        <w:t>rapidly taper CS dose to 20 mg oral methy</w:t>
      </w:r>
      <w:r w:rsidR="00D824FC" w:rsidRPr="004447D2">
        <w:rPr>
          <w:rFonts w:ascii="Book Antiqua" w:hAnsi="Book Antiqua"/>
          <w:sz w:val="24"/>
          <w:szCs w:val="24"/>
          <w:lang w:val="en-US"/>
        </w:rPr>
        <w:t xml:space="preserve">lprednisolone per day by 2-4 </w:t>
      </w:r>
      <w:proofErr w:type="spellStart"/>
      <w:r w:rsidR="00D824FC" w:rsidRPr="004447D2">
        <w:rPr>
          <w:rFonts w:ascii="Book Antiqua" w:hAnsi="Book Antiqua"/>
          <w:sz w:val="24"/>
          <w:szCs w:val="24"/>
          <w:lang w:val="en-US"/>
        </w:rPr>
        <w:t>wk</w:t>
      </w:r>
      <w:proofErr w:type="spellEnd"/>
      <w:r w:rsidRPr="004447D2">
        <w:rPr>
          <w:rFonts w:ascii="Book Antiqua" w:hAnsi="Book Antiqua"/>
          <w:sz w:val="24"/>
          <w:szCs w:val="24"/>
          <w:lang w:val="en-US"/>
        </w:rPr>
        <w:t xml:space="preserve"> following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Thereafter, we further reduce CS dose with the aim of 4 mg methylprednisolone per day at 3 </w:t>
      </w:r>
      <w:proofErr w:type="gramStart"/>
      <w:r w:rsidRPr="004447D2">
        <w:rPr>
          <w:rFonts w:ascii="Book Antiqua" w:hAnsi="Book Antiqua"/>
          <w:sz w:val="24"/>
          <w:szCs w:val="24"/>
          <w:lang w:val="en-US"/>
        </w:rPr>
        <w:t>mo</w:t>
      </w:r>
      <w:proofErr w:type="gramEnd"/>
      <w:r w:rsidRPr="004447D2">
        <w:rPr>
          <w:rFonts w:ascii="Book Antiqua" w:hAnsi="Book Antiqua"/>
          <w:sz w:val="24"/>
          <w:szCs w:val="24"/>
          <w:lang w:val="en-US"/>
        </w:rPr>
        <w:t xml:space="preserve"> in the absence of acute rejection. This dose is continued indefinitely. Data from randomized clinical trials (RCT) argue that maintenance CS treatment has still a dominant place in the management of renal transplant recipients. In the RCT with the longest follow-up to date (</w:t>
      </w:r>
      <w:proofErr w:type="spellStart"/>
      <w:r w:rsidRPr="004447D2">
        <w:rPr>
          <w:rFonts w:ascii="Book Antiqua" w:hAnsi="Book Antiqua"/>
          <w:sz w:val="24"/>
          <w:szCs w:val="24"/>
          <w:lang w:val="en-US"/>
        </w:rPr>
        <w:t>Astellas</w:t>
      </w:r>
      <w:proofErr w:type="spellEnd"/>
      <w:r w:rsidRPr="004447D2">
        <w:rPr>
          <w:rFonts w:ascii="Book Antiqua" w:hAnsi="Book Antiqua"/>
          <w:sz w:val="24"/>
          <w:szCs w:val="24"/>
          <w:lang w:val="en-US"/>
        </w:rPr>
        <w:t xml:space="preserve"> Corticosteroid Withdrawal Study), </w:t>
      </w:r>
      <w:proofErr w:type="spellStart"/>
      <w:r w:rsidRPr="004447D2">
        <w:rPr>
          <w:rFonts w:ascii="Book Antiqua" w:hAnsi="Book Antiqua"/>
          <w:sz w:val="24"/>
          <w:szCs w:val="24"/>
          <w:lang w:val="en-US"/>
        </w:rPr>
        <w:t>Woodle</w:t>
      </w:r>
      <w:proofErr w:type="spellEnd"/>
      <w:r w:rsidRPr="004447D2">
        <w:rPr>
          <w:rFonts w:ascii="Book Antiqua" w:hAnsi="Book Antiqua"/>
          <w:sz w:val="24"/>
          <w:szCs w:val="24"/>
          <w:lang w:val="en-US"/>
        </w:rPr>
        <w:t xml:space="preserve"> </w:t>
      </w:r>
      <w:r w:rsidRPr="004447D2">
        <w:rPr>
          <w:rFonts w:ascii="Book Antiqua" w:hAnsi="Book Antiqua"/>
          <w:i/>
          <w:sz w:val="24"/>
          <w:szCs w:val="24"/>
          <w:lang w:val="en-US"/>
        </w:rPr>
        <w:t>et al</w:t>
      </w:r>
      <w:r w:rsidR="00D824FC" w:rsidRPr="004447D2">
        <w:rPr>
          <w:rFonts w:ascii="Book Antiqua" w:hAnsi="Book Antiqua"/>
          <w:sz w:val="24"/>
          <w:szCs w:val="24"/>
          <w:vertAlign w:val="superscript"/>
          <w:lang w:val="en-US"/>
        </w:rPr>
        <w:t>[8]</w:t>
      </w:r>
      <w:r w:rsidRPr="004447D2">
        <w:rPr>
          <w:rFonts w:ascii="Book Antiqua" w:hAnsi="Book Antiqua"/>
          <w:sz w:val="24"/>
          <w:szCs w:val="24"/>
          <w:lang w:val="en-US"/>
        </w:rPr>
        <w:t xml:space="preserve"> assigned 386 renal transplant recipients with PRA (panel reactive antibodies) ≤</w:t>
      </w:r>
      <w:r w:rsidR="00D824FC" w:rsidRPr="004447D2">
        <w:rPr>
          <w:rFonts w:ascii="Book Antiqua" w:hAnsi="Book Antiqua"/>
          <w:sz w:val="24"/>
          <w:szCs w:val="24"/>
          <w:lang w:val="en-US" w:eastAsia="zh-CN"/>
        </w:rPr>
        <w:t xml:space="preserve"> </w:t>
      </w:r>
      <w:r w:rsidRPr="004447D2">
        <w:rPr>
          <w:rFonts w:ascii="Book Antiqua" w:hAnsi="Book Antiqua"/>
          <w:sz w:val="24"/>
          <w:szCs w:val="24"/>
          <w:lang w:val="en-US"/>
        </w:rPr>
        <w:t>25% to either very early CS withdrawal at one week post-transplant or CS continuation tapered to 5 mg prednisolone per day at 6 mo (</w:t>
      </w:r>
      <w:r w:rsidR="00D824FC" w:rsidRPr="004447D2">
        <w:rPr>
          <w:rFonts w:ascii="Book Antiqua" w:hAnsi="Book Antiqua"/>
          <w:sz w:val="24"/>
          <w:szCs w:val="24"/>
          <w:lang w:val="en-US"/>
        </w:rPr>
        <w:t>T</w:t>
      </w:r>
      <w:r w:rsidRPr="004447D2">
        <w:rPr>
          <w:rFonts w:ascii="Book Antiqua" w:hAnsi="Book Antiqua"/>
          <w:sz w:val="24"/>
          <w:szCs w:val="24"/>
          <w:lang w:val="en-US"/>
        </w:rPr>
        <w:t>able 1). All patients received induction immunosuppression; 68% of them with the lymphocyte-depleting agent anti-thymocyte globulin (ATG) and 32% with anti-interleukin-2 receptor monoclonal antibodies. Maintenance immunosuppressive regimen consisted of tacrolimus and mycophenolate mofetil (MMF). After a follow-up of 5 years, no difference was found in the rate of patient death, death-censored allograft loss and moderate/severe acute rejection. Total biopsy-confirmed acute rejection was lower in the CS continuation arm (10</w:t>
      </w:r>
      <w:r w:rsidR="00F653B9" w:rsidRPr="004447D2">
        <w:rPr>
          <w:rFonts w:ascii="Book Antiqua" w:hAnsi="Book Antiqua"/>
          <w:sz w:val="24"/>
          <w:szCs w:val="24"/>
          <w:lang w:val="en-US"/>
        </w:rPr>
        <w:t xml:space="preserve">.8% </w:t>
      </w:r>
      <w:r w:rsidR="00F653B9" w:rsidRPr="004447D2">
        <w:rPr>
          <w:rFonts w:ascii="Book Antiqua" w:hAnsi="Book Antiqua"/>
          <w:i/>
          <w:sz w:val="24"/>
          <w:szCs w:val="24"/>
          <w:lang w:val="en-US"/>
        </w:rPr>
        <w:t>vs</w:t>
      </w:r>
      <w:r w:rsidR="00F653B9" w:rsidRPr="004447D2">
        <w:rPr>
          <w:rFonts w:ascii="Book Antiqua" w:hAnsi="Book Antiqua"/>
          <w:sz w:val="24"/>
          <w:szCs w:val="24"/>
          <w:lang w:val="en-US"/>
        </w:rPr>
        <w:t xml:space="preserve"> 17.8%, </w:t>
      </w:r>
      <w:r w:rsidR="00D824FC" w:rsidRPr="004447D2">
        <w:rPr>
          <w:rFonts w:ascii="Book Antiqua" w:hAnsi="Book Antiqua"/>
          <w:i/>
          <w:sz w:val="24"/>
          <w:szCs w:val="24"/>
          <w:lang w:val="en-US"/>
        </w:rPr>
        <w:t>P</w:t>
      </w:r>
      <w:r w:rsidR="00D824FC" w:rsidRPr="004447D2">
        <w:rPr>
          <w:rFonts w:ascii="Book Antiqua" w:hAnsi="Book Antiqua"/>
          <w:sz w:val="24"/>
          <w:szCs w:val="24"/>
          <w:lang w:val="en-US" w:eastAsia="zh-CN"/>
        </w:rPr>
        <w:t xml:space="preserve"> </w:t>
      </w:r>
      <w:r w:rsidR="00F653B9" w:rsidRPr="004447D2">
        <w:rPr>
          <w:rFonts w:ascii="Book Antiqua" w:hAnsi="Book Antiqua"/>
          <w:sz w:val="24"/>
          <w:szCs w:val="24"/>
          <w:lang w:val="en-US"/>
        </w:rPr>
        <w:t>=</w:t>
      </w:r>
      <w:r w:rsidR="00D824FC" w:rsidRPr="004447D2">
        <w:rPr>
          <w:rFonts w:ascii="Book Antiqua" w:hAnsi="Book Antiqua"/>
          <w:sz w:val="24"/>
          <w:szCs w:val="24"/>
          <w:lang w:val="en-US" w:eastAsia="zh-CN"/>
        </w:rPr>
        <w:t xml:space="preserve"> </w:t>
      </w:r>
      <w:r w:rsidR="00F653B9" w:rsidRPr="004447D2">
        <w:rPr>
          <w:rFonts w:ascii="Book Antiqua" w:hAnsi="Book Antiqua"/>
          <w:sz w:val="24"/>
          <w:szCs w:val="24"/>
          <w:lang w:val="en-US"/>
        </w:rPr>
        <w:t>0.04</w:t>
      </w:r>
      <w:r w:rsidRPr="004447D2">
        <w:rPr>
          <w:rFonts w:ascii="Book Antiqua" w:hAnsi="Book Antiqua"/>
          <w:sz w:val="24"/>
          <w:szCs w:val="24"/>
          <w:lang w:val="en-US"/>
        </w:rPr>
        <w:t xml:space="preserve">). This result was driven by the increased rates of mild, CS-sensitive acute rejection in the very early CS withdrawal arm. It is interesting that biopsy-proven acute rejection rates were numerically lower with ATG induction than with anti-interleukin-2 receptor monoclonal antibodies in very early CS withdrawal patients, but that did not reach statistical significance (14.4% </w:t>
      </w:r>
      <w:r w:rsidRPr="004447D2">
        <w:rPr>
          <w:rFonts w:ascii="Book Antiqua" w:hAnsi="Book Antiqua"/>
          <w:i/>
          <w:sz w:val="24"/>
          <w:szCs w:val="24"/>
          <w:lang w:val="en-US"/>
        </w:rPr>
        <w:t>vs</w:t>
      </w:r>
      <w:r w:rsidRPr="004447D2">
        <w:rPr>
          <w:rFonts w:ascii="Book Antiqua" w:hAnsi="Book Antiqua"/>
          <w:sz w:val="24"/>
          <w:szCs w:val="24"/>
          <w:lang w:val="en-US"/>
        </w:rPr>
        <w:t xml:space="preserve"> 24.2%, </w:t>
      </w:r>
      <w:r w:rsidR="00D824FC" w:rsidRPr="004447D2">
        <w:rPr>
          <w:rFonts w:ascii="Book Antiqua" w:hAnsi="Book Antiqua"/>
          <w:i/>
          <w:sz w:val="24"/>
          <w:szCs w:val="24"/>
          <w:lang w:val="en-US"/>
        </w:rPr>
        <w:t>P</w:t>
      </w:r>
      <w:r w:rsidR="00D824FC" w:rsidRPr="004447D2">
        <w:rPr>
          <w:rFonts w:ascii="Book Antiqua" w:hAnsi="Book Antiqua"/>
          <w:sz w:val="24"/>
          <w:szCs w:val="24"/>
          <w:lang w:val="en-US" w:eastAsia="zh-CN"/>
        </w:rPr>
        <w:t xml:space="preserve"> </w:t>
      </w:r>
      <w:r w:rsidRPr="004447D2">
        <w:rPr>
          <w:rFonts w:ascii="Book Antiqua" w:hAnsi="Book Antiqua"/>
          <w:sz w:val="24"/>
          <w:szCs w:val="24"/>
          <w:lang w:val="en-US"/>
        </w:rPr>
        <w:t>=</w:t>
      </w:r>
      <w:r w:rsidR="00D824FC" w:rsidRPr="004447D2">
        <w:rPr>
          <w:rFonts w:ascii="Book Antiqua" w:hAnsi="Book Antiqua"/>
          <w:sz w:val="24"/>
          <w:szCs w:val="24"/>
          <w:lang w:val="en-US" w:eastAsia="zh-CN"/>
        </w:rPr>
        <w:t xml:space="preserve"> </w:t>
      </w:r>
      <w:r w:rsidRPr="004447D2">
        <w:rPr>
          <w:rFonts w:ascii="Book Antiqua" w:hAnsi="Book Antiqua"/>
          <w:sz w:val="24"/>
          <w:szCs w:val="24"/>
          <w:lang w:val="en-US"/>
        </w:rPr>
        <w:t xml:space="preserve">0.09). Serum creatinine and creatinine clearance estimated by the </w:t>
      </w:r>
      <w:proofErr w:type="spellStart"/>
      <w:r w:rsidRPr="004447D2">
        <w:rPr>
          <w:rFonts w:ascii="Book Antiqua" w:hAnsi="Book Antiqua"/>
          <w:sz w:val="24"/>
          <w:szCs w:val="24"/>
          <w:lang w:val="en-US"/>
        </w:rPr>
        <w:t>Cockroft</w:t>
      </w:r>
      <w:proofErr w:type="spellEnd"/>
      <w:r w:rsidRPr="004447D2">
        <w:rPr>
          <w:rFonts w:ascii="Book Antiqua" w:hAnsi="Book Antiqua"/>
          <w:sz w:val="24"/>
          <w:szCs w:val="24"/>
          <w:lang w:val="en-US"/>
        </w:rPr>
        <w:t xml:space="preserve">-Gault equation were similar between the two arms at 5 years. However, chronic allograft nephropathy (CAN) incidence at 5 years was more than double (9.9% </w:t>
      </w:r>
      <w:r w:rsidRPr="004447D2">
        <w:rPr>
          <w:rFonts w:ascii="Book Antiqua" w:hAnsi="Book Antiqua"/>
          <w:i/>
          <w:sz w:val="24"/>
          <w:szCs w:val="24"/>
          <w:lang w:val="en-US"/>
        </w:rPr>
        <w:t>vs</w:t>
      </w:r>
      <w:r w:rsidRPr="004447D2">
        <w:rPr>
          <w:rFonts w:ascii="Book Antiqua" w:hAnsi="Book Antiqua"/>
          <w:sz w:val="24"/>
          <w:szCs w:val="24"/>
          <w:lang w:val="en-US"/>
        </w:rPr>
        <w:t xml:space="preserve"> 4.1%, </w:t>
      </w:r>
      <w:r w:rsidR="00D824FC" w:rsidRPr="004447D2">
        <w:rPr>
          <w:rFonts w:ascii="Book Antiqua" w:hAnsi="Book Antiqua"/>
          <w:i/>
          <w:sz w:val="24"/>
          <w:szCs w:val="24"/>
          <w:lang w:val="en-US"/>
        </w:rPr>
        <w:t>P</w:t>
      </w:r>
      <w:r w:rsidR="00D824FC" w:rsidRPr="004447D2">
        <w:rPr>
          <w:rFonts w:ascii="Book Antiqua" w:hAnsi="Book Antiqua"/>
          <w:sz w:val="24"/>
          <w:szCs w:val="24"/>
          <w:lang w:val="en-US" w:eastAsia="zh-CN"/>
        </w:rPr>
        <w:t xml:space="preserve"> </w:t>
      </w:r>
      <w:r w:rsidRPr="004447D2">
        <w:rPr>
          <w:rFonts w:ascii="Book Antiqua" w:hAnsi="Book Antiqua"/>
          <w:sz w:val="24"/>
          <w:szCs w:val="24"/>
          <w:lang w:val="en-US"/>
        </w:rPr>
        <w:t>=</w:t>
      </w:r>
      <w:r w:rsidR="00D824FC" w:rsidRPr="004447D2">
        <w:rPr>
          <w:rFonts w:ascii="Book Antiqua" w:hAnsi="Book Antiqua"/>
          <w:sz w:val="24"/>
          <w:szCs w:val="24"/>
          <w:lang w:val="en-US" w:eastAsia="zh-CN"/>
        </w:rPr>
        <w:t xml:space="preserve"> </w:t>
      </w:r>
      <w:r w:rsidRPr="004447D2">
        <w:rPr>
          <w:rFonts w:ascii="Book Antiqua" w:hAnsi="Book Antiqua"/>
          <w:sz w:val="24"/>
          <w:szCs w:val="24"/>
          <w:lang w:val="en-US"/>
        </w:rPr>
        <w:t xml:space="preserve">0.028) with very early CS withdrawal compared to a continuation. This finding raises an important concern. Although very early CS withdrawal seems to be non-inferior to CS continuation at 5 years concerning patient and allograft survival, it is unknown if the increased incidence of CAN would negatively influence those outcomes beyond that time-point. Clinical trials with extended follow-up time to 10 years are needed to resolve this issue. The effect of very early CS withdrawal on cardiovascular risk factors was mixed. No significant difference was found in </w:t>
      </w:r>
      <w:r w:rsidRPr="004447D2">
        <w:rPr>
          <w:rFonts w:ascii="Book Antiqua" w:hAnsi="Book Antiqua"/>
          <w:sz w:val="24"/>
          <w:szCs w:val="24"/>
          <w:lang w:val="en-US"/>
        </w:rPr>
        <w:lastRenderedPageBreak/>
        <w:t xml:space="preserve">hypertension, new-onset diabetes mellitus, total cholesterol and low-density lipoprotein (LDL) levels; very early CS withdrawal led only to improvement in serum triglycerides. As far as it concerns non-cardiovascular adverse events, very early CS withdrawal reduced bone fractures and avascular necrosis but it was paradoxically associated with more frequent </w:t>
      </w:r>
      <w:proofErr w:type="spellStart"/>
      <w:r w:rsidRPr="004447D2">
        <w:rPr>
          <w:rFonts w:ascii="Book Antiqua" w:hAnsi="Book Antiqua"/>
          <w:sz w:val="24"/>
          <w:szCs w:val="24"/>
          <w:lang w:val="en-US"/>
        </w:rPr>
        <w:t>subcapsular</w:t>
      </w:r>
      <w:proofErr w:type="spellEnd"/>
      <w:r w:rsidRPr="004447D2">
        <w:rPr>
          <w:rFonts w:ascii="Book Antiqua" w:hAnsi="Book Antiqua"/>
          <w:sz w:val="24"/>
          <w:szCs w:val="24"/>
          <w:lang w:val="en-US"/>
        </w:rPr>
        <w:t xml:space="preserve"> cataract. </w:t>
      </w:r>
    </w:p>
    <w:p w14:paraId="2348435D" w14:textId="75BDA566" w:rsidR="0036139A" w:rsidRPr="004447D2" w:rsidRDefault="00EA59F6" w:rsidP="00887EC2">
      <w:pPr>
        <w:pStyle w:val="a8"/>
        <w:spacing w:line="360" w:lineRule="auto"/>
        <w:ind w:firstLineChars="200" w:firstLine="480"/>
        <w:jc w:val="both"/>
        <w:rPr>
          <w:rFonts w:ascii="Book Antiqua" w:hAnsi="Book Antiqua"/>
          <w:sz w:val="24"/>
          <w:szCs w:val="24"/>
          <w:lang w:val="en-US"/>
        </w:rPr>
      </w:pPr>
      <w:r w:rsidRPr="004447D2">
        <w:rPr>
          <w:rFonts w:ascii="Book Antiqua" w:hAnsi="Book Antiqua"/>
          <w:sz w:val="24"/>
          <w:szCs w:val="24"/>
          <w:lang w:val="en-US"/>
        </w:rPr>
        <w:t xml:space="preserve">A meta-analysis of 34 </w:t>
      </w:r>
      <w:r w:rsidR="005916C2" w:rsidRPr="004447D2">
        <w:rPr>
          <w:rFonts w:ascii="Book Antiqua" w:hAnsi="Book Antiqua"/>
          <w:sz w:val="24"/>
          <w:szCs w:val="24"/>
          <w:lang w:val="en-US"/>
        </w:rPr>
        <w:t>studies, which included 5637 patients,</w:t>
      </w:r>
      <w:r w:rsidRPr="004447D2">
        <w:rPr>
          <w:rFonts w:ascii="Book Antiqua" w:hAnsi="Book Antiqua"/>
          <w:sz w:val="24"/>
          <w:szCs w:val="24"/>
          <w:lang w:val="en-US"/>
        </w:rPr>
        <w:t xml:space="preserve"> p</w:t>
      </w:r>
      <w:r w:rsidR="00FB176D" w:rsidRPr="004447D2">
        <w:rPr>
          <w:rFonts w:ascii="Book Antiqua" w:hAnsi="Book Antiqua"/>
          <w:sz w:val="24"/>
          <w:szCs w:val="24"/>
          <w:lang w:val="en-US"/>
        </w:rPr>
        <w:t xml:space="preserve">roduced broadly similar </w:t>
      </w:r>
      <w:proofErr w:type="gramStart"/>
      <w:r w:rsidR="00FB176D" w:rsidRPr="004447D2">
        <w:rPr>
          <w:rFonts w:ascii="Book Antiqua" w:hAnsi="Book Antiqua"/>
          <w:sz w:val="24"/>
          <w:szCs w:val="24"/>
          <w:lang w:val="en-US"/>
        </w:rPr>
        <w:t>results</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9]</w:t>
      </w:r>
      <w:r w:rsidRPr="004447D2">
        <w:rPr>
          <w:rFonts w:ascii="Book Antiqua" w:hAnsi="Book Antiqua"/>
          <w:sz w:val="24"/>
          <w:szCs w:val="24"/>
          <w:lang w:val="en-US"/>
        </w:rPr>
        <w:t>. It was found that acute rejection risk was significantly increased with CS avoidance or withdrawal regimens compared to maintenance CS (relative risk: 1.56, 95</w:t>
      </w:r>
      <w:r w:rsidR="00D824FC" w:rsidRPr="004447D2">
        <w:rPr>
          <w:rFonts w:ascii="Book Antiqua" w:hAnsi="Book Antiqua"/>
          <w:sz w:val="24"/>
          <w:szCs w:val="24"/>
          <w:lang w:val="en-US"/>
        </w:rPr>
        <w:t>%</w:t>
      </w:r>
      <w:r w:rsidR="00F653B9" w:rsidRPr="004447D2">
        <w:rPr>
          <w:rFonts w:ascii="Book Antiqua" w:hAnsi="Book Antiqua"/>
          <w:sz w:val="24"/>
          <w:szCs w:val="24"/>
          <w:lang w:val="en-US"/>
        </w:rPr>
        <w:t>CI 1.31</w:t>
      </w:r>
      <w:r w:rsidR="00D824FC" w:rsidRPr="004447D2">
        <w:rPr>
          <w:rFonts w:ascii="Book Antiqua" w:hAnsi="Book Antiqua"/>
          <w:sz w:val="24"/>
          <w:szCs w:val="24"/>
          <w:lang w:val="en-US" w:eastAsia="zh-CN"/>
        </w:rPr>
        <w:t>-</w:t>
      </w:r>
      <w:r w:rsidR="00F653B9" w:rsidRPr="004447D2">
        <w:rPr>
          <w:rFonts w:ascii="Book Antiqua" w:hAnsi="Book Antiqua"/>
          <w:sz w:val="24"/>
          <w:szCs w:val="24"/>
          <w:lang w:val="en-US"/>
        </w:rPr>
        <w:t xml:space="preserve">1.87, </w:t>
      </w:r>
      <w:r w:rsidR="00D824FC" w:rsidRPr="004447D2">
        <w:rPr>
          <w:rFonts w:ascii="Book Antiqua" w:hAnsi="Book Antiqua"/>
          <w:i/>
          <w:sz w:val="24"/>
          <w:szCs w:val="24"/>
          <w:lang w:val="en-US"/>
        </w:rPr>
        <w:t>P</w:t>
      </w:r>
      <w:r w:rsidR="00D824FC" w:rsidRPr="004447D2">
        <w:rPr>
          <w:rFonts w:ascii="Book Antiqua" w:hAnsi="Book Antiqua"/>
          <w:sz w:val="24"/>
          <w:szCs w:val="24"/>
          <w:lang w:val="en-US" w:eastAsia="zh-CN"/>
        </w:rPr>
        <w:t xml:space="preserve"> </w:t>
      </w:r>
      <w:r w:rsidR="00F653B9" w:rsidRPr="004447D2">
        <w:rPr>
          <w:rFonts w:ascii="Book Antiqua" w:hAnsi="Book Antiqua"/>
          <w:sz w:val="24"/>
          <w:szCs w:val="24"/>
          <w:lang w:val="en-US"/>
        </w:rPr>
        <w:t>=</w:t>
      </w:r>
      <w:r w:rsidR="00D824FC" w:rsidRPr="004447D2">
        <w:rPr>
          <w:rFonts w:ascii="Book Antiqua" w:hAnsi="Book Antiqua"/>
          <w:sz w:val="24"/>
          <w:szCs w:val="24"/>
          <w:lang w:val="en-US" w:eastAsia="zh-CN"/>
        </w:rPr>
        <w:t xml:space="preserve"> </w:t>
      </w:r>
      <w:r w:rsidR="00F653B9" w:rsidRPr="004447D2">
        <w:rPr>
          <w:rFonts w:ascii="Book Antiqua" w:hAnsi="Book Antiqua"/>
          <w:sz w:val="24"/>
          <w:szCs w:val="24"/>
          <w:lang w:val="en-US"/>
        </w:rPr>
        <w:t>0.0001</w:t>
      </w:r>
      <w:r w:rsidRPr="004447D2">
        <w:rPr>
          <w:rFonts w:ascii="Book Antiqua" w:hAnsi="Book Antiqua"/>
          <w:sz w:val="24"/>
          <w:szCs w:val="24"/>
          <w:lang w:val="en-US"/>
        </w:rPr>
        <w:t>). No statistically significant differences were found for patient or allograft survival, but allograft function was modestly better with maintenance CS (weighted mean difference in creatinine clearance: 3.05 m</w:t>
      </w:r>
      <w:r w:rsidR="00D824FC" w:rsidRPr="004447D2">
        <w:rPr>
          <w:rFonts w:ascii="Book Antiqua" w:hAnsi="Book Antiqua"/>
          <w:sz w:val="24"/>
          <w:szCs w:val="24"/>
          <w:lang w:val="en-US"/>
        </w:rPr>
        <w:t>L/min, 95%</w:t>
      </w:r>
      <w:r w:rsidRPr="004447D2">
        <w:rPr>
          <w:rFonts w:ascii="Book Antiqua" w:hAnsi="Book Antiqua"/>
          <w:sz w:val="24"/>
          <w:szCs w:val="24"/>
          <w:lang w:val="en-US"/>
        </w:rPr>
        <w:t>CI</w:t>
      </w:r>
      <w:r w:rsidR="00D824FC" w:rsidRPr="004447D2">
        <w:rPr>
          <w:rFonts w:ascii="Book Antiqua" w:hAnsi="Book Antiqua"/>
          <w:sz w:val="24"/>
          <w:szCs w:val="24"/>
          <w:lang w:val="en-US" w:eastAsia="zh-CN"/>
        </w:rPr>
        <w:t>,</w:t>
      </w:r>
      <w:r w:rsidRPr="004447D2">
        <w:rPr>
          <w:rFonts w:ascii="Book Antiqua" w:hAnsi="Book Antiqua"/>
          <w:sz w:val="24"/>
          <w:szCs w:val="24"/>
          <w:lang w:val="en-US"/>
        </w:rPr>
        <w:t xml:space="preserve"> 1.45-4.66). In contrast to the abovementioned RCT, occurrence of hypertension, new onset diabetes mellitus and hypercholesterolemia was reduced with CS avoidance or withdrawal regimens. However, the effect on hard cardiovascular endpoints cannot be estimated because included studies underreported cardiovascular events. In conclusion, acute rejection rates are constantly lower when CS maintenance regimens are used. Patient and allograft survival seems not to be influenced by CS minimization, but it is unknown if this remains the same with longer follow-up. Although CS minimization may permit some improvement in cardiovascular risk factors, data are not consistent about it.</w:t>
      </w:r>
    </w:p>
    <w:p w14:paraId="0F801BC8" w14:textId="77777777" w:rsidR="00EA59F6" w:rsidRPr="004447D2" w:rsidRDefault="00EA59F6" w:rsidP="00887EC2">
      <w:pPr>
        <w:pStyle w:val="a8"/>
        <w:spacing w:line="360" w:lineRule="auto"/>
        <w:jc w:val="both"/>
        <w:rPr>
          <w:rFonts w:ascii="Book Antiqua" w:hAnsi="Book Antiqua"/>
          <w:sz w:val="24"/>
          <w:szCs w:val="24"/>
          <w:lang w:val="en-US"/>
        </w:rPr>
      </w:pPr>
    </w:p>
    <w:p w14:paraId="7554498A" w14:textId="3C914CBF" w:rsidR="00427A59" w:rsidRPr="004447D2" w:rsidRDefault="00E57D96" w:rsidP="00887EC2">
      <w:pPr>
        <w:pStyle w:val="a8"/>
        <w:spacing w:line="360" w:lineRule="auto"/>
        <w:jc w:val="both"/>
        <w:rPr>
          <w:rFonts w:ascii="Book Antiqua" w:hAnsi="Book Antiqua"/>
          <w:b/>
          <w:i/>
          <w:sz w:val="24"/>
          <w:szCs w:val="24"/>
          <w:lang w:val="en-US" w:eastAsia="zh-CN"/>
        </w:rPr>
      </w:pPr>
      <w:r w:rsidRPr="004447D2">
        <w:rPr>
          <w:rFonts w:ascii="Book Antiqua" w:hAnsi="Book Antiqua"/>
          <w:b/>
          <w:i/>
          <w:sz w:val="24"/>
          <w:szCs w:val="24"/>
          <w:lang w:val="en-US"/>
        </w:rPr>
        <w:t>CS avoidance</w:t>
      </w:r>
    </w:p>
    <w:p w14:paraId="1F64F19C" w14:textId="609C61D8" w:rsidR="00E63466" w:rsidRPr="004447D2" w:rsidRDefault="00E6346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 xml:space="preserve">The rationale behind CS avoidance or very early withdrawal is that acute rejection may be triggered more easily with CS withdrawal within weeks or months after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However, it invariably requires the use of potent induction immunosuppression and the selection of low immunological risk recipients. Attempts to use CS avoidance regimens in the absence of induction immunosuppression resulted in unaccept</w:t>
      </w:r>
      <w:r w:rsidR="00506353" w:rsidRPr="004447D2">
        <w:rPr>
          <w:rFonts w:ascii="Book Antiqua" w:hAnsi="Book Antiqua"/>
          <w:sz w:val="24"/>
          <w:szCs w:val="24"/>
          <w:lang w:val="en-US"/>
        </w:rPr>
        <w:t xml:space="preserve">ably high acute rejection </w:t>
      </w:r>
      <w:proofErr w:type="gramStart"/>
      <w:r w:rsidR="00506353" w:rsidRPr="004447D2">
        <w:rPr>
          <w:rFonts w:ascii="Book Antiqua" w:hAnsi="Book Antiqua"/>
          <w:sz w:val="24"/>
          <w:szCs w:val="24"/>
          <w:lang w:val="en-US"/>
        </w:rPr>
        <w:t>rates</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10]</w:t>
      </w:r>
      <w:r w:rsidRPr="004447D2">
        <w:rPr>
          <w:rFonts w:ascii="Book Antiqua" w:hAnsi="Book Antiqua"/>
          <w:sz w:val="24"/>
          <w:szCs w:val="24"/>
          <w:lang w:val="en-US"/>
        </w:rPr>
        <w:t>. In a three-arm multicenter RCT, which included 336 renal transplant recipients with PRA</w:t>
      </w:r>
      <w:r w:rsidR="00D824FC" w:rsidRPr="004447D2">
        <w:rPr>
          <w:rFonts w:ascii="Book Antiqua" w:hAnsi="Book Antiqua"/>
          <w:sz w:val="24"/>
          <w:szCs w:val="24"/>
          <w:lang w:val="en-US" w:eastAsia="zh-CN"/>
        </w:rPr>
        <w:t xml:space="preserve"> </w:t>
      </w:r>
      <w:r w:rsidRPr="004447D2">
        <w:rPr>
          <w:rFonts w:ascii="Book Antiqua" w:hAnsi="Book Antiqua"/>
          <w:sz w:val="24"/>
          <w:szCs w:val="24"/>
          <w:lang w:val="en-US"/>
        </w:rPr>
        <w:t>≤</w:t>
      </w:r>
      <w:r w:rsidR="00D824FC" w:rsidRPr="004447D2">
        <w:rPr>
          <w:rFonts w:ascii="Book Antiqua" w:hAnsi="Book Antiqua"/>
          <w:sz w:val="24"/>
          <w:szCs w:val="24"/>
          <w:lang w:val="en-US" w:eastAsia="zh-CN"/>
        </w:rPr>
        <w:t xml:space="preserve"> </w:t>
      </w:r>
      <w:r w:rsidRPr="004447D2">
        <w:rPr>
          <w:rFonts w:ascii="Book Antiqua" w:hAnsi="Book Antiqua"/>
          <w:sz w:val="24"/>
          <w:szCs w:val="24"/>
          <w:lang w:val="en-US"/>
        </w:rPr>
        <w:t xml:space="preserve">20%, </w:t>
      </w:r>
      <w:proofErr w:type="spellStart"/>
      <w:r w:rsidRPr="004447D2">
        <w:rPr>
          <w:rFonts w:ascii="Book Antiqua" w:hAnsi="Book Antiqua"/>
          <w:sz w:val="24"/>
          <w:szCs w:val="24"/>
          <w:lang w:val="en-US"/>
        </w:rPr>
        <w:t>Vincenti</w:t>
      </w:r>
      <w:proofErr w:type="spellEnd"/>
      <w:r w:rsidRPr="004447D2">
        <w:rPr>
          <w:rFonts w:ascii="Book Antiqua" w:hAnsi="Book Antiqua"/>
          <w:sz w:val="24"/>
          <w:szCs w:val="24"/>
          <w:lang w:val="en-US"/>
        </w:rPr>
        <w:t xml:space="preserve"> </w:t>
      </w:r>
      <w:r w:rsidRPr="004447D2">
        <w:rPr>
          <w:rFonts w:ascii="Book Antiqua" w:hAnsi="Book Antiqua"/>
          <w:i/>
          <w:sz w:val="24"/>
          <w:szCs w:val="24"/>
          <w:lang w:val="en-US"/>
        </w:rPr>
        <w:t>et al</w:t>
      </w:r>
      <w:r w:rsidR="00D824FC" w:rsidRPr="004447D2">
        <w:rPr>
          <w:rFonts w:ascii="Book Antiqua" w:hAnsi="Book Antiqua"/>
          <w:sz w:val="24"/>
          <w:szCs w:val="24"/>
          <w:vertAlign w:val="superscript"/>
          <w:lang w:val="en-US"/>
        </w:rPr>
        <w:t>[11]</w:t>
      </w:r>
      <w:r w:rsidRPr="004447D2">
        <w:rPr>
          <w:rFonts w:ascii="Book Antiqua" w:hAnsi="Book Antiqua"/>
          <w:sz w:val="24"/>
          <w:szCs w:val="24"/>
          <w:lang w:val="en-US"/>
        </w:rPr>
        <w:t xml:space="preserve"> used </w:t>
      </w:r>
      <w:proofErr w:type="spellStart"/>
      <w:r w:rsidRPr="004447D2">
        <w:rPr>
          <w:rFonts w:ascii="Book Antiqua" w:hAnsi="Book Antiqua"/>
          <w:sz w:val="24"/>
          <w:szCs w:val="24"/>
          <w:lang w:val="en-US"/>
        </w:rPr>
        <w:t>basiliximab</w:t>
      </w:r>
      <w:proofErr w:type="spellEnd"/>
      <w:r w:rsidRPr="004447D2">
        <w:rPr>
          <w:rFonts w:ascii="Book Antiqua" w:hAnsi="Book Antiqua"/>
          <w:sz w:val="24"/>
          <w:szCs w:val="24"/>
          <w:lang w:val="en-US"/>
        </w:rPr>
        <w:t xml:space="preserve"> as an induction agent and compared no CS at all </w:t>
      </w:r>
      <w:r w:rsidRPr="004447D2">
        <w:rPr>
          <w:rFonts w:ascii="Book Antiqua" w:hAnsi="Book Antiqua"/>
          <w:i/>
          <w:sz w:val="24"/>
          <w:szCs w:val="24"/>
          <w:lang w:val="en-US"/>
        </w:rPr>
        <w:t>vs</w:t>
      </w:r>
      <w:r w:rsidRPr="004447D2">
        <w:rPr>
          <w:rFonts w:ascii="Book Antiqua" w:hAnsi="Book Antiqua"/>
          <w:sz w:val="24"/>
          <w:szCs w:val="24"/>
          <w:lang w:val="en-US"/>
        </w:rPr>
        <w:t xml:space="preserve"> CS withdrawal by day 7 </w:t>
      </w:r>
      <w:r w:rsidRPr="004447D2">
        <w:rPr>
          <w:rFonts w:ascii="Book Antiqua" w:hAnsi="Book Antiqua"/>
          <w:i/>
          <w:sz w:val="24"/>
          <w:szCs w:val="24"/>
          <w:lang w:val="en-US"/>
        </w:rPr>
        <w:t>vs</w:t>
      </w:r>
      <w:r w:rsidRPr="004447D2">
        <w:rPr>
          <w:rFonts w:ascii="Book Antiqua" w:hAnsi="Book Antiqua"/>
          <w:sz w:val="24"/>
          <w:szCs w:val="24"/>
          <w:lang w:val="en-US"/>
        </w:rPr>
        <w:t xml:space="preserve"> standard CS. </w:t>
      </w:r>
      <w:r w:rsidRPr="004447D2">
        <w:rPr>
          <w:rFonts w:ascii="Book Antiqua" w:hAnsi="Book Antiqua"/>
          <w:sz w:val="24"/>
          <w:szCs w:val="24"/>
          <w:lang w:val="en-US"/>
        </w:rPr>
        <w:lastRenderedPageBreak/>
        <w:t xml:space="preserve">Maintenance immunosuppression consisted of cyclosporine and enteric-coated mycophenolate sodium. Biopsy-proven acute rejection rates were significantly higher with complete CS avoidance and very early CS withdrawal regimens (31.5% </w:t>
      </w:r>
      <w:r w:rsidRPr="004447D2">
        <w:rPr>
          <w:rFonts w:ascii="Book Antiqua" w:hAnsi="Book Antiqua"/>
          <w:i/>
          <w:sz w:val="24"/>
          <w:szCs w:val="24"/>
          <w:lang w:val="en-US"/>
        </w:rPr>
        <w:t>vs</w:t>
      </w:r>
      <w:r w:rsidRPr="004447D2">
        <w:rPr>
          <w:rFonts w:ascii="Book Antiqua" w:hAnsi="Book Antiqua"/>
          <w:sz w:val="24"/>
          <w:szCs w:val="24"/>
          <w:lang w:val="en-US"/>
        </w:rPr>
        <w:t xml:space="preserve"> 26.1% </w:t>
      </w:r>
      <w:r w:rsidRPr="004447D2">
        <w:rPr>
          <w:rFonts w:ascii="Book Antiqua" w:hAnsi="Book Antiqua"/>
          <w:i/>
          <w:sz w:val="24"/>
          <w:szCs w:val="24"/>
          <w:lang w:val="en-US"/>
        </w:rPr>
        <w:t>vs</w:t>
      </w:r>
      <w:r w:rsidRPr="004447D2">
        <w:rPr>
          <w:rFonts w:ascii="Book Antiqua" w:hAnsi="Book Antiqua"/>
          <w:sz w:val="24"/>
          <w:szCs w:val="24"/>
          <w:lang w:val="en-US"/>
        </w:rPr>
        <w:t xml:space="preserve"> 14.7%) at a follow-up of 12 </w:t>
      </w:r>
      <w:proofErr w:type="gramStart"/>
      <w:r w:rsidRPr="004447D2">
        <w:rPr>
          <w:rFonts w:ascii="Book Antiqua" w:hAnsi="Book Antiqua"/>
          <w:sz w:val="24"/>
          <w:szCs w:val="24"/>
          <w:lang w:val="en-US"/>
        </w:rPr>
        <w:t>mo</w:t>
      </w:r>
      <w:proofErr w:type="gramEnd"/>
      <w:r w:rsidRPr="004447D2">
        <w:rPr>
          <w:rFonts w:ascii="Book Antiqua" w:hAnsi="Book Antiqua"/>
          <w:sz w:val="24"/>
          <w:szCs w:val="24"/>
          <w:lang w:val="en-US"/>
        </w:rPr>
        <w:t>. No difference was found for patient and allograft survival as well as for median 12-mo estimated glomerular filtration rate. A prospective RCT, which included 300 patients, compared very early CS withd</w:t>
      </w:r>
      <w:r w:rsidR="002C7C2D" w:rsidRPr="004447D2">
        <w:rPr>
          <w:rFonts w:ascii="Book Antiqua" w:hAnsi="Book Antiqua"/>
          <w:sz w:val="24"/>
          <w:szCs w:val="24"/>
          <w:lang w:val="en-US"/>
        </w:rPr>
        <w:t xml:space="preserve">rawal at day 2 with standard </w:t>
      </w:r>
      <w:proofErr w:type="gramStart"/>
      <w:r w:rsidR="002C7C2D" w:rsidRPr="004447D2">
        <w:rPr>
          <w:rFonts w:ascii="Book Antiqua" w:hAnsi="Book Antiqua"/>
          <w:sz w:val="24"/>
          <w:szCs w:val="24"/>
          <w:lang w:val="en-US"/>
        </w:rPr>
        <w:t>CS</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12]</w:t>
      </w:r>
      <w:r w:rsidRPr="004447D2">
        <w:rPr>
          <w:rFonts w:ascii="Book Antiqua" w:hAnsi="Book Antiqua"/>
          <w:sz w:val="24"/>
          <w:szCs w:val="24"/>
          <w:lang w:val="en-US"/>
        </w:rPr>
        <w:t xml:space="preserve">. It also used </w:t>
      </w:r>
      <w:proofErr w:type="spellStart"/>
      <w:r w:rsidRPr="004447D2">
        <w:rPr>
          <w:rFonts w:ascii="Book Antiqua" w:hAnsi="Book Antiqua"/>
          <w:sz w:val="24"/>
          <w:szCs w:val="24"/>
          <w:lang w:val="en-US"/>
        </w:rPr>
        <w:t>basiliximab</w:t>
      </w:r>
      <w:proofErr w:type="spellEnd"/>
      <w:r w:rsidRPr="004447D2">
        <w:rPr>
          <w:rFonts w:ascii="Book Antiqua" w:hAnsi="Book Antiqua"/>
          <w:sz w:val="24"/>
          <w:szCs w:val="24"/>
          <w:lang w:val="en-US"/>
        </w:rPr>
        <w:t xml:space="preserve"> for induction, but maintenance was a </w:t>
      </w:r>
      <w:proofErr w:type="spellStart"/>
      <w:r w:rsidRPr="004447D2">
        <w:rPr>
          <w:rFonts w:ascii="Book Antiqua" w:hAnsi="Book Antiqua"/>
          <w:sz w:val="24"/>
          <w:szCs w:val="24"/>
          <w:lang w:val="en-US"/>
        </w:rPr>
        <w:t>calcineurin</w:t>
      </w:r>
      <w:proofErr w:type="spellEnd"/>
      <w:r w:rsidRPr="004447D2">
        <w:rPr>
          <w:rFonts w:ascii="Book Antiqua" w:hAnsi="Book Antiqua"/>
          <w:sz w:val="24"/>
          <w:szCs w:val="24"/>
          <w:lang w:val="en-US"/>
        </w:rPr>
        <w:t xml:space="preserve"> inhibitor and </w:t>
      </w:r>
      <w:proofErr w:type="spellStart"/>
      <w:r w:rsidRPr="004447D2">
        <w:rPr>
          <w:rFonts w:ascii="Book Antiqua" w:hAnsi="Book Antiqua"/>
          <w:sz w:val="24"/>
          <w:szCs w:val="24"/>
          <w:lang w:val="en-US"/>
        </w:rPr>
        <w:t>mycophenolate</w:t>
      </w:r>
      <w:proofErr w:type="spellEnd"/>
      <w:r w:rsidRPr="004447D2">
        <w:rPr>
          <w:rFonts w:ascii="Book Antiqua" w:hAnsi="Book Antiqua"/>
          <w:sz w:val="24"/>
          <w:szCs w:val="24"/>
          <w:lang w:val="en-US"/>
        </w:rPr>
        <w:t xml:space="preserve"> </w:t>
      </w:r>
      <w:proofErr w:type="spellStart"/>
      <w:r w:rsidRPr="004447D2">
        <w:rPr>
          <w:rFonts w:ascii="Book Antiqua" w:hAnsi="Book Antiqua"/>
          <w:sz w:val="24"/>
          <w:szCs w:val="24"/>
          <w:lang w:val="en-US"/>
        </w:rPr>
        <w:t>mofetil</w:t>
      </w:r>
      <w:proofErr w:type="spellEnd"/>
      <w:r w:rsidRPr="004447D2">
        <w:rPr>
          <w:rFonts w:ascii="Book Antiqua" w:hAnsi="Book Antiqua"/>
          <w:sz w:val="24"/>
          <w:szCs w:val="24"/>
          <w:lang w:val="en-US"/>
        </w:rPr>
        <w:t xml:space="preserve"> or </w:t>
      </w:r>
      <w:proofErr w:type="spellStart"/>
      <w:r w:rsidRPr="004447D2">
        <w:rPr>
          <w:rFonts w:ascii="Book Antiqua" w:hAnsi="Book Antiqua"/>
          <w:sz w:val="24"/>
          <w:szCs w:val="24"/>
          <w:lang w:val="en-US"/>
        </w:rPr>
        <w:t>sirolimus</w:t>
      </w:r>
      <w:proofErr w:type="spellEnd"/>
      <w:r w:rsidRPr="004447D2">
        <w:rPr>
          <w:rFonts w:ascii="Book Antiqua" w:hAnsi="Book Antiqua"/>
          <w:sz w:val="24"/>
          <w:szCs w:val="24"/>
          <w:lang w:val="en-US"/>
        </w:rPr>
        <w:t xml:space="preserve">. It found absolutely no difference in patient and allograft survival, acute rejection, </w:t>
      </w:r>
      <w:proofErr w:type="gramStart"/>
      <w:r w:rsidRPr="004447D2">
        <w:rPr>
          <w:rFonts w:ascii="Book Antiqua" w:hAnsi="Book Antiqua"/>
          <w:sz w:val="24"/>
          <w:szCs w:val="24"/>
          <w:lang w:val="en-US"/>
        </w:rPr>
        <w:t>incidence</w:t>
      </w:r>
      <w:proofErr w:type="gramEnd"/>
      <w:r w:rsidRPr="004447D2">
        <w:rPr>
          <w:rFonts w:ascii="Book Antiqua" w:hAnsi="Book Antiqua"/>
          <w:sz w:val="24"/>
          <w:szCs w:val="24"/>
          <w:lang w:val="en-US"/>
        </w:rPr>
        <w:t xml:space="preserve"> of CAN and allograft function between the two arms at 3 years. A lower frequency of new-onset diabetes mellitus was noted in the very early CS withdrawal group. </w:t>
      </w:r>
    </w:p>
    <w:p w14:paraId="7E95B36D" w14:textId="307C6C17" w:rsidR="00E63466" w:rsidRPr="004447D2" w:rsidRDefault="00E63466" w:rsidP="00887EC2">
      <w:pPr>
        <w:pStyle w:val="a8"/>
        <w:spacing w:line="360" w:lineRule="auto"/>
        <w:ind w:firstLineChars="200" w:firstLine="480"/>
        <w:jc w:val="both"/>
        <w:rPr>
          <w:rFonts w:ascii="Book Antiqua" w:hAnsi="Book Antiqua"/>
          <w:sz w:val="24"/>
          <w:szCs w:val="24"/>
          <w:lang w:val="en-US"/>
        </w:rPr>
      </w:pPr>
      <w:r w:rsidRPr="004447D2">
        <w:rPr>
          <w:rFonts w:ascii="Book Antiqua" w:hAnsi="Book Antiqua"/>
          <w:sz w:val="24"/>
          <w:szCs w:val="24"/>
          <w:lang w:val="en-US"/>
        </w:rPr>
        <w:t xml:space="preserve">Induction with a lymphocyte-depleting agent (rabbit anti-lymphocyte globulin, </w:t>
      </w:r>
      <w:proofErr w:type="spellStart"/>
      <w:r w:rsidRPr="004447D2">
        <w:rPr>
          <w:rFonts w:ascii="Book Antiqua" w:hAnsi="Book Antiqua"/>
          <w:sz w:val="24"/>
          <w:szCs w:val="24"/>
          <w:lang w:val="en-US"/>
        </w:rPr>
        <w:t>rALG</w:t>
      </w:r>
      <w:proofErr w:type="spellEnd"/>
      <w:r w:rsidRPr="004447D2">
        <w:rPr>
          <w:rFonts w:ascii="Book Antiqua" w:hAnsi="Book Antiqua"/>
          <w:sz w:val="24"/>
          <w:szCs w:val="24"/>
          <w:lang w:val="en-US"/>
        </w:rPr>
        <w:t>) was explored in the clinical context of CS avoidance for the firs</w:t>
      </w:r>
      <w:r w:rsidR="005A2FBF" w:rsidRPr="004447D2">
        <w:rPr>
          <w:rFonts w:ascii="Book Antiqua" w:hAnsi="Book Antiqua"/>
          <w:sz w:val="24"/>
          <w:szCs w:val="24"/>
          <w:lang w:val="en-US"/>
        </w:rPr>
        <w:t xml:space="preserve">t time by </w:t>
      </w:r>
      <w:proofErr w:type="spellStart"/>
      <w:r w:rsidR="005A2FBF" w:rsidRPr="004447D2">
        <w:rPr>
          <w:rFonts w:ascii="Book Antiqua" w:hAnsi="Book Antiqua"/>
          <w:sz w:val="24"/>
          <w:szCs w:val="24"/>
          <w:lang w:val="en-US"/>
        </w:rPr>
        <w:t>Laftavi</w:t>
      </w:r>
      <w:proofErr w:type="spellEnd"/>
      <w:r w:rsidR="005A2FBF" w:rsidRPr="004447D2">
        <w:rPr>
          <w:rFonts w:ascii="Book Antiqua" w:hAnsi="Book Antiqua"/>
          <w:sz w:val="24"/>
          <w:szCs w:val="24"/>
          <w:lang w:val="en-US"/>
        </w:rPr>
        <w:t xml:space="preserve"> </w:t>
      </w:r>
      <w:r w:rsidR="00AB141C" w:rsidRPr="004447D2">
        <w:rPr>
          <w:rFonts w:ascii="Book Antiqua" w:hAnsi="Book Antiqua"/>
          <w:i/>
          <w:sz w:val="24"/>
          <w:szCs w:val="24"/>
          <w:lang w:val="en-US"/>
        </w:rPr>
        <w:t xml:space="preserve">et </w:t>
      </w:r>
      <w:proofErr w:type="gramStart"/>
      <w:r w:rsidR="00AB141C" w:rsidRPr="004447D2">
        <w:rPr>
          <w:rFonts w:ascii="Book Antiqua" w:hAnsi="Book Antiqua"/>
          <w:i/>
          <w:sz w:val="24"/>
          <w:szCs w:val="24"/>
          <w:lang w:val="en-US"/>
        </w:rPr>
        <w:t>al</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13]</w:t>
      </w:r>
      <w:r w:rsidRPr="004447D2">
        <w:rPr>
          <w:rFonts w:ascii="Book Antiqua" w:hAnsi="Book Antiqua"/>
          <w:sz w:val="24"/>
          <w:szCs w:val="24"/>
          <w:lang w:val="en-US"/>
        </w:rPr>
        <w:t xml:space="preserve">. They randomized 60 renal transplant recipients to either very early CS withdrawal at day 7 or CS continuation. Maintenance immunosuppression involved tacrolimus and MMF. No difference in acute rejection and allograft function was demonstrated with very early CS withdrawal at a follow-up time of 12 </w:t>
      </w:r>
      <w:proofErr w:type="gramStart"/>
      <w:r w:rsidRPr="004447D2">
        <w:rPr>
          <w:rFonts w:ascii="Book Antiqua" w:hAnsi="Book Antiqua"/>
          <w:sz w:val="24"/>
          <w:szCs w:val="24"/>
          <w:lang w:val="en-US"/>
        </w:rPr>
        <w:t>mo</w:t>
      </w:r>
      <w:proofErr w:type="gramEnd"/>
      <w:r w:rsidRPr="004447D2">
        <w:rPr>
          <w:rFonts w:ascii="Book Antiqua" w:hAnsi="Book Antiqua"/>
          <w:sz w:val="24"/>
          <w:szCs w:val="24"/>
          <w:lang w:val="en-US"/>
        </w:rPr>
        <w:t xml:space="preserve">. However, increased interstitial fibrosis was found in protocol biopsies at 12 </w:t>
      </w:r>
      <w:proofErr w:type="gramStart"/>
      <w:r w:rsidRPr="004447D2">
        <w:rPr>
          <w:rFonts w:ascii="Book Antiqua" w:hAnsi="Book Antiqua"/>
          <w:sz w:val="24"/>
          <w:szCs w:val="24"/>
          <w:lang w:val="en-US"/>
        </w:rPr>
        <w:t>mo</w:t>
      </w:r>
      <w:proofErr w:type="gramEnd"/>
      <w:r w:rsidRPr="004447D2">
        <w:rPr>
          <w:rFonts w:ascii="Book Antiqua" w:hAnsi="Book Antiqua"/>
          <w:sz w:val="24"/>
          <w:szCs w:val="24"/>
          <w:lang w:val="en-US"/>
        </w:rPr>
        <w:t xml:space="preserve"> in the group of very early CS withdrawal. In a case series of 1241 renal transplant recipients with an impressive follow-up time of 10 years, the results of CS wi</w:t>
      </w:r>
      <w:r w:rsidR="002C7C2D" w:rsidRPr="004447D2">
        <w:rPr>
          <w:rFonts w:ascii="Book Antiqua" w:hAnsi="Book Antiqua"/>
          <w:sz w:val="24"/>
          <w:szCs w:val="24"/>
          <w:lang w:val="en-US"/>
        </w:rPr>
        <w:t xml:space="preserve">thdrawal at day 5 were </w:t>
      </w:r>
      <w:proofErr w:type="gramStart"/>
      <w:r w:rsidR="002C7C2D" w:rsidRPr="004447D2">
        <w:rPr>
          <w:rFonts w:ascii="Book Antiqua" w:hAnsi="Book Antiqua"/>
          <w:sz w:val="24"/>
          <w:szCs w:val="24"/>
          <w:lang w:val="en-US"/>
        </w:rPr>
        <w:t>reported</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14]</w:t>
      </w:r>
      <w:r w:rsidRPr="004447D2">
        <w:rPr>
          <w:rFonts w:ascii="Book Antiqua" w:hAnsi="Book Antiqua"/>
          <w:sz w:val="24"/>
          <w:szCs w:val="24"/>
          <w:lang w:val="en-US"/>
        </w:rPr>
        <w:t xml:space="preserve">. All patients received induction immunosuppression with Thymoglobulin while maintenance immunosuppression comprised of a calcineurin inhibitor (tacrolimus or cyclosporine) and a secondary agent (MMF or </w:t>
      </w:r>
      <w:proofErr w:type="spellStart"/>
      <w:r w:rsidRPr="004447D2">
        <w:rPr>
          <w:rFonts w:ascii="Book Antiqua" w:hAnsi="Book Antiqua"/>
          <w:sz w:val="24"/>
          <w:szCs w:val="24"/>
          <w:lang w:val="en-US"/>
        </w:rPr>
        <w:t>sirolimus</w:t>
      </w:r>
      <w:proofErr w:type="spellEnd"/>
      <w:r w:rsidRPr="004447D2">
        <w:rPr>
          <w:rFonts w:ascii="Book Antiqua" w:hAnsi="Book Antiqua"/>
          <w:sz w:val="24"/>
          <w:szCs w:val="24"/>
          <w:lang w:val="en-US"/>
        </w:rPr>
        <w:t xml:space="preserve">). Despite acute rejection rates of 25% for cadaveric donor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and 31% for living donor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at 10 years, patient and allograft survival was comparable to that reported in national registry databases. A beneficial effect of very early CS withdrawal was shown for new-onset diabetes mellitus, </w:t>
      </w:r>
      <w:proofErr w:type="spellStart"/>
      <w:r w:rsidRPr="004447D2">
        <w:rPr>
          <w:rFonts w:ascii="Book Antiqua" w:hAnsi="Book Antiqua"/>
          <w:sz w:val="24"/>
          <w:szCs w:val="24"/>
          <w:lang w:val="en-US"/>
        </w:rPr>
        <w:t>subcapsular</w:t>
      </w:r>
      <w:proofErr w:type="spellEnd"/>
      <w:r w:rsidRPr="004447D2">
        <w:rPr>
          <w:rFonts w:ascii="Book Antiqua" w:hAnsi="Book Antiqua"/>
          <w:sz w:val="24"/>
          <w:szCs w:val="24"/>
          <w:lang w:val="en-US"/>
        </w:rPr>
        <w:t xml:space="preserve"> cataract, and avascular necrosis. Till now, induction with lymphocyte-depleting agents seems to be the optimal option for consolidating the benefits of CS avoidance strategies without putting renal allografts at risk of acute rejection. It is not surprising that approximately 90% of </w:t>
      </w:r>
      <w:r w:rsidRPr="004447D2">
        <w:rPr>
          <w:rFonts w:ascii="Book Antiqua" w:hAnsi="Book Antiqua"/>
          <w:sz w:val="24"/>
          <w:szCs w:val="24"/>
          <w:lang w:val="en-US"/>
        </w:rPr>
        <w:lastRenderedPageBreak/>
        <w:t>U</w:t>
      </w:r>
      <w:r w:rsidR="004029E6" w:rsidRPr="004447D2">
        <w:rPr>
          <w:rFonts w:ascii="Book Antiqua" w:hAnsi="Book Antiqua"/>
          <w:sz w:val="24"/>
          <w:szCs w:val="24"/>
          <w:lang w:val="en-US" w:eastAsia="zh-CN"/>
        </w:rPr>
        <w:t xml:space="preserve">nited </w:t>
      </w:r>
      <w:r w:rsidR="004029E6" w:rsidRPr="004447D2">
        <w:rPr>
          <w:rFonts w:ascii="Book Antiqua" w:hAnsi="Book Antiqua"/>
          <w:sz w:val="24"/>
          <w:szCs w:val="24"/>
          <w:lang w:val="en-US"/>
        </w:rPr>
        <w:t>S</w:t>
      </w:r>
      <w:r w:rsidR="004029E6" w:rsidRPr="004447D2">
        <w:rPr>
          <w:rFonts w:ascii="Book Antiqua" w:hAnsi="Book Antiqua"/>
          <w:sz w:val="24"/>
          <w:szCs w:val="24"/>
          <w:lang w:val="en-US" w:eastAsia="zh-CN"/>
        </w:rPr>
        <w:t>tates</w:t>
      </w:r>
      <w:r w:rsidRPr="004447D2">
        <w:rPr>
          <w:rFonts w:ascii="Book Antiqua" w:hAnsi="Book Antiqua"/>
          <w:sz w:val="24"/>
          <w:szCs w:val="24"/>
          <w:lang w:val="en-US"/>
        </w:rPr>
        <w:t xml:space="preserve"> renal transplant recipients with a steroid-free regimen on discharge have received induction wi</w:t>
      </w:r>
      <w:r w:rsidR="002C7C2D" w:rsidRPr="004447D2">
        <w:rPr>
          <w:rFonts w:ascii="Book Antiqua" w:hAnsi="Book Antiqua"/>
          <w:sz w:val="24"/>
          <w:szCs w:val="24"/>
          <w:lang w:val="en-US"/>
        </w:rPr>
        <w:t xml:space="preserve">th a lymphocyte-depleting </w:t>
      </w:r>
      <w:proofErr w:type="gramStart"/>
      <w:r w:rsidR="002C7C2D" w:rsidRPr="004447D2">
        <w:rPr>
          <w:rFonts w:ascii="Book Antiqua" w:hAnsi="Book Antiqua"/>
          <w:sz w:val="24"/>
          <w:szCs w:val="24"/>
          <w:lang w:val="en-US"/>
        </w:rPr>
        <w:t>agent</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15]</w:t>
      </w:r>
      <w:r w:rsidRPr="004447D2">
        <w:rPr>
          <w:rFonts w:ascii="Book Antiqua" w:hAnsi="Book Antiqua"/>
          <w:sz w:val="24"/>
          <w:szCs w:val="24"/>
          <w:lang w:val="en-US"/>
        </w:rPr>
        <w:t xml:space="preserve">. Anti-interleukin-2 receptor monoclonal antibodies have been used in the remaining 10% of the patients. </w:t>
      </w:r>
    </w:p>
    <w:p w14:paraId="25DEF68A" w14:textId="0A61C36D" w:rsidR="002735E9" w:rsidRPr="004447D2" w:rsidRDefault="00E63466" w:rsidP="00887EC2">
      <w:pPr>
        <w:pStyle w:val="a8"/>
        <w:spacing w:line="360" w:lineRule="auto"/>
        <w:ind w:firstLineChars="200" w:firstLine="480"/>
        <w:jc w:val="both"/>
        <w:rPr>
          <w:rFonts w:ascii="Book Antiqua" w:hAnsi="Book Antiqua"/>
          <w:sz w:val="24"/>
          <w:szCs w:val="24"/>
          <w:lang w:val="en-US"/>
        </w:rPr>
      </w:pPr>
      <w:r w:rsidRPr="004447D2">
        <w:rPr>
          <w:rFonts w:ascii="Book Antiqua" w:hAnsi="Book Antiqua"/>
          <w:sz w:val="24"/>
          <w:szCs w:val="24"/>
          <w:lang w:val="en-US"/>
        </w:rPr>
        <w:t xml:space="preserve">The monoclonal lymphocyte-depleting antibody alemtuzumab has lately emerged as a promising CS-sparing agent. In a comparative, multicenter RCT, 852 unselected (both low and high immunological risk) renal transplant recipients were administered either induction with alemtuzumab (followed by reduced-dose tacrolimus and MMF without CS) or with </w:t>
      </w:r>
      <w:proofErr w:type="spellStart"/>
      <w:r w:rsidRPr="004447D2">
        <w:rPr>
          <w:rFonts w:ascii="Book Antiqua" w:hAnsi="Book Antiqua"/>
          <w:sz w:val="24"/>
          <w:szCs w:val="24"/>
          <w:lang w:val="en-US"/>
        </w:rPr>
        <w:t>basiliximab</w:t>
      </w:r>
      <w:proofErr w:type="spellEnd"/>
      <w:r w:rsidRPr="004447D2">
        <w:rPr>
          <w:rFonts w:ascii="Book Antiqua" w:hAnsi="Book Antiqua"/>
          <w:sz w:val="24"/>
          <w:szCs w:val="24"/>
          <w:lang w:val="en-US"/>
        </w:rPr>
        <w:t xml:space="preserve"> (followed by standar</w:t>
      </w:r>
      <w:r w:rsidR="002C7C2D" w:rsidRPr="004447D2">
        <w:rPr>
          <w:rFonts w:ascii="Book Antiqua" w:hAnsi="Book Antiqua"/>
          <w:sz w:val="24"/>
          <w:szCs w:val="24"/>
          <w:lang w:val="en-US"/>
        </w:rPr>
        <w:t>d-dose tacrolimus, MMF, and CS)</w:t>
      </w:r>
      <w:r w:rsidRPr="004447D2">
        <w:rPr>
          <w:rFonts w:ascii="Book Antiqua" w:hAnsi="Book Antiqua"/>
          <w:sz w:val="24"/>
          <w:szCs w:val="24"/>
          <w:vertAlign w:val="superscript"/>
          <w:lang w:val="en-US"/>
        </w:rPr>
        <w:t>[16]</w:t>
      </w:r>
      <w:r w:rsidRPr="004447D2">
        <w:rPr>
          <w:rFonts w:ascii="Book Antiqua" w:hAnsi="Book Antiqua"/>
          <w:sz w:val="24"/>
          <w:szCs w:val="24"/>
          <w:lang w:val="en-US"/>
        </w:rPr>
        <w:t>. According to the preliminary results, alemtuzumab halved biopsy-proven acu</w:t>
      </w:r>
      <w:r w:rsidR="00F653B9" w:rsidRPr="004447D2">
        <w:rPr>
          <w:rFonts w:ascii="Book Antiqua" w:hAnsi="Book Antiqua"/>
          <w:sz w:val="24"/>
          <w:szCs w:val="24"/>
          <w:lang w:val="en-US"/>
        </w:rPr>
        <w:t>te rejection at 6 mo</w:t>
      </w:r>
      <w:r w:rsidRPr="004447D2">
        <w:rPr>
          <w:rFonts w:ascii="Book Antiqua" w:hAnsi="Book Antiqua"/>
          <w:sz w:val="24"/>
          <w:szCs w:val="24"/>
          <w:lang w:val="en-US"/>
        </w:rPr>
        <w:t xml:space="preserve">. Patient and allograft survival were not different between the two groups. Long-term follow-up results of this study are eagerly awaited. In a direct comparison of </w:t>
      </w:r>
      <w:proofErr w:type="spellStart"/>
      <w:r w:rsidRPr="004447D2">
        <w:rPr>
          <w:rFonts w:ascii="Book Antiqua" w:hAnsi="Book Antiqua"/>
          <w:sz w:val="24"/>
          <w:szCs w:val="24"/>
          <w:lang w:val="en-US"/>
        </w:rPr>
        <w:t>alemtuzumab</w:t>
      </w:r>
      <w:proofErr w:type="spellEnd"/>
      <w:r w:rsidRPr="004447D2">
        <w:rPr>
          <w:rFonts w:ascii="Book Antiqua" w:hAnsi="Book Antiqua"/>
          <w:sz w:val="24"/>
          <w:szCs w:val="24"/>
          <w:lang w:val="en-US"/>
        </w:rPr>
        <w:t xml:space="preserve"> with </w:t>
      </w:r>
      <w:proofErr w:type="spellStart"/>
      <w:r w:rsidRPr="004447D2">
        <w:rPr>
          <w:rFonts w:ascii="Book Antiqua" w:hAnsi="Book Antiqua"/>
          <w:sz w:val="24"/>
          <w:szCs w:val="24"/>
          <w:lang w:val="en-US"/>
        </w:rPr>
        <w:t>basiliximab</w:t>
      </w:r>
      <w:proofErr w:type="spellEnd"/>
      <w:r w:rsidRPr="004447D2">
        <w:rPr>
          <w:rFonts w:ascii="Book Antiqua" w:hAnsi="Book Antiqua"/>
          <w:sz w:val="24"/>
          <w:szCs w:val="24"/>
          <w:lang w:val="en-US"/>
        </w:rPr>
        <w:t xml:space="preserve"> (both arms were subjected to CS withdrawal by day 5) in a cohort of 335 low-risk patients, the rate of biopsy-confirmed acute rejection was lower with </w:t>
      </w:r>
      <w:proofErr w:type="spellStart"/>
      <w:r w:rsidRPr="004447D2">
        <w:rPr>
          <w:rFonts w:ascii="Book Antiqua" w:hAnsi="Book Antiqua"/>
          <w:sz w:val="24"/>
          <w:szCs w:val="24"/>
          <w:lang w:val="en-US"/>
        </w:rPr>
        <w:t>alemtuzumab</w:t>
      </w:r>
      <w:proofErr w:type="spellEnd"/>
      <w:r w:rsidRPr="004447D2">
        <w:rPr>
          <w:rFonts w:ascii="Book Antiqua" w:hAnsi="Book Antiqua"/>
          <w:sz w:val="24"/>
          <w:szCs w:val="24"/>
          <w:lang w:val="en-US"/>
        </w:rPr>
        <w:t xml:space="preserve"> (10% </w:t>
      </w:r>
      <w:r w:rsidRPr="004447D2">
        <w:rPr>
          <w:rFonts w:ascii="Book Antiqua" w:hAnsi="Book Antiqua"/>
          <w:i/>
          <w:sz w:val="24"/>
          <w:szCs w:val="24"/>
          <w:lang w:val="en-US"/>
        </w:rPr>
        <w:t>vs</w:t>
      </w:r>
      <w:r w:rsidRPr="004447D2">
        <w:rPr>
          <w:rFonts w:ascii="Book Antiqua" w:hAnsi="Book Antiqua"/>
          <w:sz w:val="24"/>
          <w:szCs w:val="24"/>
          <w:lang w:val="en-US"/>
        </w:rPr>
        <w:t xml:space="preserve"> 22%, </w:t>
      </w:r>
      <w:r w:rsidR="00CF6DF1" w:rsidRPr="004447D2">
        <w:rPr>
          <w:rFonts w:ascii="Book Antiqua" w:hAnsi="Book Antiqua"/>
          <w:i/>
          <w:sz w:val="24"/>
          <w:szCs w:val="24"/>
          <w:lang w:val="en-US"/>
        </w:rPr>
        <w:t>P</w:t>
      </w:r>
      <w:r w:rsidR="00CF6DF1" w:rsidRPr="004447D2">
        <w:rPr>
          <w:rFonts w:ascii="Book Antiqua" w:hAnsi="Book Antiqua"/>
          <w:sz w:val="24"/>
          <w:szCs w:val="24"/>
          <w:lang w:val="en-US" w:eastAsia="zh-CN"/>
        </w:rPr>
        <w:t xml:space="preserve"> </w:t>
      </w:r>
      <w:r w:rsidRPr="004447D2">
        <w:rPr>
          <w:rFonts w:ascii="Book Antiqua" w:hAnsi="Book Antiqua"/>
          <w:sz w:val="24"/>
          <w:szCs w:val="24"/>
          <w:lang w:val="en-US"/>
        </w:rPr>
        <w:t>=</w:t>
      </w:r>
      <w:r w:rsidR="00CF6DF1" w:rsidRPr="004447D2">
        <w:rPr>
          <w:rFonts w:ascii="Book Antiqua" w:hAnsi="Book Antiqua"/>
          <w:sz w:val="24"/>
          <w:szCs w:val="24"/>
          <w:lang w:val="en-US" w:eastAsia="zh-CN"/>
        </w:rPr>
        <w:t xml:space="preserve"> </w:t>
      </w:r>
      <w:r w:rsidRPr="004447D2">
        <w:rPr>
          <w:rFonts w:ascii="Book Antiqua" w:hAnsi="Book Antiqua"/>
          <w:sz w:val="24"/>
          <w:szCs w:val="24"/>
          <w:lang w:val="en-US"/>
        </w:rPr>
        <w:t xml:space="preserve">0.003) at 3 </w:t>
      </w:r>
      <w:proofErr w:type="gramStart"/>
      <w:r w:rsidRPr="004447D2">
        <w:rPr>
          <w:rFonts w:ascii="Book Antiqua" w:hAnsi="Book Antiqua"/>
          <w:sz w:val="24"/>
          <w:szCs w:val="24"/>
          <w:lang w:val="en-US"/>
        </w:rPr>
        <w:t>years</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17]</w:t>
      </w:r>
      <w:r w:rsidRPr="004447D2">
        <w:rPr>
          <w:rFonts w:ascii="Book Antiqua" w:hAnsi="Book Antiqua"/>
          <w:sz w:val="24"/>
          <w:szCs w:val="24"/>
          <w:lang w:val="en-US"/>
        </w:rPr>
        <w:t xml:space="preserve">. The major studies on CS avoidance are summarized in </w:t>
      </w:r>
      <w:r w:rsidR="00CF6DF1" w:rsidRPr="004447D2">
        <w:rPr>
          <w:rFonts w:ascii="Book Antiqua" w:hAnsi="Book Antiqua"/>
          <w:sz w:val="24"/>
          <w:szCs w:val="24"/>
          <w:lang w:val="en-US"/>
        </w:rPr>
        <w:t>T</w:t>
      </w:r>
      <w:r w:rsidRPr="004447D2">
        <w:rPr>
          <w:rFonts w:ascii="Book Antiqua" w:hAnsi="Book Antiqua"/>
          <w:sz w:val="24"/>
          <w:szCs w:val="24"/>
          <w:lang w:val="en-US"/>
        </w:rPr>
        <w:t>able 2. Lastly, an important question is whether patients on CS avoidance regimens should be put in CS maintenance after treatment of an acute rejection episode. A retrospective study found that allograft survival is not affected by the introduction of CS maintenance or not but the lack of CS maintenance is a risk factor for a su</w:t>
      </w:r>
      <w:r w:rsidR="002C7C2D" w:rsidRPr="004447D2">
        <w:rPr>
          <w:rFonts w:ascii="Book Antiqua" w:hAnsi="Book Antiqua"/>
          <w:sz w:val="24"/>
          <w:szCs w:val="24"/>
          <w:lang w:val="en-US"/>
        </w:rPr>
        <w:t xml:space="preserve">bsequent second acute </w:t>
      </w:r>
      <w:proofErr w:type="gramStart"/>
      <w:r w:rsidR="002C7C2D" w:rsidRPr="004447D2">
        <w:rPr>
          <w:rFonts w:ascii="Book Antiqua" w:hAnsi="Book Antiqua"/>
          <w:sz w:val="24"/>
          <w:szCs w:val="24"/>
          <w:lang w:val="en-US"/>
        </w:rPr>
        <w:t>rejection</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18]</w:t>
      </w:r>
      <w:r w:rsidRPr="004447D2">
        <w:rPr>
          <w:rFonts w:ascii="Book Antiqua" w:hAnsi="Book Antiqua"/>
          <w:sz w:val="24"/>
          <w:szCs w:val="24"/>
          <w:lang w:val="en-US"/>
        </w:rPr>
        <w:t xml:space="preserve">. </w:t>
      </w:r>
    </w:p>
    <w:p w14:paraId="75A4E48C" w14:textId="77777777" w:rsidR="0096694D" w:rsidRPr="004447D2" w:rsidRDefault="0096694D" w:rsidP="00887EC2">
      <w:pPr>
        <w:pStyle w:val="a8"/>
        <w:spacing w:line="360" w:lineRule="auto"/>
        <w:jc w:val="both"/>
        <w:rPr>
          <w:rFonts w:ascii="Book Antiqua" w:hAnsi="Book Antiqua"/>
          <w:noProof/>
          <w:sz w:val="24"/>
          <w:szCs w:val="24"/>
          <w:lang w:val="en-US"/>
        </w:rPr>
      </w:pPr>
    </w:p>
    <w:p w14:paraId="51E0B596" w14:textId="77777777" w:rsidR="00BA4944" w:rsidRPr="004447D2" w:rsidRDefault="00BA4944" w:rsidP="00887EC2">
      <w:pPr>
        <w:pStyle w:val="a8"/>
        <w:spacing w:line="360" w:lineRule="auto"/>
        <w:jc w:val="both"/>
        <w:rPr>
          <w:rFonts w:ascii="Book Antiqua" w:hAnsi="Book Antiqua"/>
          <w:b/>
          <w:i/>
          <w:noProof/>
          <w:sz w:val="24"/>
          <w:szCs w:val="24"/>
          <w:lang w:val="en-US"/>
        </w:rPr>
      </w:pPr>
      <w:r w:rsidRPr="004447D2">
        <w:rPr>
          <w:rFonts w:ascii="Book Antiqua" w:hAnsi="Book Antiqua"/>
          <w:b/>
          <w:i/>
          <w:noProof/>
          <w:sz w:val="24"/>
          <w:szCs w:val="24"/>
          <w:lang w:val="en-US"/>
        </w:rPr>
        <w:t>CS withdrawal</w:t>
      </w:r>
    </w:p>
    <w:p w14:paraId="76195438" w14:textId="5D014FF1" w:rsidR="00E63466" w:rsidRPr="004447D2" w:rsidRDefault="00BA4944" w:rsidP="00887EC2">
      <w:pPr>
        <w:pStyle w:val="a8"/>
        <w:spacing w:line="360" w:lineRule="auto"/>
        <w:jc w:val="both"/>
        <w:rPr>
          <w:rFonts w:ascii="Book Antiqua" w:hAnsi="Book Antiqua"/>
          <w:b/>
          <w:noProof/>
          <w:sz w:val="24"/>
          <w:szCs w:val="24"/>
          <w:lang w:val="en-US" w:eastAsia="zh-CN"/>
        </w:rPr>
      </w:pPr>
      <w:r w:rsidRPr="004447D2">
        <w:rPr>
          <w:rFonts w:ascii="Book Antiqua" w:hAnsi="Book Antiqua"/>
          <w:b/>
          <w:noProof/>
          <w:sz w:val="24"/>
          <w:szCs w:val="24"/>
          <w:lang w:val="en-US"/>
        </w:rPr>
        <w:t>Early CS withdrawal</w:t>
      </w:r>
      <w:r w:rsidR="00A421FB" w:rsidRPr="004447D2">
        <w:rPr>
          <w:rFonts w:ascii="Book Antiqua" w:hAnsi="Book Antiqua"/>
          <w:b/>
          <w:noProof/>
          <w:sz w:val="24"/>
          <w:szCs w:val="24"/>
          <w:lang w:val="en-US" w:eastAsia="zh-CN"/>
        </w:rPr>
        <w:t xml:space="preserve">: </w:t>
      </w:r>
      <w:r w:rsidR="00E63466" w:rsidRPr="004447D2">
        <w:rPr>
          <w:rFonts w:ascii="Book Antiqua" w:hAnsi="Book Antiqua"/>
          <w:noProof/>
          <w:sz w:val="24"/>
          <w:szCs w:val="24"/>
          <w:lang w:val="en-US"/>
        </w:rPr>
        <w:t>Initial attempts to apply early CS withdrawal under cyclosporine-based maintenance immunosuppressiv</w:t>
      </w:r>
      <w:r w:rsidR="002C7C2D" w:rsidRPr="004447D2">
        <w:rPr>
          <w:rFonts w:ascii="Book Antiqua" w:hAnsi="Book Antiqua"/>
          <w:noProof/>
          <w:sz w:val="24"/>
          <w:szCs w:val="24"/>
          <w:lang w:val="en-US"/>
        </w:rPr>
        <w:t>e regimens did not meet success</w:t>
      </w:r>
      <w:r w:rsidR="00E63466" w:rsidRPr="004447D2">
        <w:rPr>
          <w:rFonts w:ascii="Book Antiqua" w:hAnsi="Book Antiqua"/>
          <w:noProof/>
          <w:sz w:val="24"/>
          <w:szCs w:val="24"/>
          <w:vertAlign w:val="superscript"/>
          <w:lang w:val="en-US"/>
        </w:rPr>
        <w:t>[19,20]</w:t>
      </w:r>
      <w:r w:rsidR="00E63466" w:rsidRPr="004447D2">
        <w:rPr>
          <w:rFonts w:ascii="Book Antiqua" w:hAnsi="Book Antiqua"/>
          <w:noProof/>
          <w:sz w:val="24"/>
          <w:szCs w:val="24"/>
          <w:lang w:val="en-US"/>
        </w:rPr>
        <w:t>. The advent of more potent maintenance immunosuppressants like tacrolimus and MMF renewed researchers</w:t>
      </w:r>
      <w:r w:rsidR="00CF6DF1" w:rsidRPr="004447D2">
        <w:rPr>
          <w:rFonts w:ascii="Book Antiqua" w:hAnsi="Book Antiqua"/>
          <w:noProof/>
          <w:sz w:val="24"/>
          <w:szCs w:val="24"/>
          <w:lang w:val="en-US" w:eastAsia="zh-CN"/>
        </w:rPr>
        <w:t>’</w:t>
      </w:r>
      <w:r w:rsidR="00E63466" w:rsidRPr="004447D2">
        <w:rPr>
          <w:rFonts w:ascii="Book Antiqua" w:hAnsi="Book Antiqua"/>
          <w:noProof/>
          <w:sz w:val="24"/>
          <w:szCs w:val="24"/>
          <w:lang w:val="en-US"/>
        </w:rPr>
        <w:t xml:space="preserve"> interest in assessing the feasibility of early CS withdrawal </w:t>
      </w:r>
      <w:r w:rsidR="00CF6DF1" w:rsidRPr="004447D2">
        <w:rPr>
          <w:rFonts w:ascii="Book Antiqua" w:hAnsi="Book Antiqua"/>
          <w:noProof/>
          <w:sz w:val="24"/>
          <w:szCs w:val="24"/>
          <w:lang w:val="en-US"/>
        </w:rPr>
        <w:t>(T</w:t>
      </w:r>
      <w:r w:rsidR="00E63466" w:rsidRPr="004447D2">
        <w:rPr>
          <w:rFonts w:ascii="Book Antiqua" w:hAnsi="Book Antiqua"/>
          <w:noProof/>
          <w:sz w:val="24"/>
          <w:szCs w:val="24"/>
          <w:lang w:val="en-US"/>
        </w:rPr>
        <w:t xml:space="preserve">able 3). </w:t>
      </w:r>
      <w:r w:rsidR="00910D67" w:rsidRPr="004447D2">
        <w:rPr>
          <w:rFonts w:ascii="Book Antiqua" w:hAnsi="Book Antiqua" w:cs="宋体"/>
          <w:bCs/>
          <w:color w:val="000000"/>
          <w:sz w:val="24"/>
          <w:szCs w:val="24"/>
        </w:rPr>
        <w:t>Vanrenterghem</w:t>
      </w:r>
      <w:r w:rsidR="00E63466" w:rsidRPr="004447D2">
        <w:rPr>
          <w:rFonts w:ascii="Book Antiqua" w:hAnsi="Book Antiqua"/>
          <w:noProof/>
          <w:sz w:val="24"/>
          <w:szCs w:val="24"/>
          <w:lang w:val="en-US"/>
        </w:rPr>
        <w:t xml:space="preserve"> </w:t>
      </w:r>
      <w:r w:rsidR="00AB141C" w:rsidRPr="004447D2">
        <w:rPr>
          <w:rFonts w:ascii="Book Antiqua" w:hAnsi="Book Antiqua"/>
          <w:i/>
          <w:noProof/>
          <w:sz w:val="24"/>
          <w:szCs w:val="24"/>
          <w:lang w:val="en-US"/>
        </w:rPr>
        <w:t>et al</w:t>
      </w:r>
      <w:r w:rsidR="00CF6DF1" w:rsidRPr="004447D2">
        <w:rPr>
          <w:rFonts w:ascii="Book Antiqua" w:hAnsi="Book Antiqua"/>
          <w:noProof/>
          <w:sz w:val="24"/>
          <w:szCs w:val="24"/>
          <w:vertAlign w:val="superscript"/>
          <w:lang w:val="en-US"/>
        </w:rPr>
        <w:t>[21]</w:t>
      </w:r>
      <w:r w:rsidR="00E63466" w:rsidRPr="004447D2">
        <w:rPr>
          <w:rFonts w:ascii="Book Antiqua" w:hAnsi="Book Antiqua"/>
          <w:noProof/>
          <w:sz w:val="24"/>
          <w:szCs w:val="24"/>
          <w:lang w:val="en-US"/>
        </w:rPr>
        <w:t xml:space="preserve"> studied CS withdrawal 3 mo after Tx in 556 low immunological risk patient</w:t>
      </w:r>
      <w:r w:rsidR="00E50D74" w:rsidRPr="004447D2">
        <w:rPr>
          <w:rFonts w:ascii="Book Antiqua" w:hAnsi="Book Antiqua"/>
          <w:noProof/>
          <w:sz w:val="24"/>
          <w:szCs w:val="24"/>
          <w:lang w:val="en-US"/>
        </w:rPr>
        <w:t>s enrolled in a multicenter RCT</w:t>
      </w:r>
      <w:r w:rsidR="00E63466" w:rsidRPr="004447D2">
        <w:rPr>
          <w:rFonts w:ascii="Book Antiqua" w:hAnsi="Book Antiqua"/>
          <w:noProof/>
          <w:sz w:val="24"/>
          <w:szCs w:val="24"/>
          <w:lang w:val="en-US"/>
        </w:rPr>
        <w:t xml:space="preserve">. Maintenance immunosuppression consisted of tacrolimus and MMF. In the follow-up time of only 6 mo, it was shown that acute rejection rates were higher in the CS </w:t>
      </w:r>
      <w:r w:rsidR="00E63466" w:rsidRPr="004447D2">
        <w:rPr>
          <w:rFonts w:ascii="Book Antiqua" w:hAnsi="Book Antiqua"/>
          <w:noProof/>
          <w:sz w:val="24"/>
          <w:szCs w:val="24"/>
          <w:lang w:val="en-US"/>
        </w:rPr>
        <w:lastRenderedPageBreak/>
        <w:t xml:space="preserve">withdrawal arm during months 3-6. Mean total cholesterol and LDL were reduced in the CS withdrawal arm at the same period. Pascual </w:t>
      </w:r>
      <w:r w:rsidR="00AB141C" w:rsidRPr="004447D2">
        <w:rPr>
          <w:rFonts w:ascii="Book Antiqua" w:hAnsi="Book Antiqua"/>
          <w:i/>
          <w:noProof/>
          <w:sz w:val="24"/>
          <w:szCs w:val="24"/>
          <w:lang w:val="en-US"/>
        </w:rPr>
        <w:t>et al</w:t>
      </w:r>
      <w:r w:rsidR="00910D67" w:rsidRPr="004447D2">
        <w:rPr>
          <w:rFonts w:ascii="Book Antiqua" w:hAnsi="Book Antiqua"/>
          <w:noProof/>
          <w:sz w:val="24"/>
          <w:szCs w:val="24"/>
          <w:vertAlign w:val="superscript"/>
          <w:lang w:val="en-US"/>
        </w:rPr>
        <w:t>[22]</w:t>
      </w:r>
      <w:r w:rsidR="00E63466" w:rsidRPr="004447D2">
        <w:rPr>
          <w:rFonts w:ascii="Book Antiqua" w:hAnsi="Book Antiqua"/>
          <w:noProof/>
          <w:sz w:val="24"/>
          <w:szCs w:val="24"/>
          <w:lang w:val="en-US"/>
        </w:rPr>
        <w:t xml:space="preserve"> summarized RCTs in CS withdrawal between 3 and 6 mo in a systematic review includi</w:t>
      </w:r>
      <w:r w:rsidR="00E50D74" w:rsidRPr="004447D2">
        <w:rPr>
          <w:rFonts w:ascii="Book Antiqua" w:hAnsi="Book Antiqua"/>
          <w:noProof/>
          <w:sz w:val="24"/>
          <w:szCs w:val="24"/>
          <w:lang w:val="en-US"/>
        </w:rPr>
        <w:t>ng 9 studies with 1820 patients</w:t>
      </w:r>
      <w:r w:rsidR="00E63466" w:rsidRPr="004447D2">
        <w:rPr>
          <w:rFonts w:ascii="Book Antiqua" w:hAnsi="Book Antiqua"/>
          <w:noProof/>
          <w:sz w:val="24"/>
          <w:szCs w:val="24"/>
          <w:lang w:val="en-US"/>
        </w:rPr>
        <w:t xml:space="preserve">. They concluded that patient and allograft survival is not affected by early Cs withdrawal up to 3 years after Tx. Total acute rejection rates were higher with early CS withdrawal in cyclosporine-treated patients. Although reduction of total cholesterol levels was observed with early CS withdrawal, no significant difference was found for any of the other cardiovascular or non-cardiovascular adverse events. It is worth mentioning that induction immunosuppression was not used in any of the included studies. Overall, evidence about the benefit-risk ratio of early CS withdrawal is weaker than that of CS avoidance and follow-up times are shorter. It is unknown if induction with lymphocyte depleting agents or anti-interleukin-2 receptor monoclonal antibodies were used in any of the studies, it would have any meaningful impact on the results. </w:t>
      </w:r>
    </w:p>
    <w:p w14:paraId="44C0D271" w14:textId="77777777" w:rsidR="00E63466" w:rsidRPr="004447D2" w:rsidRDefault="00E63466" w:rsidP="00887EC2">
      <w:pPr>
        <w:pStyle w:val="a8"/>
        <w:spacing w:line="360" w:lineRule="auto"/>
        <w:jc w:val="both"/>
        <w:rPr>
          <w:rFonts w:ascii="Book Antiqua" w:hAnsi="Book Antiqua"/>
          <w:noProof/>
          <w:sz w:val="24"/>
          <w:szCs w:val="24"/>
          <w:lang w:val="en-US"/>
        </w:rPr>
      </w:pPr>
    </w:p>
    <w:p w14:paraId="664A790C" w14:textId="74F2A390" w:rsidR="00E63466" w:rsidRPr="004447D2" w:rsidRDefault="00E63466" w:rsidP="00887EC2">
      <w:pPr>
        <w:pStyle w:val="a8"/>
        <w:spacing w:line="360" w:lineRule="auto"/>
        <w:jc w:val="both"/>
        <w:rPr>
          <w:rFonts w:ascii="Book Antiqua" w:hAnsi="Book Antiqua"/>
          <w:b/>
          <w:noProof/>
          <w:sz w:val="24"/>
          <w:szCs w:val="24"/>
          <w:lang w:val="en-US" w:eastAsia="zh-CN"/>
        </w:rPr>
      </w:pPr>
      <w:r w:rsidRPr="004447D2">
        <w:rPr>
          <w:rFonts w:ascii="Book Antiqua" w:hAnsi="Book Antiqua"/>
          <w:b/>
          <w:noProof/>
          <w:sz w:val="24"/>
          <w:szCs w:val="24"/>
          <w:lang w:val="en-US"/>
        </w:rPr>
        <w:t>Late CS withdrawal</w:t>
      </w:r>
      <w:r w:rsidR="00A421FB" w:rsidRPr="004447D2">
        <w:rPr>
          <w:rFonts w:ascii="Book Antiqua" w:hAnsi="Book Antiqua"/>
          <w:b/>
          <w:noProof/>
          <w:sz w:val="24"/>
          <w:szCs w:val="24"/>
          <w:lang w:val="en-US" w:eastAsia="zh-CN"/>
        </w:rPr>
        <w:t xml:space="preserve">: </w:t>
      </w:r>
      <w:r w:rsidRPr="004447D2">
        <w:rPr>
          <w:rFonts w:ascii="Book Antiqua" w:hAnsi="Book Antiqua"/>
          <w:noProof/>
          <w:sz w:val="24"/>
          <w:szCs w:val="24"/>
          <w:lang w:val="en-US"/>
        </w:rPr>
        <w:t>It appears that late CS withdrawal (more than 6 mo and possibly years after Tx) represents the least favorable method of the CS minimization strategies. It is apparent that certain CS-related complications would already have been established by that time. For instance, it is well known that a rapid deterioration in osteoporosis occurs within</w:t>
      </w:r>
      <w:r w:rsidR="00E50D74" w:rsidRPr="004447D2">
        <w:rPr>
          <w:rFonts w:ascii="Book Antiqua" w:hAnsi="Book Antiqua"/>
          <w:noProof/>
          <w:sz w:val="24"/>
          <w:szCs w:val="24"/>
          <w:lang w:val="en-US"/>
        </w:rPr>
        <w:t xml:space="preserve"> the first post-transplant year</w:t>
      </w:r>
      <w:r w:rsidRPr="004447D2">
        <w:rPr>
          <w:rFonts w:ascii="Book Antiqua" w:hAnsi="Book Antiqua"/>
          <w:noProof/>
          <w:sz w:val="24"/>
          <w:szCs w:val="24"/>
          <w:vertAlign w:val="superscript"/>
          <w:lang w:val="en-US"/>
        </w:rPr>
        <w:t>[23]</w:t>
      </w:r>
      <w:r w:rsidRPr="004447D2">
        <w:rPr>
          <w:rFonts w:ascii="Book Antiqua" w:hAnsi="Book Antiqua"/>
          <w:noProof/>
          <w:sz w:val="24"/>
          <w:szCs w:val="24"/>
          <w:lang w:val="en-US"/>
        </w:rPr>
        <w:t xml:space="preserve">. Moreover, acute rejection risk is clearly increased upon late withdrawal of immunosuppressants as dictated by </w:t>
      </w:r>
      <w:r w:rsidR="00E50D74" w:rsidRPr="004447D2">
        <w:rPr>
          <w:rFonts w:ascii="Book Antiqua" w:hAnsi="Book Antiqua"/>
          <w:noProof/>
          <w:sz w:val="24"/>
          <w:szCs w:val="24"/>
          <w:lang w:val="en-US"/>
        </w:rPr>
        <w:t>cases of non-compliant patients</w:t>
      </w:r>
      <w:r w:rsidRPr="004447D2">
        <w:rPr>
          <w:rFonts w:ascii="Book Antiqua" w:hAnsi="Book Antiqua"/>
          <w:noProof/>
          <w:sz w:val="24"/>
          <w:szCs w:val="24"/>
          <w:vertAlign w:val="superscript"/>
          <w:lang w:val="en-US"/>
        </w:rPr>
        <w:t>[3]</w:t>
      </w:r>
      <w:r w:rsidRPr="004447D2">
        <w:rPr>
          <w:rFonts w:ascii="Book Antiqua" w:hAnsi="Book Antiqua"/>
          <w:noProof/>
          <w:sz w:val="24"/>
          <w:szCs w:val="24"/>
          <w:lang w:val="en-US"/>
        </w:rPr>
        <w:t xml:space="preserve">. In a single-center RCT, Smak Gregoor </w:t>
      </w:r>
      <w:r w:rsidR="00AB141C" w:rsidRPr="004447D2">
        <w:rPr>
          <w:rFonts w:ascii="Book Antiqua" w:hAnsi="Book Antiqua"/>
          <w:i/>
          <w:noProof/>
          <w:sz w:val="24"/>
          <w:szCs w:val="24"/>
          <w:lang w:val="en-US"/>
        </w:rPr>
        <w:t>et al</w:t>
      </w:r>
      <w:r w:rsidR="00910D67" w:rsidRPr="004447D2">
        <w:rPr>
          <w:rFonts w:ascii="Book Antiqua" w:hAnsi="Book Antiqua"/>
          <w:noProof/>
          <w:sz w:val="24"/>
          <w:szCs w:val="24"/>
          <w:vertAlign w:val="superscript"/>
          <w:lang w:val="en-US"/>
        </w:rPr>
        <w:t>[24]</w:t>
      </w:r>
      <w:r w:rsidRPr="004447D2">
        <w:rPr>
          <w:rFonts w:ascii="Book Antiqua" w:hAnsi="Book Antiqua"/>
          <w:noProof/>
          <w:sz w:val="24"/>
          <w:szCs w:val="24"/>
          <w:lang w:val="en-US"/>
        </w:rPr>
        <w:t xml:space="preserve"> examined the effect of CS withdrawal at 6 mo after Tx in </w:t>
      </w:r>
      <w:r w:rsidR="00E50D74" w:rsidRPr="004447D2">
        <w:rPr>
          <w:rFonts w:ascii="Book Antiqua" w:hAnsi="Book Antiqua"/>
          <w:noProof/>
          <w:sz w:val="24"/>
          <w:szCs w:val="24"/>
          <w:lang w:val="en-US"/>
        </w:rPr>
        <w:t>212 renal transplant recipients</w:t>
      </w:r>
      <w:r w:rsidRPr="004447D2">
        <w:rPr>
          <w:rFonts w:ascii="Book Antiqua" w:hAnsi="Book Antiqua"/>
          <w:noProof/>
          <w:sz w:val="24"/>
          <w:szCs w:val="24"/>
          <w:lang w:val="en-US"/>
        </w:rPr>
        <w:t xml:space="preserve">. Biopsy-proven acute rejection was manifested in 4% of CS withdrawal patients </w:t>
      </w:r>
      <w:r w:rsidRPr="004447D2">
        <w:rPr>
          <w:rFonts w:ascii="Book Antiqua" w:hAnsi="Book Antiqua"/>
          <w:i/>
          <w:noProof/>
          <w:sz w:val="24"/>
          <w:szCs w:val="24"/>
          <w:lang w:val="en-US"/>
        </w:rPr>
        <w:t xml:space="preserve">vs </w:t>
      </w:r>
      <w:r w:rsidRPr="004447D2">
        <w:rPr>
          <w:rFonts w:ascii="Book Antiqua" w:hAnsi="Book Antiqua"/>
          <w:noProof/>
          <w:sz w:val="24"/>
          <w:szCs w:val="24"/>
          <w:lang w:val="en-US"/>
        </w:rPr>
        <w:t>1.4% of controls (</w:t>
      </w:r>
      <w:r w:rsidR="00910D67" w:rsidRPr="004447D2">
        <w:rPr>
          <w:rFonts w:ascii="Book Antiqua" w:hAnsi="Book Antiqua"/>
          <w:i/>
          <w:noProof/>
          <w:sz w:val="24"/>
          <w:szCs w:val="24"/>
          <w:lang w:val="en-US"/>
        </w:rPr>
        <w:t>P</w:t>
      </w:r>
      <w:r w:rsidR="00910D67" w:rsidRPr="004447D2">
        <w:rPr>
          <w:rFonts w:ascii="Book Antiqua" w:hAnsi="Book Antiqua"/>
          <w:noProof/>
          <w:sz w:val="24"/>
          <w:szCs w:val="24"/>
          <w:lang w:val="en-US" w:eastAsia="zh-CN"/>
        </w:rPr>
        <w:t xml:space="preserve"> </w:t>
      </w:r>
      <w:r w:rsidRPr="004447D2">
        <w:rPr>
          <w:rFonts w:ascii="Book Antiqua" w:hAnsi="Book Antiqua"/>
          <w:noProof/>
          <w:sz w:val="24"/>
          <w:szCs w:val="24"/>
          <w:lang w:val="en-US"/>
        </w:rPr>
        <w:t>&gt;</w:t>
      </w:r>
      <w:r w:rsidR="00910D67" w:rsidRPr="004447D2">
        <w:rPr>
          <w:rFonts w:ascii="Book Antiqua" w:hAnsi="Book Antiqua"/>
          <w:noProof/>
          <w:sz w:val="24"/>
          <w:szCs w:val="24"/>
          <w:lang w:val="en-US" w:eastAsia="zh-CN"/>
        </w:rPr>
        <w:t xml:space="preserve"> </w:t>
      </w:r>
      <w:r w:rsidRPr="004447D2">
        <w:rPr>
          <w:rFonts w:ascii="Book Antiqua" w:hAnsi="Book Antiqua"/>
          <w:noProof/>
          <w:sz w:val="24"/>
          <w:szCs w:val="24"/>
          <w:lang w:val="en-US"/>
        </w:rPr>
        <w:t xml:space="preserve">0.05). Patient and allograft survival was not different after a follow-up of 2 years. Allograft function was also not different. CS withdrawal resulted in reduced mean blood pressure but had no effect on other metabolic risk factors. Interestingly enough, a prospective, observational study from the Collaborative Transplant Study group reported that in renal transplant recipients with CS withdrawal more than 6 mo from Tx, patient and allograft survival was </w:t>
      </w:r>
      <w:r w:rsidRPr="004447D2">
        <w:rPr>
          <w:rFonts w:ascii="Book Antiqua" w:hAnsi="Book Antiqua"/>
          <w:noProof/>
          <w:sz w:val="24"/>
          <w:szCs w:val="24"/>
          <w:lang w:val="en-US"/>
        </w:rPr>
        <w:lastRenderedPageBreak/>
        <w:t>better than retrospectively matched controls over a follow-up time of 7 years with no diff</w:t>
      </w:r>
      <w:r w:rsidR="00E50D74" w:rsidRPr="004447D2">
        <w:rPr>
          <w:rFonts w:ascii="Book Antiqua" w:hAnsi="Book Antiqua"/>
          <w:noProof/>
          <w:sz w:val="24"/>
          <w:szCs w:val="24"/>
          <w:lang w:val="en-US"/>
        </w:rPr>
        <w:t>erence in acute rejection rates</w:t>
      </w:r>
      <w:r w:rsidRPr="004447D2">
        <w:rPr>
          <w:rFonts w:ascii="Book Antiqua" w:hAnsi="Book Antiqua"/>
          <w:noProof/>
          <w:sz w:val="24"/>
          <w:szCs w:val="24"/>
          <w:vertAlign w:val="superscript"/>
          <w:lang w:val="en-US"/>
        </w:rPr>
        <w:t>[25]</w:t>
      </w:r>
      <w:r w:rsidRPr="004447D2">
        <w:rPr>
          <w:rFonts w:ascii="Book Antiqua" w:hAnsi="Book Antiqua"/>
          <w:noProof/>
          <w:sz w:val="24"/>
          <w:szCs w:val="24"/>
          <w:lang w:val="en-US"/>
        </w:rPr>
        <w:t>. The reduction was also noted in the incidence of cardiovascular parameters. However, the lack of randomized design remains a significant limitation of this study.</w:t>
      </w:r>
    </w:p>
    <w:p w14:paraId="7E04AE62" w14:textId="3240AC28" w:rsidR="008C6BE2" w:rsidRPr="004447D2" w:rsidRDefault="008C6BE2" w:rsidP="00887EC2">
      <w:pPr>
        <w:pStyle w:val="a8"/>
        <w:spacing w:line="360" w:lineRule="auto"/>
        <w:jc w:val="both"/>
        <w:rPr>
          <w:rFonts w:ascii="Book Antiqua" w:hAnsi="Book Antiqua"/>
          <w:sz w:val="24"/>
          <w:szCs w:val="24"/>
          <w:lang w:val="en-US"/>
        </w:rPr>
      </w:pPr>
    </w:p>
    <w:p w14:paraId="3BF5AF1E" w14:textId="77777777" w:rsidR="009317CC" w:rsidRPr="004447D2" w:rsidRDefault="009317CC"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DISCUSSION</w:t>
      </w:r>
    </w:p>
    <w:p w14:paraId="49EF0F38" w14:textId="3D0B343E" w:rsidR="008C6BE2" w:rsidRPr="004447D2" w:rsidRDefault="008C6BE2" w:rsidP="00887EC2">
      <w:pPr>
        <w:pStyle w:val="a8"/>
        <w:spacing w:line="360" w:lineRule="auto"/>
        <w:jc w:val="both"/>
        <w:rPr>
          <w:rFonts w:ascii="Book Antiqua" w:hAnsi="Book Antiqua"/>
          <w:b/>
          <w:i/>
          <w:sz w:val="24"/>
          <w:szCs w:val="24"/>
          <w:lang w:val="en-US" w:eastAsia="zh-CN"/>
        </w:rPr>
      </w:pPr>
      <w:r w:rsidRPr="004447D2">
        <w:rPr>
          <w:rFonts w:ascii="Book Antiqua" w:hAnsi="Book Antiqua"/>
          <w:b/>
          <w:i/>
          <w:sz w:val="24"/>
          <w:szCs w:val="24"/>
          <w:lang w:val="en-US"/>
        </w:rPr>
        <w:t>Challenges and opportunities of CS minimization strategies</w:t>
      </w:r>
    </w:p>
    <w:p w14:paraId="45FC7E9E" w14:textId="7B512D5C" w:rsidR="000A2B6D" w:rsidRPr="004447D2" w:rsidRDefault="000A2B6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The beneficial effects of CS minimization in selected, low-risk patients have prompted researchers to attempt CS minimization in renal transplant recipients at higher immunological risk. However, available data are sparse (</w:t>
      </w:r>
      <w:r w:rsidR="00910D67" w:rsidRPr="004447D2">
        <w:rPr>
          <w:rFonts w:ascii="Book Antiqua" w:hAnsi="Book Antiqua"/>
          <w:sz w:val="24"/>
          <w:szCs w:val="24"/>
          <w:lang w:val="en-US"/>
        </w:rPr>
        <w:t>T</w:t>
      </w:r>
      <w:r w:rsidRPr="004447D2">
        <w:rPr>
          <w:rFonts w:ascii="Book Antiqua" w:hAnsi="Book Antiqua"/>
          <w:sz w:val="24"/>
          <w:szCs w:val="24"/>
          <w:lang w:val="en-US"/>
        </w:rPr>
        <w:t>able 4). In a small RCT, 21 patients with PRA</w:t>
      </w:r>
      <w:r w:rsidR="00BD022C" w:rsidRPr="004447D2">
        <w:rPr>
          <w:rFonts w:ascii="Book Antiqua" w:hAnsi="Book Antiqua"/>
          <w:sz w:val="24"/>
          <w:szCs w:val="24"/>
          <w:lang w:val="en-US" w:eastAsia="zh-CN"/>
        </w:rPr>
        <w:t xml:space="preserve"> </w:t>
      </w:r>
      <w:r w:rsidRPr="004447D2">
        <w:rPr>
          <w:rFonts w:ascii="Book Antiqua" w:hAnsi="Book Antiqua"/>
          <w:sz w:val="24"/>
          <w:szCs w:val="24"/>
          <w:lang w:val="en-US"/>
        </w:rPr>
        <w:t>&gt;</w:t>
      </w:r>
      <w:r w:rsidR="00BD022C" w:rsidRPr="004447D2">
        <w:rPr>
          <w:rFonts w:ascii="Book Antiqua" w:hAnsi="Book Antiqua"/>
          <w:sz w:val="24"/>
          <w:szCs w:val="24"/>
          <w:lang w:val="en-US" w:eastAsia="zh-CN"/>
        </w:rPr>
        <w:t xml:space="preserve"> </w:t>
      </w:r>
      <w:r w:rsidRPr="004447D2">
        <w:rPr>
          <w:rFonts w:ascii="Book Antiqua" w:hAnsi="Book Antiqua"/>
          <w:sz w:val="24"/>
          <w:szCs w:val="24"/>
          <w:lang w:val="en-US"/>
        </w:rPr>
        <w:t xml:space="preserve">20% or </w:t>
      </w:r>
      <w:proofErr w:type="spellStart"/>
      <w:r w:rsidRPr="004447D2">
        <w:rPr>
          <w:rFonts w:ascii="Book Antiqua" w:hAnsi="Book Antiqua"/>
          <w:sz w:val="24"/>
          <w:szCs w:val="24"/>
          <w:lang w:val="en-US"/>
        </w:rPr>
        <w:t>retransplantation</w:t>
      </w:r>
      <w:proofErr w:type="spellEnd"/>
      <w:r w:rsidRPr="004447D2">
        <w:rPr>
          <w:rFonts w:ascii="Book Antiqua" w:hAnsi="Book Antiqua"/>
          <w:sz w:val="24"/>
          <w:szCs w:val="24"/>
          <w:lang w:val="en-US"/>
        </w:rPr>
        <w:t xml:space="preserve"> were assigned to either alemtuzumab and tacrolimus monotherapy without CS or Thymoglobulin with standard tacrolimus, MMF and very early CS withdrawal at day 5</w:t>
      </w:r>
      <w:r w:rsidRPr="004447D2">
        <w:rPr>
          <w:rFonts w:ascii="Book Antiqua" w:hAnsi="Book Antiqua"/>
          <w:sz w:val="24"/>
          <w:szCs w:val="24"/>
          <w:vertAlign w:val="superscript"/>
          <w:lang w:val="en-US"/>
        </w:rPr>
        <w:t>[26]</w:t>
      </w:r>
      <w:r w:rsidRPr="004447D2">
        <w:rPr>
          <w:rFonts w:ascii="Book Antiqua" w:hAnsi="Book Antiqua"/>
          <w:sz w:val="24"/>
          <w:szCs w:val="24"/>
          <w:lang w:val="en-US"/>
        </w:rPr>
        <w:t xml:space="preserve">. Biopsy-proven acute rejection rates were quite high at one year; 18.2% with </w:t>
      </w:r>
      <w:proofErr w:type="spellStart"/>
      <w:r w:rsidRPr="004447D2">
        <w:rPr>
          <w:rFonts w:ascii="Book Antiqua" w:hAnsi="Book Antiqua"/>
          <w:sz w:val="24"/>
          <w:szCs w:val="24"/>
          <w:lang w:val="en-US"/>
        </w:rPr>
        <w:t>alemtuzumab</w:t>
      </w:r>
      <w:proofErr w:type="spellEnd"/>
      <w:r w:rsidRPr="004447D2">
        <w:rPr>
          <w:rFonts w:ascii="Book Antiqua" w:hAnsi="Book Antiqua"/>
          <w:sz w:val="24"/>
          <w:szCs w:val="24"/>
          <w:lang w:val="en-US"/>
        </w:rPr>
        <w:t xml:space="preserve"> </w:t>
      </w:r>
      <w:r w:rsidRPr="004447D2">
        <w:rPr>
          <w:rFonts w:ascii="Book Antiqua" w:hAnsi="Book Antiqua"/>
          <w:i/>
          <w:sz w:val="24"/>
          <w:szCs w:val="24"/>
          <w:lang w:val="en-US"/>
        </w:rPr>
        <w:t>vs</w:t>
      </w:r>
      <w:r w:rsidRPr="004447D2">
        <w:rPr>
          <w:rFonts w:ascii="Book Antiqua" w:hAnsi="Book Antiqua"/>
          <w:sz w:val="24"/>
          <w:szCs w:val="24"/>
          <w:lang w:val="en-US"/>
        </w:rPr>
        <w:t xml:space="preserve"> 37.5% with Thymoglobulin. In a more recent, head to head comparison of alemtuzumab with ATG (both arms underwent CS withdrawal by day 5) in a cohort of 139 high-risk patients, there was no difference in biopsy-proven acute rejection a</w:t>
      </w:r>
      <w:r w:rsidR="00BD022C" w:rsidRPr="004447D2">
        <w:rPr>
          <w:rFonts w:ascii="Book Antiqua" w:hAnsi="Book Antiqua"/>
          <w:sz w:val="24"/>
          <w:szCs w:val="24"/>
          <w:lang w:val="en-US"/>
        </w:rPr>
        <w:t xml:space="preserve">t 3 years (18% </w:t>
      </w:r>
      <w:r w:rsidR="00BD022C" w:rsidRPr="004447D2">
        <w:rPr>
          <w:rFonts w:ascii="Book Antiqua" w:hAnsi="Book Antiqua"/>
          <w:i/>
          <w:sz w:val="24"/>
          <w:szCs w:val="24"/>
          <w:lang w:val="en-US"/>
        </w:rPr>
        <w:t>vs</w:t>
      </w:r>
      <w:r w:rsidR="00E50D74" w:rsidRPr="004447D2">
        <w:rPr>
          <w:rFonts w:ascii="Book Antiqua" w:hAnsi="Book Antiqua"/>
          <w:sz w:val="24"/>
          <w:szCs w:val="24"/>
          <w:lang w:val="en-US"/>
        </w:rPr>
        <w:t xml:space="preserve"> 15%, </w:t>
      </w:r>
      <w:r w:rsidR="00BD022C" w:rsidRPr="004447D2">
        <w:rPr>
          <w:rFonts w:ascii="Book Antiqua" w:hAnsi="Book Antiqua"/>
          <w:i/>
          <w:sz w:val="24"/>
          <w:szCs w:val="24"/>
          <w:lang w:val="en-US"/>
        </w:rPr>
        <w:t>P</w:t>
      </w:r>
      <w:r w:rsidR="00BD022C" w:rsidRPr="004447D2">
        <w:rPr>
          <w:rFonts w:ascii="Book Antiqua" w:hAnsi="Book Antiqua"/>
          <w:sz w:val="24"/>
          <w:szCs w:val="24"/>
          <w:lang w:val="en-US" w:eastAsia="zh-CN"/>
        </w:rPr>
        <w:t xml:space="preserve"> </w:t>
      </w:r>
      <w:r w:rsidR="00E50D74" w:rsidRPr="004447D2">
        <w:rPr>
          <w:rFonts w:ascii="Book Antiqua" w:hAnsi="Book Antiqua"/>
          <w:sz w:val="24"/>
          <w:szCs w:val="24"/>
          <w:lang w:val="en-US"/>
        </w:rPr>
        <w:t>=</w:t>
      </w:r>
      <w:r w:rsidR="00BD022C" w:rsidRPr="004447D2">
        <w:rPr>
          <w:rFonts w:ascii="Book Antiqua" w:hAnsi="Book Antiqua"/>
          <w:sz w:val="24"/>
          <w:szCs w:val="24"/>
          <w:lang w:val="en-US" w:eastAsia="zh-CN"/>
        </w:rPr>
        <w:t xml:space="preserve"> </w:t>
      </w:r>
      <w:r w:rsidR="00E50D74" w:rsidRPr="004447D2">
        <w:rPr>
          <w:rFonts w:ascii="Book Antiqua" w:hAnsi="Book Antiqua"/>
          <w:sz w:val="24"/>
          <w:szCs w:val="24"/>
          <w:lang w:val="en-US"/>
        </w:rPr>
        <w:t>0.63)</w:t>
      </w:r>
      <w:r w:rsidRPr="004447D2">
        <w:rPr>
          <w:rFonts w:ascii="Book Antiqua" w:hAnsi="Book Antiqua"/>
          <w:sz w:val="24"/>
          <w:szCs w:val="24"/>
          <w:vertAlign w:val="superscript"/>
          <w:lang w:val="en-US"/>
        </w:rPr>
        <w:t>[17]</w:t>
      </w:r>
      <w:r w:rsidRPr="004447D2">
        <w:rPr>
          <w:rFonts w:ascii="Book Antiqua" w:hAnsi="Book Antiqua"/>
          <w:sz w:val="24"/>
          <w:szCs w:val="24"/>
          <w:lang w:val="en-US"/>
        </w:rPr>
        <w:t>. The inference is that CS minimization is not yet ready for prime time in immunologically high-risk patients. It has been hypothesized that CS minimization may increase post-transplant glomerulonephritis recurrence. In a major retrospective study, it was found that recurrence rate was indeed higher with rapid CS discontinuation compared to CS maintenance for all glomerulonephritis types (hazard ratio 4.86,</w:t>
      </w:r>
      <w:r w:rsidR="00BD022C" w:rsidRPr="004447D2">
        <w:rPr>
          <w:rFonts w:ascii="Book Antiqua" w:hAnsi="Book Antiqua"/>
          <w:sz w:val="24"/>
          <w:szCs w:val="24"/>
          <w:lang w:val="en-US"/>
        </w:rPr>
        <w:t xml:space="preserve"> 95%</w:t>
      </w:r>
      <w:r w:rsidR="00E50D74" w:rsidRPr="004447D2">
        <w:rPr>
          <w:rFonts w:ascii="Book Antiqua" w:hAnsi="Book Antiqua"/>
          <w:sz w:val="24"/>
          <w:szCs w:val="24"/>
          <w:lang w:val="en-US"/>
        </w:rPr>
        <w:t>CI</w:t>
      </w:r>
      <w:r w:rsidR="00BD022C" w:rsidRPr="004447D2">
        <w:rPr>
          <w:rFonts w:ascii="Book Antiqua" w:hAnsi="Book Antiqua"/>
          <w:sz w:val="24"/>
          <w:szCs w:val="24"/>
          <w:lang w:val="en-US" w:eastAsia="zh-CN"/>
        </w:rPr>
        <w:t>,</w:t>
      </w:r>
      <w:r w:rsidR="00E50D74" w:rsidRPr="004447D2">
        <w:rPr>
          <w:rFonts w:ascii="Book Antiqua" w:hAnsi="Book Antiqua"/>
          <w:sz w:val="24"/>
          <w:szCs w:val="24"/>
          <w:lang w:val="en-US"/>
        </w:rPr>
        <w:t xml:space="preserve"> 2.34-10.07, </w:t>
      </w:r>
      <w:r w:rsidR="00BD022C" w:rsidRPr="004447D2">
        <w:rPr>
          <w:rFonts w:ascii="Book Antiqua" w:hAnsi="Book Antiqua"/>
          <w:i/>
          <w:sz w:val="24"/>
          <w:szCs w:val="24"/>
          <w:lang w:val="en-US"/>
        </w:rPr>
        <w:t>P</w:t>
      </w:r>
      <w:r w:rsidR="00BD022C" w:rsidRPr="004447D2">
        <w:rPr>
          <w:rFonts w:ascii="Book Antiqua" w:hAnsi="Book Antiqua"/>
          <w:sz w:val="24"/>
          <w:szCs w:val="24"/>
          <w:lang w:val="en-US" w:eastAsia="zh-CN"/>
        </w:rPr>
        <w:t xml:space="preserve"> </w:t>
      </w:r>
      <w:r w:rsidR="00E50D74" w:rsidRPr="004447D2">
        <w:rPr>
          <w:rFonts w:ascii="Book Antiqua" w:hAnsi="Book Antiqua"/>
          <w:sz w:val="24"/>
          <w:szCs w:val="24"/>
          <w:lang w:val="en-US"/>
        </w:rPr>
        <w:t>&lt;</w:t>
      </w:r>
      <w:r w:rsidR="00BD022C" w:rsidRPr="004447D2">
        <w:rPr>
          <w:rFonts w:ascii="Book Antiqua" w:hAnsi="Book Antiqua"/>
          <w:sz w:val="24"/>
          <w:szCs w:val="24"/>
          <w:lang w:val="en-US" w:eastAsia="zh-CN"/>
        </w:rPr>
        <w:t xml:space="preserve"> </w:t>
      </w:r>
      <w:r w:rsidR="00E50D74" w:rsidRPr="004447D2">
        <w:rPr>
          <w:rFonts w:ascii="Book Antiqua" w:hAnsi="Book Antiqua"/>
          <w:sz w:val="24"/>
          <w:szCs w:val="24"/>
          <w:lang w:val="en-US"/>
        </w:rPr>
        <w:t>0.0001)</w:t>
      </w:r>
      <w:r w:rsidRPr="004447D2">
        <w:rPr>
          <w:rFonts w:ascii="Book Antiqua" w:hAnsi="Book Antiqua"/>
          <w:sz w:val="24"/>
          <w:szCs w:val="24"/>
          <w:vertAlign w:val="superscript"/>
          <w:lang w:val="en-US"/>
        </w:rPr>
        <w:t>[27]</w:t>
      </w:r>
      <w:r w:rsidRPr="004447D2">
        <w:rPr>
          <w:rFonts w:ascii="Book Antiqua" w:hAnsi="Book Antiqua"/>
          <w:sz w:val="24"/>
          <w:szCs w:val="24"/>
          <w:lang w:val="en-US"/>
        </w:rPr>
        <w:t>. The analysis also showed no difference in patient, allograft, and death-censored allograft survival. Pediatric patients are a subgroup in which CS minimization may be of special interest due to growth retardation that is associated with chronic CS use (</w:t>
      </w:r>
      <w:r w:rsidR="00BD022C" w:rsidRPr="004447D2">
        <w:rPr>
          <w:rFonts w:ascii="Book Antiqua" w:hAnsi="Book Antiqua"/>
          <w:sz w:val="24"/>
          <w:szCs w:val="24"/>
          <w:lang w:val="en-US"/>
        </w:rPr>
        <w:t>T</w:t>
      </w:r>
      <w:r w:rsidRPr="004447D2">
        <w:rPr>
          <w:rFonts w:ascii="Book Antiqua" w:hAnsi="Book Antiqua"/>
          <w:sz w:val="24"/>
          <w:szCs w:val="24"/>
          <w:lang w:val="en-US"/>
        </w:rPr>
        <w:t xml:space="preserve">able 4). In a multicenter RCT, </w:t>
      </w:r>
      <w:proofErr w:type="spellStart"/>
      <w:r w:rsidRPr="004447D2">
        <w:rPr>
          <w:rFonts w:ascii="Book Antiqua" w:hAnsi="Book Antiqua"/>
          <w:sz w:val="24"/>
          <w:szCs w:val="24"/>
          <w:lang w:val="en-US"/>
        </w:rPr>
        <w:t>Grenda</w:t>
      </w:r>
      <w:proofErr w:type="spellEnd"/>
      <w:r w:rsidRPr="004447D2">
        <w:rPr>
          <w:rFonts w:ascii="Book Antiqua" w:hAnsi="Book Antiqua"/>
          <w:sz w:val="24"/>
          <w:szCs w:val="24"/>
          <w:lang w:val="en-US"/>
        </w:rPr>
        <w:t xml:space="preserve"> </w:t>
      </w:r>
      <w:r w:rsidR="00AB141C" w:rsidRPr="004447D2">
        <w:rPr>
          <w:rFonts w:ascii="Book Antiqua" w:hAnsi="Book Antiqua"/>
          <w:i/>
          <w:sz w:val="24"/>
          <w:szCs w:val="24"/>
          <w:lang w:val="en-US"/>
        </w:rPr>
        <w:t xml:space="preserve">et </w:t>
      </w:r>
      <w:proofErr w:type="gramStart"/>
      <w:r w:rsidR="00AB141C" w:rsidRPr="004447D2">
        <w:rPr>
          <w:rFonts w:ascii="Book Antiqua" w:hAnsi="Book Antiqua"/>
          <w:i/>
          <w:sz w:val="24"/>
          <w:szCs w:val="24"/>
          <w:lang w:val="en-US"/>
        </w:rPr>
        <w:t>al</w:t>
      </w:r>
      <w:r w:rsidR="00BD022C" w:rsidRPr="004447D2">
        <w:rPr>
          <w:rFonts w:ascii="Book Antiqua" w:hAnsi="Book Antiqua"/>
          <w:sz w:val="24"/>
          <w:szCs w:val="24"/>
          <w:vertAlign w:val="superscript"/>
          <w:lang w:val="en-US"/>
        </w:rPr>
        <w:t>[</w:t>
      </w:r>
      <w:proofErr w:type="gramEnd"/>
      <w:r w:rsidR="00BD022C" w:rsidRPr="004447D2">
        <w:rPr>
          <w:rFonts w:ascii="Book Antiqua" w:hAnsi="Book Antiqua"/>
          <w:sz w:val="24"/>
          <w:szCs w:val="24"/>
          <w:vertAlign w:val="superscript"/>
          <w:lang w:val="en-US"/>
        </w:rPr>
        <w:t>28]</w:t>
      </w:r>
      <w:r w:rsidRPr="004447D2">
        <w:rPr>
          <w:rFonts w:ascii="Book Antiqua" w:hAnsi="Book Antiqua"/>
          <w:sz w:val="24"/>
          <w:szCs w:val="24"/>
          <w:lang w:val="en-US"/>
        </w:rPr>
        <w:t xml:space="preserve"> assessed the effect of CS withdrawal at day 4 (together with </w:t>
      </w:r>
      <w:proofErr w:type="spellStart"/>
      <w:r w:rsidRPr="004447D2">
        <w:rPr>
          <w:rFonts w:ascii="Book Antiqua" w:hAnsi="Book Antiqua"/>
          <w:sz w:val="24"/>
          <w:szCs w:val="24"/>
          <w:lang w:val="en-US"/>
        </w:rPr>
        <w:t>daclizumab</w:t>
      </w:r>
      <w:proofErr w:type="spellEnd"/>
      <w:r w:rsidRPr="004447D2">
        <w:rPr>
          <w:rFonts w:ascii="Book Antiqua" w:hAnsi="Book Antiqua"/>
          <w:sz w:val="24"/>
          <w:szCs w:val="24"/>
          <w:lang w:val="en-US"/>
        </w:rPr>
        <w:t xml:space="preserve"> induction and </w:t>
      </w:r>
      <w:proofErr w:type="spellStart"/>
      <w:r w:rsidRPr="004447D2">
        <w:rPr>
          <w:rFonts w:ascii="Book Antiqua" w:hAnsi="Book Antiqua"/>
          <w:sz w:val="24"/>
          <w:szCs w:val="24"/>
          <w:lang w:val="en-US"/>
        </w:rPr>
        <w:t>tacrolimus</w:t>
      </w:r>
      <w:proofErr w:type="spellEnd"/>
      <w:r w:rsidRPr="004447D2">
        <w:rPr>
          <w:rFonts w:ascii="Book Antiqua" w:hAnsi="Book Antiqua"/>
          <w:sz w:val="24"/>
          <w:szCs w:val="24"/>
          <w:lang w:val="en-US"/>
        </w:rPr>
        <w:t xml:space="preserve">, MMF) </w:t>
      </w:r>
      <w:r w:rsidRPr="004447D2">
        <w:rPr>
          <w:rFonts w:ascii="Book Antiqua" w:hAnsi="Book Antiqua"/>
          <w:i/>
          <w:sz w:val="24"/>
          <w:szCs w:val="24"/>
          <w:lang w:val="en-US"/>
        </w:rPr>
        <w:t>vs</w:t>
      </w:r>
      <w:r w:rsidRPr="004447D2">
        <w:rPr>
          <w:rFonts w:ascii="Book Antiqua" w:hAnsi="Book Antiqua"/>
          <w:sz w:val="24"/>
          <w:szCs w:val="24"/>
          <w:lang w:val="en-US"/>
        </w:rPr>
        <w:t xml:space="preserve"> standard </w:t>
      </w:r>
      <w:proofErr w:type="spellStart"/>
      <w:r w:rsidRPr="004447D2">
        <w:rPr>
          <w:rFonts w:ascii="Book Antiqua" w:hAnsi="Book Antiqua"/>
          <w:sz w:val="24"/>
          <w:szCs w:val="24"/>
          <w:lang w:val="en-US"/>
        </w:rPr>
        <w:t>tacrolimus</w:t>
      </w:r>
      <w:proofErr w:type="spellEnd"/>
      <w:r w:rsidRPr="004447D2">
        <w:rPr>
          <w:rFonts w:ascii="Book Antiqua" w:hAnsi="Book Antiqua"/>
          <w:sz w:val="24"/>
          <w:szCs w:val="24"/>
          <w:lang w:val="en-US"/>
        </w:rPr>
        <w:t xml:space="preserve">, MMF, and CS in a cohort of 196 children. Growth was significantly enhanced at 6 </w:t>
      </w:r>
      <w:proofErr w:type="gramStart"/>
      <w:r w:rsidRPr="004447D2">
        <w:rPr>
          <w:rFonts w:ascii="Book Antiqua" w:hAnsi="Book Antiqua"/>
          <w:sz w:val="24"/>
          <w:szCs w:val="24"/>
          <w:lang w:val="en-US"/>
        </w:rPr>
        <w:t>mo</w:t>
      </w:r>
      <w:proofErr w:type="gramEnd"/>
      <w:r w:rsidRPr="004447D2">
        <w:rPr>
          <w:rFonts w:ascii="Book Antiqua" w:hAnsi="Book Antiqua"/>
          <w:sz w:val="24"/>
          <w:szCs w:val="24"/>
          <w:lang w:val="en-US"/>
        </w:rPr>
        <w:t xml:space="preserve"> by CS withdrawal. Patient survival, allograft survival and allograft function were not </w:t>
      </w:r>
      <w:r w:rsidRPr="004447D2">
        <w:rPr>
          <w:rFonts w:ascii="Book Antiqua" w:hAnsi="Book Antiqua"/>
          <w:sz w:val="24"/>
          <w:szCs w:val="24"/>
          <w:lang w:val="en-US"/>
        </w:rPr>
        <w:lastRenderedPageBreak/>
        <w:t xml:space="preserve">different. The effect of CS withdrawal on total cholesterol and triglycerides was positive. Similar results were obtained by </w:t>
      </w:r>
      <w:proofErr w:type="spellStart"/>
      <w:r w:rsidRPr="004447D2">
        <w:rPr>
          <w:rFonts w:ascii="Book Antiqua" w:hAnsi="Book Antiqua"/>
          <w:sz w:val="24"/>
          <w:szCs w:val="24"/>
          <w:lang w:val="en-US"/>
        </w:rPr>
        <w:t>Höcker</w:t>
      </w:r>
      <w:proofErr w:type="spellEnd"/>
      <w:r w:rsidRPr="004447D2">
        <w:rPr>
          <w:rFonts w:ascii="Book Antiqua" w:hAnsi="Book Antiqua"/>
          <w:sz w:val="24"/>
          <w:szCs w:val="24"/>
          <w:lang w:val="en-US"/>
        </w:rPr>
        <w:t xml:space="preserve"> </w:t>
      </w:r>
      <w:r w:rsidR="00AB141C" w:rsidRPr="004447D2">
        <w:rPr>
          <w:rFonts w:ascii="Book Antiqua" w:hAnsi="Book Antiqua"/>
          <w:i/>
          <w:sz w:val="24"/>
          <w:szCs w:val="24"/>
          <w:lang w:val="en-US"/>
        </w:rPr>
        <w:t xml:space="preserve">et </w:t>
      </w:r>
      <w:proofErr w:type="gramStart"/>
      <w:r w:rsidR="00AB141C" w:rsidRPr="004447D2">
        <w:rPr>
          <w:rFonts w:ascii="Book Antiqua" w:hAnsi="Book Antiqua"/>
          <w:i/>
          <w:sz w:val="24"/>
          <w:szCs w:val="24"/>
          <w:lang w:val="en-US"/>
        </w:rPr>
        <w:t>al</w:t>
      </w:r>
      <w:r w:rsidR="00BD022C" w:rsidRPr="004447D2">
        <w:rPr>
          <w:rFonts w:ascii="Book Antiqua" w:hAnsi="Book Antiqua"/>
          <w:sz w:val="24"/>
          <w:szCs w:val="24"/>
          <w:vertAlign w:val="superscript"/>
          <w:lang w:val="en-US"/>
        </w:rPr>
        <w:t>[</w:t>
      </w:r>
      <w:proofErr w:type="gramEnd"/>
      <w:r w:rsidR="00BD022C" w:rsidRPr="004447D2">
        <w:rPr>
          <w:rFonts w:ascii="Book Antiqua" w:hAnsi="Book Antiqua"/>
          <w:sz w:val="24"/>
          <w:szCs w:val="24"/>
          <w:vertAlign w:val="superscript"/>
          <w:lang w:val="en-US"/>
        </w:rPr>
        <w:t>29]</w:t>
      </w:r>
      <w:r w:rsidRPr="004447D2">
        <w:rPr>
          <w:rFonts w:ascii="Book Antiqua" w:hAnsi="Book Antiqua"/>
          <w:sz w:val="24"/>
          <w:szCs w:val="24"/>
          <w:lang w:val="en-US"/>
        </w:rPr>
        <w:t xml:space="preserve"> who evaluated CS withdrawal ≥</w:t>
      </w:r>
      <w:r w:rsidR="00BD022C" w:rsidRPr="004447D2">
        <w:rPr>
          <w:rFonts w:ascii="Book Antiqua" w:hAnsi="Book Antiqua"/>
          <w:sz w:val="24"/>
          <w:szCs w:val="24"/>
          <w:lang w:val="en-US" w:eastAsia="zh-CN"/>
        </w:rPr>
        <w:t xml:space="preserve"> </w:t>
      </w:r>
      <w:r w:rsidRPr="004447D2">
        <w:rPr>
          <w:rFonts w:ascii="Book Antiqua" w:hAnsi="Book Antiqua"/>
          <w:sz w:val="24"/>
          <w:szCs w:val="24"/>
          <w:lang w:val="en-US"/>
        </w:rPr>
        <w:t xml:space="preserve">1 year after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in 42 moderate- to high-risk children (maintenance immunosuppre</w:t>
      </w:r>
      <w:r w:rsidR="00E50D74" w:rsidRPr="004447D2">
        <w:rPr>
          <w:rFonts w:ascii="Book Antiqua" w:hAnsi="Book Antiqua"/>
          <w:sz w:val="24"/>
          <w:szCs w:val="24"/>
          <w:lang w:val="en-US"/>
        </w:rPr>
        <w:t>ssion was cyclosporine and MMF)</w:t>
      </w:r>
      <w:r w:rsidRPr="004447D2">
        <w:rPr>
          <w:rFonts w:ascii="Book Antiqua" w:hAnsi="Book Antiqua"/>
          <w:sz w:val="24"/>
          <w:szCs w:val="24"/>
          <w:lang w:val="en-US"/>
        </w:rPr>
        <w:t xml:space="preserve">. </w:t>
      </w:r>
    </w:p>
    <w:p w14:paraId="029250EA" w14:textId="6BC638B6" w:rsidR="000A2B6D" w:rsidRPr="004447D2" w:rsidRDefault="000A2B6D" w:rsidP="00887EC2">
      <w:pPr>
        <w:pStyle w:val="a8"/>
        <w:spacing w:line="360" w:lineRule="auto"/>
        <w:ind w:firstLineChars="200" w:firstLine="480"/>
        <w:jc w:val="both"/>
        <w:rPr>
          <w:rFonts w:ascii="Book Antiqua" w:hAnsi="Book Antiqua"/>
          <w:sz w:val="24"/>
          <w:szCs w:val="24"/>
          <w:lang w:val="en-US"/>
        </w:rPr>
      </w:pPr>
      <w:r w:rsidRPr="004447D2">
        <w:rPr>
          <w:rFonts w:ascii="Book Antiqua" w:hAnsi="Book Antiqua"/>
          <w:sz w:val="24"/>
          <w:szCs w:val="24"/>
          <w:lang w:val="en-US"/>
        </w:rPr>
        <w:t>In contrast to the perceived benefits of CS minimization in younger transplant recipients, this strategy may not be suitable for elderly patients. Although acute rejection rates may be lower in the elderly, it has been suggested that acute rejection may be more severe and lead to a compromised de</w:t>
      </w:r>
      <w:r w:rsidR="00E50D74" w:rsidRPr="004447D2">
        <w:rPr>
          <w:rFonts w:ascii="Book Antiqua" w:hAnsi="Book Antiqua"/>
          <w:sz w:val="24"/>
          <w:szCs w:val="24"/>
          <w:lang w:val="en-US"/>
        </w:rPr>
        <w:t xml:space="preserve">ath-censored allograft </w:t>
      </w:r>
      <w:proofErr w:type="gramStart"/>
      <w:r w:rsidR="00E50D74" w:rsidRPr="004447D2">
        <w:rPr>
          <w:rFonts w:ascii="Book Antiqua" w:hAnsi="Book Antiqua"/>
          <w:sz w:val="24"/>
          <w:szCs w:val="24"/>
          <w:lang w:val="en-US"/>
        </w:rPr>
        <w:t>survival</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30]</w:t>
      </w:r>
      <w:r w:rsidRPr="004447D2">
        <w:rPr>
          <w:rFonts w:ascii="Book Antiqua" w:hAnsi="Book Antiqua"/>
          <w:sz w:val="24"/>
          <w:szCs w:val="24"/>
          <w:lang w:val="en-US"/>
        </w:rPr>
        <w:t>. Furthermore, the potentially beneficial effect of CS minimization in cardiovascular disease risk factors in the elderly may not be relevant due to their limited lifespan. For these reasons, it seems that CS minimization in the elderly may result in poor outcomes and should not be exercised except with extreme caution. Finally, CS minimization may not also be suitable for transplant recipients with delayed graft function (DGF) and prolonged cold ischemia time. The ischemic injury in these allografts is strongly associated with the</w:t>
      </w:r>
      <w:r w:rsidR="00E50D74" w:rsidRPr="004447D2">
        <w:rPr>
          <w:rFonts w:ascii="Book Antiqua" w:hAnsi="Book Antiqua"/>
          <w:sz w:val="24"/>
          <w:szCs w:val="24"/>
          <w:lang w:val="en-US"/>
        </w:rPr>
        <w:t xml:space="preserve"> development of acute </w:t>
      </w:r>
      <w:proofErr w:type="gramStart"/>
      <w:r w:rsidR="00E50D74" w:rsidRPr="004447D2">
        <w:rPr>
          <w:rFonts w:ascii="Book Antiqua" w:hAnsi="Book Antiqua"/>
          <w:sz w:val="24"/>
          <w:szCs w:val="24"/>
          <w:lang w:val="en-US"/>
        </w:rPr>
        <w:t>rejection</w:t>
      </w:r>
      <w:r w:rsidRPr="004447D2">
        <w:rPr>
          <w:rFonts w:ascii="Book Antiqua" w:hAnsi="Book Antiqua"/>
          <w:sz w:val="24"/>
          <w:szCs w:val="24"/>
          <w:vertAlign w:val="superscript"/>
          <w:lang w:val="en-US"/>
        </w:rPr>
        <w:t>[</w:t>
      </w:r>
      <w:proofErr w:type="gramEnd"/>
      <w:r w:rsidRPr="004447D2">
        <w:rPr>
          <w:rFonts w:ascii="Book Antiqua" w:hAnsi="Book Antiqua"/>
          <w:sz w:val="24"/>
          <w:szCs w:val="24"/>
          <w:vertAlign w:val="superscript"/>
          <w:lang w:val="en-US"/>
        </w:rPr>
        <w:t>31]</w:t>
      </w:r>
      <w:r w:rsidRPr="004447D2">
        <w:rPr>
          <w:rFonts w:ascii="Book Antiqua" w:hAnsi="Book Antiqua"/>
          <w:sz w:val="24"/>
          <w:szCs w:val="24"/>
          <w:lang w:val="en-US"/>
        </w:rPr>
        <w:t xml:space="preserve">. Therefore, it is prudent to avoid CS minimization in this patient subgroup if possible. </w:t>
      </w:r>
    </w:p>
    <w:p w14:paraId="4236C87F" w14:textId="3E0F113A" w:rsidR="000A2B6D" w:rsidRPr="004447D2" w:rsidRDefault="000A2B6D" w:rsidP="00887EC2">
      <w:pPr>
        <w:pStyle w:val="a8"/>
        <w:spacing w:line="360" w:lineRule="auto"/>
        <w:ind w:firstLineChars="200" w:firstLine="480"/>
        <w:jc w:val="both"/>
        <w:rPr>
          <w:rFonts w:ascii="Book Antiqua" w:hAnsi="Book Antiqua"/>
          <w:sz w:val="24"/>
          <w:szCs w:val="24"/>
          <w:lang w:val="en-US"/>
        </w:rPr>
      </w:pPr>
      <w:r w:rsidRPr="004447D2">
        <w:rPr>
          <w:rFonts w:ascii="Book Antiqua" w:hAnsi="Book Antiqua"/>
          <w:sz w:val="24"/>
          <w:szCs w:val="24"/>
          <w:lang w:val="en-US"/>
        </w:rPr>
        <w:t xml:space="preserve">Based on current evidence, we believe that the majority of renal transplant recipients should continue to receive indefinite CS maintenance immunosuppression. However, selected patients can be good candidates for CS minimization protocols. The optimal patient phenotype to undergo CS minimization is that of a young transplant recipient (including children) who has no prior transplants and is </w:t>
      </w:r>
      <w:proofErr w:type="spellStart"/>
      <w:r w:rsidRPr="004447D2">
        <w:rPr>
          <w:rFonts w:ascii="Book Antiqua" w:hAnsi="Book Antiqua"/>
          <w:sz w:val="24"/>
          <w:szCs w:val="24"/>
          <w:lang w:val="en-US"/>
        </w:rPr>
        <w:t>unsensitized</w:t>
      </w:r>
      <w:proofErr w:type="spellEnd"/>
      <w:r w:rsidRPr="004447D2">
        <w:rPr>
          <w:rFonts w:ascii="Book Antiqua" w:hAnsi="Book Antiqua"/>
          <w:sz w:val="24"/>
          <w:szCs w:val="24"/>
          <w:lang w:val="en-US"/>
        </w:rPr>
        <w:t xml:space="preserve"> to HLA </w:t>
      </w:r>
      <w:proofErr w:type="spellStart"/>
      <w:r w:rsidRPr="004447D2">
        <w:rPr>
          <w:rFonts w:ascii="Book Antiqua" w:hAnsi="Book Antiqua"/>
          <w:sz w:val="24"/>
          <w:szCs w:val="24"/>
          <w:lang w:val="en-US"/>
        </w:rPr>
        <w:t>alloantigens</w:t>
      </w:r>
      <w:proofErr w:type="spellEnd"/>
      <w:r w:rsidRPr="004447D2">
        <w:rPr>
          <w:rFonts w:ascii="Book Antiqua" w:hAnsi="Book Antiqua"/>
          <w:sz w:val="24"/>
          <w:szCs w:val="24"/>
          <w:lang w:val="en-US"/>
        </w:rPr>
        <w:t xml:space="preserve">. A primary disease that caused end-stage renal disease should not be glomerulonephritis. Any severe perioperative ischemic insult to the allograft should discourage the application of CS minimization. As such, CS minimization may be contraindicated with DGF, prolonged cold ischemia time, and donation after cardiac death. Available data indicate that the preferred CS minimization strategy is probably either complete CS avoidance or very early CS withdrawal. ATG (or alemtuzumab) may be preferable to anti-interleukin-2 receptor monoclonal antibodies as induction agents in this clinical scenario whereas </w:t>
      </w:r>
      <w:r w:rsidRPr="004447D2">
        <w:rPr>
          <w:rFonts w:ascii="Book Antiqua" w:hAnsi="Book Antiqua"/>
          <w:sz w:val="24"/>
          <w:szCs w:val="24"/>
          <w:lang w:val="en-US"/>
        </w:rPr>
        <w:lastRenderedPageBreak/>
        <w:t xml:space="preserve">maintenance immunosuppression should better contain the calcineurin inhibitor tacrolimus instead of cyclosporine. </w:t>
      </w:r>
    </w:p>
    <w:p w14:paraId="055201D6" w14:textId="145C9D96" w:rsidR="004C487E" w:rsidRPr="004447D2" w:rsidRDefault="00A421FB" w:rsidP="00887EC2">
      <w:pPr>
        <w:pStyle w:val="a8"/>
        <w:spacing w:line="360" w:lineRule="auto"/>
        <w:ind w:firstLineChars="200" w:firstLine="480"/>
        <w:jc w:val="both"/>
        <w:rPr>
          <w:rFonts w:ascii="Book Antiqua" w:hAnsi="Book Antiqua"/>
          <w:sz w:val="24"/>
          <w:szCs w:val="24"/>
          <w:lang w:val="en-US" w:eastAsia="zh-CN"/>
        </w:rPr>
      </w:pPr>
      <w:r w:rsidRPr="004447D2">
        <w:rPr>
          <w:rFonts w:ascii="Book Antiqua" w:hAnsi="Book Antiqua"/>
          <w:sz w:val="24"/>
          <w:szCs w:val="24"/>
          <w:lang w:val="en-US" w:eastAsia="zh-CN"/>
        </w:rPr>
        <w:t xml:space="preserve">In </w:t>
      </w:r>
      <w:r w:rsidRPr="004447D2">
        <w:rPr>
          <w:rFonts w:ascii="Book Antiqua" w:hAnsi="Book Antiqua"/>
          <w:sz w:val="24"/>
          <w:szCs w:val="24"/>
          <w:lang w:val="en-US"/>
        </w:rPr>
        <w:t>conclusion</w:t>
      </w:r>
      <w:r w:rsidRPr="004447D2">
        <w:rPr>
          <w:rFonts w:ascii="Book Antiqua" w:hAnsi="Book Antiqua"/>
          <w:sz w:val="24"/>
          <w:szCs w:val="24"/>
          <w:lang w:val="en-US" w:eastAsia="zh-CN"/>
        </w:rPr>
        <w:t xml:space="preserve">, </w:t>
      </w:r>
      <w:r w:rsidR="00D814C0" w:rsidRPr="004447D2">
        <w:rPr>
          <w:rFonts w:ascii="Book Antiqua" w:hAnsi="Book Antiqua"/>
          <w:sz w:val="24"/>
          <w:szCs w:val="24"/>
          <w:lang w:val="en-US"/>
        </w:rPr>
        <w:t xml:space="preserve">CS </w:t>
      </w:r>
      <w:proofErr w:type="gramStart"/>
      <w:r w:rsidR="00D814C0" w:rsidRPr="004447D2">
        <w:rPr>
          <w:rFonts w:ascii="Book Antiqua" w:hAnsi="Book Antiqua"/>
          <w:sz w:val="24"/>
          <w:szCs w:val="24"/>
          <w:lang w:val="en-US"/>
        </w:rPr>
        <w:t>maintain</w:t>
      </w:r>
      <w:proofErr w:type="gramEnd"/>
      <w:r w:rsidR="00D718BD" w:rsidRPr="004447D2">
        <w:rPr>
          <w:rFonts w:ascii="Book Antiqua" w:hAnsi="Book Antiqua"/>
          <w:sz w:val="24"/>
          <w:szCs w:val="24"/>
          <w:lang w:val="en-US"/>
        </w:rPr>
        <w:t xml:space="preserve"> their position as important components of the therapeutic armamentarium in renal transplantation. A movement towards CS elimination from induction and maintenance immunosuppression regimens has developed to reduce the myriad side effects associated with chronic CS use. CS minimization strategies have resulted in an increased incidence of acute rejection compared to CS continuation. However, these acute rejection episodes are considered mild and amenable to treatment. Moreover, they do not seem to have detrimental effects </w:t>
      </w:r>
      <w:r w:rsidR="005A2FBF" w:rsidRPr="004447D2">
        <w:rPr>
          <w:rFonts w:ascii="Book Antiqua" w:hAnsi="Book Antiqua"/>
          <w:sz w:val="24"/>
          <w:szCs w:val="24"/>
          <w:lang w:val="en-US"/>
        </w:rPr>
        <w:t xml:space="preserve">on patient survival, allograft </w:t>
      </w:r>
      <w:r w:rsidR="00D718BD" w:rsidRPr="004447D2">
        <w:rPr>
          <w:rFonts w:ascii="Book Antiqua" w:hAnsi="Book Antiqua"/>
          <w:sz w:val="24"/>
          <w:szCs w:val="24"/>
          <w:lang w:val="en-US"/>
        </w:rPr>
        <w:t>survival or allograft function at a follow-up until 5 years. Nonetheless, an observed trend towards increased fibrosis is alarming and calls for the conduction of RCTs with longer follow-up to determine the true consequences of CS minimization. Although CS minimization protocols have been associated with a reduction of adverse effects (especially improvement of dyslipidemia), these results are not always reproducible, and it is unclear if they could clinically translate to less cardiovascular events. At present, the implementation of CS minimization cannot be universally recommended to renal transplant recipients.</w:t>
      </w:r>
    </w:p>
    <w:p w14:paraId="361D151B" w14:textId="5B2C9E80" w:rsidR="00D25478" w:rsidRPr="004447D2" w:rsidRDefault="00D25478" w:rsidP="00887EC2">
      <w:pPr>
        <w:pStyle w:val="a8"/>
        <w:spacing w:line="360" w:lineRule="auto"/>
        <w:jc w:val="both"/>
        <w:rPr>
          <w:rFonts w:ascii="Book Antiqua" w:hAnsi="Book Antiqua"/>
          <w:b/>
          <w:sz w:val="24"/>
          <w:szCs w:val="24"/>
          <w:lang w:val="en-US"/>
        </w:rPr>
      </w:pPr>
    </w:p>
    <w:p w14:paraId="59C97F59" w14:textId="21C119D7" w:rsidR="003F0A7B" w:rsidRPr="004447D2" w:rsidRDefault="00A421FB"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COMMENTS</w:t>
      </w:r>
    </w:p>
    <w:p w14:paraId="0927F35C" w14:textId="21FC108F" w:rsidR="00316E41" w:rsidRPr="004447D2" w:rsidRDefault="00316E41" w:rsidP="00887EC2">
      <w:pPr>
        <w:pStyle w:val="a8"/>
        <w:spacing w:line="360" w:lineRule="auto"/>
        <w:jc w:val="both"/>
        <w:rPr>
          <w:rFonts w:ascii="Book Antiqua" w:hAnsi="Book Antiqua"/>
          <w:b/>
          <w:i/>
          <w:sz w:val="24"/>
          <w:szCs w:val="24"/>
          <w:lang w:val="en-US"/>
        </w:rPr>
      </w:pPr>
      <w:r w:rsidRPr="004447D2">
        <w:rPr>
          <w:rFonts w:ascii="Book Antiqua" w:hAnsi="Book Antiqua"/>
          <w:b/>
          <w:i/>
          <w:sz w:val="24"/>
          <w:szCs w:val="24"/>
          <w:lang w:val="en-US"/>
        </w:rPr>
        <w:t>Background</w:t>
      </w:r>
    </w:p>
    <w:p w14:paraId="5E13FBEA" w14:textId="65335741" w:rsidR="00316E41" w:rsidRPr="004447D2" w:rsidRDefault="00DF50C7"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 xml:space="preserve">Due to their immunosuppressive properties, </w:t>
      </w:r>
      <w:r w:rsidR="000605A8" w:rsidRPr="004447D2">
        <w:rPr>
          <w:rFonts w:ascii="Book Antiqua" w:hAnsi="Book Antiqua"/>
          <w:sz w:val="24"/>
          <w:szCs w:val="24"/>
          <w:lang w:val="en-US"/>
        </w:rPr>
        <w:t>corticosteroid</w:t>
      </w:r>
      <w:r w:rsidR="000605A8" w:rsidRPr="004447D2">
        <w:rPr>
          <w:rFonts w:ascii="Book Antiqua" w:hAnsi="Book Antiqua"/>
          <w:sz w:val="24"/>
          <w:szCs w:val="24"/>
          <w:lang w:val="en-US" w:eastAsia="zh-CN"/>
        </w:rPr>
        <w:t>s</w:t>
      </w:r>
      <w:r w:rsidR="000605A8" w:rsidRPr="004447D2">
        <w:rPr>
          <w:rFonts w:ascii="Book Antiqua" w:hAnsi="Book Antiqua"/>
          <w:sz w:val="24"/>
          <w:szCs w:val="24"/>
          <w:lang w:val="en-US"/>
        </w:rPr>
        <w:t xml:space="preserve"> </w:t>
      </w:r>
      <w:r w:rsidR="000605A8" w:rsidRPr="004447D2">
        <w:rPr>
          <w:rFonts w:ascii="Book Antiqua" w:hAnsi="Book Antiqua"/>
          <w:sz w:val="24"/>
          <w:szCs w:val="24"/>
          <w:lang w:val="en-US" w:eastAsia="zh-CN"/>
        </w:rPr>
        <w:t>(</w:t>
      </w:r>
      <w:r w:rsidR="00B07C27" w:rsidRPr="004447D2">
        <w:rPr>
          <w:rFonts w:ascii="Book Antiqua" w:hAnsi="Book Antiqua"/>
          <w:sz w:val="24"/>
          <w:szCs w:val="24"/>
          <w:lang w:val="en-US"/>
        </w:rPr>
        <w:t>CS</w:t>
      </w:r>
      <w:r w:rsidRPr="004447D2">
        <w:rPr>
          <w:rFonts w:ascii="Book Antiqua" w:hAnsi="Book Antiqua"/>
          <w:sz w:val="24"/>
          <w:szCs w:val="24"/>
          <w:lang w:val="en-US"/>
        </w:rPr>
        <w:t>s</w:t>
      </w:r>
      <w:r w:rsidR="000605A8" w:rsidRPr="004447D2">
        <w:rPr>
          <w:rFonts w:ascii="Book Antiqua" w:hAnsi="Book Antiqua"/>
          <w:sz w:val="24"/>
          <w:szCs w:val="24"/>
          <w:lang w:val="en-US" w:eastAsia="zh-CN"/>
        </w:rPr>
        <w:t>)</w:t>
      </w:r>
      <w:r w:rsidRPr="004447D2">
        <w:rPr>
          <w:rFonts w:ascii="Book Antiqua" w:hAnsi="Book Antiqua"/>
          <w:sz w:val="24"/>
          <w:szCs w:val="24"/>
          <w:lang w:val="en-US"/>
        </w:rPr>
        <w:t xml:space="preserve"> have been extensively used for the prevention and treatment of rejection in solid organ transplantation. However, myriad side-effects have been associated with </w:t>
      </w:r>
      <w:r w:rsidR="00B07C27" w:rsidRPr="004447D2">
        <w:rPr>
          <w:rFonts w:ascii="Book Antiqua" w:hAnsi="Book Antiqua"/>
          <w:sz w:val="24"/>
          <w:szCs w:val="24"/>
          <w:lang w:val="en-US"/>
        </w:rPr>
        <w:t>CS</w:t>
      </w:r>
      <w:r w:rsidRPr="004447D2">
        <w:rPr>
          <w:rFonts w:ascii="Book Antiqua" w:hAnsi="Book Antiqua"/>
          <w:sz w:val="24"/>
          <w:szCs w:val="24"/>
          <w:lang w:val="en-US"/>
        </w:rPr>
        <w:t xml:space="preserve">. Recent research </w:t>
      </w:r>
      <w:r w:rsidR="00A049A9" w:rsidRPr="004447D2">
        <w:rPr>
          <w:rFonts w:ascii="Book Antiqua" w:hAnsi="Book Antiqua"/>
          <w:sz w:val="24"/>
          <w:szCs w:val="24"/>
          <w:lang w:val="en-US"/>
        </w:rPr>
        <w:t xml:space="preserve">attempts to minimize </w:t>
      </w:r>
      <w:r w:rsidR="00B07C27" w:rsidRPr="004447D2">
        <w:rPr>
          <w:rFonts w:ascii="Book Antiqua" w:hAnsi="Book Antiqua"/>
          <w:sz w:val="24"/>
          <w:szCs w:val="24"/>
          <w:lang w:val="en-US"/>
        </w:rPr>
        <w:t>CS</w:t>
      </w:r>
      <w:r w:rsidR="00A049A9" w:rsidRPr="004447D2">
        <w:rPr>
          <w:rFonts w:ascii="Book Antiqua" w:hAnsi="Book Antiqua"/>
          <w:sz w:val="24"/>
          <w:szCs w:val="24"/>
          <w:lang w:val="en-US"/>
        </w:rPr>
        <w:t xml:space="preserve"> use in renal transplantation in an effort to reduce the burden of their side-effects without compromising allograft and patient survival.</w:t>
      </w:r>
    </w:p>
    <w:p w14:paraId="1B0B10E6" w14:textId="03D5FBF7" w:rsidR="00A049A9" w:rsidRPr="004447D2" w:rsidRDefault="00A049A9" w:rsidP="00887EC2">
      <w:pPr>
        <w:pStyle w:val="a8"/>
        <w:spacing w:line="360" w:lineRule="auto"/>
        <w:jc w:val="both"/>
        <w:rPr>
          <w:rFonts w:ascii="Book Antiqua" w:hAnsi="Book Antiqua"/>
          <w:sz w:val="24"/>
          <w:szCs w:val="24"/>
          <w:lang w:val="en-US"/>
        </w:rPr>
      </w:pPr>
    </w:p>
    <w:p w14:paraId="432FE6F5" w14:textId="130C3BC0" w:rsidR="00A049A9" w:rsidRPr="004447D2" w:rsidRDefault="00A049A9" w:rsidP="00887EC2">
      <w:pPr>
        <w:pStyle w:val="a8"/>
        <w:spacing w:line="360" w:lineRule="auto"/>
        <w:jc w:val="both"/>
        <w:rPr>
          <w:rFonts w:ascii="Book Antiqua" w:hAnsi="Book Antiqua"/>
          <w:b/>
          <w:i/>
          <w:sz w:val="24"/>
          <w:szCs w:val="24"/>
          <w:lang w:val="en-US"/>
        </w:rPr>
      </w:pPr>
      <w:r w:rsidRPr="004447D2">
        <w:rPr>
          <w:rFonts w:ascii="Book Antiqua" w:hAnsi="Book Antiqua"/>
          <w:b/>
          <w:i/>
          <w:sz w:val="24"/>
          <w:szCs w:val="24"/>
          <w:lang w:val="en-US"/>
        </w:rPr>
        <w:t>Research frontiers</w:t>
      </w:r>
    </w:p>
    <w:p w14:paraId="575CE36E" w14:textId="2BEAB2AB" w:rsidR="00A049A9" w:rsidRPr="004447D2" w:rsidRDefault="00BC12C4"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 xml:space="preserve">The choice of the induction immunosuppression agent </w:t>
      </w:r>
      <w:r w:rsidR="000605A8" w:rsidRPr="004447D2">
        <w:rPr>
          <w:rFonts w:ascii="Book Antiqua" w:hAnsi="Book Antiqua"/>
          <w:sz w:val="24"/>
          <w:szCs w:val="24"/>
          <w:lang w:val="en-US" w:eastAsia="zh-CN"/>
        </w:rPr>
        <w:t>-</w:t>
      </w:r>
      <w:r w:rsidRPr="004447D2">
        <w:rPr>
          <w:rFonts w:ascii="Book Antiqua" w:hAnsi="Book Antiqua"/>
          <w:sz w:val="24"/>
          <w:szCs w:val="24"/>
          <w:lang w:val="en-US"/>
        </w:rPr>
        <w:t xml:space="preserve"> and of maintenance immunosuppression to a lesser degree </w:t>
      </w:r>
      <w:r w:rsidR="000605A8" w:rsidRPr="004447D2">
        <w:rPr>
          <w:rFonts w:ascii="Book Antiqua" w:hAnsi="Book Antiqua"/>
          <w:sz w:val="24"/>
          <w:szCs w:val="24"/>
          <w:lang w:val="en-US" w:eastAsia="zh-CN"/>
        </w:rPr>
        <w:t>-</w:t>
      </w:r>
      <w:r w:rsidRPr="004447D2">
        <w:rPr>
          <w:rFonts w:ascii="Book Antiqua" w:hAnsi="Book Antiqua"/>
          <w:sz w:val="24"/>
          <w:szCs w:val="24"/>
          <w:lang w:val="en-US"/>
        </w:rPr>
        <w:t xml:space="preserve"> is an</w:t>
      </w:r>
      <w:r w:rsidR="00DC69A4" w:rsidRPr="004447D2">
        <w:rPr>
          <w:rFonts w:ascii="Book Antiqua" w:hAnsi="Book Antiqua"/>
          <w:sz w:val="24"/>
          <w:szCs w:val="24"/>
          <w:lang w:val="en-US"/>
        </w:rPr>
        <w:t xml:space="preserve"> extremely</w:t>
      </w:r>
      <w:r w:rsidRPr="004447D2">
        <w:rPr>
          <w:rFonts w:ascii="Book Antiqua" w:hAnsi="Book Antiqua"/>
          <w:sz w:val="24"/>
          <w:szCs w:val="24"/>
          <w:lang w:val="en-US"/>
        </w:rPr>
        <w:t xml:space="preserve"> important aspect of </w:t>
      </w:r>
      <w:r w:rsidR="00B07C27" w:rsidRPr="004447D2">
        <w:rPr>
          <w:rFonts w:ascii="Book Antiqua" w:hAnsi="Book Antiqua"/>
          <w:sz w:val="24"/>
          <w:szCs w:val="24"/>
          <w:lang w:val="en-US"/>
        </w:rPr>
        <w:t>CS</w:t>
      </w:r>
      <w:r w:rsidRPr="004447D2">
        <w:rPr>
          <w:rFonts w:ascii="Book Antiqua" w:hAnsi="Book Antiqua"/>
          <w:sz w:val="24"/>
          <w:szCs w:val="24"/>
          <w:lang w:val="en-US"/>
        </w:rPr>
        <w:t xml:space="preserve"> </w:t>
      </w:r>
      <w:r w:rsidRPr="004447D2">
        <w:rPr>
          <w:rFonts w:ascii="Book Antiqua" w:hAnsi="Book Antiqua"/>
          <w:sz w:val="24"/>
          <w:szCs w:val="24"/>
          <w:lang w:val="en-US"/>
        </w:rPr>
        <w:lastRenderedPageBreak/>
        <w:t>minimization strategies</w:t>
      </w:r>
      <w:r w:rsidR="00DC69A4" w:rsidRPr="004447D2">
        <w:rPr>
          <w:rFonts w:ascii="Book Antiqua" w:hAnsi="Book Antiqua"/>
          <w:sz w:val="24"/>
          <w:szCs w:val="24"/>
          <w:lang w:val="en-US"/>
        </w:rPr>
        <w:t xml:space="preserve"> and t</w:t>
      </w:r>
      <w:r w:rsidR="00CE1979" w:rsidRPr="004447D2">
        <w:rPr>
          <w:rFonts w:ascii="Book Antiqua" w:hAnsi="Book Antiqua"/>
          <w:sz w:val="24"/>
          <w:szCs w:val="24"/>
          <w:lang w:val="en-US"/>
        </w:rPr>
        <w:t>he focus of many studies</w:t>
      </w:r>
      <w:r w:rsidR="00DC69A4" w:rsidRPr="004447D2">
        <w:rPr>
          <w:rFonts w:ascii="Book Antiqua" w:hAnsi="Book Antiqua"/>
          <w:sz w:val="24"/>
          <w:szCs w:val="24"/>
          <w:lang w:val="en-US"/>
        </w:rPr>
        <w:t xml:space="preserve">. Studies with follow-up times of more than 5 years and with data on interstitial tissue fibrosis are needed. </w:t>
      </w:r>
    </w:p>
    <w:p w14:paraId="31D06A42" w14:textId="1C10E507" w:rsidR="00DC69A4" w:rsidRPr="004447D2" w:rsidRDefault="00DC69A4" w:rsidP="00887EC2">
      <w:pPr>
        <w:pStyle w:val="a8"/>
        <w:spacing w:line="360" w:lineRule="auto"/>
        <w:jc w:val="both"/>
        <w:rPr>
          <w:rFonts w:ascii="Book Antiqua" w:hAnsi="Book Antiqua"/>
          <w:sz w:val="24"/>
          <w:szCs w:val="24"/>
          <w:lang w:val="en-US"/>
        </w:rPr>
      </w:pPr>
    </w:p>
    <w:p w14:paraId="5C56E693" w14:textId="77777777" w:rsidR="00A421FB" w:rsidRPr="004447D2" w:rsidRDefault="00A421FB" w:rsidP="00887EC2">
      <w:pPr>
        <w:spacing w:after="0" w:line="360" w:lineRule="auto"/>
        <w:rPr>
          <w:rFonts w:ascii="Book Antiqua" w:hAnsi="Book Antiqua"/>
          <w:b/>
          <w:i/>
          <w:sz w:val="24"/>
          <w:szCs w:val="24"/>
        </w:rPr>
      </w:pPr>
      <w:r w:rsidRPr="004447D2">
        <w:rPr>
          <w:rFonts w:ascii="Book Antiqua" w:hAnsi="Book Antiqua"/>
          <w:b/>
          <w:i/>
          <w:sz w:val="24"/>
          <w:szCs w:val="24"/>
        </w:rPr>
        <w:t>Innovations and breakthroughs</w:t>
      </w:r>
    </w:p>
    <w:p w14:paraId="70014F8B" w14:textId="0B338355" w:rsidR="007C2833" w:rsidRPr="004447D2" w:rsidRDefault="00EF735C" w:rsidP="00887EC2">
      <w:pPr>
        <w:pStyle w:val="a8"/>
        <w:spacing w:line="360" w:lineRule="auto"/>
        <w:jc w:val="both"/>
        <w:rPr>
          <w:rFonts w:ascii="Book Antiqua" w:hAnsi="Book Antiqua"/>
          <w:sz w:val="24"/>
          <w:szCs w:val="24"/>
          <w:lang w:val="en-US"/>
        </w:rPr>
      </w:pPr>
      <w:proofErr w:type="spellStart"/>
      <w:r w:rsidRPr="004447D2">
        <w:rPr>
          <w:rFonts w:ascii="Book Antiqua" w:hAnsi="Book Antiqua"/>
          <w:sz w:val="24"/>
          <w:szCs w:val="24"/>
          <w:lang w:val="en-US"/>
        </w:rPr>
        <w:t>Alemtuzumab</w:t>
      </w:r>
      <w:proofErr w:type="spellEnd"/>
      <w:r w:rsidRPr="004447D2">
        <w:rPr>
          <w:rFonts w:ascii="Book Antiqua" w:hAnsi="Book Antiqua"/>
          <w:sz w:val="24"/>
          <w:szCs w:val="24"/>
          <w:lang w:val="en-US"/>
        </w:rPr>
        <w:t xml:space="preserve"> appears to be a very promising induction agent potentially allowing the combination of CS avoidance with lower doses of </w:t>
      </w:r>
      <w:proofErr w:type="spellStart"/>
      <w:r w:rsidRPr="004447D2">
        <w:rPr>
          <w:rFonts w:ascii="Book Antiqua" w:hAnsi="Book Antiqua"/>
          <w:sz w:val="24"/>
          <w:szCs w:val="24"/>
          <w:lang w:val="en-US"/>
        </w:rPr>
        <w:t>tacrolimus</w:t>
      </w:r>
      <w:proofErr w:type="spellEnd"/>
      <w:r w:rsidRPr="004447D2">
        <w:rPr>
          <w:rFonts w:ascii="Book Antiqua" w:hAnsi="Book Antiqua"/>
          <w:sz w:val="24"/>
          <w:szCs w:val="24"/>
          <w:lang w:val="en-US"/>
        </w:rPr>
        <w:t xml:space="preserve"> and </w:t>
      </w:r>
      <w:proofErr w:type="spellStart"/>
      <w:r w:rsidR="000963E2" w:rsidRPr="004447D2">
        <w:rPr>
          <w:rFonts w:ascii="Book Antiqua" w:hAnsi="Book Antiqua"/>
          <w:sz w:val="24"/>
          <w:szCs w:val="24"/>
          <w:lang w:val="en-US"/>
        </w:rPr>
        <w:t>mycophenolate</w:t>
      </w:r>
      <w:proofErr w:type="spellEnd"/>
      <w:r w:rsidR="000963E2" w:rsidRPr="004447D2">
        <w:rPr>
          <w:rFonts w:ascii="Book Antiqua" w:hAnsi="Book Antiqua"/>
          <w:sz w:val="24"/>
          <w:szCs w:val="24"/>
          <w:lang w:val="en-US"/>
        </w:rPr>
        <w:t xml:space="preserve"> </w:t>
      </w:r>
      <w:proofErr w:type="spellStart"/>
      <w:r w:rsidR="000963E2" w:rsidRPr="004447D2">
        <w:rPr>
          <w:rFonts w:ascii="Book Antiqua" w:hAnsi="Book Antiqua"/>
          <w:sz w:val="24"/>
          <w:szCs w:val="24"/>
          <w:lang w:val="en-US"/>
        </w:rPr>
        <w:t>mofetil</w:t>
      </w:r>
      <w:proofErr w:type="spellEnd"/>
      <w:r w:rsidRPr="004447D2">
        <w:rPr>
          <w:rFonts w:ascii="Book Antiqua" w:hAnsi="Book Antiqua"/>
          <w:sz w:val="24"/>
          <w:szCs w:val="24"/>
          <w:lang w:val="en-US"/>
        </w:rPr>
        <w:t xml:space="preserve">. Long term results of the 3C study may provide valuable insights on this topic. </w:t>
      </w:r>
    </w:p>
    <w:p w14:paraId="27EBDF5E" w14:textId="04208C51" w:rsidR="00F7497C" w:rsidRPr="004447D2" w:rsidRDefault="00F7497C" w:rsidP="00887EC2">
      <w:pPr>
        <w:pStyle w:val="a8"/>
        <w:spacing w:line="360" w:lineRule="auto"/>
        <w:jc w:val="both"/>
        <w:rPr>
          <w:rFonts w:ascii="Book Antiqua" w:hAnsi="Book Antiqua"/>
          <w:sz w:val="24"/>
          <w:szCs w:val="24"/>
          <w:lang w:val="en-US"/>
        </w:rPr>
      </w:pPr>
    </w:p>
    <w:p w14:paraId="6FB3C03C" w14:textId="1BA5DA1F" w:rsidR="00F7497C" w:rsidRPr="004447D2" w:rsidRDefault="00F7497C" w:rsidP="00887EC2">
      <w:pPr>
        <w:pStyle w:val="a8"/>
        <w:spacing w:line="360" w:lineRule="auto"/>
        <w:jc w:val="both"/>
        <w:rPr>
          <w:rFonts w:ascii="Book Antiqua" w:hAnsi="Book Antiqua"/>
          <w:b/>
          <w:i/>
          <w:sz w:val="24"/>
          <w:szCs w:val="24"/>
          <w:lang w:val="en-US"/>
        </w:rPr>
      </w:pPr>
      <w:r w:rsidRPr="004447D2">
        <w:rPr>
          <w:rFonts w:ascii="Book Antiqua" w:hAnsi="Book Antiqua"/>
          <w:b/>
          <w:i/>
          <w:sz w:val="24"/>
          <w:szCs w:val="24"/>
          <w:lang w:val="en-US"/>
        </w:rPr>
        <w:t>Applications</w:t>
      </w:r>
    </w:p>
    <w:p w14:paraId="44AD9DB2" w14:textId="0E90D325" w:rsidR="00F7497C" w:rsidRPr="004447D2" w:rsidRDefault="003077F3"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In the U</w:t>
      </w:r>
      <w:r w:rsidR="000963E2" w:rsidRPr="004447D2">
        <w:rPr>
          <w:rFonts w:ascii="Book Antiqua" w:hAnsi="Book Antiqua"/>
          <w:sz w:val="24"/>
          <w:szCs w:val="24"/>
          <w:lang w:val="en-US" w:eastAsia="zh-CN"/>
        </w:rPr>
        <w:t xml:space="preserve">nited </w:t>
      </w:r>
      <w:r w:rsidR="000963E2" w:rsidRPr="004447D2">
        <w:rPr>
          <w:rFonts w:ascii="Book Antiqua" w:hAnsi="Book Antiqua"/>
          <w:sz w:val="24"/>
          <w:szCs w:val="24"/>
          <w:lang w:val="en-US"/>
        </w:rPr>
        <w:t>S</w:t>
      </w:r>
      <w:r w:rsidR="000963E2" w:rsidRPr="004447D2">
        <w:rPr>
          <w:rFonts w:ascii="Book Antiqua" w:hAnsi="Book Antiqua"/>
          <w:sz w:val="24"/>
          <w:szCs w:val="24"/>
          <w:lang w:val="en-US" w:eastAsia="zh-CN"/>
        </w:rPr>
        <w:t>tates</w:t>
      </w:r>
      <w:r w:rsidRPr="004447D2">
        <w:rPr>
          <w:rFonts w:ascii="Book Antiqua" w:hAnsi="Book Antiqua"/>
          <w:sz w:val="24"/>
          <w:szCs w:val="24"/>
          <w:lang w:val="en-US"/>
        </w:rPr>
        <w:t>, CS avoidance regimens were administered to 23% of all first renal transplant recipients in 2004</w:t>
      </w:r>
      <w:r w:rsidRPr="004447D2">
        <w:rPr>
          <w:rFonts w:ascii="Book Antiqua" w:hAnsi="Book Antiqua"/>
          <w:sz w:val="24"/>
          <w:szCs w:val="24"/>
          <w:vertAlign w:val="superscript"/>
          <w:lang w:val="en-US"/>
        </w:rPr>
        <w:t>[5]</w:t>
      </w:r>
      <w:r w:rsidRPr="004447D2">
        <w:rPr>
          <w:rFonts w:ascii="Book Antiqua" w:hAnsi="Book Antiqua"/>
          <w:sz w:val="24"/>
          <w:szCs w:val="24"/>
          <w:lang w:val="en-US"/>
        </w:rPr>
        <w:t xml:space="preserve">. Although they cannot yet be recommended to the majority of renal transplant recipients, selected patient groups such as primarily those with low immunological risk and low risk for glomerulonephritis recurrence may benefit more from CS minimization. </w:t>
      </w:r>
    </w:p>
    <w:p w14:paraId="5AAC717B" w14:textId="77777777" w:rsidR="00EF735C" w:rsidRPr="004447D2" w:rsidRDefault="00EF735C" w:rsidP="00887EC2">
      <w:pPr>
        <w:pStyle w:val="a8"/>
        <w:spacing w:line="360" w:lineRule="auto"/>
        <w:jc w:val="both"/>
        <w:rPr>
          <w:rFonts w:ascii="Book Antiqua" w:hAnsi="Book Antiqua"/>
          <w:sz w:val="24"/>
          <w:szCs w:val="24"/>
          <w:lang w:val="en-US"/>
        </w:rPr>
      </w:pPr>
    </w:p>
    <w:p w14:paraId="7ABE4F00" w14:textId="4F2DEA2B" w:rsidR="00DC69A4" w:rsidRPr="004447D2" w:rsidRDefault="007C2833" w:rsidP="00887EC2">
      <w:pPr>
        <w:pStyle w:val="a8"/>
        <w:spacing w:line="360" w:lineRule="auto"/>
        <w:jc w:val="both"/>
        <w:rPr>
          <w:rFonts w:ascii="Book Antiqua" w:hAnsi="Book Antiqua"/>
          <w:b/>
          <w:i/>
          <w:sz w:val="24"/>
          <w:szCs w:val="24"/>
          <w:lang w:val="en-US"/>
        </w:rPr>
      </w:pPr>
      <w:r w:rsidRPr="004447D2">
        <w:rPr>
          <w:rFonts w:ascii="Book Antiqua" w:hAnsi="Book Antiqua"/>
          <w:b/>
          <w:i/>
          <w:sz w:val="24"/>
          <w:szCs w:val="24"/>
          <w:lang w:val="en-US"/>
        </w:rPr>
        <w:t>Terminology</w:t>
      </w:r>
    </w:p>
    <w:p w14:paraId="2F7D65F7" w14:textId="2A4F161B" w:rsidR="007C2833" w:rsidRPr="004447D2" w:rsidRDefault="00257FFC"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 xml:space="preserve">CS avoidance: </w:t>
      </w:r>
      <w:r w:rsidR="009D186B" w:rsidRPr="004447D2">
        <w:rPr>
          <w:rFonts w:ascii="Book Antiqua" w:hAnsi="Book Antiqua"/>
          <w:sz w:val="24"/>
          <w:szCs w:val="24"/>
          <w:lang w:val="en-US"/>
        </w:rPr>
        <w:t>E</w:t>
      </w:r>
      <w:r w:rsidRPr="004447D2">
        <w:rPr>
          <w:rFonts w:ascii="Book Antiqua" w:hAnsi="Book Antiqua"/>
          <w:sz w:val="24"/>
          <w:szCs w:val="24"/>
          <w:lang w:val="en-US"/>
        </w:rPr>
        <w:t xml:space="preserve">ither no CS use at all or CS use only until day 7 after </w:t>
      </w:r>
      <w:r w:rsidR="009D186B" w:rsidRPr="004447D2">
        <w:rPr>
          <w:rFonts w:ascii="Book Antiqua" w:hAnsi="Book Antiqua"/>
          <w:sz w:val="24"/>
          <w:szCs w:val="24"/>
          <w:lang w:val="en-US"/>
        </w:rPr>
        <w:t xml:space="preserve">transplantation </w:t>
      </w:r>
      <w:r w:rsidR="009D186B" w:rsidRPr="004447D2">
        <w:rPr>
          <w:rFonts w:ascii="Book Antiqua" w:hAnsi="Book Antiqua"/>
          <w:sz w:val="24"/>
          <w:szCs w:val="24"/>
          <w:lang w:val="en-US" w:eastAsia="zh-CN"/>
        </w:rPr>
        <w:t>(</w:t>
      </w:r>
      <w:proofErr w:type="spellStart"/>
      <w:r w:rsidRPr="004447D2">
        <w:rPr>
          <w:rFonts w:ascii="Book Antiqua" w:hAnsi="Book Antiqua"/>
          <w:sz w:val="24"/>
          <w:szCs w:val="24"/>
          <w:lang w:val="en-US"/>
        </w:rPr>
        <w:t>Tx</w:t>
      </w:r>
      <w:proofErr w:type="spellEnd"/>
      <w:r w:rsidR="009D186B" w:rsidRPr="004447D2">
        <w:rPr>
          <w:rFonts w:ascii="Book Antiqua" w:hAnsi="Book Antiqua"/>
          <w:sz w:val="24"/>
          <w:szCs w:val="24"/>
          <w:lang w:val="en-US" w:eastAsia="zh-CN"/>
        </w:rPr>
        <w:t>)</w:t>
      </w:r>
      <w:r w:rsidRPr="004447D2">
        <w:rPr>
          <w:rFonts w:ascii="Book Antiqua" w:hAnsi="Book Antiqua"/>
          <w:sz w:val="24"/>
          <w:szCs w:val="24"/>
          <w:lang w:val="en-US"/>
        </w:rPr>
        <w:t xml:space="preserve">. CS withdrawal: CS tapering following a period after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It is divided as early withdrawal (weeks or months after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usually 3-6 mo after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 xml:space="preserve">) or late withdrawal (at least 6 mo after </w:t>
      </w:r>
      <w:proofErr w:type="spellStart"/>
      <w:r w:rsidRPr="004447D2">
        <w:rPr>
          <w:rFonts w:ascii="Book Antiqua" w:hAnsi="Book Antiqua"/>
          <w:sz w:val="24"/>
          <w:szCs w:val="24"/>
          <w:lang w:val="en-US"/>
        </w:rPr>
        <w:t>Tx</w:t>
      </w:r>
      <w:proofErr w:type="spellEnd"/>
      <w:r w:rsidRPr="004447D2">
        <w:rPr>
          <w:rFonts w:ascii="Book Antiqua" w:hAnsi="Book Antiqua"/>
          <w:sz w:val="24"/>
          <w:szCs w:val="24"/>
          <w:lang w:val="en-US"/>
        </w:rPr>
        <w:t>).</w:t>
      </w:r>
    </w:p>
    <w:p w14:paraId="5BF6BFB0" w14:textId="77777777" w:rsidR="00257FFC" w:rsidRPr="004447D2" w:rsidRDefault="00257FFC" w:rsidP="00887EC2">
      <w:pPr>
        <w:pStyle w:val="a8"/>
        <w:spacing w:line="360" w:lineRule="auto"/>
        <w:jc w:val="both"/>
        <w:rPr>
          <w:rFonts w:ascii="Book Antiqua" w:hAnsi="Book Antiqua"/>
          <w:sz w:val="24"/>
          <w:szCs w:val="24"/>
          <w:lang w:val="en-US"/>
        </w:rPr>
      </w:pPr>
    </w:p>
    <w:p w14:paraId="31CC7DA2" w14:textId="58233C25" w:rsidR="00A049A9" w:rsidRPr="004447D2" w:rsidRDefault="007C2833" w:rsidP="00887EC2">
      <w:pPr>
        <w:pStyle w:val="a8"/>
        <w:spacing w:line="360" w:lineRule="auto"/>
        <w:jc w:val="both"/>
        <w:rPr>
          <w:rFonts w:ascii="Book Antiqua" w:hAnsi="Book Antiqua"/>
          <w:b/>
          <w:sz w:val="24"/>
          <w:szCs w:val="24"/>
          <w:lang w:val="en-US"/>
        </w:rPr>
      </w:pPr>
      <w:r w:rsidRPr="004447D2">
        <w:rPr>
          <w:rFonts w:ascii="Book Antiqua" w:hAnsi="Book Antiqua"/>
          <w:b/>
          <w:i/>
          <w:sz w:val="24"/>
          <w:szCs w:val="24"/>
          <w:lang w:val="en-US"/>
        </w:rPr>
        <w:t>Peer-review</w:t>
      </w:r>
    </w:p>
    <w:p w14:paraId="48B7BF23" w14:textId="031767DB" w:rsidR="00E442AE" w:rsidRPr="004447D2" w:rsidRDefault="004E28A4"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 xml:space="preserve">This review paper is a well written </w:t>
      </w:r>
      <w:r w:rsidRPr="004447D2">
        <w:rPr>
          <w:rFonts w:ascii="Book Antiqua" w:hAnsi="Book Antiqua" w:hint="eastAsia"/>
          <w:sz w:val="24"/>
          <w:szCs w:val="24"/>
          <w:lang w:val="en-US"/>
        </w:rPr>
        <w:t xml:space="preserve">paper </w:t>
      </w:r>
      <w:r w:rsidRPr="004447D2">
        <w:rPr>
          <w:rFonts w:ascii="Book Antiqua" w:hAnsi="Book Antiqua"/>
          <w:sz w:val="24"/>
          <w:szCs w:val="24"/>
          <w:lang w:val="en-US"/>
        </w:rPr>
        <w:t xml:space="preserve">of the impact of corticosteroid </w:t>
      </w:r>
      <w:proofErr w:type="spellStart"/>
      <w:r w:rsidRPr="004447D2">
        <w:rPr>
          <w:rFonts w:ascii="Book Antiqua" w:hAnsi="Book Antiqua"/>
          <w:sz w:val="24"/>
          <w:szCs w:val="24"/>
          <w:lang w:val="en-US"/>
        </w:rPr>
        <w:t>minimisation</w:t>
      </w:r>
      <w:proofErr w:type="spellEnd"/>
      <w:r w:rsidRPr="004447D2">
        <w:rPr>
          <w:rFonts w:ascii="Book Antiqua" w:hAnsi="Book Antiqua"/>
          <w:sz w:val="24"/>
          <w:szCs w:val="24"/>
          <w:lang w:val="en-US"/>
        </w:rPr>
        <w:t xml:space="preserve"> on kidney </w:t>
      </w:r>
      <w:r w:rsidR="009C39F4" w:rsidRPr="004447D2">
        <w:rPr>
          <w:rFonts w:ascii="Book Antiqua" w:hAnsi="Book Antiqua"/>
          <w:sz w:val="24"/>
          <w:szCs w:val="24"/>
          <w:lang w:val="en-US"/>
        </w:rPr>
        <w:t>transplant</w:t>
      </w:r>
      <w:r w:rsidRPr="004447D2">
        <w:rPr>
          <w:rFonts w:ascii="Book Antiqua" w:hAnsi="Book Antiqua"/>
          <w:sz w:val="24"/>
          <w:szCs w:val="24"/>
          <w:lang w:val="en-US"/>
        </w:rPr>
        <w:t xml:space="preserve"> and has valuable information.</w:t>
      </w:r>
      <w:r w:rsidR="00E442AE" w:rsidRPr="004447D2">
        <w:rPr>
          <w:rFonts w:ascii="Book Antiqua" w:hAnsi="Book Antiqua"/>
          <w:sz w:val="24"/>
          <w:szCs w:val="24"/>
          <w:lang w:val="en-US"/>
        </w:rPr>
        <w:br w:type="page"/>
      </w:r>
    </w:p>
    <w:p w14:paraId="14BF86A7" w14:textId="39B76760" w:rsidR="00C147E7" w:rsidRPr="004447D2" w:rsidRDefault="00E442AE"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lastRenderedPageBreak/>
        <w:t>REFERENCES</w:t>
      </w:r>
    </w:p>
    <w:p w14:paraId="0923B0DA" w14:textId="77777777" w:rsidR="00FA3A3B" w:rsidRPr="004447D2" w:rsidRDefault="00FA3A3B" w:rsidP="00887EC2">
      <w:pPr>
        <w:spacing w:after="0" w:line="360" w:lineRule="auto"/>
        <w:jc w:val="both"/>
        <w:rPr>
          <w:rFonts w:ascii="Book Antiqua" w:hAnsi="Book Antiqua" w:cs="宋体"/>
          <w:color w:val="000000"/>
          <w:sz w:val="24"/>
          <w:szCs w:val="24"/>
        </w:rPr>
      </w:pPr>
      <w:bookmarkStart w:id="40" w:name="OLE_LINK219"/>
      <w:bookmarkStart w:id="41" w:name="OLE_LINK220"/>
      <w:r w:rsidRPr="004447D2">
        <w:rPr>
          <w:rFonts w:ascii="Book Antiqua" w:hAnsi="Book Antiqua" w:cs="宋体"/>
          <w:color w:val="000000"/>
          <w:sz w:val="24"/>
          <w:szCs w:val="24"/>
        </w:rPr>
        <w:t>1 </w:t>
      </w:r>
      <w:r w:rsidRPr="004447D2">
        <w:rPr>
          <w:rFonts w:ascii="Book Antiqua" w:hAnsi="Book Antiqua" w:cs="宋体"/>
          <w:b/>
          <w:bCs/>
          <w:color w:val="000000"/>
          <w:sz w:val="24"/>
          <w:szCs w:val="24"/>
        </w:rPr>
        <w:t>Veenstra DL</w:t>
      </w:r>
      <w:r w:rsidRPr="004447D2">
        <w:rPr>
          <w:rFonts w:ascii="Book Antiqua" w:hAnsi="Book Antiqua" w:cs="宋体"/>
          <w:color w:val="000000"/>
          <w:sz w:val="24"/>
          <w:szCs w:val="24"/>
        </w:rPr>
        <w:t>, Best JH, Hornberger J, Sullivan SD, Hricik DE. Incidence and long-term cost of steroid-related side effects after renal transplantation. </w:t>
      </w:r>
      <w:r w:rsidRPr="004447D2">
        <w:rPr>
          <w:rFonts w:ascii="Book Antiqua" w:hAnsi="Book Antiqua" w:cs="宋体"/>
          <w:i/>
          <w:iCs/>
          <w:color w:val="000000"/>
          <w:sz w:val="24"/>
          <w:szCs w:val="24"/>
        </w:rPr>
        <w:t>Am J Kidney Dis</w:t>
      </w:r>
      <w:r w:rsidRPr="004447D2">
        <w:rPr>
          <w:rFonts w:ascii="Book Antiqua" w:hAnsi="Book Antiqua" w:cs="宋体"/>
          <w:color w:val="000000"/>
          <w:sz w:val="24"/>
          <w:szCs w:val="24"/>
        </w:rPr>
        <w:t> 1999; </w:t>
      </w:r>
      <w:r w:rsidRPr="004447D2">
        <w:rPr>
          <w:rFonts w:ascii="Book Antiqua" w:hAnsi="Book Antiqua" w:cs="宋体"/>
          <w:b/>
          <w:bCs/>
          <w:color w:val="000000"/>
          <w:sz w:val="24"/>
          <w:szCs w:val="24"/>
        </w:rPr>
        <w:t>33</w:t>
      </w:r>
      <w:r w:rsidRPr="004447D2">
        <w:rPr>
          <w:rFonts w:ascii="Book Antiqua" w:hAnsi="Book Antiqua" w:cs="宋体"/>
          <w:color w:val="000000"/>
          <w:sz w:val="24"/>
          <w:szCs w:val="24"/>
        </w:rPr>
        <w:t>: 829-839 [PMID: 10213637 DOI: 10.1016/S0272-6386(99)70414-2]</w:t>
      </w:r>
    </w:p>
    <w:p w14:paraId="3944533E"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2 </w:t>
      </w:r>
      <w:r w:rsidRPr="004447D2">
        <w:rPr>
          <w:rFonts w:ascii="Book Antiqua" w:hAnsi="Book Antiqua" w:cs="宋体"/>
          <w:b/>
          <w:bCs/>
          <w:color w:val="000000"/>
          <w:sz w:val="24"/>
          <w:szCs w:val="24"/>
        </w:rPr>
        <w:t>Citterio F</w:t>
      </w:r>
      <w:r w:rsidRPr="004447D2">
        <w:rPr>
          <w:rFonts w:ascii="Book Antiqua" w:hAnsi="Book Antiqua" w:cs="宋体"/>
          <w:color w:val="000000"/>
          <w:sz w:val="24"/>
          <w:szCs w:val="24"/>
        </w:rPr>
        <w:t>. Steroid side effects and their impact on transplantation outcome. </w:t>
      </w:r>
      <w:r w:rsidRPr="004447D2">
        <w:rPr>
          <w:rFonts w:ascii="Book Antiqua" w:hAnsi="Book Antiqua" w:cs="宋体"/>
          <w:i/>
          <w:iCs/>
          <w:color w:val="000000"/>
          <w:sz w:val="24"/>
          <w:szCs w:val="24"/>
        </w:rPr>
        <w:t>Transplantation</w:t>
      </w:r>
      <w:r w:rsidRPr="004447D2">
        <w:rPr>
          <w:rFonts w:ascii="Book Antiqua" w:hAnsi="Book Antiqua" w:cs="宋体"/>
          <w:color w:val="000000"/>
          <w:sz w:val="24"/>
          <w:szCs w:val="24"/>
        </w:rPr>
        <w:t> 2001; </w:t>
      </w:r>
      <w:r w:rsidRPr="004447D2">
        <w:rPr>
          <w:rFonts w:ascii="Book Antiqua" w:hAnsi="Book Antiqua" w:cs="宋体"/>
          <w:b/>
          <w:bCs/>
          <w:color w:val="000000"/>
          <w:sz w:val="24"/>
          <w:szCs w:val="24"/>
        </w:rPr>
        <w:t>72</w:t>
      </w:r>
      <w:r w:rsidRPr="004447D2">
        <w:rPr>
          <w:rFonts w:ascii="Book Antiqua" w:hAnsi="Book Antiqua" w:cs="宋体"/>
          <w:color w:val="000000"/>
          <w:sz w:val="24"/>
          <w:szCs w:val="24"/>
        </w:rPr>
        <w:t>: S75-S80 [PMID: 11833145]</w:t>
      </w:r>
    </w:p>
    <w:p w14:paraId="0D3A4645"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3 </w:t>
      </w:r>
      <w:r w:rsidRPr="004447D2">
        <w:rPr>
          <w:rFonts w:ascii="Book Antiqua" w:hAnsi="Book Antiqua" w:cs="宋体"/>
          <w:b/>
          <w:bCs/>
          <w:color w:val="000000"/>
          <w:sz w:val="24"/>
          <w:szCs w:val="24"/>
        </w:rPr>
        <w:t>Schweizer RT</w:t>
      </w:r>
      <w:r w:rsidRPr="004447D2">
        <w:rPr>
          <w:rFonts w:ascii="Book Antiqua" w:hAnsi="Book Antiqua" w:cs="宋体"/>
          <w:color w:val="000000"/>
          <w:sz w:val="24"/>
          <w:szCs w:val="24"/>
        </w:rPr>
        <w:t>, Rovelli M, Palmeri D, Vossler E, Hull D, Bartus S. Noncompliance in organ transplant recipients. </w:t>
      </w:r>
      <w:r w:rsidRPr="004447D2">
        <w:rPr>
          <w:rFonts w:ascii="Book Antiqua" w:hAnsi="Book Antiqua" w:cs="宋体"/>
          <w:i/>
          <w:iCs/>
          <w:color w:val="000000"/>
          <w:sz w:val="24"/>
          <w:szCs w:val="24"/>
        </w:rPr>
        <w:t>Transplantation</w:t>
      </w:r>
      <w:r w:rsidRPr="004447D2">
        <w:rPr>
          <w:rFonts w:ascii="Book Antiqua" w:hAnsi="Book Antiqua" w:cs="宋体"/>
          <w:color w:val="000000"/>
          <w:sz w:val="24"/>
          <w:szCs w:val="24"/>
        </w:rPr>
        <w:t> 1990; </w:t>
      </w:r>
      <w:r w:rsidRPr="004447D2">
        <w:rPr>
          <w:rFonts w:ascii="Book Antiqua" w:hAnsi="Book Antiqua" w:cs="宋体"/>
          <w:b/>
          <w:bCs/>
          <w:color w:val="000000"/>
          <w:sz w:val="24"/>
          <w:szCs w:val="24"/>
        </w:rPr>
        <w:t>49</w:t>
      </w:r>
      <w:r w:rsidRPr="004447D2">
        <w:rPr>
          <w:rFonts w:ascii="Book Antiqua" w:hAnsi="Book Antiqua" w:cs="宋体"/>
          <w:color w:val="000000"/>
          <w:sz w:val="24"/>
          <w:szCs w:val="24"/>
        </w:rPr>
        <w:t>: 374-377 [PMID: 2305467 DOI: 10.1097/00007890-199002000-00029]</w:t>
      </w:r>
    </w:p>
    <w:p w14:paraId="0FA68941"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4 </w:t>
      </w:r>
      <w:r w:rsidRPr="004447D2">
        <w:rPr>
          <w:rFonts w:ascii="Book Antiqua" w:hAnsi="Book Antiqua" w:cs="宋体"/>
          <w:b/>
          <w:bCs/>
          <w:color w:val="000000"/>
          <w:sz w:val="24"/>
          <w:szCs w:val="24"/>
        </w:rPr>
        <w:t>Prasad GV</w:t>
      </w:r>
      <w:r w:rsidRPr="004447D2">
        <w:rPr>
          <w:rFonts w:ascii="Book Antiqua" w:hAnsi="Book Antiqua" w:cs="宋体"/>
          <w:color w:val="000000"/>
          <w:sz w:val="24"/>
          <w:szCs w:val="24"/>
        </w:rPr>
        <w:t>, Nash MM, McFarlane PA, Zaltzman JS. Renal transplant recipient attitudes toward steroid use and steroid withdrawal. </w:t>
      </w:r>
      <w:r w:rsidRPr="004447D2">
        <w:rPr>
          <w:rFonts w:ascii="Book Antiqua" w:hAnsi="Book Antiqua" w:cs="宋体"/>
          <w:i/>
          <w:iCs/>
          <w:color w:val="000000"/>
          <w:sz w:val="24"/>
          <w:szCs w:val="24"/>
        </w:rPr>
        <w:t>Clin Transplant</w:t>
      </w:r>
      <w:r w:rsidRPr="004447D2">
        <w:rPr>
          <w:rFonts w:ascii="Book Antiqua" w:hAnsi="Book Antiqua" w:cs="宋体"/>
          <w:color w:val="000000"/>
          <w:sz w:val="24"/>
          <w:szCs w:val="24"/>
        </w:rPr>
        <w:t> 2003; </w:t>
      </w:r>
      <w:r w:rsidRPr="004447D2">
        <w:rPr>
          <w:rFonts w:ascii="Book Antiqua" w:hAnsi="Book Antiqua" w:cs="宋体"/>
          <w:b/>
          <w:bCs/>
          <w:color w:val="000000"/>
          <w:sz w:val="24"/>
          <w:szCs w:val="24"/>
        </w:rPr>
        <w:t>17</w:t>
      </w:r>
      <w:r w:rsidRPr="004447D2">
        <w:rPr>
          <w:rFonts w:ascii="Book Antiqua" w:hAnsi="Book Antiqua" w:cs="宋体"/>
          <w:color w:val="000000"/>
          <w:sz w:val="24"/>
          <w:szCs w:val="24"/>
        </w:rPr>
        <w:t>: 135-139 [PMID: 12709080 DOI: 10.1034/j.1399-0012.2003.00034.x]</w:t>
      </w:r>
    </w:p>
    <w:p w14:paraId="02EC4155"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5 </w:t>
      </w:r>
      <w:r w:rsidRPr="004447D2">
        <w:rPr>
          <w:rFonts w:ascii="Book Antiqua" w:hAnsi="Book Antiqua" w:cs="宋体"/>
          <w:b/>
          <w:bCs/>
          <w:color w:val="000000"/>
          <w:sz w:val="24"/>
          <w:szCs w:val="24"/>
        </w:rPr>
        <w:t>Meier-Kriesche HU</w:t>
      </w:r>
      <w:r w:rsidRPr="004447D2">
        <w:rPr>
          <w:rFonts w:ascii="Book Antiqua" w:hAnsi="Book Antiqua" w:cs="宋体"/>
          <w:color w:val="000000"/>
          <w:sz w:val="24"/>
          <w:szCs w:val="24"/>
        </w:rPr>
        <w:t>, Li S, Gruessner RW, Fung JJ, Bustami RT, Barr ML, Leichtman AB. Immunosuppression: evolution in practice and trends, 1994-2004. </w:t>
      </w:r>
      <w:r w:rsidRPr="004447D2">
        <w:rPr>
          <w:rFonts w:ascii="Book Antiqua" w:hAnsi="Book Antiqua" w:cs="宋体"/>
          <w:i/>
          <w:iCs/>
          <w:color w:val="000000"/>
          <w:sz w:val="24"/>
          <w:szCs w:val="24"/>
        </w:rPr>
        <w:t>Am J Transplant</w:t>
      </w:r>
      <w:r w:rsidRPr="004447D2">
        <w:rPr>
          <w:rFonts w:ascii="Book Antiqua" w:hAnsi="Book Antiqua" w:cs="宋体"/>
          <w:color w:val="000000"/>
          <w:sz w:val="24"/>
          <w:szCs w:val="24"/>
        </w:rPr>
        <w:t> 2006; </w:t>
      </w:r>
      <w:r w:rsidRPr="004447D2">
        <w:rPr>
          <w:rFonts w:ascii="Book Antiqua" w:hAnsi="Book Antiqua" w:cs="宋体"/>
          <w:b/>
          <w:bCs/>
          <w:color w:val="000000"/>
          <w:sz w:val="24"/>
          <w:szCs w:val="24"/>
        </w:rPr>
        <w:t>6</w:t>
      </w:r>
      <w:r w:rsidRPr="004447D2">
        <w:rPr>
          <w:rFonts w:ascii="Book Antiqua" w:hAnsi="Book Antiqua" w:cs="宋体"/>
          <w:color w:val="000000"/>
          <w:sz w:val="24"/>
          <w:szCs w:val="24"/>
        </w:rPr>
        <w:t>: 1111-1131 [PMID: 16613591 DOI: 10.1111/j.1600-6143.2006.01270.x]</w:t>
      </w:r>
    </w:p>
    <w:p w14:paraId="3C930EA1"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 xml:space="preserve">6 </w:t>
      </w:r>
      <w:r w:rsidRPr="004447D2">
        <w:rPr>
          <w:rFonts w:ascii="Book Antiqua" w:hAnsi="Book Antiqua" w:cs="宋体"/>
          <w:b/>
          <w:bCs/>
          <w:color w:val="000000"/>
          <w:sz w:val="24"/>
          <w:szCs w:val="24"/>
        </w:rPr>
        <w:fldChar w:fldCharType="begin"/>
      </w:r>
      <w:r w:rsidRPr="004447D2">
        <w:rPr>
          <w:rFonts w:ascii="Book Antiqua" w:hAnsi="Book Antiqua" w:cs="宋体"/>
          <w:b/>
          <w:bCs/>
          <w:color w:val="000000"/>
          <w:sz w:val="24"/>
          <w:szCs w:val="24"/>
        </w:rPr>
        <w:instrText xml:space="preserve"> HYPERLINK "https://www.ncbi.nlm.nih.gov/pubmed/?term=Kidney%20Disease%3A%20Improving%20Global%20Outcomes%20(KDIGO)%20Transplant%20Work%20Group%5BCorporate%20Author%5D" </w:instrText>
      </w:r>
      <w:r w:rsidRPr="004447D2">
        <w:rPr>
          <w:rFonts w:ascii="Book Antiqua" w:hAnsi="Book Antiqua" w:cs="宋体"/>
          <w:b/>
          <w:bCs/>
          <w:color w:val="000000"/>
          <w:sz w:val="24"/>
          <w:szCs w:val="24"/>
        </w:rPr>
        <w:fldChar w:fldCharType="separate"/>
      </w:r>
      <w:r w:rsidRPr="004447D2">
        <w:rPr>
          <w:rFonts w:ascii="Book Antiqua" w:hAnsi="Book Antiqua" w:cs="宋体"/>
          <w:b/>
          <w:bCs/>
          <w:color w:val="000000"/>
          <w:sz w:val="24"/>
          <w:szCs w:val="24"/>
        </w:rPr>
        <w:t>Kidney Disease: Improving Global Outcomes (KDIGO) Transplant Work Group</w:t>
      </w:r>
      <w:r w:rsidRPr="004447D2">
        <w:rPr>
          <w:rFonts w:ascii="Book Antiqua" w:hAnsi="Book Antiqua" w:cs="宋体"/>
          <w:b/>
          <w:bCs/>
          <w:color w:val="000000"/>
          <w:sz w:val="24"/>
          <w:szCs w:val="24"/>
        </w:rPr>
        <w:fldChar w:fldCharType="end"/>
      </w:r>
      <w:r w:rsidRPr="004447D2">
        <w:rPr>
          <w:rFonts w:ascii="Book Antiqua" w:hAnsi="Book Antiqua" w:cs="宋体"/>
          <w:color w:val="000000"/>
          <w:sz w:val="24"/>
          <w:szCs w:val="24"/>
        </w:rPr>
        <w:t>. KDIGO clinical practice guideline for the care of kidney transplant recipients. </w:t>
      </w:r>
      <w:r w:rsidRPr="004447D2">
        <w:rPr>
          <w:rFonts w:ascii="Book Antiqua" w:hAnsi="Book Antiqua" w:cs="宋体"/>
          <w:i/>
          <w:iCs/>
          <w:color w:val="000000"/>
          <w:sz w:val="24"/>
          <w:szCs w:val="24"/>
        </w:rPr>
        <w:t>Am J Transplant</w:t>
      </w:r>
      <w:r w:rsidRPr="004447D2">
        <w:rPr>
          <w:rFonts w:ascii="Book Antiqua" w:hAnsi="Book Antiqua" w:cs="宋体"/>
          <w:color w:val="000000"/>
          <w:sz w:val="24"/>
          <w:szCs w:val="24"/>
        </w:rPr>
        <w:t> 2009; </w:t>
      </w:r>
      <w:r w:rsidRPr="004447D2">
        <w:rPr>
          <w:rFonts w:ascii="Book Antiqua" w:hAnsi="Book Antiqua" w:cs="宋体"/>
          <w:b/>
          <w:bCs/>
          <w:color w:val="000000"/>
          <w:sz w:val="24"/>
          <w:szCs w:val="24"/>
        </w:rPr>
        <w:t xml:space="preserve">9 </w:t>
      </w:r>
      <w:r w:rsidRPr="004447D2">
        <w:rPr>
          <w:rFonts w:ascii="Book Antiqua" w:hAnsi="Book Antiqua" w:cs="宋体"/>
          <w:bCs/>
          <w:color w:val="000000"/>
          <w:sz w:val="24"/>
          <w:szCs w:val="24"/>
        </w:rPr>
        <w:t>Suppl 3</w:t>
      </w:r>
      <w:r w:rsidRPr="004447D2">
        <w:rPr>
          <w:rFonts w:ascii="Book Antiqua" w:hAnsi="Book Antiqua" w:cs="宋体"/>
          <w:color w:val="000000"/>
          <w:sz w:val="24"/>
          <w:szCs w:val="24"/>
        </w:rPr>
        <w:t xml:space="preserve">: S1-155 [PMID: </w:t>
      </w:r>
      <w:bookmarkStart w:id="42" w:name="OLE_LINK150"/>
      <w:bookmarkStart w:id="43" w:name="OLE_LINK151"/>
      <w:r w:rsidRPr="004447D2">
        <w:rPr>
          <w:rFonts w:ascii="Book Antiqua" w:hAnsi="Book Antiqua" w:cs="宋体"/>
          <w:color w:val="000000"/>
          <w:sz w:val="24"/>
          <w:szCs w:val="24"/>
        </w:rPr>
        <w:t>19845597</w:t>
      </w:r>
      <w:bookmarkEnd w:id="42"/>
      <w:bookmarkEnd w:id="43"/>
      <w:r w:rsidRPr="004447D2">
        <w:rPr>
          <w:rFonts w:ascii="Book Antiqua" w:hAnsi="Book Antiqua" w:cs="宋体"/>
          <w:color w:val="000000"/>
          <w:sz w:val="24"/>
          <w:szCs w:val="24"/>
        </w:rPr>
        <w:t xml:space="preserve"> DOI: 10.1111/j.1600-6143.2009.02834.x]</w:t>
      </w:r>
    </w:p>
    <w:p w14:paraId="70A50B88"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7 </w:t>
      </w:r>
      <w:r w:rsidRPr="004447D2">
        <w:rPr>
          <w:rFonts w:ascii="Book Antiqua" w:hAnsi="Book Antiqua" w:cs="宋体"/>
          <w:b/>
          <w:bCs/>
          <w:color w:val="000000"/>
          <w:sz w:val="24"/>
          <w:szCs w:val="24"/>
        </w:rPr>
        <w:t>Woodle ES</w:t>
      </w:r>
      <w:r w:rsidRPr="004447D2">
        <w:rPr>
          <w:rFonts w:ascii="Book Antiqua" w:hAnsi="Book Antiqua" w:cs="宋体"/>
          <w:color w:val="000000"/>
          <w:sz w:val="24"/>
          <w:szCs w:val="24"/>
        </w:rPr>
        <w:t>, Peddi VR, Tomlanovich S, Mulgaonkar S, Kuo PC; TRIMS Study Investigators. A prospective, randomized, multicenter study evaluating early corticosteroid withdrawal with Thymoglobulin in living-donor kidney transplantation. </w:t>
      </w:r>
      <w:r w:rsidRPr="004447D2">
        <w:rPr>
          <w:rFonts w:ascii="Book Antiqua" w:hAnsi="Book Antiqua" w:cs="宋体"/>
          <w:i/>
          <w:iCs/>
          <w:color w:val="000000"/>
          <w:sz w:val="24"/>
          <w:szCs w:val="24"/>
        </w:rPr>
        <w:t>Clin Transplant</w:t>
      </w:r>
      <w:r w:rsidRPr="004447D2">
        <w:rPr>
          <w:rFonts w:ascii="Book Antiqua" w:hAnsi="Book Antiqua" w:cs="宋体"/>
          <w:color w:val="000000"/>
          <w:sz w:val="24"/>
          <w:szCs w:val="24"/>
        </w:rPr>
        <w:t> 2010; </w:t>
      </w:r>
      <w:r w:rsidRPr="004447D2">
        <w:rPr>
          <w:rFonts w:ascii="Book Antiqua" w:hAnsi="Book Antiqua" w:cs="宋体"/>
          <w:b/>
          <w:bCs/>
          <w:color w:val="000000"/>
          <w:sz w:val="24"/>
          <w:szCs w:val="24"/>
        </w:rPr>
        <w:t>24</w:t>
      </w:r>
      <w:r w:rsidRPr="004447D2">
        <w:rPr>
          <w:rFonts w:ascii="Book Antiqua" w:hAnsi="Book Antiqua" w:cs="宋体"/>
          <w:color w:val="000000"/>
          <w:sz w:val="24"/>
          <w:szCs w:val="24"/>
        </w:rPr>
        <w:t xml:space="preserve">: 73-83 [PMID: </w:t>
      </w:r>
      <w:bookmarkStart w:id="44" w:name="OLE_LINK152"/>
      <w:bookmarkStart w:id="45" w:name="OLE_LINK153"/>
      <w:r w:rsidRPr="004447D2">
        <w:rPr>
          <w:rFonts w:ascii="Book Antiqua" w:hAnsi="Book Antiqua" w:cs="宋体"/>
          <w:color w:val="000000"/>
          <w:sz w:val="24"/>
          <w:szCs w:val="24"/>
        </w:rPr>
        <w:t>19930408</w:t>
      </w:r>
      <w:bookmarkEnd w:id="44"/>
      <w:bookmarkEnd w:id="45"/>
      <w:r w:rsidRPr="004447D2">
        <w:rPr>
          <w:rFonts w:ascii="Book Antiqua" w:hAnsi="Book Antiqua" w:cs="宋体"/>
          <w:color w:val="000000"/>
          <w:sz w:val="24"/>
          <w:szCs w:val="24"/>
        </w:rPr>
        <w:t xml:space="preserve"> DOI: 10.1111/j.1399-0012.2009.01127.x]</w:t>
      </w:r>
    </w:p>
    <w:p w14:paraId="06B85779"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8 </w:t>
      </w:r>
      <w:r w:rsidRPr="004447D2">
        <w:rPr>
          <w:rFonts w:ascii="Book Antiqua" w:hAnsi="Book Antiqua" w:cs="宋体"/>
          <w:b/>
          <w:bCs/>
          <w:color w:val="000000"/>
          <w:sz w:val="24"/>
          <w:szCs w:val="24"/>
        </w:rPr>
        <w:t>Woodle ES</w:t>
      </w:r>
      <w:r w:rsidRPr="004447D2">
        <w:rPr>
          <w:rFonts w:ascii="Book Antiqua" w:hAnsi="Book Antiqua" w:cs="宋体"/>
          <w:color w:val="000000"/>
          <w:sz w:val="24"/>
          <w:szCs w:val="24"/>
        </w:rPr>
        <w:t>, First MR, Pirsch J, Shihab F, Gaber AO, Van Veldhuisen P; Astellas Corticosteroid Withdrawal Study Group. A prospective, randomized, double-blind, placebo-controlled multicenter trial comparing early (7 day) corticosteroid cessation versus long-term, low-dose corticosteroid therapy. </w:t>
      </w:r>
      <w:r w:rsidRPr="004447D2">
        <w:rPr>
          <w:rFonts w:ascii="Book Antiqua" w:hAnsi="Book Antiqua" w:cs="宋体"/>
          <w:i/>
          <w:iCs/>
          <w:color w:val="000000"/>
          <w:sz w:val="24"/>
          <w:szCs w:val="24"/>
        </w:rPr>
        <w:t>Ann Surg</w:t>
      </w:r>
      <w:r w:rsidRPr="004447D2">
        <w:rPr>
          <w:rFonts w:ascii="Book Antiqua" w:hAnsi="Book Antiqua" w:cs="宋体"/>
          <w:color w:val="000000"/>
          <w:sz w:val="24"/>
          <w:szCs w:val="24"/>
        </w:rPr>
        <w:t> 2008; </w:t>
      </w:r>
      <w:r w:rsidRPr="004447D2">
        <w:rPr>
          <w:rFonts w:ascii="Book Antiqua" w:hAnsi="Book Antiqua" w:cs="宋体"/>
          <w:b/>
          <w:bCs/>
          <w:color w:val="000000"/>
          <w:sz w:val="24"/>
          <w:szCs w:val="24"/>
        </w:rPr>
        <w:t>248</w:t>
      </w:r>
      <w:r w:rsidRPr="004447D2">
        <w:rPr>
          <w:rFonts w:ascii="Book Antiqua" w:hAnsi="Book Antiqua" w:cs="宋体"/>
          <w:color w:val="000000"/>
          <w:sz w:val="24"/>
          <w:szCs w:val="24"/>
        </w:rPr>
        <w:t xml:space="preserve">: 564-577 [PMID: </w:t>
      </w:r>
      <w:bookmarkStart w:id="46" w:name="OLE_LINK154"/>
      <w:bookmarkStart w:id="47" w:name="OLE_LINK155"/>
      <w:r w:rsidRPr="004447D2">
        <w:rPr>
          <w:rFonts w:ascii="Book Antiqua" w:hAnsi="Book Antiqua" w:cs="宋体"/>
          <w:color w:val="000000"/>
          <w:sz w:val="24"/>
          <w:szCs w:val="24"/>
        </w:rPr>
        <w:t>18936569</w:t>
      </w:r>
      <w:bookmarkEnd w:id="46"/>
      <w:bookmarkEnd w:id="47"/>
      <w:r w:rsidRPr="004447D2">
        <w:rPr>
          <w:rFonts w:ascii="Book Antiqua" w:hAnsi="Book Antiqua" w:cs="宋体"/>
          <w:color w:val="000000"/>
          <w:sz w:val="24"/>
          <w:szCs w:val="24"/>
        </w:rPr>
        <w:t xml:space="preserve"> DOI: 10.1097/SLA.0b013e318187d1da]</w:t>
      </w:r>
    </w:p>
    <w:p w14:paraId="69006232"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lastRenderedPageBreak/>
        <w:t>9 </w:t>
      </w:r>
      <w:r w:rsidRPr="004447D2">
        <w:rPr>
          <w:rFonts w:ascii="Book Antiqua" w:hAnsi="Book Antiqua" w:cs="宋体"/>
          <w:b/>
          <w:bCs/>
          <w:color w:val="000000"/>
          <w:sz w:val="24"/>
          <w:szCs w:val="24"/>
        </w:rPr>
        <w:t>Knight SR</w:t>
      </w:r>
      <w:r w:rsidRPr="004447D2">
        <w:rPr>
          <w:rFonts w:ascii="Book Antiqua" w:hAnsi="Book Antiqua" w:cs="宋体"/>
          <w:color w:val="000000"/>
          <w:sz w:val="24"/>
          <w:szCs w:val="24"/>
        </w:rPr>
        <w:t>, Morris PJ. Steroid avoidance or withdrawal after renal transplantation increases the risk of acute rejection but decreases cardiovascular risk. A meta-analysis. </w:t>
      </w:r>
      <w:r w:rsidRPr="004447D2">
        <w:rPr>
          <w:rFonts w:ascii="Book Antiqua" w:hAnsi="Book Antiqua" w:cs="宋体"/>
          <w:i/>
          <w:iCs/>
          <w:color w:val="000000"/>
          <w:sz w:val="24"/>
          <w:szCs w:val="24"/>
        </w:rPr>
        <w:t>Transplantation</w:t>
      </w:r>
      <w:r w:rsidRPr="004447D2">
        <w:rPr>
          <w:rFonts w:ascii="Book Antiqua" w:hAnsi="Book Antiqua" w:cs="宋体"/>
          <w:color w:val="000000"/>
          <w:sz w:val="24"/>
          <w:szCs w:val="24"/>
        </w:rPr>
        <w:t> 2010; </w:t>
      </w:r>
      <w:r w:rsidRPr="004447D2">
        <w:rPr>
          <w:rFonts w:ascii="Book Antiqua" w:hAnsi="Book Antiqua" w:cs="宋体"/>
          <w:b/>
          <w:bCs/>
          <w:color w:val="000000"/>
          <w:sz w:val="24"/>
          <w:szCs w:val="24"/>
        </w:rPr>
        <w:t>89</w:t>
      </w:r>
      <w:r w:rsidRPr="004447D2">
        <w:rPr>
          <w:rFonts w:ascii="Book Antiqua" w:hAnsi="Book Antiqua" w:cs="宋体"/>
          <w:color w:val="000000"/>
          <w:sz w:val="24"/>
          <w:szCs w:val="24"/>
        </w:rPr>
        <w:t>: 1-14 [PMID: 20061913 DOI: 10.1097/TP.0b013e3181c518cc]</w:t>
      </w:r>
    </w:p>
    <w:p w14:paraId="4EC3FC91"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10 </w:t>
      </w:r>
      <w:r w:rsidRPr="004447D2">
        <w:rPr>
          <w:rFonts w:ascii="Book Antiqua" w:hAnsi="Book Antiqua" w:cs="宋体"/>
          <w:b/>
          <w:bCs/>
          <w:color w:val="000000"/>
          <w:sz w:val="24"/>
          <w:szCs w:val="24"/>
        </w:rPr>
        <w:t>Vítko S</w:t>
      </w:r>
      <w:r w:rsidRPr="004447D2">
        <w:rPr>
          <w:rFonts w:ascii="Book Antiqua" w:hAnsi="Book Antiqua" w:cs="宋体"/>
          <w:color w:val="000000"/>
          <w:sz w:val="24"/>
          <w:szCs w:val="24"/>
        </w:rPr>
        <w:t>, Klinger M, Salmela K, Wlodarczyk Z, Tydèn G, Senatorski G, Ostrowski M, Fauchald P, Kokot F, Stefoni S, Perner F, Claesson K, Castagneto M, Heemann U, Carmellini M, Squifflet JP, Weber M, Segoloni G, Bäckman L, Sperschneider H, Krämer BK. Two corticosteroid-free regimens-tacrolimus monotherapy after basiliximab administration and tacrolimus/mycophenolate mofetil-in comparison with a standard triple regimen in renal transplantation: results of the Atlas study. </w:t>
      </w:r>
      <w:r w:rsidRPr="004447D2">
        <w:rPr>
          <w:rFonts w:ascii="Book Antiqua" w:hAnsi="Book Antiqua" w:cs="宋体"/>
          <w:i/>
          <w:iCs/>
          <w:color w:val="000000"/>
          <w:sz w:val="24"/>
          <w:szCs w:val="24"/>
        </w:rPr>
        <w:t>Transplantation</w:t>
      </w:r>
      <w:r w:rsidRPr="004447D2">
        <w:rPr>
          <w:rFonts w:ascii="Book Antiqua" w:hAnsi="Book Antiqua" w:cs="宋体"/>
          <w:color w:val="000000"/>
          <w:sz w:val="24"/>
          <w:szCs w:val="24"/>
        </w:rPr>
        <w:t> 2005; </w:t>
      </w:r>
      <w:r w:rsidRPr="004447D2">
        <w:rPr>
          <w:rFonts w:ascii="Book Antiqua" w:hAnsi="Book Antiqua" w:cs="宋体"/>
          <w:b/>
          <w:bCs/>
          <w:color w:val="000000"/>
          <w:sz w:val="24"/>
          <w:szCs w:val="24"/>
        </w:rPr>
        <w:t>80</w:t>
      </w:r>
      <w:r w:rsidRPr="004447D2">
        <w:rPr>
          <w:rFonts w:ascii="Book Antiqua" w:hAnsi="Book Antiqua" w:cs="宋体"/>
          <w:color w:val="000000"/>
          <w:sz w:val="24"/>
          <w:szCs w:val="24"/>
        </w:rPr>
        <w:t>: 1734-1741 [PMID: 16378069 DOI: 10.1097/01.tp.0000188300.26762.74]</w:t>
      </w:r>
    </w:p>
    <w:p w14:paraId="4FBD2FCD"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11 </w:t>
      </w:r>
      <w:r w:rsidRPr="004447D2">
        <w:rPr>
          <w:rFonts w:ascii="Book Antiqua" w:hAnsi="Book Antiqua" w:cs="宋体"/>
          <w:b/>
          <w:bCs/>
          <w:color w:val="000000"/>
          <w:sz w:val="24"/>
          <w:szCs w:val="24"/>
        </w:rPr>
        <w:t>Vincenti F</w:t>
      </w:r>
      <w:r w:rsidRPr="004447D2">
        <w:rPr>
          <w:rFonts w:ascii="Book Antiqua" w:hAnsi="Book Antiqua" w:cs="宋体"/>
          <w:color w:val="000000"/>
          <w:sz w:val="24"/>
          <w:szCs w:val="24"/>
        </w:rPr>
        <w:t>, Schena FP, Paraskevas S, Hauser IA, Walker RG, Grinyo J; FREEDOM Study Group. A randomized, multicenter study of steroid avoidance, early steroid withdrawal or standard steroid therapy in kidney transplant recipients. </w:t>
      </w:r>
      <w:r w:rsidRPr="004447D2">
        <w:rPr>
          <w:rFonts w:ascii="Book Antiqua" w:hAnsi="Book Antiqua" w:cs="宋体"/>
          <w:i/>
          <w:iCs/>
          <w:color w:val="000000"/>
          <w:sz w:val="24"/>
          <w:szCs w:val="24"/>
        </w:rPr>
        <w:t>Am J Transplant</w:t>
      </w:r>
      <w:r w:rsidRPr="004447D2">
        <w:rPr>
          <w:rFonts w:ascii="Book Antiqua" w:hAnsi="Book Antiqua" w:cs="宋体"/>
          <w:color w:val="000000"/>
          <w:sz w:val="24"/>
          <w:szCs w:val="24"/>
        </w:rPr>
        <w:t> 2008; </w:t>
      </w:r>
      <w:r w:rsidRPr="004447D2">
        <w:rPr>
          <w:rFonts w:ascii="Book Antiqua" w:hAnsi="Book Antiqua" w:cs="宋体"/>
          <w:b/>
          <w:bCs/>
          <w:color w:val="000000"/>
          <w:sz w:val="24"/>
          <w:szCs w:val="24"/>
        </w:rPr>
        <w:t>8</w:t>
      </w:r>
      <w:r w:rsidRPr="004447D2">
        <w:rPr>
          <w:rFonts w:ascii="Book Antiqua" w:hAnsi="Book Antiqua" w:cs="宋体"/>
          <w:color w:val="000000"/>
          <w:sz w:val="24"/>
          <w:szCs w:val="24"/>
        </w:rPr>
        <w:t xml:space="preserve">: 307-316 [PMID: </w:t>
      </w:r>
      <w:bookmarkStart w:id="48" w:name="OLE_LINK156"/>
      <w:r w:rsidRPr="004447D2">
        <w:rPr>
          <w:rFonts w:ascii="Book Antiqua" w:hAnsi="Book Antiqua" w:cs="宋体"/>
          <w:color w:val="000000"/>
          <w:sz w:val="24"/>
          <w:szCs w:val="24"/>
        </w:rPr>
        <w:t>18211506</w:t>
      </w:r>
      <w:bookmarkEnd w:id="48"/>
      <w:r w:rsidRPr="004447D2">
        <w:rPr>
          <w:rFonts w:ascii="Book Antiqua" w:hAnsi="Book Antiqua" w:cs="宋体"/>
          <w:color w:val="000000"/>
          <w:sz w:val="24"/>
          <w:szCs w:val="24"/>
        </w:rPr>
        <w:t xml:space="preserve"> DOI: 10.1111/j.1600-6143.2007.02057.x]</w:t>
      </w:r>
    </w:p>
    <w:p w14:paraId="27DF9F3F"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12 </w:t>
      </w:r>
      <w:r w:rsidRPr="004447D2">
        <w:rPr>
          <w:rFonts w:ascii="Book Antiqua" w:hAnsi="Book Antiqua" w:cs="宋体"/>
          <w:b/>
          <w:bCs/>
          <w:color w:val="000000"/>
          <w:sz w:val="24"/>
          <w:szCs w:val="24"/>
        </w:rPr>
        <w:t>Kumar MS</w:t>
      </w:r>
      <w:r w:rsidRPr="004447D2">
        <w:rPr>
          <w:rFonts w:ascii="Book Antiqua" w:hAnsi="Book Antiqua" w:cs="宋体"/>
          <w:color w:val="000000"/>
          <w:sz w:val="24"/>
          <w:szCs w:val="24"/>
        </w:rPr>
        <w:t>, Heifets M, Moritz MJ, Saeed MI, Khan SM, Fyfe B, Sustento-Riodeca N, Daniel JN, Kumar A. Safety and efficacy of steroid withdrawal two days after kidney transplantation: analysis of results at three years. </w:t>
      </w:r>
      <w:r w:rsidRPr="004447D2">
        <w:rPr>
          <w:rFonts w:ascii="Book Antiqua" w:hAnsi="Book Antiqua" w:cs="宋体"/>
          <w:i/>
          <w:iCs/>
          <w:color w:val="000000"/>
          <w:sz w:val="24"/>
          <w:szCs w:val="24"/>
        </w:rPr>
        <w:t>Transplantation</w:t>
      </w:r>
      <w:r w:rsidRPr="004447D2">
        <w:rPr>
          <w:rFonts w:ascii="Book Antiqua" w:hAnsi="Book Antiqua" w:cs="宋体"/>
          <w:color w:val="000000"/>
          <w:sz w:val="24"/>
          <w:szCs w:val="24"/>
        </w:rPr>
        <w:t> 2006; </w:t>
      </w:r>
      <w:r w:rsidRPr="004447D2">
        <w:rPr>
          <w:rFonts w:ascii="Book Antiqua" w:hAnsi="Book Antiqua" w:cs="宋体"/>
          <w:b/>
          <w:bCs/>
          <w:color w:val="000000"/>
          <w:sz w:val="24"/>
          <w:szCs w:val="24"/>
        </w:rPr>
        <w:t>81</w:t>
      </w:r>
      <w:r w:rsidRPr="004447D2">
        <w:rPr>
          <w:rFonts w:ascii="Book Antiqua" w:hAnsi="Book Antiqua" w:cs="宋体"/>
          <w:color w:val="000000"/>
          <w:sz w:val="24"/>
          <w:szCs w:val="24"/>
        </w:rPr>
        <w:t>: 832-839 [PMID: 16570004 DOI: 10.1097/01.tp.0000203558.34739.c6]</w:t>
      </w:r>
    </w:p>
    <w:p w14:paraId="48ECEA36"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13 </w:t>
      </w:r>
      <w:r w:rsidRPr="004447D2">
        <w:rPr>
          <w:rFonts w:ascii="Book Antiqua" w:hAnsi="Book Antiqua" w:cs="宋体"/>
          <w:b/>
          <w:bCs/>
          <w:color w:val="000000"/>
          <w:sz w:val="24"/>
          <w:szCs w:val="24"/>
        </w:rPr>
        <w:t>Laftavi MR</w:t>
      </w:r>
      <w:r w:rsidRPr="004447D2">
        <w:rPr>
          <w:rFonts w:ascii="Book Antiqua" w:hAnsi="Book Antiqua" w:cs="宋体"/>
          <w:color w:val="000000"/>
          <w:sz w:val="24"/>
          <w:szCs w:val="24"/>
        </w:rPr>
        <w:t>, Stephan R, Stefanick B, Kohli R, Dagher F, Applegate M, O'Keefe J, Pierce D, Rubino A, Guzowski H, Leca N, Dayton M, Pankewycz O. Randomized prospective trial of early steroid withdrawal compared with low-dose steroids in renal transplant recipients using serial protocol biopsies to assess efficacy and safety. </w:t>
      </w:r>
      <w:r w:rsidRPr="004447D2">
        <w:rPr>
          <w:rFonts w:ascii="Book Antiqua" w:hAnsi="Book Antiqua" w:cs="宋体"/>
          <w:i/>
          <w:iCs/>
          <w:color w:val="000000"/>
          <w:sz w:val="24"/>
          <w:szCs w:val="24"/>
        </w:rPr>
        <w:t>Surgery</w:t>
      </w:r>
      <w:r w:rsidRPr="004447D2">
        <w:rPr>
          <w:rFonts w:ascii="Book Antiqua" w:hAnsi="Book Antiqua" w:cs="宋体"/>
          <w:color w:val="000000"/>
          <w:sz w:val="24"/>
          <w:szCs w:val="24"/>
        </w:rPr>
        <w:t> 2005; </w:t>
      </w:r>
      <w:r w:rsidRPr="004447D2">
        <w:rPr>
          <w:rFonts w:ascii="Book Antiqua" w:hAnsi="Book Antiqua" w:cs="宋体"/>
          <w:b/>
          <w:bCs/>
          <w:color w:val="000000"/>
          <w:sz w:val="24"/>
          <w:szCs w:val="24"/>
        </w:rPr>
        <w:t>137</w:t>
      </w:r>
      <w:r w:rsidRPr="004447D2">
        <w:rPr>
          <w:rFonts w:ascii="Book Antiqua" w:hAnsi="Book Antiqua" w:cs="宋体"/>
          <w:color w:val="000000"/>
          <w:sz w:val="24"/>
          <w:szCs w:val="24"/>
        </w:rPr>
        <w:t>: 364-371 [PMID: 15746793 DOI: 10.1016/j.surg.2004.10.013]</w:t>
      </w:r>
    </w:p>
    <w:p w14:paraId="43E1E78B"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14 </w:t>
      </w:r>
      <w:r w:rsidRPr="004447D2">
        <w:rPr>
          <w:rFonts w:ascii="Book Antiqua" w:hAnsi="Book Antiqua" w:cs="宋体"/>
          <w:b/>
          <w:bCs/>
          <w:color w:val="000000"/>
          <w:sz w:val="24"/>
          <w:szCs w:val="24"/>
        </w:rPr>
        <w:t>Rizzari MD</w:t>
      </w:r>
      <w:r w:rsidRPr="004447D2">
        <w:rPr>
          <w:rFonts w:ascii="Book Antiqua" w:hAnsi="Book Antiqua" w:cs="宋体"/>
          <w:color w:val="000000"/>
          <w:sz w:val="24"/>
          <w:szCs w:val="24"/>
        </w:rPr>
        <w:t>, Suszynski TM, Gillingham KJ, Dunn TB, Ibrahim HN, Payne WD, Chinnakotla S, Finger EB, Sutherland DE, Kandaswamy R, Najarian JS, Pruett TL, Kukla A, Spong R, Matas AJ. Ten-year outcome after rapid discontinuation of prednisone in adult primary kidney transplantation. </w:t>
      </w:r>
      <w:r w:rsidRPr="004447D2">
        <w:rPr>
          <w:rFonts w:ascii="Book Antiqua" w:hAnsi="Book Antiqua" w:cs="宋体"/>
          <w:i/>
          <w:iCs/>
          <w:color w:val="000000"/>
          <w:sz w:val="24"/>
          <w:szCs w:val="24"/>
        </w:rPr>
        <w:t>Clin J Am Soc Nephrol</w:t>
      </w:r>
      <w:r w:rsidRPr="004447D2">
        <w:rPr>
          <w:rFonts w:ascii="Book Antiqua" w:hAnsi="Book Antiqua" w:cs="宋体"/>
          <w:color w:val="000000"/>
          <w:sz w:val="24"/>
          <w:szCs w:val="24"/>
        </w:rPr>
        <w:t> 2012; </w:t>
      </w:r>
      <w:r w:rsidRPr="004447D2">
        <w:rPr>
          <w:rFonts w:ascii="Book Antiqua" w:hAnsi="Book Antiqua" w:cs="宋体"/>
          <w:b/>
          <w:bCs/>
          <w:color w:val="000000"/>
          <w:sz w:val="24"/>
          <w:szCs w:val="24"/>
        </w:rPr>
        <w:t>7</w:t>
      </w:r>
      <w:r w:rsidRPr="004447D2">
        <w:rPr>
          <w:rFonts w:ascii="Book Antiqua" w:hAnsi="Book Antiqua" w:cs="宋体"/>
          <w:color w:val="000000"/>
          <w:sz w:val="24"/>
          <w:szCs w:val="24"/>
        </w:rPr>
        <w:t>: 494-503 [PMID: 22282482 DOI: 10.2215/CJN.08630811]</w:t>
      </w:r>
    </w:p>
    <w:p w14:paraId="4C7C95BD"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lastRenderedPageBreak/>
        <w:t>15 </w:t>
      </w:r>
      <w:r w:rsidRPr="004447D2">
        <w:rPr>
          <w:rFonts w:ascii="Book Antiqua" w:hAnsi="Book Antiqua" w:cs="宋体"/>
          <w:b/>
          <w:bCs/>
          <w:color w:val="000000"/>
          <w:sz w:val="24"/>
          <w:szCs w:val="24"/>
        </w:rPr>
        <w:t>Sureshkumar KK</w:t>
      </w:r>
      <w:r w:rsidRPr="004447D2">
        <w:rPr>
          <w:rFonts w:ascii="Book Antiqua" w:hAnsi="Book Antiqua" w:cs="宋体"/>
          <w:color w:val="000000"/>
          <w:sz w:val="24"/>
          <w:szCs w:val="24"/>
        </w:rPr>
        <w:t>, Thai NL, Hussain SM, Ko TY, Marcus RJ. Influence of induction modality on the outcome of deceased donor kidney transplant recipients discharged on steroid-free maintenance immunosuppression. </w:t>
      </w:r>
      <w:r w:rsidRPr="004447D2">
        <w:rPr>
          <w:rFonts w:ascii="Book Antiqua" w:hAnsi="Book Antiqua" w:cs="宋体"/>
          <w:i/>
          <w:iCs/>
          <w:color w:val="000000"/>
          <w:sz w:val="24"/>
          <w:szCs w:val="24"/>
        </w:rPr>
        <w:t>Transplantation</w:t>
      </w:r>
      <w:r w:rsidRPr="004447D2">
        <w:rPr>
          <w:rFonts w:ascii="Book Antiqua" w:hAnsi="Book Antiqua" w:cs="宋体"/>
          <w:color w:val="000000"/>
          <w:sz w:val="24"/>
          <w:szCs w:val="24"/>
        </w:rPr>
        <w:t> 2012; </w:t>
      </w:r>
      <w:r w:rsidRPr="004447D2">
        <w:rPr>
          <w:rFonts w:ascii="Book Antiqua" w:hAnsi="Book Antiqua" w:cs="宋体"/>
          <w:b/>
          <w:bCs/>
          <w:color w:val="000000"/>
          <w:sz w:val="24"/>
          <w:szCs w:val="24"/>
        </w:rPr>
        <w:t>93</w:t>
      </w:r>
      <w:r w:rsidRPr="004447D2">
        <w:rPr>
          <w:rFonts w:ascii="Book Antiqua" w:hAnsi="Book Antiqua" w:cs="宋体"/>
          <w:color w:val="000000"/>
          <w:sz w:val="24"/>
          <w:szCs w:val="24"/>
        </w:rPr>
        <w:t>: 799-805 [PMID: 22290269 DOI: 10.1097/TP.0b013e3182472898]</w:t>
      </w:r>
    </w:p>
    <w:p w14:paraId="6289501F"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16 </w:t>
      </w:r>
      <w:r w:rsidRPr="004447D2">
        <w:rPr>
          <w:rFonts w:ascii="Book Antiqua" w:hAnsi="Book Antiqua" w:cs="宋体"/>
          <w:b/>
          <w:color w:val="000000"/>
          <w:sz w:val="24"/>
          <w:szCs w:val="24"/>
        </w:rPr>
        <w:t>3C Study Collaborative Group</w:t>
      </w:r>
      <w:r w:rsidRPr="004447D2">
        <w:rPr>
          <w:rFonts w:ascii="Book Antiqua" w:hAnsi="Book Antiqua" w:cs="宋体"/>
          <w:color w:val="000000"/>
          <w:sz w:val="24"/>
          <w:szCs w:val="24"/>
        </w:rPr>
        <w:t xml:space="preserve">, </w:t>
      </w:r>
      <w:r w:rsidRPr="004447D2">
        <w:rPr>
          <w:rFonts w:ascii="Book Antiqua" w:hAnsi="Book Antiqua" w:cs="宋体"/>
          <w:bCs/>
          <w:color w:val="000000"/>
          <w:sz w:val="24"/>
          <w:szCs w:val="24"/>
        </w:rPr>
        <w:t>Haynes R</w:t>
      </w:r>
      <w:r w:rsidRPr="004447D2">
        <w:rPr>
          <w:rFonts w:ascii="Book Antiqua" w:hAnsi="Book Antiqua" w:cs="宋体"/>
          <w:color w:val="000000"/>
          <w:sz w:val="24"/>
          <w:szCs w:val="24"/>
        </w:rPr>
        <w:t>, Harden P, Judge P, Blackwell L, Emberson J, Landray MJ, Baigent C, Friend PJ. Alemtuzumab-based induction treatment versus basiliximab-based induction treatment in kidney transplantation (the 3C Study): a randomised trial. </w:t>
      </w:r>
      <w:r w:rsidRPr="004447D2">
        <w:rPr>
          <w:rFonts w:ascii="Book Antiqua" w:hAnsi="Book Antiqua" w:cs="宋体"/>
          <w:i/>
          <w:iCs/>
          <w:color w:val="000000"/>
          <w:sz w:val="24"/>
          <w:szCs w:val="24"/>
        </w:rPr>
        <w:t>Lancet</w:t>
      </w:r>
      <w:r w:rsidRPr="004447D2">
        <w:rPr>
          <w:rFonts w:ascii="Book Antiqua" w:hAnsi="Book Antiqua" w:cs="宋体"/>
          <w:color w:val="000000"/>
          <w:sz w:val="24"/>
          <w:szCs w:val="24"/>
        </w:rPr>
        <w:t> 2014; </w:t>
      </w:r>
      <w:r w:rsidRPr="004447D2">
        <w:rPr>
          <w:rFonts w:ascii="Book Antiqua" w:hAnsi="Book Antiqua" w:cs="宋体"/>
          <w:b/>
          <w:bCs/>
          <w:color w:val="000000"/>
          <w:sz w:val="24"/>
          <w:szCs w:val="24"/>
        </w:rPr>
        <w:t>384</w:t>
      </w:r>
      <w:r w:rsidRPr="004447D2">
        <w:rPr>
          <w:rFonts w:ascii="Book Antiqua" w:hAnsi="Book Antiqua" w:cs="宋体"/>
          <w:color w:val="000000"/>
          <w:sz w:val="24"/>
          <w:szCs w:val="24"/>
        </w:rPr>
        <w:t xml:space="preserve">: 1684-1690 [PMID: </w:t>
      </w:r>
      <w:bookmarkStart w:id="49" w:name="OLE_LINK157"/>
      <w:bookmarkStart w:id="50" w:name="OLE_LINK158"/>
      <w:r w:rsidRPr="004447D2">
        <w:rPr>
          <w:rFonts w:ascii="Book Antiqua" w:hAnsi="Book Antiqua" w:cs="宋体"/>
          <w:color w:val="000000"/>
          <w:sz w:val="24"/>
          <w:szCs w:val="24"/>
        </w:rPr>
        <w:t>25078310</w:t>
      </w:r>
      <w:bookmarkEnd w:id="49"/>
      <w:bookmarkEnd w:id="50"/>
      <w:r w:rsidRPr="004447D2">
        <w:rPr>
          <w:rFonts w:ascii="Book Antiqua" w:hAnsi="Book Antiqua" w:cs="宋体"/>
          <w:color w:val="000000"/>
          <w:sz w:val="24"/>
          <w:szCs w:val="24"/>
        </w:rPr>
        <w:t xml:space="preserve"> DOI: 10.1016/S0140-6736(14)61095-3]</w:t>
      </w:r>
    </w:p>
    <w:p w14:paraId="48D394A5"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17 </w:t>
      </w:r>
      <w:r w:rsidRPr="004447D2">
        <w:rPr>
          <w:rFonts w:ascii="Book Antiqua" w:hAnsi="Book Antiqua" w:cs="宋体"/>
          <w:b/>
          <w:bCs/>
          <w:color w:val="000000"/>
          <w:sz w:val="24"/>
          <w:szCs w:val="24"/>
        </w:rPr>
        <w:t>Hanaway MJ</w:t>
      </w:r>
      <w:r w:rsidRPr="004447D2">
        <w:rPr>
          <w:rFonts w:ascii="Book Antiqua" w:hAnsi="Book Antiqua" w:cs="宋体"/>
          <w:color w:val="000000"/>
          <w:sz w:val="24"/>
          <w:szCs w:val="24"/>
        </w:rPr>
        <w:t>, Woodle ES, Mulgaonkar S, Peddi VR, Kaufman DB, First MR, Croy R, Holman J; INTAC Study Group. Alemtuzumab induction in renal transplantation. </w:t>
      </w:r>
      <w:r w:rsidRPr="004447D2">
        <w:rPr>
          <w:rFonts w:ascii="Book Antiqua" w:hAnsi="Book Antiqua" w:cs="宋体"/>
          <w:i/>
          <w:iCs/>
          <w:color w:val="000000"/>
          <w:sz w:val="24"/>
          <w:szCs w:val="24"/>
        </w:rPr>
        <w:t>N Engl J Med</w:t>
      </w:r>
      <w:r w:rsidRPr="004447D2">
        <w:rPr>
          <w:rFonts w:ascii="Book Antiqua" w:hAnsi="Book Antiqua" w:cs="宋体"/>
          <w:color w:val="000000"/>
          <w:sz w:val="24"/>
          <w:szCs w:val="24"/>
        </w:rPr>
        <w:t> 2011; </w:t>
      </w:r>
      <w:r w:rsidRPr="004447D2">
        <w:rPr>
          <w:rFonts w:ascii="Book Antiqua" w:hAnsi="Book Antiqua" w:cs="宋体"/>
          <w:b/>
          <w:bCs/>
          <w:color w:val="000000"/>
          <w:sz w:val="24"/>
          <w:szCs w:val="24"/>
        </w:rPr>
        <w:t>364</w:t>
      </w:r>
      <w:r w:rsidRPr="004447D2">
        <w:rPr>
          <w:rFonts w:ascii="Book Antiqua" w:hAnsi="Book Antiqua" w:cs="宋体"/>
          <w:color w:val="000000"/>
          <w:sz w:val="24"/>
          <w:szCs w:val="24"/>
        </w:rPr>
        <w:t xml:space="preserve">: 1909-1919 [PMID: </w:t>
      </w:r>
      <w:bookmarkStart w:id="51" w:name="OLE_LINK159"/>
      <w:r w:rsidRPr="004447D2">
        <w:rPr>
          <w:rFonts w:ascii="Book Antiqua" w:hAnsi="Book Antiqua" w:cs="宋体"/>
          <w:color w:val="000000"/>
          <w:sz w:val="24"/>
          <w:szCs w:val="24"/>
        </w:rPr>
        <w:t>21591943</w:t>
      </w:r>
      <w:bookmarkEnd w:id="51"/>
      <w:r w:rsidRPr="004447D2">
        <w:rPr>
          <w:rFonts w:ascii="Book Antiqua" w:hAnsi="Book Antiqua" w:cs="宋体"/>
          <w:color w:val="000000"/>
          <w:sz w:val="24"/>
          <w:szCs w:val="24"/>
        </w:rPr>
        <w:t xml:space="preserve"> DOI: 10.1056/NEJMoa1009546]</w:t>
      </w:r>
    </w:p>
    <w:p w14:paraId="77FA608B"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18 </w:t>
      </w:r>
      <w:r w:rsidRPr="004447D2">
        <w:rPr>
          <w:rFonts w:ascii="Book Antiqua" w:hAnsi="Book Antiqua" w:cs="宋体"/>
          <w:b/>
          <w:bCs/>
          <w:color w:val="000000"/>
          <w:sz w:val="24"/>
          <w:szCs w:val="24"/>
        </w:rPr>
        <w:t>Humar A</w:t>
      </w:r>
      <w:r w:rsidRPr="004447D2">
        <w:rPr>
          <w:rFonts w:ascii="Book Antiqua" w:hAnsi="Book Antiqua" w:cs="宋体"/>
          <w:color w:val="000000"/>
          <w:sz w:val="24"/>
          <w:szCs w:val="24"/>
        </w:rPr>
        <w:t>, Gillingham K, Kandaswamy R, Payne W, Matas A. Steroid avoidance regimens: a comparison of outcomes with maintenance steroids versus continued steroid avoidance in recipients having an acute rejection episode. </w:t>
      </w:r>
      <w:r w:rsidRPr="004447D2">
        <w:rPr>
          <w:rFonts w:ascii="Book Antiqua" w:hAnsi="Book Antiqua" w:cs="宋体"/>
          <w:i/>
          <w:iCs/>
          <w:color w:val="000000"/>
          <w:sz w:val="24"/>
          <w:szCs w:val="24"/>
        </w:rPr>
        <w:t>Am J Transplant</w:t>
      </w:r>
      <w:r w:rsidRPr="004447D2">
        <w:rPr>
          <w:rFonts w:ascii="Book Antiqua" w:hAnsi="Book Antiqua" w:cs="宋体"/>
          <w:color w:val="000000"/>
          <w:sz w:val="24"/>
          <w:szCs w:val="24"/>
        </w:rPr>
        <w:t> 2007; </w:t>
      </w:r>
      <w:r w:rsidRPr="004447D2">
        <w:rPr>
          <w:rFonts w:ascii="Book Antiqua" w:hAnsi="Book Antiqua" w:cs="宋体"/>
          <w:b/>
          <w:bCs/>
          <w:color w:val="000000"/>
          <w:sz w:val="24"/>
          <w:szCs w:val="24"/>
        </w:rPr>
        <w:t>7</w:t>
      </w:r>
      <w:r w:rsidRPr="004447D2">
        <w:rPr>
          <w:rFonts w:ascii="Book Antiqua" w:hAnsi="Book Antiqua" w:cs="宋体"/>
          <w:color w:val="000000"/>
          <w:sz w:val="24"/>
          <w:szCs w:val="24"/>
        </w:rPr>
        <w:t>: 1948-1953 [PMID: 17617858 DOI: 10.1111/j.1600-6143.2007.01883.x]</w:t>
      </w:r>
    </w:p>
    <w:p w14:paraId="5B56B632"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19 </w:t>
      </w:r>
      <w:r w:rsidRPr="004447D2">
        <w:rPr>
          <w:rFonts w:ascii="Book Antiqua" w:hAnsi="Book Antiqua" w:cs="宋体"/>
          <w:b/>
          <w:bCs/>
          <w:color w:val="000000"/>
          <w:sz w:val="24"/>
          <w:szCs w:val="24"/>
        </w:rPr>
        <w:t>Hricik DE</w:t>
      </w:r>
      <w:r w:rsidRPr="004447D2">
        <w:rPr>
          <w:rFonts w:ascii="Book Antiqua" w:hAnsi="Book Antiqua" w:cs="宋体"/>
          <w:color w:val="000000"/>
          <w:sz w:val="24"/>
          <w:szCs w:val="24"/>
        </w:rPr>
        <w:t>, O'Toole MA, Schulak JA, Herson J. Steroid-free immunosuppression in cyclosporine-treated renal transplant recipients: a meta-analysis. </w:t>
      </w:r>
      <w:r w:rsidRPr="004447D2">
        <w:rPr>
          <w:rFonts w:ascii="Book Antiqua" w:hAnsi="Book Antiqua" w:cs="宋体"/>
          <w:i/>
          <w:iCs/>
          <w:color w:val="000000"/>
          <w:sz w:val="24"/>
          <w:szCs w:val="24"/>
        </w:rPr>
        <w:t>J Am Soc Nephrol</w:t>
      </w:r>
      <w:r w:rsidRPr="004447D2">
        <w:rPr>
          <w:rFonts w:ascii="Book Antiqua" w:hAnsi="Book Antiqua" w:cs="宋体"/>
          <w:color w:val="000000"/>
          <w:sz w:val="24"/>
          <w:szCs w:val="24"/>
        </w:rPr>
        <w:t> 1993; </w:t>
      </w:r>
      <w:r w:rsidRPr="004447D2">
        <w:rPr>
          <w:rFonts w:ascii="Book Antiqua" w:hAnsi="Book Antiqua" w:cs="宋体"/>
          <w:b/>
          <w:bCs/>
          <w:color w:val="000000"/>
          <w:sz w:val="24"/>
          <w:szCs w:val="24"/>
        </w:rPr>
        <w:t>4</w:t>
      </w:r>
      <w:r w:rsidRPr="004447D2">
        <w:rPr>
          <w:rFonts w:ascii="Book Antiqua" w:hAnsi="Book Antiqua" w:cs="宋体"/>
          <w:color w:val="000000"/>
          <w:sz w:val="24"/>
          <w:szCs w:val="24"/>
        </w:rPr>
        <w:t>: 1300-1305 [PMID: 8130356]</w:t>
      </w:r>
    </w:p>
    <w:p w14:paraId="28988630" w14:textId="77777777" w:rsidR="00FA3A3B" w:rsidRPr="004447D2" w:rsidRDefault="00FA3A3B" w:rsidP="00887EC2">
      <w:pPr>
        <w:spacing w:after="0" w:line="360" w:lineRule="auto"/>
        <w:rPr>
          <w:rFonts w:ascii="Book Antiqua" w:hAnsi="Book Antiqua" w:cs="宋体"/>
          <w:color w:val="000000"/>
          <w:sz w:val="24"/>
          <w:szCs w:val="24"/>
        </w:rPr>
      </w:pPr>
      <w:r w:rsidRPr="004447D2">
        <w:rPr>
          <w:rFonts w:ascii="Book Antiqua" w:hAnsi="Book Antiqua" w:cs="宋体"/>
          <w:color w:val="000000"/>
          <w:sz w:val="24"/>
          <w:szCs w:val="24"/>
        </w:rPr>
        <w:t>20 </w:t>
      </w:r>
      <w:r w:rsidRPr="004447D2">
        <w:rPr>
          <w:rFonts w:ascii="Book Antiqua" w:hAnsi="Book Antiqua" w:cs="宋体"/>
          <w:b/>
          <w:bCs/>
          <w:color w:val="000000"/>
          <w:sz w:val="24"/>
          <w:szCs w:val="24"/>
        </w:rPr>
        <w:t>Vanrenterghem Y</w:t>
      </w:r>
      <w:r w:rsidRPr="004447D2">
        <w:rPr>
          <w:rFonts w:ascii="Book Antiqua" w:hAnsi="Book Antiqua" w:cs="宋体"/>
          <w:color w:val="000000"/>
          <w:sz w:val="24"/>
          <w:szCs w:val="24"/>
        </w:rPr>
        <w:t>, Lebranchu Y, Hené R, Oppenheimer F, Ekberg H. Double-blind comparison of two corticosteroid regimens plus mycophenolate mofetil and cyclosporine for prevention of acute renal allograft rejection. </w:t>
      </w:r>
      <w:r w:rsidRPr="004447D2">
        <w:rPr>
          <w:rFonts w:ascii="Book Antiqua" w:hAnsi="Book Antiqua" w:cs="宋体"/>
          <w:i/>
          <w:iCs/>
          <w:color w:val="000000"/>
          <w:sz w:val="24"/>
          <w:szCs w:val="24"/>
        </w:rPr>
        <w:t>Transplantation</w:t>
      </w:r>
      <w:r w:rsidRPr="004447D2">
        <w:rPr>
          <w:rFonts w:ascii="Book Antiqua" w:hAnsi="Book Antiqua" w:cs="宋体"/>
          <w:color w:val="000000"/>
          <w:sz w:val="24"/>
          <w:szCs w:val="24"/>
        </w:rPr>
        <w:t> 2000; </w:t>
      </w:r>
      <w:r w:rsidRPr="004447D2">
        <w:rPr>
          <w:rFonts w:ascii="Book Antiqua" w:hAnsi="Book Antiqua" w:cs="宋体"/>
          <w:b/>
          <w:bCs/>
          <w:color w:val="000000"/>
          <w:sz w:val="24"/>
          <w:szCs w:val="24"/>
        </w:rPr>
        <w:t>70</w:t>
      </w:r>
      <w:r w:rsidRPr="004447D2">
        <w:rPr>
          <w:rFonts w:ascii="Book Antiqua" w:hAnsi="Book Antiqua" w:cs="宋体"/>
          <w:color w:val="000000"/>
          <w:sz w:val="24"/>
          <w:szCs w:val="24"/>
        </w:rPr>
        <w:t>: 1352-1359 [PMID: 11087152]</w:t>
      </w:r>
    </w:p>
    <w:p w14:paraId="7E60BA19"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21 </w:t>
      </w:r>
      <w:r w:rsidRPr="004447D2">
        <w:rPr>
          <w:rFonts w:ascii="Book Antiqua" w:hAnsi="Book Antiqua" w:cs="宋体"/>
          <w:b/>
          <w:bCs/>
          <w:color w:val="000000"/>
          <w:sz w:val="24"/>
          <w:szCs w:val="24"/>
        </w:rPr>
        <w:t>Vanrenterghem Y</w:t>
      </w:r>
      <w:r w:rsidRPr="004447D2">
        <w:rPr>
          <w:rFonts w:ascii="Book Antiqua" w:hAnsi="Book Antiqua" w:cs="宋体"/>
          <w:color w:val="000000"/>
          <w:sz w:val="24"/>
          <w:szCs w:val="24"/>
        </w:rPr>
        <w:t>, van Hooff JP, Squifflet JP, Salmela K, Rigotti P, Jindal RM, Pascual J, Ekberg H, Sicilia LS, Boletis JN, Grinyo JM, Rodriguez MA. Minimization of immunosuppressive therapy after renal transplantation: results of a randomized controlled trial. </w:t>
      </w:r>
      <w:r w:rsidRPr="004447D2">
        <w:rPr>
          <w:rFonts w:ascii="Book Antiqua" w:hAnsi="Book Antiqua" w:cs="宋体"/>
          <w:i/>
          <w:iCs/>
          <w:color w:val="000000"/>
          <w:sz w:val="24"/>
          <w:szCs w:val="24"/>
        </w:rPr>
        <w:t>Am J Transplant</w:t>
      </w:r>
      <w:r w:rsidRPr="004447D2">
        <w:rPr>
          <w:rFonts w:ascii="Book Antiqua" w:hAnsi="Book Antiqua" w:cs="宋体"/>
          <w:color w:val="000000"/>
          <w:sz w:val="24"/>
          <w:szCs w:val="24"/>
        </w:rPr>
        <w:t> 2005; </w:t>
      </w:r>
      <w:r w:rsidRPr="004447D2">
        <w:rPr>
          <w:rFonts w:ascii="Book Antiqua" w:hAnsi="Book Antiqua" w:cs="宋体"/>
          <w:b/>
          <w:bCs/>
          <w:color w:val="000000"/>
          <w:sz w:val="24"/>
          <w:szCs w:val="24"/>
        </w:rPr>
        <w:t>5</w:t>
      </w:r>
      <w:r w:rsidRPr="004447D2">
        <w:rPr>
          <w:rFonts w:ascii="Book Antiqua" w:hAnsi="Book Antiqua" w:cs="宋体"/>
          <w:color w:val="000000"/>
          <w:sz w:val="24"/>
          <w:szCs w:val="24"/>
        </w:rPr>
        <w:t>: 87-95 [PMID: 15636615 DOI: 10.1111/j.1600-6143.2004.00638.x]</w:t>
      </w:r>
    </w:p>
    <w:p w14:paraId="5FD0490A"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lastRenderedPageBreak/>
        <w:t>22 </w:t>
      </w:r>
      <w:r w:rsidRPr="004447D2">
        <w:rPr>
          <w:rFonts w:ascii="Book Antiqua" w:hAnsi="Book Antiqua" w:cs="宋体"/>
          <w:b/>
          <w:bCs/>
          <w:color w:val="000000"/>
          <w:sz w:val="24"/>
          <w:szCs w:val="24"/>
        </w:rPr>
        <w:t>Pascual J</w:t>
      </w:r>
      <w:r w:rsidRPr="004447D2">
        <w:rPr>
          <w:rFonts w:ascii="Book Antiqua" w:hAnsi="Book Antiqua" w:cs="宋体"/>
          <w:color w:val="000000"/>
          <w:sz w:val="24"/>
          <w:szCs w:val="24"/>
        </w:rPr>
        <w:t>, Galeano C, Royuela A, Zamora J. A systematic review on steroid withdrawal between 3 and 6 months after kidney transplantation. </w:t>
      </w:r>
      <w:r w:rsidRPr="004447D2">
        <w:rPr>
          <w:rFonts w:ascii="Book Antiqua" w:hAnsi="Book Antiqua" w:cs="宋体"/>
          <w:i/>
          <w:iCs/>
          <w:color w:val="000000"/>
          <w:sz w:val="24"/>
          <w:szCs w:val="24"/>
        </w:rPr>
        <w:t>Transplantation</w:t>
      </w:r>
      <w:r w:rsidRPr="004447D2">
        <w:rPr>
          <w:rFonts w:ascii="Book Antiqua" w:hAnsi="Book Antiqua" w:cs="宋体"/>
          <w:color w:val="000000"/>
          <w:sz w:val="24"/>
          <w:szCs w:val="24"/>
        </w:rPr>
        <w:t> 2010; </w:t>
      </w:r>
      <w:r w:rsidRPr="004447D2">
        <w:rPr>
          <w:rFonts w:ascii="Book Antiqua" w:hAnsi="Book Antiqua" w:cs="宋体"/>
          <w:b/>
          <w:bCs/>
          <w:color w:val="000000"/>
          <w:sz w:val="24"/>
          <w:szCs w:val="24"/>
        </w:rPr>
        <w:t>90</w:t>
      </w:r>
      <w:r w:rsidRPr="004447D2">
        <w:rPr>
          <w:rFonts w:ascii="Book Antiqua" w:hAnsi="Book Antiqua" w:cs="宋体"/>
          <w:color w:val="000000"/>
          <w:sz w:val="24"/>
          <w:szCs w:val="24"/>
        </w:rPr>
        <w:t>: 343-349 [PMID: 20574419 DOI: 10.1097/TP.0b013e3181e58912]</w:t>
      </w:r>
    </w:p>
    <w:p w14:paraId="548EFD7E"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23 </w:t>
      </w:r>
      <w:r w:rsidRPr="004447D2">
        <w:rPr>
          <w:rFonts w:ascii="Book Antiqua" w:hAnsi="Book Antiqua" w:cs="宋体"/>
          <w:b/>
          <w:bCs/>
          <w:color w:val="000000"/>
          <w:sz w:val="24"/>
          <w:szCs w:val="24"/>
        </w:rPr>
        <w:t>Kulak CA</w:t>
      </w:r>
      <w:r w:rsidRPr="004447D2">
        <w:rPr>
          <w:rFonts w:ascii="Book Antiqua" w:hAnsi="Book Antiqua" w:cs="宋体"/>
          <w:color w:val="000000"/>
          <w:sz w:val="24"/>
          <w:szCs w:val="24"/>
        </w:rPr>
        <w:t>, Cochenski Borba VZ, Kulak J, Ribeiro Custódio M. Osteoporosis after solid organ transplantation. </w:t>
      </w:r>
      <w:r w:rsidRPr="004447D2">
        <w:rPr>
          <w:rFonts w:ascii="Book Antiqua" w:hAnsi="Book Antiqua" w:cs="宋体"/>
          <w:i/>
          <w:iCs/>
          <w:color w:val="000000"/>
          <w:sz w:val="24"/>
          <w:szCs w:val="24"/>
        </w:rPr>
        <w:t>Minerva Endocrinol</w:t>
      </w:r>
      <w:r w:rsidRPr="004447D2">
        <w:rPr>
          <w:rFonts w:ascii="Book Antiqua" w:hAnsi="Book Antiqua" w:cs="宋体"/>
          <w:color w:val="000000"/>
          <w:sz w:val="24"/>
          <w:szCs w:val="24"/>
        </w:rPr>
        <w:t> 2012; </w:t>
      </w:r>
      <w:r w:rsidRPr="004447D2">
        <w:rPr>
          <w:rFonts w:ascii="Book Antiqua" w:hAnsi="Book Antiqua" w:cs="宋体"/>
          <w:b/>
          <w:bCs/>
          <w:color w:val="000000"/>
          <w:sz w:val="24"/>
          <w:szCs w:val="24"/>
        </w:rPr>
        <w:t>37</w:t>
      </w:r>
      <w:r w:rsidRPr="004447D2">
        <w:rPr>
          <w:rFonts w:ascii="Book Antiqua" w:hAnsi="Book Antiqua" w:cs="宋体"/>
          <w:color w:val="000000"/>
          <w:sz w:val="24"/>
          <w:szCs w:val="24"/>
        </w:rPr>
        <w:t>: 221-231 [PMID: 22766889]</w:t>
      </w:r>
    </w:p>
    <w:p w14:paraId="0C9FA417"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24 </w:t>
      </w:r>
      <w:r w:rsidRPr="004447D2">
        <w:rPr>
          <w:rFonts w:ascii="Book Antiqua" w:hAnsi="Book Antiqua" w:cs="宋体"/>
          <w:b/>
          <w:bCs/>
          <w:color w:val="000000"/>
          <w:sz w:val="24"/>
          <w:szCs w:val="24"/>
        </w:rPr>
        <w:t>Smak Gregoor PJ</w:t>
      </w:r>
      <w:r w:rsidRPr="004447D2">
        <w:rPr>
          <w:rFonts w:ascii="Book Antiqua" w:hAnsi="Book Antiqua" w:cs="宋体"/>
          <w:color w:val="000000"/>
          <w:sz w:val="24"/>
          <w:szCs w:val="24"/>
        </w:rPr>
        <w:t>, de Sévaux RG, Ligtenberg G, Hoitsma AJ, Hené RJ, Weimar W, Hilbrands LB, van Gelder T. Withdrawal of cyclosporine or prednisone six months after kidney transplantation in patients on triple drug therapy: a randomized, prospective, multicenter study. </w:t>
      </w:r>
      <w:r w:rsidRPr="004447D2">
        <w:rPr>
          <w:rFonts w:ascii="Book Antiqua" w:hAnsi="Book Antiqua" w:cs="宋体"/>
          <w:i/>
          <w:iCs/>
          <w:color w:val="000000"/>
          <w:sz w:val="24"/>
          <w:szCs w:val="24"/>
        </w:rPr>
        <w:t>J Am Soc Nephrol</w:t>
      </w:r>
      <w:r w:rsidRPr="004447D2">
        <w:rPr>
          <w:rFonts w:ascii="Book Antiqua" w:hAnsi="Book Antiqua" w:cs="宋体"/>
          <w:color w:val="000000"/>
          <w:sz w:val="24"/>
          <w:szCs w:val="24"/>
        </w:rPr>
        <w:t> 2002; </w:t>
      </w:r>
      <w:r w:rsidRPr="004447D2">
        <w:rPr>
          <w:rFonts w:ascii="Book Antiqua" w:hAnsi="Book Antiqua" w:cs="宋体"/>
          <w:b/>
          <w:bCs/>
          <w:color w:val="000000"/>
          <w:sz w:val="24"/>
          <w:szCs w:val="24"/>
        </w:rPr>
        <w:t>13</w:t>
      </w:r>
      <w:r w:rsidRPr="004447D2">
        <w:rPr>
          <w:rFonts w:ascii="Book Antiqua" w:hAnsi="Book Antiqua" w:cs="宋体"/>
          <w:color w:val="000000"/>
          <w:sz w:val="24"/>
          <w:szCs w:val="24"/>
        </w:rPr>
        <w:t>: 1365-1373 [PMID: 11961025 DOI: 10.1097/01.ASN.0000013298.11876.BF]</w:t>
      </w:r>
    </w:p>
    <w:p w14:paraId="6366CD9C"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25 </w:t>
      </w:r>
      <w:r w:rsidRPr="004447D2">
        <w:rPr>
          <w:rFonts w:ascii="Book Antiqua" w:hAnsi="Book Antiqua" w:cs="宋体"/>
          <w:b/>
          <w:bCs/>
          <w:color w:val="000000"/>
          <w:sz w:val="24"/>
          <w:szCs w:val="24"/>
        </w:rPr>
        <w:t>Opelz G</w:t>
      </w:r>
      <w:r w:rsidRPr="004447D2">
        <w:rPr>
          <w:rFonts w:ascii="Book Antiqua" w:hAnsi="Book Antiqua" w:cs="宋体"/>
          <w:color w:val="000000"/>
          <w:sz w:val="24"/>
          <w:szCs w:val="24"/>
        </w:rPr>
        <w:t xml:space="preserve">, Döhler B, Laux G; </w:t>
      </w:r>
      <w:hyperlink r:id="rId8" w:history="1">
        <w:r w:rsidRPr="004447D2">
          <w:rPr>
            <w:rFonts w:ascii="Book Antiqua" w:hAnsi="Book Antiqua" w:cs="宋体"/>
            <w:color w:val="000000"/>
            <w:sz w:val="24"/>
            <w:szCs w:val="24"/>
          </w:rPr>
          <w:t>Collaborative Transplant Study</w:t>
        </w:r>
      </w:hyperlink>
      <w:r w:rsidRPr="004447D2">
        <w:rPr>
          <w:rFonts w:ascii="Book Antiqua" w:hAnsi="Book Antiqua" w:cs="宋体"/>
          <w:color w:val="000000"/>
          <w:sz w:val="24"/>
          <w:szCs w:val="24"/>
        </w:rPr>
        <w:t>. Long-term prospective study of steroid withdrawal in kidney and heart transplant recipients. </w:t>
      </w:r>
      <w:r w:rsidRPr="004447D2">
        <w:rPr>
          <w:rFonts w:ascii="Book Antiqua" w:hAnsi="Book Antiqua" w:cs="宋体"/>
          <w:i/>
          <w:iCs/>
          <w:color w:val="000000"/>
          <w:sz w:val="24"/>
          <w:szCs w:val="24"/>
        </w:rPr>
        <w:t>Am J Transplant</w:t>
      </w:r>
      <w:r w:rsidRPr="004447D2">
        <w:rPr>
          <w:rFonts w:ascii="Book Antiqua" w:hAnsi="Book Antiqua" w:cs="宋体"/>
          <w:color w:val="000000"/>
          <w:sz w:val="24"/>
          <w:szCs w:val="24"/>
        </w:rPr>
        <w:t> 2005; </w:t>
      </w:r>
      <w:r w:rsidRPr="004447D2">
        <w:rPr>
          <w:rFonts w:ascii="Book Antiqua" w:hAnsi="Book Antiqua" w:cs="宋体"/>
          <w:b/>
          <w:bCs/>
          <w:color w:val="000000"/>
          <w:sz w:val="24"/>
          <w:szCs w:val="24"/>
        </w:rPr>
        <w:t>5</w:t>
      </w:r>
      <w:r w:rsidRPr="004447D2">
        <w:rPr>
          <w:rFonts w:ascii="Book Antiqua" w:hAnsi="Book Antiqua" w:cs="宋体"/>
          <w:color w:val="000000"/>
          <w:sz w:val="24"/>
          <w:szCs w:val="24"/>
        </w:rPr>
        <w:t xml:space="preserve">: 720-728 [PMID: </w:t>
      </w:r>
      <w:bookmarkStart w:id="52" w:name="OLE_LINK160"/>
      <w:bookmarkStart w:id="53" w:name="OLE_LINK161"/>
      <w:r w:rsidRPr="004447D2">
        <w:rPr>
          <w:rFonts w:ascii="Book Antiqua" w:hAnsi="Book Antiqua" w:cs="宋体"/>
          <w:color w:val="000000"/>
          <w:sz w:val="24"/>
          <w:szCs w:val="24"/>
        </w:rPr>
        <w:t>15760395</w:t>
      </w:r>
      <w:bookmarkEnd w:id="52"/>
      <w:bookmarkEnd w:id="53"/>
      <w:r w:rsidRPr="004447D2">
        <w:rPr>
          <w:rFonts w:ascii="Book Antiqua" w:hAnsi="Book Antiqua" w:cs="宋体"/>
          <w:color w:val="000000"/>
          <w:sz w:val="24"/>
          <w:szCs w:val="24"/>
        </w:rPr>
        <w:t xml:space="preserve"> DOI: 10.1111/j.1600-6143.2004.00765.x]</w:t>
      </w:r>
    </w:p>
    <w:p w14:paraId="79EACFE8"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26 </w:t>
      </w:r>
      <w:r w:rsidRPr="004447D2">
        <w:rPr>
          <w:rFonts w:ascii="Book Antiqua" w:hAnsi="Book Antiqua" w:cs="宋体"/>
          <w:b/>
          <w:bCs/>
          <w:color w:val="000000"/>
          <w:sz w:val="24"/>
          <w:szCs w:val="24"/>
        </w:rPr>
        <w:t>Thomas PG</w:t>
      </w:r>
      <w:r w:rsidRPr="004447D2">
        <w:rPr>
          <w:rFonts w:ascii="Book Antiqua" w:hAnsi="Book Antiqua" w:cs="宋体"/>
          <w:color w:val="000000"/>
          <w:sz w:val="24"/>
          <w:szCs w:val="24"/>
        </w:rPr>
        <w:t>, Woodside KJ, Lappin JA, Vaidya S, Rajaraman S, Gugliuzza KK. Alemtuzumab (Campath 1H) induction with tacrolimus monotherapy is safe for high immunological risk renal transplantation. </w:t>
      </w:r>
      <w:r w:rsidRPr="004447D2">
        <w:rPr>
          <w:rFonts w:ascii="Book Antiqua" w:hAnsi="Book Antiqua" w:cs="宋体"/>
          <w:i/>
          <w:iCs/>
          <w:color w:val="000000"/>
          <w:sz w:val="24"/>
          <w:szCs w:val="24"/>
        </w:rPr>
        <w:t>Transplantation</w:t>
      </w:r>
      <w:r w:rsidRPr="004447D2">
        <w:rPr>
          <w:rFonts w:ascii="Book Antiqua" w:hAnsi="Book Antiqua" w:cs="宋体"/>
          <w:color w:val="000000"/>
          <w:sz w:val="24"/>
          <w:szCs w:val="24"/>
        </w:rPr>
        <w:t> 2007; </w:t>
      </w:r>
      <w:r w:rsidRPr="004447D2">
        <w:rPr>
          <w:rFonts w:ascii="Book Antiqua" w:hAnsi="Book Antiqua" w:cs="宋体"/>
          <w:b/>
          <w:bCs/>
          <w:color w:val="000000"/>
          <w:sz w:val="24"/>
          <w:szCs w:val="24"/>
        </w:rPr>
        <w:t>83</w:t>
      </w:r>
      <w:r w:rsidRPr="004447D2">
        <w:rPr>
          <w:rFonts w:ascii="Book Antiqua" w:hAnsi="Book Antiqua" w:cs="宋体"/>
          <w:color w:val="000000"/>
          <w:sz w:val="24"/>
          <w:szCs w:val="24"/>
        </w:rPr>
        <w:t>: 1509-1512 [PMID: 17565326 DOI: 10.1097/01.tp.0000263344.53000.a1]</w:t>
      </w:r>
    </w:p>
    <w:p w14:paraId="4036E93F"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27 </w:t>
      </w:r>
      <w:r w:rsidRPr="004447D2">
        <w:rPr>
          <w:rFonts w:ascii="Book Antiqua" w:hAnsi="Book Antiqua" w:cs="宋体"/>
          <w:b/>
          <w:bCs/>
          <w:color w:val="000000"/>
          <w:sz w:val="24"/>
          <w:szCs w:val="24"/>
        </w:rPr>
        <w:t>Kukla A</w:t>
      </w:r>
      <w:r w:rsidRPr="004447D2">
        <w:rPr>
          <w:rFonts w:ascii="Book Antiqua" w:hAnsi="Book Antiqua" w:cs="宋体"/>
          <w:color w:val="000000"/>
          <w:sz w:val="24"/>
          <w:szCs w:val="24"/>
        </w:rPr>
        <w:t>, Chen E, Spong R, Weber M, El-Shahawi Y, Gillingham K, Matas AJ, Ibrahim HN. Recurrent glomerulonephritis under rapid discontinuation of steroids. </w:t>
      </w:r>
      <w:r w:rsidRPr="004447D2">
        <w:rPr>
          <w:rFonts w:ascii="Book Antiqua" w:hAnsi="Book Antiqua" w:cs="宋体"/>
          <w:i/>
          <w:iCs/>
          <w:color w:val="000000"/>
          <w:sz w:val="24"/>
          <w:szCs w:val="24"/>
        </w:rPr>
        <w:t>Transplantation</w:t>
      </w:r>
      <w:r w:rsidRPr="004447D2">
        <w:rPr>
          <w:rFonts w:ascii="Book Antiqua" w:hAnsi="Book Antiqua" w:cs="宋体"/>
          <w:color w:val="000000"/>
          <w:sz w:val="24"/>
          <w:szCs w:val="24"/>
        </w:rPr>
        <w:t> 2011; </w:t>
      </w:r>
      <w:r w:rsidRPr="004447D2">
        <w:rPr>
          <w:rFonts w:ascii="Book Antiqua" w:hAnsi="Book Antiqua" w:cs="宋体"/>
          <w:b/>
          <w:bCs/>
          <w:color w:val="000000"/>
          <w:sz w:val="24"/>
          <w:szCs w:val="24"/>
        </w:rPr>
        <w:t>91</w:t>
      </w:r>
      <w:r w:rsidRPr="004447D2">
        <w:rPr>
          <w:rFonts w:ascii="Book Antiqua" w:hAnsi="Book Antiqua" w:cs="宋体"/>
          <w:color w:val="000000"/>
          <w:sz w:val="24"/>
          <w:szCs w:val="24"/>
        </w:rPr>
        <w:t>: 1386-1391 [PMID: 21508898 DOI: 10.1097/TP.0b013e31821bf157]</w:t>
      </w:r>
    </w:p>
    <w:p w14:paraId="159EFA5E"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28 </w:t>
      </w:r>
      <w:r w:rsidRPr="004447D2">
        <w:rPr>
          <w:rFonts w:ascii="Book Antiqua" w:hAnsi="Book Antiqua" w:cs="宋体"/>
          <w:b/>
          <w:bCs/>
          <w:color w:val="000000"/>
          <w:sz w:val="24"/>
          <w:szCs w:val="24"/>
        </w:rPr>
        <w:t>Grenda R</w:t>
      </w:r>
      <w:r w:rsidRPr="004447D2">
        <w:rPr>
          <w:rFonts w:ascii="Book Antiqua" w:hAnsi="Book Antiqua" w:cs="宋体"/>
          <w:color w:val="000000"/>
          <w:sz w:val="24"/>
          <w:szCs w:val="24"/>
        </w:rPr>
        <w:t>, Watson A, Trompeter R, Tönshoff B, Jaray J, Fitzpatrick M, Murer L, Vondrak K, Maxwell H, van Damme-Lombaerts R, Loirat C, Mor E, Cochat P, Milford DV, Brown M, Webb NJ. A randomized trial to assess the impact of early steroid withdrawal on growth in pediatric renal transplantation: the TWIST study. </w:t>
      </w:r>
      <w:r w:rsidRPr="004447D2">
        <w:rPr>
          <w:rFonts w:ascii="Book Antiqua" w:hAnsi="Book Antiqua" w:cs="宋体"/>
          <w:i/>
          <w:iCs/>
          <w:color w:val="000000"/>
          <w:sz w:val="24"/>
          <w:szCs w:val="24"/>
        </w:rPr>
        <w:t>Am J Transplant</w:t>
      </w:r>
      <w:r w:rsidRPr="004447D2">
        <w:rPr>
          <w:rFonts w:ascii="Book Antiqua" w:hAnsi="Book Antiqua" w:cs="宋体"/>
          <w:color w:val="000000"/>
          <w:sz w:val="24"/>
          <w:szCs w:val="24"/>
        </w:rPr>
        <w:t> 2010; </w:t>
      </w:r>
      <w:r w:rsidRPr="004447D2">
        <w:rPr>
          <w:rFonts w:ascii="Book Antiqua" w:hAnsi="Book Antiqua" w:cs="宋体"/>
          <w:b/>
          <w:bCs/>
          <w:color w:val="000000"/>
          <w:sz w:val="24"/>
          <w:szCs w:val="24"/>
        </w:rPr>
        <w:t>10</w:t>
      </w:r>
      <w:r w:rsidRPr="004447D2">
        <w:rPr>
          <w:rFonts w:ascii="Book Antiqua" w:hAnsi="Book Antiqua" w:cs="宋体"/>
          <w:color w:val="000000"/>
          <w:sz w:val="24"/>
          <w:szCs w:val="24"/>
        </w:rPr>
        <w:t>: 828-836 [PMID: 20420639 DOI: 10.1111/j.1600-6143.2010.03047.x]</w:t>
      </w:r>
    </w:p>
    <w:p w14:paraId="0EF7B1E2"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lastRenderedPageBreak/>
        <w:t>29 </w:t>
      </w:r>
      <w:r w:rsidRPr="004447D2">
        <w:rPr>
          <w:rFonts w:ascii="Book Antiqua" w:hAnsi="Book Antiqua" w:cs="宋体"/>
          <w:b/>
          <w:bCs/>
          <w:color w:val="000000"/>
          <w:sz w:val="24"/>
          <w:szCs w:val="24"/>
        </w:rPr>
        <w:t>Höcker B</w:t>
      </w:r>
      <w:r w:rsidRPr="004447D2">
        <w:rPr>
          <w:rFonts w:ascii="Book Antiqua" w:hAnsi="Book Antiqua" w:cs="宋体"/>
          <w:color w:val="000000"/>
          <w:sz w:val="24"/>
          <w:szCs w:val="24"/>
        </w:rPr>
        <w:t>, Weber LT, Feneberg R, Drube J, John U, Fehrenbach H, Pohl M, Zimmering M, Fründ S, Klaus G, Wühl E, Tönshoff B. Improved growth and cardiovascular risk after late steroid withdrawal: 2-year results of a prospective, randomised trial in paediatric renal transplantation. </w:t>
      </w:r>
      <w:r w:rsidRPr="004447D2">
        <w:rPr>
          <w:rFonts w:ascii="Book Antiqua" w:hAnsi="Book Antiqua" w:cs="宋体"/>
          <w:i/>
          <w:iCs/>
          <w:color w:val="000000"/>
          <w:sz w:val="24"/>
          <w:szCs w:val="24"/>
        </w:rPr>
        <w:t>Nephrol Dial Transplant</w:t>
      </w:r>
      <w:r w:rsidRPr="004447D2">
        <w:rPr>
          <w:rFonts w:ascii="Book Antiqua" w:hAnsi="Book Antiqua" w:cs="宋体"/>
          <w:color w:val="000000"/>
          <w:sz w:val="24"/>
          <w:szCs w:val="24"/>
        </w:rPr>
        <w:t> 2010; </w:t>
      </w:r>
      <w:r w:rsidRPr="004447D2">
        <w:rPr>
          <w:rFonts w:ascii="Book Antiqua" w:hAnsi="Book Antiqua" w:cs="宋体"/>
          <w:b/>
          <w:bCs/>
          <w:color w:val="000000"/>
          <w:sz w:val="24"/>
          <w:szCs w:val="24"/>
        </w:rPr>
        <w:t>25</w:t>
      </w:r>
      <w:r w:rsidRPr="004447D2">
        <w:rPr>
          <w:rFonts w:ascii="Book Antiqua" w:hAnsi="Book Antiqua" w:cs="宋体"/>
          <w:color w:val="000000"/>
          <w:sz w:val="24"/>
          <w:szCs w:val="24"/>
        </w:rPr>
        <w:t>: 617-624 [PMID: 19793929 DOI: 10.1093/ndt/gfp506]</w:t>
      </w:r>
    </w:p>
    <w:p w14:paraId="4F6FD463"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30 </w:t>
      </w:r>
      <w:r w:rsidRPr="004447D2">
        <w:rPr>
          <w:rFonts w:ascii="Book Antiqua" w:hAnsi="Book Antiqua" w:cs="宋体"/>
          <w:b/>
          <w:bCs/>
          <w:color w:val="000000"/>
          <w:sz w:val="24"/>
          <w:szCs w:val="24"/>
        </w:rPr>
        <w:t>Meier-Kriesche HU</w:t>
      </w:r>
      <w:r w:rsidRPr="004447D2">
        <w:rPr>
          <w:rFonts w:ascii="Book Antiqua" w:hAnsi="Book Antiqua" w:cs="宋体"/>
          <w:color w:val="000000"/>
          <w:sz w:val="24"/>
          <w:szCs w:val="24"/>
        </w:rPr>
        <w:t>, Srinivas TR, Kaplan B. Interaction between acute rejection and recipient age on long-term renal allograft survival. </w:t>
      </w:r>
      <w:r w:rsidRPr="004447D2">
        <w:rPr>
          <w:rFonts w:ascii="Book Antiqua" w:hAnsi="Book Antiqua" w:cs="宋体"/>
          <w:i/>
          <w:iCs/>
          <w:color w:val="000000"/>
          <w:sz w:val="24"/>
          <w:szCs w:val="24"/>
        </w:rPr>
        <w:t>Transplant Proc</w:t>
      </w:r>
      <w:r w:rsidRPr="004447D2">
        <w:rPr>
          <w:rFonts w:ascii="Book Antiqua" w:hAnsi="Book Antiqua" w:cs="宋体"/>
          <w:color w:val="000000"/>
          <w:sz w:val="24"/>
          <w:szCs w:val="24"/>
        </w:rPr>
        <w:t> 2001; </w:t>
      </w:r>
      <w:r w:rsidRPr="004447D2">
        <w:rPr>
          <w:rFonts w:ascii="Book Antiqua" w:hAnsi="Book Antiqua" w:cs="宋体"/>
          <w:b/>
          <w:bCs/>
          <w:color w:val="000000"/>
          <w:sz w:val="24"/>
          <w:szCs w:val="24"/>
        </w:rPr>
        <w:t>33</w:t>
      </w:r>
      <w:r w:rsidRPr="004447D2">
        <w:rPr>
          <w:rFonts w:ascii="Book Antiqua" w:hAnsi="Book Antiqua" w:cs="宋体"/>
          <w:color w:val="000000"/>
          <w:sz w:val="24"/>
          <w:szCs w:val="24"/>
        </w:rPr>
        <w:t>: 3425-3426 [PMID: 11750467 DOI: 10.1016/S0041-1345(01)02477-0]</w:t>
      </w:r>
    </w:p>
    <w:p w14:paraId="1033B707" w14:textId="77777777" w:rsidR="00FA3A3B" w:rsidRPr="004447D2" w:rsidRDefault="00FA3A3B" w:rsidP="00887EC2">
      <w:pPr>
        <w:spacing w:after="0" w:line="360" w:lineRule="auto"/>
        <w:jc w:val="both"/>
        <w:rPr>
          <w:rFonts w:ascii="Book Antiqua" w:hAnsi="Book Antiqua" w:cs="宋体"/>
          <w:color w:val="000000"/>
          <w:sz w:val="24"/>
          <w:szCs w:val="24"/>
        </w:rPr>
      </w:pPr>
      <w:r w:rsidRPr="004447D2">
        <w:rPr>
          <w:rFonts w:ascii="Book Antiqua" w:hAnsi="Book Antiqua" w:cs="宋体"/>
          <w:color w:val="000000"/>
          <w:sz w:val="24"/>
          <w:szCs w:val="24"/>
        </w:rPr>
        <w:t>31 </w:t>
      </w:r>
      <w:r w:rsidRPr="004447D2">
        <w:rPr>
          <w:rFonts w:ascii="Book Antiqua" w:hAnsi="Book Antiqua" w:cs="宋体"/>
          <w:b/>
          <w:bCs/>
          <w:color w:val="000000"/>
          <w:sz w:val="24"/>
          <w:szCs w:val="24"/>
        </w:rPr>
        <w:t>Yarlagadda SG</w:t>
      </w:r>
      <w:r w:rsidRPr="004447D2">
        <w:rPr>
          <w:rFonts w:ascii="Book Antiqua" w:hAnsi="Book Antiqua" w:cs="宋体"/>
          <w:color w:val="000000"/>
          <w:sz w:val="24"/>
          <w:szCs w:val="24"/>
        </w:rPr>
        <w:t>, Coca SG, Formica RN, Poggio ED, Parikh CR. Association between delayed graft function and allograft and patient survival: a systematic review and meta-analysis. </w:t>
      </w:r>
      <w:r w:rsidRPr="004447D2">
        <w:rPr>
          <w:rFonts w:ascii="Book Antiqua" w:hAnsi="Book Antiqua" w:cs="宋体"/>
          <w:i/>
          <w:iCs/>
          <w:color w:val="000000"/>
          <w:sz w:val="24"/>
          <w:szCs w:val="24"/>
        </w:rPr>
        <w:t>Nephrol Dial Transplant</w:t>
      </w:r>
      <w:r w:rsidRPr="004447D2">
        <w:rPr>
          <w:rFonts w:ascii="Book Antiqua" w:hAnsi="Book Antiqua" w:cs="宋体"/>
          <w:color w:val="000000"/>
          <w:sz w:val="24"/>
          <w:szCs w:val="24"/>
        </w:rPr>
        <w:t> 2009; </w:t>
      </w:r>
      <w:r w:rsidRPr="004447D2">
        <w:rPr>
          <w:rFonts w:ascii="Book Antiqua" w:hAnsi="Book Antiqua" w:cs="宋体"/>
          <w:b/>
          <w:bCs/>
          <w:color w:val="000000"/>
          <w:sz w:val="24"/>
          <w:szCs w:val="24"/>
        </w:rPr>
        <w:t>24</w:t>
      </w:r>
      <w:r w:rsidRPr="004447D2">
        <w:rPr>
          <w:rFonts w:ascii="Book Antiqua" w:hAnsi="Book Antiqua" w:cs="宋体"/>
          <w:color w:val="000000"/>
          <w:sz w:val="24"/>
          <w:szCs w:val="24"/>
        </w:rPr>
        <w:t>: 1039-1047 [PMID: 19103734 DOI: 10.1093/ndt/gfn667]</w:t>
      </w:r>
    </w:p>
    <w:p w14:paraId="2B0151F3" w14:textId="77777777" w:rsidR="00FA3A3B" w:rsidRPr="004447D2" w:rsidRDefault="00FA3A3B" w:rsidP="00887EC2">
      <w:pPr>
        <w:spacing w:after="0" w:line="360" w:lineRule="auto"/>
        <w:jc w:val="both"/>
        <w:rPr>
          <w:rFonts w:ascii="Book Antiqua" w:hAnsi="Book Antiqua"/>
          <w:sz w:val="24"/>
          <w:szCs w:val="24"/>
        </w:rPr>
      </w:pPr>
    </w:p>
    <w:p w14:paraId="6FEFB5D3" w14:textId="36825D0A" w:rsidR="00823BE6" w:rsidRPr="004447D2" w:rsidRDefault="00823BE6" w:rsidP="004447D2">
      <w:pPr>
        <w:spacing w:after="0" w:line="360" w:lineRule="auto"/>
        <w:ind w:left="482" w:hangingChars="200" w:hanging="482"/>
        <w:jc w:val="right"/>
        <w:rPr>
          <w:rFonts w:ascii="Book Antiqua" w:hAnsi="Book Antiqua"/>
          <w:color w:val="000000"/>
          <w:sz w:val="24"/>
          <w:szCs w:val="24"/>
        </w:rPr>
      </w:pPr>
      <w:bookmarkStart w:id="54" w:name="OLE_LINK22"/>
      <w:bookmarkStart w:id="55" w:name="OLE_LINK23"/>
      <w:bookmarkStart w:id="56" w:name="OLE_LINK170"/>
      <w:bookmarkEnd w:id="40"/>
      <w:bookmarkEnd w:id="41"/>
      <w:r w:rsidRPr="004447D2">
        <w:rPr>
          <w:rFonts w:ascii="Book Antiqua" w:hAnsi="Book Antiqua"/>
          <w:b/>
          <w:sz w:val="24"/>
          <w:szCs w:val="24"/>
        </w:rPr>
        <w:t>P- Reviewer:</w:t>
      </w:r>
      <w:r w:rsidRPr="004447D2">
        <w:rPr>
          <w:rFonts w:ascii="Book Antiqua" w:hAnsi="Book Antiqua"/>
          <w:color w:val="000000"/>
          <w:sz w:val="24"/>
          <w:szCs w:val="24"/>
        </w:rPr>
        <w:t xml:space="preserve"> </w:t>
      </w:r>
      <w:r w:rsidRPr="004447D2">
        <w:rPr>
          <w:rFonts w:ascii="Book Antiqua" w:hAnsi="Book Antiqua" w:cs="宋体"/>
          <w:color w:val="000000"/>
          <w:sz w:val="24"/>
          <w:szCs w:val="24"/>
        </w:rPr>
        <w:t xml:space="preserve">Bhimma R, Watanabe T </w:t>
      </w:r>
      <w:r w:rsidRPr="004447D2">
        <w:rPr>
          <w:rFonts w:ascii="Book Antiqua" w:hAnsi="Book Antiqua"/>
          <w:color w:val="000000"/>
          <w:sz w:val="24"/>
          <w:szCs w:val="24"/>
        </w:rPr>
        <w:t xml:space="preserve">   </w:t>
      </w:r>
      <w:r w:rsidRPr="004447D2">
        <w:rPr>
          <w:rFonts w:ascii="Book Antiqua" w:hAnsi="Book Antiqua"/>
          <w:b/>
          <w:sz w:val="24"/>
          <w:szCs w:val="24"/>
        </w:rPr>
        <w:t>S- Editor:</w:t>
      </w:r>
      <w:r w:rsidRPr="004447D2">
        <w:rPr>
          <w:rFonts w:ascii="Book Antiqua" w:hAnsi="Book Antiqua"/>
          <w:sz w:val="24"/>
          <w:szCs w:val="24"/>
        </w:rPr>
        <w:t xml:space="preserve"> Gong XM</w:t>
      </w:r>
    </w:p>
    <w:p w14:paraId="5A1F4EC5" w14:textId="77777777" w:rsidR="00823BE6" w:rsidRPr="004447D2" w:rsidRDefault="00823BE6" w:rsidP="004447D2">
      <w:pPr>
        <w:spacing w:after="0" w:line="360" w:lineRule="auto"/>
        <w:ind w:left="482" w:hangingChars="200" w:hanging="482"/>
        <w:jc w:val="right"/>
        <w:rPr>
          <w:rFonts w:ascii="Book Antiqua" w:hAnsi="Book Antiqua"/>
          <w:b/>
          <w:sz w:val="24"/>
          <w:szCs w:val="24"/>
        </w:rPr>
      </w:pPr>
      <w:r w:rsidRPr="004447D2">
        <w:rPr>
          <w:rFonts w:ascii="Book Antiqua" w:hAnsi="Book Antiqua"/>
          <w:b/>
          <w:sz w:val="24"/>
          <w:szCs w:val="24"/>
        </w:rPr>
        <w:t xml:space="preserve"> L- Editor:</w:t>
      </w:r>
      <w:r w:rsidRPr="004447D2">
        <w:rPr>
          <w:rFonts w:ascii="Book Antiqua" w:hAnsi="Book Antiqua"/>
          <w:sz w:val="24"/>
          <w:szCs w:val="24"/>
        </w:rPr>
        <w:t xml:space="preserve"> </w:t>
      </w:r>
      <w:r w:rsidRPr="004447D2">
        <w:rPr>
          <w:rFonts w:ascii="Book Antiqua" w:hAnsi="Book Antiqua"/>
          <w:b/>
          <w:sz w:val="24"/>
          <w:szCs w:val="24"/>
        </w:rPr>
        <w:t>E- Editor:</w:t>
      </w:r>
    </w:p>
    <w:bookmarkEnd w:id="54"/>
    <w:bookmarkEnd w:id="55"/>
    <w:bookmarkEnd w:id="56"/>
    <w:p w14:paraId="129D5FFB" w14:textId="46C1D54A" w:rsidR="007C2260" w:rsidRPr="004447D2" w:rsidRDefault="007C2260" w:rsidP="00887EC2">
      <w:pPr>
        <w:pStyle w:val="a8"/>
        <w:spacing w:line="360" w:lineRule="auto"/>
        <w:jc w:val="both"/>
        <w:rPr>
          <w:rFonts w:ascii="Book Antiqua" w:hAnsi="Book Antiqua"/>
          <w:sz w:val="24"/>
          <w:szCs w:val="24"/>
          <w:lang w:val="en-US"/>
        </w:rPr>
      </w:pPr>
    </w:p>
    <w:p w14:paraId="333EDE21" w14:textId="593E15C3" w:rsidR="003F0A7B" w:rsidRPr="004447D2" w:rsidRDefault="003F0A7B" w:rsidP="00887EC2">
      <w:pPr>
        <w:spacing w:after="0" w:line="360" w:lineRule="auto"/>
        <w:jc w:val="both"/>
        <w:rPr>
          <w:rFonts w:ascii="Book Antiqua" w:hAnsi="Book Antiqua"/>
          <w:sz w:val="24"/>
          <w:szCs w:val="24"/>
          <w:lang w:val="en-US"/>
        </w:rPr>
      </w:pPr>
    </w:p>
    <w:p w14:paraId="3DD5AD9C" w14:textId="44F845C8" w:rsidR="003F0A7B" w:rsidRPr="004447D2" w:rsidRDefault="003F0A7B" w:rsidP="00887EC2">
      <w:pPr>
        <w:spacing w:after="0" w:line="360" w:lineRule="auto"/>
        <w:jc w:val="both"/>
        <w:rPr>
          <w:rFonts w:ascii="Book Antiqua" w:hAnsi="Book Antiqua"/>
          <w:sz w:val="24"/>
          <w:szCs w:val="24"/>
          <w:lang w:val="en-US"/>
        </w:rPr>
      </w:pPr>
    </w:p>
    <w:p w14:paraId="0399D6B0" w14:textId="0960AD0C" w:rsidR="003F0A7B" w:rsidRPr="004447D2" w:rsidRDefault="003F0A7B" w:rsidP="00887EC2">
      <w:pPr>
        <w:spacing w:after="0" w:line="360" w:lineRule="auto"/>
        <w:jc w:val="both"/>
        <w:rPr>
          <w:rFonts w:ascii="Book Antiqua" w:hAnsi="Book Antiqua"/>
          <w:sz w:val="24"/>
          <w:szCs w:val="24"/>
          <w:lang w:val="en-US"/>
        </w:rPr>
      </w:pPr>
    </w:p>
    <w:p w14:paraId="5CDB4EA5" w14:textId="407CA150" w:rsidR="003F0A7B" w:rsidRPr="004447D2" w:rsidRDefault="003F0A7B" w:rsidP="00887EC2">
      <w:pPr>
        <w:spacing w:after="0" w:line="360" w:lineRule="auto"/>
        <w:jc w:val="both"/>
        <w:rPr>
          <w:rFonts w:ascii="Book Antiqua" w:hAnsi="Book Antiqua"/>
          <w:sz w:val="24"/>
          <w:szCs w:val="24"/>
          <w:lang w:val="en-US"/>
        </w:rPr>
      </w:pPr>
    </w:p>
    <w:p w14:paraId="08455A93" w14:textId="5C100F86" w:rsidR="003F0A7B" w:rsidRPr="004447D2" w:rsidRDefault="003F0A7B" w:rsidP="00887EC2">
      <w:pPr>
        <w:spacing w:after="0" w:line="360" w:lineRule="auto"/>
        <w:jc w:val="both"/>
        <w:rPr>
          <w:rFonts w:ascii="Book Antiqua" w:hAnsi="Book Antiqua"/>
          <w:sz w:val="24"/>
          <w:szCs w:val="24"/>
          <w:lang w:val="en-US"/>
        </w:rPr>
      </w:pPr>
    </w:p>
    <w:p w14:paraId="6F30633D" w14:textId="27D5A1D6" w:rsidR="00A012E0" w:rsidRPr="004447D2" w:rsidRDefault="00A012E0" w:rsidP="00887EC2">
      <w:pPr>
        <w:spacing w:after="0" w:line="360" w:lineRule="auto"/>
        <w:jc w:val="both"/>
        <w:rPr>
          <w:rFonts w:ascii="Book Antiqua" w:hAnsi="Book Antiqua"/>
          <w:sz w:val="24"/>
          <w:szCs w:val="24"/>
          <w:lang w:val="en-US"/>
        </w:rPr>
      </w:pPr>
    </w:p>
    <w:p w14:paraId="49AE4DC2" w14:textId="066635E4" w:rsidR="00A012E0" w:rsidRPr="004447D2" w:rsidRDefault="00A012E0" w:rsidP="00887EC2">
      <w:pPr>
        <w:spacing w:after="0" w:line="360" w:lineRule="auto"/>
        <w:jc w:val="both"/>
        <w:rPr>
          <w:rFonts w:ascii="Book Antiqua" w:hAnsi="Book Antiqua"/>
          <w:sz w:val="24"/>
          <w:szCs w:val="24"/>
          <w:lang w:val="en-US"/>
        </w:rPr>
      </w:pPr>
    </w:p>
    <w:p w14:paraId="1A2E2FF1" w14:textId="446D50CF" w:rsidR="00A012E0" w:rsidRPr="004447D2" w:rsidRDefault="00A012E0" w:rsidP="00887EC2">
      <w:pPr>
        <w:spacing w:after="0" w:line="360" w:lineRule="auto"/>
        <w:jc w:val="both"/>
        <w:rPr>
          <w:rFonts w:ascii="Book Antiqua" w:hAnsi="Book Antiqua"/>
          <w:sz w:val="24"/>
          <w:szCs w:val="24"/>
          <w:lang w:val="en-US"/>
        </w:rPr>
      </w:pPr>
    </w:p>
    <w:p w14:paraId="3E567F5B" w14:textId="122A5F5F" w:rsidR="00971CD9" w:rsidRPr="004447D2" w:rsidRDefault="00971CD9" w:rsidP="00887EC2">
      <w:pPr>
        <w:spacing w:after="0" w:line="360" w:lineRule="auto"/>
        <w:rPr>
          <w:rFonts w:ascii="Book Antiqua" w:hAnsi="Book Antiqua"/>
          <w:sz w:val="24"/>
          <w:szCs w:val="24"/>
          <w:lang w:val="en-US" w:eastAsia="zh-CN"/>
        </w:rPr>
      </w:pPr>
      <w:r w:rsidRPr="004447D2">
        <w:rPr>
          <w:rFonts w:ascii="Book Antiqua" w:hAnsi="Book Antiqua"/>
          <w:sz w:val="24"/>
          <w:szCs w:val="24"/>
          <w:lang w:val="en-US"/>
        </w:rPr>
        <w:br w:type="page"/>
      </w:r>
    </w:p>
    <w:p w14:paraId="13A01AF1" w14:textId="7A75B49E" w:rsidR="00A012E0" w:rsidRPr="004447D2" w:rsidRDefault="00971CD9" w:rsidP="00887EC2">
      <w:pPr>
        <w:spacing w:after="0" w:line="360" w:lineRule="auto"/>
        <w:jc w:val="both"/>
        <w:rPr>
          <w:rFonts w:ascii="Book Antiqua" w:hAnsi="Book Antiqua"/>
          <w:b/>
          <w:sz w:val="24"/>
          <w:szCs w:val="24"/>
          <w:lang w:val="en-US" w:eastAsia="zh-CN"/>
        </w:rPr>
      </w:pPr>
      <w:r w:rsidRPr="004447D2">
        <w:rPr>
          <w:rFonts w:ascii="Book Antiqua" w:hAnsi="Book Antiqua"/>
          <w:b/>
          <w:sz w:val="24"/>
          <w:szCs w:val="24"/>
          <w:lang w:val="en-US"/>
        </w:rPr>
        <w:lastRenderedPageBreak/>
        <w:t xml:space="preserve">Table 1 Characteristics of the multi-center, randomized </w:t>
      </w:r>
      <w:proofErr w:type="spellStart"/>
      <w:r w:rsidRPr="004447D2">
        <w:rPr>
          <w:rFonts w:ascii="Book Antiqua" w:hAnsi="Book Antiqua"/>
          <w:b/>
          <w:sz w:val="24"/>
          <w:szCs w:val="24"/>
          <w:lang w:val="en-US"/>
        </w:rPr>
        <w:t>Astellas</w:t>
      </w:r>
      <w:proofErr w:type="spellEnd"/>
      <w:r w:rsidRPr="004447D2">
        <w:rPr>
          <w:rFonts w:ascii="Book Antiqua" w:hAnsi="Book Antiqua"/>
          <w:b/>
          <w:sz w:val="24"/>
          <w:szCs w:val="24"/>
          <w:lang w:val="en-US"/>
        </w:rPr>
        <w:t xml:space="preserve"> Corticosteroid Withdrawal Study with a follow-up time of 5 </w:t>
      </w:r>
      <w:proofErr w:type="gramStart"/>
      <w:r w:rsidRPr="004447D2">
        <w:rPr>
          <w:rFonts w:ascii="Book Antiqua" w:hAnsi="Book Antiqua"/>
          <w:b/>
          <w:sz w:val="24"/>
          <w:szCs w:val="24"/>
          <w:lang w:val="en-US"/>
        </w:rPr>
        <w:t>years</w:t>
      </w:r>
      <w:r w:rsidRPr="004447D2">
        <w:rPr>
          <w:rFonts w:ascii="Book Antiqua" w:hAnsi="Book Antiqua"/>
          <w:b/>
          <w:sz w:val="24"/>
          <w:szCs w:val="24"/>
          <w:vertAlign w:val="superscript"/>
          <w:lang w:val="en-US"/>
        </w:rPr>
        <w:t>[</w:t>
      </w:r>
      <w:proofErr w:type="gramEnd"/>
      <w:r w:rsidRPr="004447D2">
        <w:rPr>
          <w:rFonts w:ascii="Book Antiqua" w:hAnsi="Book Antiqua"/>
          <w:b/>
          <w:sz w:val="24"/>
          <w:szCs w:val="24"/>
          <w:vertAlign w:val="superscript"/>
          <w:lang w:val="en-US"/>
        </w:rPr>
        <w:t>8]</w:t>
      </w:r>
    </w:p>
    <w:tbl>
      <w:tblPr>
        <w:tblW w:w="1006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403"/>
        <w:gridCol w:w="2551"/>
        <w:gridCol w:w="2552"/>
        <w:gridCol w:w="1559"/>
      </w:tblGrid>
      <w:tr w:rsidR="001F6ADB" w:rsidRPr="004447D2" w14:paraId="22899227" w14:textId="77777777" w:rsidTr="00801477">
        <w:trPr>
          <w:trHeight w:val="552"/>
        </w:trPr>
        <w:tc>
          <w:tcPr>
            <w:tcW w:w="3403" w:type="dxa"/>
            <w:tcBorders>
              <w:top w:val="single" w:sz="4" w:space="0" w:color="auto"/>
              <w:bottom w:val="single" w:sz="4" w:space="0" w:color="auto"/>
            </w:tcBorders>
            <w:vAlign w:val="center"/>
          </w:tcPr>
          <w:p w14:paraId="515A64A2" w14:textId="77777777" w:rsidR="001F6ADB" w:rsidRPr="004447D2" w:rsidRDefault="001F6ADB" w:rsidP="00887EC2">
            <w:pPr>
              <w:autoSpaceDE w:val="0"/>
              <w:autoSpaceDN w:val="0"/>
              <w:adjustRightInd w:val="0"/>
              <w:spacing w:after="0" w:line="360" w:lineRule="auto"/>
              <w:jc w:val="both"/>
              <w:rPr>
                <w:rFonts w:ascii="Book Antiqua" w:hAnsi="Book Antiqua"/>
                <w:b/>
                <w:color w:val="000000"/>
                <w:sz w:val="24"/>
                <w:szCs w:val="24"/>
                <w:lang w:val="en-US" w:eastAsia="el-GR"/>
              </w:rPr>
            </w:pPr>
          </w:p>
        </w:tc>
        <w:tc>
          <w:tcPr>
            <w:tcW w:w="2551" w:type="dxa"/>
            <w:tcBorders>
              <w:top w:val="single" w:sz="4" w:space="0" w:color="auto"/>
              <w:bottom w:val="single" w:sz="4" w:space="0" w:color="auto"/>
            </w:tcBorders>
            <w:vAlign w:val="center"/>
          </w:tcPr>
          <w:p w14:paraId="13D38E18" w14:textId="77777777" w:rsidR="004E3706" w:rsidRPr="004447D2" w:rsidRDefault="001F6ADB" w:rsidP="00887EC2">
            <w:pPr>
              <w:autoSpaceDE w:val="0"/>
              <w:autoSpaceDN w:val="0"/>
              <w:adjustRightInd w:val="0"/>
              <w:spacing w:after="0" w:line="360" w:lineRule="auto"/>
              <w:jc w:val="both"/>
              <w:rPr>
                <w:rFonts w:ascii="Book Antiqua" w:hAnsi="Book Antiqua"/>
                <w:b/>
                <w:color w:val="000000"/>
                <w:sz w:val="24"/>
                <w:szCs w:val="24"/>
                <w:lang w:val="en-US" w:eastAsia="el-GR"/>
              </w:rPr>
            </w:pPr>
            <w:r w:rsidRPr="004447D2">
              <w:rPr>
                <w:rFonts w:ascii="Book Antiqua" w:hAnsi="Book Antiqua"/>
                <w:b/>
                <w:color w:val="000000"/>
                <w:sz w:val="24"/>
                <w:szCs w:val="24"/>
                <w:lang w:val="en-US" w:eastAsia="el-GR"/>
              </w:rPr>
              <w:t xml:space="preserve">CS withdrawal </w:t>
            </w:r>
            <w:r w:rsidR="00100A4B" w:rsidRPr="004447D2">
              <w:rPr>
                <w:rFonts w:ascii="Book Antiqua" w:hAnsi="Book Antiqua"/>
                <w:b/>
                <w:color w:val="000000"/>
                <w:sz w:val="24"/>
                <w:szCs w:val="24"/>
                <w:lang w:val="en-US" w:eastAsia="el-GR"/>
              </w:rPr>
              <w:t xml:space="preserve">at day 7 </w:t>
            </w:r>
            <w:r w:rsidRPr="004447D2">
              <w:rPr>
                <w:rFonts w:ascii="Book Antiqua" w:hAnsi="Book Antiqua"/>
                <w:b/>
                <w:color w:val="000000"/>
                <w:sz w:val="24"/>
                <w:szCs w:val="24"/>
                <w:lang w:val="en-US" w:eastAsia="el-GR"/>
              </w:rPr>
              <w:t>arm</w:t>
            </w:r>
            <w:r w:rsidR="00100A4B" w:rsidRPr="004447D2">
              <w:rPr>
                <w:rFonts w:ascii="Book Antiqua" w:hAnsi="Book Antiqua"/>
                <w:b/>
                <w:color w:val="000000"/>
                <w:sz w:val="24"/>
                <w:szCs w:val="24"/>
                <w:lang w:val="en-US" w:eastAsia="el-GR"/>
              </w:rPr>
              <w:t xml:space="preserve"> </w:t>
            </w:r>
          </w:p>
          <w:p w14:paraId="35FEF022" w14:textId="41FA2C8A" w:rsidR="001F6ADB" w:rsidRPr="004447D2" w:rsidRDefault="001F6ADB" w:rsidP="00887EC2">
            <w:pPr>
              <w:autoSpaceDE w:val="0"/>
              <w:autoSpaceDN w:val="0"/>
              <w:adjustRightInd w:val="0"/>
              <w:spacing w:after="0" w:line="360" w:lineRule="auto"/>
              <w:jc w:val="both"/>
              <w:rPr>
                <w:rFonts w:ascii="Book Antiqua" w:hAnsi="Book Antiqua"/>
                <w:b/>
                <w:color w:val="000000"/>
                <w:sz w:val="24"/>
                <w:szCs w:val="24"/>
                <w:lang w:val="en-US" w:eastAsia="el-GR"/>
              </w:rPr>
            </w:pPr>
            <w:r w:rsidRPr="004447D2">
              <w:rPr>
                <w:rFonts w:ascii="Book Antiqua" w:hAnsi="Book Antiqua"/>
                <w:b/>
                <w:color w:val="000000"/>
                <w:sz w:val="24"/>
                <w:szCs w:val="24"/>
                <w:lang w:val="en-US" w:eastAsia="el-GR"/>
              </w:rPr>
              <w:t>(</w:t>
            </w:r>
            <w:r w:rsidRPr="004447D2">
              <w:rPr>
                <w:rFonts w:ascii="Book Antiqua" w:hAnsi="Book Antiqua"/>
                <w:b/>
                <w:i/>
                <w:color w:val="000000"/>
                <w:sz w:val="24"/>
                <w:szCs w:val="24"/>
                <w:lang w:val="en-US" w:eastAsia="el-GR"/>
              </w:rPr>
              <w:t>n</w:t>
            </w:r>
            <w:r w:rsidR="00971CD9" w:rsidRPr="004447D2">
              <w:rPr>
                <w:rFonts w:ascii="Book Antiqua" w:hAnsi="Book Antiqua"/>
                <w:b/>
                <w:color w:val="000000"/>
                <w:sz w:val="24"/>
                <w:szCs w:val="24"/>
                <w:lang w:val="en-US" w:eastAsia="zh-CN"/>
              </w:rPr>
              <w:t xml:space="preserve"> </w:t>
            </w:r>
            <w:r w:rsidRPr="004447D2">
              <w:rPr>
                <w:rFonts w:ascii="Book Antiqua" w:hAnsi="Book Antiqua"/>
                <w:b/>
                <w:color w:val="000000"/>
                <w:sz w:val="24"/>
                <w:szCs w:val="24"/>
                <w:lang w:val="en-US" w:eastAsia="el-GR"/>
              </w:rPr>
              <w:t>=</w:t>
            </w:r>
            <w:r w:rsidR="00971CD9" w:rsidRPr="004447D2">
              <w:rPr>
                <w:rFonts w:ascii="Book Antiqua" w:hAnsi="Book Antiqua"/>
                <w:b/>
                <w:color w:val="000000"/>
                <w:sz w:val="24"/>
                <w:szCs w:val="24"/>
                <w:lang w:val="en-US" w:eastAsia="zh-CN"/>
              </w:rPr>
              <w:t xml:space="preserve"> </w:t>
            </w:r>
            <w:r w:rsidRPr="004447D2">
              <w:rPr>
                <w:rFonts w:ascii="Book Antiqua" w:hAnsi="Book Antiqua"/>
                <w:b/>
                <w:color w:val="000000"/>
                <w:sz w:val="24"/>
                <w:szCs w:val="24"/>
                <w:lang w:val="en-US" w:eastAsia="el-GR"/>
              </w:rPr>
              <w:t>191)</w:t>
            </w:r>
          </w:p>
        </w:tc>
        <w:tc>
          <w:tcPr>
            <w:tcW w:w="2552" w:type="dxa"/>
            <w:tcBorders>
              <w:top w:val="single" w:sz="4" w:space="0" w:color="auto"/>
              <w:bottom w:val="single" w:sz="4" w:space="0" w:color="auto"/>
            </w:tcBorders>
            <w:vAlign w:val="center"/>
          </w:tcPr>
          <w:p w14:paraId="104F11C9" w14:textId="77777777" w:rsidR="001F6ADB" w:rsidRPr="004447D2" w:rsidRDefault="001F6ADB" w:rsidP="00887EC2">
            <w:pPr>
              <w:autoSpaceDE w:val="0"/>
              <w:autoSpaceDN w:val="0"/>
              <w:adjustRightInd w:val="0"/>
              <w:spacing w:after="0" w:line="360" w:lineRule="auto"/>
              <w:jc w:val="both"/>
              <w:rPr>
                <w:rFonts w:ascii="Book Antiqua" w:hAnsi="Book Antiqua"/>
                <w:b/>
                <w:color w:val="000000"/>
                <w:sz w:val="24"/>
                <w:szCs w:val="24"/>
                <w:lang w:val="en-US" w:eastAsia="el-GR"/>
              </w:rPr>
            </w:pPr>
            <w:r w:rsidRPr="004447D2">
              <w:rPr>
                <w:rFonts w:ascii="Book Antiqua" w:hAnsi="Book Antiqua"/>
                <w:b/>
                <w:color w:val="000000"/>
                <w:sz w:val="24"/>
                <w:szCs w:val="24"/>
                <w:lang w:val="en-US" w:eastAsia="el-GR"/>
              </w:rPr>
              <w:t xml:space="preserve">Standard CS arm </w:t>
            </w:r>
          </w:p>
          <w:p w14:paraId="4469FFCC" w14:textId="43F99D23" w:rsidR="001F6ADB" w:rsidRPr="004447D2" w:rsidRDefault="001F6ADB" w:rsidP="00887EC2">
            <w:pPr>
              <w:autoSpaceDE w:val="0"/>
              <w:autoSpaceDN w:val="0"/>
              <w:adjustRightInd w:val="0"/>
              <w:spacing w:after="0" w:line="360" w:lineRule="auto"/>
              <w:jc w:val="both"/>
              <w:rPr>
                <w:rFonts w:ascii="Book Antiqua" w:hAnsi="Book Antiqua"/>
                <w:b/>
                <w:color w:val="000000"/>
                <w:sz w:val="24"/>
                <w:szCs w:val="24"/>
                <w:lang w:val="en-US" w:eastAsia="el-GR"/>
              </w:rPr>
            </w:pPr>
            <w:r w:rsidRPr="004447D2">
              <w:rPr>
                <w:rFonts w:ascii="Book Antiqua" w:hAnsi="Book Antiqua"/>
                <w:b/>
                <w:color w:val="000000"/>
                <w:sz w:val="24"/>
                <w:szCs w:val="24"/>
                <w:lang w:val="en-US" w:eastAsia="el-GR"/>
              </w:rPr>
              <w:t>(</w:t>
            </w:r>
            <w:r w:rsidRPr="004447D2">
              <w:rPr>
                <w:rFonts w:ascii="Book Antiqua" w:hAnsi="Book Antiqua"/>
                <w:b/>
                <w:i/>
                <w:color w:val="000000"/>
                <w:sz w:val="24"/>
                <w:szCs w:val="24"/>
                <w:lang w:val="en-US" w:eastAsia="el-GR"/>
              </w:rPr>
              <w:t>n</w:t>
            </w:r>
            <w:r w:rsidR="00971CD9" w:rsidRPr="004447D2">
              <w:rPr>
                <w:rFonts w:ascii="Book Antiqua" w:hAnsi="Book Antiqua"/>
                <w:b/>
                <w:color w:val="000000"/>
                <w:sz w:val="24"/>
                <w:szCs w:val="24"/>
                <w:lang w:val="en-US" w:eastAsia="zh-CN"/>
              </w:rPr>
              <w:t xml:space="preserve"> </w:t>
            </w:r>
            <w:r w:rsidRPr="004447D2">
              <w:rPr>
                <w:rFonts w:ascii="Book Antiqua" w:hAnsi="Book Antiqua"/>
                <w:b/>
                <w:color w:val="000000"/>
                <w:sz w:val="24"/>
                <w:szCs w:val="24"/>
                <w:lang w:val="en-US" w:eastAsia="el-GR"/>
              </w:rPr>
              <w:t>=</w:t>
            </w:r>
            <w:r w:rsidR="00971CD9" w:rsidRPr="004447D2">
              <w:rPr>
                <w:rFonts w:ascii="Book Antiqua" w:hAnsi="Book Antiqua"/>
                <w:b/>
                <w:color w:val="000000"/>
                <w:sz w:val="24"/>
                <w:szCs w:val="24"/>
                <w:lang w:val="en-US" w:eastAsia="zh-CN"/>
              </w:rPr>
              <w:t xml:space="preserve"> </w:t>
            </w:r>
            <w:r w:rsidRPr="004447D2">
              <w:rPr>
                <w:rFonts w:ascii="Book Antiqua" w:hAnsi="Book Antiqua"/>
                <w:b/>
                <w:color w:val="000000"/>
                <w:sz w:val="24"/>
                <w:szCs w:val="24"/>
                <w:lang w:val="en-US" w:eastAsia="el-GR"/>
              </w:rPr>
              <w:t>195)</w:t>
            </w:r>
          </w:p>
        </w:tc>
        <w:tc>
          <w:tcPr>
            <w:tcW w:w="1559" w:type="dxa"/>
            <w:tcBorders>
              <w:top w:val="single" w:sz="4" w:space="0" w:color="auto"/>
              <w:bottom w:val="single" w:sz="4" w:space="0" w:color="auto"/>
            </w:tcBorders>
            <w:vAlign w:val="center"/>
          </w:tcPr>
          <w:p w14:paraId="3186FC4B" w14:textId="6CFEA12D" w:rsidR="001F6ADB" w:rsidRPr="004447D2" w:rsidRDefault="00971CD9" w:rsidP="00887EC2">
            <w:pPr>
              <w:autoSpaceDE w:val="0"/>
              <w:autoSpaceDN w:val="0"/>
              <w:adjustRightInd w:val="0"/>
              <w:spacing w:after="0" w:line="360" w:lineRule="auto"/>
              <w:jc w:val="both"/>
              <w:rPr>
                <w:rFonts w:ascii="Book Antiqua" w:hAnsi="Book Antiqua"/>
                <w:b/>
                <w:color w:val="000000"/>
                <w:sz w:val="24"/>
                <w:szCs w:val="24"/>
                <w:lang w:val="en-US" w:eastAsia="el-GR"/>
              </w:rPr>
            </w:pPr>
            <w:r w:rsidRPr="004447D2">
              <w:rPr>
                <w:rFonts w:ascii="Book Antiqua" w:hAnsi="Book Antiqua"/>
                <w:b/>
                <w:i/>
                <w:color w:val="000000"/>
                <w:sz w:val="24"/>
                <w:szCs w:val="24"/>
                <w:lang w:val="en-US" w:eastAsia="el-GR"/>
              </w:rPr>
              <w:t>P</w:t>
            </w:r>
            <w:r w:rsidR="001F6ADB" w:rsidRPr="004447D2">
              <w:rPr>
                <w:rFonts w:ascii="Book Antiqua" w:hAnsi="Book Antiqua"/>
                <w:b/>
                <w:color w:val="000000"/>
                <w:sz w:val="24"/>
                <w:szCs w:val="24"/>
                <w:lang w:val="en-US" w:eastAsia="el-GR"/>
              </w:rPr>
              <w:t>-value</w:t>
            </w:r>
          </w:p>
        </w:tc>
      </w:tr>
      <w:tr w:rsidR="00827AB7" w:rsidRPr="004447D2" w14:paraId="528D5BDB" w14:textId="77777777" w:rsidTr="00801477">
        <w:trPr>
          <w:trHeight w:val="552"/>
        </w:trPr>
        <w:tc>
          <w:tcPr>
            <w:tcW w:w="10065" w:type="dxa"/>
            <w:gridSpan w:val="4"/>
            <w:tcBorders>
              <w:top w:val="single" w:sz="4" w:space="0" w:color="auto"/>
            </w:tcBorders>
            <w:vAlign w:val="center"/>
          </w:tcPr>
          <w:p w14:paraId="12B8B1E5" w14:textId="77777777" w:rsidR="00827AB7" w:rsidRPr="004447D2" w:rsidRDefault="00827AB7"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 xml:space="preserve">Baseline </w:t>
            </w:r>
            <w:r w:rsidR="00100A4B" w:rsidRPr="004447D2">
              <w:rPr>
                <w:rFonts w:ascii="Book Antiqua" w:hAnsi="Book Antiqua"/>
                <w:color w:val="000000"/>
                <w:sz w:val="24"/>
                <w:szCs w:val="24"/>
                <w:lang w:val="en-US" w:eastAsia="el-GR"/>
              </w:rPr>
              <w:t xml:space="preserve">demographic, </w:t>
            </w:r>
            <w:r w:rsidRPr="004447D2">
              <w:rPr>
                <w:rFonts w:ascii="Book Antiqua" w:hAnsi="Book Antiqua"/>
                <w:color w:val="000000"/>
                <w:sz w:val="24"/>
                <w:szCs w:val="24"/>
                <w:lang w:val="en-US" w:eastAsia="el-GR"/>
              </w:rPr>
              <w:t>immunologic</w:t>
            </w:r>
            <w:r w:rsidR="00100A4B" w:rsidRPr="004447D2">
              <w:rPr>
                <w:rFonts w:ascii="Book Antiqua" w:hAnsi="Book Antiqua"/>
                <w:color w:val="000000"/>
                <w:sz w:val="24"/>
                <w:szCs w:val="24"/>
                <w:lang w:val="en-US" w:eastAsia="el-GR"/>
              </w:rPr>
              <w:t>al</w:t>
            </w:r>
            <w:r w:rsidRPr="004447D2">
              <w:rPr>
                <w:rFonts w:ascii="Book Antiqua" w:hAnsi="Book Antiqua"/>
                <w:color w:val="000000"/>
                <w:sz w:val="24"/>
                <w:szCs w:val="24"/>
                <w:lang w:val="en-US" w:eastAsia="el-GR"/>
              </w:rPr>
              <w:t xml:space="preserve"> risk </w:t>
            </w:r>
            <w:r w:rsidR="00100A4B" w:rsidRPr="004447D2">
              <w:rPr>
                <w:rFonts w:ascii="Book Antiqua" w:hAnsi="Book Antiqua"/>
                <w:color w:val="000000"/>
                <w:sz w:val="24"/>
                <w:szCs w:val="24"/>
                <w:lang w:val="en-US" w:eastAsia="el-GR"/>
              </w:rPr>
              <w:t xml:space="preserve">and immunosuppressive therapy </w:t>
            </w:r>
            <w:r w:rsidRPr="004447D2">
              <w:rPr>
                <w:rFonts w:ascii="Book Antiqua" w:hAnsi="Book Antiqua"/>
                <w:color w:val="000000"/>
                <w:sz w:val="24"/>
                <w:szCs w:val="24"/>
                <w:lang w:val="en-US" w:eastAsia="el-GR"/>
              </w:rPr>
              <w:t>data</w:t>
            </w:r>
          </w:p>
        </w:tc>
      </w:tr>
      <w:tr w:rsidR="001F6ADB" w:rsidRPr="004447D2" w14:paraId="75B7AFA9" w14:textId="77777777" w:rsidTr="00801477">
        <w:trPr>
          <w:trHeight w:val="552"/>
        </w:trPr>
        <w:tc>
          <w:tcPr>
            <w:tcW w:w="3403" w:type="dxa"/>
            <w:vAlign w:val="center"/>
          </w:tcPr>
          <w:p w14:paraId="1409CD35" w14:textId="61E47B7C" w:rsidR="001F6ADB" w:rsidRPr="004447D2" w:rsidRDefault="001F6ADB"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Age (mean</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w:t>
            </w:r>
            <w:r w:rsidR="00971CD9" w:rsidRPr="004447D2">
              <w:rPr>
                <w:rFonts w:ascii="Book Antiqua" w:hAnsi="Book Antiqua"/>
                <w:color w:val="000000"/>
                <w:sz w:val="24"/>
                <w:szCs w:val="24"/>
                <w:lang w:val="en-US" w:eastAsia="zh-CN"/>
              </w:rPr>
              <w:t xml:space="preserve"> </w:t>
            </w:r>
            <w:r w:rsidR="00971CD9" w:rsidRPr="004447D2">
              <w:rPr>
                <w:rFonts w:ascii="Book Antiqua" w:hAnsi="Book Antiqua"/>
                <w:color w:val="000000"/>
                <w:sz w:val="24"/>
                <w:szCs w:val="24"/>
                <w:lang w:val="en-US" w:eastAsia="el-GR"/>
              </w:rPr>
              <w:t xml:space="preserve">SD, </w:t>
            </w:r>
            <w:proofErr w:type="spellStart"/>
            <w:r w:rsidR="00971CD9" w:rsidRPr="004447D2">
              <w:rPr>
                <w:rFonts w:ascii="Book Antiqua" w:hAnsi="Book Antiqua"/>
                <w:color w:val="000000"/>
                <w:sz w:val="24"/>
                <w:szCs w:val="24"/>
                <w:lang w:val="en-US" w:eastAsia="el-GR"/>
              </w:rPr>
              <w:t>yr</w:t>
            </w:r>
            <w:proofErr w:type="spellEnd"/>
            <w:r w:rsidRPr="004447D2">
              <w:rPr>
                <w:rFonts w:ascii="Book Antiqua" w:hAnsi="Book Antiqua"/>
                <w:color w:val="000000"/>
                <w:sz w:val="24"/>
                <w:szCs w:val="24"/>
                <w:lang w:val="en-US" w:eastAsia="el-GR"/>
              </w:rPr>
              <w:t>)</w:t>
            </w:r>
          </w:p>
        </w:tc>
        <w:tc>
          <w:tcPr>
            <w:tcW w:w="2551" w:type="dxa"/>
            <w:vAlign w:val="center"/>
          </w:tcPr>
          <w:p w14:paraId="57122C44" w14:textId="710FF466" w:rsidR="001F6ADB" w:rsidRPr="004447D2" w:rsidRDefault="00827AB7" w:rsidP="00887EC2">
            <w:pPr>
              <w:autoSpaceDE w:val="0"/>
              <w:autoSpaceDN w:val="0"/>
              <w:adjustRightInd w:val="0"/>
              <w:spacing w:after="0" w:line="360" w:lineRule="auto"/>
              <w:jc w:val="both"/>
              <w:rPr>
                <w:rFonts w:ascii="Book Antiqua" w:hAnsi="Book Antiqua"/>
                <w:color w:val="000000"/>
                <w:sz w:val="24"/>
                <w:szCs w:val="24"/>
                <w:lang w:eastAsia="el-GR"/>
              </w:rPr>
            </w:pPr>
            <w:r w:rsidRPr="004447D2">
              <w:rPr>
                <w:rFonts w:ascii="Book Antiqua" w:hAnsi="Book Antiqua"/>
                <w:color w:val="000000"/>
                <w:sz w:val="24"/>
                <w:szCs w:val="24"/>
                <w:lang w:eastAsia="el-GR"/>
              </w:rPr>
              <w:t>46.6</w:t>
            </w:r>
            <w:r w:rsidR="00971CD9" w:rsidRPr="004447D2">
              <w:rPr>
                <w:rFonts w:ascii="Book Antiqua" w:hAnsi="Book Antiqua"/>
                <w:color w:val="000000"/>
                <w:sz w:val="24"/>
                <w:szCs w:val="24"/>
                <w:lang w:eastAsia="zh-CN"/>
              </w:rPr>
              <w:t xml:space="preserve"> </w:t>
            </w:r>
            <w:r w:rsidRPr="004447D2">
              <w:rPr>
                <w:rFonts w:ascii="Book Antiqua" w:hAnsi="Book Antiqua"/>
                <w:color w:val="000000"/>
                <w:sz w:val="24"/>
                <w:szCs w:val="24"/>
                <w:lang w:eastAsia="el-GR"/>
              </w:rPr>
              <w:t>±</w:t>
            </w:r>
            <w:r w:rsidR="00971CD9" w:rsidRPr="004447D2">
              <w:rPr>
                <w:rFonts w:ascii="Book Antiqua" w:hAnsi="Book Antiqua"/>
                <w:color w:val="000000"/>
                <w:sz w:val="24"/>
                <w:szCs w:val="24"/>
                <w:lang w:eastAsia="zh-CN"/>
              </w:rPr>
              <w:t xml:space="preserve"> </w:t>
            </w:r>
            <w:r w:rsidRPr="004447D2">
              <w:rPr>
                <w:rFonts w:ascii="Book Antiqua" w:hAnsi="Book Antiqua"/>
                <w:color w:val="000000"/>
                <w:sz w:val="24"/>
                <w:szCs w:val="24"/>
                <w:lang w:eastAsia="el-GR"/>
              </w:rPr>
              <w:t>12.2</w:t>
            </w:r>
          </w:p>
        </w:tc>
        <w:tc>
          <w:tcPr>
            <w:tcW w:w="2552" w:type="dxa"/>
            <w:vAlign w:val="center"/>
          </w:tcPr>
          <w:p w14:paraId="6F390783" w14:textId="404829DD" w:rsidR="001F6ADB" w:rsidRPr="004447D2" w:rsidRDefault="00E248E1" w:rsidP="00887EC2">
            <w:pPr>
              <w:autoSpaceDE w:val="0"/>
              <w:autoSpaceDN w:val="0"/>
              <w:adjustRightInd w:val="0"/>
              <w:spacing w:after="0" w:line="360" w:lineRule="auto"/>
              <w:jc w:val="both"/>
              <w:rPr>
                <w:rFonts w:ascii="Book Antiqua" w:hAnsi="Book Antiqua"/>
                <w:color w:val="000000"/>
                <w:sz w:val="24"/>
                <w:szCs w:val="24"/>
                <w:lang w:eastAsia="el-GR"/>
              </w:rPr>
            </w:pPr>
            <w:r w:rsidRPr="004447D2">
              <w:rPr>
                <w:rFonts w:ascii="Book Antiqua" w:hAnsi="Book Antiqua"/>
                <w:color w:val="000000"/>
                <w:sz w:val="24"/>
                <w:szCs w:val="24"/>
                <w:lang w:eastAsia="el-GR"/>
              </w:rPr>
              <w:t>46.2</w:t>
            </w:r>
            <w:r w:rsidR="00971CD9" w:rsidRPr="004447D2">
              <w:rPr>
                <w:rFonts w:ascii="Book Antiqua" w:hAnsi="Book Antiqua"/>
                <w:color w:val="000000"/>
                <w:sz w:val="24"/>
                <w:szCs w:val="24"/>
                <w:lang w:eastAsia="zh-CN"/>
              </w:rPr>
              <w:t xml:space="preserve"> </w:t>
            </w:r>
            <w:r w:rsidRPr="004447D2">
              <w:rPr>
                <w:rFonts w:ascii="Book Antiqua" w:hAnsi="Book Antiqua"/>
                <w:color w:val="000000"/>
                <w:sz w:val="24"/>
                <w:szCs w:val="24"/>
                <w:lang w:eastAsia="el-GR"/>
              </w:rPr>
              <w:t>±</w:t>
            </w:r>
            <w:r w:rsidR="00971CD9" w:rsidRPr="004447D2">
              <w:rPr>
                <w:rFonts w:ascii="Book Antiqua" w:hAnsi="Book Antiqua"/>
                <w:color w:val="000000"/>
                <w:sz w:val="24"/>
                <w:szCs w:val="24"/>
                <w:lang w:eastAsia="zh-CN"/>
              </w:rPr>
              <w:t xml:space="preserve"> </w:t>
            </w:r>
            <w:r w:rsidRPr="004447D2">
              <w:rPr>
                <w:rFonts w:ascii="Book Antiqua" w:hAnsi="Book Antiqua"/>
                <w:color w:val="000000"/>
                <w:sz w:val="24"/>
                <w:szCs w:val="24"/>
                <w:lang w:eastAsia="el-GR"/>
              </w:rPr>
              <w:t>12.7</w:t>
            </w:r>
          </w:p>
        </w:tc>
        <w:tc>
          <w:tcPr>
            <w:tcW w:w="1559" w:type="dxa"/>
            <w:vAlign w:val="center"/>
          </w:tcPr>
          <w:p w14:paraId="79E2327C" w14:textId="77777777" w:rsidR="001F6ADB" w:rsidRPr="004447D2" w:rsidRDefault="00100A4B"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NS</w:t>
            </w:r>
          </w:p>
        </w:tc>
      </w:tr>
      <w:tr w:rsidR="001F6ADB" w:rsidRPr="004447D2" w14:paraId="3D41CE4A" w14:textId="77777777" w:rsidTr="00801477">
        <w:trPr>
          <w:trHeight w:val="552"/>
        </w:trPr>
        <w:tc>
          <w:tcPr>
            <w:tcW w:w="3403" w:type="dxa"/>
            <w:vAlign w:val="center"/>
          </w:tcPr>
          <w:p w14:paraId="22DAE6E6" w14:textId="77777777" w:rsidR="001F6ADB" w:rsidRPr="004447D2" w:rsidRDefault="00E248E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Female gender (%)</w:t>
            </w:r>
          </w:p>
        </w:tc>
        <w:tc>
          <w:tcPr>
            <w:tcW w:w="2551" w:type="dxa"/>
            <w:vAlign w:val="center"/>
          </w:tcPr>
          <w:p w14:paraId="42D8CCD0" w14:textId="77777777" w:rsidR="001F6ADB" w:rsidRPr="004447D2" w:rsidRDefault="00E248E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30.9</w:t>
            </w:r>
          </w:p>
        </w:tc>
        <w:tc>
          <w:tcPr>
            <w:tcW w:w="2552" w:type="dxa"/>
            <w:vAlign w:val="center"/>
          </w:tcPr>
          <w:p w14:paraId="12361770" w14:textId="77777777" w:rsidR="001F6ADB" w:rsidRPr="004447D2" w:rsidRDefault="00E248E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36.4</w:t>
            </w:r>
          </w:p>
        </w:tc>
        <w:tc>
          <w:tcPr>
            <w:tcW w:w="1559" w:type="dxa"/>
            <w:vAlign w:val="center"/>
          </w:tcPr>
          <w:p w14:paraId="402DEF4A" w14:textId="77777777" w:rsidR="001F6ADB" w:rsidRPr="004447D2" w:rsidRDefault="00100A4B" w:rsidP="00887EC2">
            <w:pPr>
              <w:autoSpaceDE w:val="0"/>
              <w:autoSpaceDN w:val="0"/>
              <w:adjustRightInd w:val="0"/>
              <w:spacing w:after="0" w:line="360" w:lineRule="auto"/>
              <w:jc w:val="both"/>
              <w:rPr>
                <w:rFonts w:ascii="Book Antiqua" w:hAnsi="Book Antiqua"/>
                <w:color w:val="000000"/>
                <w:sz w:val="24"/>
                <w:szCs w:val="24"/>
                <w:lang w:eastAsia="el-GR"/>
              </w:rPr>
            </w:pPr>
            <w:r w:rsidRPr="004447D2">
              <w:rPr>
                <w:rFonts w:ascii="Book Antiqua" w:hAnsi="Book Antiqua"/>
                <w:color w:val="000000"/>
                <w:sz w:val="24"/>
                <w:szCs w:val="24"/>
                <w:lang w:val="en-US" w:eastAsia="el-GR"/>
              </w:rPr>
              <w:t>NS</w:t>
            </w:r>
          </w:p>
        </w:tc>
      </w:tr>
      <w:tr w:rsidR="001F6ADB" w:rsidRPr="004447D2" w14:paraId="400ADD15" w14:textId="77777777" w:rsidTr="00801477">
        <w:trPr>
          <w:trHeight w:val="552"/>
        </w:trPr>
        <w:tc>
          <w:tcPr>
            <w:tcW w:w="3403" w:type="dxa"/>
            <w:vAlign w:val="center"/>
          </w:tcPr>
          <w:p w14:paraId="2093AFA5" w14:textId="77777777" w:rsidR="001F6ADB" w:rsidRPr="004447D2" w:rsidRDefault="001F6ADB" w:rsidP="00887EC2">
            <w:pPr>
              <w:autoSpaceDE w:val="0"/>
              <w:autoSpaceDN w:val="0"/>
              <w:adjustRightInd w:val="0"/>
              <w:spacing w:after="0" w:line="360" w:lineRule="auto"/>
              <w:jc w:val="both"/>
              <w:rPr>
                <w:rFonts w:ascii="Book Antiqua" w:hAnsi="Book Antiqua"/>
                <w:color w:val="000000"/>
                <w:sz w:val="24"/>
                <w:szCs w:val="24"/>
                <w:lang w:eastAsia="el-GR"/>
              </w:rPr>
            </w:pPr>
            <w:r w:rsidRPr="004447D2">
              <w:rPr>
                <w:rFonts w:ascii="Book Antiqua" w:hAnsi="Book Antiqua"/>
                <w:color w:val="000000"/>
                <w:sz w:val="24"/>
                <w:szCs w:val="24"/>
                <w:lang w:eastAsia="el-GR"/>
              </w:rPr>
              <w:t>African American (%)</w:t>
            </w:r>
          </w:p>
        </w:tc>
        <w:tc>
          <w:tcPr>
            <w:tcW w:w="2551" w:type="dxa"/>
            <w:vAlign w:val="center"/>
          </w:tcPr>
          <w:p w14:paraId="5CC620B6" w14:textId="77777777" w:rsidR="001F6ADB" w:rsidRPr="004447D2" w:rsidRDefault="00E248E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eastAsia="el-GR"/>
              </w:rPr>
              <w:t>1</w:t>
            </w:r>
            <w:r w:rsidRPr="004447D2">
              <w:rPr>
                <w:rFonts w:ascii="Book Antiqua" w:hAnsi="Book Antiqua"/>
                <w:color w:val="000000"/>
                <w:sz w:val="24"/>
                <w:szCs w:val="24"/>
                <w:lang w:val="en-US" w:eastAsia="el-GR"/>
              </w:rPr>
              <w:t>7.8</w:t>
            </w:r>
          </w:p>
        </w:tc>
        <w:tc>
          <w:tcPr>
            <w:tcW w:w="2552" w:type="dxa"/>
            <w:vAlign w:val="center"/>
          </w:tcPr>
          <w:p w14:paraId="37E1C2CE" w14:textId="77777777" w:rsidR="001F6ADB" w:rsidRPr="004447D2" w:rsidRDefault="00E248E1" w:rsidP="00887EC2">
            <w:pPr>
              <w:autoSpaceDE w:val="0"/>
              <w:autoSpaceDN w:val="0"/>
              <w:adjustRightInd w:val="0"/>
              <w:spacing w:after="0" w:line="360" w:lineRule="auto"/>
              <w:jc w:val="both"/>
              <w:rPr>
                <w:rFonts w:ascii="Book Antiqua" w:hAnsi="Book Antiqua"/>
                <w:color w:val="000000"/>
                <w:sz w:val="24"/>
                <w:szCs w:val="24"/>
                <w:lang w:eastAsia="el-GR"/>
              </w:rPr>
            </w:pPr>
            <w:r w:rsidRPr="004447D2">
              <w:rPr>
                <w:rFonts w:ascii="Book Antiqua" w:hAnsi="Book Antiqua"/>
                <w:color w:val="000000"/>
                <w:sz w:val="24"/>
                <w:szCs w:val="24"/>
                <w:lang w:eastAsia="el-GR"/>
              </w:rPr>
              <w:t>21.5</w:t>
            </w:r>
          </w:p>
        </w:tc>
        <w:tc>
          <w:tcPr>
            <w:tcW w:w="1559" w:type="dxa"/>
            <w:vAlign w:val="center"/>
          </w:tcPr>
          <w:p w14:paraId="6AFB26C2" w14:textId="77777777" w:rsidR="001F6ADB" w:rsidRPr="004447D2" w:rsidRDefault="00100A4B" w:rsidP="00887EC2">
            <w:pPr>
              <w:autoSpaceDE w:val="0"/>
              <w:autoSpaceDN w:val="0"/>
              <w:adjustRightInd w:val="0"/>
              <w:spacing w:after="0" w:line="360" w:lineRule="auto"/>
              <w:jc w:val="both"/>
              <w:rPr>
                <w:rFonts w:ascii="Book Antiqua" w:hAnsi="Book Antiqua"/>
                <w:color w:val="000000"/>
                <w:sz w:val="24"/>
                <w:szCs w:val="24"/>
                <w:lang w:eastAsia="el-GR"/>
              </w:rPr>
            </w:pPr>
            <w:r w:rsidRPr="004447D2">
              <w:rPr>
                <w:rFonts w:ascii="Book Antiqua" w:hAnsi="Book Antiqua"/>
                <w:color w:val="000000"/>
                <w:sz w:val="24"/>
                <w:szCs w:val="24"/>
                <w:lang w:val="en-US" w:eastAsia="el-GR"/>
              </w:rPr>
              <w:t>NS</w:t>
            </w:r>
          </w:p>
        </w:tc>
      </w:tr>
      <w:tr w:rsidR="001F6ADB" w:rsidRPr="004447D2" w14:paraId="58B2E932" w14:textId="77777777" w:rsidTr="00801477">
        <w:trPr>
          <w:trHeight w:val="552"/>
        </w:trPr>
        <w:tc>
          <w:tcPr>
            <w:tcW w:w="3403" w:type="dxa"/>
            <w:vAlign w:val="center"/>
          </w:tcPr>
          <w:p w14:paraId="7BD04B29" w14:textId="77777777" w:rsidR="001F6ADB" w:rsidRPr="004447D2" w:rsidRDefault="00E248E1" w:rsidP="00887EC2">
            <w:pPr>
              <w:autoSpaceDE w:val="0"/>
              <w:autoSpaceDN w:val="0"/>
              <w:adjustRightInd w:val="0"/>
              <w:spacing w:after="0" w:line="360" w:lineRule="auto"/>
              <w:jc w:val="both"/>
              <w:rPr>
                <w:rFonts w:ascii="Book Antiqua" w:hAnsi="Book Antiqua"/>
                <w:color w:val="000000"/>
                <w:sz w:val="24"/>
                <w:szCs w:val="24"/>
                <w:lang w:eastAsia="el-GR"/>
              </w:rPr>
            </w:pPr>
            <w:r w:rsidRPr="004447D2">
              <w:rPr>
                <w:rFonts w:ascii="Book Antiqua" w:hAnsi="Book Antiqua"/>
                <w:color w:val="000000"/>
                <w:sz w:val="24"/>
                <w:szCs w:val="24"/>
                <w:lang w:eastAsia="el-GR"/>
              </w:rPr>
              <w:t>Deceased donor</w:t>
            </w:r>
            <w:r w:rsidRPr="004447D2">
              <w:rPr>
                <w:rFonts w:ascii="Book Antiqua" w:hAnsi="Book Antiqua"/>
                <w:color w:val="000000"/>
                <w:sz w:val="24"/>
                <w:szCs w:val="24"/>
                <w:lang w:val="en-US" w:eastAsia="el-GR"/>
              </w:rPr>
              <w:t xml:space="preserve"> </w:t>
            </w:r>
            <w:r w:rsidR="001F6ADB" w:rsidRPr="004447D2">
              <w:rPr>
                <w:rFonts w:ascii="Book Antiqua" w:hAnsi="Book Antiqua"/>
                <w:color w:val="000000"/>
                <w:sz w:val="24"/>
                <w:szCs w:val="24"/>
                <w:lang w:eastAsia="el-GR"/>
              </w:rPr>
              <w:t>(%)</w:t>
            </w:r>
          </w:p>
        </w:tc>
        <w:tc>
          <w:tcPr>
            <w:tcW w:w="2551" w:type="dxa"/>
            <w:vAlign w:val="center"/>
          </w:tcPr>
          <w:p w14:paraId="00E0709D" w14:textId="77777777" w:rsidR="001F6ADB" w:rsidRPr="004447D2" w:rsidRDefault="00E248E1" w:rsidP="00887EC2">
            <w:pPr>
              <w:autoSpaceDE w:val="0"/>
              <w:autoSpaceDN w:val="0"/>
              <w:adjustRightInd w:val="0"/>
              <w:spacing w:after="0" w:line="360" w:lineRule="auto"/>
              <w:jc w:val="both"/>
              <w:rPr>
                <w:rFonts w:ascii="Book Antiqua" w:hAnsi="Book Antiqua"/>
                <w:color w:val="000000"/>
                <w:sz w:val="24"/>
                <w:szCs w:val="24"/>
                <w:lang w:eastAsia="el-GR"/>
              </w:rPr>
            </w:pPr>
            <w:r w:rsidRPr="004447D2">
              <w:rPr>
                <w:rFonts w:ascii="Book Antiqua" w:hAnsi="Book Antiqua"/>
                <w:color w:val="000000"/>
                <w:sz w:val="24"/>
                <w:szCs w:val="24"/>
                <w:lang w:eastAsia="el-GR"/>
              </w:rPr>
              <w:t>43.5</w:t>
            </w:r>
          </w:p>
        </w:tc>
        <w:tc>
          <w:tcPr>
            <w:tcW w:w="2552" w:type="dxa"/>
            <w:vAlign w:val="center"/>
          </w:tcPr>
          <w:p w14:paraId="3D4CEF4F" w14:textId="77777777" w:rsidR="001F6ADB" w:rsidRPr="004447D2" w:rsidRDefault="00E248E1" w:rsidP="00887EC2">
            <w:pPr>
              <w:autoSpaceDE w:val="0"/>
              <w:autoSpaceDN w:val="0"/>
              <w:adjustRightInd w:val="0"/>
              <w:spacing w:after="0" w:line="360" w:lineRule="auto"/>
              <w:jc w:val="both"/>
              <w:rPr>
                <w:rFonts w:ascii="Book Antiqua" w:hAnsi="Book Antiqua"/>
                <w:color w:val="000000"/>
                <w:sz w:val="24"/>
                <w:szCs w:val="24"/>
                <w:lang w:eastAsia="el-GR"/>
              </w:rPr>
            </w:pPr>
            <w:r w:rsidRPr="004447D2">
              <w:rPr>
                <w:rFonts w:ascii="Book Antiqua" w:hAnsi="Book Antiqua"/>
                <w:color w:val="000000"/>
                <w:sz w:val="24"/>
                <w:szCs w:val="24"/>
                <w:lang w:eastAsia="el-GR"/>
              </w:rPr>
              <w:t>42.6</w:t>
            </w:r>
          </w:p>
        </w:tc>
        <w:tc>
          <w:tcPr>
            <w:tcW w:w="1559" w:type="dxa"/>
            <w:vAlign w:val="center"/>
          </w:tcPr>
          <w:p w14:paraId="4B856CFC" w14:textId="77777777" w:rsidR="001F6ADB" w:rsidRPr="004447D2" w:rsidRDefault="00100A4B" w:rsidP="00887EC2">
            <w:pPr>
              <w:autoSpaceDE w:val="0"/>
              <w:autoSpaceDN w:val="0"/>
              <w:adjustRightInd w:val="0"/>
              <w:spacing w:after="0" w:line="360" w:lineRule="auto"/>
              <w:jc w:val="both"/>
              <w:rPr>
                <w:rFonts w:ascii="Book Antiqua" w:hAnsi="Book Antiqua"/>
                <w:color w:val="000000"/>
                <w:sz w:val="24"/>
                <w:szCs w:val="24"/>
                <w:lang w:eastAsia="el-GR"/>
              </w:rPr>
            </w:pPr>
            <w:r w:rsidRPr="004447D2">
              <w:rPr>
                <w:rFonts w:ascii="Book Antiqua" w:hAnsi="Book Antiqua"/>
                <w:color w:val="000000"/>
                <w:sz w:val="24"/>
                <w:szCs w:val="24"/>
                <w:lang w:val="en-US" w:eastAsia="el-GR"/>
              </w:rPr>
              <w:t>NS</w:t>
            </w:r>
          </w:p>
        </w:tc>
      </w:tr>
      <w:tr w:rsidR="001F6ADB" w:rsidRPr="004447D2" w14:paraId="6C741380" w14:textId="77777777" w:rsidTr="00801477">
        <w:trPr>
          <w:trHeight w:val="552"/>
        </w:trPr>
        <w:tc>
          <w:tcPr>
            <w:tcW w:w="3403" w:type="dxa"/>
            <w:vAlign w:val="center"/>
          </w:tcPr>
          <w:p w14:paraId="62A90159" w14:textId="77777777" w:rsidR="008A3EB7" w:rsidRPr="004447D2" w:rsidRDefault="001F6ADB"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 xml:space="preserve">Cold ischemic time </w:t>
            </w:r>
          </w:p>
          <w:p w14:paraId="08A5998A" w14:textId="4D59B03C" w:rsidR="001F6ADB" w:rsidRPr="004447D2" w:rsidRDefault="00E248E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(mean</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SD, h)</w:t>
            </w:r>
          </w:p>
        </w:tc>
        <w:tc>
          <w:tcPr>
            <w:tcW w:w="2551" w:type="dxa"/>
            <w:vAlign w:val="center"/>
          </w:tcPr>
          <w:p w14:paraId="53FFED51" w14:textId="71009967" w:rsidR="001F6ADB" w:rsidRPr="004447D2" w:rsidRDefault="001F6ADB"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18</w:t>
            </w:r>
            <w:r w:rsidR="00E248E1" w:rsidRPr="004447D2">
              <w:rPr>
                <w:rFonts w:ascii="Book Antiqua" w:hAnsi="Book Antiqua"/>
                <w:color w:val="000000"/>
                <w:sz w:val="24"/>
                <w:szCs w:val="24"/>
                <w:lang w:val="en-US" w:eastAsia="el-GR"/>
              </w:rPr>
              <w:t>.4</w:t>
            </w:r>
            <w:r w:rsidR="00971CD9" w:rsidRPr="004447D2">
              <w:rPr>
                <w:rFonts w:ascii="Book Antiqua" w:hAnsi="Book Antiqua"/>
                <w:color w:val="000000"/>
                <w:sz w:val="24"/>
                <w:szCs w:val="24"/>
                <w:lang w:val="en-US" w:eastAsia="zh-CN"/>
              </w:rPr>
              <w:t xml:space="preserve"> </w:t>
            </w:r>
            <w:r w:rsidR="00E248E1" w:rsidRPr="004447D2">
              <w:rPr>
                <w:rFonts w:ascii="Book Antiqua" w:hAnsi="Book Antiqua"/>
                <w:color w:val="000000"/>
                <w:sz w:val="24"/>
                <w:szCs w:val="24"/>
                <w:lang w:val="en-US" w:eastAsia="el-GR"/>
              </w:rPr>
              <w:t>±</w:t>
            </w:r>
            <w:r w:rsidR="00971CD9" w:rsidRPr="004447D2">
              <w:rPr>
                <w:rFonts w:ascii="Book Antiqua" w:hAnsi="Book Antiqua"/>
                <w:color w:val="000000"/>
                <w:sz w:val="24"/>
                <w:szCs w:val="24"/>
                <w:lang w:val="en-US" w:eastAsia="zh-CN"/>
              </w:rPr>
              <w:t xml:space="preserve"> </w:t>
            </w:r>
            <w:r w:rsidR="00E248E1" w:rsidRPr="004447D2">
              <w:rPr>
                <w:rFonts w:ascii="Book Antiqua" w:hAnsi="Book Antiqua"/>
                <w:color w:val="000000"/>
                <w:sz w:val="24"/>
                <w:szCs w:val="24"/>
                <w:lang w:val="en-US" w:eastAsia="el-GR"/>
              </w:rPr>
              <w:t>5.7</w:t>
            </w:r>
          </w:p>
        </w:tc>
        <w:tc>
          <w:tcPr>
            <w:tcW w:w="2552" w:type="dxa"/>
            <w:vAlign w:val="center"/>
          </w:tcPr>
          <w:p w14:paraId="1C402062" w14:textId="7DADE186" w:rsidR="001F6ADB" w:rsidRPr="004447D2" w:rsidRDefault="001F6ADB"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17</w:t>
            </w:r>
            <w:r w:rsidR="00E248E1" w:rsidRPr="004447D2">
              <w:rPr>
                <w:rFonts w:ascii="Book Antiqua" w:hAnsi="Book Antiqua"/>
                <w:color w:val="000000"/>
                <w:sz w:val="24"/>
                <w:szCs w:val="24"/>
                <w:lang w:val="en-US" w:eastAsia="el-GR"/>
              </w:rPr>
              <w:t>.2</w:t>
            </w:r>
            <w:r w:rsidR="00971CD9" w:rsidRPr="004447D2">
              <w:rPr>
                <w:rFonts w:ascii="Book Antiqua" w:hAnsi="Book Antiqua"/>
                <w:color w:val="000000"/>
                <w:sz w:val="24"/>
                <w:szCs w:val="24"/>
                <w:lang w:val="en-US" w:eastAsia="zh-CN"/>
              </w:rPr>
              <w:t xml:space="preserve"> </w:t>
            </w:r>
            <w:r w:rsidR="00E248E1" w:rsidRPr="004447D2">
              <w:rPr>
                <w:rFonts w:ascii="Book Antiqua" w:hAnsi="Book Antiqua"/>
                <w:color w:val="000000"/>
                <w:sz w:val="24"/>
                <w:szCs w:val="24"/>
                <w:lang w:val="en-US" w:eastAsia="el-GR"/>
              </w:rPr>
              <w:t>±</w:t>
            </w:r>
            <w:r w:rsidR="00971CD9" w:rsidRPr="004447D2">
              <w:rPr>
                <w:rFonts w:ascii="Book Antiqua" w:hAnsi="Book Antiqua"/>
                <w:color w:val="000000"/>
                <w:sz w:val="24"/>
                <w:szCs w:val="24"/>
                <w:lang w:val="en-US" w:eastAsia="zh-CN"/>
              </w:rPr>
              <w:t xml:space="preserve"> </w:t>
            </w:r>
            <w:r w:rsidR="00E248E1" w:rsidRPr="004447D2">
              <w:rPr>
                <w:rFonts w:ascii="Book Antiqua" w:hAnsi="Book Antiqua"/>
                <w:color w:val="000000"/>
                <w:sz w:val="24"/>
                <w:szCs w:val="24"/>
                <w:lang w:val="en-US" w:eastAsia="el-GR"/>
              </w:rPr>
              <w:t>7.3</w:t>
            </w:r>
          </w:p>
        </w:tc>
        <w:tc>
          <w:tcPr>
            <w:tcW w:w="1559" w:type="dxa"/>
            <w:vAlign w:val="center"/>
          </w:tcPr>
          <w:p w14:paraId="63270EEA" w14:textId="77777777" w:rsidR="001F6ADB" w:rsidRPr="004447D2" w:rsidRDefault="00100A4B"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NS</w:t>
            </w:r>
          </w:p>
        </w:tc>
      </w:tr>
      <w:tr w:rsidR="00314729" w:rsidRPr="004447D2" w14:paraId="10A17DCF" w14:textId="77777777" w:rsidTr="00801477">
        <w:trPr>
          <w:trHeight w:val="552"/>
        </w:trPr>
        <w:tc>
          <w:tcPr>
            <w:tcW w:w="3403" w:type="dxa"/>
            <w:vAlign w:val="center"/>
          </w:tcPr>
          <w:p w14:paraId="3C1D164D" w14:textId="77777777" w:rsidR="00314729" w:rsidRPr="004447D2" w:rsidRDefault="00314729"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HLA mismatch (mean)</w:t>
            </w:r>
          </w:p>
        </w:tc>
        <w:tc>
          <w:tcPr>
            <w:tcW w:w="2551" w:type="dxa"/>
            <w:vAlign w:val="center"/>
          </w:tcPr>
          <w:p w14:paraId="42ED6B1A" w14:textId="77777777" w:rsidR="00314729" w:rsidRPr="004447D2" w:rsidRDefault="00314729"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3.5</w:t>
            </w:r>
          </w:p>
        </w:tc>
        <w:tc>
          <w:tcPr>
            <w:tcW w:w="2552" w:type="dxa"/>
            <w:vAlign w:val="center"/>
          </w:tcPr>
          <w:p w14:paraId="2932AA33" w14:textId="77777777" w:rsidR="00314729" w:rsidRPr="004447D2" w:rsidRDefault="00314729"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3.5</w:t>
            </w:r>
          </w:p>
        </w:tc>
        <w:tc>
          <w:tcPr>
            <w:tcW w:w="1559" w:type="dxa"/>
            <w:vAlign w:val="center"/>
          </w:tcPr>
          <w:p w14:paraId="17B833A2" w14:textId="77777777" w:rsidR="00314729" w:rsidRPr="004447D2" w:rsidRDefault="00314729"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NS</w:t>
            </w:r>
          </w:p>
        </w:tc>
      </w:tr>
      <w:tr w:rsidR="001F6ADB" w:rsidRPr="004447D2" w14:paraId="4E2C172B" w14:textId="77777777" w:rsidTr="00801477">
        <w:trPr>
          <w:trHeight w:val="552"/>
        </w:trPr>
        <w:tc>
          <w:tcPr>
            <w:tcW w:w="3403" w:type="dxa"/>
            <w:vAlign w:val="center"/>
          </w:tcPr>
          <w:p w14:paraId="1E642B45" w14:textId="49D38806" w:rsidR="001F6ADB" w:rsidRPr="004447D2" w:rsidRDefault="001F6ADB"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 xml:space="preserve">Current PRA </w:t>
            </w:r>
            <w:r w:rsidR="006B62AF" w:rsidRPr="004447D2">
              <w:rPr>
                <w:rFonts w:ascii="Book Antiqua" w:hAnsi="Book Antiqua"/>
                <w:color w:val="000000"/>
                <w:sz w:val="24"/>
                <w:szCs w:val="24"/>
                <w:lang w:val="en-US" w:eastAsia="el-GR"/>
              </w:rPr>
              <w:t>(mean</w:t>
            </w:r>
            <w:r w:rsidR="00971CD9" w:rsidRPr="004447D2">
              <w:rPr>
                <w:rFonts w:ascii="Book Antiqua" w:hAnsi="Book Antiqua"/>
                <w:color w:val="000000"/>
                <w:sz w:val="24"/>
                <w:szCs w:val="24"/>
                <w:lang w:val="en-US" w:eastAsia="zh-CN"/>
              </w:rPr>
              <w:t xml:space="preserve"> </w:t>
            </w:r>
            <w:r w:rsidR="006B62AF" w:rsidRPr="004447D2">
              <w:rPr>
                <w:rFonts w:ascii="Book Antiqua" w:hAnsi="Book Antiqua"/>
                <w:color w:val="000000"/>
                <w:sz w:val="24"/>
                <w:szCs w:val="24"/>
                <w:lang w:val="en-US" w:eastAsia="el-GR"/>
              </w:rPr>
              <w:t>±</w:t>
            </w:r>
            <w:r w:rsidR="00971CD9" w:rsidRPr="004447D2">
              <w:rPr>
                <w:rFonts w:ascii="Book Antiqua" w:hAnsi="Book Antiqua"/>
                <w:color w:val="000000"/>
                <w:sz w:val="24"/>
                <w:szCs w:val="24"/>
                <w:lang w:val="en-US" w:eastAsia="zh-CN"/>
              </w:rPr>
              <w:t xml:space="preserve"> </w:t>
            </w:r>
            <w:r w:rsidR="006B62AF" w:rsidRPr="004447D2">
              <w:rPr>
                <w:rFonts w:ascii="Book Antiqua" w:hAnsi="Book Antiqua"/>
                <w:color w:val="000000"/>
                <w:sz w:val="24"/>
                <w:szCs w:val="24"/>
                <w:lang w:val="en-US" w:eastAsia="el-GR"/>
              </w:rPr>
              <w:t>SD)</w:t>
            </w:r>
          </w:p>
        </w:tc>
        <w:tc>
          <w:tcPr>
            <w:tcW w:w="2551" w:type="dxa"/>
            <w:vAlign w:val="center"/>
          </w:tcPr>
          <w:p w14:paraId="03DCAAF8" w14:textId="15F5A360" w:rsidR="001F6ADB" w:rsidRPr="004447D2" w:rsidRDefault="007406A5"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1.6</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5.3</w:t>
            </w:r>
          </w:p>
        </w:tc>
        <w:tc>
          <w:tcPr>
            <w:tcW w:w="2552" w:type="dxa"/>
            <w:vAlign w:val="center"/>
          </w:tcPr>
          <w:p w14:paraId="4397A8B6" w14:textId="30F87E5F" w:rsidR="001F6ADB" w:rsidRPr="004447D2" w:rsidRDefault="00314729"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1.8</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5.5</w:t>
            </w:r>
          </w:p>
        </w:tc>
        <w:tc>
          <w:tcPr>
            <w:tcW w:w="1559" w:type="dxa"/>
            <w:vAlign w:val="center"/>
          </w:tcPr>
          <w:p w14:paraId="2C3025EF" w14:textId="77777777" w:rsidR="001F6ADB" w:rsidRPr="004447D2" w:rsidRDefault="00100A4B"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NS</w:t>
            </w:r>
          </w:p>
        </w:tc>
      </w:tr>
      <w:tr w:rsidR="00314729" w:rsidRPr="004447D2" w14:paraId="63467D8F" w14:textId="77777777" w:rsidTr="00801477">
        <w:trPr>
          <w:trHeight w:val="552"/>
        </w:trPr>
        <w:tc>
          <w:tcPr>
            <w:tcW w:w="3403" w:type="dxa"/>
            <w:vAlign w:val="center"/>
          </w:tcPr>
          <w:p w14:paraId="0C81A231" w14:textId="77777777" w:rsidR="00314729" w:rsidRPr="004447D2" w:rsidRDefault="00314729"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Induction immunosuppression</w:t>
            </w:r>
            <w:r w:rsidR="00F02684" w:rsidRPr="004447D2">
              <w:rPr>
                <w:rFonts w:ascii="Book Antiqua" w:hAnsi="Book Antiqua"/>
                <w:color w:val="000000"/>
                <w:sz w:val="24"/>
                <w:szCs w:val="24"/>
                <w:lang w:val="en-US" w:eastAsia="el-GR"/>
              </w:rPr>
              <w:t xml:space="preserve"> (%)</w:t>
            </w:r>
          </w:p>
          <w:p w14:paraId="6437F5E9" w14:textId="77777777" w:rsidR="00F02684"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Thymoglobulin</w:t>
            </w:r>
          </w:p>
          <w:p w14:paraId="51E1C9C1" w14:textId="77777777" w:rsidR="00F02684"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proofErr w:type="spellStart"/>
            <w:r w:rsidRPr="004447D2">
              <w:rPr>
                <w:rFonts w:ascii="Book Antiqua" w:hAnsi="Book Antiqua"/>
                <w:color w:val="000000"/>
                <w:sz w:val="24"/>
                <w:szCs w:val="24"/>
                <w:lang w:val="en-US" w:eastAsia="el-GR"/>
              </w:rPr>
              <w:t>Basiliximab</w:t>
            </w:r>
            <w:proofErr w:type="spellEnd"/>
          </w:p>
          <w:p w14:paraId="5E05D058" w14:textId="77777777" w:rsidR="00F02684"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Daclizumab</w:t>
            </w:r>
          </w:p>
        </w:tc>
        <w:tc>
          <w:tcPr>
            <w:tcW w:w="2551" w:type="dxa"/>
            <w:vAlign w:val="center"/>
          </w:tcPr>
          <w:p w14:paraId="2016BB01" w14:textId="77777777" w:rsidR="00F02684"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p>
          <w:p w14:paraId="2310D295" w14:textId="77777777" w:rsidR="00314729"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65.4</w:t>
            </w:r>
          </w:p>
          <w:p w14:paraId="576B60F7" w14:textId="77777777" w:rsidR="00F02684"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31.4</w:t>
            </w:r>
          </w:p>
          <w:p w14:paraId="4D73BE78" w14:textId="77777777" w:rsidR="00F02684"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3.1</w:t>
            </w:r>
          </w:p>
        </w:tc>
        <w:tc>
          <w:tcPr>
            <w:tcW w:w="2552" w:type="dxa"/>
            <w:vAlign w:val="center"/>
          </w:tcPr>
          <w:p w14:paraId="6C5EDA28" w14:textId="77777777" w:rsidR="00F02684"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p>
          <w:p w14:paraId="0DE42533" w14:textId="77777777" w:rsidR="00314729"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69.7</w:t>
            </w:r>
          </w:p>
          <w:p w14:paraId="0473C1F7" w14:textId="77777777" w:rsidR="00F02684"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27.2</w:t>
            </w:r>
          </w:p>
          <w:p w14:paraId="67E4C931" w14:textId="77777777" w:rsidR="00F02684"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3.1</w:t>
            </w:r>
          </w:p>
        </w:tc>
        <w:tc>
          <w:tcPr>
            <w:tcW w:w="1559" w:type="dxa"/>
          </w:tcPr>
          <w:p w14:paraId="4F0739F0" w14:textId="77777777" w:rsidR="00314729" w:rsidRPr="004447D2" w:rsidRDefault="00F02684"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NS</w:t>
            </w:r>
          </w:p>
        </w:tc>
      </w:tr>
      <w:tr w:rsidR="00314729" w:rsidRPr="004447D2" w14:paraId="7AB1A50E" w14:textId="77777777" w:rsidTr="00801477">
        <w:trPr>
          <w:trHeight w:val="552"/>
        </w:trPr>
        <w:tc>
          <w:tcPr>
            <w:tcW w:w="3403" w:type="dxa"/>
            <w:vAlign w:val="center"/>
          </w:tcPr>
          <w:p w14:paraId="224BBAD5" w14:textId="77777777" w:rsidR="00314729" w:rsidRPr="004447D2" w:rsidRDefault="006B62AF"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Maintenance immunosuppression</w:t>
            </w:r>
          </w:p>
        </w:tc>
        <w:tc>
          <w:tcPr>
            <w:tcW w:w="2551" w:type="dxa"/>
            <w:vAlign w:val="center"/>
          </w:tcPr>
          <w:p w14:paraId="4E4B35B9" w14:textId="77777777" w:rsidR="00314729" w:rsidRPr="004447D2" w:rsidRDefault="008A3EB7"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TAC, MMF</w:t>
            </w:r>
          </w:p>
        </w:tc>
        <w:tc>
          <w:tcPr>
            <w:tcW w:w="2552" w:type="dxa"/>
            <w:vAlign w:val="center"/>
          </w:tcPr>
          <w:p w14:paraId="3658EAD3" w14:textId="77777777" w:rsidR="00314729" w:rsidRPr="004447D2" w:rsidRDefault="008A3EB7"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TAC, MMF</w:t>
            </w:r>
          </w:p>
        </w:tc>
        <w:tc>
          <w:tcPr>
            <w:tcW w:w="1559" w:type="dxa"/>
            <w:vAlign w:val="center"/>
          </w:tcPr>
          <w:p w14:paraId="0C357AB8" w14:textId="77777777" w:rsidR="00314729" w:rsidRPr="004447D2" w:rsidRDefault="00314729" w:rsidP="00887EC2">
            <w:pPr>
              <w:autoSpaceDE w:val="0"/>
              <w:autoSpaceDN w:val="0"/>
              <w:adjustRightInd w:val="0"/>
              <w:spacing w:after="0" w:line="360" w:lineRule="auto"/>
              <w:jc w:val="both"/>
              <w:rPr>
                <w:rFonts w:ascii="Book Antiqua" w:hAnsi="Book Antiqua"/>
                <w:color w:val="000000"/>
                <w:sz w:val="24"/>
                <w:szCs w:val="24"/>
                <w:lang w:val="en-US" w:eastAsia="el-GR"/>
              </w:rPr>
            </w:pPr>
          </w:p>
        </w:tc>
      </w:tr>
      <w:tr w:rsidR="009C4254" w:rsidRPr="004447D2" w14:paraId="42AA00AB" w14:textId="77777777" w:rsidTr="00801477">
        <w:trPr>
          <w:trHeight w:val="552"/>
        </w:trPr>
        <w:tc>
          <w:tcPr>
            <w:tcW w:w="10065" w:type="dxa"/>
            <w:gridSpan w:val="4"/>
            <w:vAlign w:val="center"/>
          </w:tcPr>
          <w:p w14:paraId="0C15FD7B" w14:textId="77777777" w:rsidR="009C4254" w:rsidRPr="004447D2" w:rsidRDefault="008C28F9"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Main o</w:t>
            </w:r>
            <w:r w:rsidR="009C4254" w:rsidRPr="004447D2">
              <w:rPr>
                <w:rFonts w:ascii="Book Antiqua" w:hAnsi="Book Antiqua"/>
                <w:color w:val="000000"/>
                <w:sz w:val="24"/>
                <w:szCs w:val="24"/>
                <w:lang w:val="en-US" w:eastAsia="el-GR"/>
              </w:rPr>
              <w:t>utcomes</w:t>
            </w:r>
          </w:p>
        </w:tc>
      </w:tr>
      <w:tr w:rsidR="008A3EB7" w:rsidRPr="004447D2" w14:paraId="007359A1" w14:textId="77777777" w:rsidTr="00801477">
        <w:trPr>
          <w:trHeight w:val="552"/>
        </w:trPr>
        <w:tc>
          <w:tcPr>
            <w:tcW w:w="3403" w:type="dxa"/>
            <w:vAlign w:val="center"/>
          </w:tcPr>
          <w:p w14:paraId="0EE887AD" w14:textId="77777777" w:rsidR="008A3EB7" w:rsidRPr="004447D2" w:rsidRDefault="002D27BA"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Biopsy-proven acute rejection (%)</w:t>
            </w:r>
          </w:p>
        </w:tc>
        <w:tc>
          <w:tcPr>
            <w:tcW w:w="2551" w:type="dxa"/>
            <w:vAlign w:val="center"/>
          </w:tcPr>
          <w:p w14:paraId="09A9AC60" w14:textId="77777777" w:rsidR="008A3EB7" w:rsidRPr="004447D2" w:rsidRDefault="0078515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17.8</w:t>
            </w:r>
          </w:p>
        </w:tc>
        <w:tc>
          <w:tcPr>
            <w:tcW w:w="2552" w:type="dxa"/>
            <w:vAlign w:val="center"/>
          </w:tcPr>
          <w:p w14:paraId="4D469F03" w14:textId="77777777" w:rsidR="008A3EB7" w:rsidRPr="004447D2" w:rsidRDefault="0078515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10.8</w:t>
            </w:r>
          </w:p>
        </w:tc>
        <w:tc>
          <w:tcPr>
            <w:tcW w:w="1559" w:type="dxa"/>
            <w:vAlign w:val="center"/>
          </w:tcPr>
          <w:p w14:paraId="294F2283" w14:textId="77777777" w:rsidR="00785151" w:rsidRPr="004447D2" w:rsidRDefault="0078515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 xml:space="preserve">0.04 </w:t>
            </w:r>
          </w:p>
          <w:p w14:paraId="5BEBCF0F" w14:textId="77777777" w:rsidR="008A3EB7" w:rsidRPr="004447D2" w:rsidRDefault="0078515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(with Kaplan-Meier analysis)</w:t>
            </w:r>
          </w:p>
        </w:tc>
      </w:tr>
      <w:tr w:rsidR="00785151" w:rsidRPr="004447D2" w14:paraId="579BBC21" w14:textId="77777777" w:rsidTr="00801477">
        <w:trPr>
          <w:trHeight w:val="552"/>
        </w:trPr>
        <w:tc>
          <w:tcPr>
            <w:tcW w:w="3403" w:type="dxa"/>
            <w:vAlign w:val="center"/>
          </w:tcPr>
          <w:p w14:paraId="64422D88" w14:textId="77777777" w:rsidR="00785151" w:rsidRPr="004447D2" w:rsidRDefault="0078515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Allograft survival (%)</w:t>
            </w:r>
          </w:p>
        </w:tc>
        <w:tc>
          <w:tcPr>
            <w:tcW w:w="2551" w:type="dxa"/>
            <w:vAlign w:val="center"/>
          </w:tcPr>
          <w:p w14:paraId="59D9B583" w14:textId="77777777" w:rsidR="00785151" w:rsidRPr="004447D2" w:rsidRDefault="00700F7C"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94.2</w:t>
            </w:r>
          </w:p>
        </w:tc>
        <w:tc>
          <w:tcPr>
            <w:tcW w:w="2552" w:type="dxa"/>
            <w:vAlign w:val="center"/>
          </w:tcPr>
          <w:p w14:paraId="1015589B" w14:textId="77777777" w:rsidR="00785151" w:rsidRPr="004447D2" w:rsidRDefault="00700F7C"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93.3</w:t>
            </w:r>
          </w:p>
        </w:tc>
        <w:tc>
          <w:tcPr>
            <w:tcW w:w="1559" w:type="dxa"/>
            <w:vAlign w:val="center"/>
          </w:tcPr>
          <w:p w14:paraId="1DF4E902" w14:textId="77777777" w:rsidR="00785151" w:rsidRPr="004447D2" w:rsidRDefault="005F14BF"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NS</w:t>
            </w:r>
          </w:p>
        </w:tc>
      </w:tr>
      <w:tr w:rsidR="00785151" w:rsidRPr="004447D2" w14:paraId="4D5A0F84" w14:textId="77777777" w:rsidTr="00801477">
        <w:trPr>
          <w:trHeight w:val="552"/>
        </w:trPr>
        <w:tc>
          <w:tcPr>
            <w:tcW w:w="3403" w:type="dxa"/>
            <w:vAlign w:val="center"/>
          </w:tcPr>
          <w:p w14:paraId="0C8D25FE" w14:textId="77777777" w:rsidR="00785151" w:rsidRPr="004447D2" w:rsidRDefault="00785151"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Patient survival (%)</w:t>
            </w:r>
          </w:p>
        </w:tc>
        <w:tc>
          <w:tcPr>
            <w:tcW w:w="2551" w:type="dxa"/>
            <w:vAlign w:val="center"/>
          </w:tcPr>
          <w:p w14:paraId="1DF7393F" w14:textId="77777777" w:rsidR="00785151" w:rsidRPr="004447D2" w:rsidRDefault="00700F7C"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94.2</w:t>
            </w:r>
          </w:p>
        </w:tc>
        <w:tc>
          <w:tcPr>
            <w:tcW w:w="2552" w:type="dxa"/>
            <w:vAlign w:val="center"/>
          </w:tcPr>
          <w:p w14:paraId="305BF3AA" w14:textId="77777777" w:rsidR="00785151" w:rsidRPr="004447D2" w:rsidRDefault="000C5DD6"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96.4</w:t>
            </w:r>
          </w:p>
        </w:tc>
        <w:tc>
          <w:tcPr>
            <w:tcW w:w="1559" w:type="dxa"/>
            <w:vAlign w:val="center"/>
          </w:tcPr>
          <w:p w14:paraId="529F8910" w14:textId="77777777" w:rsidR="00785151" w:rsidRPr="004447D2" w:rsidRDefault="005F14BF"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NS</w:t>
            </w:r>
          </w:p>
        </w:tc>
      </w:tr>
      <w:tr w:rsidR="00785151" w:rsidRPr="004447D2" w14:paraId="278ACD0C" w14:textId="77777777" w:rsidTr="00801477">
        <w:trPr>
          <w:trHeight w:val="552"/>
        </w:trPr>
        <w:tc>
          <w:tcPr>
            <w:tcW w:w="3403" w:type="dxa"/>
            <w:vAlign w:val="center"/>
          </w:tcPr>
          <w:p w14:paraId="13121997" w14:textId="741382AA" w:rsidR="00785151" w:rsidRPr="004447D2" w:rsidRDefault="004C311E"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lastRenderedPageBreak/>
              <w:t>Creatinine clearance (</w:t>
            </w:r>
            <w:proofErr w:type="spellStart"/>
            <w:r w:rsidRPr="004447D2">
              <w:rPr>
                <w:rFonts w:ascii="Book Antiqua" w:hAnsi="Book Antiqua"/>
                <w:color w:val="000000"/>
                <w:sz w:val="24"/>
                <w:szCs w:val="24"/>
                <w:lang w:val="en-US" w:eastAsia="el-GR"/>
              </w:rPr>
              <w:t>Cockroft</w:t>
            </w:r>
            <w:proofErr w:type="spellEnd"/>
            <w:r w:rsidRPr="004447D2">
              <w:rPr>
                <w:rFonts w:ascii="Book Antiqua" w:hAnsi="Book Antiqua"/>
                <w:color w:val="000000"/>
                <w:sz w:val="24"/>
                <w:szCs w:val="24"/>
                <w:lang w:val="en-US" w:eastAsia="el-GR"/>
              </w:rPr>
              <w:t xml:space="preserve">-Gault equation, </w:t>
            </w:r>
            <w:r w:rsidR="00700F7C" w:rsidRPr="004447D2">
              <w:rPr>
                <w:rFonts w:ascii="Book Antiqua" w:hAnsi="Book Antiqua"/>
                <w:color w:val="000000"/>
                <w:sz w:val="24"/>
                <w:szCs w:val="24"/>
                <w:lang w:val="en-US" w:eastAsia="el-GR"/>
              </w:rPr>
              <w:t>mean</w:t>
            </w:r>
            <w:r w:rsidR="00971CD9" w:rsidRPr="004447D2">
              <w:rPr>
                <w:rFonts w:ascii="Book Antiqua" w:hAnsi="Book Antiqua"/>
                <w:color w:val="000000"/>
                <w:sz w:val="24"/>
                <w:szCs w:val="24"/>
                <w:lang w:val="en-US" w:eastAsia="zh-CN"/>
              </w:rPr>
              <w:t xml:space="preserve"> </w:t>
            </w:r>
            <w:r w:rsidR="00700F7C" w:rsidRPr="004447D2">
              <w:rPr>
                <w:rFonts w:ascii="Book Antiqua" w:hAnsi="Book Antiqua"/>
                <w:color w:val="000000"/>
                <w:sz w:val="24"/>
                <w:szCs w:val="24"/>
                <w:lang w:val="en-US" w:eastAsia="el-GR"/>
              </w:rPr>
              <w:t>±</w:t>
            </w:r>
            <w:r w:rsidR="00971CD9" w:rsidRPr="004447D2">
              <w:rPr>
                <w:rFonts w:ascii="Book Antiqua" w:hAnsi="Book Antiqua"/>
                <w:color w:val="000000"/>
                <w:sz w:val="24"/>
                <w:szCs w:val="24"/>
                <w:lang w:val="en-US" w:eastAsia="zh-CN"/>
              </w:rPr>
              <w:t xml:space="preserve"> </w:t>
            </w:r>
            <w:r w:rsidR="00700F7C" w:rsidRPr="004447D2">
              <w:rPr>
                <w:rFonts w:ascii="Book Antiqua" w:hAnsi="Book Antiqua"/>
                <w:color w:val="000000"/>
                <w:sz w:val="24"/>
                <w:szCs w:val="24"/>
                <w:lang w:val="en-US" w:eastAsia="el-GR"/>
              </w:rPr>
              <w:t>SD,</w:t>
            </w:r>
            <w:r w:rsidR="000005BB" w:rsidRPr="004447D2">
              <w:rPr>
                <w:rFonts w:ascii="Book Antiqua" w:hAnsi="Book Antiqua"/>
                <w:color w:val="000000"/>
                <w:sz w:val="24"/>
                <w:szCs w:val="24"/>
                <w:lang w:val="en-US" w:eastAsia="el-GR"/>
              </w:rPr>
              <w:t xml:space="preserve"> </w:t>
            </w:r>
            <w:r w:rsidRPr="004447D2">
              <w:rPr>
                <w:rFonts w:ascii="Book Antiqua" w:hAnsi="Book Antiqua"/>
                <w:color w:val="000000"/>
                <w:sz w:val="24"/>
                <w:szCs w:val="24"/>
                <w:lang w:val="en-US" w:eastAsia="el-GR"/>
              </w:rPr>
              <w:t>m</w:t>
            </w:r>
            <w:r w:rsidR="00971CD9" w:rsidRPr="004447D2">
              <w:rPr>
                <w:rFonts w:ascii="Book Antiqua" w:hAnsi="Book Antiqua"/>
                <w:color w:val="000000"/>
                <w:sz w:val="24"/>
                <w:szCs w:val="24"/>
                <w:lang w:val="en-US" w:eastAsia="el-GR"/>
              </w:rPr>
              <w:t>L</w:t>
            </w:r>
            <w:r w:rsidRPr="004447D2">
              <w:rPr>
                <w:rFonts w:ascii="Book Antiqua" w:hAnsi="Book Antiqua"/>
                <w:color w:val="000000"/>
                <w:sz w:val="24"/>
                <w:szCs w:val="24"/>
                <w:lang w:val="en-US" w:eastAsia="el-GR"/>
              </w:rPr>
              <w:t>/min)</w:t>
            </w:r>
          </w:p>
        </w:tc>
        <w:tc>
          <w:tcPr>
            <w:tcW w:w="2551" w:type="dxa"/>
            <w:vAlign w:val="center"/>
          </w:tcPr>
          <w:p w14:paraId="386C7924" w14:textId="347B6C6A" w:rsidR="00785151" w:rsidRPr="004447D2" w:rsidRDefault="00700F7C"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58.6</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19.7</w:t>
            </w:r>
          </w:p>
        </w:tc>
        <w:tc>
          <w:tcPr>
            <w:tcW w:w="2552" w:type="dxa"/>
            <w:vAlign w:val="center"/>
          </w:tcPr>
          <w:p w14:paraId="34703844" w14:textId="1DA0BC54" w:rsidR="00785151" w:rsidRPr="004447D2" w:rsidRDefault="000C5DD6"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59.8</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w:t>
            </w:r>
            <w:r w:rsidR="00971CD9" w:rsidRPr="004447D2">
              <w:rPr>
                <w:rFonts w:ascii="Book Antiqua" w:hAnsi="Book Antiqua"/>
                <w:color w:val="000000"/>
                <w:sz w:val="24"/>
                <w:szCs w:val="24"/>
                <w:lang w:val="en-US" w:eastAsia="zh-CN"/>
              </w:rPr>
              <w:t xml:space="preserve"> </w:t>
            </w:r>
            <w:r w:rsidRPr="004447D2">
              <w:rPr>
                <w:rFonts w:ascii="Book Antiqua" w:hAnsi="Book Antiqua"/>
                <w:color w:val="000000"/>
                <w:sz w:val="24"/>
                <w:szCs w:val="24"/>
                <w:lang w:val="en-US" w:eastAsia="el-GR"/>
              </w:rPr>
              <w:t>20.5</w:t>
            </w:r>
          </w:p>
        </w:tc>
        <w:tc>
          <w:tcPr>
            <w:tcW w:w="1559" w:type="dxa"/>
            <w:vAlign w:val="center"/>
          </w:tcPr>
          <w:p w14:paraId="502B488B" w14:textId="77777777" w:rsidR="00785151" w:rsidRPr="004447D2" w:rsidRDefault="005F14BF" w:rsidP="00887EC2">
            <w:pPr>
              <w:autoSpaceDE w:val="0"/>
              <w:autoSpaceDN w:val="0"/>
              <w:adjustRightInd w:val="0"/>
              <w:spacing w:after="0" w:line="360" w:lineRule="auto"/>
              <w:jc w:val="both"/>
              <w:rPr>
                <w:rFonts w:ascii="Book Antiqua" w:hAnsi="Book Antiqua"/>
                <w:color w:val="000000"/>
                <w:sz w:val="24"/>
                <w:szCs w:val="24"/>
                <w:lang w:val="en-US" w:eastAsia="el-GR"/>
              </w:rPr>
            </w:pPr>
            <w:r w:rsidRPr="004447D2">
              <w:rPr>
                <w:rFonts w:ascii="Book Antiqua" w:hAnsi="Book Antiqua"/>
                <w:color w:val="000000"/>
                <w:sz w:val="24"/>
                <w:szCs w:val="24"/>
                <w:lang w:val="en-US" w:eastAsia="el-GR"/>
              </w:rPr>
              <w:t>NS</w:t>
            </w:r>
          </w:p>
        </w:tc>
      </w:tr>
    </w:tbl>
    <w:p w14:paraId="102309F5" w14:textId="42B0EAAD" w:rsidR="00082F97" w:rsidRPr="004447D2" w:rsidRDefault="00640B8F"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CS</w:t>
      </w:r>
      <w:r w:rsidR="00971CD9" w:rsidRPr="004447D2">
        <w:rPr>
          <w:rFonts w:ascii="Book Antiqua" w:hAnsi="Book Antiqua"/>
          <w:sz w:val="24"/>
          <w:szCs w:val="24"/>
          <w:lang w:val="en-US" w:eastAsia="zh-CN"/>
        </w:rPr>
        <w:t>:</w:t>
      </w:r>
      <w:r w:rsidRPr="004447D2">
        <w:rPr>
          <w:rFonts w:ascii="Book Antiqua" w:hAnsi="Book Antiqua"/>
          <w:sz w:val="24"/>
          <w:szCs w:val="24"/>
          <w:lang w:val="en-US"/>
        </w:rPr>
        <w:t xml:space="preserve"> </w:t>
      </w:r>
      <w:r w:rsidR="00971CD9" w:rsidRPr="004447D2">
        <w:rPr>
          <w:rFonts w:ascii="Book Antiqua" w:hAnsi="Book Antiqua"/>
          <w:sz w:val="24"/>
          <w:szCs w:val="24"/>
          <w:lang w:val="en-US"/>
        </w:rPr>
        <w:t>C</w:t>
      </w:r>
      <w:r w:rsidR="00FA3A3B" w:rsidRPr="004447D2">
        <w:rPr>
          <w:rFonts w:ascii="Book Antiqua" w:hAnsi="Book Antiqua"/>
          <w:sz w:val="24"/>
          <w:szCs w:val="24"/>
          <w:lang w:val="en-US"/>
        </w:rPr>
        <w:t>orticosteroid</w:t>
      </w:r>
      <w:r w:rsidRPr="004447D2">
        <w:rPr>
          <w:rFonts w:ascii="Book Antiqua" w:hAnsi="Book Antiqua"/>
          <w:sz w:val="24"/>
          <w:szCs w:val="24"/>
          <w:lang w:val="en-US"/>
        </w:rPr>
        <w:t>; HLA</w:t>
      </w:r>
      <w:r w:rsidR="00971CD9" w:rsidRPr="004447D2">
        <w:rPr>
          <w:rFonts w:ascii="Book Antiqua" w:hAnsi="Book Antiqua"/>
          <w:sz w:val="24"/>
          <w:szCs w:val="24"/>
          <w:lang w:val="en-US" w:eastAsia="zh-CN"/>
        </w:rPr>
        <w:t>:</w:t>
      </w:r>
      <w:r w:rsidR="00971CD9" w:rsidRPr="004447D2">
        <w:rPr>
          <w:rFonts w:ascii="Book Antiqua" w:hAnsi="Book Antiqua"/>
          <w:sz w:val="24"/>
          <w:szCs w:val="24"/>
          <w:lang w:val="en-US"/>
        </w:rPr>
        <w:t xml:space="preserve"> H</w:t>
      </w:r>
      <w:r w:rsidRPr="004447D2">
        <w:rPr>
          <w:rFonts w:ascii="Book Antiqua" w:hAnsi="Book Antiqua"/>
          <w:sz w:val="24"/>
          <w:szCs w:val="24"/>
          <w:lang w:val="en-US"/>
        </w:rPr>
        <w:t xml:space="preserve">uman leukocyte antigens; </w:t>
      </w:r>
      <w:r w:rsidR="00BF11E2" w:rsidRPr="004447D2">
        <w:rPr>
          <w:rFonts w:ascii="Book Antiqua" w:hAnsi="Book Antiqua"/>
          <w:sz w:val="24"/>
          <w:szCs w:val="24"/>
          <w:lang w:val="en-US"/>
        </w:rPr>
        <w:t>MMF</w:t>
      </w:r>
      <w:r w:rsidR="00971CD9" w:rsidRPr="004447D2">
        <w:rPr>
          <w:rFonts w:ascii="Book Antiqua" w:hAnsi="Book Antiqua"/>
          <w:sz w:val="24"/>
          <w:szCs w:val="24"/>
          <w:lang w:val="en-US" w:eastAsia="zh-CN"/>
        </w:rPr>
        <w:t>:</w:t>
      </w:r>
      <w:r w:rsidR="00BF11E2" w:rsidRPr="004447D2">
        <w:rPr>
          <w:rFonts w:ascii="Book Antiqua" w:hAnsi="Book Antiqua"/>
          <w:sz w:val="24"/>
          <w:szCs w:val="24"/>
          <w:lang w:val="en-US"/>
        </w:rPr>
        <w:t xml:space="preserve"> </w:t>
      </w:r>
      <w:proofErr w:type="spellStart"/>
      <w:r w:rsidR="00971CD9" w:rsidRPr="004447D2">
        <w:rPr>
          <w:rFonts w:ascii="Book Antiqua" w:hAnsi="Book Antiqua"/>
          <w:sz w:val="24"/>
          <w:szCs w:val="24"/>
          <w:lang w:val="en-US"/>
        </w:rPr>
        <w:t>M</w:t>
      </w:r>
      <w:r w:rsidR="00BF11E2" w:rsidRPr="004447D2">
        <w:rPr>
          <w:rFonts w:ascii="Book Antiqua" w:hAnsi="Book Antiqua"/>
          <w:sz w:val="24"/>
          <w:szCs w:val="24"/>
          <w:lang w:val="en-US"/>
        </w:rPr>
        <w:t>ycophenolate</w:t>
      </w:r>
      <w:proofErr w:type="spellEnd"/>
      <w:r w:rsidR="00BF11E2" w:rsidRPr="004447D2">
        <w:rPr>
          <w:rFonts w:ascii="Book Antiqua" w:hAnsi="Book Antiqua"/>
          <w:sz w:val="24"/>
          <w:szCs w:val="24"/>
          <w:lang w:val="en-US"/>
        </w:rPr>
        <w:t xml:space="preserve"> </w:t>
      </w:r>
      <w:proofErr w:type="spellStart"/>
      <w:r w:rsidR="00BF11E2" w:rsidRPr="004447D2">
        <w:rPr>
          <w:rFonts w:ascii="Book Antiqua" w:hAnsi="Book Antiqua"/>
          <w:sz w:val="24"/>
          <w:szCs w:val="24"/>
          <w:lang w:val="en-US"/>
        </w:rPr>
        <w:t>mofetil</w:t>
      </w:r>
      <w:proofErr w:type="spellEnd"/>
      <w:r w:rsidR="00BF11E2" w:rsidRPr="004447D2">
        <w:rPr>
          <w:rFonts w:ascii="Book Antiqua" w:hAnsi="Book Antiqua"/>
          <w:sz w:val="24"/>
          <w:szCs w:val="24"/>
          <w:lang w:val="en-US"/>
        </w:rPr>
        <w:t xml:space="preserve">; </w:t>
      </w:r>
      <w:r w:rsidRPr="004447D2">
        <w:rPr>
          <w:rFonts w:ascii="Book Antiqua" w:hAnsi="Book Antiqua"/>
          <w:sz w:val="24"/>
          <w:szCs w:val="24"/>
          <w:lang w:val="en-US"/>
        </w:rPr>
        <w:t>NS</w:t>
      </w:r>
      <w:r w:rsidR="00971CD9" w:rsidRPr="004447D2">
        <w:rPr>
          <w:rFonts w:ascii="Book Antiqua" w:hAnsi="Book Antiqua"/>
          <w:sz w:val="24"/>
          <w:szCs w:val="24"/>
          <w:lang w:val="en-US" w:eastAsia="zh-CN"/>
        </w:rPr>
        <w:t>:</w:t>
      </w:r>
      <w:r w:rsidRPr="004447D2">
        <w:rPr>
          <w:rFonts w:ascii="Book Antiqua" w:hAnsi="Book Antiqua"/>
          <w:sz w:val="24"/>
          <w:szCs w:val="24"/>
          <w:lang w:val="en-US"/>
        </w:rPr>
        <w:t xml:space="preserve"> </w:t>
      </w:r>
      <w:r w:rsidR="00971CD9" w:rsidRPr="004447D2">
        <w:rPr>
          <w:rFonts w:ascii="Book Antiqua" w:hAnsi="Book Antiqua"/>
          <w:sz w:val="24"/>
          <w:szCs w:val="24"/>
          <w:lang w:val="en-US"/>
        </w:rPr>
        <w:t>N</w:t>
      </w:r>
      <w:r w:rsidRPr="004447D2">
        <w:rPr>
          <w:rFonts w:ascii="Book Antiqua" w:hAnsi="Book Antiqua"/>
          <w:sz w:val="24"/>
          <w:szCs w:val="24"/>
          <w:lang w:val="en-US"/>
        </w:rPr>
        <w:t>ot significant; PRA</w:t>
      </w:r>
      <w:r w:rsidR="00971CD9" w:rsidRPr="004447D2">
        <w:rPr>
          <w:rFonts w:ascii="Book Antiqua" w:hAnsi="Book Antiqua"/>
          <w:sz w:val="24"/>
          <w:szCs w:val="24"/>
          <w:lang w:val="en-US" w:eastAsia="zh-CN"/>
        </w:rPr>
        <w:t>:</w:t>
      </w:r>
      <w:r w:rsidRPr="004447D2">
        <w:rPr>
          <w:rFonts w:ascii="Book Antiqua" w:hAnsi="Book Antiqua"/>
          <w:sz w:val="24"/>
          <w:szCs w:val="24"/>
          <w:lang w:val="en-US"/>
        </w:rPr>
        <w:t xml:space="preserve"> </w:t>
      </w:r>
      <w:r w:rsidR="00971CD9" w:rsidRPr="004447D2">
        <w:rPr>
          <w:rFonts w:ascii="Book Antiqua" w:hAnsi="Book Antiqua"/>
          <w:sz w:val="24"/>
          <w:szCs w:val="24"/>
          <w:lang w:val="en-US"/>
        </w:rPr>
        <w:t>P</w:t>
      </w:r>
      <w:r w:rsidRPr="004447D2">
        <w:rPr>
          <w:rFonts w:ascii="Book Antiqua" w:hAnsi="Book Antiqua"/>
          <w:sz w:val="24"/>
          <w:szCs w:val="24"/>
          <w:lang w:val="en-US"/>
        </w:rPr>
        <w:t>anel-reactive antibodies; SD</w:t>
      </w:r>
      <w:r w:rsidR="00971CD9" w:rsidRPr="004447D2">
        <w:rPr>
          <w:rFonts w:ascii="Book Antiqua" w:hAnsi="Book Antiqua"/>
          <w:sz w:val="24"/>
          <w:szCs w:val="24"/>
          <w:lang w:val="en-US" w:eastAsia="zh-CN"/>
        </w:rPr>
        <w:t>:</w:t>
      </w:r>
      <w:r w:rsidRPr="004447D2">
        <w:rPr>
          <w:rFonts w:ascii="Book Antiqua" w:hAnsi="Book Antiqua"/>
          <w:sz w:val="24"/>
          <w:szCs w:val="24"/>
          <w:lang w:val="en-US"/>
        </w:rPr>
        <w:t xml:space="preserve"> </w:t>
      </w:r>
      <w:r w:rsidR="00971CD9" w:rsidRPr="004447D2">
        <w:rPr>
          <w:rFonts w:ascii="Book Antiqua" w:hAnsi="Book Antiqua"/>
          <w:sz w:val="24"/>
          <w:szCs w:val="24"/>
          <w:lang w:val="en-US"/>
        </w:rPr>
        <w:t>S</w:t>
      </w:r>
      <w:r w:rsidRPr="004447D2">
        <w:rPr>
          <w:rFonts w:ascii="Book Antiqua" w:hAnsi="Book Antiqua"/>
          <w:sz w:val="24"/>
          <w:szCs w:val="24"/>
          <w:lang w:val="en-US"/>
        </w:rPr>
        <w:t>tandard deviation</w:t>
      </w:r>
      <w:r w:rsidR="00BF11E2" w:rsidRPr="004447D2">
        <w:rPr>
          <w:rFonts w:ascii="Book Antiqua" w:hAnsi="Book Antiqua"/>
          <w:sz w:val="24"/>
          <w:szCs w:val="24"/>
          <w:lang w:val="en-US"/>
        </w:rPr>
        <w:t>; TAC</w:t>
      </w:r>
      <w:r w:rsidR="00971CD9" w:rsidRPr="004447D2">
        <w:rPr>
          <w:rFonts w:ascii="Book Antiqua" w:hAnsi="Book Antiqua"/>
          <w:sz w:val="24"/>
          <w:szCs w:val="24"/>
          <w:lang w:val="en-US" w:eastAsia="zh-CN"/>
        </w:rPr>
        <w:t>:</w:t>
      </w:r>
      <w:r w:rsidR="00BF11E2" w:rsidRPr="004447D2">
        <w:rPr>
          <w:rFonts w:ascii="Book Antiqua" w:hAnsi="Book Antiqua"/>
          <w:sz w:val="24"/>
          <w:szCs w:val="24"/>
          <w:lang w:val="en-US"/>
        </w:rPr>
        <w:t xml:space="preserve"> </w:t>
      </w:r>
      <w:proofErr w:type="spellStart"/>
      <w:r w:rsidR="00971CD9" w:rsidRPr="004447D2">
        <w:rPr>
          <w:rFonts w:ascii="Book Antiqua" w:hAnsi="Book Antiqua"/>
          <w:sz w:val="24"/>
          <w:szCs w:val="24"/>
          <w:lang w:val="en-US"/>
        </w:rPr>
        <w:t>T</w:t>
      </w:r>
      <w:r w:rsidR="00BF11E2" w:rsidRPr="004447D2">
        <w:rPr>
          <w:rFonts w:ascii="Book Antiqua" w:hAnsi="Book Antiqua"/>
          <w:sz w:val="24"/>
          <w:szCs w:val="24"/>
          <w:lang w:val="en-US"/>
        </w:rPr>
        <w:t>acrolimus</w:t>
      </w:r>
      <w:proofErr w:type="spellEnd"/>
      <w:r w:rsidR="00BF11E2" w:rsidRPr="004447D2">
        <w:rPr>
          <w:rFonts w:ascii="Book Antiqua" w:hAnsi="Book Antiqua"/>
          <w:sz w:val="24"/>
          <w:szCs w:val="24"/>
          <w:lang w:val="en-US"/>
        </w:rPr>
        <w:t>.</w:t>
      </w:r>
    </w:p>
    <w:p w14:paraId="2B41C223" w14:textId="77777777" w:rsidR="00082F97" w:rsidRPr="004447D2" w:rsidRDefault="00082F97" w:rsidP="00887EC2">
      <w:pPr>
        <w:pStyle w:val="a8"/>
        <w:spacing w:line="360" w:lineRule="auto"/>
        <w:jc w:val="both"/>
        <w:rPr>
          <w:rFonts w:ascii="Book Antiqua" w:hAnsi="Book Antiqua"/>
          <w:sz w:val="24"/>
          <w:szCs w:val="24"/>
          <w:lang w:val="en-US"/>
        </w:rPr>
      </w:pPr>
    </w:p>
    <w:p w14:paraId="14C19328" w14:textId="77C51F2D" w:rsidR="00002F3D" w:rsidRPr="004447D2" w:rsidRDefault="00002F3D" w:rsidP="00887EC2">
      <w:pPr>
        <w:spacing w:after="0" w:line="360" w:lineRule="auto"/>
        <w:rPr>
          <w:rFonts w:ascii="Book Antiqua" w:hAnsi="Book Antiqua"/>
          <w:sz w:val="24"/>
          <w:szCs w:val="24"/>
          <w:lang w:val="en-US"/>
        </w:rPr>
      </w:pPr>
      <w:r w:rsidRPr="004447D2">
        <w:rPr>
          <w:rFonts w:ascii="Book Antiqua" w:hAnsi="Book Antiqua"/>
          <w:sz w:val="24"/>
          <w:szCs w:val="24"/>
          <w:lang w:val="en-US"/>
        </w:rPr>
        <w:br w:type="page"/>
      </w:r>
    </w:p>
    <w:p w14:paraId="1B426F45" w14:textId="77777777" w:rsidR="00AB141C" w:rsidRPr="004447D2" w:rsidRDefault="00AB141C" w:rsidP="00887EC2">
      <w:pPr>
        <w:pStyle w:val="a8"/>
        <w:spacing w:line="360" w:lineRule="auto"/>
        <w:jc w:val="both"/>
        <w:rPr>
          <w:rFonts w:ascii="Book Antiqua" w:hAnsi="Book Antiqua"/>
          <w:b/>
          <w:sz w:val="24"/>
          <w:szCs w:val="24"/>
          <w:lang w:val="en-US"/>
        </w:rPr>
        <w:sectPr w:rsidR="00AB141C" w:rsidRPr="004447D2" w:rsidSect="00AB141C">
          <w:footerReference w:type="default" r:id="rId9"/>
          <w:pgSz w:w="11906" w:h="16838"/>
          <w:pgMar w:top="1440" w:right="1418" w:bottom="1440" w:left="1418" w:header="709" w:footer="709" w:gutter="0"/>
          <w:cols w:space="708"/>
          <w:docGrid w:linePitch="360"/>
        </w:sectPr>
      </w:pPr>
    </w:p>
    <w:p w14:paraId="29761BF0" w14:textId="10C6314C" w:rsidR="00002F3D" w:rsidRPr="004447D2" w:rsidRDefault="00002F3D" w:rsidP="00887EC2">
      <w:pPr>
        <w:pStyle w:val="a8"/>
        <w:spacing w:line="360" w:lineRule="auto"/>
        <w:jc w:val="both"/>
        <w:rPr>
          <w:rFonts w:ascii="Book Antiqua" w:hAnsi="Book Antiqua"/>
          <w:b/>
          <w:sz w:val="24"/>
          <w:szCs w:val="24"/>
          <w:lang w:val="en-US" w:eastAsia="zh-CN"/>
        </w:rPr>
      </w:pPr>
      <w:r w:rsidRPr="004447D2">
        <w:rPr>
          <w:rFonts w:ascii="Book Antiqua" w:hAnsi="Book Antiqua"/>
          <w:b/>
          <w:sz w:val="24"/>
          <w:szCs w:val="24"/>
          <w:lang w:val="en-US"/>
        </w:rPr>
        <w:lastRenderedPageBreak/>
        <w:t>Table 2</w:t>
      </w:r>
      <w:r w:rsidR="006B12A7" w:rsidRPr="004447D2">
        <w:rPr>
          <w:rFonts w:ascii="Book Antiqua" w:hAnsi="Book Antiqua"/>
          <w:b/>
          <w:sz w:val="24"/>
          <w:szCs w:val="24"/>
          <w:lang w:val="en-US"/>
        </w:rPr>
        <w:t xml:space="preserve"> Characteristics of major randomized </w:t>
      </w:r>
      <w:r w:rsidR="00FA3A3B" w:rsidRPr="004447D2">
        <w:rPr>
          <w:rFonts w:ascii="Book Antiqua" w:hAnsi="Book Antiqua"/>
          <w:b/>
          <w:sz w:val="24"/>
          <w:szCs w:val="24"/>
          <w:lang w:val="en-US"/>
        </w:rPr>
        <w:t>corticosteroid</w:t>
      </w:r>
      <w:r w:rsidR="006B12A7" w:rsidRPr="004447D2">
        <w:rPr>
          <w:rFonts w:ascii="Book Antiqua" w:hAnsi="Book Antiqua"/>
          <w:b/>
          <w:sz w:val="24"/>
          <w:szCs w:val="24"/>
          <w:lang w:val="en-US"/>
        </w:rPr>
        <w:t xml:space="preserve"> avoidance</w:t>
      </w:r>
      <w:r w:rsidR="00B3189C" w:rsidRPr="004447D2">
        <w:rPr>
          <w:rFonts w:ascii="Book Antiqua" w:hAnsi="Book Antiqua"/>
          <w:b/>
          <w:sz w:val="24"/>
          <w:szCs w:val="24"/>
          <w:lang w:val="en-US"/>
        </w:rPr>
        <w:t xml:space="preserve"> trials (the trial by </w:t>
      </w:r>
      <w:proofErr w:type="spellStart"/>
      <w:r w:rsidR="00B3189C" w:rsidRPr="004447D2">
        <w:rPr>
          <w:rFonts w:ascii="Book Antiqua" w:hAnsi="Book Antiqua"/>
          <w:b/>
          <w:sz w:val="24"/>
          <w:szCs w:val="24"/>
          <w:lang w:val="en-US"/>
        </w:rPr>
        <w:t>Woodle</w:t>
      </w:r>
      <w:proofErr w:type="spellEnd"/>
      <w:r w:rsidR="00B3189C" w:rsidRPr="004447D2">
        <w:rPr>
          <w:rFonts w:ascii="Book Antiqua" w:hAnsi="Book Antiqua"/>
          <w:b/>
          <w:sz w:val="24"/>
          <w:szCs w:val="24"/>
          <w:lang w:val="en-US"/>
        </w:rPr>
        <w:t xml:space="preserve"> </w:t>
      </w:r>
      <w:r w:rsidR="00AB141C" w:rsidRPr="004447D2">
        <w:rPr>
          <w:rFonts w:ascii="Book Antiqua" w:hAnsi="Book Antiqua"/>
          <w:b/>
          <w:i/>
          <w:sz w:val="24"/>
          <w:szCs w:val="24"/>
          <w:lang w:val="en-US"/>
        </w:rPr>
        <w:t xml:space="preserve">et </w:t>
      </w:r>
      <w:proofErr w:type="gramStart"/>
      <w:r w:rsidR="00AB141C" w:rsidRPr="004447D2">
        <w:rPr>
          <w:rFonts w:ascii="Book Antiqua" w:hAnsi="Book Antiqua"/>
          <w:b/>
          <w:i/>
          <w:sz w:val="24"/>
          <w:szCs w:val="24"/>
          <w:lang w:val="en-US"/>
        </w:rPr>
        <w:t>al</w:t>
      </w:r>
      <w:r w:rsidR="006B12A7" w:rsidRPr="004447D2">
        <w:rPr>
          <w:rFonts w:ascii="Book Antiqua" w:hAnsi="Book Antiqua"/>
          <w:b/>
          <w:sz w:val="24"/>
          <w:szCs w:val="24"/>
          <w:vertAlign w:val="superscript"/>
          <w:lang w:val="en-US"/>
        </w:rPr>
        <w:t>[</w:t>
      </w:r>
      <w:proofErr w:type="gramEnd"/>
      <w:r w:rsidR="006B12A7" w:rsidRPr="004447D2">
        <w:rPr>
          <w:rFonts w:ascii="Book Antiqua" w:hAnsi="Book Antiqua"/>
          <w:b/>
          <w:sz w:val="24"/>
          <w:szCs w:val="24"/>
          <w:vertAlign w:val="superscript"/>
          <w:lang w:val="en-US"/>
        </w:rPr>
        <w:t>8]</w:t>
      </w:r>
      <w:r w:rsidR="006B12A7" w:rsidRPr="004447D2">
        <w:rPr>
          <w:rFonts w:ascii="Book Antiqua" w:hAnsi="Book Antiqua"/>
          <w:b/>
          <w:sz w:val="24"/>
          <w:szCs w:val="24"/>
          <w:lang w:val="en-US"/>
        </w:rPr>
        <w:t xml:space="preserve"> is described separately in table 1); </w:t>
      </w:r>
      <w:r w:rsidRPr="004447D2">
        <w:rPr>
          <w:rFonts w:ascii="Book Antiqua" w:hAnsi="Book Antiqua"/>
          <w:b/>
          <w:i/>
          <w:sz w:val="24"/>
          <w:szCs w:val="24"/>
          <w:lang w:val="en-US"/>
        </w:rPr>
        <w:t>P</w:t>
      </w:r>
      <w:r w:rsidRPr="004447D2">
        <w:rPr>
          <w:rFonts w:ascii="Book Antiqua" w:hAnsi="Book Antiqua"/>
          <w:b/>
          <w:sz w:val="24"/>
          <w:szCs w:val="24"/>
          <w:lang w:val="en-US" w:eastAsia="zh-CN"/>
        </w:rPr>
        <w:t xml:space="preserve"> </w:t>
      </w:r>
      <w:r w:rsidR="006B12A7" w:rsidRPr="004447D2">
        <w:rPr>
          <w:rFonts w:ascii="Book Antiqua" w:hAnsi="Book Antiqua"/>
          <w:b/>
          <w:sz w:val="24"/>
          <w:szCs w:val="24"/>
          <w:lang w:val="en-US"/>
        </w:rPr>
        <w:t>&gt;</w:t>
      </w:r>
      <w:r w:rsidRPr="004447D2">
        <w:rPr>
          <w:rFonts w:ascii="Book Antiqua" w:hAnsi="Book Antiqua"/>
          <w:b/>
          <w:sz w:val="24"/>
          <w:szCs w:val="24"/>
          <w:lang w:val="en-US" w:eastAsia="zh-CN"/>
        </w:rPr>
        <w:t xml:space="preserve"> </w:t>
      </w:r>
      <w:r w:rsidR="006B12A7" w:rsidRPr="004447D2">
        <w:rPr>
          <w:rFonts w:ascii="Book Antiqua" w:hAnsi="Book Antiqua"/>
          <w:b/>
          <w:sz w:val="24"/>
          <w:szCs w:val="24"/>
          <w:lang w:val="en-US"/>
        </w:rPr>
        <w:t>0.05 for all comp</w:t>
      </w:r>
      <w:r w:rsidRPr="004447D2">
        <w:rPr>
          <w:rFonts w:ascii="Book Antiqua" w:hAnsi="Book Antiqua"/>
          <w:b/>
          <w:sz w:val="24"/>
          <w:szCs w:val="24"/>
          <w:lang w:val="en-US"/>
        </w:rPr>
        <w:t>arisons unless otherwise stated</w:t>
      </w:r>
      <w:r w:rsidR="006B12A7" w:rsidRPr="004447D2">
        <w:rPr>
          <w:rFonts w:ascii="Book Antiqua" w:hAnsi="Book Antiqua"/>
          <w:b/>
          <w:sz w:val="24"/>
          <w:szCs w:val="24"/>
          <w:lang w:val="en-US"/>
        </w:rPr>
        <w:t xml:space="preserve"> </w:t>
      </w:r>
    </w:p>
    <w:p w14:paraId="1E6BCA60" w14:textId="21E67F82" w:rsidR="00002F3D" w:rsidRPr="004447D2" w:rsidRDefault="00AB141C" w:rsidP="00887EC2">
      <w:pPr>
        <w:pStyle w:val="a8"/>
        <w:spacing w:line="360" w:lineRule="auto"/>
        <w:jc w:val="right"/>
        <w:rPr>
          <w:rFonts w:ascii="Book Antiqua" w:hAnsi="Book Antiqua"/>
          <w:b/>
          <w:sz w:val="24"/>
          <w:szCs w:val="24"/>
          <w:lang w:val="en-US" w:eastAsia="zh-CN"/>
        </w:rPr>
      </w:pPr>
      <w:r w:rsidRPr="004447D2">
        <w:rPr>
          <w:rFonts w:ascii="Book Antiqua" w:hAnsi="Book Antiqua"/>
          <w:b/>
          <w:i/>
          <w:sz w:val="24"/>
          <w:szCs w:val="24"/>
          <w:lang w:val="en-US" w:eastAsia="zh-CN"/>
        </w:rPr>
        <w:t xml:space="preserve">              </w:t>
      </w:r>
      <w:r w:rsidR="00002F3D" w:rsidRPr="004447D2">
        <w:rPr>
          <w:rFonts w:ascii="Book Antiqua" w:hAnsi="Book Antiqua"/>
          <w:b/>
          <w:sz w:val="24"/>
          <w:szCs w:val="24"/>
          <w:lang w:val="en-US" w:eastAsia="zh-CN"/>
        </w:rPr>
        <w:t xml:space="preserve"> </w:t>
      </w:r>
    </w:p>
    <w:tbl>
      <w:tblPr>
        <w:tblW w:w="11625" w:type="dxa"/>
        <w:tblInd w:w="519" w:type="dxa"/>
        <w:tblBorders>
          <w:top w:val="single" w:sz="4" w:space="0" w:color="auto"/>
          <w:bottom w:val="single" w:sz="4" w:space="0" w:color="auto"/>
        </w:tblBorders>
        <w:tblLayout w:type="fixed"/>
        <w:tblLook w:val="04A0" w:firstRow="1" w:lastRow="0" w:firstColumn="1" w:lastColumn="0" w:noHBand="0" w:noVBand="1"/>
      </w:tblPr>
      <w:tblGrid>
        <w:gridCol w:w="1560"/>
        <w:gridCol w:w="709"/>
        <w:gridCol w:w="1276"/>
        <w:gridCol w:w="1134"/>
        <w:gridCol w:w="1559"/>
        <w:gridCol w:w="1701"/>
        <w:gridCol w:w="1418"/>
        <w:gridCol w:w="1275"/>
        <w:gridCol w:w="993"/>
      </w:tblGrid>
      <w:tr w:rsidR="00002F3D" w:rsidRPr="004447D2" w14:paraId="4CA28CE0" w14:textId="77777777" w:rsidTr="00002F3D">
        <w:trPr>
          <w:trHeight w:val="552"/>
        </w:trPr>
        <w:tc>
          <w:tcPr>
            <w:tcW w:w="1560" w:type="dxa"/>
            <w:tcBorders>
              <w:top w:val="single" w:sz="4" w:space="0" w:color="auto"/>
              <w:bottom w:val="single" w:sz="4" w:space="0" w:color="auto"/>
            </w:tcBorders>
            <w:shd w:val="clear" w:color="auto" w:fill="auto"/>
            <w:vAlign w:val="center"/>
          </w:tcPr>
          <w:p w14:paraId="2F431332" w14:textId="737443E9" w:rsidR="00002F3D" w:rsidRPr="004447D2" w:rsidRDefault="00002F3D" w:rsidP="00887EC2">
            <w:pPr>
              <w:pStyle w:val="a8"/>
              <w:spacing w:line="360" w:lineRule="auto"/>
              <w:rPr>
                <w:rFonts w:ascii="Book Antiqua" w:hAnsi="Book Antiqua"/>
                <w:b/>
                <w:sz w:val="24"/>
                <w:szCs w:val="24"/>
                <w:lang w:val="en-US" w:eastAsia="zh-CN"/>
              </w:rPr>
            </w:pPr>
            <w:r w:rsidRPr="004447D2">
              <w:rPr>
                <w:rFonts w:ascii="Book Antiqua" w:hAnsi="Book Antiqua"/>
                <w:b/>
                <w:sz w:val="24"/>
                <w:szCs w:val="24"/>
                <w:lang w:val="en-US" w:eastAsia="zh-CN"/>
              </w:rPr>
              <w:t>Ref.</w:t>
            </w:r>
          </w:p>
        </w:tc>
        <w:tc>
          <w:tcPr>
            <w:tcW w:w="709" w:type="dxa"/>
            <w:tcBorders>
              <w:top w:val="single" w:sz="4" w:space="0" w:color="auto"/>
              <w:bottom w:val="single" w:sz="4" w:space="0" w:color="auto"/>
            </w:tcBorders>
            <w:shd w:val="clear" w:color="auto" w:fill="auto"/>
            <w:vAlign w:val="center"/>
          </w:tcPr>
          <w:p w14:paraId="3B443051" w14:textId="77777777" w:rsidR="00002F3D" w:rsidRPr="004447D2" w:rsidRDefault="00002F3D" w:rsidP="00887EC2">
            <w:pPr>
              <w:pStyle w:val="a8"/>
              <w:spacing w:line="360" w:lineRule="auto"/>
              <w:jc w:val="center"/>
              <w:rPr>
                <w:rFonts w:ascii="Book Antiqua" w:hAnsi="Book Antiqua"/>
                <w:b/>
                <w:sz w:val="24"/>
                <w:szCs w:val="24"/>
                <w:lang w:val="en-US"/>
              </w:rPr>
            </w:pPr>
            <w:r w:rsidRPr="004447D2">
              <w:rPr>
                <w:rFonts w:ascii="Book Antiqua" w:hAnsi="Book Antiqua"/>
                <w:b/>
                <w:sz w:val="24"/>
                <w:szCs w:val="24"/>
                <w:lang w:val="en-US"/>
              </w:rPr>
              <w:t>Patient number</w:t>
            </w:r>
          </w:p>
        </w:tc>
        <w:tc>
          <w:tcPr>
            <w:tcW w:w="1276" w:type="dxa"/>
            <w:tcBorders>
              <w:top w:val="single" w:sz="4" w:space="0" w:color="auto"/>
              <w:bottom w:val="single" w:sz="4" w:space="0" w:color="auto"/>
            </w:tcBorders>
            <w:shd w:val="clear" w:color="auto" w:fill="auto"/>
            <w:vAlign w:val="center"/>
          </w:tcPr>
          <w:p w14:paraId="41FE7462" w14:textId="77777777" w:rsidR="00002F3D" w:rsidRPr="004447D2" w:rsidRDefault="00002F3D" w:rsidP="00887EC2">
            <w:pPr>
              <w:pStyle w:val="a8"/>
              <w:spacing w:line="360" w:lineRule="auto"/>
              <w:jc w:val="center"/>
              <w:rPr>
                <w:rFonts w:ascii="Book Antiqua" w:hAnsi="Book Antiqua"/>
                <w:b/>
                <w:sz w:val="24"/>
                <w:szCs w:val="24"/>
                <w:lang w:val="en-US"/>
              </w:rPr>
            </w:pPr>
            <w:r w:rsidRPr="004447D2">
              <w:rPr>
                <w:rFonts w:ascii="Book Antiqua" w:hAnsi="Book Antiqua"/>
                <w:b/>
                <w:sz w:val="24"/>
                <w:szCs w:val="24"/>
                <w:lang w:val="en-US"/>
              </w:rPr>
              <w:t>Immunological risk</w:t>
            </w:r>
          </w:p>
        </w:tc>
        <w:tc>
          <w:tcPr>
            <w:tcW w:w="1134" w:type="dxa"/>
            <w:tcBorders>
              <w:top w:val="single" w:sz="4" w:space="0" w:color="auto"/>
              <w:bottom w:val="single" w:sz="4" w:space="0" w:color="auto"/>
            </w:tcBorders>
            <w:shd w:val="clear" w:color="auto" w:fill="auto"/>
            <w:vAlign w:val="center"/>
          </w:tcPr>
          <w:p w14:paraId="59C3AF16" w14:textId="77777777" w:rsidR="00002F3D" w:rsidRPr="004447D2" w:rsidRDefault="00002F3D" w:rsidP="00887EC2">
            <w:pPr>
              <w:pStyle w:val="a8"/>
              <w:spacing w:line="360" w:lineRule="auto"/>
              <w:jc w:val="center"/>
              <w:rPr>
                <w:rFonts w:ascii="Book Antiqua" w:hAnsi="Book Antiqua"/>
                <w:b/>
                <w:sz w:val="24"/>
                <w:szCs w:val="24"/>
                <w:lang w:val="en-US"/>
              </w:rPr>
            </w:pPr>
            <w:r w:rsidRPr="004447D2">
              <w:rPr>
                <w:rFonts w:ascii="Book Antiqua" w:hAnsi="Book Antiqua"/>
                <w:b/>
                <w:sz w:val="24"/>
                <w:szCs w:val="24"/>
                <w:lang w:val="en-US"/>
              </w:rPr>
              <w:t>Timing of CS withdrawal</w:t>
            </w:r>
          </w:p>
        </w:tc>
        <w:tc>
          <w:tcPr>
            <w:tcW w:w="1559" w:type="dxa"/>
            <w:tcBorders>
              <w:top w:val="single" w:sz="4" w:space="0" w:color="auto"/>
              <w:bottom w:val="single" w:sz="4" w:space="0" w:color="auto"/>
            </w:tcBorders>
            <w:shd w:val="clear" w:color="auto" w:fill="auto"/>
            <w:vAlign w:val="center"/>
          </w:tcPr>
          <w:p w14:paraId="4320D6E1" w14:textId="77777777" w:rsidR="00002F3D" w:rsidRPr="004447D2" w:rsidRDefault="00002F3D" w:rsidP="00887EC2">
            <w:pPr>
              <w:pStyle w:val="a8"/>
              <w:spacing w:line="360" w:lineRule="auto"/>
              <w:jc w:val="center"/>
              <w:rPr>
                <w:rFonts w:ascii="Book Antiqua" w:hAnsi="Book Antiqua"/>
                <w:b/>
                <w:sz w:val="24"/>
                <w:szCs w:val="24"/>
                <w:lang w:val="en-US"/>
              </w:rPr>
            </w:pPr>
            <w:r w:rsidRPr="004447D2">
              <w:rPr>
                <w:rFonts w:ascii="Book Antiqua" w:hAnsi="Book Antiqua"/>
                <w:b/>
                <w:sz w:val="24"/>
                <w:szCs w:val="24"/>
                <w:lang w:val="en-US"/>
              </w:rPr>
              <w:t>Induction immunosuppression</w:t>
            </w:r>
          </w:p>
        </w:tc>
        <w:tc>
          <w:tcPr>
            <w:tcW w:w="1701" w:type="dxa"/>
            <w:tcBorders>
              <w:top w:val="single" w:sz="4" w:space="0" w:color="auto"/>
              <w:bottom w:val="single" w:sz="4" w:space="0" w:color="auto"/>
            </w:tcBorders>
            <w:shd w:val="clear" w:color="auto" w:fill="auto"/>
            <w:vAlign w:val="center"/>
          </w:tcPr>
          <w:p w14:paraId="5DE04131" w14:textId="77777777" w:rsidR="00002F3D" w:rsidRPr="004447D2" w:rsidRDefault="00002F3D" w:rsidP="00887EC2">
            <w:pPr>
              <w:pStyle w:val="a8"/>
              <w:spacing w:line="360" w:lineRule="auto"/>
              <w:jc w:val="center"/>
              <w:rPr>
                <w:rFonts w:ascii="Book Antiqua" w:hAnsi="Book Antiqua"/>
                <w:b/>
                <w:sz w:val="24"/>
                <w:szCs w:val="24"/>
                <w:lang w:val="en-US"/>
              </w:rPr>
            </w:pPr>
            <w:r w:rsidRPr="004447D2">
              <w:rPr>
                <w:rFonts w:ascii="Book Antiqua" w:hAnsi="Book Antiqua"/>
                <w:b/>
                <w:sz w:val="24"/>
                <w:szCs w:val="24"/>
                <w:lang w:val="en-US"/>
              </w:rPr>
              <w:t>Maintenance immunosuppression</w:t>
            </w:r>
          </w:p>
        </w:tc>
        <w:tc>
          <w:tcPr>
            <w:tcW w:w="1418" w:type="dxa"/>
            <w:tcBorders>
              <w:top w:val="single" w:sz="4" w:space="0" w:color="auto"/>
              <w:bottom w:val="single" w:sz="4" w:space="0" w:color="auto"/>
            </w:tcBorders>
            <w:shd w:val="clear" w:color="auto" w:fill="auto"/>
            <w:vAlign w:val="center"/>
          </w:tcPr>
          <w:p w14:paraId="7F31CB44" w14:textId="77777777" w:rsidR="00002F3D" w:rsidRPr="004447D2" w:rsidRDefault="00002F3D" w:rsidP="00887EC2">
            <w:pPr>
              <w:pStyle w:val="a8"/>
              <w:spacing w:line="360" w:lineRule="auto"/>
              <w:jc w:val="center"/>
              <w:rPr>
                <w:rFonts w:ascii="Book Antiqua" w:hAnsi="Book Antiqua"/>
                <w:b/>
                <w:sz w:val="24"/>
                <w:szCs w:val="24"/>
                <w:lang w:val="en-US"/>
              </w:rPr>
            </w:pPr>
            <w:r w:rsidRPr="004447D2">
              <w:rPr>
                <w:rFonts w:ascii="Book Antiqua" w:hAnsi="Book Antiqua"/>
                <w:b/>
                <w:sz w:val="24"/>
                <w:szCs w:val="24"/>
                <w:lang w:val="en-US"/>
              </w:rPr>
              <w:t>Biopsy-proven acute rejection (%)</w:t>
            </w:r>
          </w:p>
        </w:tc>
        <w:tc>
          <w:tcPr>
            <w:tcW w:w="1275" w:type="dxa"/>
            <w:tcBorders>
              <w:top w:val="single" w:sz="4" w:space="0" w:color="auto"/>
              <w:bottom w:val="single" w:sz="4" w:space="0" w:color="auto"/>
            </w:tcBorders>
            <w:shd w:val="clear" w:color="auto" w:fill="auto"/>
            <w:vAlign w:val="center"/>
          </w:tcPr>
          <w:p w14:paraId="777A42A2" w14:textId="6C0FD2CE" w:rsidR="00002F3D" w:rsidRPr="004447D2" w:rsidRDefault="00002F3D" w:rsidP="00887EC2">
            <w:pPr>
              <w:pStyle w:val="a8"/>
              <w:spacing w:line="360" w:lineRule="auto"/>
              <w:jc w:val="center"/>
              <w:rPr>
                <w:rFonts w:ascii="Book Antiqua" w:hAnsi="Book Antiqua"/>
                <w:b/>
                <w:sz w:val="24"/>
                <w:szCs w:val="24"/>
                <w:lang w:val="en-US"/>
              </w:rPr>
            </w:pPr>
            <w:proofErr w:type="spellStart"/>
            <w:r w:rsidRPr="004447D2">
              <w:rPr>
                <w:rFonts w:ascii="Book Antiqua" w:hAnsi="Book Antiqua"/>
                <w:b/>
                <w:sz w:val="24"/>
                <w:szCs w:val="24"/>
                <w:lang w:val="en-US"/>
              </w:rPr>
              <w:t>Allograf</w:t>
            </w:r>
            <w:proofErr w:type="spellEnd"/>
            <w:r w:rsidRPr="004447D2">
              <w:rPr>
                <w:rFonts w:ascii="Book Antiqua" w:hAnsi="Book Antiqua"/>
                <w:b/>
                <w:sz w:val="24"/>
                <w:szCs w:val="24"/>
                <w:lang w:val="en-US"/>
              </w:rPr>
              <w:t>/patient survival (%)</w:t>
            </w:r>
          </w:p>
        </w:tc>
        <w:tc>
          <w:tcPr>
            <w:tcW w:w="993" w:type="dxa"/>
            <w:tcBorders>
              <w:top w:val="single" w:sz="4" w:space="0" w:color="auto"/>
              <w:bottom w:val="single" w:sz="4" w:space="0" w:color="auto"/>
            </w:tcBorders>
            <w:shd w:val="clear" w:color="auto" w:fill="auto"/>
            <w:vAlign w:val="center"/>
          </w:tcPr>
          <w:p w14:paraId="285B2B8D" w14:textId="36172C30" w:rsidR="00002F3D" w:rsidRPr="004447D2" w:rsidRDefault="00002F3D" w:rsidP="00887EC2">
            <w:pPr>
              <w:pStyle w:val="a8"/>
              <w:spacing w:line="360" w:lineRule="auto"/>
              <w:jc w:val="center"/>
              <w:rPr>
                <w:rFonts w:ascii="Book Antiqua" w:hAnsi="Book Antiqua"/>
                <w:b/>
                <w:sz w:val="24"/>
                <w:szCs w:val="24"/>
                <w:lang w:val="en-US"/>
              </w:rPr>
            </w:pPr>
            <w:r w:rsidRPr="004447D2">
              <w:rPr>
                <w:rFonts w:ascii="Book Antiqua" w:hAnsi="Book Antiqua"/>
                <w:b/>
                <w:sz w:val="24"/>
                <w:szCs w:val="24"/>
                <w:lang w:val="en-US"/>
              </w:rPr>
              <w:t>Follow-up (mo)</w:t>
            </w:r>
          </w:p>
        </w:tc>
      </w:tr>
      <w:tr w:rsidR="00002F3D" w:rsidRPr="004447D2" w14:paraId="41784DC3" w14:textId="77777777" w:rsidTr="00002F3D">
        <w:trPr>
          <w:trHeight w:val="552"/>
        </w:trPr>
        <w:tc>
          <w:tcPr>
            <w:tcW w:w="1560" w:type="dxa"/>
            <w:tcBorders>
              <w:top w:val="single" w:sz="4" w:space="0" w:color="auto"/>
              <w:bottom w:val="nil"/>
            </w:tcBorders>
            <w:shd w:val="clear" w:color="auto" w:fill="auto"/>
            <w:vAlign w:val="center"/>
          </w:tcPr>
          <w:p w14:paraId="13034040" w14:textId="5F5E9623"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cs="宋体"/>
                <w:bCs/>
                <w:color w:val="000000"/>
                <w:sz w:val="24"/>
                <w:szCs w:val="24"/>
              </w:rPr>
              <w:t>Vítko</w:t>
            </w:r>
            <w:r w:rsidRPr="004447D2">
              <w:rPr>
                <w:rFonts w:ascii="Book Antiqua" w:hAnsi="Book Antiqua" w:cs="宋体"/>
                <w:bCs/>
                <w:color w:val="000000"/>
                <w:sz w:val="24"/>
                <w:szCs w:val="24"/>
                <w:lang w:eastAsia="zh-CN"/>
              </w:rPr>
              <w:t xml:space="preserve"> </w:t>
            </w:r>
            <w:r w:rsidR="00AB141C" w:rsidRPr="004447D2">
              <w:rPr>
                <w:rFonts w:ascii="Book Antiqua" w:hAnsi="Book Antiqua" w:cs="宋体"/>
                <w:bCs/>
                <w:i/>
                <w:color w:val="000000"/>
                <w:sz w:val="24"/>
                <w:szCs w:val="24"/>
                <w:lang w:eastAsia="zh-CN"/>
              </w:rPr>
              <w:t>et al</w:t>
            </w:r>
            <w:r w:rsidRPr="004447D2">
              <w:rPr>
                <w:rFonts w:ascii="Book Antiqua" w:hAnsi="Book Antiqua"/>
                <w:sz w:val="24"/>
                <w:szCs w:val="24"/>
                <w:vertAlign w:val="superscript"/>
                <w:lang w:val="en-US"/>
              </w:rPr>
              <w:t>[10]</w:t>
            </w:r>
          </w:p>
        </w:tc>
        <w:tc>
          <w:tcPr>
            <w:tcW w:w="709" w:type="dxa"/>
            <w:tcBorders>
              <w:top w:val="single" w:sz="4" w:space="0" w:color="auto"/>
              <w:bottom w:val="nil"/>
            </w:tcBorders>
            <w:shd w:val="clear" w:color="auto" w:fill="auto"/>
            <w:vAlign w:val="center"/>
          </w:tcPr>
          <w:p w14:paraId="7EC486AD"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151</w:t>
            </w:r>
          </w:p>
          <w:p w14:paraId="546F9A3A"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147</w:t>
            </w:r>
          </w:p>
        </w:tc>
        <w:tc>
          <w:tcPr>
            <w:tcW w:w="1276" w:type="dxa"/>
            <w:tcBorders>
              <w:top w:val="single" w:sz="4" w:space="0" w:color="auto"/>
              <w:bottom w:val="nil"/>
            </w:tcBorders>
            <w:shd w:val="clear" w:color="auto" w:fill="auto"/>
            <w:vAlign w:val="center"/>
          </w:tcPr>
          <w:p w14:paraId="587C74D1"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Low/moderate</w:t>
            </w:r>
          </w:p>
          <w:p w14:paraId="399A5649" w14:textId="2FBB9F2A"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(PRA</w:t>
            </w:r>
            <w:r w:rsidRPr="004447D2">
              <w:rPr>
                <w:rFonts w:ascii="Book Antiqua" w:hAnsi="Book Antiqua"/>
                <w:sz w:val="24"/>
                <w:szCs w:val="24"/>
                <w:lang w:val="en-US" w:eastAsia="zh-CN"/>
              </w:rPr>
              <w:t xml:space="preserve"> </w:t>
            </w:r>
            <w:r w:rsidRPr="004447D2">
              <w:rPr>
                <w:rFonts w:ascii="Book Antiqua" w:hAnsi="Book Antiqua"/>
                <w:sz w:val="24"/>
                <w:szCs w:val="24"/>
                <w:lang w:val="en-US"/>
              </w:rPr>
              <w:t>&lt;</w:t>
            </w:r>
            <w:r w:rsidRPr="004447D2">
              <w:rPr>
                <w:rFonts w:ascii="Book Antiqua" w:hAnsi="Book Antiqua"/>
                <w:sz w:val="24"/>
                <w:szCs w:val="24"/>
                <w:lang w:val="en-US" w:eastAsia="zh-CN"/>
              </w:rPr>
              <w:t xml:space="preserve"> </w:t>
            </w:r>
            <w:r w:rsidRPr="004447D2">
              <w:rPr>
                <w:rFonts w:ascii="Book Antiqua" w:hAnsi="Book Antiqua"/>
                <w:sz w:val="24"/>
                <w:szCs w:val="24"/>
                <w:lang w:val="en-US"/>
              </w:rPr>
              <w:t>50%, first transplant)</w:t>
            </w:r>
          </w:p>
        </w:tc>
        <w:tc>
          <w:tcPr>
            <w:tcW w:w="1134" w:type="dxa"/>
            <w:tcBorders>
              <w:top w:val="single" w:sz="4" w:space="0" w:color="auto"/>
              <w:bottom w:val="nil"/>
            </w:tcBorders>
            <w:shd w:val="clear" w:color="auto" w:fill="auto"/>
            <w:vAlign w:val="center"/>
          </w:tcPr>
          <w:p w14:paraId="70ECF89F"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Day 1</w:t>
            </w:r>
          </w:p>
          <w:p w14:paraId="4E0ADE40"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Standard CS</w:t>
            </w:r>
          </w:p>
        </w:tc>
        <w:tc>
          <w:tcPr>
            <w:tcW w:w="1559" w:type="dxa"/>
            <w:tcBorders>
              <w:top w:val="single" w:sz="4" w:space="0" w:color="auto"/>
              <w:bottom w:val="nil"/>
            </w:tcBorders>
            <w:shd w:val="clear" w:color="auto" w:fill="auto"/>
            <w:vAlign w:val="center"/>
          </w:tcPr>
          <w:p w14:paraId="11FD2C12"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No</w:t>
            </w:r>
          </w:p>
        </w:tc>
        <w:tc>
          <w:tcPr>
            <w:tcW w:w="1701" w:type="dxa"/>
            <w:tcBorders>
              <w:top w:val="single" w:sz="4" w:space="0" w:color="auto"/>
              <w:bottom w:val="nil"/>
            </w:tcBorders>
            <w:shd w:val="clear" w:color="auto" w:fill="auto"/>
            <w:vAlign w:val="center"/>
          </w:tcPr>
          <w:p w14:paraId="38907AD1"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TAC, MMF</w:t>
            </w:r>
          </w:p>
        </w:tc>
        <w:tc>
          <w:tcPr>
            <w:tcW w:w="1418" w:type="dxa"/>
            <w:tcBorders>
              <w:top w:val="single" w:sz="4" w:space="0" w:color="auto"/>
              <w:bottom w:val="nil"/>
            </w:tcBorders>
            <w:shd w:val="clear" w:color="auto" w:fill="auto"/>
            <w:vAlign w:val="center"/>
          </w:tcPr>
          <w:p w14:paraId="19C47A52" w14:textId="5F82EBBE" w:rsidR="00002F3D" w:rsidRPr="004447D2" w:rsidRDefault="00002F3D" w:rsidP="00887EC2">
            <w:pPr>
              <w:pStyle w:val="a8"/>
              <w:spacing w:line="360" w:lineRule="auto"/>
              <w:jc w:val="center"/>
              <w:rPr>
                <w:rFonts w:ascii="Book Antiqua" w:hAnsi="Book Antiqua"/>
                <w:sz w:val="24"/>
                <w:szCs w:val="24"/>
                <w:vertAlign w:val="superscript"/>
                <w:lang w:val="en-US" w:eastAsia="zh-CN"/>
              </w:rPr>
            </w:pPr>
            <w:r w:rsidRPr="004447D2">
              <w:rPr>
                <w:rFonts w:ascii="Book Antiqua" w:hAnsi="Book Antiqua"/>
                <w:sz w:val="24"/>
                <w:szCs w:val="24"/>
                <w:lang w:val="en-US"/>
              </w:rPr>
              <w:t>30.5</w:t>
            </w:r>
            <w:r w:rsidR="00AB141C" w:rsidRPr="004447D2">
              <w:rPr>
                <w:rFonts w:ascii="Book Antiqua" w:hAnsi="Book Antiqua"/>
                <w:sz w:val="24"/>
                <w:szCs w:val="24"/>
                <w:vertAlign w:val="superscript"/>
                <w:lang w:val="en-US" w:eastAsia="zh-CN"/>
              </w:rPr>
              <w:t>f</w:t>
            </w:r>
          </w:p>
          <w:p w14:paraId="21955FD3" w14:textId="15727F4A" w:rsidR="00002F3D" w:rsidRPr="004447D2" w:rsidRDefault="00002F3D" w:rsidP="00887EC2">
            <w:pPr>
              <w:pStyle w:val="a8"/>
              <w:spacing w:line="360" w:lineRule="auto"/>
              <w:jc w:val="center"/>
              <w:rPr>
                <w:rFonts w:ascii="Book Antiqua" w:hAnsi="Book Antiqua"/>
                <w:sz w:val="24"/>
                <w:szCs w:val="24"/>
                <w:vertAlign w:val="superscript"/>
                <w:lang w:val="en-US" w:eastAsia="zh-CN"/>
              </w:rPr>
            </w:pPr>
            <w:r w:rsidRPr="004447D2">
              <w:rPr>
                <w:rFonts w:ascii="Book Antiqua" w:hAnsi="Book Antiqua"/>
                <w:sz w:val="24"/>
                <w:szCs w:val="24"/>
                <w:lang w:val="en-US"/>
              </w:rPr>
              <w:t>8.2</w:t>
            </w:r>
            <w:r w:rsidR="00AB141C" w:rsidRPr="004447D2">
              <w:rPr>
                <w:rFonts w:ascii="Book Antiqua" w:hAnsi="Book Antiqua"/>
                <w:sz w:val="24"/>
                <w:szCs w:val="24"/>
                <w:vertAlign w:val="superscript"/>
                <w:lang w:val="en-US" w:eastAsia="zh-CN"/>
              </w:rPr>
              <w:t>f</w:t>
            </w:r>
          </w:p>
        </w:tc>
        <w:tc>
          <w:tcPr>
            <w:tcW w:w="1275" w:type="dxa"/>
            <w:tcBorders>
              <w:top w:val="single" w:sz="4" w:space="0" w:color="auto"/>
              <w:bottom w:val="nil"/>
            </w:tcBorders>
            <w:shd w:val="clear" w:color="auto" w:fill="auto"/>
            <w:vAlign w:val="center"/>
          </w:tcPr>
          <w:p w14:paraId="7A89F8CA"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97/99</w:t>
            </w:r>
          </w:p>
          <w:p w14:paraId="1A1A671B"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96/100</w:t>
            </w:r>
          </w:p>
        </w:tc>
        <w:tc>
          <w:tcPr>
            <w:tcW w:w="993" w:type="dxa"/>
            <w:tcBorders>
              <w:top w:val="single" w:sz="4" w:space="0" w:color="auto"/>
              <w:bottom w:val="nil"/>
            </w:tcBorders>
            <w:shd w:val="clear" w:color="auto" w:fill="auto"/>
            <w:vAlign w:val="center"/>
          </w:tcPr>
          <w:p w14:paraId="01F224BE"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6</w:t>
            </w:r>
          </w:p>
        </w:tc>
      </w:tr>
      <w:tr w:rsidR="00002F3D" w:rsidRPr="004447D2" w14:paraId="3AFE47BA" w14:textId="77777777" w:rsidTr="00002F3D">
        <w:trPr>
          <w:trHeight w:val="552"/>
        </w:trPr>
        <w:tc>
          <w:tcPr>
            <w:tcW w:w="1560" w:type="dxa"/>
            <w:tcBorders>
              <w:top w:val="nil"/>
              <w:bottom w:val="nil"/>
            </w:tcBorders>
            <w:shd w:val="clear" w:color="auto" w:fill="auto"/>
            <w:vAlign w:val="center"/>
          </w:tcPr>
          <w:p w14:paraId="3F4C0949" w14:textId="409CD361"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Laftavi</w:t>
            </w:r>
            <w:proofErr w:type="spellEnd"/>
            <w:r w:rsidRPr="004447D2">
              <w:rPr>
                <w:rFonts w:ascii="Book Antiqua" w:hAnsi="Book Antiqua"/>
                <w:i/>
                <w:sz w:val="24"/>
                <w:szCs w:val="24"/>
                <w:lang w:val="en-US"/>
              </w:rPr>
              <w:t xml:space="preserve"> </w:t>
            </w:r>
            <w:r w:rsidR="00AB141C" w:rsidRPr="004447D2">
              <w:rPr>
                <w:rFonts w:ascii="Book Antiqua" w:hAnsi="Book Antiqua"/>
                <w:i/>
                <w:sz w:val="24"/>
                <w:szCs w:val="24"/>
                <w:lang w:val="en-US" w:eastAsia="zh-CN"/>
              </w:rPr>
              <w:t>et al</w:t>
            </w:r>
            <w:r w:rsidRPr="004447D2">
              <w:rPr>
                <w:rFonts w:ascii="Book Antiqua" w:hAnsi="Book Antiqua"/>
                <w:sz w:val="24"/>
                <w:szCs w:val="24"/>
                <w:vertAlign w:val="superscript"/>
                <w:lang w:val="en-US"/>
              </w:rPr>
              <w:t>[13]</w:t>
            </w:r>
          </w:p>
        </w:tc>
        <w:tc>
          <w:tcPr>
            <w:tcW w:w="709" w:type="dxa"/>
            <w:tcBorders>
              <w:top w:val="nil"/>
              <w:bottom w:val="nil"/>
            </w:tcBorders>
            <w:shd w:val="clear" w:color="auto" w:fill="auto"/>
            <w:vAlign w:val="center"/>
          </w:tcPr>
          <w:p w14:paraId="630CFF06"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30</w:t>
            </w:r>
          </w:p>
          <w:p w14:paraId="04A06A4A"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30</w:t>
            </w:r>
          </w:p>
        </w:tc>
        <w:tc>
          <w:tcPr>
            <w:tcW w:w="1276" w:type="dxa"/>
            <w:tcBorders>
              <w:top w:val="nil"/>
              <w:bottom w:val="nil"/>
            </w:tcBorders>
            <w:shd w:val="clear" w:color="auto" w:fill="auto"/>
            <w:vAlign w:val="center"/>
          </w:tcPr>
          <w:p w14:paraId="191A5BF2" w14:textId="653D6BB3"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Low (PRA</w:t>
            </w:r>
            <w:r w:rsidRPr="004447D2">
              <w:rPr>
                <w:rFonts w:ascii="Book Antiqua" w:hAnsi="Book Antiqua"/>
                <w:sz w:val="24"/>
                <w:szCs w:val="24"/>
                <w:lang w:val="en-US" w:eastAsia="zh-CN"/>
              </w:rPr>
              <w:t xml:space="preserve"> </w:t>
            </w:r>
            <w:r w:rsidRPr="004447D2">
              <w:rPr>
                <w:rFonts w:ascii="Book Antiqua" w:hAnsi="Book Antiqua"/>
                <w:sz w:val="24"/>
                <w:szCs w:val="24"/>
                <w:lang w:val="en-US"/>
              </w:rPr>
              <w:t>&lt;</w:t>
            </w:r>
            <w:r w:rsidRPr="004447D2">
              <w:rPr>
                <w:rFonts w:ascii="Book Antiqua" w:hAnsi="Book Antiqua"/>
                <w:sz w:val="24"/>
                <w:szCs w:val="24"/>
                <w:lang w:val="en-US" w:eastAsia="zh-CN"/>
              </w:rPr>
              <w:t xml:space="preserve"> </w:t>
            </w:r>
            <w:r w:rsidRPr="004447D2">
              <w:rPr>
                <w:rFonts w:ascii="Book Antiqua" w:hAnsi="Book Antiqua"/>
                <w:sz w:val="24"/>
                <w:szCs w:val="24"/>
                <w:lang w:val="en-US"/>
              </w:rPr>
              <w:t>30%, first transplant)</w:t>
            </w:r>
          </w:p>
        </w:tc>
        <w:tc>
          <w:tcPr>
            <w:tcW w:w="1134" w:type="dxa"/>
            <w:tcBorders>
              <w:top w:val="nil"/>
              <w:bottom w:val="nil"/>
            </w:tcBorders>
            <w:shd w:val="clear" w:color="auto" w:fill="auto"/>
            <w:vAlign w:val="center"/>
          </w:tcPr>
          <w:p w14:paraId="23461C32"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Day 7</w:t>
            </w:r>
          </w:p>
          <w:p w14:paraId="53B4765E"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Standard CS</w:t>
            </w:r>
          </w:p>
        </w:tc>
        <w:tc>
          <w:tcPr>
            <w:tcW w:w="1559" w:type="dxa"/>
            <w:tcBorders>
              <w:top w:val="nil"/>
              <w:bottom w:val="nil"/>
            </w:tcBorders>
            <w:shd w:val="clear" w:color="auto" w:fill="auto"/>
            <w:vAlign w:val="center"/>
          </w:tcPr>
          <w:p w14:paraId="4D2DC392" w14:textId="77777777"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rALG</w:t>
            </w:r>
            <w:proofErr w:type="spellEnd"/>
          </w:p>
        </w:tc>
        <w:tc>
          <w:tcPr>
            <w:tcW w:w="1701" w:type="dxa"/>
            <w:tcBorders>
              <w:top w:val="nil"/>
              <w:bottom w:val="nil"/>
            </w:tcBorders>
            <w:shd w:val="clear" w:color="auto" w:fill="auto"/>
            <w:vAlign w:val="center"/>
          </w:tcPr>
          <w:p w14:paraId="6FB4A68E"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TAC, MMF</w:t>
            </w:r>
          </w:p>
        </w:tc>
        <w:tc>
          <w:tcPr>
            <w:tcW w:w="1418" w:type="dxa"/>
            <w:tcBorders>
              <w:top w:val="nil"/>
              <w:bottom w:val="nil"/>
            </w:tcBorders>
            <w:shd w:val="clear" w:color="auto" w:fill="auto"/>
            <w:vAlign w:val="center"/>
          </w:tcPr>
          <w:p w14:paraId="006692B8"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13</w:t>
            </w:r>
          </w:p>
          <w:p w14:paraId="7A175D5B"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11</w:t>
            </w:r>
          </w:p>
        </w:tc>
        <w:tc>
          <w:tcPr>
            <w:tcW w:w="1275" w:type="dxa"/>
            <w:tcBorders>
              <w:top w:val="nil"/>
              <w:bottom w:val="nil"/>
            </w:tcBorders>
            <w:shd w:val="clear" w:color="auto" w:fill="auto"/>
            <w:vAlign w:val="center"/>
          </w:tcPr>
          <w:p w14:paraId="6D6554F5"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NR</w:t>
            </w:r>
          </w:p>
        </w:tc>
        <w:tc>
          <w:tcPr>
            <w:tcW w:w="993" w:type="dxa"/>
            <w:tcBorders>
              <w:top w:val="nil"/>
              <w:bottom w:val="nil"/>
            </w:tcBorders>
            <w:shd w:val="clear" w:color="auto" w:fill="auto"/>
            <w:vAlign w:val="center"/>
          </w:tcPr>
          <w:p w14:paraId="63792E9E"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12</w:t>
            </w:r>
          </w:p>
        </w:tc>
      </w:tr>
      <w:tr w:rsidR="00002F3D" w:rsidRPr="004447D2" w14:paraId="68584332" w14:textId="77777777" w:rsidTr="00002F3D">
        <w:trPr>
          <w:trHeight w:val="552"/>
        </w:trPr>
        <w:tc>
          <w:tcPr>
            <w:tcW w:w="1560" w:type="dxa"/>
            <w:tcBorders>
              <w:top w:val="nil"/>
              <w:bottom w:val="nil"/>
            </w:tcBorders>
            <w:shd w:val="clear" w:color="auto" w:fill="auto"/>
            <w:vAlign w:val="center"/>
          </w:tcPr>
          <w:p w14:paraId="48128CBA" w14:textId="73448274"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lastRenderedPageBreak/>
              <w:t xml:space="preserve">Kumar </w:t>
            </w:r>
            <w:r w:rsidR="00AB141C" w:rsidRPr="004447D2">
              <w:rPr>
                <w:rFonts w:ascii="Book Antiqua" w:hAnsi="Book Antiqua"/>
                <w:i/>
                <w:sz w:val="24"/>
                <w:szCs w:val="24"/>
                <w:lang w:val="en-US" w:eastAsia="zh-CN"/>
              </w:rPr>
              <w:t>et al</w:t>
            </w:r>
            <w:r w:rsidRPr="004447D2">
              <w:rPr>
                <w:rFonts w:ascii="Book Antiqua" w:hAnsi="Book Antiqua"/>
                <w:sz w:val="24"/>
                <w:szCs w:val="24"/>
                <w:vertAlign w:val="superscript"/>
                <w:lang w:val="en-US"/>
              </w:rPr>
              <w:t>[12]</w:t>
            </w:r>
          </w:p>
        </w:tc>
        <w:tc>
          <w:tcPr>
            <w:tcW w:w="709" w:type="dxa"/>
            <w:tcBorders>
              <w:top w:val="nil"/>
              <w:bottom w:val="nil"/>
            </w:tcBorders>
            <w:shd w:val="clear" w:color="auto" w:fill="auto"/>
            <w:vAlign w:val="center"/>
          </w:tcPr>
          <w:p w14:paraId="0AAD9377"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150</w:t>
            </w:r>
          </w:p>
          <w:p w14:paraId="3FFEF22E"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150</w:t>
            </w:r>
          </w:p>
        </w:tc>
        <w:tc>
          <w:tcPr>
            <w:tcW w:w="1276" w:type="dxa"/>
            <w:tcBorders>
              <w:top w:val="nil"/>
              <w:bottom w:val="nil"/>
            </w:tcBorders>
            <w:shd w:val="clear" w:color="auto" w:fill="auto"/>
            <w:vAlign w:val="center"/>
          </w:tcPr>
          <w:p w14:paraId="329DA029"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Low</w:t>
            </w:r>
          </w:p>
          <w:p w14:paraId="64160961" w14:textId="38958B9A"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(PRA</w:t>
            </w:r>
            <w:r w:rsidRPr="004447D2">
              <w:rPr>
                <w:rFonts w:ascii="Book Antiqua" w:hAnsi="Book Antiqua"/>
                <w:sz w:val="24"/>
                <w:szCs w:val="24"/>
                <w:lang w:val="en-US" w:eastAsia="zh-CN"/>
              </w:rPr>
              <w:t xml:space="preserve"> </w:t>
            </w:r>
            <w:r w:rsidRPr="004447D2">
              <w:rPr>
                <w:rFonts w:ascii="Book Antiqua" w:hAnsi="Book Antiqua"/>
                <w:sz w:val="24"/>
                <w:szCs w:val="24"/>
                <w:lang w:val="en-US"/>
              </w:rPr>
              <w:t>&lt;</w:t>
            </w:r>
            <w:r w:rsidRPr="004447D2">
              <w:rPr>
                <w:rFonts w:ascii="Book Antiqua" w:hAnsi="Book Antiqua"/>
                <w:sz w:val="24"/>
                <w:szCs w:val="24"/>
                <w:lang w:val="en-US" w:eastAsia="zh-CN"/>
              </w:rPr>
              <w:t xml:space="preserve"> </w:t>
            </w:r>
            <w:r w:rsidRPr="004447D2">
              <w:rPr>
                <w:rFonts w:ascii="Book Antiqua" w:hAnsi="Book Antiqua"/>
                <w:sz w:val="24"/>
                <w:szCs w:val="24"/>
                <w:lang w:val="en-US"/>
              </w:rPr>
              <w:t>10%)</w:t>
            </w:r>
          </w:p>
        </w:tc>
        <w:tc>
          <w:tcPr>
            <w:tcW w:w="1134" w:type="dxa"/>
            <w:tcBorders>
              <w:top w:val="nil"/>
              <w:bottom w:val="nil"/>
            </w:tcBorders>
            <w:shd w:val="clear" w:color="auto" w:fill="auto"/>
            <w:vAlign w:val="center"/>
          </w:tcPr>
          <w:p w14:paraId="3C72A8D4"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Day 2</w:t>
            </w:r>
          </w:p>
          <w:p w14:paraId="15C397A6"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Standard CS</w:t>
            </w:r>
          </w:p>
        </w:tc>
        <w:tc>
          <w:tcPr>
            <w:tcW w:w="1559" w:type="dxa"/>
            <w:tcBorders>
              <w:top w:val="nil"/>
              <w:bottom w:val="nil"/>
            </w:tcBorders>
            <w:shd w:val="clear" w:color="auto" w:fill="auto"/>
            <w:vAlign w:val="center"/>
          </w:tcPr>
          <w:p w14:paraId="0B9D6B7D" w14:textId="77777777"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Basiliximab</w:t>
            </w:r>
            <w:proofErr w:type="spellEnd"/>
          </w:p>
        </w:tc>
        <w:tc>
          <w:tcPr>
            <w:tcW w:w="1701" w:type="dxa"/>
            <w:tcBorders>
              <w:top w:val="nil"/>
              <w:bottom w:val="nil"/>
            </w:tcBorders>
            <w:shd w:val="clear" w:color="auto" w:fill="auto"/>
            <w:vAlign w:val="center"/>
          </w:tcPr>
          <w:p w14:paraId="31314605"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 xml:space="preserve">TAC or </w:t>
            </w:r>
            <w:proofErr w:type="spellStart"/>
            <w:r w:rsidRPr="004447D2">
              <w:rPr>
                <w:rFonts w:ascii="Book Antiqua" w:hAnsi="Book Antiqua"/>
                <w:sz w:val="24"/>
                <w:szCs w:val="24"/>
                <w:lang w:val="en-US"/>
              </w:rPr>
              <w:t>CsA</w:t>
            </w:r>
            <w:proofErr w:type="spellEnd"/>
            <w:r w:rsidRPr="004447D2">
              <w:rPr>
                <w:rFonts w:ascii="Book Antiqua" w:hAnsi="Book Antiqua"/>
                <w:sz w:val="24"/>
                <w:szCs w:val="24"/>
                <w:lang w:val="en-US"/>
              </w:rPr>
              <w:t xml:space="preserve">, MMF or </w:t>
            </w:r>
            <w:proofErr w:type="spellStart"/>
            <w:r w:rsidRPr="004447D2">
              <w:rPr>
                <w:rFonts w:ascii="Book Antiqua" w:hAnsi="Book Antiqua"/>
                <w:sz w:val="24"/>
                <w:szCs w:val="24"/>
                <w:lang w:val="en-US"/>
              </w:rPr>
              <w:t>sirolimus</w:t>
            </w:r>
            <w:proofErr w:type="spellEnd"/>
          </w:p>
        </w:tc>
        <w:tc>
          <w:tcPr>
            <w:tcW w:w="1418" w:type="dxa"/>
            <w:tcBorders>
              <w:top w:val="nil"/>
              <w:bottom w:val="nil"/>
            </w:tcBorders>
            <w:shd w:val="clear" w:color="auto" w:fill="auto"/>
            <w:vAlign w:val="center"/>
          </w:tcPr>
          <w:p w14:paraId="4A57FCB7"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16</w:t>
            </w:r>
          </w:p>
          <w:p w14:paraId="2C86DC96"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14</w:t>
            </w:r>
          </w:p>
        </w:tc>
        <w:tc>
          <w:tcPr>
            <w:tcW w:w="1275" w:type="dxa"/>
            <w:tcBorders>
              <w:top w:val="nil"/>
              <w:bottom w:val="nil"/>
            </w:tcBorders>
            <w:shd w:val="clear" w:color="auto" w:fill="auto"/>
            <w:vAlign w:val="center"/>
          </w:tcPr>
          <w:p w14:paraId="4CC933BE"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78/91</w:t>
            </w:r>
          </w:p>
          <w:p w14:paraId="5DD2E447"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79/89</w:t>
            </w:r>
          </w:p>
        </w:tc>
        <w:tc>
          <w:tcPr>
            <w:tcW w:w="993" w:type="dxa"/>
            <w:tcBorders>
              <w:top w:val="nil"/>
              <w:bottom w:val="nil"/>
            </w:tcBorders>
            <w:shd w:val="clear" w:color="auto" w:fill="auto"/>
            <w:vAlign w:val="center"/>
          </w:tcPr>
          <w:p w14:paraId="7E8C52FA"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36</w:t>
            </w:r>
          </w:p>
        </w:tc>
      </w:tr>
      <w:tr w:rsidR="00002F3D" w:rsidRPr="004447D2" w14:paraId="7C19F886" w14:textId="77777777" w:rsidTr="00002F3D">
        <w:trPr>
          <w:trHeight w:val="552"/>
        </w:trPr>
        <w:tc>
          <w:tcPr>
            <w:tcW w:w="1560" w:type="dxa"/>
            <w:tcBorders>
              <w:top w:val="nil"/>
            </w:tcBorders>
            <w:shd w:val="clear" w:color="auto" w:fill="auto"/>
            <w:vAlign w:val="center"/>
          </w:tcPr>
          <w:p w14:paraId="1D16B11B" w14:textId="09C175BD"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Vincenti</w:t>
            </w:r>
            <w:proofErr w:type="spellEnd"/>
            <w:r w:rsidRPr="004447D2">
              <w:rPr>
                <w:rFonts w:ascii="Book Antiqua" w:hAnsi="Book Antiqua"/>
                <w:sz w:val="24"/>
                <w:szCs w:val="24"/>
                <w:lang w:val="en-US"/>
              </w:rPr>
              <w:t xml:space="preserve"> </w:t>
            </w:r>
            <w:r w:rsidR="00AB141C" w:rsidRPr="004447D2">
              <w:rPr>
                <w:rFonts w:ascii="Book Antiqua" w:hAnsi="Book Antiqua"/>
                <w:i/>
                <w:sz w:val="24"/>
                <w:szCs w:val="24"/>
                <w:lang w:val="en-US" w:eastAsia="zh-CN"/>
              </w:rPr>
              <w:t>et al</w:t>
            </w:r>
            <w:r w:rsidRPr="004447D2">
              <w:rPr>
                <w:rFonts w:ascii="Book Antiqua" w:hAnsi="Book Antiqua"/>
                <w:sz w:val="24"/>
                <w:szCs w:val="24"/>
                <w:vertAlign w:val="superscript"/>
                <w:lang w:val="en-US"/>
              </w:rPr>
              <w:t>[11]</w:t>
            </w:r>
          </w:p>
        </w:tc>
        <w:tc>
          <w:tcPr>
            <w:tcW w:w="709" w:type="dxa"/>
            <w:tcBorders>
              <w:top w:val="nil"/>
            </w:tcBorders>
            <w:shd w:val="clear" w:color="auto" w:fill="auto"/>
            <w:vAlign w:val="center"/>
          </w:tcPr>
          <w:p w14:paraId="0A95076B"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112</w:t>
            </w:r>
          </w:p>
          <w:p w14:paraId="124A469A"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115</w:t>
            </w:r>
          </w:p>
          <w:p w14:paraId="4683344C"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109</w:t>
            </w:r>
          </w:p>
        </w:tc>
        <w:tc>
          <w:tcPr>
            <w:tcW w:w="1276" w:type="dxa"/>
            <w:tcBorders>
              <w:top w:val="nil"/>
            </w:tcBorders>
            <w:shd w:val="clear" w:color="auto" w:fill="auto"/>
            <w:vAlign w:val="center"/>
          </w:tcPr>
          <w:p w14:paraId="327A23D9" w14:textId="5D53DCF1"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Low (PRA</w:t>
            </w:r>
            <w:r w:rsidRPr="004447D2">
              <w:rPr>
                <w:rFonts w:ascii="Book Antiqua" w:hAnsi="Book Antiqua"/>
                <w:sz w:val="24"/>
                <w:szCs w:val="24"/>
                <w:lang w:val="en-US" w:eastAsia="zh-CN"/>
              </w:rPr>
              <w:t xml:space="preserve"> </w:t>
            </w:r>
            <w:r w:rsidRPr="004447D2">
              <w:rPr>
                <w:rFonts w:ascii="Book Antiqua" w:hAnsi="Book Antiqua"/>
                <w:sz w:val="24"/>
                <w:szCs w:val="24"/>
                <w:lang w:val="en-US"/>
              </w:rPr>
              <w:t>&lt;</w:t>
            </w:r>
            <w:r w:rsidRPr="004447D2">
              <w:rPr>
                <w:rFonts w:ascii="Book Antiqua" w:hAnsi="Book Antiqua"/>
                <w:sz w:val="24"/>
                <w:szCs w:val="24"/>
                <w:lang w:val="en-US" w:eastAsia="zh-CN"/>
              </w:rPr>
              <w:t xml:space="preserve"> </w:t>
            </w:r>
            <w:r w:rsidRPr="004447D2">
              <w:rPr>
                <w:rFonts w:ascii="Book Antiqua" w:hAnsi="Book Antiqua"/>
                <w:sz w:val="24"/>
                <w:szCs w:val="24"/>
                <w:lang w:val="en-US"/>
              </w:rPr>
              <w:t>20%, first transplant)</w:t>
            </w:r>
          </w:p>
        </w:tc>
        <w:tc>
          <w:tcPr>
            <w:tcW w:w="1134" w:type="dxa"/>
            <w:tcBorders>
              <w:top w:val="nil"/>
            </w:tcBorders>
            <w:shd w:val="clear" w:color="auto" w:fill="auto"/>
            <w:vAlign w:val="center"/>
          </w:tcPr>
          <w:p w14:paraId="12BE0650"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No CS</w:t>
            </w:r>
          </w:p>
          <w:p w14:paraId="1F04F3AC"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Day 7</w:t>
            </w:r>
          </w:p>
          <w:p w14:paraId="1C04C156"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Standard CS</w:t>
            </w:r>
          </w:p>
        </w:tc>
        <w:tc>
          <w:tcPr>
            <w:tcW w:w="1559" w:type="dxa"/>
            <w:tcBorders>
              <w:top w:val="nil"/>
            </w:tcBorders>
            <w:shd w:val="clear" w:color="auto" w:fill="auto"/>
            <w:vAlign w:val="center"/>
          </w:tcPr>
          <w:p w14:paraId="7D79CE64" w14:textId="77777777"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Basiliximab</w:t>
            </w:r>
            <w:proofErr w:type="spellEnd"/>
          </w:p>
        </w:tc>
        <w:tc>
          <w:tcPr>
            <w:tcW w:w="1701" w:type="dxa"/>
            <w:tcBorders>
              <w:top w:val="nil"/>
            </w:tcBorders>
            <w:shd w:val="clear" w:color="auto" w:fill="auto"/>
            <w:vAlign w:val="center"/>
          </w:tcPr>
          <w:p w14:paraId="44EFBD7A" w14:textId="77777777"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CsA</w:t>
            </w:r>
            <w:proofErr w:type="spellEnd"/>
            <w:r w:rsidRPr="004447D2">
              <w:rPr>
                <w:rFonts w:ascii="Book Antiqua" w:hAnsi="Book Antiqua"/>
                <w:sz w:val="24"/>
                <w:szCs w:val="24"/>
                <w:lang w:val="en-US"/>
              </w:rPr>
              <w:t>, EC-MPS</w:t>
            </w:r>
          </w:p>
        </w:tc>
        <w:tc>
          <w:tcPr>
            <w:tcW w:w="1418" w:type="dxa"/>
            <w:tcBorders>
              <w:top w:val="nil"/>
            </w:tcBorders>
            <w:shd w:val="clear" w:color="auto" w:fill="auto"/>
            <w:vAlign w:val="center"/>
          </w:tcPr>
          <w:p w14:paraId="3C44C16B" w14:textId="15119D6E" w:rsidR="00002F3D" w:rsidRPr="004447D2" w:rsidRDefault="00002F3D" w:rsidP="00887EC2">
            <w:pPr>
              <w:pStyle w:val="a8"/>
              <w:spacing w:line="360" w:lineRule="auto"/>
              <w:jc w:val="center"/>
              <w:rPr>
                <w:rFonts w:ascii="Book Antiqua" w:hAnsi="Book Antiqua"/>
                <w:sz w:val="24"/>
                <w:szCs w:val="24"/>
                <w:vertAlign w:val="superscript"/>
                <w:lang w:val="en-US" w:eastAsia="zh-CN"/>
              </w:rPr>
            </w:pPr>
            <w:r w:rsidRPr="004447D2">
              <w:rPr>
                <w:rFonts w:ascii="Book Antiqua" w:hAnsi="Book Antiqua"/>
                <w:sz w:val="24"/>
                <w:szCs w:val="24"/>
                <w:lang w:val="en-US"/>
              </w:rPr>
              <w:t>31.5</w:t>
            </w:r>
            <w:r w:rsidR="00AB141C" w:rsidRPr="004447D2">
              <w:rPr>
                <w:rFonts w:ascii="Book Antiqua" w:hAnsi="Book Antiqua"/>
                <w:sz w:val="24"/>
                <w:szCs w:val="24"/>
                <w:vertAlign w:val="superscript"/>
                <w:lang w:val="en-US" w:eastAsia="zh-CN"/>
              </w:rPr>
              <w:t>a</w:t>
            </w:r>
          </w:p>
          <w:p w14:paraId="34BD0661" w14:textId="77777777" w:rsidR="00002F3D" w:rsidRPr="004447D2" w:rsidRDefault="00002F3D" w:rsidP="00887EC2">
            <w:pPr>
              <w:pStyle w:val="a8"/>
              <w:spacing w:line="360" w:lineRule="auto"/>
              <w:jc w:val="center"/>
              <w:rPr>
                <w:rFonts w:ascii="Book Antiqua" w:hAnsi="Book Antiqua"/>
                <w:sz w:val="24"/>
                <w:szCs w:val="24"/>
                <w:vertAlign w:val="superscript"/>
                <w:lang w:val="en-US"/>
              </w:rPr>
            </w:pPr>
            <w:r w:rsidRPr="004447D2">
              <w:rPr>
                <w:rFonts w:ascii="Book Antiqua" w:hAnsi="Book Antiqua"/>
                <w:sz w:val="24"/>
                <w:szCs w:val="24"/>
                <w:lang w:val="en-US"/>
              </w:rPr>
              <w:t>26.1</w:t>
            </w:r>
            <w:r w:rsidRPr="004447D2">
              <w:rPr>
                <w:rFonts w:ascii="Book Antiqua" w:hAnsi="Book Antiqua"/>
                <w:sz w:val="24"/>
                <w:szCs w:val="24"/>
                <w:vertAlign w:val="superscript"/>
                <w:lang w:val="en-US"/>
              </w:rPr>
              <w:t>b</w:t>
            </w:r>
          </w:p>
          <w:p w14:paraId="52AA8F47" w14:textId="1AE11994" w:rsidR="00002F3D" w:rsidRPr="004447D2" w:rsidRDefault="00002F3D" w:rsidP="00887EC2">
            <w:pPr>
              <w:pStyle w:val="a8"/>
              <w:spacing w:line="360" w:lineRule="auto"/>
              <w:jc w:val="center"/>
              <w:rPr>
                <w:rFonts w:ascii="Book Antiqua" w:hAnsi="Book Antiqua"/>
                <w:sz w:val="24"/>
                <w:szCs w:val="24"/>
                <w:vertAlign w:val="superscript"/>
                <w:lang w:val="en-US" w:eastAsia="zh-CN"/>
              </w:rPr>
            </w:pPr>
            <w:r w:rsidRPr="004447D2">
              <w:rPr>
                <w:rFonts w:ascii="Book Antiqua" w:hAnsi="Book Antiqua"/>
                <w:sz w:val="24"/>
                <w:szCs w:val="24"/>
                <w:lang w:val="en-US"/>
              </w:rPr>
              <w:t>14.7</w:t>
            </w:r>
            <w:r w:rsidRPr="004447D2">
              <w:rPr>
                <w:rFonts w:ascii="Book Antiqua" w:hAnsi="Book Antiqua"/>
                <w:sz w:val="24"/>
                <w:szCs w:val="24"/>
                <w:vertAlign w:val="superscript"/>
                <w:lang w:val="en-US"/>
              </w:rPr>
              <w:t>b,</w:t>
            </w:r>
            <w:r w:rsidR="00AB141C" w:rsidRPr="004447D2">
              <w:rPr>
                <w:rFonts w:ascii="Book Antiqua" w:hAnsi="Book Antiqua"/>
                <w:sz w:val="24"/>
                <w:szCs w:val="24"/>
                <w:vertAlign w:val="superscript"/>
                <w:lang w:val="en-US" w:eastAsia="zh-CN"/>
              </w:rPr>
              <w:t>a</w:t>
            </w:r>
          </w:p>
        </w:tc>
        <w:tc>
          <w:tcPr>
            <w:tcW w:w="1275" w:type="dxa"/>
            <w:tcBorders>
              <w:top w:val="nil"/>
            </w:tcBorders>
            <w:shd w:val="clear" w:color="auto" w:fill="auto"/>
            <w:vAlign w:val="center"/>
          </w:tcPr>
          <w:p w14:paraId="7447810A"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96/95</w:t>
            </w:r>
          </w:p>
          <w:p w14:paraId="762E4C33"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98/98</w:t>
            </w:r>
          </w:p>
          <w:p w14:paraId="692E2C32"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97/98</w:t>
            </w:r>
          </w:p>
        </w:tc>
        <w:tc>
          <w:tcPr>
            <w:tcW w:w="993" w:type="dxa"/>
            <w:tcBorders>
              <w:top w:val="nil"/>
            </w:tcBorders>
            <w:shd w:val="clear" w:color="auto" w:fill="auto"/>
            <w:vAlign w:val="center"/>
          </w:tcPr>
          <w:p w14:paraId="2B627B1E"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12</w:t>
            </w:r>
          </w:p>
        </w:tc>
      </w:tr>
      <w:tr w:rsidR="00002F3D" w:rsidRPr="004447D2" w14:paraId="3C5E64BE" w14:textId="77777777" w:rsidTr="00002F3D">
        <w:trPr>
          <w:trHeight w:val="552"/>
        </w:trPr>
        <w:tc>
          <w:tcPr>
            <w:tcW w:w="1560" w:type="dxa"/>
            <w:shd w:val="clear" w:color="auto" w:fill="auto"/>
            <w:vAlign w:val="center"/>
          </w:tcPr>
          <w:p w14:paraId="0B602997" w14:textId="562906A3"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Hanaway</w:t>
            </w:r>
            <w:proofErr w:type="spellEnd"/>
            <w:r w:rsidRPr="004447D2">
              <w:rPr>
                <w:rFonts w:ascii="Book Antiqua" w:hAnsi="Book Antiqua"/>
                <w:sz w:val="24"/>
                <w:szCs w:val="24"/>
                <w:lang w:val="en-US"/>
              </w:rPr>
              <w:t xml:space="preserve"> </w:t>
            </w:r>
            <w:r w:rsidR="00AB141C" w:rsidRPr="004447D2">
              <w:rPr>
                <w:rFonts w:ascii="Book Antiqua" w:hAnsi="Book Antiqua"/>
                <w:i/>
                <w:sz w:val="24"/>
                <w:szCs w:val="24"/>
                <w:lang w:val="en-US" w:eastAsia="zh-CN"/>
              </w:rPr>
              <w:t>et al</w:t>
            </w:r>
            <w:r w:rsidRPr="004447D2">
              <w:rPr>
                <w:rFonts w:ascii="Book Antiqua" w:hAnsi="Book Antiqua"/>
                <w:sz w:val="24"/>
                <w:szCs w:val="24"/>
                <w:vertAlign w:val="superscript"/>
                <w:lang w:val="en-US"/>
              </w:rPr>
              <w:t>[17]</w:t>
            </w:r>
          </w:p>
        </w:tc>
        <w:tc>
          <w:tcPr>
            <w:tcW w:w="709" w:type="dxa"/>
            <w:shd w:val="clear" w:color="auto" w:fill="auto"/>
            <w:vAlign w:val="center"/>
          </w:tcPr>
          <w:p w14:paraId="0328318B"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164</w:t>
            </w:r>
          </w:p>
          <w:p w14:paraId="38015100"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171</w:t>
            </w:r>
          </w:p>
        </w:tc>
        <w:tc>
          <w:tcPr>
            <w:tcW w:w="1276" w:type="dxa"/>
            <w:shd w:val="clear" w:color="auto" w:fill="auto"/>
            <w:vAlign w:val="center"/>
          </w:tcPr>
          <w:p w14:paraId="258D4CFD"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Low</w:t>
            </w:r>
          </w:p>
          <w:p w14:paraId="38CF442D" w14:textId="3EFF73AD"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(PRA</w:t>
            </w:r>
            <w:r w:rsidRPr="004447D2">
              <w:rPr>
                <w:rFonts w:ascii="Book Antiqua" w:hAnsi="Book Antiqua"/>
                <w:sz w:val="24"/>
                <w:szCs w:val="24"/>
                <w:lang w:val="en-US" w:eastAsia="zh-CN"/>
              </w:rPr>
              <w:t xml:space="preserve"> </w:t>
            </w:r>
            <w:r w:rsidRPr="004447D2">
              <w:rPr>
                <w:rFonts w:ascii="Book Antiqua" w:hAnsi="Book Antiqua"/>
                <w:sz w:val="24"/>
                <w:szCs w:val="24"/>
                <w:lang w:val="en-US"/>
              </w:rPr>
              <w:t>&lt;</w:t>
            </w:r>
            <w:r w:rsidRPr="004447D2">
              <w:rPr>
                <w:rFonts w:ascii="Book Antiqua" w:hAnsi="Book Antiqua"/>
                <w:sz w:val="24"/>
                <w:szCs w:val="24"/>
                <w:lang w:val="en-US" w:eastAsia="zh-CN"/>
              </w:rPr>
              <w:t xml:space="preserve"> </w:t>
            </w:r>
            <w:r w:rsidRPr="004447D2">
              <w:rPr>
                <w:rFonts w:ascii="Book Antiqua" w:hAnsi="Book Antiqua"/>
                <w:sz w:val="24"/>
                <w:szCs w:val="24"/>
                <w:lang w:val="en-US"/>
              </w:rPr>
              <w:t>20%, first transplant)</w:t>
            </w:r>
          </w:p>
        </w:tc>
        <w:tc>
          <w:tcPr>
            <w:tcW w:w="1134" w:type="dxa"/>
            <w:shd w:val="clear" w:color="auto" w:fill="auto"/>
            <w:vAlign w:val="center"/>
          </w:tcPr>
          <w:p w14:paraId="02774A05"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Day 5</w:t>
            </w:r>
          </w:p>
          <w:p w14:paraId="355F42DC"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Day 5</w:t>
            </w:r>
          </w:p>
        </w:tc>
        <w:tc>
          <w:tcPr>
            <w:tcW w:w="1559" w:type="dxa"/>
            <w:shd w:val="clear" w:color="auto" w:fill="auto"/>
            <w:vAlign w:val="center"/>
          </w:tcPr>
          <w:p w14:paraId="2294CFBD" w14:textId="77777777"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Alemtuzumab</w:t>
            </w:r>
            <w:proofErr w:type="spellEnd"/>
          </w:p>
          <w:p w14:paraId="41F239A9" w14:textId="77777777"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Basiliximab</w:t>
            </w:r>
            <w:proofErr w:type="spellEnd"/>
          </w:p>
        </w:tc>
        <w:tc>
          <w:tcPr>
            <w:tcW w:w="1701" w:type="dxa"/>
            <w:shd w:val="clear" w:color="auto" w:fill="auto"/>
            <w:vAlign w:val="center"/>
          </w:tcPr>
          <w:p w14:paraId="049AE47C"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TAC, MMF</w:t>
            </w:r>
          </w:p>
        </w:tc>
        <w:tc>
          <w:tcPr>
            <w:tcW w:w="1418" w:type="dxa"/>
            <w:shd w:val="clear" w:color="auto" w:fill="auto"/>
            <w:vAlign w:val="center"/>
          </w:tcPr>
          <w:p w14:paraId="453C2597" w14:textId="77777777" w:rsidR="00002F3D" w:rsidRPr="004447D2" w:rsidRDefault="00002F3D" w:rsidP="00887EC2">
            <w:pPr>
              <w:pStyle w:val="a8"/>
              <w:spacing w:line="360" w:lineRule="auto"/>
              <w:jc w:val="center"/>
              <w:rPr>
                <w:rFonts w:ascii="Book Antiqua" w:hAnsi="Book Antiqua"/>
                <w:sz w:val="24"/>
                <w:szCs w:val="24"/>
                <w:vertAlign w:val="superscript"/>
                <w:lang w:val="en-US"/>
              </w:rPr>
            </w:pPr>
            <w:r w:rsidRPr="004447D2">
              <w:rPr>
                <w:rFonts w:ascii="Book Antiqua" w:hAnsi="Book Antiqua"/>
                <w:sz w:val="24"/>
                <w:szCs w:val="24"/>
                <w:lang w:val="en-US"/>
              </w:rPr>
              <w:t>10</w:t>
            </w:r>
            <w:r w:rsidRPr="004447D2">
              <w:rPr>
                <w:rFonts w:ascii="Book Antiqua" w:hAnsi="Book Antiqua"/>
                <w:sz w:val="24"/>
                <w:szCs w:val="24"/>
                <w:vertAlign w:val="superscript"/>
                <w:lang w:val="en-US"/>
              </w:rPr>
              <w:t>d</w:t>
            </w:r>
          </w:p>
          <w:p w14:paraId="2F7AE2B4" w14:textId="77777777" w:rsidR="00002F3D" w:rsidRPr="004447D2" w:rsidRDefault="00002F3D" w:rsidP="00887EC2">
            <w:pPr>
              <w:pStyle w:val="a8"/>
              <w:spacing w:line="360" w:lineRule="auto"/>
              <w:jc w:val="center"/>
              <w:rPr>
                <w:rFonts w:ascii="Book Antiqua" w:hAnsi="Book Antiqua"/>
                <w:sz w:val="24"/>
                <w:szCs w:val="24"/>
                <w:vertAlign w:val="superscript"/>
                <w:lang w:val="en-US"/>
              </w:rPr>
            </w:pPr>
            <w:r w:rsidRPr="004447D2">
              <w:rPr>
                <w:rFonts w:ascii="Book Antiqua" w:hAnsi="Book Antiqua"/>
                <w:sz w:val="24"/>
                <w:szCs w:val="24"/>
                <w:lang w:val="en-US"/>
              </w:rPr>
              <w:t>22</w:t>
            </w:r>
            <w:r w:rsidRPr="004447D2">
              <w:rPr>
                <w:rFonts w:ascii="Book Antiqua" w:hAnsi="Book Antiqua"/>
                <w:sz w:val="24"/>
                <w:szCs w:val="24"/>
                <w:vertAlign w:val="superscript"/>
                <w:lang w:val="en-US"/>
              </w:rPr>
              <w:t>d</w:t>
            </w:r>
          </w:p>
        </w:tc>
        <w:tc>
          <w:tcPr>
            <w:tcW w:w="1275" w:type="dxa"/>
            <w:shd w:val="clear" w:color="auto" w:fill="auto"/>
            <w:vAlign w:val="center"/>
          </w:tcPr>
          <w:p w14:paraId="1857ECDC"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93/95</w:t>
            </w:r>
          </w:p>
          <w:p w14:paraId="002662C2"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92/98</w:t>
            </w:r>
          </w:p>
        </w:tc>
        <w:tc>
          <w:tcPr>
            <w:tcW w:w="993" w:type="dxa"/>
            <w:shd w:val="clear" w:color="auto" w:fill="auto"/>
            <w:vAlign w:val="center"/>
          </w:tcPr>
          <w:p w14:paraId="5BA74DBE"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36</w:t>
            </w:r>
          </w:p>
        </w:tc>
      </w:tr>
      <w:tr w:rsidR="00002F3D" w:rsidRPr="004447D2" w14:paraId="2B422361" w14:textId="77777777" w:rsidTr="00002F3D">
        <w:trPr>
          <w:trHeight w:val="552"/>
        </w:trPr>
        <w:tc>
          <w:tcPr>
            <w:tcW w:w="1560" w:type="dxa"/>
            <w:shd w:val="clear" w:color="auto" w:fill="auto"/>
            <w:vAlign w:val="center"/>
          </w:tcPr>
          <w:p w14:paraId="0C4B9269" w14:textId="6BB2F5A4"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 xml:space="preserve">Haynes </w:t>
            </w:r>
            <w:r w:rsidR="00AB141C" w:rsidRPr="004447D2">
              <w:rPr>
                <w:rFonts w:ascii="Book Antiqua" w:hAnsi="Book Antiqua"/>
                <w:i/>
                <w:sz w:val="24"/>
                <w:szCs w:val="24"/>
                <w:lang w:val="en-US" w:eastAsia="zh-CN"/>
              </w:rPr>
              <w:t>et al</w:t>
            </w:r>
            <w:r w:rsidRPr="004447D2">
              <w:rPr>
                <w:rFonts w:ascii="Book Antiqua" w:hAnsi="Book Antiqua"/>
                <w:sz w:val="24"/>
                <w:szCs w:val="24"/>
                <w:vertAlign w:val="superscript"/>
                <w:lang w:val="en-US"/>
              </w:rPr>
              <w:t>[16]</w:t>
            </w:r>
          </w:p>
        </w:tc>
        <w:tc>
          <w:tcPr>
            <w:tcW w:w="709" w:type="dxa"/>
            <w:shd w:val="clear" w:color="auto" w:fill="auto"/>
            <w:vAlign w:val="center"/>
          </w:tcPr>
          <w:p w14:paraId="4A3C8143"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426</w:t>
            </w:r>
          </w:p>
          <w:p w14:paraId="0E37CD3F"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426</w:t>
            </w:r>
          </w:p>
        </w:tc>
        <w:tc>
          <w:tcPr>
            <w:tcW w:w="1276" w:type="dxa"/>
            <w:shd w:val="clear" w:color="auto" w:fill="auto"/>
            <w:vAlign w:val="center"/>
          </w:tcPr>
          <w:p w14:paraId="0DC99E91"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Unselected</w:t>
            </w:r>
          </w:p>
          <w:p w14:paraId="0AD4C864"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patients</w:t>
            </w:r>
          </w:p>
        </w:tc>
        <w:tc>
          <w:tcPr>
            <w:tcW w:w="1134" w:type="dxa"/>
            <w:shd w:val="clear" w:color="auto" w:fill="auto"/>
            <w:vAlign w:val="center"/>
          </w:tcPr>
          <w:p w14:paraId="20186225"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No CS</w:t>
            </w:r>
          </w:p>
          <w:p w14:paraId="6279F9A9"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Standard CS</w:t>
            </w:r>
          </w:p>
        </w:tc>
        <w:tc>
          <w:tcPr>
            <w:tcW w:w="1559" w:type="dxa"/>
            <w:shd w:val="clear" w:color="auto" w:fill="auto"/>
            <w:vAlign w:val="center"/>
          </w:tcPr>
          <w:p w14:paraId="7C6BA886" w14:textId="77777777"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Alemtuzumab</w:t>
            </w:r>
            <w:proofErr w:type="spellEnd"/>
          </w:p>
          <w:p w14:paraId="492D1E9B" w14:textId="77777777" w:rsidR="00002F3D" w:rsidRPr="004447D2" w:rsidRDefault="00002F3D" w:rsidP="00887EC2">
            <w:pPr>
              <w:pStyle w:val="a8"/>
              <w:spacing w:line="360" w:lineRule="auto"/>
              <w:jc w:val="center"/>
              <w:rPr>
                <w:rFonts w:ascii="Book Antiqua" w:hAnsi="Book Antiqua"/>
                <w:sz w:val="24"/>
                <w:szCs w:val="24"/>
                <w:lang w:val="en-US"/>
              </w:rPr>
            </w:pPr>
            <w:proofErr w:type="spellStart"/>
            <w:r w:rsidRPr="004447D2">
              <w:rPr>
                <w:rFonts w:ascii="Book Antiqua" w:hAnsi="Book Antiqua"/>
                <w:sz w:val="24"/>
                <w:szCs w:val="24"/>
                <w:lang w:val="en-US"/>
              </w:rPr>
              <w:t>Basiliximab</w:t>
            </w:r>
            <w:proofErr w:type="spellEnd"/>
          </w:p>
        </w:tc>
        <w:tc>
          <w:tcPr>
            <w:tcW w:w="1701" w:type="dxa"/>
            <w:shd w:val="clear" w:color="auto" w:fill="auto"/>
            <w:vAlign w:val="center"/>
          </w:tcPr>
          <w:p w14:paraId="62FBF8CC"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Low-dose TAC-MMF Standard TAC-MMF</w:t>
            </w:r>
          </w:p>
        </w:tc>
        <w:tc>
          <w:tcPr>
            <w:tcW w:w="1418" w:type="dxa"/>
            <w:shd w:val="clear" w:color="auto" w:fill="auto"/>
            <w:vAlign w:val="center"/>
          </w:tcPr>
          <w:p w14:paraId="778497CD" w14:textId="751F3C80" w:rsidR="00002F3D" w:rsidRPr="004447D2" w:rsidRDefault="00002F3D" w:rsidP="00887EC2">
            <w:pPr>
              <w:pStyle w:val="a8"/>
              <w:spacing w:line="360" w:lineRule="auto"/>
              <w:jc w:val="center"/>
              <w:rPr>
                <w:rFonts w:ascii="Book Antiqua" w:hAnsi="Book Antiqua"/>
                <w:sz w:val="24"/>
                <w:szCs w:val="24"/>
                <w:vertAlign w:val="superscript"/>
                <w:lang w:val="en-US" w:eastAsia="zh-CN"/>
              </w:rPr>
            </w:pPr>
            <w:r w:rsidRPr="004447D2">
              <w:rPr>
                <w:rFonts w:ascii="Book Antiqua" w:hAnsi="Book Antiqua"/>
                <w:sz w:val="24"/>
                <w:szCs w:val="24"/>
                <w:lang w:val="en-US"/>
              </w:rPr>
              <w:t>7</w:t>
            </w:r>
            <w:r w:rsidR="00AB141C" w:rsidRPr="004447D2">
              <w:rPr>
                <w:rFonts w:ascii="Book Antiqua" w:hAnsi="Book Antiqua"/>
                <w:sz w:val="24"/>
                <w:szCs w:val="24"/>
                <w:vertAlign w:val="superscript"/>
                <w:lang w:val="en-US" w:eastAsia="zh-CN"/>
              </w:rPr>
              <w:t>h</w:t>
            </w:r>
          </w:p>
          <w:p w14:paraId="34C090AE" w14:textId="1448BAD3" w:rsidR="00002F3D" w:rsidRPr="004447D2" w:rsidRDefault="00002F3D" w:rsidP="00887EC2">
            <w:pPr>
              <w:pStyle w:val="a8"/>
              <w:spacing w:line="360" w:lineRule="auto"/>
              <w:jc w:val="center"/>
              <w:rPr>
                <w:rFonts w:ascii="Book Antiqua" w:hAnsi="Book Antiqua"/>
                <w:sz w:val="24"/>
                <w:szCs w:val="24"/>
                <w:vertAlign w:val="superscript"/>
                <w:lang w:val="en-US" w:eastAsia="zh-CN"/>
              </w:rPr>
            </w:pPr>
            <w:r w:rsidRPr="004447D2">
              <w:rPr>
                <w:rFonts w:ascii="Book Antiqua" w:hAnsi="Book Antiqua"/>
                <w:sz w:val="24"/>
                <w:szCs w:val="24"/>
                <w:lang w:val="en-US"/>
              </w:rPr>
              <w:t>16</w:t>
            </w:r>
            <w:r w:rsidR="00AB141C" w:rsidRPr="004447D2">
              <w:rPr>
                <w:rFonts w:ascii="Book Antiqua" w:hAnsi="Book Antiqua"/>
                <w:sz w:val="24"/>
                <w:szCs w:val="24"/>
                <w:vertAlign w:val="superscript"/>
                <w:lang w:val="en-US" w:eastAsia="zh-CN"/>
              </w:rPr>
              <w:t>h</w:t>
            </w:r>
          </w:p>
        </w:tc>
        <w:tc>
          <w:tcPr>
            <w:tcW w:w="1275" w:type="dxa"/>
            <w:shd w:val="clear" w:color="auto" w:fill="auto"/>
            <w:vAlign w:val="center"/>
          </w:tcPr>
          <w:p w14:paraId="5A7B2AC4"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96/97</w:t>
            </w:r>
          </w:p>
          <w:p w14:paraId="42248CF3"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97/99</w:t>
            </w:r>
          </w:p>
        </w:tc>
        <w:tc>
          <w:tcPr>
            <w:tcW w:w="993" w:type="dxa"/>
            <w:shd w:val="clear" w:color="auto" w:fill="auto"/>
            <w:vAlign w:val="center"/>
          </w:tcPr>
          <w:p w14:paraId="0F4027C3" w14:textId="77777777" w:rsidR="00002F3D" w:rsidRPr="004447D2" w:rsidRDefault="00002F3D" w:rsidP="00887EC2">
            <w:pPr>
              <w:pStyle w:val="a8"/>
              <w:spacing w:line="360" w:lineRule="auto"/>
              <w:jc w:val="center"/>
              <w:rPr>
                <w:rFonts w:ascii="Book Antiqua" w:hAnsi="Book Antiqua"/>
                <w:sz w:val="24"/>
                <w:szCs w:val="24"/>
                <w:lang w:val="en-US"/>
              </w:rPr>
            </w:pPr>
            <w:r w:rsidRPr="004447D2">
              <w:rPr>
                <w:rFonts w:ascii="Book Antiqua" w:hAnsi="Book Antiqua"/>
                <w:sz w:val="24"/>
                <w:szCs w:val="24"/>
                <w:lang w:val="en-US"/>
              </w:rPr>
              <w:t>6</w:t>
            </w:r>
          </w:p>
        </w:tc>
      </w:tr>
    </w:tbl>
    <w:p w14:paraId="41E92ACE" w14:textId="7B12C201" w:rsidR="006B12A7" w:rsidRPr="004447D2" w:rsidRDefault="00AB141C" w:rsidP="00887EC2">
      <w:pPr>
        <w:pStyle w:val="a8"/>
        <w:spacing w:line="360" w:lineRule="auto"/>
        <w:jc w:val="both"/>
        <w:rPr>
          <w:rFonts w:ascii="Book Antiqua" w:hAnsi="Book Antiqua"/>
          <w:sz w:val="24"/>
          <w:szCs w:val="24"/>
          <w:lang w:val="en-US" w:eastAsia="zh-CN"/>
        </w:rPr>
      </w:pPr>
      <w:proofErr w:type="spellStart"/>
      <w:proofErr w:type="gramStart"/>
      <w:r w:rsidRPr="004447D2">
        <w:rPr>
          <w:rFonts w:ascii="Book Antiqua" w:hAnsi="Book Antiqua"/>
          <w:sz w:val="24"/>
          <w:szCs w:val="24"/>
          <w:vertAlign w:val="superscript"/>
          <w:lang w:val="en-US" w:eastAsia="zh-CN"/>
        </w:rPr>
        <w:lastRenderedPageBreak/>
        <w:t>a</w:t>
      </w:r>
      <w:r w:rsidRPr="004447D2">
        <w:rPr>
          <w:rFonts w:ascii="Book Antiqua" w:hAnsi="Book Antiqua"/>
          <w:i/>
          <w:sz w:val="24"/>
          <w:szCs w:val="24"/>
          <w:lang w:val="en-US"/>
        </w:rPr>
        <w:t>P</w:t>
      </w:r>
      <w:proofErr w:type="spellEnd"/>
      <w:proofErr w:type="gramEnd"/>
      <w:r w:rsidRPr="004447D2">
        <w:rPr>
          <w:rFonts w:ascii="Book Antiqua" w:hAnsi="Book Antiqua"/>
          <w:sz w:val="24"/>
          <w:szCs w:val="24"/>
          <w:lang w:val="en-US" w:eastAsia="zh-CN"/>
        </w:rPr>
        <w:t xml:space="preserve"> </w:t>
      </w:r>
      <w:r w:rsidRPr="004447D2">
        <w:rPr>
          <w:rFonts w:ascii="Book Antiqua" w:hAnsi="Book Antiqua"/>
          <w:sz w:val="24"/>
          <w:szCs w:val="24"/>
          <w:lang w:val="en-US"/>
        </w:rPr>
        <w:t>=</w:t>
      </w:r>
      <w:r w:rsidRPr="004447D2">
        <w:rPr>
          <w:rFonts w:ascii="Book Antiqua" w:hAnsi="Book Antiqua"/>
          <w:sz w:val="24"/>
          <w:szCs w:val="24"/>
          <w:lang w:val="en-US" w:eastAsia="zh-CN"/>
        </w:rPr>
        <w:t xml:space="preserve"> </w:t>
      </w:r>
      <w:r w:rsidRPr="004447D2">
        <w:rPr>
          <w:rFonts w:ascii="Book Antiqua" w:hAnsi="Book Antiqua"/>
          <w:sz w:val="24"/>
          <w:szCs w:val="24"/>
          <w:lang w:val="en-US"/>
        </w:rPr>
        <w:t>0.046,</w:t>
      </w:r>
      <w:r w:rsidRPr="004447D2">
        <w:rPr>
          <w:rFonts w:ascii="Book Antiqua" w:hAnsi="Book Antiqua"/>
          <w:sz w:val="24"/>
          <w:szCs w:val="24"/>
          <w:lang w:val="en-US" w:eastAsia="zh-CN"/>
        </w:rPr>
        <w:t xml:space="preserve"> </w:t>
      </w:r>
      <w:proofErr w:type="spellStart"/>
      <w:r w:rsidR="00FB54B3" w:rsidRPr="004447D2">
        <w:rPr>
          <w:rFonts w:ascii="Book Antiqua" w:hAnsi="Book Antiqua"/>
          <w:sz w:val="24"/>
          <w:szCs w:val="24"/>
          <w:vertAlign w:val="superscript"/>
          <w:lang w:val="en-US"/>
        </w:rPr>
        <w:t>b</w:t>
      </w:r>
      <w:r w:rsidR="00EF291F" w:rsidRPr="004447D2">
        <w:rPr>
          <w:rFonts w:ascii="Book Antiqua" w:hAnsi="Book Antiqua"/>
          <w:i/>
          <w:sz w:val="24"/>
          <w:szCs w:val="24"/>
          <w:lang w:val="en-US"/>
        </w:rPr>
        <w:t>P</w:t>
      </w:r>
      <w:proofErr w:type="spellEnd"/>
      <w:r w:rsidR="00FB54B3" w:rsidRPr="004447D2">
        <w:rPr>
          <w:rFonts w:ascii="Book Antiqua" w:hAnsi="Book Antiqua"/>
          <w:sz w:val="24"/>
          <w:szCs w:val="24"/>
          <w:lang w:val="en-US" w:eastAsia="zh-CN"/>
        </w:rPr>
        <w:t xml:space="preserve"> </w:t>
      </w:r>
      <w:r w:rsidR="00FB54B3" w:rsidRPr="004447D2">
        <w:rPr>
          <w:rFonts w:ascii="Book Antiqua" w:hAnsi="Book Antiqua"/>
          <w:sz w:val="24"/>
          <w:szCs w:val="24"/>
          <w:lang w:val="en-US"/>
        </w:rPr>
        <w:t>=</w:t>
      </w:r>
      <w:r w:rsidR="00FB54B3" w:rsidRPr="004447D2">
        <w:rPr>
          <w:rFonts w:ascii="Book Antiqua" w:hAnsi="Book Antiqua"/>
          <w:sz w:val="24"/>
          <w:szCs w:val="24"/>
          <w:lang w:val="en-US" w:eastAsia="zh-CN"/>
        </w:rPr>
        <w:t xml:space="preserve"> </w:t>
      </w:r>
      <w:r w:rsidR="00FB54B3" w:rsidRPr="004447D2">
        <w:rPr>
          <w:rFonts w:ascii="Book Antiqua" w:hAnsi="Book Antiqua"/>
          <w:sz w:val="24"/>
          <w:szCs w:val="24"/>
          <w:lang w:val="en-US"/>
        </w:rPr>
        <w:t xml:space="preserve">0.004, </w:t>
      </w:r>
      <w:proofErr w:type="spellStart"/>
      <w:r w:rsidR="00FB54B3" w:rsidRPr="004447D2">
        <w:rPr>
          <w:rFonts w:ascii="Book Antiqua" w:hAnsi="Book Antiqua"/>
          <w:sz w:val="24"/>
          <w:szCs w:val="24"/>
          <w:vertAlign w:val="superscript"/>
          <w:lang w:val="en-US"/>
        </w:rPr>
        <w:t>d</w:t>
      </w:r>
      <w:r w:rsidR="00EF291F" w:rsidRPr="004447D2">
        <w:rPr>
          <w:rFonts w:ascii="Book Antiqua" w:hAnsi="Book Antiqua"/>
          <w:i/>
          <w:sz w:val="24"/>
          <w:szCs w:val="24"/>
          <w:lang w:val="en-US"/>
        </w:rPr>
        <w:t>P</w:t>
      </w:r>
      <w:proofErr w:type="spellEnd"/>
      <w:r w:rsidR="00FB54B3" w:rsidRPr="004447D2">
        <w:rPr>
          <w:rFonts w:ascii="Book Antiqua" w:hAnsi="Book Antiqua"/>
          <w:sz w:val="24"/>
          <w:szCs w:val="24"/>
          <w:lang w:val="en-US" w:eastAsia="zh-CN"/>
        </w:rPr>
        <w:t xml:space="preserve"> </w:t>
      </w:r>
      <w:r w:rsidR="00FB54B3" w:rsidRPr="004447D2">
        <w:rPr>
          <w:rFonts w:ascii="Book Antiqua" w:hAnsi="Book Antiqua"/>
          <w:sz w:val="24"/>
          <w:szCs w:val="24"/>
          <w:lang w:val="en-US"/>
        </w:rPr>
        <w:t>=</w:t>
      </w:r>
      <w:r w:rsidR="00FB54B3" w:rsidRPr="004447D2">
        <w:rPr>
          <w:rFonts w:ascii="Book Antiqua" w:hAnsi="Book Antiqua"/>
          <w:sz w:val="24"/>
          <w:szCs w:val="24"/>
          <w:lang w:val="en-US" w:eastAsia="zh-CN"/>
        </w:rPr>
        <w:t xml:space="preserve"> </w:t>
      </w:r>
      <w:r w:rsidR="00FB54B3" w:rsidRPr="004447D2">
        <w:rPr>
          <w:rFonts w:ascii="Book Antiqua" w:hAnsi="Book Antiqua"/>
          <w:sz w:val="24"/>
          <w:szCs w:val="24"/>
          <w:lang w:val="en-US"/>
        </w:rPr>
        <w:t xml:space="preserve">0.003, </w:t>
      </w:r>
      <w:proofErr w:type="spellStart"/>
      <w:r w:rsidRPr="004447D2">
        <w:rPr>
          <w:rFonts w:ascii="Book Antiqua" w:hAnsi="Book Antiqua"/>
          <w:sz w:val="24"/>
          <w:szCs w:val="24"/>
          <w:vertAlign w:val="superscript"/>
          <w:lang w:val="en-US" w:eastAsia="zh-CN"/>
        </w:rPr>
        <w:t>f</w:t>
      </w:r>
      <w:r w:rsidRPr="004447D2">
        <w:rPr>
          <w:rFonts w:ascii="Book Antiqua" w:hAnsi="Book Antiqua"/>
          <w:i/>
          <w:sz w:val="24"/>
          <w:szCs w:val="24"/>
          <w:lang w:val="en-US"/>
        </w:rPr>
        <w:t>P</w:t>
      </w:r>
      <w:proofErr w:type="spellEnd"/>
      <w:r w:rsidRPr="004447D2">
        <w:rPr>
          <w:rFonts w:ascii="Book Antiqua" w:hAnsi="Book Antiqua"/>
          <w:sz w:val="24"/>
          <w:szCs w:val="24"/>
          <w:lang w:val="en-US" w:eastAsia="zh-CN"/>
        </w:rPr>
        <w:t xml:space="preserve"> </w:t>
      </w:r>
      <w:r w:rsidRPr="004447D2">
        <w:rPr>
          <w:rFonts w:ascii="Book Antiqua" w:hAnsi="Book Antiqua"/>
          <w:sz w:val="24"/>
          <w:szCs w:val="24"/>
          <w:lang w:val="en-US"/>
        </w:rPr>
        <w:t>&lt;</w:t>
      </w:r>
      <w:r w:rsidRPr="004447D2">
        <w:rPr>
          <w:rFonts w:ascii="Book Antiqua" w:hAnsi="Book Antiqua"/>
          <w:sz w:val="24"/>
          <w:szCs w:val="24"/>
          <w:lang w:val="en-US" w:eastAsia="zh-CN"/>
        </w:rPr>
        <w:t xml:space="preserve"> </w:t>
      </w:r>
      <w:r w:rsidRPr="004447D2">
        <w:rPr>
          <w:rFonts w:ascii="Book Antiqua" w:hAnsi="Book Antiqua"/>
          <w:sz w:val="24"/>
          <w:szCs w:val="24"/>
          <w:lang w:val="en-US"/>
        </w:rPr>
        <w:t>0.001,</w:t>
      </w:r>
      <w:r w:rsidRPr="004447D2">
        <w:rPr>
          <w:rFonts w:ascii="Book Antiqua" w:hAnsi="Book Antiqua"/>
          <w:sz w:val="24"/>
          <w:szCs w:val="24"/>
          <w:lang w:val="en-US" w:eastAsia="zh-CN"/>
        </w:rPr>
        <w:t xml:space="preserve"> </w:t>
      </w:r>
      <w:proofErr w:type="spellStart"/>
      <w:r w:rsidRPr="004447D2">
        <w:rPr>
          <w:rFonts w:ascii="Book Antiqua" w:hAnsi="Book Antiqua"/>
          <w:sz w:val="24"/>
          <w:szCs w:val="24"/>
          <w:vertAlign w:val="superscript"/>
          <w:lang w:val="en-US" w:eastAsia="zh-CN"/>
        </w:rPr>
        <w:t>h</w:t>
      </w:r>
      <w:r w:rsidR="00EF291F" w:rsidRPr="004447D2">
        <w:rPr>
          <w:rFonts w:ascii="Book Antiqua" w:hAnsi="Book Antiqua"/>
          <w:i/>
          <w:sz w:val="24"/>
          <w:szCs w:val="24"/>
          <w:lang w:val="en-US"/>
        </w:rPr>
        <w:t>P</w:t>
      </w:r>
      <w:proofErr w:type="spellEnd"/>
      <w:r w:rsidR="00FB54B3" w:rsidRPr="004447D2">
        <w:rPr>
          <w:rFonts w:ascii="Book Antiqua" w:hAnsi="Book Antiqua"/>
          <w:sz w:val="24"/>
          <w:szCs w:val="24"/>
          <w:lang w:val="en-US" w:eastAsia="zh-CN"/>
        </w:rPr>
        <w:t xml:space="preserve"> </w:t>
      </w:r>
      <w:r w:rsidR="00FB54B3" w:rsidRPr="004447D2">
        <w:rPr>
          <w:rFonts w:ascii="Book Antiqua" w:hAnsi="Book Antiqua"/>
          <w:sz w:val="24"/>
          <w:szCs w:val="24"/>
          <w:lang w:val="en-US"/>
        </w:rPr>
        <w:t>=</w:t>
      </w:r>
      <w:r w:rsidR="00FB54B3" w:rsidRPr="004447D2">
        <w:rPr>
          <w:rFonts w:ascii="Book Antiqua" w:hAnsi="Book Antiqua"/>
          <w:sz w:val="24"/>
          <w:szCs w:val="24"/>
          <w:lang w:val="en-US" w:eastAsia="zh-CN"/>
        </w:rPr>
        <w:t xml:space="preserve"> </w:t>
      </w:r>
      <w:r w:rsidR="00FB54B3" w:rsidRPr="004447D2">
        <w:rPr>
          <w:rFonts w:ascii="Book Antiqua" w:hAnsi="Book Antiqua"/>
          <w:sz w:val="24"/>
          <w:szCs w:val="24"/>
          <w:lang w:val="en-US"/>
        </w:rPr>
        <w:t>0.0001.</w:t>
      </w:r>
      <w:r w:rsidR="00FB54B3" w:rsidRPr="004447D2">
        <w:rPr>
          <w:rFonts w:ascii="Book Antiqua" w:hAnsi="Book Antiqua"/>
          <w:sz w:val="24"/>
          <w:szCs w:val="24"/>
          <w:lang w:val="en-US" w:eastAsia="zh-CN"/>
        </w:rPr>
        <w:t xml:space="preserve"> </w:t>
      </w:r>
      <w:r w:rsidR="006B12A7" w:rsidRPr="004447D2">
        <w:rPr>
          <w:rFonts w:ascii="Book Antiqua" w:hAnsi="Book Antiqua"/>
          <w:sz w:val="24"/>
          <w:szCs w:val="24"/>
          <w:lang w:val="en-US"/>
        </w:rPr>
        <w:t>CS</w:t>
      </w:r>
      <w:r w:rsidR="00002F3D" w:rsidRPr="004447D2">
        <w:rPr>
          <w:rFonts w:ascii="Book Antiqua" w:hAnsi="Book Antiqua"/>
          <w:sz w:val="24"/>
          <w:szCs w:val="24"/>
          <w:lang w:val="en-US" w:eastAsia="zh-CN"/>
        </w:rPr>
        <w:t>:</w:t>
      </w:r>
      <w:r w:rsidR="006B12A7" w:rsidRPr="004447D2">
        <w:rPr>
          <w:rFonts w:ascii="Book Antiqua" w:hAnsi="Book Antiqua"/>
          <w:sz w:val="24"/>
          <w:szCs w:val="24"/>
          <w:lang w:val="en-US"/>
        </w:rPr>
        <w:t xml:space="preserve"> </w:t>
      </w:r>
      <w:r w:rsidR="00002F3D" w:rsidRPr="004447D2">
        <w:rPr>
          <w:rFonts w:ascii="Book Antiqua" w:hAnsi="Book Antiqua"/>
          <w:sz w:val="24"/>
          <w:szCs w:val="24"/>
          <w:lang w:val="en-US"/>
        </w:rPr>
        <w:t>C</w:t>
      </w:r>
      <w:r w:rsidR="006B12A7" w:rsidRPr="004447D2">
        <w:rPr>
          <w:rFonts w:ascii="Book Antiqua" w:hAnsi="Book Antiqua"/>
          <w:sz w:val="24"/>
          <w:szCs w:val="24"/>
          <w:lang w:val="en-US"/>
        </w:rPr>
        <w:t xml:space="preserve">orticosteroids; </w:t>
      </w:r>
      <w:proofErr w:type="spellStart"/>
      <w:r w:rsidR="006B12A7" w:rsidRPr="004447D2">
        <w:rPr>
          <w:rFonts w:ascii="Book Antiqua" w:hAnsi="Book Antiqua"/>
          <w:sz w:val="24"/>
          <w:szCs w:val="24"/>
          <w:lang w:val="en-US"/>
        </w:rPr>
        <w:t>CsA</w:t>
      </w:r>
      <w:proofErr w:type="spellEnd"/>
      <w:r w:rsidR="00002F3D" w:rsidRPr="004447D2">
        <w:rPr>
          <w:rFonts w:ascii="Book Antiqua" w:hAnsi="Book Antiqua"/>
          <w:sz w:val="24"/>
          <w:szCs w:val="24"/>
          <w:lang w:val="en-US" w:eastAsia="zh-CN"/>
        </w:rPr>
        <w:t>:</w:t>
      </w:r>
      <w:r w:rsidR="006B12A7" w:rsidRPr="004447D2">
        <w:rPr>
          <w:rFonts w:ascii="Book Antiqua" w:hAnsi="Book Antiqua"/>
          <w:sz w:val="24"/>
          <w:szCs w:val="24"/>
          <w:lang w:val="en-US"/>
        </w:rPr>
        <w:t xml:space="preserve"> </w:t>
      </w:r>
      <w:r w:rsidR="00002F3D" w:rsidRPr="004447D2">
        <w:rPr>
          <w:rFonts w:ascii="Book Antiqua" w:hAnsi="Book Antiqua"/>
          <w:sz w:val="24"/>
          <w:szCs w:val="24"/>
          <w:lang w:val="en-US"/>
        </w:rPr>
        <w:t>C</w:t>
      </w:r>
      <w:r w:rsidR="006B12A7" w:rsidRPr="004447D2">
        <w:rPr>
          <w:rFonts w:ascii="Book Antiqua" w:hAnsi="Book Antiqua"/>
          <w:sz w:val="24"/>
          <w:szCs w:val="24"/>
          <w:lang w:val="en-US"/>
        </w:rPr>
        <w:t>yclosporine; EC-MPS</w:t>
      </w:r>
      <w:r w:rsidR="00002F3D" w:rsidRPr="004447D2">
        <w:rPr>
          <w:rFonts w:ascii="Book Antiqua" w:hAnsi="Book Antiqua"/>
          <w:sz w:val="24"/>
          <w:szCs w:val="24"/>
          <w:lang w:val="en-US" w:eastAsia="zh-CN"/>
        </w:rPr>
        <w:t>:</w:t>
      </w:r>
      <w:r w:rsidR="006B12A7" w:rsidRPr="004447D2">
        <w:rPr>
          <w:rFonts w:ascii="Book Antiqua" w:hAnsi="Book Antiqua"/>
          <w:sz w:val="24"/>
          <w:szCs w:val="24"/>
          <w:lang w:val="en-US"/>
        </w:rPr>
        <w:t xml:space="preserve"> </w:t>
      </w:r>
      <w:r w:rsidR="00002F3D" w:rsidRPr="004447D2">
        <w:rPr>
          <w:rFonts w:ascii="Book Antiqua" w:hAnsi="Book Antiqua"/>
          <w:sz w:val="24"/>
          <w:szCs w:val="24"/>
          <w:lang w:val="en-US"/>
        </w:rPr>
        <w:t>E</w:t>
      </w:r>
      <w:r w:rsidR="006B12A7" w:rsidRPr="004447D2">
        <w:rPr>
          <w:rFonts w:ascii="Book Antiqua" w:hAnsi="Book Antiqua"/>
          <w:sz w:val="24"/>
          <w:szCs w:val="24"/>
          <w:lang w:val="en-US"/>
        </w:rPr>
        <w:t xml:space="preserve">nteric-coated </w:t>
      </w:r>
      <w:proofErr w:type="spellStart"/>
      <w:r w:rsidR="006B12A7" w:rsidRPr="004447D2">
        <w:rPr>
          <w:rFonts w:ascii="Book Antiqua" w:hAnsi="Book Antiqua"/>
          <w:sz w:val="24"/>
          <w:szCs w:val="24"/>
          <w:lang w:val="en-US"/>
        </w:rPr>
        <w:t>mycophenolate</w:t>
      </w:r>
      <w:proofErr w:type="spellEnd"/>
      <w:r w:rsidR="006B12A7" w:rsidRPr="004447D2">
        <w:rPr>
          <w:rFonts w:ascii="Book Antiqua" w:hAnsi="Book Antiqua"/>
          <w:sz w:val="24"/>
          <w:szCs w:val="24"/>
          <w:lang w:val="en-US"/>
        </w:rPr>
        <w:t xml:space="preserve"> sodium; MMF</w:t>
      </w:r>
      <w:r w:rsidR="00002F3D" w:rsidRPr="004447D2">
        <w:rPr>
          <w:rFonts w:ascii="Book Antiqua" w:hAnsi="Book Antiqua"/>
          <w:sz w:val="24"/>
          <w:szCs w:val="24"/>
          <w:lang w:val="en-US" w:eastAsia="zh-CN"/>
        </w:rPr>
        <w:t>:</w:t>
      </w:r>
      <w:r w:rsidR="006B12A7" w:rsidRPr="004447D2">
        <w:rPr>
          <w:rFonts w:ascii="Book Antiqua" w:hAnsi="Book Antiqua"/>
          <w:sz w:val="24"/>
          <w:szCs w:val="24"/>
          <w:lang w:val="en-US"/>
        </w:rPr>
        <w:t xml:space="preserve"> </w:t>
      </w:r>
      <w:proofErr w:type="spellStart"/>
      <w:r w:rsidR="00002F3D" w:rsidRPr="004447D2">
        <w:rPr>
          <w:rFonts w:ascii="Book Antiqua" w:hAnsi="Book Antiqua"/>
          <w:sz w:val="24"/>
          <w:szCs w:val="24"/>
          <w:lang w:val="en-US"/>
        </w:rPr>
        <w:t>M</w:t>
      </w:r>
      <w:r w:rsidR="006B12A7" w:rsidRPr="004447D2">
        <w:rPr>
          <w:rFonts w:ascii="Book Antiqua" w:hAnsi="Book Antiqua"/>
          <w:sz w:val="24"/>
          <w:szCs w:val="24"/>
          <w:lang w:val="en-US"/>
        </w:rPr>
        <w:t>ycophenolate</w:t>
      </w:r>
      <w:proofErr w:type="spellEnd"/>
      <w:r w:rsidR="006B12A7" w:rsidRPr="004447D2">
        <w:rPr>
          <w:rFonts w:ascii="Book Antiqua" w:hAnsi="Book Antiqua"/>
          <w:sz w:val="24"/>
          <w:szCs w:val="24"/>
          <w:lang w:val="en-US"/>
        </w:rPr>
        <w:t xml:space="preserve"> </w:t>
      </w:r>
      <w:proofErr w:type="spellStart"/>
      <w:r w:rsidR="006B12A7" w:rsidRPr="004447D2">
        <w:rPr>
          <w:rFonts w:ascii="Book Antiqua" w:hAnsi="Book Antiqua"/>
          <w:sz w:val="24"/>
          <w:szCs w:val="24"/>
          <w:lang w:val="en-US"/>
        </w:rPr>
        <w:t>mofetil</w:t>
      </w:r>
      <w:proofErr w:type="spellEnd"/>
      <w:r w:rsidR="006B12A7" w:rsidRPr="004447D2">
        <w:rPr>
          <w:rFonts w:ascii="Book Antiqua" w:hAnsi="Book Antiqua"/>
          <w:sz w:val="24"/>
          <w:szCs w:val="24"/>
          <w:lang w:val="en-US"/>
        </w:rPr>
        <w:t>; NR</w:t>
      </w:r>
      <w:r w:rsidR="00002F3D" w:rsidRPr="004447D2">
        <w:rPr>
          <w:rFonts w:ascii="Book Antiqua" w:hAnsi="Book Antiqua"/>
          <w:sz w:val="24"/>
          <w:szCs w:val="24"/>
          <w:lang w:val="en-US" w:eastAsia="zh-CN"/>
        </w:rPr>
        <w:t>:</w:t>
      </w:r>
      <w:r w:rsidR="006B12A7" w:rsidRPr="004447D2">
        <w:rPr>
          <w:rFonts w:ascii="Book Antiqua" w:hAnsi="Book Antiqua"/>
          <w:sz w:val="24"/>
          <w:szCs w:val="24"/>
          <w:lang w:val="en-US"/>
        </w:rPr>
        <w:t xml:space="preserve"> </w:t>
      </w:r>
      <w:r w:rsidR="00002F3D" w:rsidRPr="004447D2">
        <w:rPr>
          <w:rFonts w:ascii="Book Antiqua" w:hAnsi="Book Antiqua"/>
          <w:sz w:val="24"/>
          <w:szCs w:val="24"/>
          <w:lang w:val="en-US"/>
        </w:rPr>
        <w:t>N</w:t>
      </w:r>
      <w:r w:rsidR="006B12A7" w:rsidRPr="004447D2">
        <w:rPr>
          <w:rFonts w:ascii="Book Antiqua" w:hAnsi="Book Antiqua"/>
          <w:sz w:val="24"/>
          <w:szCs w:val="24"/>
          <w:lang w:val="en-US"/>
        </w:rPr>
        <w:t>ot reported; PRA</w:t>
      </w:r>
      <w:r w:rsidR="00002F3D" w:rsidRPr="004447D2">
        <w:rPr>
          <w:rFonts w:ascii="Book Antiqua" w:hAnsi="Book Antiqua"/>
          <w:sz w:val="24"/>
          <w:szCs w:val="24"/>
          <w:lang w:val="en-US" w:eastAsia="zh-CN"/>
        </w:rPr>
        <w:t>:</w:t>
      </w:r>
      <w:r w:rsidR="006B12A7" w:rsidRPr="004447D2">
        <w:rPr>
          <w:rFonts w:ascii="Book Antiqua" w:hAnsi="Book Antiqua"/>
          <w:sz w:val="24"/>
          <w:szCs w:val="24"/>
          <w:lang w:val="en-US"/>
        </w:rPr>
        <w:t xml:space="preserve"> </w:t>
      </w:r>
      <w:r w:rsidR="00002F3D" w:rsidRPr="004447D2">
        <w:rPr>
          <w:rFonts w:ascii="Book Antiqua" w:hAnsi="Book Antiqua"/>
          <w:sz w:val="24"/>
          <w:szCs w:val="24"/>
          <w:lang w:val="en-US"/>
        </w:rPr>
        <w:t>P</w:t>
      </w:r>
      <w:r w:rsidR="006B12A7" w:rsidRPr="004447D2">
        <w:rPr>
          <w:rFonts w:ascii="Book Antiqua" w:hAnsi="Book Antiqua"/>
          <w:sz w:val="24"/>
          <w:szCs w:val="24"/>
          <w:lang w:val="en-US"/>
        </w:rPr>
        <w:t xml:space="preserve">anel-reactive antibodies; </w:t>
      </w:r>
      <w:proofErr w:type="spellStart"/>
      <w:r w:rsidR="006B12A7" w:rsidRPr="004447D2">
        <w:rPr>
          <w:rFonts w:ascii="Book Antiqua" w:hAnsi="Book Antiqua"/>
          <w:sz w:val="24"/>
          <w:szCs w:val="24"/>
          <w:lang w:val="en-US"/>
        </w:rPr>
        <w:t>rALG</w:t>
      </w:r>
      <w:proofErr w:type="spellEnd"/>
      <w:r w:rsidR="00002F3D" w:rsidRPr="004447D2">
        <w:rPr>
          <w:rFonts w:ascii="Book Antiqua" w:hAnsi="Book Antiqua"/>
          <w:sz w:val="24"/>
          <w:szCs w:val="24"/>
          <w:lang w:val="en-US" w:eastAsia="zh-CN"/>
        </w:rPr>
        <w:t>:</w:t>
      </w:r>
      <w:r w:rsidR="00002F3D" w:rsidRPr="004447D2">
        <w:rPr>
          <w:rFonts w:ascii="Book Antiqua" w:hAnsi="Book Antiqua"/>
          <w:sz w:val="24"/>
          <w:szCs w:val="24"/>
          <w:lang w:val="en-US"/>
        </w:rPr>
        <w:t xml:space="preserve"> R</w:t>
      </w:r>
      <w:r w:rsidR="006B12A7" w:rsidRPr="004447D2">
        <w:rPr>
          <w:rFonts w:ascii="Book Antiqua" w:hAnsi="Book Antiqua"/>
          <w:sz w:val="24"/>
          <w:szCs w:val="24"/>
          <w:lang w:val="en-US"/>
        </w:rPr>
        <w:t xml:space="preserve">abbit </w:t>
      </w:r>
      <w:proofErr w:type="spellStart"/>
      <w:r w:rsidR="006B12A7" w:rsidRPr="004447D2">
        <w:rPr>
          <w:rFonts w:ascii="Book Antiqua" w:hAnsi="Book Antiqua"/>
          <w:sz w:val="24"/>
          <w:szCs w:val="24"/>
          <w:lang w:val="en-US"/>
        </w:rPr>
        <w:t>antilymphocyte</w:t>
      </w:r>
      <w:proofErr w:type="spellEnd"/>
      <w:r w:rsidR="006B12A7" w:rsidRPr="004447D2">
        <w:rPr>
          <w:rFonts w:ascii="Book Antiqua" w:hAnsi="Book Antiqua"/>
          <w:sz w:val="24"/>
          <w:szCs w:val="24"/>
          <w:lang w:val="en-US"/>
        </w:rPr>
        <w:t xml:space="preserve"> globulin; TAC</w:t>
      </w:r>
      <w:r w:rsidR="00002F3D" w:rsidRPr="004447D2">
        <w:rPr>
          <w:rFonts w:ascii="Book Antiqua" w:hAnsi="Book Antiqua"/>
          <w:sz w:val="24"/>
          <w:szCs w:val="24"/>
          <w:lang w:val="en-US" w:eastAsia="zh-CN"/>
        </w:rPr>
        <w:t>:</w:t>
      </w:r>
      <w:r w:rsidR="006B12A7" w:rsidRPr="004447D2">
        <w:rPr>
          <w:rFonts w:ascii="Book Antiqua" w:hAnsi="Book Antiqua"/>
          <w:sz w:val="24"/>
          <w:szCs w:val="24"/>
          <w:lang w:val="en-US"/>
        </w:rPr>
        <w:t xml:space="preserve"> </w:t>
      </w:r>
      <w:proofErr w:type="spellStart"/>
      <w:r w:rsidR="00002F3D" w:rsidRPr="004447D2">
        <w:rPr>
          <w:rFonts w:ascii="Book Antiqua" w:hAnsi="Book Antiqua"/>
          <w:sz w:val="24"/>
          <w:szCs w:val="24"/>
          <w:lang w:val="en-US"/>
        </w:rPr>
        <w:t>T</w:t>
      </w:r>
      <w:r w:rsidR="006B12A7" w:rsidRPr="004447D2">
        <w:rPr>
          <w:rFonts w:ascii="Book Antiqua" w:hAnsi="Book Antiqua"/>
          <w:sz w:val="24"/>
          <w:szCs w:val="24"/>
          <w:lang w:val="en-US"/>
        </w:rPr>
        <w:t>acrolimus</w:t>
      </w:r>
      <w:proofErr w:type="spellEnd"/>
      <w:r w:rsidR="006B12A7" w:rsidRPr="004447D2">
        <w:rPr>
          <w:rFonts w:ascii="Book Antiqua" w:hAnsi="Book Antiqua"/>
          <w:sz w:val="24"/>
          <w:szCs w:val="24"/>
          <w:lang w:val="en-US"/>
        </w:rPr>
        <w:t xml:space="preserve">. </w:t>
      </w:r>
    </w:p>
    <w:p w14:paraId="1B28C37E" w14:textId="57AC4BE6" w:rsidR="0033632E" w:rsidRPr="004447D2" w:rsidRDefault="0033632E" w:rsidP="00887EC2">
      <w:pPr>
        <w:pStyle w:val="a8"/>
        <w:spacing w:line="360" w:lineRule="auto"/>
        <w:jc w:val="both"/>
        <w:rPr>
          <w:rFonts w:ascii="Book Antiqua" w:hAnsi="Book Antiqua"/>
          <w:sz w:val="24"/>
          <w:szCs w:val="24"/>
          <w:lang w:val="en-US"/>
        </w:rPr>
      </w:pPr>
    </w:p>
    <w:p w14:paraId="07E89139" w14:textId="0862BC4E" w:rsidR="006B12A7" w:rsidRPr="004447D2" w:rsidRDefault="006B12A7" w:rsidP="00887EC2">
      <w:pPr>
        <w:pStyle w:val="a8"/>
        <w:spacing w:line="360" w:lineRule="auto"/>
        <w:jc w:val="both"/>
        <w:rPr>
          <w:rFonts w:ascii="Book Antiqua" w:hAnsi="Book Antiqua"/>
          <w:sz w:val="24"/>
          <w:szCs w:val="24"/>
          <w:lang w:val="en-US"/>
        </w:rPr>
      </w:pPr>
    </w:p>
    <w:p w14:paraId="4EDEB941" w14:textId="611D66ED" w:rsidR="006B12A7" w:rsidRPr="004447D2" w:rsidRDefault="006B12A7" w:rsidP="00887EC2">
      <w:pPr>
        <w:pStyle w:val="a8"/>
        <w:spacing w:line="360" w:lineRule="auto"/>
        <w:jc w:val="both"/>
        <w:rPr>
          <w:rFonts w:ascii="Book Antiqua" w:hAnsi="Book Antiqua"/>
          <w:sz w:val="24"/>
          <w:szCs w:val="24"/>
          <w:lang w:val="en-US"/>
        </w:rPr>
      </w:pPr>
    </w:p>
    <w:p w14:paraId="400272D5" w14:textId="48F0849D" w:rsidR="006B12A7" w:rsidRPr="004447D2" w:rsidRDefault="006B12A7" w:rsidP="00887EC2">
      <w:pPr>
        <w:pStyle w:val="a8"/>
        <w:spacing w:line="360" w:lineRule="auto"/>
        <w:jc w:val="both"/>
        <w:rPr>
          <w:rFonts w:ascii="Book Antiqua" w:hAnsi="Book Antiqua"/>
          <w:sz w:val="24"/>
          <w:szCs w:val="24"/>
          <w:lang w:val="en-US"/>
        </w:rPr>
      </w:pPr>
    </w:p>
    <w:p w14:paraId="4E1C48F6" w14:textId="7A11417D" w:rsidR="006B12A7" w:rsidRPr="004447D2" w:rsidRDefault="006B12A7" w:rsidP="00887EC2">
      <w:pPr>
        <w:pStyle w:val="a8"/>
        <w:spacing w:line="360" w:lineRule="auto"/>
        <w:jc w:val="both"/>
        <w:rPr>
          <w:rFonts w:ascii="Book Antiqua" w:hAnsi="Book Antiqua"/>
          <w:sz w:val="24"/>
          <w:szCs w:val="24"/>
          <w:lang w:val="en-US"/>
        </w:rPr>
      </w:pPr>
    </w:p>
    <w:p w14:paraId="030A5A1D" w14:textId="05F7EA37" w:rsidR="006B12A7" w:rsidRPr="004447D2" w:rsidRDefault="006B12A7" w:rsidP="00887EC2">
      <w:pPr>
        <w:pStyle w:val="a8"/>
        <w:spacing w:line="360" w:lineRule="auto"/>
        <w:jc w:val="both"/>
        <w:rPr>
          <w:rFonts w:ascii="Book Antiqua" w:hAnsi="Book Antiqua"/>
          <w:sz w:val="24"/>
          <w:szCs w:val="24"/>
          <w:lang w:val="en-US"/>
        </w:rPr>
      </w:pPr>
    </w:p>
    <w:p w14:paraId="12E0E599" w14:textId="18AAF4E9" w:rsidR="006B12A7" w:rsidRPr="004447D2" w:rsidRDefault="006B12A7" w:rsidP="00887EC2">
      <w:pPr>
        <w:pStyle w:val="a8"/>
        <w:spacing w:line="360" w:lineRule="auto"/>
        <w:jc w:val="both"/>
        <w:rPr>
          <w:rFonts w:ascii="Book Antiqua" w:hAnsi="Book Antiqua"/>
          <w:sz w:val="24"/>
          <w:szCs w:val="24"/>
          <w:lang w:val="en-US"/>
        </w:rPr>
      </w:pPr>
    </w:p>
    <w:p w14:paraId="71824F01" w14:textId="0CC2964A" w:rsidR="006B12A7" w:rsidRPr="004447D2" w:rsidRDefault="006B12A7" w:rsidP="00887EC2">
      <w:pPr>
        <w:pStyle w:val="a8"/>
        <w:spacing w:line="360" w:lineRule="auto"/>
        <w:jc w:val="both"/>
        <w:rPr>
          <w:rFonts w:ascii="Book Antiqua" w:hAnsi="Book Antiqua"/>
          <w:sz w:val="24"/>
          <w:szCs w:val="24"/>
          <w:lang w:val="en-US"/>
        </w:rPr>
      </w:pPr>
    </w:p>
    <w:p w14:paraId="200C582C" w14:textId="2CE54690" w:rsidR="006B12A7" w:rsidRPr="004447D2" w:rsidRDefault="006B12A7" w:rsidP="00887EC2">
      <w:pPr>
        <w:pStyle w:val="a8"/>
        <w:spacing w:line="360" w:lineRule="auto"/>
        <w:jc w:val="both"/>
        <w:rPr>
          <w:rFonts w:ascii="Book Antiqua" w:hAnsi="Book Antiqua"/>
          <w:sz w:val="24"/>
          <w:szCs w:val="24"/>
          <w:lang w:val="en-US"/>
        </w:rPr>
      </w:pPr>
    </w:p>
    <w:p w14:paraId="72D0CB97" w14:textId="237BD0A4" w:rsidR="006B12A7" w:rsidRPr="004447D2" w:rsidRDefault="006B12A7" w:rsidP="00887EC2">
      <w:pPr>
        <w:pStyle w:val="a8"/>
        <w:spacing w:line="360" w:lineRule="auto"/>
        <w:jc w:val="both"/>
        <w:rPr>
          <w:rFonts w:ascii="Book Antiqua" w:hAnsi="Book Antiqua"/>
          <w:sz w:val="24"/>
          <w:szCs w:val="24"/>
          <w:lang w:val="en-US"/>
        </w:rPr>
      </w:pPr>
    </w:p>
    <w:p w14:paraId="5FFFED88" w14:textId="183CDBA2" w:rsidR="006B12A7" w:rsidRPr="004447D2" w:rsidRDefault="006B12A7" w:rsidP="00887EC2">
      <w:pPr>
        <w:pStyle w:val="a8"/>
        <w:spacing w:line="360" w:lineRule="auto"/>
        <w:jc w:val="both"/>
        <w:rPr>
          <w:rFonts w:ascii="Book Antiqua" w:hAnsi="Book Antiqua"/>
          <w:sz w:val="24"/>
          <w:szCs w:val="24"/>
          <w:lang w:val="en-US"/>
        </w:rPr>
      </w:pPr>
    </w:p>
    <w:p w14:paraId="71C28EA5" w14:textId="5B316666" w:rsidR="006B12A7" w:rsidRPr="004447D2" w:rsidRDefault="006B12A7" w:rsidP="00887EC2">
      <w:pPr>
        <w:pStyle w:val="a8"/>
        <w:spacing w:line="360" w:lineRule="auto"/>
        <w:jc w:val="both"/>
        <w:rPr>
          <w:rFonts w:ascii="Book Antiqua" w:hAnsi="Book Antiqua"/>
          <w:sz w:val="24"/>
          <w:szCs w:val="24"/>
          <w:lang w:val="en-US"/>
        </w:rPr>
      </w:pPr>
    </w:p>
    <w:p w14:paraId="3E06DD11" w14:textId="2550B319" w:rsidR="006B12A7" w:rsidRPr="004447D2" w:rsidRDefault="006B12A7" w:rsidP="00887EC2">
      <w:pPr>
        <w:pStyle w:val="a8"/>
        <w:spacing w:line="360" w:lineRule="auto"/>
        <w:jc w:val="both"/>
        <w:rPr>
          <w:rFonts w:ascii="Book Antiqua" w:hAnsi="Book Antiqua"/>
          <w:sz w:val="24"/>
          <w:szCs w:val="24"/>
          <w:lang w:val="en-US"/>
        </w:rPr>
      </w:pPr>
    </w:p>
    <w:p w14:paraId="23F39595" w14:textId="166A055A" w:rsidR="00EF291F" w:rsidRPr="004447D2" w:rsidRDefault="00EF291F" w:rsidP="00887EC2">
      <w:pPr>
        <w:spacing w:after="0" w:line="360" w:lineRule="auto"/>
        <w:rPr>
          <w:rFonts w:ascii="Book Antiqua" w:hAnsi="Book Antiqua"/>
          <w:sz w:val="24"/>
          <w:szCs w:val="24"/>
          <w:lang w:val="en-US"/>
        </w:rPr>
      </w:pPr>
      <w:r w:rsidRPr="004447D2">
        <w:rPr>
          <w:rFonts w:ascii="Book Antiqua" w:hAnsi="Book Antiqua"/>
          <w:sz w:val="24"/>
          <w:szCs w:val="24"/>
          <w:lang w:val="en-US"/>
        </w:rPr>
        <w:br w:type="page"/>
      </w:r>
    </w:p>
    <w:p w14:paraId="7C5BFE05" w14:textId="44B8E808" w:rsidR="00B3189C" w:rsidRPr="004447D2" w:rsidRDefault="00EF291F" w:rsidP="00887EC2">
      <w:pPr>
        <w:pStyle w:val="a8"/>
        <w:spacing w:line="360" w:lineRule="auto"/>
        <w:jc w:val="both"/>
        <w:rPr>
          <w:rFonts w:ascii="Book Antiqua" w:hAnsi="Book Antiqua"/>
          <w:b/>
          <w:sz w:val="24"/>
          <w:szCs w:val="24"/>
          <w:lang w:val="en-US" w:eastAsia="zh-CN"/>
        </w:rPr>
      </w:pPr>
      <w:r w:rsidRPr="004447D2">
        <w:rPr>
          <w:rFonts w:ascii="Book Antiqua" w:hAnsi="Book Antiqua"/>
          <w:b/>
          <w:sz w:val="24"/>
          <w:szCs w:val="24"/>
          <w:lang w:val="en-US"/>
        </w:rPr>
        <w:lastRenderedPageBreak/>
        <w:t xml:space="preserve">Table 3 Characteristics of major randomized </w:t>
      </w:r>
      <w:r w:rsidR="00FA3A3B" w:rsidRPr="004447D2">
        <w:rPr>
          <w:rFonts w:ascii="Book Antiqua" w:hAnsi="Book Antiqua"/>
          <w:b/>
          <w:sz w:val="24"/>
          <w:szCs w:val="24"/>
          <w:lang w:val="en-US"/>
        </w:rPr>
        <w:t>corticosteroid</w:t>
      </w:r>
      <w:r w:rsidRPr="004447D2">
        <w:rPr>
          <w:rFonts w:ascii="Book Antiqua" w:hAnsi="Book Antiqua"/>
          <w:b/>
          <w:sz w:val="24"/>
          <w:szCs w:val="24"/>
          <w:lang w:val="en-US"/>
        </w:rPr>
        <w:t xml:space="preserve"> withdrawal trials</w:t>
      </w:r>
    </w:p>
    <w:p w14:paraId="21A27905" w14:textId="77777777" w:rsidR="00EF291F" w:rsidRPr="004447D2" w:rsidRDefault="00EF291F" w:rsidP="00887EC2">
      <w:pPr>
        <w:pStyle w:val="a8"/>
        <w:spacing w:line="360" w:lineRule="auto"/>
        <w:jc w:val="both"/>
        <w:rPr>
          <w:rFonts w:ascii="Book Antiqua" w:hAnsi="Book Antiqua"/>
          <w:sz w:val="24"/>
          <w:szCs w:val="24"/>
          <w:lang w:val="en-US" w:eastAsia="zh-CN"/>
        </w:rPr>
      </w:pPr>
    </w:p>
    <w:tbl>
      <w:tblPr>
        <w:tblW w:w="11625" w:type="dxa"/>
        <w:tblInd w:w="1176" w:type="dxa"/>
        <w:tblBorders>
          <w:top w:val="single" w:sz="4" w:space="0" w:color="auto"/>
          <w:bottom w:val="single" w:sz="4" w:space="0" w:color="auto"/>
        </w:tblBorders>
        <w:tblLayout w:type="fixed"/>
        <w:tblLook w:val="04A0" w:firstRow="1" w:lastRow="0" w:firstColumn="1" w:lastColumn="0" w:noHBand="0" w:noVBand="1"/>
      </w:tblPr>
      <w:tblGrid>
        <w:gridCol w:w="1560"/>
        <w:gridCol w:w="709"/>
        <w:gridCol w:w="1276"/>
        <w:gridCol w:w="1134"/>
        <w:gridCol w:w="1559"/>
        <w:gridCol w:w="1701"/>
        <w:gridCol w:w="1418"/>
        <w:gridCol w:w="1275"/>
        <w:gridCol w:w="993"/>
      </w:tblGrid>
      <w:tr w:rsidR="00CC5D9A" w:rsidRPr="004447D2" w14:paraId="5E00C3FF" w14:textId="77777777" w:rsidTr="00EF291F">
        <w:trPr>
          <w:trHeight w:val="552"/>
        </w:trPr>
        <w:tc>
          <w:tcPr>
            <w:tcW w:w="1560" w:type="dxa"/>
            <w:tcBorders>
              <w:top w:val="single" w:sz="4" w:space="0" w:color="auto"/>
              <w:bottom w:val="single" w:sz="4" w:space="0" w:color="auto"/>
            </w:tcBorders>
            <w:shd w:val="clear" w:color="auto" w:fill="auto"/>
            <w:vAlign w:val="center"/>
          </w:tcPr>
          <w:p w14:paraId="149E88AD" w14:textId="43A008E5" w:rsidR="00CC5D9A" w:rsidRPr="004447D2" w:rsidRDefault="00EF291F" w:rsidP="00887EC2">
            <w:pPr>
              <w:pStyle w:val="a8"/>
              <w:spacing w:line="360" w:lineRule="auto"/>
              <w:jc w:val="both"/>
              <w:rPr>
                <w:rFonts w:ascii="Book Antiqua" w:hAnsi="Book Antiqua"/>
                <w:b/>
                <w:sz w:val="24"/>
                <w:szCs w:val="24"/>
                <w:lang w:val="en-US" w:eastAsia="zh-CN"/>
              </w:rPr>
            </w:pPr>
            <w:r w:rsidRPr="004447D2">
              <w:rPr>
                <w:rFonts w:ascii="Book Antiqua" w:hAnsi="Book Antiqua"/>
                <w:b/>
                <w:sz w:val="24"/>
                <w:szCs w:val="24"/>
                <w:lang w:val="en-US" w:eastAsia="zh-CN"/>
              </w:rPr>
              <w:t>Ref.</w:t>
            </w:r>
          </w:p>
        </w:tc>
        <w:tc>
          <w:tcPr>
            <w:tcW w:w="709" w:type="dxa"/>
            <w:tcBorders>
              <w:top w:val="single" w:sz="4" w:space="0" w:color="auto"/>
              <w:bottom w:val="single" w:sz="4" w:space="0" w:color="auto"/>
            </w:tcBorders>
            <w:shd w:val="clear" w:color="auto" w:fill="auto"/>
            <w:vAlign w:val="center"/>
          </w:tcPr>
          <w:p w14:paraId="20EE0315" w14:textId="77777777" w:rsidR="00CC5D9A" w:rsidRPr="004447D2" w:rsidRDefault="00CC5D9A"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Patient number</w:t>
            </w:r>
          </w:p>
        </w:tc>
        <w:tc>
          <w:tcPr>
            <w:tcW w:w="1276" w:type="dxa"/>
            <w:tcBorders>
              <w:top w:val="single" w:sz="4" w:space="0" w:color="auto"/>
              <w:bottom w:val="single" w:sz="4" w:space="0" w:color="auto"/>
            </w:tcBorders>
            <w:shd w:val="clear" w:color="auto" w:fill="auto"/>
            <w:vAlign w:val="center"/>
          </w:tcPr>
          <w:p w14:paraId="65F8F2E0" w14:textId="77777777" w:rsidR="00CC5D9A" w:rsidRPr="004447D2" w:rsidRDefault="00CC5D9A"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Immunological risk</w:t>
            </w:r>
          </w:p>
        </w:tc>
        <w:tc>
          <w:tcPr>
            <w:tcW w:w="1134" w:type="dxa"/>
            <w:tcBorders>
              <w:top w:val="single" w:sz="4" w:space="0" w:color="auto"/>
              <w:bottom w:val="single" w:sz="4" w:space="0" w:color="auto"/>
            </w:tcBorders>
            <w:shd w:val="clear" w:color="auto" w:fill="auto"/>
            <w:vAlign w:val="center"/>
          </w:tcPr>
          <w:p w14:paraId="1A8A68B3" w14:textId="77777777" w:rsidR="00CC5D9A" w:rsidRPr="004447D2" w:rsidRDefault="00CC5D9A"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Timing of CS withdrawal</w:t>
            </w:r>
          </w:p>
        </w:tc>
        <w:tc>
          <w:tcPr>
            <w:tcW w:w="1559" w:type="dxa"/>
            <w:tcBorders>
              <w:top w:val="single" w:sz="4" w:space="0" w:color="auto"/>
              <w:bottom w:val="single" w:sz="4" w:space="0" w:color="auto"/>
            </w:tcBorders>
            <w:shd w:val="clear" w:color="auto" w:fill="auto"/>
            <w:vAlign w:val="center"/>
          </w:tcPr>
          <w:p w14:paraId="4ADF4F07" w14:textId="77777777" w:rsidR="00CC5D9A" w:rsidRPr="004447D2" w:rsidRDefault="00CC5D9A"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Induction immunosuppression</w:t>
            </w:r>
          </w:p>
        </w:tc>
        <w:tc>
          <w:tcPr>
            <w:tcW w:w="1701" w:type="dxa"/>
            <w:tcBorders>
              <w:top w:val="single" w:sz="4" w:space="0" w:color="auto"/>
              <w:bottom w:val="single" w:sz="4" w:space="0" w:color="auto"/>
            </w:tcBorders>
            <w:shd w:val="clear" w:color="auto" w:fill="auto"/>
            <w:vAlign w:val="center"/>
          </w:tcPr>
          <w:p w14:paraId="73E79BA1" w14:textId="77777777" w:rsidR="00CC5D9A" w:rsidRPr="004447D2" w:rsidRDefault="00CC5D9A"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Maintenance immunosuppression</w:t>
            </w:r>
          </w:p>
        </w:tc>
        <w:tc>
          <w:tcPr>
            <w:tcW w:w="1418" w:type="dxa"/>
            <w:tcBorders>
              <w:top w:val="single" w:sz="4" w:space="0" w:color="auto"/>
              <w:bottom w:val="single" w:sz="4" w:space="0" w:color="auto"/>
            </w:tcBorders>
            <w:shd w:val="clear" w:color="auto" w:fill="auto"/>
            <w:vAlign w:val="center"/>
          </w:tcPr>
          <w:p w14:paraId="174A5265" w14:textId="77777777" w:rsidR="00CC5D9A" w:rsidRPr="004447D2" w:rsidRDefault="00CC5D9A"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Biopsy-proven acute rejection (%)</w:t>
            </w:r>
          </w:p>
        </w:tc>
        <w:tc>
          <w:tcPr>
            <w:tcW w:w="1275" w:type="dxa"/>
            <w:tcBorders>
              <w:top w:val="single" w:sz="4" w:space="0" w:color="auto"/>
              <w:bottom w:val="single" w:sz="4" w:space="0" w:color="auto"/>
            </w:tcBorders>
            <w:shd w:val="clear" w:color="auto" w:fill="auto"/>
            <w:vAlign w:val="center"/>
          </w:tcPr>
          <w:p w14:paraId="703F3098" w14:textId="6D821BA5" w:rsidR="00CC5D9A" w:rsidRPr="004447D2" w:rsidRDefault="00CC5D9A"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Allograft/patient survival (%)</w:t>
            </w:r>
          </w:p>
        </w:tc>
        <w:tc>
          <w:tcPr>
            <w:tcW w:w="993" w:type="dxa"/>
            <w:tcBorders>
              <w:top w:val="single" w:sz="4" w:space="0" w:color="auto"/>
              <w:bottom w:val="single" w:sz="4" w:space="0" w:color="auto"/>
            </w:tcBorders>
            <w:shd w:val="clear" w:color="auto" w:fill="auto"/>
            <w:vAlign w:val="center"/>
          </w:tcPr>
          <w:p w14:paraId="433832C7" w14:textId="336B7CB5" w:rsidR="00CC5D9A" w:rsidRPr="004447D2" w:rsidRDefault="00CC5D9A"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Follow-up (mo)</w:t>
            </w:r>
          </w:p>
        </w:tc>
      </w:tr>
      <w:tr w:rsidR="00574AB9" w:rsidRPr="004447D2" w14:paraId="4DAEA260" w14:textId="77777777" w:rsidTr="00EF291F">
        <w:trPr>
          <w:trHeight w:val="552"/>
        </w:trPr>
        <w:tc>
          <w:tcPr>
            <w:tcW w:w="1560" w:type="dxa"/>
            <w:tcBorders>
              <w:top w:val="single" w:sz="4" w:space="0" w:color="auto"/>
              <w:bottom w:val="nil"/>
            </w:tcBorders>
            <w:shd w:val="clear" w:color="auto" w:fill="auto"/>
            <w:vAlign w:val="center"/>
          </w:tcPr>
          <w:p w14:paraId="5E6C0752" w14:textId="02D8E77F" w:rsidR="00574AB9" w:rsidRPr="004447D2" w:rsidRDefault="00EF291F" w:rsidP="00887EC2">
            <w:pPr>
              <w:pStyle w:val="a8"/>
              <w:spacing w:line="360" w:lineRule="auto"/>
              <w:jc w:val="both"/>
              <w:rPr>
                <w:rFonts w:ascii="Book Antiqua" w:hAnsi="Book Antiqua"/>
                <w:sz w:val="24"/>
                <w:szCs w:val="24"/>
                <w:lang w:val="en-US"/>
              </w:rPr>
            </w:pPr>
            <w:r w:rsidRPr="004447D2">
              <w:rPr>
                <w:rFonts w:ascii="Book Antiqua" w:hAnsi="Book Antiqua" w:cs="宋体"/>
                <w:bCs/>
                <w:color w:val="000000"/>
                <w:sz w:val="24"/>
                <w:szCs w:val="24"/>
              </w:rPr>
              <w:t>Vanrenterghem</w:t>
            </w:r>
            <w:r w:rsidRPr="004447D2">
              <w:rPr>
                <w:rFonts w:ascii="Book Antiqua" w:hAnsi="Book Antiqua"/>
                <w:sz w:val="24"/>
                <w:szCs w:val="24"/>
                <w:lang w:val="en-US"/>
              </w:rPr>
              <w:t xml:space="preserve"> </w:t>
            </w:r>
            <w:r w:rsidR="00AB141C" w:rsidRPr="004447D2">
              <w:rPr>
                <w:rFonts w:ascii="Book Antiqua" w:hAnsi="Book Antiqua"/>
                <w:i/>
                <w:sz w:val="24"/>
                <w:szCs w:val="24"/>
                <w:lang w:val="en-US" w:eastAsia="zh-CN"/>
              </w:rPr>
              <w:t>et al</w:t>
            </w:r>
            <w:r w:rsidR="007237BC" w:rsidRPr="004447D2">
              <w:rPr>
                <w:rFonts w:ascii="Book Antiqua" w:hAnsi="Book Antiqua"/>
                <w:sz w:val="24"/>
                <w:szCs w:val="24"/>
                <w:vertAlign w:val="superscript"/>
                <w:lang w:val="en-US"/>
              </w:rPr>
              <w:t>[20</w:t>
            </w:r>
            <w:r w:rsidR="00951F37" w:rsidRPr="004447D2">
              <w:rPr>
                <w:rFonts w:ascii="Book Antiqua" w:hAnsi="Book Antiqua"/>
                <w:sz w:val="24"/>
                <w:szCs w:val="24"/>
                <w:vertAlign w:val="superscript"/>
                <w:lang w:val="en-US"/>
              </w:rPr>
              <w:t>]</w:t>
            </w:r>
          </w:p>
        </w:tc>
        <w:tc>
          <w:tcPr>
            <w:tcW w:w="709" w:type="dxa"/>
            <w:tcBorders>
              <w:top w:val="single" w:sz="4" w:space="0" w:color="auto"/>
              <w:bottom w:val="nil"/>
            </w:tcBorders>
            <w:shd w:val="clear" w:color="auto" w:fill="auto"/>
            <w:vAlign w:val="center"/>
          </w:tcPr>
          <w:p w14:paraId="7161AE07" w14:textId="77777777" w:rsidR="00574AB9" w:rsidRPr="004447D2" w:rsidRDefault="00C5615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252</w:t>
            </w:r>
          </w:p>
          <w:p w14:paraId="4B5E2932" w14:textId="77777777" w:rsidR="00C5615D" w:rsidRPr="004447D2" w:rsidRDefault="00C5615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248</w:t>
            </w:r>
          </w:p>
        </w:tc>
        <w:tc>
          <w:tcPr>
            <w:tcW w:w="1276" w:type="dxa"/>
            <w:tcBorders>
              <w:top w:val="single" w:sz="4" w:space="0" w:color="auto"/>
              <w:bottom w:val="nil"/>
            </w:tcBorders>
            <w:shd w:val="clear" w:color="auto" w:fill="auto"/>
            <w:vAlign w:val="center"/>
          </w:tcPr>
          <w:p w14:paraId="765F374E" w14:textId="77777777" w:rsidR="00574AB9" w:rsidRPr="004447D2" w:rsidRDefault="00C5615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Low</w:t>
            </w:r>
          </w:p>
        </w:tc>
        <w:tc>
          <w:tcPr>
            <w:tcW w:w="1134" w:type="dxa"/>
            <w:tcBorders>
              <w:top w:val="single" w:sz="4" w:space="0" w:color="auto"/>
              <w:bottom w:val="nil"/>
            </w:tcBorders>
            <w:shd w:val="clear" w:color="auto" w:fill="auto"/>
            <w:vAlign w:val="center"/>
          </w:tcPr>
          <w:p w14:paraId="3DD9AADD" w14:textId="77777777" w:rsidR="00574AB9" w:rsidRPr="004447D2" w:rsidRDefault="00C5615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At month 3</w:t>
            </w:r>
          </w:p>
          <w:p w14:paraId="627CC01E" w14:textId="77777777" w:rsidR="00C5615D" w:rsidRPr="004447D2" w:rsidRDefault="00C5615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Standard CS</w:t>
            </w:r>
          </w:p>
        </w:tc>
        <w:tc>
          <w:tcPr>
            <w:tcW w:w="1559" w:type="dxa"/>
            <w:tcBorders>
              <w:top w:val="single" w:sz="4" w:space="0" w:color="auto"/>
              <w:bottom w:val="nil"/>
            </w:tcBorders>
            <w:shd w:val="clear" w:color="auto" w:fill="auto"/>
            <w:vAlign w:val="center"/>
          </w:tcPr>
          <w:p w14:paraId="66E324F3" w14:textId="77777777" w:rsidR="00574AB9" w:rsidRPr="004447D2" w:rsidRDefault="00C5615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No</w:t>
            </w:r>
          </w:p>
        </w:tc>
        <w:tc>
          <w:tcPr>
            <w:tcW w:w="1701" w:type="dxa"/>
            <w:tcBorders>
              <w:top w:val="single" w:sz="4" w:space="0" w:color="auto"/>
              <w:bottom w:val="nil"/>
            </w:tcBorders>
            <w:shd w:val="clear" w:color="auto" w:fill="auto"/>
            <w:vAlign w:val="center"/>
          </w:tcPr>
          <w:p w14:paraId="330D6741" w14:textId="77777777" w:rsidR="00574AB9" w:rsidRPr="004447D2" w:rsidRDefault="00C5615D" w:rsidP="00887EC2">
            <w:pPr>
              <w:pStyle w:val="a8"/>
              <w:spacing w:line="360" w:lineRule="auto"/>
              <w:jc w:val="both"/>
              <w:rPr>
                <w:rFonts w:ascii="Book Antiqua" w:hAnsi="Book Antiqua"/>
                <w:sz w:val="24"/>
                <w:szCs w:val="24"/>
                <w:lang w:val="en-US"/>
              </w:rPr>
            </w:pPr>
            <w:proofErr w:type="spellStart"/>
            <w:r w:rsidRPr="004447D2">
              <w:rPr>
                <w:rFonts w:ascii="Book Antiqua" w:hAnsi="Book Antiqua"/>
                <w:sz w:val="24"/>
                <w:szCs w:val="24"/>
                <w:lang w:val="en-US"/>
              </w:rPr>
              <w:t>CsA</w:t>
            </w:r>
            <w:proofErr w:type="spellEnd"/>
            <w:r w:rsidRPr="004447D2">
              <w:rPr>
                <w:rFonts w:ascii="Book Antiqua" w:hAnsi="Book Antiqua"/>
                <w:sz w:val="24"/>
                <w:szCs w:val="24"/>
                <w:lang w:val="en-US"/>
              </w:rPr>
              <w:t>, MMF</w:t>
            </w:r>
          </w:p>
        </w:tc>
        <w:tc>
          <w:tcPr>
            <w:tcW w:w="1418" w:type="dxa"/>
            <w:tcBorders>
              <w:top w:val="single" w:sz="4" w:space="0" w:color="auto"/>
              <w:bottom w:val="nil"/>
            </w:tcBorders>
            <w:shd w:val="clear" w:color="auto" w:fill="auto"/>
            <w:vAlign w:val="center"/>
          </w:tcPr>
          <w:p w14:paraId="243EEE73" w14:textId="4BB38009" w:rsidR="00574AB9" w:rsidRPr="004447D2" w:rsidRDefault="00C5615D" w:rsidP="00887EC2">
            <w:pPr>
              <w:pStyle w:val="a8"/>
              <w:spacing w:line="360" w:lineRule="auto"/>
              <w:jc w:val="both"/>
              <w:rPr>
                <w:rFonts w:ascii="Book Antiqua" w:hAnsi="Book Antiqua"/>
                <w:sz w:val="24"/>
                <w:szCs w:val="24"/>
                <w:vertAlign w:val="superscript"/>
                <w:lang w:val="en-US" w:eastAsia="zh-CN"/>
              </w:rPr>
            </w:pPr>
            <w:r w:rsidRPr="004447D2">
              <w:rPr>
                <w:rFonts w:ascii="Book Antiqua" w:hAnsi="Book Antiqua"/>
                <w:sz w:val="24"/>
                <w:szCs w:val="24"/>
                <w:lang w:val="en-US"/>
              </w:rPr>
              <w:t>23</w:t>
            </w:r>
            <w:r w:rsidR="00EF291F" w:rsidRPr="004447D2">
              <w:rPr>
                <w:rFonts w:ascii="Book Antiqua" w:hAnsi="Book Antiqua"/>
                <w:sz w:val="24"/>
                <w:szCs w:val="24"/>
                <w:vertAlign w:val="superscript"/>
                <w:lang w:val="en-US" w:eastAsia="zh-CN"/>
              </w:rPr>
              <w:t>b</w:t>
            </w:r>
          </w:p>
          <w:p w14:paraId="1D4E7058" w14:textId="7F40F617" w:rsidR="00C5615D" w:rsidRPr="004447D2" w:rsidRDefault="00C5615D" w:rsidP="00887EC2">
            <w:pPr>
              <w:pStyle w:val="a8"/>
              <w:spacing w:line="360" w:lineRule="auto"/>
              <w:jc w:val="both"/>
              <w:rPr>
                <w:rFonts w:ascii="Book Antiqua" w:hAnsi="Book Antiqua"/>
                <w:sz w:val="24"/>
                <w:szCs w:val="24"/>
                <w:vertAlign w:val="superscript"/>
                <w:lang w:val="en-US" w:eastAsia="zh-CN"/>
              </w:rPr>
            </w:pPr>
            <w:r w:rsidRPr="004447D2">
              <w:rPr>
                <w:rFonts w:ascii="Book Antiqua" w:hAnsi="Book Antiqua"/>
                <w:sz w:val="24"/>
                <w:szCs w:val="24"/>
                <w:lang w:val="en-US"/>
              </w:rPr>
              <w:t>14</w:t>
            </w:r>
            <w:r w:rsidR="00EF291F" w:rsidRPr="004447D2">
              <w:rPr>
                <w:rFonts w:ascii="Book Antiqua" w:hAnsi="Book Antiqua"/>
                <w:sz w:val="24"/>
                <w:szCs w:val="24"/>
                <w:vertAlign w:val="superscript"/>
                <w:lang w:val="en-US" w:eastAsia="zh-CN"/>
              </w:rPr>
              <w:t>b</w:t>
            </w:r>
          </w:p>
        </w:tc>
        <w:tc>
          <w:tcPr>
            <w:tcW w:w="1275" w:type="dxa"/>
            <w:tcBorders>
              <w:top w:val="single" w:sz="4" w:space="0" w:color="auto"/>
              <w:bottom w:val="nil"/>
            </w:tcBorders>
            <w:shd w:val="clear" w:color="auto" w:fill="auto"/>
            <w:vAlign w:val="center"/>
          </w:tcPr>
          <w:p w14:paraId="6538AD25" w14:textId="77777777" w:rsidR="00574AB9" w:rsidRPr="004447D2" w:rsidRDefault="00C5615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95</w:t>
            </w:r>
            <w:r w:rsidR="001C2485" w:rsidRPr="004447D2">
              <w:rPr>
                <w:rFonts w:ascii="Book Antiqua" w:hAnsi="Book Antiqua"/>
                <w:sz w:val="24"/>
                <w:szCs w:val="24"/>
                <w:lang w:val="en-US"/>
              </w:rPr>
              <w:t>/99</w:t>
            </w:r>
          </w:p>
          <w:p w14:paraId="4A5741BA" w14:textId="77777777" w:rsidR="00C5615D" w:rsidRPr="004447D2" w:rsidRDefault="00C5615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96</w:t>
            </w:r>
            <w:r w:rsidR="001C2485" w:rsidRPr="004447D2">
              <w:rPr>
                <w:rFonts w:ascii="Book Antiqua" w:hAnsi="Book Antiqua"/>
                <w:sz w:val="24"/>
                <w:szCs w:val="24"/>
                <w:lang w:val="en-US"/>
              </w:rPr>
              <w:t>/98</w:t>
            </w:r>
          </w:p>
        </w:tc>
        <w:tc>
          <w:tcPr>
            <w:tcW w:w="993" w:type="dxa"/>
            <w:tcBorders>
              <w:top w:val="single" w:sz="4" w:space="0" w:color="auto"/>
              <w:bottom w:val="nil"/>
            </w:tcBorders>
            <w:shd w:val="clear" w:color="auto" w:fill="auto"/>
            <w:vAlign w:val="center"/>
          </w:tcPr>
          <w:p w14:paraId="10815BE2" w14:textId="77777777" w:rsidR="00574AB9" w:rsidRPr="004447D2" w:rsidRDefault="00C5615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12</w:t>
            </w:r>
          </w:p>
        </w:tc>
      </w:tr>
      <w:tr w:rsidR="00CC5D9A" w:rsidRPr="004447D2" w14:paraId="22B81EEA" w14:textId="77777777" w:rsidTr="00EF291F">
        <w:trPr>
          <w:trHeight w:val="552"/>
        </w:trPr>
        <w:tc>
          <w:tcPr>
            <w:tcW w:w="1560" w:type="dxa"/>
            <w:tcBorders>
              <w:top w:val="nil"/>
              <w:bottom w:val="nil"/>
            </w:tcBorders>
            <w:shd w:val="clear" w:color="auto" w:fill="auto"/>
            <w:vAlign w:val="center"/>
          </w:tcPr>
          <w:p w14:paraId="4983D274" w14:textId="63540610" w:rsidR="00CC5D9A" w:rsidRPr="004447D2" w:rsidRDefault="00EF291F" w:rsidP="00887EC2">
            <w:pPr>
              <w:pStyle w:val="a8"/>
              <w:spacing w:line="360" w:lineRule="auto"/>
              <w:jc w:val="both"/>
              <w:rPr>
                <w:rFonts w:ascii="Book Antiqua" w:hAnsi="Book Antiqua"/>
                <w:sz w:val="24"/>
                <w:szCs w:val="24"/>
                <w:lang w:val="en-US"/>
              </w:rPr>
            </w:pPr>
            <w:proofErr w:type="spellStart"/>
            <w:r w:rsidRPr="004447D2">
              <w:rPr>
                <w:rFonts w:ascii="Book Antiqua" w:hAnsi="Book Antiqua"/>
                <w:sz w:val="24"/>
                <w:szCs w:val="24"/>
                <w:lang w:val="en-US"/>
              </w:rPr>
              <w:t>Smak</w:t>
            </w:r>
            <w:proofErr w:type="spellEnd"/>
            <w:r w:rsidRPr="004447D2">
              <w:rPr>
                <w:rFonts w:ascii="Book Antiqua" w:hAnsi="Book Antiqua"/>
                <w:sz w:val="24"/>
                <w:szCs w:val="24"/>
                <w:lang w:val="en-US"/>
              </w:rPr>
              <w:t xml:space="preserve"> </w:t>
            </w:r>
            <w:proofErr w:type="spellStart"/>
            <w:r w:rsidRPr="004447D2">
              <w:rPr>
                <w:rFonts w:ascii="Book Antiqua" w:hAnsi="Book Antiqua"/>
                <w:sz w:val="24"/>
                <w:szCs w:val="24"/>
                <w:lang w:val="en-US"/>
              </w:rPr>
              <w:t>Gregoor</w:t>
            </w:r>
            <w:proofErr w:type="spellEnd"/>
            <w:r w:rsidRPr="004447D2">
              <w:rPr>
                <w:rFonts w:ascii="Book Antiqua" w:hAnsi="Book Antiqua"/>
                <w:sz w:val="24"/>
                <w:szCs w:val="24"/>
                <w:lang w:val="en-US" w:eastAsia="zh-CN"/>
              </w:rPr>
              <w:t xml:space="preserve"> </w:t>
            </w:r>
            <w:r w:rsidR="00AB141C" w:rsidRPr="004447D2">
              <w:rPr>
                <w:rFonts w:ascii="Book Antiqua" w:hAnsi="Book Antiqua"/>
                <w:i/>
                <w:sz w:val="24"/>
                <w:szCs w:val="24"/>
                <w:lang w:val="en-US" w:eastAsia="zh-CN"/>
              </w:rPr>
              <w:t>et al</w:t>
            </w:r>
            <w:r w:rsidR="00370B92" w:rsidRPr="004447D2">
              <w:rPr>
                <w:rFonts w:ascii="Book Antiqua" w:hAnsi="Book Antiqua"/>
                <w:sz w:val="24"/>
                <w:szCs w:val="24"/>
                <w:vertAlign w:val="superscript"/>
                <w:lang w:val="en-US"/>
              </w:rPr>
              <w:t>[24</w:t>
            </w:r>
            <w:r w:rsidR="00CC5D9A" w:rsidRPr="004447D2">
              <w:rPr>
                <w:rFonts w:ascii="Book Antiqua" w:hAnsi="Book Antiqua"/>
                <w:sz w:val="24"/>
                <w:szCs w:val="24"/>
                <w:vertAlign w:val="superscript"/>
                <w:lang w:val="en-US"/>
              </w:rPr>
              <w:t>]</w:t>
            </w:r>
          </w:p>
        </w:tc>
        <w:tc>
          <w:tcPr>
            <w:tcW w:w="709" w:type="dxa"/>
            <w:tcBorders>
              <w:top w:val="nil"/>
              <w:bottom w:val="nil"/>
            </w:tcBorders>
            <w:shd w:val="clear" w:color="auto" w:fill="auto"/>
            <w:vAlign w:val="center"/>
          </w:tcPr>
          <w:p w14:paraId="612D835B" w14:textId="77777777" w:rsidR="00CC5D9A" w:rsidRPr="004447D2" w:rsidRDefault="001718D8"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76</w:t>
            </w:r>
          </w:p>
          <w:p w14:paraId="2A152462" w14:textId="77777777" w:rsidR="00CC5D9A" w:rsidRPr="004447D2" w:rsidRDefault="001718D8"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73</w:t>
            </w:r>
          </w:p>
        </w:tc>
        <w:tc>
          <w:tcPr>
            <w:tcW w:w="1276" w:type="dxa"/>
            <w:tcBorders>
              <w:top w:val="nil"/>
              <w:bottom w:val="nil"/>
            </w:tcBorders>
            <w:shd w:val="clear" w:color="auto" w:fill="auto"/>
            <w:vAlign w:val="center"/>
          </w:tcPr>
          <w:p w14:paraId="082193C7" w14:textId="77777777" w:rsidR="00CC5D9A" w:rsidRPr="004447D2" w:rsidRDefault="00CC5D9A"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 xml:space="preserve">Low </w:t>
            </w:r>
          </w:p>
        </w:tc>
        <w:tc>
          <w:tcPr>
            <w:tcW w:w="1134" w:type="dxa"/>
            <w:tcBorders>
              <w:top w:val="nil"/>
              <w:bottom w:val="nil"/>
            </w:tcBorders>
            <w:shd w:val="clear" w:color="auto" w:fill="auto"/>
            <w:vAlign w:val="center"/>
          </w:tcPr>
          <w:p w14:paraId="0B2EFA69" w14:textId="77777777" w:rsidR="000360C9" w:rsidRPr="004447D2" w:rsidRDefault="000360C9"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After month 6</w:t>
            </w:r>
          </w:p>
          <w:p w14:paraId="24493BB4" w14:textId="77777777" w:rsidR="00CC5D9A" w:rsidRPr="004447D2" w:rsidRDefault="00CC5D9A"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Standard CS</w:t>
            </w:r>
          </w:p>
        </w:tc>
        <w:tc>
          <w:tcPr>
            <w:tcW w:w="1559" w:type="dxa"/>
            <w:tcBorders>
              <w:top w:val="nil"/>
              <w:bottom w:val="nil"/>
            </w:tcBorders>
            <w:shd w:val="clear" w:color="auto" w:fill="auto"/>
            <w:vAlign w:val="center"/>
          </w:tcPr>
          <w:p w14:paraId="28842CA7" w14:textId="77777777" w:rsidR="00CC5D9A" w:rsidRPr="004447D2" w:rsidRDefault="000360C9"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No</w:t>
            </w:r>
          </w:p>
        </w:tc>
        <w:tc>
          <w:tcPr>
            <w:tcW w:w="1701" w:type="dxa"/>
            <w:tcBorders>
              <w:top w:val="nil"/>
              <w:bottom w:val="nil"/>
            </w:tcBorders>
            <w:shd w:val="clear" w:color="auto" w:fill="auto"/>
            <w:vAlign w:val="center"/>
          </w:tcPr>
          <w:p w14:paraId="71B1C859" w14:textId="77777777" w:rsidR="00CC5D9A" w:rsidRPr="004447D2" w:rsidRDefault="000360C9" w:rsidP="00887EC2">
            <w:pPr>
              <w:pStyle w:val="a8"/>
              <w:spacing w:line="360" w:lineRule="auto"/>
              <w:jc w:val="both"/>
              <w:rPr>
                <w:rFonts w:ascii="Book Antiqua" w:hAnsi="Book Antiqua"/>
                <w:sz w:val="24"/>
                <w:szCs w:val="24"/>
                <w:lang w:val="en-US"/>
              </w:rPr>
            </w:pPr>
            <w:proofErr w:type="spellStart"/>
            <w:r w:rsidRPr="004447D2">
              <w:rPr>
                <w:rFonts w:ascii="Book Antiqua" w:hAnsi="Book Antiqua"/>
                <w:sz w:val="24"/>
                <w:szCs w:val="24"/>
                <w:lang w:val="en-US"/>
              </w:rPr>
              <w:t>CsA</w:t>
            </w:r>
            <w:proofErr w:type="spellEnd"/>
            <w:r w:rsidR="00CC5D9A" w:rsidRPr="004447D2">
              <w:rPr>
                <w:rFonts w:ascii="Book Antiqua" w:hAnsi="Book Antiqua"/>
                <w:sz w:val="24"/>
                <w:szCs w:val="24"/>
                <w:lang w:val="en-US"/>
              </w:rPr>
              <w:t>, MMF</w:t>
            </w:r>
          </w:p>
        </w:tc>
        <w:tc>
          <w:tcPr>
            <w:tcW w:w="1418" w:type="dxa"/>
            <w:tcBorders>
              <w:top w:val="nil"/>
              <w:bottom w:val="nil"/>
            </w:tcBorders>
            <w:shd w:val="clear" w:color="auto" w:fill="auto"/>
            <w:vAlign w:val="center"/>
          </w:tcPr>
          <w:p w14:paraId="4C5FFBB0" w14:textId="019854B9" w:rsidR="00CC5D9A" w:rsidRPr="004447D2" w:rsidRDefault="002E04AB" w:rsidP="00887EC2">
            <w:pPr>
              <w:pStyle w:val="a8"/>
              <w:spacing w:line="360" w:lineRule="auto"/>
              <w:jc w:val="both"/>
              <w:rPr>
                <w:rFonts w:ascii="Book Antiqua" w:hAnsi="Book Antiqua"/>
                <w:sz w:val="24"/>
                <w:szCs w:val="24"/>
                <w:vertAlign w:val="superscript"/>
                <w:lang w:val="en-US" w:eastAsia="zh-CN"/>
              </w:rPr>
            </w:pPr>
            <w:r w:rsidRPr="004447D2">
              <w:rPr>
                <w:rFonts w:ascii="Book Antiqua" w:hAnsi="Book Antiqua"/>
                <w:sz w:val="24"/>
                <w:szCs w:val="24"/>
                <w:lang w:val="en-US"/>
              </w:rPr>
              <w:t>4.0</w:t>
            </w:r>
            <w:r w:rsidR="00EF291F" w:rsidRPr="004447D2">
              <w:rPr>
                <w:rFonts w:ascii="Book Antiqua" w:hAnsi="Book Antiqua"/>
                <w:sz w:val="24"/>
                <w:szCs w:val="24"/>
                <w:vertAlign w:val="superscript"/>
                <w:lang w:val="en-US" w:eastAsia="zh-CN"/>
              </w:rPr>
              <w:t>a</w:t>
            </w:r>
          </w:p>
          <w:p w14:paraId="1947646F" w14:textId="77777777" w:rsidR="002E04AB" w:rsidRPr="004447D2" w:rsidRDefault="002E04AB"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1.4</w:t>
            </w:r>
          </w:p>
        </w:tc>
        <w:tc>
          <w:tcPr>
            <w:tcW w:w="1275" w:type="dxa"/>
            <w:tcBorders>
              <w:top w:val="nil"/>
              <w:bottom w:val="nil"/>
            </w:tcBorders>
            <w:shd w:val="clear" w:color="auto" w:fill="auto"/>
            <w:vAlign w:val="center"/>
          </w:tcPr>
          <w:p w14:paraId="62E4B377" w14:textId="77777777" w:rsidR="00CC5D9A" w:rsidRPr="004447D2" w:rsidRDefault="004C637A"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98/97</w:t>
            </w:r>
          </w:p>
          <w:p w14:paraId="7AC5BE75" w14:textId="77777777" w:rsidR="00A45EFD" w:rsidRPr="004447D2" w:rsidRDefault="004C637A"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97/97</w:t>
            </w:r>
          </w:p>
        </w:tc>
        <w:tc>
          <w:tcPr>
            <w:tcW w:w="993" w:type="dxa"/>
            <w:tcBorders>
              <w:top w:val="nil"/>
              <w:bottom w:val="nil"/>
            </w:tcBorders>
            <w:shd w:val="clear" w:color="auto" w:fill="auto"/>
            <w:vAlign w:val="center"/>
          </w:tcPr>
          <w:p w14:paraId="0F2893BB" w14:textId="77777777" w:rsidR="00CC5D9A" w:rsidRPr="004447D2" w:rsidRDefault="002E04AB"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24</w:t>
            </w:r>
          </w:p>
        </w:tc>
      </w:tr>
      <w:tr w:rsidR="001718D8" w:rsidRPr="004447D2" w14:paraId="4C034D9D" w14:textId="77777777" w:rsidTr="00EF291F">
        <w:trPr>
          <w:trHeight w:val="552"/>
        </w:trPr>
        <w:tc>
          <w:tcPr>
            <w:tcW w:w="1560" w:type="dxa"/>
            <w:tcBorders>
              <w:top w:val="nil"/>
              <w:bottom w:val="single" w:sz="4" w:space="0" w:color="auto"/>
            </w:tcBorders>
            <w:shd w:val="clear" w:color="auto" w:fill="auto"/>
            <w:vAlign w:val="center"/>
          </w:tcPr>
          <w:p w14:paraId="0C86B068" w14:textId="32BB2DFA" w:rsidR="001718D8" w:rsidRPr="004447D2" w:rsidRDefault="00EF291F" w:rsidP="00887EC2">
            <w:pPr>
              <w:pStyle w:val="a8"/>
              <w:spacing w:line="360" w:lineRule="auto"/>
              <w:jc w:val="both"/>
              <w:rPr>
                <w:rFonts w:ascii="Book Antiqua" w:hAnsi="Book Antiqua"/>
                <w:sz w:val="24"/>
                <w:szCs w:val="24"/>
                <w:lang w:val="en-US"/>
              </w:rPr>
            </w:pPr>
            <w:r w:rsidRPr="004447D2">
              <w:rPr>
                <w:rFonts w:ascii="Book Antiqua" w:hAnsi="Book Antiqua" w:cs="宋体"/>
                <w:bCs/>
                <w:color w:val="000000"/>
                <w:sz w:val="24"/>
                <w:szCs w:val="24"/>
              </w:rPr>
              <w:t>Vanrenterghem</w:t>
            </w:r>
            <w:r w:rsidRPr="004447D2">
              <w:rPr>
                <w:rFonts w:ascii="Book Antiqua" w:hAnsi="Book Antiqua"/>
                <w:sz w:val="24"/>
                <w:szCs w:val="24"/>
                <w:lang w:val="en-US"/>
              </w:rPr>
              <w:t xml:space="preserve"> </w:t>
            </w:r>
            <w:r w:rsidR="00AB141C" w:rsidRPr="004447D2">
              <w:rPr>
                <w:rFonts w:ascii="Book Antiqua" w:hAnsi="Book Antiqua"/>
                <w:i/>
                <w:sz w:val="24"/>
                <w:szCs w:val="24"/>
                <w:lang w:val="en-US" w:eastAsia="zh-CN"/>
              </w:rPr>
              <w:t>et al</w:t>
            </w:r>
            <w:r w:rsidR="00370B92" w:rsidRPr="004447D2">
              <w:rPr>
                <w:rFonts w:ascii="Book Antiqua" w:hAnsi="Book Antiqua"/>
                <w:sz w:val="24"/>
                <w:szCs w:val="24"/>
                <w:vertAlign w:val="superscript"/>
                <w:lang w:val="en-US"/>
              </w:rPr>
              <w:t>[21]</w:t>
            </w:r>
          </w:p>
        </w:tc>
        <w:tc>
          <w:tcPr>
            <w:tcW w:w="709" w:type="dxa"/>
            <w:tcBorders>
              <w:top w:val="nil"/>
              <w:bottom w:val="single" w:sz="4" w:space="0" w:color="auto"/>
            </w:tcBorders>
            <w:shd w:val="clear" w:color="auto" w:fill="auto"/>
            <w:vAlign w:val="center"/>
          </w:tcPr>
          <w:p w14:paraId="262A3E81" w14:textId="77777777" w:rsidR="001718D8" w:rsidRPr="004447D2" w:rsidRDefault="00026A43"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279</w:t>
            </w:r>
          </w:p>
          <w:p w14:paraId="3DACA199" w14:textId="77777777" w:rsidR="00026A43" w:rsidRPr="004447D2" w:rsidRDefault="00026A43"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277</w:t>
            </w:r>
          </w:p>
        </w:tc>
        <w:tc>
          <w:tcPr>
            <w:tcW w:w="1276" w:type="dxa"/>
            <w:tcBorders>
              <w:top w:val="nil"/>
              <w:bottom w:val="single" w:sz="4" w:space="0" w:color="auto"/>
            </w:tcBorders>
            <w:shd w:val="clear" w:color="auto" w:fill="auto"/>
            <w:vAlign w:val="center"/>
          </w:tcPr>
          <w:p w14:paraId="22C0300B" w14:textId="77777777" w:rsidR="001718D8" w:rsidRPr="004447D2" w:rsidRDefault="004A72B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Low</w:t>
            </w:r>
          </w:p>
        </w:tc>
        <w:tc>
          <w:tcPr>
            <w:tcW w:w="1134" w:type="dxa"/>
            <w:tcBorders>
              <w:top w:val="nil"/>
              <w:bottom w:val="single" w:sz="4" w:space="0" w:color="auto"/>
            </w:tcBorders>
            <w:shd w:val="clear" w:color="auto" w:fill="auto"/>
            <w:vAlign w:val="center"/>
          </w:tcPr>
          <w:p w14:paraId="41FFD815" w14:textId="77777777" w:rsidR="004A72B1" w:rsidRPr="004447D2" w:rsidRDefault="004A72B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After month 3</w:t>
            </w:r>
          </w:p>
          <w:p w14:paraId="0F117F6A" w14:textId="77777777" w:rsidR="001718D8" w:rsidRPr="004447D2" w:rsidRDefault="004A72B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Standard CS</w:t>
            </w:r>
          </w:p>
        </w:tc>
        <w:tc>
          <w:tcPr>
            <w:tcW w:w="1559" w:type="dxa"/>
            <w:tcBorders>
              <w:top w:val="nil"/>
              <w:bottom w:val="single" w:sz="4" w:space="0" w:color="auto"/>
            </w:tcBorders>
            <w:shd w:val="clear" w:color="auto" w:fill="auto"/>
            <w:vAlign w:val="center"/>
          </w:tcPr>
          <w:p w14:paraId="2D51BA8F" w14:textId="77777777" w:rsidR="001718D8" w:rsidRPr="004447D2" w:rsidRDefault="004A72B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No</w:t>
            </w:r>
          </w:p>
        </w:tc>
        <w:tc>
          <w:tcPr>
            <w:tcW w:w="1701" w:type="dxa"/>
            <w:tcBorders>
              <w:top w:val="nil"/>
              <w:bottom w:val="single" w:sz="4" w:space="0" w:color="auto"/>
            </w:tcBorders>
            <w:shd w:val="clear" w:color="auto" w:fill="auto"/>
            <w:vAlign w:val="center"/>
          </w:tcPr>
          <w:p w14:paraId="336ECA81" w14:textId="77777777" w:rsidR="001718D8" w:rsidRPr="004447D2" w:rsidRDefault="004A72B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TAC, MMF</w:t>
            </w:r>
          </w:p>
        </w:tc>
        <w:tc>
          <w:tcPr>
            <w:tcW w:w="1418" w:type="dxa"/>
            <w:tcBorders>
              <w:top w:val="nil"/>
              <w:bottom w:val="single" w:sz="4" w:space="0" w:color="auto"/>
            </w:tcBorders>
            <w:shd w:val="clear" w:color="auto" w:fill="auto"/>
            <w:vAlign w:val="center"/>
          </w:tcPr>
          <w:p w14:paraId="3C5B8670" w14:textId="5AD58E3F" w:rsidR="00026A43" w:rsidRPr="004447D2" w:rsidRDefault="004A72B1" w:rsidP="00887EC2">
            <w:pPr>
              <w:pStyle w:val="a8"/>
              <w:spacing w:line="360" w:lineRule="auto"/>
              <w:jc w:val="both"/>
              <w:rPr>
                <w:rFonts w:ascii="Book Antiqua" w:hAnsi="Book Antiqua"/>
                <w:sz w:val="24"/>
                <w:szCs w:val="24"/>
                <w:vertAlign w:val="superscript"/>
                <w:lang w:val="en-US" w:eastAsia="zh-CN"/>
              </w:rPr>
            </w:pPr>
            <w:r w:rsidRPr="004447D2">
              <w:rPr>
                <w:rFonts w:ascii="Book Antiqua" w:hAnsi="Book Antiqua"/>
                <w:sz w:val="24"/>
                <w:szCs w:val="24"/>
                <w:lang w:val="en-US"/>
              </w:rPr>
              <w:t>5.9</w:t>
            </w:r>
            <w:r w:rsidR="00EF291F" w:rsidRPr="004447D2">
              <w:rPr>
                <w:rFonts w:ascii="Book Antiqua" w:hAnsi="Book Antiqua"/>
                <w:sz w:val="24"/>
                <w:szCs w:val="24"/>
                <w:vertAlign w:val="superscript"/>
                <w:lang w:val="en-US" w:eastAsia="zh-CN"/>
              </w:rPr>
              <w:t>a</w:t>
            </w:r>
            <w:r w:rsidRPr="004447D2">
              <w:rPr>
                <w:rFonts w:ascii="Book Antiqua" w:hAnsi="Book Antiqua"/>
                <w:sz w:val="24"/>
                <w:szCs w:val="24"/>
                <w:vertAlign w:val="superscript"/>
                <w:lang w:val="en-US"/>
              </w:rPr>
              <w:t>,</w:t>
            </w:r>
            <w:r w:rsidR="00EF291F" w:rsidRPr="004447D2">
              <w:rPr>
                <w:rFonts w:ascii="Book Antiqua" w:hAnsi="Book Antiqua"/>
                <w:sz w:val="24"/>
                <w:szCs w:val="24"/>
                <w:vertAlign w:val="superscript"/>
                <w:lang w:val="en-US" w:eastAsia="zh-CN"/>
              </w:rPr>
              <w:t>d</w:t>
            </w:r>
          </w:p>
          <w:p w14:paraId="1E414CC8" w14:textId="0EBC0E99" w:rsidR="004A72B1" w:rsidRPr="004447D2" w:rsidRDefault="004A72B1" w:rsidP="00887EC2">
            <w:pPr>
              <w:pStyle w:val="a8"/>
              <w:spacing w:line="360" w:lineRule="auto"/>
              <w:jc w:val="both"/>
              <w:rPr>
                <w:rFonts w:ascii="Book Antiqua" w:hAnsi="Book Antiqua"/>
                <w:sz w:val="24"/>
                <w:szCs w:val="24"/>
                <w:vertAlign w:val="superscript"/>
                <w:lang w:val="en-US" w:eastAsia="zh-CN"/>
              </w:rPr>
            </w:pPr>
            <w:r w:rsidRPr="004447D2">
              <w:rPr>
                <w:rFonts w:ascii="Book Antiqua" w:hAnsi="Book Antiqua"/>
                <w:sz w:val="24"/>
                <w:szCs w:val="24"/>
                <w:lang w:val="en-US"/>
              </w:rPr>
              <w:t>0.9</w:t>
            </w:r>
            <w:r w:rsidR="00EF291F" w:rsidRPr="004447D2">
              <w:rPr>
                <w:rFonts w:ascii="Book Antiqua" w:hAnsi="Book Antiqua"/>
                <w:sz w:val="24"/>
                <w:szCs w:val="24"/>
                <w:vertAlign w:val="superscript"/>
                <w:lang w:val="en-US" w:eastAsia="zh-CN"/>
              </w:rPr>
              <w:t>d</w:t>
            </w:r>
          </w:p>
        </w:tc>
        <w:tc>
          <w:tcPr>
            <w:tcW w:w="1275" w:type="dxa"/>
            <w:tcBorders>
              <w:top w:val="nil"/>
              <w:bottom w:val="single" w:sz="4" w:space="0" w:color="auto"/>
            </w:tcBorders>
            <w:shd w:val="clear" w:color="auto" w:fill="auto"/>
            <w:vAlign w:val="center"/>
          </w:tcPr>
          <w:p w14:paraId="4A2B632E" w14:textId="77777777" w:rsidR="001718D8" w:rsidRPr="004447D2" w:rsidRDefault="00DE2D6B"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93/99</w:t>
            </w:r>
          </w:p>
          <w:p w14:paraId="7D88C355" w14:textId="77777777" w:rsidR="00DE2D6B" w:rsidRPr="004447D2" w:rsidRDefault="00DE2D6B"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94/98</w:t>
            </w:r>
          </w:p>
        </w:tc>
        <w:tc>
          <w:tcPr>
            <w:tcW w:w="993" w:type="dxa"/>
            <w:tcBorders>
              <w:top w:val="nil"/>
              <w:bottom w:val="single" w:sz="4" w:space="0" w:color="auto"/>
            </w:tcBorders>
            <w:shd w:val="clear" w:color="auto" w:fill="auto"/>
            <w:vAlign w:val="center"/>
          </w:tcPr>
          <w:p w14:paraId="02BA9C1A" w14:textId="77777777" w:rsidR="001718D8" w:rsidRPr="004447D2" w:rsidRDefault="005714C8"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6</w:t>
            </w:r>
          </w:p>
        </w:tc>
      </w:tr>
    </w:tbl>
    <w:p w14:paraId="6E43F87D" w14:textId="7DC2B1C1" w:rsidR="00CC5D9A" w:rsidRPr="004447D2" w:rsidRDefault="00CC5D9A"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lastRenderedPageBreak/>
        <w:t xml:space="preserve"> </w:t>
      </w:r>
      <w:r w:rsidR="00EF291F" w:rsidRPr="004447D2">
        <w:rPr>
          <w:rFonts w:ascii="Book Antiqua" w:hAnsi="Book Antiqua"/>
          <w:i/>
          <w:sz w:val="24"/>
          <w:szCs w:val="24"/>
          <w:lang w:val="en-US"/>
        </w:rPr>
        <w:t>P</w:t>
      </w:r>
      <w:r w:rsidR="00EF291F" w:rsidRPr="004447D2">
        <w:rPr>
          <w:rFonts w:ascii="Book Antiqua" w:hAnsi="Book Antiqua"/>
          <w:sz w:val="24"/>
          <w:szCs w:val="24"/>
          <w:lang w:val="en-US" w:eastAsia="zh-CN"/>
        </w:rPr>
        <w:t xml:space="preserve"> </w:t>
      </w:r>
      <w:r w:rsidR="00EF291F" w:rsidRPr="004447D2">
        <w:rPr>
          <w:rFonts w:ascii="Book Antiqua" w:hAnsi="Book Antiqua"/>
          <w:sz w:val="24"/>
          <w:szCs w:val="24"/>
          <w:lang w:val="en-US"/>
        </w:rPr>
        <w:t>&gt;</w:t>
      </w:r>
      <w:r w:rsidR="00EF291F" w:rsidRPr="004447D2">
        <w:rPr>
          <w:rFonts w:ascii="Book Antiqua" w:hAnsi="Book Antiqua"/>
          <w:sz w:val="24"/>
          <w:szCs w:val="24"/>
          <w:lang w:val="en-US" w:eastAsia="zh-CN"/>
        </w:rPr>
        <w:t xml:space="preserve"> </w:t>
      </w:r>
      <w:r w:rsidR="00EF291F" w:rsidRPr="004447D2">
        <w:rPr>
          <w:rFonts w:ascii="Book Antiqua" w:hAnsi="Book Antiqua"/>
          <w:sz w:val="24"/>
          <w:szCs w:val="24"/>
          <w:lang w:val="en-US"/>
        </w:rPr>
        <w:t>0.05 for all comparisons unless otherwise stated.</w:t>
      </w:r>
      <w:r w:rsidR="000809B1" w:rsidRPr="004447D2">
        <w:rPr>
          <w:rFonts w:ascii="Book Antiqua" w:hAnsi="Book Antiqua"/>
          <w:sz w:val="24"/>
          <w:szCs w:val="24"/>
          <w:lang w:val="en-US" w:eastAsia="zh-CN"/>
        </w:rPr>
        <w:t xml:space="preserve"> </w:t>
      </w:r>
      <w:proofErr w:type="spellStart"/>
      <w:proofErr w:type="gramStart"/>
      <w:r w:rsidR="000809B1" w:rsidRPr="004447D2">
        <w:rPr>
          <w:rFonts w:ascii="Book Antiqua" w:hAnsi="Book Antiqua"/>
          <w:sz w:val="24"/>
          <w:szCs w:val="24"/>
          <w:vertAlign w:val="superscript"/>
          <w:lang w:val="en-US" w:eastAsia="zh-CN"/>
        </w:rPr>
        <w:t>a</w:t>
      </w:r>
      <w:r w:rsidR="000809B1" w:rsidRPr="004447D2">
        <w:rPr>
          <w:rFonts w:ascii="Book Antiqua" w:hAnsi="Book Antiqua"/>
          <w:sz w:val="24"/>
          <w:szCs w:val="24"/>
          <w:lang w:val="en-US"/>
        </w:rPr>
        <w:t>After</w:t>
      </w:r>
      <w:proofErr w:type="spellEnd"/>
      <w:proofErr w:type="gramEnd"/>
      <w:r w:rsidR="000809B1" w:rsidRPr="004447D2">
        <w:rPr>
          <w:rFonts w:ascii="Book Antiqua" w:hAnsi="Book Antiqua"/>
          <w:sz w:val="24"/>
          <w:szCs w:val="24"/>
          <w:lang w:val="en-US"/>
        </w:rPr>
        <w:t xml:space="preserve"> CS discontinuation,</w:t>
      </w:r>
      <w:r w:rsidR="000809B1" w:rsidRPr="004447D2">
        <w:rPr>
          <w:rFonts w:ascii="Book Antiqua" w:hAnsi="Book Antiqua"/>
          <w:sz w:val="24"/>
          <w:szCs w:val="24"/>
          <w:vertAlign w:val="superscript"/>
          <w:lang w:val="en-US"/>
        </w:rPr>
        <w:t xml:space="preserve"> </w:t>
      </w:r>
      <w:proofErr w:type="spellStart"/>
      <w:r w:rsidR="000809B1" w:rsidRPr="004447D2">
        <w:rPr>
          <w:rFonts w:ascii="Book Antiqua" w:hAnsi="Book Antiqua"/>
          <w:sz w:val="24"/>
          <w:szCs w:val="24"/>
          <w:vertAlign w:val="superscript"/>
          <w:lang w:val="en-US" w:eastAsia="zh-CN"/>
        </w:rPr>
        <w:t>b</w:t>
      </w:r>
      <w:r w:rsidR="000809B1" w:rsidRPr="004447D2">
        <w:rPr>
          <w:rFonts w:ascii="Book Antiqua" w:hAnsi="Book Antiqua"/>
          <w:i/>
          <w:sz w:val="24"/>
          <w:szCs w:val="24"/>
          <w:lang w:val="en-US"/>
        </w:rPr>
        <w:t>P</w:t>
      </w:r>
      <w:proofErr w:type="spellEnd"/>
      <w:r w:rsidR="000809B1" w:rsidRPr="004447D2">
        <w:rPr>
          <w:rFonts w:ascii="Book Antiqua" w:hAnsi="Book Antiqua"/>
          <w:sz w:val="24"/>
          <w:szCs w:val="24"/>
          <w:lang w:val="en-US" w:eastAsia="zh-CN"/>
        </w:rPr>
        <w:t xml:space="preserve"> </w:t>
      </w:r>
      <w:r w:rsidR="000809B1" w:rsidRPr="004447D2">
        <w:rPr>
          <w:rFonts w:ascii="Book Antiqua" w:hAnsi="Book Antiqua"/>
          <w:sz w:val="24"/>
          <w:szCs w:val="24"/>
          <w:lang w:val="en-US"/>
        </w:rPr>
        <w:t>=</w:t>
      </w:r>
      <w:r w:rsidR="000809B1" w:rsidRPr="004447D2">
        <w:rPr>
          <w:rFonts w:ascii="Book Antiqua" w:hAnsi="Book Antiqua"/>
          <w:sz w:val="24"/>
          <w:szCs w:val="24"/>
          <w:lang w:val="en-US" w:eastAsia="zh-CN"/>
        </w:rPr>
        <w:t xml:space="preserve"> </w:t>
      </w:r>
      <w:r w:rsidR="000809B1" w:rsidRPr="004447D2">
        <w:rPr>
          <w:rFonts w:ascii="Book Antiqua" w:hAnsi="Book Antiqua"/>
          <w:sz w:val="24"/>
          <w:szCs w:val="24"/>
          <w:lang w:val="en-US"/>
        </w:rPr>
        <w:t>0.008,</w:t>
      </w:r>
      <w:r w:rsidR="000809B1" w:rsidRPr="004447D2">
        <w:rPr>
          <w:rFonts w:ascii="Book Antiqua" w:hAnsi="Book Antiqua"/>
          <w:sz w:val="24"/>
          <w:szCs w:val="24"/>
          <w:vertAlign w:val="superscript"/>
          <w:lang w:val="en-US"/>
        </w:rPr>
        <w:t xml:space="preserve"> </w:t>
      </w:r>
      <w:proofErr w:type="spellStart"/>
      <w:r w:rsidR="000809B1" w:rsidRPr="004447D2">
        <w:rPr>
          <w:rFonts w:ascii="Book Antiqua" w:hAnsi="Book Antiqua"/>
          <w:sz w:val="24"/>
          <w:szCs w:val="24"/>
          <w:vertAlign w:val="superscript"/>
          <w:lang w:val="en-US" w:eastAsia="zh-CN"/>
        </w:rPr>
        <w:t>d</w:t>
      </w:r>
      <w:r w:rsidR="000809B1" w:rsidRPr="004447D2">
        <w:rPr>
          <w:rFonts w:ascii="Book Antiqua" w:hAnsi="Book Antiqua"/>
          <w:i/>
          <w:sz w:val="24"/>
          <w:szCs w:val="24"/>
          <w:lang w:val="en-US"/>
        </w:rPr>
        <w:t>P</w:t>
      </w:r>
      <w:proofErr w:type="spellEnd"/>
      <w:r w:rsidR="000809B1" w:rsidRPr="004447D2">
        <w:rPr>
          <w:rFonts w:ascii="Book Antiqua" w:hAnsi="Book Antiqua"/>
          <w:sz w:val="24"/>
          <w:szCs w:val="24"/>
          <w:lang w:val="en-US" w:eastAsia="zh-CN"/>
        </w:rPr>
        <w:t xml:space="preserve"> </w:t>
      </w:r>
      <w:r w:rsidR="000809B1" w:rsidRPr="004447D2">
        <w:rPr>
          <w:rFonts w:ascii="Book Antiqua" w:hAnsi="Book Antiqua"/>
          <w:sz w:val="24"/>
          <w:szCs w:val="24"/>
          <w:lang w:val="en-US"/>
        </w:rPr>
        <w:t>=</w:t>
      </w:r>
      <w:r w:rsidR="000809B1" w:rsidRPr="004447D2">
        <w:rPr>
          <w:rFonts w:ascii="Book Antiqua" w:hAnsi="Book Antiqua"/>
          <w:sz w:val="24"/>
          <w:szCs w:val="24"/>
          <w:lang w:val="en-US" w:eastAsia="zh-CN"/>
        </w:rPr>
        <w:t xml:space="preserve"> </w:t>
      </w:r>
      <w:r w:rsidR="000809B1" w:rsidRPr="004447D2">
        <w:rPr>
          <w:rFonts w:ascii="Book Antiqua" w:hAnsi="Book Antiqua"/>
          <w:sz w:val="24"/>
          <w:szCs w:val="24"/>
          <w:lang w:val="en-US"/>
        </w:rPr>
        <w:t>0.004.</w:t>
      </w:r>
      <w:r w:rsidR="000809B1" w:rsidRPr="004447D2">
        <w:rPr>
          <w:rFonts w:ascii="Book Antiqua" w:hAnsi="Book Antiqua"/>
          <w:sz w:val="24"/>
          <w:szCs w:val="24"/>
          <w:lang w:val="en-US" w:eastAsia="zh-CN"/>
        </w:rPr>
        <w:t xml:space="preserve"> </w:t>
      </w:r>
      <w:r w:rsidRPr="004447D2">
        <w:rPr>
          <w:rFonts w:ascii="Book Antiqua" w:hAnsi="Book Antiqua"/>
          <w:sz w:val="24"/>
          <w:szCs w:val="24"/>
          <w:lang w:val="en-US"/>
        </w:rPr>
        <w:t>CS</w:t>
      </w:r>
      <w:r w:rsidR="000809B1" w:rsidRPr="004447D2">
        <w:rPr>
          <w:rFonts w:ascii="Book Antiqua" w:hAnsi="Book Antiqua"/>
          <w:sz w:val="24"/>
          <w:szCs w:val="24"/>
          <w:lang w:val="en-US" w:eastAsia="zh-CN"/>
        </w:rPr>
        <w:t>:</w:t>
      </w:r>
      <w:r w:rsidRPr="004447D2">
        <w:rPr>
          <w:rFonts w:ascii="Book Antiqua" w:hAnsi="Book Antiqua"/>
          <w:sz w:val="24"/>
          <w:szCs w:val="24"/>
          <w:lang w:val="en-US"/>
        </w:rPr>
        <w:t xml:space="preserve"> </w:t>
      </w:r>
      <w:r w:rsidR="000809B1" w:rsidRPr="004447D2">
        <w:rPr>
          <w:rFonts w:ascii="Book Antiqua" w:hAnsi="Book Antiqua"/>
          <w:sz w:val="24"/>
          <w:szCs w:val="24"/>
          <w:lang w:val="en-US"/>
        </w:rPr>
        <w:t>C</w:t>
      </w:r>
      <w:r w:rsidRPr="004447D2">
        <w:rPr>
          <w:rFonts w:ascii="Book Antiqua" w:hAnsi="Book Antiqua"/>
          <w:sz w:val="24"/>
          <w:szCs w:val="24"/>
          <w:lang w:val="en-US"/>
        </w:rPr>
        <w:t xml:space="preserve">orticosteroids; </w:t>
      </w:r>
      <w:proofErr w:type="spellStart"/>
      <w:r w:rsidRPr="004447D2">
        <w:rPr>
          <w:rFonts w:ascii="Book Antiqua" w:hAnsi="Book Antiqua"/>
          <w:sz w:val="24"/>
          <w:szCs w:val="24"/>
          <w:lang w:val="en-US"/>
        </w:rPr>
        <w:t>CsA</w:t>
      </w:r>
      <w:proofErr w:type="spellEnd"/>
      <w:r w:rsidR="000809B1" w:rsidRPr="004447D2">
        <w:rPr>
          <w:rFonts w:ascii="Book Antiqua" w:hAnsi="Book Antiqua"/>
          <w:sz w:val="24"/>
          <w:szCs w:val="24"/>
          <w:lang w:val="en-US" w:eastAsia="zh-CN"/>
        </w:rPr>
        <w:t>:</w:t>
      </w:r>
      <w:r w:rsidRPr="004447D2">
        <w:rPr>
          <w:rFonts w:ascii="Book Antiqua" w:hAnsi="Book Antiqua"/>
          <w:sz w:val="24"/>
          <w:szCs w:val="24"/>
          <w:lang w:val="en-US"/>
        </w:rPr>
        <w:t xml:space="preserve"> </w:t>
      </w:r>
      <w:r w:rsidR="000809B1" w:rsidRPr="004447D2">
        <w:rPr>
          <w:rFonts w:ascii="Book Antiqua" w:hAnsi="Book Antiqua"/>
          <w:sz w:val="24"/>
          <w:szCs w:val="24"/>
          <w:lang w:val="en-US"/>
        </w:rPr>
        <w:t>C</w:t>
      </w:r>
      <w:r w:rsidR="009F75E1" w:rsidRPr="004447D2">
        <w:rPr>
          <w:rFonts w:ascii="Book Antiqua" w:hAnsi="Book Antiqua"/>
          <w:sz w:val="24"/>
          <w:szCs w:val="24"/>
          <w:lang w:val="en-US"/>
        </w:rPr>
        <w:t>yclosporine</w:t>
      </w:r>
      <w:r w:rsidRPr="004447D2">
        <w:rPr>
          <w:rFonts w:ascii="Book Antiqua" w:hAnsi="Book Antiqua"/>
          <w:sz w:val="24"/>
          <w:szCs w:val="24"/>
          <w:lang w:val="en-US"/>
        </w:rPr>
        <w:t xml:space="preserve">; </w:t>
      </w:r>
      <w:r w:rsidR="009F75E1" w:rsidRPr="004447D2">
        <w:rPr>
          <w:rFonts w:ascii="Book Antiqua" w:hAnsi="Book Antiqua"/>
          <w:sz w:val="24"/>
          <w:szCs w:val="24"/>
          <w:lang w:val="en-US"/>
        </w:rPr>
        <w:t>MMF</w:t>
      </w:r>
      <w:r w:rsidR="000809B1" w:rsidRPr="004447D2">
        <w:rPr>
          <w:rFonts w:ascii="Book Antiqua" w:hAnsi="Book Antiqua"/>
          <w:sz w:val="24"/>
          <w:szCs w:val="24"/>
          <w:lang w:val="en-US" w:eastAsia="zh-CN"/>
        </w:rPr>
        <w:t>:</w:t>
      </w:r>
      <w:r w:rsidR="009F75E1" w:rsidRPr="004447D2">
        <w:rPr>
          <w:rFonts w:ascii="Book Antiqua" w:hAnsi="Book Antiqua"/>
          <w:sz w:val="24"/>
          <w:szCs w:val="24"/>
          <w:lang w:val="en-US"/>
        </w:rPr>
        <w:t xml:space="preserve"> </w:t>
      </w:r>
      <w:proofErr w:type="spellStart"/>
      <w:r w:rsidR="000809B1" w:rsidRPr="004447D2">
        <w:rPr>
          <w:rFonts w:ascii="Book Antiqua" w:hAnsi="Book Antiqua"/>
          <w:sz w:val="24"/>
          <w:szCs w:val="24"/>
          <w:lang w:val="en-US"/>
        </w:rPr>
        <w:t>M</w:t>
      </w:r>
      <w:r w:rsidR="009F75E1" w:rsidRPr="004447D2">
        <w:rPr>
          <w:rFonts w:ascii="Book Antiqua" w:hAnsi="Book Antiqua"/>
          <w:sz w:val="24"/>
          <w:szCs w:val="24"/>
          <w:lang w:val="en-US"/>
        </w:rPr>
        <w:t>ycophenolate</w:t>
      </w:r>
      <w:proofErr w:type="spellEnd"/>
      <w:r w:rsidR="009F75E1" w:rsidRPr="004447D2">
        <w:rPr>
          <w:rFonts w:ascii="Book Antiqua" w:hAnsi="Book Antiqua"/>
          <w:sz w:val="24"/>
          <w:szCs w:val="24"/>
          <w:lang w:val="en-US"/>
        </w:rPr>
        <w:t xml:space="preserve"> </w:t>
      </w:r>
      <w:proofErr w:type="spellStart"/>
      <w:r w:rsidR="009F75E1" w:rsidRPr="004447D2">
        <w:rPr>
          <w:rFonts w:ascii="Book Antiqua" w:hAnsi="Book Antiqua"/>
          <w:sz w:val="24"/>
          <w:szCs w:val="24"/>
          <w:lang w:val="en-US"/>
        </w:rPr>
        <w:t>mofetil</w:t>
      </w:r>
      <w:proofErr w:type="spellEnd"/>
      <w:r w:rsidRPr="004447D2">
        <w:rPr>
          <w:rFonts w:ascii="Book Antiqua" w:hAnsi="Book Antiqua"/>
          <w:sz w:val="24"/>
          <w:szCs w:val="24"/>
          <w:lang w:val="en-US"/>
        </w:rPr>
        <w:t>; TAC</w:t>
      </w:r>
      <w:r w:rsidR="000809B1" w:rsidRPr="004447D2">
        <w:rPr>
          <w:rFonts w:ascii="Book Antiqua" w:hAnsi="Book Antiqua"/>
          <w:sz w:val="24"/>
          <w:szCs w:val="24"/>
          <w:lang w:val="en-US" w:eastAsia="zh-CN"/>
        </w:rPr>
        <w:t>:</w:t>
      </w:r>
      <w:r w:rsidRPr="004447D2">
        <w:rPr>
          <w:rFonts w:ascii="Book Antiqua" w:hAnsi="Book Antiqua"/>
          <w:sz w:val="24"/>
          <w:szCs w:val="24"/>
          <w:lang w:val="en-US"/>
        </w:rPr>
        <w:t xml:space="preserve"> </w:t>
      </w:r>
      <w:proofErr w:type="spellStart"/>
      <w:r w:rsidR="000809B1" w:rsidRPr="004447D2">
        <w:rPr>
          <w:rFonts w:ascii="Book Antiqua" w:hAnsi="Book Antiqua"/>
          <w:sz w:val="24"/>
          <w:szCs w:val="24"/>
          <w:lang w:val="en-US"/>
        </w:rPr>
        <w:t>T</w:t>
      </w:r>
      <w:r w:rsidRPr="004447D2">
        <w:rPr>
          <w:rFonts w:ascii="Book Antiqua" w:hAnsi="Book Antiqua"/>
          <w:sz w:val="24"/>
          <w:szCs w:val="24"/>
          <w:lang w:val="en-US"/>
        </w:rPr>
        <w:t>acrolimus</w:t>
      </w:r>
      <w:proofErr w:type="spellEnd"/>
      <w:r w:rsidRPr="004447D2">
        <w:rPr>
          <w:rFonts w:ascii="Book Antiqua" w:hAnsi="Book Antiqua"/>
          <w:sz w:val="24"/>
          <w:szCs w:val="24"/>
          <w:lang w:val="en-US"/>
        </w:rPr>
        <w:t xml:space="preserve">. </w:t>
      </w:r>
    </w:p>
    <w:p w14:paraId="728D1AAE" w14:textId="77777777" w:rsidR="00CC5D9A" w:rsidRPr="004447D2" w:rsidRDefault="00CC5D9A" w:rsidP="00887EC2">
      <w:pPr>
        <w:pStyle w:val="a8"/>
        <w:spacing w:line="360" w:lineRule="auto"/>
        <w:jc w:val="both"/>
        <w:rPr>
          <w:rFonts w:ascii="Book Antiqua" w:hAnsi="Book Antiqua"/>
          <w:sz w:val="24"/>
          <w:szCs w:val="24"/>
          <w:lang w:val="en-US"/>
        </w:rPr>
      </w:pPr>
    </w:p>
    <w:p w14:paraId="2A4572C2" w14:textId="77777777" w:rsidR="00EA5F4F" w:rsidRPr="004447D2" w:rsidRDefault="00EA5F4F" w:rsidP="00887EC2">
      <w:pPr>
        <w:pStyle w:val="a8"/>
        <w:spacing w:line="360" w:lineRule="auto"/>
        <w:jc w:val="both"/>
        <w:rPr>
          <w:rFonts w:ascii="Book Antiqua" w:hAnsi="Book Antiqua"/>
          <w:sz w:val="24"/>
          <w:szCs w:val="24"/>
          <w:lang w:val="en-US"/>
        </w:rPr>
      </w:pPr>
    </w:p>
    <w:p w14:paraId="45504588" w14:textId="77777777" w:rsidR="00EA5F4F" w:rsidRPr="004447D2" w:rsidRDefault="00EA5F4F" w:rsidP="00887EC2">
      <w:pPr>
        <w:pStyle w:val="a8"/>
        <w:spacing w:line="360" w:lineRule="auto"/>
        <w:jc w:val="both"/>
        <w:rPr>
          <w:rFonts w:ascii="Book Antiqua" w:hAnsi="Book Antiqua"/>
          <w:sz w:val="24"/>
          <w:szCs w:val="24"/>
          <w:lang w:val="en-US"/>
        </w:rPr>
      </w:pPr>
    </w:p>
    <w:p w14:paraId="33885011" w14:textId="77777777" w:rsidR="00EA5F4F" w:rsidRPr="004447D2" w:rsidRDefault="00EA5F4F" w:rsidP="00887EC2">
      <w:pPr>
        <w:pStyle w:val="a8"/>
        <w:spacing w:line="360" w:lineRule="auto"/>
        <w:jc w:val="both"/>
        <w:rPr>
          <w:rFonts w:ascii="Book Antiqua" w:hAnsi="Book Antiqua"/>
          <w:sz w:val="24"/>
          <w:szCs w:val="24"/>
          <w:lang w:val="en-US"/>
        </w:rPr>
      </w:pPr>
    </w:p>
    <w:p w14:paraId="0F7477F7" w14:textId="77777777" w:rsidR="00EA5F4F" w:rsidRPr="004447D2" w:rsidRDefault="00EA5F4F" w:rsidP="00887EC2">
      <w:pPr>
        <w:pStyle w:val="a8"/>
        <w:spacing w:line="360" w:lineRule="auto"/>
        <w:jc w:val="both"/>
        <w:rPr>
          <w:rFonts w:ascii="Book Antiqua" w:hAnsi="Book Antiqua"/>
          <w:sz w:val="24"/>
          <w:szCs w:val="24"/>
          <w:lang w:val="en-US"/>
        </w:rPr>
      </w:pPr>
    </w:p>
    <w:p w14:paraId="022B05C4" w14:textId="77777777" w:rsidR="00EA5F4F" w:rsidRPr="004447D2" w:rsidRDefault="00EA5F4F" w:rsidP="00887EC2">
      <w:pPr>
        <w:pStyle w:val="a8"/>
        <w:spacing w:line="360" w:lineRule="auto"/>
        <w:jc w:val="both"/>
        <w:rPr>
          <w:rFonts w:ascii="Book Antiqua" w:hAnsi="Book Antiqua"/>
          <w:sz w:val="24"/>
          <w:szCs w:val="24"/>
          <w:lang w:val="en-US"/>
        </w:rPr>
      </w:pPr>
    </w:p>
    <w:p w14:paraId="4788EB2C" w14:textId="77777777" w:rsidR="00EA5F4F" w:rsidRPr="004447D2" w:rsidRDefault="00EA5F4F" w:rsidP="00887EC2">
      <w:pPr>
        <w:pStyle w:val="a8"/>
        <w:spacing w:line="360" w:lineRule="auto"/>
        <w:jc w:val="both"/>
        <w:rPr>
          <w:rFonts w:ascii="Book Antiqua" w:hAnsi="Book Antiqua"/>
          <w:sz w:val="24"/>
          <w:szCs w:val="24"/>
          <w:lang w:val="en-US"/>
        </w:rPr>
      </w:pPr>
    </w:p>
    <w:p w14:paraId="6AB2CEF3" w14:textId="77777777" w:rsidR="00EA5F4F" w:rsidRPr="004447D2" w:rsidRDefault="00EA5F4F" w:rsidP="00887EC2">
      <w:pPr>
        <w:pStyle w:val="a8"/>
        <w:spacing w:line="360" w:lineRule="auto"/>
        <w:jc w:val="both"/>
        <w:rPr>
          <w:rFonts w:ascii="Book Antiqua" w:hAnsi="Book Antiqua"/>
          <w:sz w:val="24"/>
          <w:szCs w:val="24"/>
          <w:lang w:val="en-US"/>
        </w:rPr>
      </w:pPr>
    </w:p>
    <w:p w14:paraId="68BA3A8F" w14:textId="77777777" w:rsidR="00EA5F4F" w:rsidRPr="004447D2" w:rsidRDefault="00EA5F4F" w:rsidP="00887EC2">
      <w:pPr>
        <w:pStyle w:val="a8"/>
        <w:spacing w:line="360" w:lineRule="auto"/>
        <w:jc w:val="both"/>
        <w:rPr>
          <w:rFonts w:ascii="Book Antiqua" w:hAnsi="Book Antiqua"/>
          <w:sz w:val="24"/>
          <w:szCs w:val="24"/>
          <w:lang w:val="en-US"/>
        </w:rPr>
      </w:pPr>
    </w:p>
    <w:p w14:paraId="4B656A92" w14:textId="77777777" w:rsidR="00EA5F4F" w:rsidRPr="004447D2" w:rsidRDefault="00EA5F4F" w:rsidP="00887EC2">
      <w:pPr>
        <w:pStyle w:val="a8"/>
        <w:spacing w:line="360" w:lineRule="auto"/>
        <w:jc w:val="both"/>
        <w:rPr>
          <w:rFonts w:ascii="Book Antiqua" w:hAnsi="Book Antiqua"/>
          <w:sz w:val="24"/>
          <w:szCs w:val="24"/>
          <w:lang w:val="en-US"/>
        </w:rPr>
      </w:pPr>
    </w:p>
    <w:p w14:paraId="0CB64F17" w14:textId="77777777" w:rsidR="00EA5F4F" w:rsidRPr="004447D2" w:rsidRDefault="00EA5F4F" w:rsidP="00887EC2">
      <w:pPr>
        <w:pStyle w:val="a8"/>
        <w:spacing w:line="360" w:lineRule="auto"/>
        <w:jc w:val="both"/>
        <w:rPr>
          <w:rFonts w:ascii="Book Antiqua" w:hAnsi="Book Antiqua"/>
          <w:sz w:val="24"/>
          <w:szCs w:val="24"/>
          <w:lang w:val="en-US"/>
        </w:rPr>
      </w:pPr>
    </w:p>
    <w:p w14:paraId="4904D5FC" w14:textId="77777777" w:rsidR="00EA5F4F" w:rsidRPr="004447D2" w:rsidRDefault="00EA5F4F" w:rsidP="00887EC2">
      <w:pPr>
        <w:pStyle w:val="a8"/>
        <w:spacing w:line="360" w:lineRule="auto"/>
        <w:jc w:val="both"/>
        <w:rPr>
          <w:rFonts w:ascii="Book Antiqua" w:hAnsi="Book Antiqua"/>
          <w:sz w:val="24"/>
          <w:szCs w:val="24"/>
          <w:lang w:val="en-US"/>
        </w:rPr>
      </w:pPr>
    </w:p>
    <w:p w14:paraId="5991F9F7" w14:textId="77777777" w:rsidR="00EA5F4F" w:rsidRPr="004447D2" w:rsidRDefault="00EA5F4F" w:rsidP="00887EC2">
      <w:pPr>
        <w:pStyle w:val="a8"/>
        <w:spacing w:line="360" w:lineRule="auto"/>
        <w:jc w:val="both"/>
        <w:rPr>
          <w:rFonts w:ascii="Book Antiqua" w:hAnsi="Book Antiqua"/>
          <w:sz w:val="24"/>
          <w:szCs w:val="24"/>
          <w:lang w:val="en-US"/>
        </w:rPr>
      </w:pPr>
    </w:p>
    <w:p w14:paraId="502F5544" w14:textId="77777777" w:rsidR="00EA5F4F" w:rsidRPr="004447D2" w:rsidRDefault="00EA5F4F" w:rsidP="00887EC2">
      <w:pPr>
        <w:pStyle w:val="a8"/>
        <w:spacing w:line="360" w:lineRule="auto"/>
        <w:jc w:val="both"/>
        <w:rPr>
          <w:rFonts w:ascii="Book Antiqua" w:hAnsi="Book Antiqua"/>
          <w:sz w:val="24"/>
          <w:szCs w:val="24"/>
          <w:lang w:val="en-US"/>
        </w:rPr>
      </w:pPr>
    </w:p>
    <w:p w14:paraId="42E6F80E" w14:textId="77777777" w:rsidR="00EA5F4F" w:rsidRPr="004447D2" w:rsidRDefault="00EA5F4F" w:rsidP="00887EC2">
      <w:pPr>
        <w:pStyle w:val="a8"/>
        <w:spacing w:line="360" w:lineRule="auto"/>
        <w:jc w:val="both"/>
        <w:rPr>
          <w:rFonts w:ascii="Book Antiqua" w:hAnsi="Book Antiqua"/>
          <w:sz w:val="24"/>
          <w:szCs w:val="24"/>
          <w:lang w:val="en-US"/>
        </w:rPr>
      </w:pPr>
    </w:p>
    <w:p w14:paraId="31C70F92" w14:textId="77777777" w:rsidR="00932497" w:rsidRPr="004447D2" w:rsidRDefault="00932497" w:rsidP="00887EC2">
      <w:pPr>
        <w:pStyle w:val="a8"/>
        <w:spacing w:line="360" w:lineRule="auto"/>
        <w:jc w:val="both"/>
        <w:rPr>
          <w:rFonts w:ascii="Book Antiqua" w:hAnsi="Book Antiqua"/>
          <w:sz w:val="24"/>
          <w:szCs w:val="24"/>
          <w:lang w:val="en-US"/>
        </w:rPr>
      </w:pPr>
    </w:p>
    <w:p w14:paraId="3CAD2FC0" w14:textId="77777777" w:rsidR="00932497" w:rsidRPr="004447D2" w:rsidRDefault="00932497" w:rsidP="00887EC2">
      <w:pPr>
        <w:pStyle w:val="a8"/>
        <w:spacing w:line="360" w:lineRule="auto"/>
        <w:jc w:val="both"/>
        <w:rPr>
          <w:rFonts w:ascii="Book Antiqua" w:hAnsi="Book Antiqua"/>
          <w:sz w:val="24"/>
          <w:szCs w:val="24"/>
          <w:lang w:val="en-US"/>
        </w:rPr>
      </w:pPr>
    </w:p>
    <w:p w14:paraId="52163B4E" w14:textId="171462F5" w:rsidR="00B3189C" w:rsidRPr="004447D2" w:rsidRDefault="000809B1" w:rsidP="00887EC2">
      <w:pPr>
        <w:pStyle w:val="a8"/>
        <w:spacing w:line="360" w:lineRule="auto"/>
        <w:jc w:val="both"/>
        <w:rPr>
          <w:rFonts w:ascii="Book Antiqua" w:hAnsi="Book Antiqua"/>
          <w:b/>
          <w:sz w:val="24"/>
          <w:szCs w:val="24"/>
          <w:lang w:val="en-US" w:eastAsia="zh-CN"/>
        </w:rPr>
      </w:pPr>
      <w:r w:rsidRPr="004447D2">
        <w:rPr>
          <w:rFonts w:ascii="Book Antiqua" w:hAnsi="Book Antiqua"/>
          <w:b/>
          <w:sz w:val="24"/>
          <w:szCs w:val="24"/>
          <w:lang w:val="en-US"/>
        </w:rPr>
        <w:lastRenderedPageBreak/>
        <w:t>Table</w:t>
      </w:r>
      <w:r w:rsidR="00AB141C" w:rsidRPr="004447D2">
        <w:rPr>
          <w:rFonts w:ascii="Book Antiqua" w:hAnsi="Book Antiqua"/>
          <w:b/>
          <w:i/>
          <w:sz w:val="24"/>
          <w:szCs w:val="24"/>
          <w:lang w:val="en-US"/>
        </w:rPr>
        <w:t xml:space="preserve"> </w:t>
      </w:r>
      <w:r w:rsidRPr="004447D2">
        <w:rPr>
          <w:rFonts w:ascii="Book Antiqua" w:hAnsi="Book Antiqua"/>
          <w:b/>
          <w:sz w:val="24"/>
          <w:szCs w:val="24"/>
          <w:lang w:val="en-US"/>
        </w:rPr>
        <w:t xml:space="preserve">4 Characteristics of </w:t>
      </w:r>
      <w:r w:rsidR="00FA3A3B" w:rsidRPr="004447D2">
        <w:rPr>
          <w:rFonts w:ascii="Book Antiqua" w:hAnsi="Book Antiqua"/>
          <w:b/>
          <w:sz w:val="24"/>
          <w:szCs w:val="24"/>
          <w:lang w:val="en-US"/>
        </w:rPr>
        <w:t>corticosteroid</w:t>
      </w:r>
      <w:r w:rsidRPr="004447D2">
        <w:rPr>
          <w:rFonts w:ascii="Book Antiqua" w:hAnsi="Book Antiqua"/>
          <w:b/>
          <w:sz w:val="24"/>
          <w:szCs w:val="24"/>
          <w:lang w:val="en-US"/>
        </w:rPr>
        <w:t xml:space="preserve"> avoidance/withdrawal trials in immunologically high-risk and in pediatric patients</w:t>
      </w:r>
    </w:p>
    <w:p w14:paraId="670D5144" w14:textId="18A014E8" w:rsidR="00B3189C" w:rsidRPr="004447D2" w:rsidRDefault="00B3189C" w:rsidP="00887EC2">
      <w:pPr>
        <w:pStyle w:val="a8"/>
        <w:spacing w:line="360" w:lineRule="auto"/>
        <w:jc w:val="both"/>
        <w:rPr>
          <w:rFonts w:ascii="Book Antiqua" w:hAnsi="Book Antiqua"/>
          <w:sz w:val="24"/>
          <w:szCs w:val="24"/>
          <w:lang w:val="en-US" w:eastAsia="zh-CN"/>
        </w:rPr>
      </w:pPr>
    </w:p>
    <w:tbl>
      <w:tblPr>
        <w:tblW w:w="11625" w:type="dxa"/>
        <w:tblInd w:w="1194" w:type="dxa"/>
        <w:tblBorders>
          <w:top w:val="single" w:sz="4" w:space="0" w:color="auto"/>
          <w:bottom w:val="single" w:sz="4" w:space="0" w:color="auto"/>
        </w:tblBorders>
        <w:tblLayout w:type="fixed"/>
        <w:tblLook w:val="04A0" w:firstRow="1" w:lastRow="0" w:firstColumn="1" w:lastColumn="0" w:noHBand="0" w:noVBand="1"/>
      </w:tblPr>
      <w:tblGrid>
        <w:gridCol w:w="1560"/>
        <w:gridCol w:w="764"/>
        <w:gridCol w:w="1418"/>
        <w:gridCol w:w="1134"/>
        <w:gridCol w:w="1559"/>
        <w:gridCol w:w="1701"/>
        <w:gridCol w:w="1221"/>
        <w:gridCol w:w="1275"/>
        <w:gridCol w:w="993"/>
      </w:tblGrid>
      <w:tr w:rsidR="00EA5F4F" w:rsidRPr="004447D2" w14:paraId="46EF74AA" w14:textId="77777777" w:rsidTr="000809B1">
        <w:trPr>
          <w:trHeight w:val="552"/>
        </w:trPr>
        <w:tc>
          <w:tcPr>
            <w:tcW w:w="1560" w:type="dxa"/>
            <w:tcBorders>
              <w:top w:val="single" w:sz="4" w:space="0" w:color="auto"/>
              <w:bottom w:val="single" w:sz="4" w:space="0" w:color="auto"/>
            </w:tcBorders>
            <w:shd w:val="clear" w:color="auto" w:fill="auto"/>
            <w:vAlign w:val="center"/>
          </w:tcPr>
          <w:p w14:paraId="4181529D" w14:textId="0FE062DA" w:rsidR="00EA5F4F" w:rsidRPr="004447D2" w:rsidRDefault="000809B1" w:rsidP="00887EC2">
            <w:pPr>
              <w:pStyle w:val="a8"/>
              <w:spacing w:line="360" w:lineRule="auto"/>
              <w:jc w:val="both"/>
              <w:rPr>
                <w:rFonts w:ascii="Book Antiqua" w:hAnsi="Book Antiqua"/>
                <w:b/>
                <w:sz w:val="24"/>
                <w:szCs w:val="24"/>
                <w:lang w:val="en-US" w:eastAsia="zh-CN"/>
              </w:rPr>
            </w:pPr>
            <w:r w:rsidRPr="004447D2">
              <w:rPr>
                <w:rFonts w:ascii="Book Antiqua" w:hAnsi="Book Antiqua"/>
                <w:b/>
                <w:sz w:val="24"/>
                <w:szCs w:val="24"/>
                <w:lang w:val="en-US" w:eastAsia="zh-CN"/>
              </w:rPr>
              <w:t>Ref.</w:t>
            </w:r>
          </w:p>
        </w:tc>
        <w:tc>
          <w:tcPr>
            <w:tcW w:w="764" w:type="dxa"/>
            <w:tcBorders>
              <w:top w:val="single" w:sz="4" w:space="0" w:color="auto"/>
              <w:bottom w:val="single" w:sz="4" w:space="0" w:color="auto"/>
            </w:tcBorders>
            <w:shd w:val="clear" w:color="auto" w:fill="auto"/>
            <w:vAlign w:val="center"/>
          </w:tcPr>
          <w:p w14:paraId="194B32F8" w14:textId="77777777" w:rsidR="00EA5F4F" w:rsidRPr="004447D2" w:rsidRDefault="00EA5F4F"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Patient number</w:t>
            </w:r>
          </w:p>
        </w:tc>
        <w:tc>
          <w:tcPr>
            <w:tcW w:w="1418" w:type="dxa"/>
            <w:tcBorders>
              <w:top w:val="single" w:sz="4" w:space="0" w:color="auto"/>
              <w:bottom w:val="single" w:sz="4" w:space="0" w:color="auto"/>
            </w:tcBorders>
            <w:shd w:val="clear" w:color="auto" w:fill="auto"/>
            <w:vAlign w:val="center"/>
          </w:tcPr>
          <w:p w14:paraId="74EF2577" w14:textId="77777777" w:rsidR="00EA5F4F" w:rsidRPr="004447D2" w:rsidRDefault="00EA5F4F"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Immunological risk</w:t>
            </w:r>
          </w:p>
        </w:tc>
        <w:tc>
          <w:tcPr>
            <w:tcW w:w="1134" w:type="dxa"/>
            <w:tcBorders>
              <w:top w:val="single" w:sz="4" w:space="0" w:color="auto"/>
              <w:bottom w:val="single" w:sz="4" w:space="0" w:color="auto"/>
            </w:tcBorders>
            <w:shd w:val="clear" w:color="auto" w:fill="auto"/>
            <w:vAlign w:val="center"/>
          </w:tcPr>
          <w:p w14:paraId="157D2A1D" w14:textId="77777777" w:rsidR="00EA5F4F" w:rsidRPr="004447D2" w:rsidRDefault="00EA5F4F"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Timing of CS withdrawal</w:t>
            </w:r>
          </w:p>
        </w:tc>
        <w:tc>
          <w:tcPr>
            <w:tcW w:w="1559" w:type="dxa"/>
            <w:tcBorders>
              <w:top w:val="single" w:sz="4" w:space="0" w:color="auto"/>
              <w:bottom w:val="single" w:sz="4" w:space="0" w:color="auto"/>
            </w:tcBorders>
            <w:shd w:val="clear" w:color="auto" w:fill="auto"/>
            <w:vAlign w:val="center"/>
          </w:tcPr>
          <w:p w14:paraId="7DC552F4" w14:textId="77777777" w:rsidR="00EA5F4F" w:rsidRPr="004447D2" w:rsidRDefault="00EA5F4F"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Induction immunosuppression</w:t>
            </w:r>
          </w:p>
        </w:tc>
        <w:tc>
          <w:tcPr>
            <w:tcW w:w="1701" w:type="dxa"/>
            <w:tcBorders>
              <w:top w:val="single" w:sz="4" w:space="0" w:color="auto"/>
              <w:bottom w:val="single" w:sz="4" w:space="0" w:color="auto"/>
            </w:tcBorders>
            <w:shd w:val="clear" w:color="auto" w:fill="auto"/>
            <w:vAlign w:val="center"/>
          </w:tcPr>
          <w:p w14:paraId="160C523B" w14:textId="77777777" w:rsidR="00EA5F4F" w:rsidRPr="004447D2" w:rsidRDefault="00EA5F4F"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Maintenance immunosuppression</w:t>
            </w:r>
          </w:p>
        </w:tc>
        <w:tc>
          <w:tcPr>
            <w:tcW w:w="1221" w:type="dxa"/>
            <w:tcBorders>
              <w:top w:val="single" w:sz="4" w:space="0" w:color="auto"/>
              <w:bottom w:val="single" w:sz="4" w:space="0" w:color="auto"/>
            </w:tcBorders>
            <w:shd w:val="clear" w:color="auto" w:fill="auto"/>
            <w:vAlign w:val="center"/>
          </w:tcPr>
          <w:p w14:paraId="71BB5103" w14:textId="77777777" w:rsidR="00EA5F4F" w:rsidRPr="004447D2" w:rsidRDefault="00EE1C95"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A</w:t>
            </w:r>
            <w:r w:rsidR="00EA5F4F" w:rsidRPr="004447D2">
              <w:rPr>
                <w:rFonts w:ascii="Book Antiqua" w:hAnsi="Book Antiqua"/>
                <w:b/>
                <w:sz w:val="24"/>
                <w:szCs w:val="24"/>
                <w:lang w:val="en-US"/>
              </w:rPr>
              <w:t>cute rejection (%)</w:t>
            </w:r>
          </w:p>
        </w:tc>
        <w:tc>
          <w:tcPr>
            <w:tcW w:w="1275" w:type="dxa"/>
            <w:tcBorders>
              <w:top w:val="single" w:sz="4" w:space="0" w:color="auto"/>
              <w:bottom w:val="single" w:sz="4" w:space="0" w:color="auto"/>
            </w:tcBorders>
            <w:shd w:val="clear" w:color="auto" w:fill="auto"/>
            <w:vAlign w:val="center"/>
          </w:tcPr>
          <w:p w14:paraId="7023BAA6" w14:textId="2E3CF500" w:rsidR="00EA5F4F" w:rsidRPr="004447D2" w:rsidRDefault="00EA5F4F"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Allograft/patient survival (%)</w:t>
            </w:r>
          </w:p>
        </w:tc>
        <w:tc>
          <w:tcPr>
            <w:tcW w:w="993" w:type="dxa"/>
            <w:tcBorders>
              <w:top w:val="single" w:sz="4" w:space="0" w:color="auto"/>
              <w:bottom w:val="single" w:sz="4" w:space="0" w:color="auto"/>
            </w:tcBorders>
            <w:shd w:val="clear" w:color="auto" w:fill="auto"/>
            <w:vAlign w:val="center"/>
          </w:tcPr>
          <w:p w14:paraId="25BC615A" w14:textId="738FD67E" w:rsidR="00EA5F4F" w:rsidRPr="004447D2" w:rsidRDefault="00EA5F4F" w:rsidP="00887EC2">
            <w:pPr>
              <w:pStyle w:val="a8"/>
              <w:spacing w:line="360" w:lineRule="auto"/>
              <w:jc w:val="both"/>
              <w:rPr>
                <w:rFonts w:ascii="Book Antiqua" w:hAnsi="Book Antiqua"/>
                <w:b/>
                <w:sz w:val="24"/>
                <w:szCs w:val="24"/>
                <w:lang w:val="en-US"/>
              </w:rPr>
            </w:pPr>
            <w:r w:rsidRPr="004447D2">
              <w:rPr>
                <w:rFonts w:ascii="Book Antiqua" w:hAnsi="Book Antiqua"/>
                <w:b/>
                <w:sz w:val="24"/>
                <w:szCs w:val="24"/>
                <w:lang w:val="en-US"/>
              </w:rPr>
              <w:t>Follow-up (mo)</w:t>
            </w:r>
          </w:p>
        </w:tc>
      </w:tr>
      <w:tr w:rsidR="00823E96" w:rsidRPr="004447D2" w14:paraId="2EC01D7D" w14:textId="77777777" w:rsidTr="000809B1">
        <w:trPr>
          <w:trHeight w:val="552"/>
        </w:trPr>
        <w:tc>
          <w:tcPr>
            <w:tcW w:w="11625" w:type="dxa"/>
            <w:gridSpan w:val="9"/>
            <w:tcBorders>
              <w:top w:val="single" w:sz="4" w:space="0" w:color="auto"/>
              <w:bottom w:val="nil"/>
            </w:tcBorders>
            <w:shd w:val="clear" w:color="auto" w:fill="auto"/>
            <w:vAlign w:val="center"/>
          </w:tcPr>
          <w:p w14:paraId="6B5B75B9" w14:textId="77777777" w:rsidR="00823E96" w:rsidRPr="004447D2" w:rsidRDefault="00823E9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Immunologically high-risk patients</w:t>
            </w:r>
          </w:p>
        </w:tc>
      </w:tr>
      <w:tr w:rsidR="00EA5F4F" w:rsidRPr="004447D2" w14:paraId="7B7310A5" w14:textId="77777777" w:rsidTr="000809B1">
        <w:trPr>
          <w:trHeight w:val="552"/>
        </w:trPr>
        <w:tc>
          <w:tcPr>
            <w:tcW w:w="1560" w:type="dxa"/>
            <w:tcBorders>
              <w:top w:val="nil"/>
              <w:bottom w:val="nil"/>
            </w:tcBorders>
            <w:shd w:val="clear" w:color="auto" w:fill="auto"/>
            <w:vAlign w:val="center"/>
          </w:tcPr>
          <w:p w14:paraId="1B3811D0" w14:textId="0D9BFD23" w:rsidR="00EA5F4F" w:rsidRPr="004447D2" w:rsidRDefault="000809B1" w:rsidP="00887EC2">
            <w:pPr>
              <w:pStyle w:val="a8"/>
              <w:spacing w:line="360" w:lineRule="auto"/>
              <w:jc w:val="both"/>
              <w:rPr>
                <w:rFonts w:ascii="Book Antiqua" w:hAnsi="Book Antiqua"/>
                <w:sz w:val="24"/>
                <w:szCs w:val="24"/>
                <w:lang w:val="en-US" w:eastAsia="zh-CN"/>
              </w:rPr>
            </w:pPr>
            <w:r w:rsidRPr="004447D2">
              <w:rPr>
                <w:rFonts w:ascii="Book Antiqua" w:hAnsi="Book Antiqua"/>
                <w:sz w:val="24"/>
                <w:szCs w:val="24"/>
                <w:lang w:val="en-US"/>
              </w:rPr>
              <w:t>Thomas</w:t>
            </w:r>
            <w:r w:rsidRPr="004447D2">
              <w:rPr>
                <w:rFonts w:ascii="Book Antiqua" w:hAnsi="Book Antiqua"/>
                <w:sz w:val="24"/>
                <w:szCs w:val="24"/>
                <w:lang w:val="en-US" w:eastAsia="zh-CN"/>
              </w:rPr>
              <w:t xml:space="preserve"> </w:t>
            </w:r>
            <w:r w:rsidR="00AB141C" w:rsidRPr="004447D2">
              <w:rPr>
                <w:rFonts w:ascii="Book Antiqua" w:hAnsi="Book Antiqua"/>
                <w:i/>
                <w:sz w:val="24"/>
                <w:szCs w:val="24"/>
                <w:lang w:val="en-US" w:eastAsia="zh-CN"/>
              </w:rPr>
              <w:t>et al</w:t>
            </w:r>
            <w:r w:rsidRPr="004447D2">
              <w:rPr>
                <w:rFonts w:ascii="Book Antiqua" w:hAnsi="Book Antiqua"/>
                <w:sz w:val="24"/>
                <w:szCs w:val="24"/>
                <w:vertAlign w:val="superscript"/>
                <w:lang w:val="en-US" w:eastAsia="zh-CN"/>
              </w:rPr>
              <w:t>[</w:t>
            </w:r>
            <w:r w:rsidR="00823E96" w:rsidRPr="004447D2">
              <w:rPr>
                <w:rFonts w:ascii="Book Antiqua" w:hAnsi="Book Antiqua"/>
                <w:sz w:val="24"/>
                <w:szCs w:val="24"/>
                <w:vertAlign w:val="superscript"/>
                <w:lang w:val="en-US"/>
              </w:rPr>
              <w:t>26</w:t>
            </w:r>
            <w:r w:rsidRPr="004447D2">
              <w:rPr>
                <w:rFonts w:ascii="Book Antiqua" w:hAnsi="Book Antiqua"/>
                <w:sz w:val="24"/>
                <w:szCs w:val="24"/>
                <w:vertAlign w:val="superscript"/>
                <w:lang w:val="en-US" w:eastAsia="zh-CN"/>
              </w:rPr>
              <w:t>]</w:t>
            </w:r>
          </w:p>
        </w:tc>
        <w:tc>
          <w:tcPr>
            <w:tcW w:w="764" w:type="dxa"/>
            <w:tcBorders>
              <w:top w:val="nil"/>
              <w:bottom w:val="nil"/>
            </w:tcBorders>
            <w:shd w:val="clear" w:color="auto" w:fill="auto"/>
            <w:vAlign w:val="center"/>
          </w:tcPr>
          <w:p w14:paraId="51102464" w14:textId="77777777" w:rsidR="00EA5F4F" w:rsidRPr="004447D2" w:rsidRDefault="00A635F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11</w:t>
            </w:r>
          </w:p>
          <w:p w14:paraId="7350E345" w14:textId="77777777" w:rsidR="00A635F1" w:rsidRPr="004447D2" w:rsidRDefault="00A635F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10</w:t>
            </w:r>
          </w:p>
        </w:tc>
        <w:tc>
          <w:tcPr>
            <w:tcW w:w="1418" w:type="dxa"/>
            <w:tcBorders>
              <w:top w:val="nil"/>
              <w:bottom w:val="nil"/>
            </w:tcBorders>
            <w:shd w:val="clear" w:color="auto" w:fill="auto"/>
            <w:vAlign w:val="center"/>
          </w:tcPr>
          <w:p w14:paraId="012BD132" w14:textId="47BA0E7A" w:rsidR="00EE07E1" w:rsidRPr="004447D2" w:rsidRDefault="00EE07E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PRA</w:t>
            </w:r>
            <w:r w:rsidR="000809B1" w:rsidRPr="004447D2">
              <w:rPr>
                <w:rFonts w:ascii="Book Antiqua" w:hAnsi="Book Antiqua"/>
                <w:sz w:val="24"/>
                <w:szCs w:val="24"/>
                <w:lang w:val="en-US" w:eastAsia="zh-CN"/>
              </w:rPr>
              <w:t xml:space="preserve"> </w:t>
            </w:r>
            <w:r w:rsidRPr="004447D2">
              <w:rPr>
                <w:rFonts w:ascii="Book Antiqua" w:hAnsi="Book Antiqua"/>
                <w:sz w:val="24"/>
                <w:szCs w:val="24"/>
                <w:lang w:val="en-US"/>
              </w:rPr>
              <w:t>&gt;</w:t>
            </w:r>
            <w:r w:rsidR="000809B1" w:rsidRPr="004447D2">
              <w:rPr>
                <w:rFonts w:ascii="Book Antiqua" w:hAnsi="Book Antiqua"/>
                <w:sz w:val="24"/>
                <w:szCs w:val="24"/>
                <w:lang w:val="en-US" w:eastAsia="zh-CN"/>
              </w:rPr>
              <w:t xml:space="preserve"> </w:t>
            </w:r>
            <w:r w:rsidRPr="004447D2">
              <w:rPr>
                <w:rFonts w:ascii="Book Antiqua" w:hAnsi="Book Antiqua"/>
                <w:sz w:val="24"/>
                <w:szCs w:val="24"/>
                <w:lang w:val="en-US"/>
              </w:rPr>
              <w:t xml:space="preserve">20%, or </w:t>
            </w:r>
          </w:p>
          <w:p w14:paraId="090519D9" w14:textId="77777777" w:rsidR="00EA5F4F" w:rsidRPr="004447D2" w:rsidRDefault="00EE07E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repeat transplant</w:t>
            </w:r>
          </w:p>
        </w:tc>
        <w:tc>
          <w:tcPr>
            <w:tcW w:w="1134" w:type="dxa"/>
            <w:tcBorders>
              <w:top w:val="nil"/>
              <w:bottom w:val="nil"/>
            </w:tcBorders>
            <w:shd w:val="clear" w:color="auto" w:fill="auto"/>
            <w:vAlign w:val="center"/>
          </w:tcPr>
          <w:p w14:paraId="23BD5388" w14:textId="77777777" w:rsidR="005A3F33" w:rsidRPr="004447D2" w:rsidRDefault="005A3F33"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No CS</w:t>
            </w:r>
          </w:p>
          <w:p w14:paraId="313A4224" w14:textId="77777777" w:rsidR="00EA5F4F" w:rsidRPr="004447D2" w:rsidRDefault="006B066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Day 5</w:t>
            </w:r>
          </w:p>
        </w:tc>
        <w:tc>
          <w:tcPr>
            <w:tcW w:w="1559" w:type="dxa"/>
            <w:tcBorders>
              <w:top w:val="nil"/>
              <w:bottom w:val="nil"/>
            </w:tcBorders>
            <w:shd w:val="clear" w:color="auto" w:fill="auto"/>
            <w:vAlign w:val="center"/>
          </w:tcPr>
          <w:p w14:paraId="230823FA" w14:textId="77777777" w:rsidR="00A635F1" w:rsidRPr="004447D2" w:rsidRDefault="00A635F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Alemtuzumab</w:t>
            </w:r>
          </w:p>
          <w:p w14:paraId="0A58F531" w14:textId="77777777" w:rsidR="00EA5F4F" w:rsidRPr="004447D2" w:rsidRDefault="00A635F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ATG</w:t>
            </w:r>
          </w:p>
        </w:tc>
        <w:tc>
          <w:tcPr>
            <w:tcW w:w="1701" w:type="dxa"/>
            <w:tcBorders>
              <w:top w:val="nil"/>
              <w:bottom w:val="nil"/>
            </w:tcBorders>
            <w:shd w:val="clear" w:color="auto" w:fill="auto"/>
            <w:vAlign w:val="center"/>
          </w:tcPr>
          <w:p w14:paraId="11C31FF3" w14:textId="77777777" w:rsidR="00EA5F4F" w:rsidRPr="004447D2" w:rsidRDefault="005A3F33"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TAC</w:t>
            </w:r>
          </w:p>
          <w:p w14:paraId="05AD5F85" w14:textId="77777777" w:rsidR="005A3F33" w:rsidRPr="004447D2" w:rsidRDefault="005A3F33"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TAC, MMF</w:t>
            </w:r>
          </w:p>
        </w:tc>
        <w:tc>
          <w:tcPr>
            <w:tcW w:w="1221" w:type="dxa"/>
            <w:tcBorders>
              <w:top w:val="nil"/>
              <w:bottom w:val="nil"/>
            </w:tcBorders>
            <w:shd w:val="clear" w:color="auto" w:fill="auto"/>
            <w:vAlign w:val="center"/>
          </w:tcPr>
          <w:p w14:paraId="67362FEB" w14:textId="77777777" w:rsidR="00EA5F4F" w:rsidRPr="004447D2" w:rsidRDefault="003721FC" w:rsidP="00887EC2">
            <w:pPr>
              <w:pStyle w:val="a8"/>
              <w:spacing w:line="360" w:lineRule="auto"/>
              <w:jc w:val="both"/>
              <w:rPr>
                <w:rFonts w:ascii="Book Antiqua" w:hAnsi="Book Antiqua"/>
                <w:sz w:val="24"/>
                <w:szCs w:val="24"/>
                <w:vertAlign w:val="superscript"/>
                <w:lang w:val="en-US"/>
              </w:rPr>
            </w:pPr>
            <w:r w:rsidRPr="004447D2">
              <w:rPr>
                <w:rFonts w:ascii="Book Antiqua" w:hAnsi="Book Antiqua"/>
                <w:sz w:val="24"/>
                <w:szCs w:val="24"/>
                <w:lang w:val="en-US"/>
              </w:rPr>
              <w:t>18.2</w:t>
            </w:r>
          </w:p>
          <w:p w14:paraId="24D92E37" w14:textId="77777777" w:rsidR="003721FC" w:rsidRPr="004447D2" w:rsidRDefault="003721FC" w:rsidP="00887EC2">
            <w:pPr>
              <w:pStyle w:val="a8"/>
              <w:spacing w:line="360" w:lineRule="auto"/>
              <w:jc w:val="both"/>
              <w:rPr>
                <w:rFonts w:ascii="Book Antiqua" w:hAnsi="Book Antiqua"/>
                <w:sz w:val="24"/>
                <w:szCs w:val="24"/>
                <w:vertAlign w:val="superscript"/>
                <w:lang w:val="en-US"/>
              </w:rPr>
            </w:pPr>
            <w:r w:rsidRPr="004447D2">
              <w:rPr>
                <w:rFonts w:ascii="Book Antiqua" w:hAnsi="Book Antiqua"/>
                <w:sz w:val="24"/>
                <w:szCs w:val="24"/>
                <w:lang w:val="en-US"/>
              </w:rPr>
              <w:t>37.5</w:t>
            </w:r>
          </w:p>
        </w:tc>
        <w:tc>
          <w:tcPr>
            <w:tcW w:w="1275" w:type="dxa"/>
            <w:tcBorders>
              <w:top w:val="nil"/>
              <w:bottom w:val="nil"/>
            </w:tcBorders>
            <w:shd w:val="clear" w:color="auto" w:fill="auto"/>
            <w:vAlign w:val="center"/>
          </w:tcPr>
          <w:p w14:paraId="3ACEBC10" w14:textId="77777777" w:rsidR="00EA5F4F" w:rsidRPr="004447D2" w:rsidRDefault="006B066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86/100</w:t>
            </w:r>
          </w:p>
          <w:p w14:paraId="2811819D" w14:textId="77777777" w:rsidR="006B066D" w:rsidRPr="004447D2" w:rsidRDefault="006B066D"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88/88</w:t>
            </w:r>
          </w:p>
        </w:tc>
        <w:tc>
          <w:tcPr>
            <w:tcW w:w="993" w:type="dxa"/>
            <w:tcBorders>
              <w:top w:val="nil"/>
              <w:bottom w:val="nil"/>
            </w:tcBorders>
            <w:shd w:val="clear" w:color="auto" w:fill="auto"/>
            <w:vAlign w:val="center"/>
          </w:tcPr>
          <w:p w14:paraId="42A628AB" w14:textId="77777777" w:rsidR="00EA5F4F" w:rsidRPr="004447D2" w:rsidRDefault="003721FC"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12</w:t>
            </w:r>
          </w:p>
        </w:tc>
      </w:tr>
      <w:tr w:rsidR="00823E96" w:rsidRPr="004447D2" w14:paraId="72DF3EF2" w14:textId="77777777" w:rsidTr="000809B1">
        <w:trPr>
          <w:trHeight w:val="552"/>
        </w:trPr>
        <w:tc>
          <w:tcPr>
            <w:tcW w:w="1560" w:type="dxa"/>
            <w:shd w:val="clear" w:color="auto" w:fill="auto"/>
            <w:vAlign w:val="center"/>
          </w:tcPr>
          <w:p w14:paraId="085272B2" w14:textId="3831E82E" w:rsidR="00823E96" w:rsidRPr="004447D2" w:rsidRDefault="000809B1" w:rsidP="00887EC2">
            <w:pPr>
              <w:pStyle w:val="a8"/>
              <w:spacing w:line="360" w:lineRule="auto"/>
              <w:jc w:val="both"/>
              <w:rPr>
                <w:rFonts w:ascii="Book Antiqua" w:hAnsi="Book Antiqua"/>
                <w:sz w:val="24"/>
                <w:szCs w:val="24"/>
                <w:lang w:val="en-US"/>
              </w:rPr>
            </w:pPr>
            <w:proofErr w:type="spellStart"/>
            <w:r w:rsidRPr="004447D2">
              <w:rPr>
                <w:rFonts w:ascii="Book Antiqua" w:hAnsi="Book Antiqua"/>
                <w:sz w:val="24"/>
                <w:szCs w:val="24"/>
                <w:lang w:val="en-US"/>
              </w:rPr>
              <w:t>Hanaway</w:t>
            </w:r>
            <w:proofErr w:type="spellEnd"/>
            <w:r w:rsidRPr="004447D2">
              <w:rPr>
                <w:rFonts w:ascii="Book Antiqua" w:hAnsi="Book Antiqua"/>
                <w:sz w:val="24"/>
                <w:szCs w:val="24"/>
                <w:lang w:val="en-US" w:eastAsia="zh-CN"/>
              </w:rPr>
              <w:t xml:space="preserve"> </w:t>
            </w:r>
            <w:r w:rsidR="00AB141C" w:rsidRPr="004447D2">
              <w:rPr>
                <w:rFonts w:ascii="Book Antiqua" w:hAnsi="Book Antiqua"/>
                <w:i/>
                <w:sz w:val="24"/>
                <w:szCs w:val="24"/>
                <w:lang w:val="en-US" w:eastAsia="zh-CN"/>
              </w:rPr>
              <w:t>et al</w:t>
            </w:r>
            <w:r w:rsidR="00823E96" w:rsidRPr="004447D2">
              <w:rPr>
                <w:rFonts w:ascii="Book Antiqua" w:hAnsi="Book Antiqua"/>
                <w:sz w:val="24"/>
                <w:szCs w:val="24"/>
                <w:vertAlign w:val="superscript"/>
                <w:lang w:val="en-US"/>
              </w:rPr>
              <w:t>[17]</w:t>
            </w:r>
          </w:p>
        </w:tc>
        <w:tc>
          <w:tcPr>
            <w:tcW w:w="764" w:type="dxa"/>
            <w:shd w:val="clear" w:color="auto" w:fill="auto"/>
            <w:vAlign w:val="center"/>
          </w:tcPr>
          <w:p w14:paraId="5E06C7BE" w14:textId="77777777" w:rsidR="00823E96" w:rsidRPr="004447D2" w:rsidRDefault="00823E9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164</w:t>
            </w:r>
          </w:p>
          <w:p w14:paraId="45299CE3" w14:textId="77777777" w:rsidR="00823E96" w:rsidRPr="004447D2" w:rsidRDefault="00823E9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171</w:t>
            </w:r>
          </w:p>
        </w:tc>
        <w:tc>
          <w:tcPr>
            <w:tcW w:w="1418" w:type="dxa"/>
            <w:shd w:val="clear" w:color="auto" w:fill="auto"/>
            <w:vAlign w:val="center"/>
          </w:tcPr>
          <w:p w14:paraId="68749AA3" w14:textId="36B447E3" w:rsidR="00A635F1" w:rsidRPr="004447D2" w:rsidRDefault="009A3625"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PRA</w:t>
            </w:r>
            <w:r w:rsidR="00AB141C" w:rsidRPr="004447D2">
              <w:rPr>
                <w:rFonts w:ascii="Book Antiqua" w:hAnsi="Book Antiqua"/>
                <w:sz w:val="24"/>
                <w:szCs w:val="24"/>
                <w:lang w:val="en-US" w:eastAsia="zh-CN"/>
              </w:rPr>
              <w:t xml:space="preserve"> </w:t>
            </w:r>
            <w:r w:rsidRPr="004447D2">
              <w:rPr>
                <w:rFonts w:ascii="Book Antiqua" w:hAnsi="Book Antiqua"/>
                <w:sz w:val="24"/>
                <w:szCs w:val="24"/>
                <w:lang w:val="en-US"/>
              </w:rPr>
              <w:t>&gt;</w:t>
            </w:r>
            <w:r w:rsidR="00AB141C" w:rsidRPr="004447D2">
              <w:rPr>
                <w:rFonts w:ascii="Book Antiqua" w:hAnsi="Book Antiqua"/>
                <w:sz w:val="24"/>
                <w:szCs w:val="24"/>
                <w:lang w:val="en-US" w:eastAsia="zh-CN"/>
              </w:rPr>
              <w:t xml:space="preserve"> </w:t>
            </w:r>
            <w:r w:rsidRPr="004447D2">
              <w:rPr>
                <w:rFonts w:ascii="Book Antiqua" w:hAnsi="Book Antiqua"/>
                <w:sz w:val="24"/>
                <w:szCs w:val="24"/>
                <w:lang w:val="en-US"/>
              </w:rPr>
              <w:t>20%</w:t>
            </w:r>
            <w:r w:rsidR="00A635F1" w:rsidRPr="004447D2">
              <w:rPr>
                <w:rFonts w:ascii="Book Antiqua" w:hAnsi="Book Antiqua"/>
                <w:sz w:val="24"/>
                <w:szCs w:val="24"/>
                <w:lang w:val="en-US"/>
              </w:rPr>
              <w:t>, or</w:t>
            </w:r>
            <w:r w:rsidRPr="004447D2">
              <w:rPr>
                <w:rFonts w:ascii="Book Antiqua" w:hAnsi="Book Antiqua"/>
                <w:sz w:val="24"/>
                <w:szCs w:val="24"/>
                <w:lang w:val="en-US"/>
              </w:rPr>
              <w:t xml:space="preserve"> </w:t>
            </w:r>
          </w:p>
          <w:p w14:paraId="5C5D47D0" w14:textId="77777777" w:rsidR="009A3625" w:rsidRPr="004447D2" w:rsidRDefault="00A635F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black race, or repeat transplant</w:t>
            </w:r>
          </w:p>
          <w:p w14:paraId="0198E649" w14:textId="77777777" w:rsidR="00823E96" w:rsidRPr="004447D2" w:rsidRDefault="00823E96" w:rsidP="00887EC2">
            <w:pPr>
              <w:pStyle w:val="a8"/>
              <w:spacing w:line="360" w:lineRule="auto"/>
              <w:jc w:val="both"/>
              <w:rPr>
                <w:rFonts w:ascii="Book Antiqua" w:hAnsi="Book Antiqua"/>
                <w:sz w:val="24"/>
                <w:szCs w:val="24"/>
                <w:lang w:val="en-US"/>
              </w:rPr>
            </w:pPr>
          </w:p>
        </w:tc>
        <w:tc>
          <w:tcPr>
            <w:tcW w:w="1134" w:type="dxa"/>
            <w:shd w:val="clear" w:color="auto" w:fill="auto"/>
            <w:vAlign w:val="center"/>
          </w:tcPr>
          <w:p w14:paraId="61C72B53" w14:textId="77777777" w:rsidR="00823E96" w:rsidRPr="004447D2" w:rsidRDefault="00823E9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Day 5</w:t>
            </w:r>
          </w:p>
          <w:p w14:paraId="30D600D2" w14:textId="77777777" w:rsidR="00823E96" w:rsidRPr="004447D2" w:rsidRDefault="00823E9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Day 5</w:t>
            </w:r>
          </w:p>
        </w:tc>
        <w:tc>
          <w:tcPr>
            <w:tcW w:w="1559" w:type="dxa"/>
            <w:shd w:val="clear" w:color="auto" w:fill="auto"/>
            <w:vAlign w:val="center"/>
          </w:tcPr>
          <w:p w14:paraId="1CEA4C49" w14:textId="77777777" w:rsidR="00823E96" w:rsidRPr="004447D2" w:rsidRDefault="00823E9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Alemtuzumab</w:t>
            </w:r>
          </w:p>
          <w:p w14:paraId="637D57BF" w14:textId="77777777" w:rsidR="00823E96" w:rsidRPr="004447D2" w:rsidRDefault="00A635F1"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ATG</w:t>
            </w:r>
          </w:p>
        </w:tc>
        <w:tc>
          <w:tcPr>
            <w:tcW w:w="1701" w:type="dxa"/>
            <w:shd w:val="clear" w:color="auto" w:fill="auto"/>
            <w:vAlign w:val="center"/>
          </w:tcPr>
          <w:p w14:paraId="5A9C2250" w14:textId="77777777" w:rsidR="00823E96" w:rsidRPr="004447D2" w:rsidRDefault="00823E9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TAC, MMF</w:t>
            </w:r>
          </w:p>
        </w:tc>
        <w:tc>
          <w:tcPr>
            <w:tcW w:w="1221" w:type="dxa"/>
            <w:shd w:val="clear" w:color="auto" w:fill="auto"/>
            <w:vAlign w:val="center"/>
          </w:tcPr>
          <w:p w14:paraId="32DD2E6E" w14:textId="77777777" w:rsidR="00823E96" w:rsidRPr="004447D2" w:rsidRDefault="00EC534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18</w:t>
            </w:r>
          </w:p>
          <w:p w14:paraId="6A4B03DB" w14:textId="77777777" w:rsidR="00EC5346" w:rsidRPr="004447D2" w:rsidRDefault="00EC534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15</w:t>
            </w:r>
          </w:p>
        </w:tc>
        <w:tc>
          <w:tcPr>
            <w:tcW w:w="1275" w:type="dxa"/>
            <w:shd w:val="clear" w:color="auto" w:fill="auto"/>
            <w:vAlign w:val="center"/>
          </w:tcPr>
          <w:p w14:paraId="5ADFD6DA" w14:textId="77777777" w:rsidR="00EC5346" w:rsidRPr="004447D2" w:rsidRDefault="00EC534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91/99</w:t>
            </w:r>
          </w:p>
          <w:p w14:paraId="5842516B" w14:textId="77777777" w:rsidR="00EC5346" w:rsidRPr="004447D2" w:rsidRDefault="00EC534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84/91</w:t>
            </w:r>
          </w:p>
        </w:tc>
        <w:tc>
          <w:tcPr>
            <w:tcW w:w="993" w:type="dxa"/>
            <w:shd w:val="clear" w:color="auto" w:fill="auto"/>
            <w:vAlign w:val="center"/>
          </w:tcPr>
          <w:p w14:paraId="033A691D" w14:textId="77777777" w:rsidR="00823E96" w:rsidRPr="004447D2" w:rsidRDefault="00823E96"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36</w:t>
            </w:r>
          </w:p>
        </w:tc>
      </w:tr>
      <w:tr w:rsidR="0072468E" w:rsidRPr="004447D2" w14:paraId="0DA745F9" w14:textId="77777777" w:rsidTr="000809B1">
        <w:trPr>
          <w:trHeight w:val="552"/>
        </w:trPr>
        <w:tc>
          <w:tcPr>
            <w:tcW w:w="11625" w:type="dxa"/>
            <w:gridSpan w:val="9"/>
            <w:shd w:val="clear" w:color="auto" w:fill="auto"/>
            <w:vAlign w:val="center"/>
          </w:tcPr>
          <w:p w14:paraId="797EB9B5"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Pediatric patients</w:t>
            </w:r>
          </w:p>
        </w:tc>
      </w:tr>
      <w:tr w:rsidR="0072468E" w:rsidRPr="004447D2" w14:paraId="45141BA3" w14:textId="77777777" w:rsidTr="000809B1">
        <w:trPr>
          <w:trHeight w:val="552"/>
        </w:trPr>
        <w:tc>
          <w:tcPr>
            <w:tcW w:w="1560" w:type="dxa"/>
            <w:shd w:val="clear" w:color="auto" w:fill="auto"/>
            <w:vAlign w:val="center"/>
          </w:tcPr>
          <w:p w14:paraId="6534269D" w14:textId="6BD4451A" w:rsidR="0072468E" w:rsidRPr="004447D2" w:rsidRDefault="0072468E" w:rsidP="00887EC2">
            <w:pPr>
              <w:pStyle w:val="a8"/>
              <w:spacing w:line="360" w:lineRule="auto"/>
              <w:jc w:val="both"/>
              <w:rPr>
                <w:rFonts w:ascii="Book Antiqua" w:hAnsi="Book Antiqua"/>
                <w:sz w:val="24"/>
                <w:szCs w:val="24"/>
                <w:lang w:val="en-US"/>
              </w:rPr>
            </w:pPr>
            <w:proofErr w:type="spellStart"/>
            <w:r w:rsidRPr="004447D2">
              <w:rPr>
                <w:rFonts w:ascii="Book Antiqua" w:hAnsi="Book Antiqua"/>
                <w:sz w:val="24"/>
                <w:szCs w:val="24"/>
                <w:lang w:val="en-US"/>
              </w:rPr>
              <w:lastRenderedPageBreak/>
              <w:t>Grenda</w:t>
            </w:r>
            <w:proofErr w:type="spellEnd"/>
            <w:r w:rsidRPr="004447D2">
              <w:rPr>
                <w:rFonts w:ascii="Book Antiqua" w:hAnsi="Book Antiqua"/>
                <w:sz w:val="24"/>
                <w:szCs w:val="24"/>
                <w:lang w:val="en-US"/>
              </w:rPr>
              <w:t xml:space="preserve"> </w:t>
            </w:r>
            <w:r w:rsidR="00AB141C" w:rsidRPr="004447D2">
              <w:rPr>
                <w:rFonts w:ascii="Book Antiqua" w:hAnsi="Book Antiqua"/>
                <w:i/>
                <w:sz w:val="24"/>
                <w:szCs w:val="24"/>
                <w:lang w:val="en-US" w:eastAsia="zh-CN"/>
              </w:rPr>
              <w:t>et al</w:t>
            </w:r>
            <w:r w:rsidRPr="004447D2">
              <w:rPr>
                <w:rFonts w:ascii="Book Antiqua" w:hAnsi="Book Antiqua"/>
                <w:sz w:val="24"/>
                <w:szCs w:val="24"/>
                <w:vertAlign w:val="superscript"/>
                <w:lang w:val="en-US"/>
              </w:rPr>
              <w:t>[28]</w:t>
            </w:r>
          </w:p>
        </w:tc>
        <w:tc>
          <w:tcPr>
            <w:tcW w:w="764" w:type="dxa"/>
            <w:shd w:val="clear" w:color="auto" w:fill="auto"/>
            <w:vAlign w:val="center"/>
          </w:tcPr>
          <w:p w14:paraId="1CBA47FA"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98</w:t>
            </w:r>
          </w:p>
          <w:p w14:paraId="31680DB9"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98</w:t>
            </w:r>
          </w:p>
        </w:tc>
        <w:tc>
          <w:tcPr>
            <w:tcW w:w="1418" w:type="dxa"/>
            <w:shd w:val="clear" w:color="auto" w:fill="auto"/>
            <w:vAlign w:val="center"/>
          </w:tcPr>
          <w:p w14:paraId="7FE34C1E"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Low</w:t>
            </w:r>
            <w:r w:rsidR="004700F8" w:rsidRPr="004447D2">
              <w:rPr>
                <w:rFonts w:ascii="Book Antiqua" w:hAnsi="Book Antiqua"/>
                <w:sz w:val="24"/>
                <w:szCs w:val="24"/>
                <w:lang w:val="en-US"/>
              </w:rPr>
              <w:t>/moderate</w:t>
            </w:r>
          </w:p>
          <w:p w14:paraId="4DEC19E7" w14:textId="4874525B"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(PRA</w:t>
            </w:r>
            <w:r w:rsidR="00AB141C" w:rsidRPr="004447D2">
              <w:rPr>
                <w:rFonts w:ascii="Book Antiqua" w:hAnsi="Book Antiqua"/>
                <w:sz w:val="24"/>
                <w:szCs w:val="24"/>
                <w:lang w:val="en-US" w:eastAsia="zh-CN"/>
              </w:rPr>
              <w:t xml:space="preserve"> </w:t>
            </w:r>
            <w:r w:rsidRPr="004447D2">
              <w:rPr>
                <w:rFonts w:ascii="Book Antiqua" w:hAnsi="Book Antiqua"/>
                <w:sz w:val="24"/>
                <w:szCs w:val="24"/>
                <w:lang w:val="en-US"/>
              </w:rPr>
              <w:t>&lt;</w:t>
            </w:r>
            <w:r w:rsidR="00AB141C" w:rsidRPr="004447D2">
              <w:rPr>
                <w:rFonts w:ascii="Book Antiqua" w:hAnsi="Book Antiqua"/>
                <w:sz w:val="24"/>
                <w:szCs w:val="24"/>
                <w:lang w:val="en-US" w:eastAsia="zh-CN"/>
              </w:rPr>
              <w:t xml:space="preserve"> </w:t>
            </w:r>
            <w:r w:rsidRPr="004447D2">
              <w:rPr>
                <w:rFonts w:ascii="Book Antiqua" w:hAnsi="Book Antiqua"/>
                <w:sz w:val="24"/>
                <w:szCs w:val="24"/>
                <w:lang w:val="en-US"/>
              </w:rPr>
              <w:t>50</w:t>
            </w:r>
            <w:r w:rsidR="004700F8" w:rsidRPr="004447D2">
              <w:rPr>
                <w:rFonts w:ascii="Book Antiqua" w:hAnsi="Book Antiqua"/>
                <w:sz w:val="24"/>
                <w:szCs w:val="24"/>
                <w:lang w:val="en-US"/>
              </w:rPr>
              <w:t>%</w:t>
            </w:r>
            <w:r w:rsidRPr="004447D2">
              <w:rPr>
                <w:rFonts w:ascii="Book Antiqua" w:hAnsi="Book Antiqua"/>
                <w:sz w:val="24"/>
                <w:szCs w:val="24"/>
                <w:lang w:val="en-US"/>
              </w:rPr>
              <w:t>)</w:t>
            </w:r>
          </w:p>
        </w:tc>
        <w:tc>
          <w:tcPr>
            <w:tcW w:w="1134" w:type="dxa"/>
            <w:shd w:val="clear" w:color="auto" w:fill="auto"/>
            <w:vAlign w:val="center"/>
          </w:tcPr>
          <w:p w14:paraId="75AA8842"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Day 4</w:t>
            </w:r>
          </w:p>
          <w:p w14:paraId="2A3A47E9"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Standard CS</w:t>
            </w:r>
          </w:p>
        </w:tc>
        <w:tc>
          <w:tcPr>
            <w:tcW w:w="1559" w:type="dxa"/>
            <w:shd w:val="clear" w:color="auto" w:fill="auto"/>
            <w:vAlign w:val="center"/>
          </w:tcPr>
          <w:p w14:paraId="18E579E8"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 xml:space="preserve">Daclizumab </w:t>
            </w:r>
          </w:p>
          <w:p w14:paraId="36827EF7"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No induction</w:t>
            </w:r>
          </w:p>
        </w:tc>
        <w:tc>
          <w:tcPr>
            <w:tcW w:w="1701" w:type="dxa"/>
            <w:shd w:val="clear" w:color="auto" w:fill="auto"/>
            <w:vAlign w:val="center"/>
          </w:tcPr>
          <w:p w14:paraId="474DA0B9"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TAC, MMF</w:t>
            </w:r>
          </w:p>
        </w:tc>
        <w:tc>
          <w:tcPr>
            <w:tcW w:w="1221" w:type="dxa"/>
            <w:shd w:val="clear" w:color="auto" w:fill="auto"/>
            <w:vAlign w:val="center"/>
          </w:tcPr>
          <w:p w14:paraId="081BAEA1"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10.2</w:t>
            </w:r>
          </w:p>
          <w:p w14:paraId="29070CAA"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7.1</w:t>
            </w:r>
          </w:p>
        </w:tc>
        <w:tc>
          <w:tcPr>
            <w:tcW w:w="1275" w:type="dxa"/>
            <w:shd w:val="clear" w:color="auto" w:fill="auto"/>
            <w:vAlign w:val="center"/>
          </w:tcPr>
          <w:p w14:paraId="0E7D95C0" w14:textId="77777777" w:rsidR="007657E4" w:rsidRPr="004447D2" w:rsidRDefault="007657E4"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97/99</w:t>
            </w:r>
          </w:p>
          <w:p w14:paraId="02E69EE0" w14:textId="77777777" w:rsidR="007657E4" w:rsidRPr="004447D2" w:rsidRDefault="007657E4"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97/100</w:t>
            </w:r>
          </w:p>
        </w:tc>
        <w:tc>
          <w:tcPr>
            <w:tcW w:w="993" w:type="dxa"/>
            <w:shd w:val="clear" w:color="auto" w:fill="auto"/>
            <w:vAlign w:val="center"/>
          </w:tcPr>
          <w:p w14:paraId="6469ACB9" w14:textId="77777777" w:rsidR="0072468E" w:rsidRPr="004447D2" w:rsidRDefault="0072468E"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6</w:t>
            </w:r>
          </w:p>
        </w:tc>
      </w:tr>
      <w:tr w:rsidR="0072468E" w:rsidRPr="004447D2" w14:paraId="5F8F2D1D" w14:textId="77777777" w:rsidTr="000809B1">
        <w:trPr>
          <w:trHeight w:val="552"/>
        </w:trPr>
        <w:tc>
          <w:tcPr>
            <w:tcW w:w="1560" w:type="dxa"/>
            <w:shd w:val="clear" w:color="auto" w:fill="auto"/>
            <w:vAlign w:val="center"/>
          </w:tcPr>
          <w:p w14:paraId="2F75124F" w14:textId="4E43CBA7" w:rsidR="0072468E" w:rsidRPr="004447D2" w:rsidRDefault="0072468E" w:rsidP="00887EC2">
            <w:pPr>
              <w:pStyle w:val="a8"/>
              <w:spacing w:line="360" w:lineRule="auto"/>
              <w:jc w:val="both"/>
              <w:rPr>
                <w:rFonts w:ascii="Book Antiqua" w:hAnsi="Book Antiqua"/>
                <w:sz w:val="24"/>
                <w:szCs w:val="24"/>
                <w:lang w:val="en-US"/>
              </w:rPr>
            </w:pPr>
            <w:proofErr w:type="spellStart"/>
            <w:r w:rsidRPr="004447D2">
              <w:rPr>
                <w:rFonts w:ascii="Book Antiqua" w:hAnsi="Book Antiqua"/>
                <w:sz w:val="24"/>
                <w:szCs w:val="24"/>
                <w:lang w:val="en-US"/>
              </w:rPr>
              <w:t>Höcker</w:t>
            </w:r>
            <w:proofErr w:type="spellEnd"/>
            <w:r w:rsidRPr="004447D2">
              <w:rPr>
                <w:rFonts w:ascii="Book Antiqua" w:hAnsi="Book Antiqua"/>
                <w:sz w:val="24"/>
                <w:szCs w:val="24"/>
                <w:lang w:val="en-US"/>
              </w:rPr>
              <w:t xml:space="preserve"> </w:t>
            </w:r>
            <w:r w:rsidR="00AB141C" w:rsidRPr="004447D2">
              <w:rPr>
                <w:rFonts w:ascii="Book Antiqua" w:hAnsi="Book Antiqua"/>
                <w:i/>
                <w:sz w:val="24"/>
                <w:szCs w:val="24"/>
                <w:lang w:val="en-US" w:eastAsia="zh-CN"/>
              </w:rPr>
              <w:t>et al</w:t>
            </w:r>
            <w:r w:rsidRPr="004447D2">
              <w:rPr>
                <w:rFonts w:ascii="Book Antiqua" w:hAnsi="Book Antiqua"/>
                <w:sz w:val="24"/>
                <w:szCs w:val="24"/>
                <w:vertAlign w:val="superscript"/>
                <w:lang w:val="en-US"/>
              </w:rPr>
              <w:t>[29]</w:t>
            </w:r>
          </w:p>
        </w:tc>
        <w:tc>
          <w:tcPr>
            <w:tcW w:w="764" w:type="dxa"/>
            <w:shd w:val="clear" w:color="auto" w:fill="auto"/>
            <w:vAlign w:val="center"/>
          </w:tcPr>
          <w:p w14:paraId="394C2F3A" w14:textId="77777777" w:rsidR="0072468E" w:rsidRPr="004447D2" w:rsidRDefault="002A00FF"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23</w:t>
            </w:r>
          </w:p>
          <w:p w14:paraId="3ABC8555" w14:textId="77777777" w:rsidR="002A00FF" w:rsidRPr="004447D2" w:rsidRDefault="002A00FF"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19</w:t>
            </w:r>
          </w:p>
        </w:tc>
        <w:tc>
          <w:tcPr>
            <w:tcW w:w="1418" w:type="dxa"/>
            <w:shd w:val="clear" w:color="auto" w:fill="auto"/>
            <w:vAlign w:val="center"/>
          </w:tcPr>
          <w:p w14:paraId="4820E1AD" w14:textId="162A0082" w:rsidR="004700F8" w:rsidRPr="004447D2" w:rsidRDefault="004700F8"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Moderate/high</w:t>
            </w:r>
            <w:r w:rsidR="00AB141C" w:rsidRPr="004447D2">
              <w:rPr>
                <w:rFonts w:ascii="Book Antiqua" w:hAnsi="Book Antiqua"/>
                <w:sz w:val="24"/>
                <w:szCs w:val="24"/>
                <w:lang w:val="en-US"/>
              </w:rPr>
              <w:t xml:space="preserve"> </w:t>
            </w:r>
            <w:r w:rsidRPr="004447D2">
              <w:rPr>
                <w:rFonts w:ascii="Book Antiqua" w:hAnsi="Book Antiqua"/>
                <w:sz w:val="24"/>
                <w:szCs w:val="24"/>
                <w:lang w:val="en-US"/>
              </w:rPr>
              <w:t>(PRA&lt;80%)</w:t>
            </w:r>
          </w:p>
        </w:tc>
        <w:tc>
          <w:tcPr>
            <w:tcW w:w="1134" w:type="dxa"/>
            <w:shd w:val="clear" w:color="auto" w:fill="auto"/>
            <w:vAlign w:val="center"/>
          </w:tcPr>
          <w:p w14:paraId="307E96B8" w14:textId="77777777" w:rsidR="0072468E" w:rsidRPr="004447D2" w:rsidRDefault="004700F8"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After year 1</w:t>
            </w:r>
          </w:p>
          <w:p w14:paraId="0368E7C4" w14:textId="77777777" w:rsidR="004700F8" w:rsidRPr="004447D2" w:rsidRDefault="004700F8"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Standard CS</w:t>
            </w:r>
          </w:p>
        </w:tc>
        <w:tc>
          <w:tcPr>
            <w:tcW w:w="1559" w:type="dxa"/>
            <w:shd w:val="clear" w:color="auto" w:fill="auto"/>
            <w:vAlign w:val="center"/>
          </w:tcPr>
          <w:p w14:paraId="6A8FF24A" w14:textId="77777777" w:rsidR="0072468E" w:rsidRPr="004447D2" w:rsidRDefault="002A00FF"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No</w:t>
            </w:r>
          </w:p>
        </w:tc>
        <w:tc>
          <w:tcPr>
            <w:tcW w:w="1701" w:type="dxa"/>
            <w:shd w:val="clear" w:color="auto" w:fill="auto"/>
            <w:vAlign w:val="center"/>
          </w:tcPr>
          <w:p w14:paraId="2F4EE18B" w14:textId="77777777" w:rsidR="0072468E" w:rsidRPr="004447D2" w:rsidRDefault="004700F8" w:rsidP="00887EC2">
            <w:pPr>
              <w:pStyle w:val="a8"/>
              <w:spacing w:line="360" w:lineRule="auto"/>
              <w:jc w:val="both"/>
              <w:rPr>
                <w:rFonts w:ascii="Book Antiqua" w:hAnsi="Book Antiqua"/>
                <w:sz w:val="24"/>
                <w:szCs w:val="24"/>
                <w:lang w:val="en-US"/>
              </w:rPr>
            </w:pPr>
            <w:proofErr w:type="spellStart"/>
            <w:r w:rsidRPr="004447D2">
              <w:rPr>
                <w:rFonts w:ascii="Book Antiqua" w:hAnsi="Book Antiqua"/>
                <w:sz w:val="24"/>
                <w:szCs w:val="24"/>
                <w:lang w:val="en-US"/>
              </w:rPr>
              <w:t>CsA</w:t>
            </w:r>
            <w:proofErr w:type="spellEnd"/>
            <w:r w:rsidRPr="004447D2">
              <w:rPr>
                <w:rFonts w:ascii="Book Antiqua" w:hAnsi="Book Antiqua"/>
                <w:sz w:val="24"/>
                <w:szCs w:val="24"/>
                <w:lang w:val="en-US"/>
              </w:rPr>
              <w:t>, MMF</w:t>
            </w:r>
          </w:p>
        </w:tc>
        <w:tc>
          <w:tcPr>
            <w:tcW w:w="1221" w:type="dxa"/>
            <w:shd w:val="clear" w:color="auto" w:fill="auto"/>
            <w:vAlign w:val="center"/>
          </w:tcPr>
          <w:p w14:paraId="002F511D" w14:textId="77777777" w:rsidR="0072468E" w:rsidRPr="004447D2" w:rsidRDefault="00EE1C95"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4</w:t>
            </w:r>
          </w:p>
          <w:p w14:paraId="3247812E" w14:textId="77777777" w:rsidR="00EE1C95" w:rsidRPr="004447D2" w:rsidRDefault="00EE1C95"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10</w:t>
            </w:r>
          </w:p>
        </w:tc>
        <w:tc>
          <w:tcPr>
            <w:tcW w:w="1275" w:type="dxa"/>
            <w:shd w:val="clear" w:color="auto" w:fill="auto"/>
            <w:vAlign w:val="center"/>
          </w:tcPr>
          <w:p w14:paraId="7C338BAA" w14:textId="77777777" w:rsidR="0072468E" w:rsidRPr="004447D2" w:rsidRDefault="00EE1C95"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100/100</w:t>
            </w:r>
          </w:p>
          <w:p w14:paraId="6081EBB2" w14:textId="77777777" w:rsidR="00EE1C95" w:rsidRPr="004447D2" w:rsidRDefault="00EE1C95"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100/100</w:t>
            </w:r>
          </w:p>
        </w:tc>
        <w:tc>
          <w:tcPr>
            <w:tcW w:w="993" w:type="dxa"/>
            <w:shd w:val="clear" w:color="auto" w:fill="auto"/>
            <w:vAlign w:val="center"/>
          </w:tcPr>
          <w:p w14:paraId="733BFE14" w14:textId="77777777" w:rsidR="0072468E" w:rsidRPr="004447D2" w:rsidRDefault="004700F8"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24</w:t>
            </w:r>
          </w:p>
        </w:tc>
      </w:tr>
    </w:tbl>
    <w:p w14:paraId="12C2A873" w14:textId="77777777" w:rsidR="00EA5F4F" w:rsidRPr="004447D2" w:rsidRDefault="00EA5F4F"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 xml:space="preserve"> </w:t>
      </w:r>
    </w:p>
    <w:p w14:paraId="50C5015E" w14:textId="0743602E" w:rsidR="00EA5F4F" w:rsidRPr="00823BE6" w:rsidRDefault="005A3F33" w:rsidP="00887EC2">
      <w:pPr>
        <w:pStyle w:val="a8"/>
        <w:spacing w:line="360" w:lineRule="auto"/>
        <w:jc w:val="both"/>
        <w:rPr>
          <w:rFonts w:ascii="Book Antiqua" w:hAnsi="Book Antiqua"/>
          <w:sz w:val="24"/>
          <w:szCs w:val="24"/>
          <w:lang w:val="en-US"/>
        </w:rPr>
      </w:pPr>
      <w:r w:rsidRPr="004447D2">
        <w:rPr>
          <w:rFonts w:ascii="Book Antiqua" w:hAnsi="Book Antiqua"/>
          <w:sz w:val="24"/>
          <w:szCs w:val="24"/>
          <w:lang w:val="en-US"/>
        </w:rPr>
        <w:t>ATG</w:t>
      </w:r>
      <w:r w:rsidR="00AB141C" w:rsidRPr="004447D2">
        <w:rPr>
          <w:rFonts w:ascii="Book Antiqua" w:hAnsi="Book Antiqua"/>
          <w:sz w:val="24"/>
          <w:szCs w:val="24"/>
          <w:lang w:val="en-US" w:eastAsia="zh-CN"/>
        </w:rPr>
        <w:t>:</w:t>
      </w:r>
      <w:r w:rsidRPr="004447D2">
        <w:rPr>
          <w:rFonts w:ascii="Book Antiqua" w:hAnsi="Book Antiqua"/>
          <w:sz w:val="24"/>
          <w:szCs w:val="24"/>
          <w:lang w:val="en-US"/>
        </w:rPr>
        <w:t xml:space="preserve"> </w:t>
      </w:r>
      <w:proofErr w:type="spellStart"/>
      <w:r w:rsidR="00AB141C" w:rsidRPr="004447D2">
        <w:rPr>
          <w:rFonts w:ascii="Book Antiqua" w:hAnsi="Book Antiqua"/>
          <w:sz w:val="24"/>
          <w:szCs w:val="24"/>
          <w:lang w:val="en-US"/>
        </w:rPr>
        <w:t>A</w:t>
      </w:r>
      <w:r w:rsidRPr="004447D2">
        <w:rPr>
          <w:rFonts w:ascii="Book Antiqua" w:hAnsi="Book Antiqua"/>
          <w:sz w:val="24"/>
          <w:szCs w:val="24"/>
          <w:lang w:val="en-US"/>
        </w:rPr>
        <w:t>nti</w:t>
      </w:r>
      <w:r w:rsidR="003721FC" w:rsidRPr="004447D2">
        <w:rPr>
          <w:rFonts w:ascii="Book Antiqua" w:hAnsi="Book Antiqua"/>
          <w:sz w:val="24"/>
          <w:szCs w:val="24"/>
          <w:lang w:val="en-US"/>
        </w:rPr>
        <w:t>thymocyte</w:t>
      </w:r>
      <w:proofErr w:type="spellEnd"/>
      <w:r w:rsidR="003721FC" w:rsidRPr="004447D2">
        <w:rPr>
          <w:rFonts w:ascii="Book Antiqua" w:hAnsi="Book Antiqua"/>
          <w:sz w:val="24"/>
          <w:szCs w:val="24"/>
          <w:lang w:val="en-US"/>
        </w:rPr>
        <w:t xml:space="preserve"> globulin; </w:t>
      </w:r>
      <w:r w:rsidR="00EA5F4F" w:rsidRPr="004447D2">
        <w:rPr>
          <w:rFonts w:ascii="Book Antiqua" w:hAnsi="Book Antiqua"/>
          <w:sz w:val="24"/>
          <w:szCs w:val="24"/>
          <w:lang w:val="en-US"/>
        </w:rPr>
        <w:t>CS</w:t>
      </w:r>
      <w:r w:rsidR="00AB141C" w:rsidRPr="004447D2">
        <w:rPr>
          <w:rFonts w:ascii="Book Antiqua" w:hAnsi="Book Antiqua"/>
          <w:sz w:val="24"/>
          <w:szCs w:val="24"/>
          <w:lang w:val="en-US" w:eastAsia="zh-CN"/>
        </w:rPr>
        <w:t>:</w:t>
      </w:r>
      <w:r w:rsidR="00EA5F4F" w:rsidRPr="004447D2">
        <w:rPr>
          <w:rFonts w:ascii="Book Antiqua" w:hAnsi="Book Antiqua"/>
          <w:sz w:val="24"/>
          <w:szCs w:val="24"/>
          <w:lang w:val="en-US"/>
        </w:rPr>
        <w:t xml:space="preserve"> </w:t>
      </w:r>
      <w:r w:rsidR="00AB141C" w:rsidRPr="004447D2">
        <w:rPr>
          <w:rFonts w:ascii="Book Antiqua" w:hAnsi="Book Antiqua"/>
          <w:sz w:val="24"/>
          <w:szCs w:val="24"/>
          <w:lang w:val="en-US"/>
        </w:rPr>
        <w:t>C</w:t>
      </w:r>
      <w:r w:rsidR="00EA5F4F" w:rsidRPr="004447D2">
        <w:rPr>
          <w:rFonts w:ascii="Book Antiqua" w:hAnsi="Book Antiqua"/>
          <w:sz w:val="24"/>
          <w:szCs w:val="24"/>
          <w:lang w:val="en-US"/>
        </w:rPr>
        <w:t>ort</w:t>
      </w:r>
      <w:r w:rsidR="00624D0C" w:rsidRPr="004447D2">
        <w:rPr>
          <w:rFonts w:ascii="Book Antiqua" w:hAnsi="Book Antiqua"/>
          <w:sz w:val="24"/>
          <w:szCs w:val="24"/>
          <w:lang w:val="en-US"/>
        </w:rPr>
        <w:t xml:space="preserve">icosteroids; </w:t>
      </w:r>
      <w:proofErr w:type="spellStart"/>
      <w:r w:rsidR="00624D0C" w:rsidRPr="004447D2">
        <w:rPr>
          <w:rFonts w:ascii="Book Antiqua" w:hAnsi="Book Antiqua"/>
          <w:sz w:val="24"/>
          <w:szCs w:val="24"/>
          <w:lang w:val="en-US"/>
        </w:rPr>
        <w:t>CsA</w:t>
      </w:r>
      <w:proofErr w:type="spellEnd"/>
      <w:r w:rsidR="00AB141C" w:rsidRPr="004447D2">
        <w:rPr>
          <w:rFonts w:ascii="Book Antiqua" w:hAnsi="Book Antiqua"/>
          <w:sz w:val="24"/>
          <w:szCs w:val="24"/>
          <w:lang w:val="en-US" w:eastAsia="zh-CN"/>
        </w:rPr>
        <w:t>:</w:t>
      </w:r>
      <w:r w:rsidR="00624D0C" w:rsidRPr="004447D2">
        <w:rPr>
          <w:rFonts w:ascii="Book Antiqua" w:hAnsi="Book Antiqua"/>
          <w:sz w:val="24"/>
          <w:szCs w:val="24"/>
          <w:lang w:val="en-US"/>
        </w:rPr>
        <w:t xml:space="preserve"> </w:t>
      </w:r>
      <w:r w:rsidR="00AB141C" w:rsidRPr="004447D2">
        <w:rPr>
          <w:rFonts w:ascii="Book Antiqua" w:hAnsi="Book Antiqua"/>
          <w:sz w:val="24"/>
          <w:szCs w:val="24"/>
          <w:lang w:val="en-US"/>
        </w:rPr>
        <w:t>C</w:t>
      </w:r>
      <w:r w:rsidR="00624D0C" w:rsidRPr="004447D2">
        <w:rPr>
          <w:rFonts w:ascii="Book Antiqua" w:hAnsi="Book Antiqua"/>
          <w:sz w:val="24"/>
          <w:szCs w:val="24"/>
          <w:lang w:val="en-US"/>
        </w:rPr>
        <w:t>yclosporine; MMF</w:t>
      </w:r>
      <w:r w:rsidR="00AB141C" w:rsidRPr="004447D2">
        <w:rPr>
          <w:rFonts w:ascii="Book Antiqua" w:hAnsi="Book Antiqua"/>
          <w:sz w:val="24"/>
          <w:szCs w:val="24"/>
          <w:lang w:val="en-US" w:eastAsia="zh-CN"/>
        </w:rPr>
        <w:t>:</w:t>
      </w:r>
      <w:r w:rsidR="00624D0C" w:rsidRPr="004447D2">
        <w:rPr>
          <w:rFonts w:ascii="Book Antiqua" w:hAnsi="Book Antiqua"/>
          <w:sz w:val="24"/>
          <w:szCs w:val="24"/>
          <w:lang w:val="en-US"/>
        </w:rPr>
        <w:t xml:space="preserve"> </w:t>
      </w:r>
      <w:proofErr w:type="spellStart"/>
      <w:r w:rsidR="00AB141C" w:rsidRPr="004447D2">
        <w:rPr>
          <w:rFonts w:ascii="Book Antiqua" w:hAnsi="Book Antiqua"/>
          <w:sz w:val="24"/>
          <w:szCs w:val="24"/>
          <w:lang w:val="en-US"/>
        </w:rPr>
        <w:t>M</w:t>
      </w:r>
      <w:r w:rsidR="00624D0C" w:rsidRPr="004447D2">
        <w:rPr>
          <w:rFonts w:ascii="Book Antiqua" w:hAnsi="Book Antiqua"/>
          <w:sz w:val="24"/>
          <w:szCs w:val="24"/>
          <w:lang w:val="en-US"/>
        </w:rPr>
        <w:t>ycophenolate</w:t>
      </w:r>
      <w:proofErr w:type="spellEnd"/>
      <w:r w:rsidR="00624D0C" w:rsidRPr="004447D2">
        <w:rPr>
          <w:rFonts w:ascii="Book Antiqua" w:hAnsi="Book Antiqua"/>
          <w:sz w:val="24"/>
          <w:szCs w:val="24"/>
          <w:lang w:val="en-US"/>
        </w:rPr>
        <w:t xml:space="preserve"> </w:t>
      </w:r>
      <w:proofErr w:type="spellStart"/>
      <w:r w:rsidR="00624D0C" w:rsidRPr="004447D2">
        <w:rPr>
          <w:rFonts w:ascii="Book Antiqua" w:hAnsi="Book Antiqua"/>
          <w:sz w:val="24"/>
          <w:szCs w:val="24"/>
          <w:lang w:val="en-US"/>
        </w:rPr>
        <w:t>mofetil</w:t>
      </w:r>
      <w:proofErr w:type="spellEnd"/>
      <w:r w:rsidR="00624D0C" w:rsidRPr="004447D2">
        <w:rPr>
          <w:rFonts w:ascii="Book Antiqua" w:hAnsi="Book Antiqua"/>
          <w:sz w:val="24"/>
          <w:szCs w:val="24"/>
          <w:lang w:val="en-US"/>
        </w:rPr>
        <w:t xml:space="preserve">; </w:t>
      </w:r>
      <w:r w:rsidR="00EA5F4F" w:rsidRPr="004447D2">
        <w:rPr>
          <w:rFonts w:ascii="Book Antiqua" w:hAnsi="Book Antiqua"/>
          <w:sz w:val="24"/>
          <w:szCs w:val="24"/>
          <w:lang w:val="en-US"/>
        </w:rPr>
        <w:t>PRA</w:t>
      </w:r>
      <w:r w:rsidR="00AB141C" w:rsidRPr="004447D2">
        <w:rPr>
          <w:rFonts w:ascii="Book Antiqua" w:hAnsi="Book Antiqua"/>
          <w:sz w:val="24"/>
          <w:szCs w:val="24"/>
          <w:lang w:val="en-US" w:eastAsia="zh-CN"/>
        </w:rPr>
        <w:t>:</w:t>
      </w:r>
      <w:r w:rsidR="00EA5F4F" w:rsidRPr="004447D2">
        <w:rPr>
          <w:rFonts w:ascii="Book Antiqua" w:hAnsi="Book Antiqua"/>
          <w:sz w:val="24"/>
          <w:szCs w:val="24"/>
          <w:lang w:val="en-US"/>
        </w:rPr>
        <w:t xml:space="preserve"> </w:t>
      </w:r>
      <w:r w:rsidR="00AB141C" w:rsidRPr="004447D2">
        <w:rPr>
          <w:rFonts w:ascii="Book Antiqua" w:hAnsi="Book Antiqua"/>
          <w:sz w:val="24"/>
          <w:szCs w:val="24"/>
          <w:lang w:val="en-US"/>
        </w:rPr>
        <w:t>P</w:t>
      </w:r>
      <w:r w:rsidR="00EA5F4F" w:rsidRPr="004447D2">
        <w:rPr>
          <w:rFonts w:ascii="Book Antiqua" w:hAnsi="Book Antiqua"/>
          <w:sz w:val="24"/>
          <w:szCs w:val="24"/>
          <w:lang w:val="en-US"/>
        </w:rPr>
        <w:t>anel-reactive antibodies; TAC</w:t>
      </w:r>
      <w:r w:rsidR="00AB141C" w:rsidRPr="004447D2">
        <w:rPr>
          <w:rFonts w:ascii="Book Antiqua" w:hAnsi="Book Antiqua"/>
          <w:sz w:val="24"/>
          <w:szCs w:val="24"/>
          <w:lang w:val="en-US" w:eastAsia="zh-CN"/>
        </w:rPr>
        <w:t>:</w:t>
      </w:r>
      <w:r w:rsidR="00EA5F4F" w:rsidRPr="004447D2">
        <w:rPr>
          <w:rFonts w:ascii="Book Antiqua" w:hAnsi="Book Antiqua"/>
          <w:sz w:val="24"/>
          <w:szCs w:val="24"/>
          <w:lang w:val="en-US"/>
        </w:rPr>
        <w:t xml:space="preserve"> </w:t>
      </w:r>
      <w:proofErr w:type="spellStart"/>
      <w:r w:rsidR="00AB141C" w:rsidRPr="004447D2">
        <w:rPr>
          <w:rFonts w:ascii="Book Antiqua" w:hAnsi="Book Antiqua"/>
          <w:sz w:val="24"/>
          <w:szCs w:val="24"/>
          <w:lang w:val="en-US"/>
        </w:rPr>
        <w:t>T</w:t>
      </w:r>
      <w:r w:rsidR="00EA5F4F" w:rsidRPr="004447D2">
        <w:rPr>
          <w:rFonts w:ascii="Book Antiqua" w:hAnsi="Book Antiqua"/>
          <w:sz w:val="24"/>
          <w:szCs w:val="24"/>
          <w:lang w:val="en-US"/>
        </w:rPr>
        <w:t>acrolimus</w:t>
      </w:r>
      <w:proofErr w:type="spellEnd"/>
      <w:r w:rsidR="00EA5F4F" w:rsidRPr="004447D2">
        <w:rPr>
          <w:rFonts w:ascii="Book Antiqua" w:hAnsi="Book Antiqua"/>
          <w:sz w:val="24"/>
          <w:szCs w:val="24"/>
          <w:lang w:val="en-US"/>
        </w:rPr>
        <w:t>.</w:t>
      </w:r>
      <w:bookmarkStart w:id="57" w:name="_GoBack"/>
      <w:bookmarkEnd w:id="57"/>
      <w:r w:rsidR="00EA5F4F" w:rsidRPr="00823BE6">
        <w:rPr>
          <w:rFonts w:ascii="Book Antiqua" w:hAnsi="Book Antiqua"/>
          <w:sz w:val="24"/>
          <w:szCs w:val="24"/>
          <w:lang w:val="en-US"/>
        </w:rPr>
        <w:t xml:space="preserve"> </w:t>
      </w:r>
    </w:p>
    <w:p w14:paraId="30D258D4" w14:textId="77777777" w:rsidR="00EA5F4F" w:rsidRPr="00823BE6" w:rsidRDefault="00EA5F4F" w:rsidP="00887EC2">
      <w:pPr>
        <w:pStyle w:val="a8"/>
        <w:spacing w:line="360" w:lineRule="auto"/>
        <w:jc w:val="both"/>
        <w:rPr>
          <w:rFonts w:ascii="Book Antiqua" w:hAnsi="Book Antiqua"/>
          <w:sz w:val="24"/>
          <w:szCs w:val="24"/>
          <w:lang w:val="en-US"/>
        </w:rPr>
      </w:pPr>
    </w:p>
    <w:p w14:paraId="10A68327" w14:textId="77777777" w:rsidR="00EA5F4F" w:rsidRPr="00823BE6" w:rsidRDefault="00EA5F4F" w:rsidP="00887EC2">
      <w:pPr>
        <w:pStyle w:val="a8"/>
        <w:spacing w:line="360" w:lineRule="auto"/>
        <w:jc w:val="both"/>
        <w:rPr>
          <w:rFonts w:ascii="Book Antiqua" w:hAnsi="Book Antiqua"/>
          <w:sz w:val="24"/>
          <w:szCs w:val="24"/>
          <w:lang w:val="en-US"/>
        </w:rPr>
      </w:pPr>
    </w:p>
    <w:sectPr w:rsidR="00EA5F4F" w:rsidRPr="00823BE6" w:rsidSect="00AB141C">
      <w:pgSz w:w="16838" w:h="11906" w:orient="landscape"/>
      <w:pgMar w:top="1418" w:right="1440" w:bottom="1418"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D2CF98" w15:done="0"/>
  <w15:commentEx w15:paraId="4425100D" w15:done="0"/>
  <w15:commentEx w15:paraId="0C507FF4" w15:done="0"/>
  <w15:commentEx w15:paraId="0D5F7A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1A67C" w14:textId="77777777" w:rsidR="00CE3B2E" w:rsidRDefault="00CE3B2E" w:rsidP="007B5DB8">
      <w:pPr>
        <w:spacing w:after="0" w:line="240" w:lineRule="auto"/>
      </w:pPr>
      <w:r>
        <w:separator/>
      </w:r>
    </w:p>
  </w:endnote>
  <w:endnote w:type="continuationSeparator" w:id="0">
    <w:p w14:paraId="2D119229" w14:textId="77777777" w:rsidR="00CE3B2E" w:rsidRDefault="00CE3B2E" w:rsidP="007B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8377C" w14:textId="35F4954D" w:rsidR="00002F3D" w:rsidRDefault="00002F3D">
    <w:pPr>
      <w:pStyle w:val="a4"/>
      <w:jc w:val="center"/>
    </w:pPr>
    <w:r>
      <w:fldChar w:fldCharType="begin"/>
    </w:r>
    <w:r>
      <w:instrText>PAGE   \* MERGEFORMAT</w:instrText>
    </w:r>
    <w:r>
      <w:fldChar w:fldCharType="separate"/>
    </w:r>
    <w:r w:rsidR="004447D2" w:rsidRPr="004447D2">
      <w:rPr>
        <w:noProof/>
        <w:lang w:val="el-GR"/>
      </w:rPr>
      <w:t>29</w:t>
    </w:r>
    <w:r>
      <w:fldChar w:fldCharType="end"/>
    </w:r>
  </w:p>
  <w:p w14:paraId="26855B34" w14:textId="77777777" w:rsidR="00002F3D" w:rsidRDefault="00002F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900A5" w14:textId="77777777" w:rsidR="00CE3B2E" w:rsidRDefault="00CE3B2E" w:rsidP="007B5DB8">
      <w:pPr>
        <w:spacing w:after="0" w:line="240" w:lineRule="auto"/>
      </w:pPr>
      <w:r>
        <w:separator/>
      </w:r>
    </w:p>
  </w:footnote>
  <w:footnote w:type="continuationSeparator" w:id="0">
    <w:p w14:paraId="397193AC" w14:textId="77777777" w:rsidR="00CE3B2E" w:rsidRDefault="00CE3B2E" w:rsidP="007B5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326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B3404"/>
    <w:multiLevelType w:val="hybridMultilevel"/>
    <w:tmpl w:val="54DA9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E40013"/>
    <w:multiLevelType w:val="hybridMultilevel"/>
    <w:tmpl w:val="34A06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C720319"/>
    <w:multiLevelType w:val="hybridMultilevel"/>
    <w:tmpl w:val="54DA9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4947E8"/>
    <w:multiLevelType w:val="hybridMultilevel"/>
    <w:tmpl w:val="C2F26A2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34E15FBF"/>
    <w:multiLevelType w:val="hybridMultilevel"/>
    <w:tmpl w:val="CEF2A9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74D05FC"/>
    <w:multiLevelType w:val="multilevel"/>
    <w:tmpl w:val="AA0C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17DC7"/>
    <w:multiLevelType w:val="hybridMultilevel"/>
    <w:tmpl w:val="6B3A02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E1A7D65"/>
    <w:multiLevelType w:val="hybridMultilevel"/>
    <w:tmpl w:val="8D547B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2A669BF"/>
    <w:multiLevelType w:val="hybridMultilevel"/>
    <w:tmpl w:val="54DA9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2D16AFF"/>
    <w:multiLevelType w:val="hybridMultilevel"/>
    <w:tmpl w:val="54DA9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6C92E19"/>
    <w:multiLevelType w:val="hybridMultilevel"/>
    <w:tmpl w:val="54DA9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A9B3E65"/>
    <w:multiLevelType w:val="hybridMultilevel"/>
    <w:tmpl w:val="E70AE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BCB5635"/>
    <w:multiLevelType w:val="hybridMultilevel"/>
    <w:tmpl w:val="37701F4E"/>
    <w:lvl w:ilvl="0" w:tplc="38DA9266">
      <w:start w:val="1"/>
      <w:numFmt w:val="decimal"/>
      <w:lvlText w:val="%1."/>
      <w:lvlJc w:val="left"/>
      <w:pPr>
        <w:ind w:left="720"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1B51975"/>
    <w:multiLevelType w:val="multilevel"/>
    <w:tmpl w:val="AB08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747981"/>
    <w:multiLevelType w:val="hybridMultilevel"/>
    <w:tmpl w:val="54DA9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DFF1165"/>
    <w:multiLevelType w:val="hybridMultilevel"/>
    <w:tmpl w:val="54DA9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E5B33AA"/>
    <w:multiLevelType w:val="hybridMultilevel"/>
    <w:tmpl w:val="FCEEC1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4"/>
  </w:num>
  <w:num w:numId="5">
    <w:abstractNumId w:val="2"/>
  </w:num>
  <w:num w:numId="6">
    <w:abstractNumId w:val="15"/>
  </w:num>
  <w:num w:numId="7">
    <w:abstractNumId w:val="1"/>
  </w:num>
  <w:num w:numId="8">
    <w:abstractNumId w:val="10"/>
  </w:num>
  <w:num w:numId="9">
    <w:abstractNumId w:val="9"/>
  </w:num>
  <w:num w:numId="10">
    <w:abstractNumId w:val="16"/>
  </w:num>
  <w:num w:numId="11">
    <w:abstractNumId w:val="11"/>
  </w:num>
  <w:num w:numId="12">
    <w:abstractNumId w:val="13"/>
  </w:num>
  <w:num w:numId="13">
    <w:abstractNumId w:val="17"/>
  </w:num>
  <w:num w:numId="14">
    <w:abstractNumId w:val="14"/>
  </w:num>
  <w:num w:numId="15">
    <w:abstractNumId w:val="7"/>
  </w:num>
  <w:num w:numId="16">
    <w:abstractNumId w:val="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wMzQ1MDIxtjCyNDJV0lEKTi0uzszPAykwNK4FAFYtlH0tAAAA"/>
  </w:docVars>
  <w:rsids>
    <w:rsidRoot w:val="00942EDE"/>
    <w:rsid w:val="00000539"/>
    <w:rsid w:val="000005BB"/>
    <w:rsid w:val="00001288"/>
    <w:rsid w:val="00002182"/>
    <w:rsid w:val="00002F3D"/>
    <w:rsid w:val="000055E1"/>
    <w:rsid w:val="00005FD5"/>
    <w:rsid w:val="00006FFB"/>
    <w:rsid w:val="000074ED"/>
    <w:rsid w:val="00011A77"/>
    <w:rsid w:val="00013563"/>
    <w:rsid w:val="00014EE9"/>
    <w:rsid w:val="00016D80"/>
    <w:rsid w:val="000204E0"/>
    <w:rsid w:val="00020AC9"/>
    <w:rsid w:val="00020FF9"/>
    <w:rsid w:val="0002278D"/>
    <w:rsid w:val="0002464A"/>
    <w:rsid w:val="00026A43"/>
    <w:rsid w:val="00030C0F"/>
    <w:rsid w:val="000315F7"/>
    <w:rsid w:val="00032074"/>
    <w:rsid w:val="0003479F"/>
    <w:rsid w:val="000360C9"/>
    <w:rsid w:val="00040246"/>
    <w:rsid w:val="00040997"/>
    <w:rsid w:val="00041EC0"/>
    <w:rsid w:val="00043147"/>
    <w:rsid w:val="00043587"/>
    <w:rsid w:val="00044C32"/>
    <w:rsid w:val="00045188"/>
    <w:rsid w:val="00046F73"/>
    <w:rsid w:val="00047D3D"/>
    <w:rsid w:val="0005073D"/>
    <w:rsid w:val="000513A3"/>
    <w:rsid w:val="00052406"/>
    <w:rsid w:val="0005267A"/>
    <w:rsid w:val="00054EA0"/>
    <w:rsid w:val="00056EA3"/>
    <w:rsid w:val="00056F4D"/>
    <w:rsid w:val="0005754C"/>
    <w:rsid w:val="000605A8"/>
    <w:rsid w:val="000627BB"/>
    <w:rsid w:val="00064957"/>
    <w:rsid w:val="0006584A"/>
    <w:rsid w:val="00065E85"/>
    <w:rsid w:val="00066C7D"/>
    <w:rsid w:val="00067D43"/>
    <w:rsid w:val="00072AD3"/>
    <w:rsid w:val="00074CD3"/>
    <w:rsid w:val="00076156"/>
    <w:rsid w:val="000809B1"/>
    <w:rsid w:val="00081454"/>
    <w:rsid w:val="000818BC"/>
    <w:rsid w:val="00082850"/>
    <w:rsid w:val="00082F97"/>
    <w:rsid w:val="00083555"/>
    <w:rsid w:val="00086C35"/>
    <w:rsid w:val="00091C93"/>
    <w:rsid w:val="000927AD"/>
    <w:rsid w:val="000953AA"/>
    <w:rsid w:val="000963E2"/>
    <w:rsid w:val="000A011F"/>
    <w:rsid w:val="000A055C"/>
    <w:rsid w:val="000A0864"/>
    <w:rsid w:val="000A0E67"/>
    <w:rsid w:val="000A1E4B"/>
    <w:rsid w:val="000A2B6D"/>
    <w:rsid w:val="000B02FC"/>
    <w:rsid w:val="000B1012"/>
    <w:rsid w:val="000B1DF4"/>
    <w:rsid w:val="000B1E8A"/>
    <w:rsid w:val="000B2D23"/>
    <w:rsid w:val="000C4D29"/>
    <w:rsid w:val="000C5DD6"/>
    <w:rsid w:val="000C6689"/>
    <w:rsid w:val="000D02EF"/>
    <w:rsid w:val="000D1AAE"/>
    <w:rsid w:val="000D2636"/>
    <w:rsid w:val="000D3151"/>
    <w:rsid w:val="000D4B60"/>
    <w:rsid w:val="000D4B7D"/>
    <w:rsid w:val="000E1205"/>
    <w:rsid w:val="000E2D79"/>
    <w:rsid w:val="000E31C5"/>
    <w:rsid w:val="000E3FA9"/>
    <w:rsid w:val="000E5F14"/>
    <w:rsid w:val="000F08A3"/>
    <w:rsid w:val="000F1B13"/>
    <w:rsid w:val="000F3843"/>
    <w:rsid w:val="000F4C0D"/>
    <w:rsid w:val="00100A4B"/>
    <w:rsid w:val="001018C7"/>
    <w:rsid w:val="0010262E"/>
    <w:rsid w:val="0010278D"/>
    <w:rsid w:val="00102D22"/>
    <w:rsid w:val="00110007"/>
    <w:rsid w:val="00112395"/>
    <w:rsid w:val="00120134"/>
    <w:rsid w:val="001205F3"/>
    <w:rsid w:val="00126CBF"/>
    <w:rsid w:val="001277D7"/>
    <w:rsid w:val="001302D0"/>
    <w:rsid w:val="00132892"/>
    <w:rsid w:val="00135066"/>
    <w:rsid w:val="001353C8"/>
    <w:rsid w:val="00141C73"/>
    <w:rsid w:val="001422F9"/>
    <w:rsid w:val="001428D2"/>
    <w:rsid w:val="00142E0F"/>
    <w:rsid w:val="00145250"/>
    <w:rsid w:val="001465DB"/>
    <w:rsid w:val="00152F06"/>
    <w:rsid w:val="00155EBF"/>
    <w:rsid w:val="00160422"/>
    <w:rsid w:val="00161418"/>
    <w:rsid w:val="001623CC"/>
    <w:rsid w:val="00166E9F"/>
    <w:rsid w:val="00167663"/>
    <w:rsid w:val="001718D8"/>
    <w:rsid w:val="00171C51"/>
    <w:rsid w:val="00173D92"/>
    <w:rsid w:val="00175FDF"/>
    <w:rsid w:val="00181A55"/>
    <w:rsid w:val="0018260B"/>
    <w:rsid w:val="00182BA8"/>
    <w:rsid w:val="00182E95"/>
    <w:rsid w:val="00183A16"/>
    <w:rsid w:val="001876C3"/>
    <w:rsid w:val="0019079C"/>
    <w:rsid w:val="00193637"/>
    <w:rsid w:val="00194693"/>
    <w:rsid w:val="00195FCA"/>
    <w:rsid w:val="001B17AF"/>
    <w:rsid w:val="001B2AEA"/>
    <w:rsid w:val="001B3E28"/>
    <w:rsid w:val="001B43C6"/>
    <w:rsid w:val="001B5199"/>
    <w:rsid w:val="001B5865"/>
    <w:rsid w:val="001B7124"/>
    <w:rsid w:val="001C1F76"/>
    <w:rsid w:val="001C2485"/>
    <w:rsid w:val="001C2927"/>
    <w:rsid w:val="001C59EF"/>
    <w:rsid w:val="001C5A6A"/>
    <w:rsid w:val="001C7048"/>
    <w:rsid w:val="001C754A"/>
    <w:rsid w:val="001D194A"/>
    <w:rsid w:val="001D3ED7"/>
    <w:rsid w:val="001D5D5D"/>
    <w:rsid w:val="001E1A3A"/>
    <w:rsid w:val="001E31AE"/>
    <w:rsid w:val="001E41AF"/>
    <w:rsid w:val="001E7190"/>
    <w:rsid w:val="001F1243"/>
    <w:rsid w:val="001F2361"/>
    <w:rsid w:val="001F62C6"/>
    <w:rsid w:val="001F69CB"/>
    <w:rsid w:val="001F6ADB"/>
    <w:rsid w:val="001F73CA"/>
    <w:rsid w:val="00200574"/>
    <w:rsid w:val="00206A11"/>
    <w:rsid w:val="0020737E"/>
    <w:rsid w:val="0020758C"/>
    <w:rsid w:val="002075F2"/>
    <w:rsid w:val="00210991"/>
    <w:rsid w:val="0021695B"/>
    <w:rsid w:val="00217118"/>
    <w:rsid w:val="00223210"/>
    <w:rsid w:val="00224E08"/>
    <w:rsid w:val="00231453"/>
    <w:rsid w:val="00231A53"/>
    <w:rsid w:val="00233045"/>
    <w:rsid w:val="0023449D"/>
    <w:rsid w:val="00237F82"/>
    <w:rsid w:val="00240B4F"/>
    <w:rsid w:val="00242AF4"/>
    <w:rsid w:val="00242B84"/>
    <w:rsid w:val="0024620E"/>
    <w:rsid w:val="00247459"/>
    <w:rsid w:val="00247D5A"/>
    <w:rsid w:val="00250C4A"/>
    <w:rsid w:val="00253D22"/>
    <w:rsid w:val="002548BF"/>
    <w:rsid w:val="0025548F"/>
    <w:rsid w:val="002554E2"/>
    <w:rsid w:val="002560A4"/>
    <w:rsid w:val="0025684C"/>
    <w:rsid w:val="00257872"/>
    <w:rsid w:val="00257FFC"/>
    <w:rsid w:val="002616BA"/>
    <w:rsid w:val="00263F9D"/>
    <w:rsid w:val="002667C9"/>
    <w:rsid w:val="00271BCB"/>
    <w:rsid w:val="00271E80"/>
    <w:rsid w:val="00272F6A"/>
    <w:rsid w:val="0027358A"/>
    <w:rsid w:val="002735E9"/>
    <w:rsid w:val="002771F4"/>
    <w:rsid w:val="0028182D"/>
    <w:rsid w:val="0028368D"/>
    <w:rsid w:val="002844DC"/>
    <w:rsid w:val="00291314"/>
    <w:rsid w:val="002930D1"/>
    <w:rsid w:val="0029393C"/>
    <w:rsid w:val="00293F4D"/>
    <w:rsid w:val="002946B1"/>
    <w:rsid w:val="00295DF4"/>
    <w:rsid w:val="0029663F"/>
    <w:rsid w:val="002972B2"/>
    <w:rsid w:val="002A00FF"/>
    <w:rsid w:val="002A0968"/>
    <w:rsid w:val="002A46A7"/>
    <w:rsid w:val="002A5C0B"/>
    <w:rsid w:val="002A7C4B"/>
    <w:rsid w:val="002B131F"/>
    <w:rsid w:val="002C07E1"/>
    <w:rsid w:val="002C1047"/>
    <w:rsid w:val="002C1754"/>
    <w:rsid w:val="002C1946"/>
    <w:rsid w:val="002C1959"/>
    <w:rsid w:val="002C543B"/>
    <w:rsid w:val="002C7C2D"/>
    <w:rsid w:val="002C7DA7"/>
    <w:rsid w:val="002D0A46"/>
    <w:rsid w:val="002D1A0D"/>
    <w:rsid w:val="002D27BA"/>
    <w:rsid w:val="002D3BFE"/>
    <w:rsid w:val="002D60D1"/>
    <w:rsid w:val="002E04AB"/>
    <w:rsid w:val="002E1C0E"/>
    <w:rsid w:val="002E55E2"/>
    <w:rsid w:val="002F0FD7"/>
    <w:rsid w:val="002F2499"/>
    <w:rsid w:val="002F3117"/>
    <w:rsid w:val="002F4C0D"/>
    <w:rsid w:val="002F5218"/>
    <w:rsid w:val="002F7AD7"/>
    <w:rsid w:val="0030176A"/>
    <w:rsid w:val="00304D7D"/>
    <w:rsid w:val="00304F04"/>
    <w:rsid w:val="00305E83"/>
    <w:rsid w:val="003077F3"/>
    <w:rsid w:val="00307880"/>
    <w:rsid w:val="003105E9"/>
    <w:rsid w:val="003119FF"/>
    <w:rsid w:val="00311E21"/>
    <w:rsid w:val="00312E10"/>
    <w:rsid w:val="003135D0"/>
    <w:rsid w:val="003140AF"/>
    <w:rsid w:val="003143D3"/>
    <w:rsid w:val="00314729"/>
    <w:rsid w:val="00316E41"/>
    <w:rsid w:val="00322CD3"/>
    <w:rsid w:val="00325A38"/>
    <w:rsid w:val="00325E03"/>
    <w:rsid w:val="00330C6F"/>
    <w:rsid w:val="00330EA0"/>
    <w:rsid w:val="00332BA5"/>
    <w:rsid w:val="00335CCD"/>
    <w:rsid w:val="0033632E"/>
    <w:rsid w:val="003370E8"/>
    <w:rsid w:val="003436FD"/>
    <w:rsid w:val="00346C69"/>
    <w:rsid w:val="00347646"/>
    <w:rsid w:val="00347B89"/>
    <w:rsid w:val="0035121A"/>
    <w:rsid w:val="00354BB4"/>
    <w:rsid w:val="00355C1F"/>
    <w:rsid w:val="00356B02"/>
    <w:rsid w:val="00357DF1"/>
    <w:rsid w:val="0036139A"/>
    <w:rsid w:val="00366389"/>
    <w:rsid w:val="0036759F"/>
    <w:rsid w:val="00367800"/>
    <w:rsid w:val="00367DB6"/>
    <w:rsid w:val="00370492"/>
    <w:rsid w:val="00370B92"/>
    <w:rsid w:val="00371A4A"/>
    <w:rsid w:val="003721FC"/>
    <w:rsid w:val="00373DDF"/>
    <w:rsid w:val="003749CC"/>
    <w:rsid w:val="003801AB"/>
    <w:rsid w:val="003836E2"/>
    <w:rsid w:val="00383A7E"/>
    <w:rsid w:val="0038460F"/>
    <w:rsid w:val="00386043"/>
    <w:rsid w:val="003863AA"/>
    <w:rsid w:val="00386D0A"/>
    <w:rsid w:val="0039258F"/>
    <w:rsid w:val="0039384D"/>
    <w:rsid w:val="00394777"/>
    <w:rsid w:val="003A089F"/>
    <w:rsid w:val="003A5D0C"/>
    <w:rsid w:val="003A7B31"/>
    <w:rsid w:val="003C5D12"/>
    <w:rsid w:val="003C5DE6"/>
    <w:rsid w:val="003C6CDE"/>
    <w:rsid w:val="003C6E26"/>
    <w:rsid w:val="003D0E39"/>
    <w:rsid w:val="003D191F"/>
    <w:rsid w:val="003D2EA5"/>
    <w:rsid w:val="003D72C3"/>
    <w:rsid w:val="003D7B86"/>
    <w:rsid w:val="003E1B35"/>
    <w:rsid w:val="003E3DAC"/>
    <w:rsid w:val="003E3E07"/>
    <w:rsid w:val="003E7C83"/>
    <w:rsid w:val="003F0A7B"/>
    <w:rsid w:val="003F17FB"/>
    <w:rsid w:val="003F34F7"/>
    <w:rsid w:val="003F365D"/>
    <w:rsid w:val="003F3C9A"/>
    <w:rsid w:val="003F4CEB"/>
    <w:rsid w:val="003F5ED3"/>
    <w:rsid w:val="00400216"/>
    <w:rsid w:val="004029E6"/>
    <w:rsid w:val="00402E9F"/>
    <w:rsid w:val="00403CA1"/>
    <w:rsid w:val="00404967"/>
    <w:rsid w:val="0041027B"/>
    <w:rsid w:val="00411A59"/>
    <w:rsid w:val="00411DFC"/>
    <w:rsid w:val="004126EE"/>
    <w:rsid w:val="00412B8A"/>
    <w:rsid w:val="00412EB9"/>
    <w:rsid w:val="00415128"/>
    <w:rsid w:val="00417125"/>
    <w:rsid w:val="0041767E"/>
    <w:rsid w:val="00421446"/>
    <w:rsid w:val="00423929"/>
    <w:rsid w:val="00425207"/>
    <w:rsid w:val="00427A59"/>
    <w:rsid w:val="00427C0D"/>
    <w:rsid w:val="00431E30"/>
    <w:rsid w:val="00432E17"/>
    <w:rsid w:val="00440C74"/>
    <w:rsid w:val="004425D9"/>
    <w:rsid w:val="004447D2"/>
    <w:rsid w:val="0044537E"/>
    <w:rsid w:val="00445DFE"/>
    <w:rsid w:val="00453A88"/>
    <w:rsid w:val="004558EF"/>
    <w:rsid w:val="0045636B"/>
    <w:rsid w:val="004605EA"/>
    <w:rsid w:val="00462B16"/>
    <w:rsid w:val="00462B57"/>
    <w:rsid w:val="00463A74"/>
    <w:rsid w:val="0046427E"/>
    <w:rsid w:val="00466255"/>
    <w:rsid w:val="004700F8"/>
    <w:rsid w:val="00470B15"/>
    <w:rsid w:val="00473020"/>
    <w:rsid w:val="00474A63"/>
    <w:rsid w:val="004756BA"/>
    <w:rsid w:val="00475C02"/>
    <w:rsid w:val="004810F6"/>
    <w:rsid w:val="0048500F"/>
    <w:rsid w:val="0049442A"/>
    <w:rsid w:val="00495F3D"/>
    <w:rsid w:val="004964EE"/>
    <w:rsid w:val="00496523"/>
    <w:rsid w:val="004A0218"/>
    <w:rsid w:val="004A3D02"/>
    <w:rsid w:val="004A421E"/>
    <w:rsid w:val="004A5527"/>
    <w:rsid w:val="004A72B1"/>
    <w:rsid w:val="004B1347"/>
    <w:rsid w:val="004B1735"/>
    <w:rsid w:val="004B5BCE"/>
    <w:rsid w:val="004B5E11"/>
    <w:rsid w:val="004B5E44"/>
    <w:rsid w:val="004B6B24"/>
    <w:rsid w:val="004B7FAA"/>
    <w:rsid w:val="004C311E"/>
    <w:rsid w:val="004C33EF"/>
    <w:rsid w:val="004C463B"/>
    <w:rsid w:val="004C487E"/>
    <w:rsid w:val="004C637A"/>
    <w:rsid w:val="004C69D8"/>
    <w:rsid w:val="004D3FEB"/>
    <w:rsid w:val="004D5020"/>
    <w:rsid w:val="004D58F8"/>
    <w:rsid w:val="004D6AF8"/>
    <w:rsid w:val="004D6CC6"/>
    <w:rsid w:val="004D7441"/>
    <w:rsid w:val="004E28A4"/>
    <w:rsid w:val="004E36AE"/>
    <w:rsid w:val="004E3706"/>
    <w:rsid w:val="004E3A9B"/>
    <w:rsid w:val="004E3EEB"/>
    <w:rsid w:val="004E4751"/>
    <w:rsid w:val="004E5768"/>
    <w:rsid w:val="004E5ADC"/>
    <w:rsid w:val="004F0C7E"/>
    <w:rsid w:val="004F71B6"/>
    <w:rsid w:val="004F7B09"/>
    <w:rsid w:val="00500E11"/>
    <w:rsid w:val="00502126"/>
    <w:rsid w:val="00503094"/>
    <w:rsid w:val="00506027"/>
    <w:rsid w:val="00506353"/>
    <w:rsid w:val="00510112"/>
    <w:rsid w:val="005102FC"/>
    <w:rsid w:val="00510B5B"/>
    <w:rsid w:val="005130E7"/>
    <w:rsid w:val="00514680"/>
    <w:rsid w:val="00516CC6"/>
    <w:rsid w:val="0051740E"/>
    <w:rsid w:val="005179A0"/>
    <w:rsid w:val="005218AD"/>
    <w:rsid w:val="005226CA"/>
    <w:rsid w:val="00523CFD"/>
    <w:rsid w:val="00523F8C"/>
    <w:rsid w:val="00524455"/>
    <w:rsid w:val="0052556D"/>
    <w:rsid w:val="00526700"/>
    <w:rsid w:val="00527641"/>
    <w:rsid w:val="005326C3"/>
    <w:rsid w:val="00533070"/>
    <w:rsid w:val="00546A25"/>
    <w:rsid w:val="00546B64"/>
    <w:rsid w:val="00547B26"/>
    <w:rsid w:val="00551070"/>
    <w:rsid w:val="00553B0D"/>
    <w:rsid w:val="00555501"/>
    <w:rsid w:val="005557E8"/>
    <w:rsid w:val="0055726E"/>
    <w:rsid w:val="00557A25"/>
    <w:rsid w:val="00557D5A"/>
    <w:rsid w:val="00560664"/>
    <w:rsid w:val="00561570"/>
    <w:rsid w:val="005626CF"/>
    <w:rsid w:val="005633A3"/>
    <w:rsid w:val="005714C8"/>
    <w:rsid w:val="00572073"/>
    <w:rsid w:val="00574AB9"/>
    <w:rsid w:val="005757D0"/>
    <w:rsid w:val="005761C8"/>
    <w:rsid w:val="005800EB"/>
    <w:rsid w:val="00580231"/>
    <w:rsid w:val="00583A02"/>
    <w:rsid w:val="00587362"/>
    <w:rsid w:val="005874B6"/>
    <w:rsid w:val="0059021E"/>
    <w:rsid w:val="005916C2"/>
    <w:rsid w:val="00592E03"/>
    <w:rsid w:val="005933F1"/>
    <w:rsid w:val="005945B3"/>
    <w:rsid w:val="00595210"/>
    <w:rsid w:val="00597C7E"/>
    <w:rsid w:val="005A1040"/>
    <w:rsid w:val="005A2FBF"/>
    <w:rsid w:val="005A3F33"/>
    <w:rsid w:val="005A478C"/>
    <w:rsid w:val="005A5394"/>
    <w:rsid w:val="005A5CF5"/>
    <w:rsid w:val="005A63F7"/>
    <w:rsid w:val="005B38B3"/>
    <w:rsid w:val="005C2CA5"/>
    <w:rsid w:val="005C36C1"/>
    <w:rsid w:val="005C4BBF"/>
    <w:rsid w:val="005C4FF1"/>
    <w:rsid w:val="005C50BD"/>
    <w:rsid w:val="005C5CC4"/>
    <w:rsid w:val="005C5EFF"/>
    <w:rsid w:val="005C5F29"/>
    <w:rsid w:val="005D0F29"/>
    <w:rsid w:val="005D15FE"/>
    <w:rsid w:val="005D4EB8"/>
    <w:rsid w:val="005D5369"/>
    <w:rsid w:val="005D6FF0"/>
    <w:rsid w:val="005D7ABD"/>
    <w:rsid w:val="005E1661"/>
    <w:rsid w:val="005E5601"/>
    <w:rsid w:val="005E648A"/>
    <w:rsid w:val="005F14BF"/>
    <w:rsid w:val="005F23FA"/>
    <w:rsid w:val="005F48DE"/>
    <w:rsid w:val="005F536B"/>
    <w:rsid w:val="0060439B"/>
    <w:rsid w:val="0061647A"/>
    <w:rsid w:val="00624D0C"/>
    <w:rsid w:val="00630581"/>
    <w:rsid w:val="00630621"/>
    <w:rsid w:val="00630795"/>
    <w:rsid w:val="00633B2C"/>
    <w:rsid w:val="00633B30"/>
    <w:rsid w:val="00634BE9"/>
    <w:rsid w:val="006365DF"/>
    <w:rsid w:val="006369F1"/>
    <w:rsid w:val="00637A86"/>
    <w:rsid w:val="00640B8F"/>
    <w:rsid w:val="00640C88"/>
    <w:rsid w:val="006423FB"/>
    <w:rsid w:val="0064315A"/>
    <w:rsid w:val="006438CA"/>
    <w:rsid w:val="00644BFC"/>
    <w:rsid w:val="00650DA0"/>
    <w:rsid w:val="00651A87"/>
    <w:rsid w:val="00654C84"/>
    <w:rsid w:val="006563DB"/>
    <w:rsid w:val="006600B3"/>
    <w:rsid w:val="00660A77"/>
    <w:rsid w:val="00662135"/>
    <w:rsid w:val="006624D7"/>
    <w:rsid w:val="00662F6A"/>
    <w:rsid w:val="00664752"/>
    <w:rsid w:val="00665525"/>
    <w:rsid w:val="00665CB2"/>
    <w:rsid w:val="00666DF2"/>
    <w:rsid w:val="006676E2"/>
    <w:rsid w:val="006709CE"/>
    <w:rsid w:val="00671DA2"/>
    <w:rsid w:val="006803D7"/>
    <w:rsid w:val="006833EF"/>
    <w:rsid w:val="00683B20"/>
    <w:rsid w:val="00683E88"/>
    <w:rsid w:val="00684E2C"/>
    <w:rsid w:val="006866C9"/>
    <w:rsid w:val="006869E8"/>
    <w:rsid w:val="00690516"/>
    <w:rsid w:val="00691A54"/>
    <w:rsid w:val="00691B7E"/>
    <w:rsid w:val="0069220F"/>
    <w:rsid w:val="00692439"/>
    <w:rsid w:val="0069485D"/>
    <w:rsid w:val="006A19A3"/>
    <w:rsid w:val="006A52B8"/>
    <w:rsid w:val="006A5760"/>
    <w:rsid w:val="006A69EA"/>
    <w:rsid w:val="006A7848"/>
    <w:rsid w:val="006A7A41"/>
    <w:rsid w:val="006B066D"/>
    <w:rsid w:val="006B0D4F"/>
    <w:rsid w:val="006B12A7"/>
    <w:rsid w:val="006B13B3"/>
    <w:rsid w:val="006B18A8"/>
    <w:rsid w:val="006B4C49"/>
    <w:rsid w:val="006B4CA1"/>
    <w:rsid w:val="006B5FEF"/>
    <w:rsid w:val="006B62AF"/>
    <w:rsid w:val="006C151D"/>
    <w:rsid w:val="006C23B9"/>
    <w:rsid w:val="006C2C89"/>
    <w:rsid w:val="006C6983"/>
    <w:rsid w:val="006C78EF"/>
    <w:rsid w:val="006C7E4C"/>
    <w:rsid w:val="006D08C2"/>
    <w:rsid w:val="006D09F2"/>
    <w:rsid w:val="006D1BF4"/>
    <w:rsid w:val="006D3B37"/>
    <w:rsid w:val="006D5A22"/>
    <w:rsid w:val="006D5FFA"/>
    <w:rsid w:val="006E3DEC"/>
    <w:rsid w:val="006E73EA"/>
    <w:rsid w:val="006E7994"/>
    <w:rsid w:val="0070061A"/>
    <w:rsid w:val="00700624"/>
    <w:rsid w:val="007009CA"/>
    <w:rsid w:val="00700E38"/>
    <w:rsid w:val="00700F7C"/>
    <w:rsid w:val="007049CB"/>
    <w:rsid w:val="00704BC2"/>
    <w:rsid w:val="0070658B"/>
    <w:rsid w:val="007071F0"/>
    <w:rsid w:val="00710C11"/>
    <w:rsid w:val="00713FA4"/>
    <w:rsid w:val="007158A9"/>
    <w:rsid w:val="00716EC6"/>
    <w:rsid w:val="0071772E"/>
    <w:rsid w:val="007211F8"/>
    <w:rsid w:val="007237BC"/>
    <w:rsid w:val="00724204"/>
    <w:rsid w:val="00724501"/>
    <w:rsid w:val="0072468E"/>
    <w:rsid w:val="00724792"/>
    <w:rsid w:val="007251EA"/>
    <w:rsid w:val="00726445"/>
    <w:rsid w:val="00734459"/>
    <w:rsid w:val="00734507"/>
    <w:rsid w:val="0073463D"/>
    <w:rsid w:val="00735029"/>
    <w:rsid w:val="00735FA5"/>
    <w:rsid w:val="0073613F"/>
    <w:rsid w:val="007406A5"/>
    <w:rsid w:val="00741D79"/>
    <w:rsid w:val="00742171"/>
    <w:rsid w:val="00742DCA"/>
    <w:rsid w:val="007473AC"/>
    <w:rsid w:val="00750E60"/>
    <w:rsid w:val="00751642"/>
    <w:rsid w:val="0075424D"/>
    <w:rsid w:val="0075500E"/>
    <w:rsid w:val="007557B9"/>
    <w:rsid w:val="00757671"/>
    <w:rsid w:val="0076528C"/>
    <w:rsid w:val="007652C7"/>
    <w:rsid w:val="007657E4"/>
    <w:rsid w:val="00765EA8"/>
    <w:rsid w:val="00767DE8"/>
    <w:rsid w:val="0077010C"/>
    <w:rsid w:val="007714DE"/>
    <w:rsid w:val="00771901"/>
    <w:rsid w:val="00771EFC"/>
    <w:rsid w:val="00774038"/>
    <w:rsid w:val="00774A69"/>
    <w:rsid w:val="0077774C"/>
    <w:rsid w:val="007805BA"/>
    <w:rsid w:val="00783DA5"/>
    <w:rsid w:val="00785151"/>
    <w:rsid w:val="00785171"/>
    <w:rsid w:val="00790387"/>
    <w:rsid w:val="00791D2D"/>
    <w:rsid w:val="007948B6"/>
    <w:rsid w:val="00797E6B"/>
    <w:rsid w:val="007A5029"/>
    <w:rsid w:val="007B3323"/>
    <w:rsid w:val="007B4849"/>
    <w:rsid w:val="007B5DB0"/>
    <w:rsid w:val="007B5DB8"/>
    <w:rsid w:val="007B644B"/>
    <w:rsid w:val="007B7AE2"/>
    <w:rsid w:val="007C2260"/>
    <w:rsid w:val="007C2833"/>
    <w:rsid w:val="007C3D85"/>
    <w:rsid w:val="007C50CD"/>
    <w:rsid w:val="007C548C"/>
    <w:rsid w:val="007C581D"/>
    <w:rsid w:val="007C7725"/>
    <w:rsid w:val="007D0693"/>
    <w:rsid w:val="007D1039"/>
    <w:rsid w:val="007D334A"/>
    <w:rsid w:val="007D38B1"/>
    <w:rsid w:val="007D3EBA"/>
    <w:rsid w:val="007D6ED0"/>
    <w:rsid w:val="007E0439"/>
    <w:rsid w:val="007E0D18"/>
    <w:rsid w:val="007E42F9"/>
    <w:rsid w:val="007F0D33"/>
    <w:rsid w:val="007F1378"/>
    <w:rsid w:val="007F1393"/>
    <w:rsid w:val="007F1F41"/>
    <w:rsid w:val="007F2564"/>
    <w:rsid w:val="007F448E"/>
    <w:rsid w:val="007F50B5"/>
    <w:rsid w:val="007F67BD"/>
    <w:rsid w:val="00801477"/>
    <w:rsid w:val="00801997"/>
    <w:rsid w:val="00801F3E"/>
    <w:rsid w:val="0080333C"/>
    <w:rsid w:val="0080522D"/>
    <w:rsid w:val="00805D71"/>
    <w:rsid w:val="00806DC8"/>
    <w:rsid w:val="00810DB8"/>
    <w:rsid w:val="008111E8"/>
    <w:rsid w:val="00811FC4"/>
    <w:rsid w:val="008122CC"/>
    <w:rsid w:val="008167C3"/>
    <w:rsid w:val="00816CF5"/>
    <w:rsid w:val="00817891"/>
    <w:rsid w:val="00821E56"/>
    <w:rsid w:val="00823BE6"/>
    <w:rsid w:val="00823E96"/>
    <w:rsid w:val="00824376"/>
    <w:rsid w:val="008244AC"/>
    <w:rsid w:val="00824D11"/>
    <w:rsid w:val="00827AB7"/>
    <w:rsid w:val="00827DD2"/>
    <w:rsid w:val="0083021D"/>
    <w:rsid w:val="00831CB9"/>
    <w:rsid w:val="00831D23"/>
    <w:rsid w:val="00833A68"/>
    <w:rsid w:val="008347CE"/>
    <w:rsid w:val="00834FB5"/>
    <w:rsid w:val="00835317"/>
    <w:rsid w:val="00836744"/>
    <w:rsid w:val="008430A3"/>
    <w:rsid w:val="008464EE"/>
    <w:rsid w:val="008528E6"/>
    <w:rsid w:val="00852A0F"/>
    <w:rsid w:val="00852DA1"/>
    <w:rsid w:val="0085346C"/>
    <w:rsid w:val="00853D22"/>
    <w:rsid w:val="00853DFC"/>
    <w:rsid w:val="00854678"/>
    <w:rsid w:val="00855251"/>
    <w:rsid w:val="00861AC5"/>
    <w:rsid w:val="00861C83"/>
    <w:rsid w:val="0086208D"/>
    <w:rsid w:val="00862234"/>
    <w:rsid w:val="008640A7"/>
    <w:rsid w:val="00873283"/>
    <w:rsid w:val="0087401E"/>
    <w:rsid w:val="008744D8"/>
    <w:rsid w:val="00874B0F"/>
    <w:rsid w:val="00882D11"/>
    <w:rsid w:val="00884A7D"/>
    <w:rsid w:val="00884D09"/>
    <w:rsid w:val="00887EC2"/>
    <w:rsid w:val="00892F26"/>
    <w:rsid w:val="00896B6C"/>
    <w:rsid w:val="0089760D"/>
    <w:rsid w:val="008A2716"/>
    <w:rsid w:val="008A2DB0"/>
    <w:rsid w:val="008A3BFD"/>
    <w:rsid w:val="008A3EB7"/>
    <w:rsid w:val="008A477C"/>
    <w:rsid w:val="008A5DE5"/>
    <w:rsid w:val="008B14BF"/>
    <w:rsid w:val="008B195E"/>
    <w:rsid w:val="008B3EC6"/>
    <w:rsid w:val="008B59B5"/>
    <w:rsid w:val="008B7403"/>
    <w:rsid w:val="008B78B7"/>
    <w:rsid w:val="008C06AE"/>
    <w:rsid w:val="008C0E13"/>
    <w:rsid w:val="008C28F9"/>
    <w:rsid w:val="008C444A"/>
    <w:rsid w:val="008C6BE2"/>
    <w:rsid w:val="008D03FF"/>
    <w:rsid w:val="008D0E9C"/>
    <w:rsid w:val="008D4A0A"/>
    <w:rsid w:val="008E133D"/>
    <w:rsid w:val="008E1F3F"/>
    <w:rsid w:val="008E4E43"/>
    <w:rsid w:val="008E6329"/>
    <w:rsid w:val="008E6651"/>
    <w:rsid w:val="008E6A27"/>
    <w:rsid w:val="008E7919"/>
    <w:rsid w:val="008F0A52"/>
    <w:rsid w:val="008F4293"/>
    <w:rsid w:val="008F4A55"/>
    <w:rsid w:val="008F621E"/>
    <w:rsid w:val="008F7A93"/>
    <w:rsid w:val="00900B3B"/>
    <w:rsid w:val="00900BB2"/>
    <w:rsid w:val="00901780"/>
    <w:rsid w:val="009029E9"/>
    <w:rsid w:val="00905339"/>
    <w:rsid w:val="0090767B"/>
    <w:rsid w:val="00910D67"/>
    <w:rsid w:val="00911642"/>
    <w:rsid w:val="00912962"/>
    <w:rsid w:val="00914093"/>
    <w:rsid w:val="00914C4B"/>
    <w:rsid w:val="009153B8"/>
    <w:rsid w:val="009155A7"/>
    <w:rsid w:val="0091665F"/>
    <w:rsid w:val="00924E5D"/>
    <w:rsid w:val="00926BCE"/>
    <w:rsid w:val="00927B2B"/>
    <w:rsid w:val="009317CC"/>
    <w:rsid w:val="00932497"/>
    <w:rsid w:val="00932F73"/>
    <w:rsid w:val="009361C4"/>
    <w:rsid w:val="00941752"/>
    <w:rsid w:val="00941D24"/>
    <w:rsid w:val="0094280D"/>
    <w:rsid w:val="00942824"/>
    <w:rsid w:val="00942EDE"/>
    <w:rsid w:val="009439DF"/>
    <w:rsid w:val="00951F37"/>
    <w:rsid w:val="00952EAB"/>
    <w:rsid w:val="009564E2"/>
    <w:rsid w:val="00956DCD"/>
    <w:rsid w:val="00957901"/>
    <w:rsid w:val="00962737"/>
    <w:rsid w:val="00962991"/>
    <w:rsid w:val="00963489"/>
    <w:rsid w:val="00964DBF"/>
    <w:rsid w:val="0096524A"/>
    <w:rsid w:val="0096694D"/>
    <w:rsid w:val="00970014"/>
    <w:rsid w:val="00971CD9"/>
    <w:rsid w:val="0097426F"/>
    <w:rsid w:val="009764EC"/>
    <w:rsid w:val="00980146"/>
    <w:rsid w:val="009813C6"/>
    <w:rsid w:val="0098465C"/>
    <w:rsid w:val="0098471F"/>
    <w:rsid w:val="0098701C"/>
    <w:rsid w:val="00994DFB"/>
    <w:rsid w:val="00995718"/>
    <w:rsid w:val="00995A35"/>
    <w:rsid w:val="00996581"/>
    <w:rsid w:val="009A0856"/>
    <w:rsid w:val="009A15F5"/>
    <w:rsid w:val="009A3625"/>
    <w:rsid w:val="009A58F6"/>
    <w:rsid w:val="009B2021"/>
    <w:rsid w:val="009B67F6"/>
    <w:rsid w:val="009B7999"/>
    <w:rsid w:val="009C034C"/>
    <w:rsid w:val="009C0A8E"/>
    <w:rsid w:val="009C39F4"/>
    <w:rsid w:val="009C4254"/>
    <w:rsid w:val="009C5D7B"/>
    <w:rsid w:val="009D186B"/>
    <w:rsid w:val="009D4482"/>
    <w:rsid w:val="009D495B"/>
    <w:rsid w:val="009D6E71"/>
    <w:rsid w:val="009D7546"/>
    <w:rsid w:val="009D77D1"/>
    <w:rsid w:val="009E16A3"/>
    <w:rsid w:val="009E25FA"/>
    <w:rsid w:val="009E3A4C"/>
    <w:rsid w:val="009E5F69"/>
    <w:rsid w:val="009E769E"/>
    <w:rsid w:val="009E791F"/>
    <w:rsid w:val="009F16A7"/>
    <w:rsid w:val="009F4C10"/>
    <w:rsid w:val="009F65D9"/>
    <w:rsid w:val="009F75E1"/>
    <w:rsid w:val="00A012E0"/>
    <w:rsid w:val="00A02B99"/>
    <w:rsid w:val="00A03B99"/>
    <w:rsid w:val="00A049A9"/>
    <w:rsid w:val="00A04D28"/>
    <w:rsid w:val="00A0584C"/>
    <w:rsid w:val="00A101ED"/>
    <w:rsid w:val="00A11284"/>
    <w:rsid w:val="00A14C0D"/>
    <w:rsid w:val="00A22BC6"/>
    <w:rsid w:val="00A24725"/>
    <w:rsid w:val="00A24741"/>
    <w:rsid w:val="00A31563"/>
    <w:rsid w:val="00A330BC"/>
    <w:rsid w:val="00A33935"/>
    <w:rsid w:val="00A33E35"/>
    <w:rsid w:val="00A37372"/>
    <w:rsid w:val="00A421FB"/>
    <w:rsid w:val="00A4326B"/>
    <w:rsid w:val="00A442AA"/>
    <w:rsid w:val="00A44AD9"/>
    <w:rsid w:val="00A45EFD"/>
    <w:rsid w:val="00A46B8E"/>
    <w:rsid w:val="00A5047B"/>
    <w:rsid w:val="00A563A9"/>
    <w:rsid w:val="00A600B5"/>
    <w:rsid w:val="00A6229E"/>
    <w:rsid w:val="00A635F1"/>
    <w:rsid w:val="00A645A4"/>
    <w:rsid w:val="00A64F22"/>
    <w:rsid w:val="00A668EA"/>
    <w:rsid w:val="00A674A9"/>
    <w:rsid w:val="00A67BA3"/>
    <w:rsid w:val="00A72178"/>
    <w:rsid w:val="00A74B07"/>
    <w:rsid w:val="00A76CE0"/>
    <w:rsid w:val="00A76E57"/>
    <w:rsid w:val="00A77005"/>
    <w:rsid w:val="00A77CF4"/>
    <w:rsid w:val="00A81ACE"/>
    <w:rsid w:val="00A84BD0"/>
    <w:rsid w:val="00A86EF0"/>
    <w:rsid w:val="00A902DC"/>
    <w:rsid w:val="00A90CD1"/>
    <w:rsid w:val="00A92B19"/>
    <w:rsid w:val="00A93A72"/>
    <w:rsid w:val="00A942E2"/>
    <w:rsid w:val="00A958FD"/>
    <w:rsid w:val="00A962D7"/>
    <w:rsid w:val="00AA2F10"/>
    <w:rsid w:val="00AA4C12"/>
    <w:rsid w:val="00AA594C"/>
    <w:rsid w:val="00AB141C"/>
    <w:rsid w:val="00AB3071"/>
    <w:rsid w:val="00AC0D26"/>
    <w:rsid w:val="00AC2484"/>
    <w:rsid w:val="00AC2ECF"/>
    <w:rsid w:val="00AC59DC"/>
    <w:rsid w:val="00AC657E"/>
    <w:rsid w:val="00AC773B"/>
    <w:rsid w:val="00AD16A1"/>
    <w:rsid w:val="00AD54CA"/>
    <w:rsid w:val="00AD5CA2"/>
    <w:rsid w:val="00AE005B"/>
    <w:rsid w:val="00AE0B84"/>
    <w:rsid w:val="00AE1BE2"/>
    <w:rsid w:val="00AE2646"/>
    <w:rsid w:val="00AE4001"/>
    <w:rsid w:val="00AF0A08"/>
    <w:rsid w:val="00AF289C"/>
    <w:rsid w:val="00AF2BA2"/>
    <w:rsid w:val="00AF4345"/>
    <w:rsid w:val="00AF52AB"/>
    <w:rsid w:val="00AF53CD"/>
    <w:rsid w:val="00AF7754"/>
    <w:rsid w:val="00B004DF"/>
    <w:rsid w:val="00B00A36"/>
    <w:rsid w:val="00B01EDC"/>
    <w:rsid w:val="00B03D04"/>
    <w:rsid w:val="00B06446"/>
    <w:rsid w:val="00B07C27"/>
    <w:rsid w:val="00B11026"/>
    <w:rsid w:val="00B125A6"/>
    <w:rsid w:val="00B12E38"/>
    <w:rsid w:val="00B14B3D"/>
    <w:rsid w:val="00B169DE"/>
    <w:rsid w:val="00B22625"/>
    <w:rsid w:val="00B3189C"/>
    <w:rsid w:val="00B3360D"/>
    <w:rsid w:val="00B36211"/>
    <w:rsid w:val="00B40C14"/>
    <w:rsid w:val="00B42B9E"/>
    <w:rsid w:val="00B42BA6"/>
    <w:rsid w:val="00B449A8"/>
    <w:rsid w:val="00B45EE8"/>
    <w:rsid w:val="00B504EA"/>
    <w:rsid w:val="00B505BF"/>
    <w:rsid w:val="00B559D7"/>
    <w:rsid w:val="00B606C4"/>
    <w:rsid w:val="00B60FCD"/>
    <w:rsid w:val="00B62880"/>
    <w:rsid w:val="00B64844"/>
    <w:rsid w:val="00B66DFD"/>
    <w:rsid w:val="00B71E8B"/>
    <w:rsid w:val="00B73034"/>
    <w:rsid w:val="00B74C95"/>
    <w:rsid w:val="00B77DA9"/>
    <w:rsid w:val="00B808BA"/>
    <w:rsid w:val="00B85E1E"/>
    <w:rsid w:val="00B85F7C"/>
    <w:rsid w:val="00B86652"/>
    <w:rsid w:val="00B86C41"/>
    <w:rsid w:val="00B87155"/>
    <w:rsid w:val="00B90BDF"/>
    <w:rsid w:val="00B91E34"/>
    <w:rsid w:val="00B94262"/>
    <w:rsid w:val="00B944D2"/>
    <w:rsid w:val="00B945C5"/>
    <w:rsid w:val="00B95053"/>
    <w:rsid w:val="00BA1BFC"/>
    <w:rsid w:val="00BA4944"/>
    <w:rsid w:val="00BB3674"/>
    <w:rsid w:val="00BC1275"/>
    <w:rsid w:val="00BC12C4"/>
    <w:rsid w:val="00BC3DC9"/>
    <w:rsid w:val="00BC558C"/>
    <w:rsid w:val="00BC5F0F"/>
    <w:rsid w:val="00BC635D"/>
    <w:rsid w:val="00BC6964"/>
    <w:rsid w:val="00BD022C"/>
    <w:rsid w:val="00BD1458"/>
    <w:rsid w:val="00BD6B69"/>
    <w:rsid w:val="00BE0BEC"/>
    <w:rsid w:val="00BE28A8"/>
    <w:rsid w:val="00BE4FC3"/>
    <w:rsid w:val="00BE74FB"/>
    <w:rsid w:val="00BE7F03"/>
    <w:rsid w:val="00BF057D"/>
    <w:rsid w:val="00BF11E2"/>
    <w:rsid w:val="00BF1CCA"/>
    <w:rsid w:val="00BF28A8"/>
    <w:rsid w:val="00BF45EF"/>
    <w:rsid w:val="00C03A16"/>
    <w:rsid w:val="00C03FE1"/>
    <w:rsid w:val="00C04FE7"/>
    <w:rsid w:val="00C06A72"/>
    <w:rsid w:val="00C06FB6"/>
    <w:rsid w:val="00C07F34"/>
    <w:rsid w:val="00C100CB"/>
    <w:rsid w:val="00C112E0"/>
    <w:rsid w:val="00C147E7"/>
    <w:rsid w:val="00C15488"/>
    <w:rsid w:val="00C215C6"/>
    <w:rsid w:val="00C2353D"/>
    <w:rsid w:val="00C2375B"/>
    <w:rsid w:val="00C252C6"/>
    <w:rsid w:val="00C25EF3"/>
    <w:rsid w:val="00C30117"/>
    <w:rsid w:val="00C302C7"/>
    <w:rsid w:val="00C33B1A"/>
    <w:rsid w:val="00C342C8"/>
    <w:rsid w:val="00C344D7"/>
    <w:rsid w:val="00C3479A"/>
    <w:rsid w:val="00C35240"/>
    <w:rsid w:val="00C35F85"/>
    <w:rsid w:val="00C36ADE"/>
    <w:rsid w:val="00C406E5"/>
    <w:rsid w:val="00C409AD"/>
    <w:rsid w:val="00C477BA"/>
    <w:rsid w:val="00C52B06"/>
    <w:rsid w:val="00C53C3E"/>
    <w:rsid w:val="00C54363"/>
    <w:rsid w:val="00C54932"/>
    <w:rsid w:val="00C5615D"/>
    <w:rsid w:val="00C57469"/>
    <w:rsid w:val="00C61A1B"/>
    <w:rsid w:val="00C62A7C"/>
    <w:rsid w:val="00C631F6"/>
    <w:rsid w:val="00C631FE"/>
    <w:rsid w:val="00C724D1"/>
    <w:rsid w:val="00C73484"/>
    <w:rsid w:val="00C7397F"/>
    <w:rsid w:val="00C73DB7"/>
    <w:rsid w:val="00C7459A"/>
    <w:rsid w:val="00C74C52"/>
    <w:rsid w:val="00C754B1"/>
    <w:rsid w:val="00C8401C"/>
    <w:rsid w:val="00C85140"/>
    <w:rsid w:val="00C90CB9"/>
    <w:rsid w:val="00C919A6"/>
    <w:rsid w:val="00C91F91"/>
    <w:rsid w:val="00C923F7"/>
    <w:rsid w:val="00C927B3"/>
    <w:rsid w:val="00C94CA5"/>
    <w:rsid w:val="00C96AE0"/>
    <w:rsid w:val="00C96BE9"/>
    <w:rsid w:val="00C96EB2"/>
    <w:rsid w:val="00CA1071"/>
    <w:rsid w:val="00CA4E9E"/>
    <w:rsid w:val="00CB29B3"/>
    <w:rsid w:val="00CB61B2"/>
    <w:rsid w:val="00CB696B"/>
    <w:rsid w:val="00CB6EC2"/>
    <w:rsid w:val="00CC15AD"/>
    <w:rsid w:val="00CC2325"/>
    <w:rsid w:val="00CC4389"/>
    <w:rsid w:val="00CC5D9A"/>
    <w:rsid w:val="00CC5EF6"/>
    <w:rsid w:val="00CC7A87"/>
    <w:rsid w:val="00CC7EC3"/>
    <w:rsid w:val="00CD0135"/>
    <w:rsid w:val="00CD1D8E"/>
    <w:rsid w:val="00CE1678"/>
    <w:rsid w:val="00CE1979"/>
    <w:rsid w:val="00CE39A2"/>
    <w:rsid w:val="00CE3B2E"/>
    <w:rsid w:val="00CE3D79"/>
    <w:rsid w:val="00CE4669"/>
    <w:rsid w:val="00CE5665"/>
    <w:rsid w:val="00CF65C3"/>
    <w:rsid w:val="00CF6DF1"/>
    <w:rsid w:val="00CF74BD"/>
    <w:rsid w:val="00D02490"/>
    <w:rsid w:val="00D026AA"/>
    <w:rsid w:val="00D028ED"/>
    <w:rsid w:val="00D041AD"/>
    <w:rsid w:val="00D05358"/>
    <w:rsid w:val="00D0668C"/>
    <w:rsid w:val="00D159B4"/>
    <w:rsid w:val="00D159F5"/>
    <w:rsid w:val="00D15C6C"/>
    <w:rsid w:val="00D235C8"/>
    <w:rsid w:val="00D2447D"/>
    <w:rsid w:val="00D2459B"/>
    <w:rsid w:val="00D25478"/>
    <w:rsid w:val="00D25E4B"/>
    <w:rsid w:val="00D26B1D"/>
    <w:rsid w:val="00D26FBD"/>
    <w:rsid w:val="00D303E6"/>
    <w:rsid w:val="00D31333"/>
    <w:rsid w:val="00D35B87"/>
    <w:rsid w:val="00D40BC2"/>
    <w:rsid w:val="00D41537"/>
    <w:rsid w:val="00D43D99"/>
    <w:rsid w:val="00D4571A"/>
    <w:rsid w:val="00D47F01"/>
    <w:rsid w:val="00D52872"/>
    <w:rsid w:val="00D5338E"/>
    <w:rsid w:val="00D53AF7"/>
    <w:rsid w:val="00D552FD"/>
    <w:rsid w:val="00D55C29"/>
    <w:rsid w:val="00D5766E"/>
    <w:rsid w:val="00D64A92"/>
    <w:rsid w:val="00D6503B"/>
    <w:rsid w:val="00D66A63"/>
    <w:rsid w:val="00D66EF1"/>
    <w:rsid w:val="00D718BD"/>
    <w:rsid w:val="00D7521A"/>
    <w:rsid w:val="00D754A0"/>
    <w:rsid w:val="00D80E9E"/>
    <w:rsid w:val="00D814C0"/>
    <w:rsid w:val="00D81D59"/>
    <w:rsid w:val="00D824FC"/>
    <w:rsid w:val="00D827C3"/>
    <w:rsid w:val="00D83181"/>
    <w:rsid w:val="00D837E8"/>
    <w:rsid w:val="00D84BF5"/>
    <w:rsid w:val="00D87390"/>
    <w:rsid w:val="00D879A4"/>
    <w:rsid w:val="00D87E3D"/>
    <w:rsid w:val="00D903BC"/>
    <w:rsid w:val="00D92DA7"/>
    <w:rsid w:val="00D92ED9"/>
    <w:rsid w:val="00D94C3D"/>
    <w:rsid w:val="00D97EB5"/>
    <w:rsid w:val="00DA201D"/>
    <w:rsid w:val="00DA3106"/>
    <w:rsid w:val="00DA4B92"/>
    <w:rsid w:val="00DA5E32"/>
    <w:rsid w:val="00DA6BD4"/>
    <w:rsid w:val="00DA7645"/>
    <w:rsid w:val="00DA7708"/>
    <w:rsid w:val="00DB2532"/>
    <w:rsid w:val="00DB25F3"/>
    <w:rsid w:val="00DB38DB"/>
    <w:rsid w:val="00DB3D2E"/>
    <w:rsid w:val="00DB3FD0"/>
    <w:rsid w:val="00DB44A1"/>
    <w:rsid w:val="00DB74CB"/>
    <w:rsid w:val="00DB7FBD"/>
    <w:rsid w:val="00DC0559"/>
    <w:rsid w:val="00DC2D03"/>
    <w:rsid w:val="00DC2F76"/>
    <w:rsid w:val="00DC4640"/>
    <w:rsid w:val="00DC5586"/>
    <w:rsid w:val="00DC69A4"/>
    <w:rsid w:val="00DD018D"/>
    <w:rsid w:val="00DD1E4B"/>
    <w:rsid w:val="00DD4A1F"/>
    <w:rsid w:val="00DD4AE7"/>
    <w:rsid w:val="00DE1000"/>
    <w:rsid w:val="00DE167B"/>
    <w:rsid w:val="00DE2D6B"/>
    <w:rsid w:val="00DE4E6C"/>
    <w:rsid w:val="00DE5709"/>
    <w:rsid w:val="00DE5E80"/>
    <w:rsid w:val="00DE6BA1"/>
    <w:rsid w:val="00DE7D4A"/>
    <w:rsid w:val="00DF12FE"/>
    <w:rsid w:val="00DF1B86"/>
    <w:rsid w:val="00DF3C04"/>
    <w:rsid w:val="00DF4672"/>
    <w:rsid w:val="00DF4CCC"/>
    <w:rsid w:val="00DF50C7"/>
    <w:rsid w:val="00DF5558"/>
    <w:rsid w:val="00DF6559"/>
    <w:rsid w:val="00E0012F"/>
    <w:rsid w:val="00E00DB7"/>
    <w:rsid w:val="00E00F07"/>
    <w:rsid w:val="00E02E67"/>
    <w:rsid w:val="00E11EBE"/>
    <w:rsid w:val="00E12F1B"/>
    <w:rsid w:val="00E159F1"/>
    <w:rsid w:val="00E20A62"/>
    <w:rsid w:val="00E21EC2"/>
    <w:rsid w:val="00E23BFF"/>
    <w:rsid w:val="00E248E1"/>
    <w:rsid w:val="00E25831"/>
    <w:rsid w:val="00E25BC2"/>
    <w:rsid w:val="00E270CB"/>
    <w:rsid w:val="00E27B34"/>
    <w:rsid w:val="00E30728"/>
    <w:rsid w:val="00E3580C"/>
    <w:rsid w:val="00E37758"/>
    <w:rsid w:val="00E41EC7"/>
    <w:rsid w:val="00E442AE"/>
    <w:rsid w:val="00E45DA6"/>
    <w:rsid w:val="00E4781B"/>
    <w:rsid w:val="00E503F5"/>
    <w:rsid w:val="00E507E3"/>
    <w:rsid w:val="00E50D74"/>
    <w:rsid w:val="00E51B90"/>
    <w:rsid w:val="00E53779"/>
    <w:rsid w:val="00E5385D"/>
    <w:rsid w:val="00E53EDC"/>
    <w:rsid w:val="00E56F2F"/>
    <w:rsid w:val="00E57D96"/>
    <w:rsid w:val="00E62B88"/>
    <w:rsid w:val="00E63466"/>
    <w:rsid w:val="00E64950"/>
    <w:rsid w:val="00E66BE0"/>
    <w:rsid w:val="00E66E9A"/>
    <w:rsid w:val="00E67696"/>
    <w:rsid w:val="00E67B57"/>
    <w:rsid w:val="00E7104E"/>
    <w:rsid w:val="00E7195C"/>
    <w:rsid w:val="00E755FE"/>
    <w:rsid w:val="00E75FB3"/>
    <w:rsid w:val="00E760C3"/>
    <w:rsid w:val="00E76EFF"/>
    <w:rsid w:val="00E813E0"/>
    <w:rsid w:val="00E8141B"/>
    <w:rsid w:val="00E828E2"/>
    <w:rsid w:val="00E83263"/>
    <w:rsid w:val="00E8519C"/>
    <w:rsid w:val="00E852E1"/>
    <w:rsid w:val="00E8766D"/>
    <w:rsid w:val="00E90B44"/>
    <w:rsid w:val="00E91F23"/>
    <w:rsid w:val="00E92068"/>
    <w:rsid w:val="00E92600"/>
    <w:rsid w:val="00E9277B"/>
    <w:rsid w:val="00EA0B05"/>
    <w:rsid w:val="00EA14CF"/>
    <w:rsid w:val="00EA158B"/>
    <w:rsid w:val="00EA2CC0"/>
    <w:rsid w:val="00EA35C6"/>
    <w:rsid w:val="00EA43EA"/>
    <w:rsid w:val="00EA449A"/>
    <w:rsid w:val="00EA45A6"/>
    <w:rsid w:val="00EA45D1"/>
    <w:rsid w:val="00EA59F6"/>
    <w:rsid w:val="00EA5F4F"/>
    <w:rsid w:val="00EC0095"/>
    <w:rsid w:val="00EC12A5"/>
    <w:rsid w:val="00EC5346"/>
    <w:rsid w:val="00EC77A9"/>
    <w:rsid w:val="00ED3F7D"/>
    <w:rsid w:val="00ED4152"/>
    <w:rsid w:val="00ED4B4B"/>
    <w:rsid w:val="00ED5AA1"/>
    <w:rsid w:val="00EE07E1"/>
    <w:rsid w:val="00EE1C95"/>
    <w:rsid w:val="00EE2B26"/>
    <w:rsid w:val="00EE4105"/>
    <w:rsid w:val="00EE6CE3"/>
    <w:rsid w:val="00EE72A3"/>
    <w:rsid w:val="00EF1F8E"/>
    <w:rsid w:val="00EF291F"/>
    <w:rsid w:val="00EF555C"/>
    <w:rsid w:val="00EF735C"/>
    <w:rsid w:val="00F001C7"/>
    <w:rsid w:val="00F024C4"/>
    <w:rsid w:val="00F02684"/>
    <w:rsid w:val="00F04BD2"/>
    <w:rsid w:val="00F06EC3"/>
    <w:rsid w:val="00F07068"/>
    <w:rsid w:val="00F1014C"/>
    <w:rsid w:val="00F11341"/>
    <w:rsid w:val="00F16B12"/>
    <w:rsid w:val="00F20BAC"/>
    <w:rsid w:val="00F21AE3"/>
    <w:rsid w:val="00F21E38"/>
    <w:rsid w:val="00F26024"/>
    <w:rsid w:val="00F26ABD"/>
    <w:rsid w:val="00F26EDE"/>
    <w:rsid w:val="00F27A62"/>
    <w:rsid w:val="00F27CF9"/>
    <w:rsid w:val="00F30360"/>
    <w:rsid w:val="00F3133C"/>
    <w:rsid w:val="00F31DF2"/>
    <w:rsid w:val="00F32586"/>
    <w:rsid w:val="00F33C06"/>
    <w:rsid w:val="00F33C1A"/>
    <w:rsid w:val="00F33F99"/>
    <w:rsid w:val="00F37667"/>
    <w:rsid w:val="00F37DD4"/>
    <w:rsid w:val="00F400C9"/>
    <w:rsid w:val="00F41681"/>
    <w:rsid w:val="00F4640F"/>
    <w:rsid w:val="00F467D3"/>
    <w:rsid w:val="00F476B4"/>
    <w:rsid w:val="00F523BB"/>
    <w:rsid w:val="00F52E1A"/>
    <w:rsid w:val="00F53E75"/>
    <w:rsid w:val="00F573B6"/>
    <w:rsid w:val="00F57634"/>
    <w:rsid w:val="00F60352"/>
    <w:rsid w:val="00F605D8"/>
    <w:rsid w:val="00F64C56"/>
    <w:rsid w:val="00F653B9"/>
    <w:rsid w:val="00F65594"/>
    <w:rsid w:val="00F660F9"/>
    <w:rsid w:val="00F66489"/>
    <w:rsid w:val="00F71A0C"/>
    <w:rsid w:val="00F71DCB"/>
    <w:rsid w:val="00F7236B"/>
    <w:rsid w:val="00F72984"/>
    <w:rsid w:val="00F7497C"/>
    <w:rsid w:val="00F74CB8"/>
    <w:rsid w:val="00F754A2"/>
    <w:rsid w:val="00F80F2E"/>
    <w:rsid w:val="00F82AE4"/>
    <w:rsid w:val="00F85354"/>
    <w:rsid w:val="00F86862"/>
    <w:rsid w:val="00F870BD"/>
    <w:rsid w:val="00F87398"/>
    <w:rsid w:val="00F878DB"/>
    <w:rsid w:val="00F94612"/>
    <w:rsid w:val="00F94CEC"/>
    <w:rsid w:val="00F97050"/>
    <w:rsid w:val="00FA30C6"/>
    <w:rsid w:val="00FA323B"/>
    <w:rsid w:val="00FA3A3B"/>
    <w:rsid w:val="00FA3ED3"/>
    <w:rsid w:val="00FB052F"/>
    <w:rsid w:val="00FB176D"/>
    <w:rsid w:val="00FB24E3"/>
    <w:rsid w:val="00FB2E24"/>
    <w:rsid w:val="00FB54B3"/>
    <w:rsid w:val="00FB5716"/>
    <w:rsid w:val="00FB61D7"/>
    <w:rsid w:val="00FB626F"/>
    <w:rsid w:val="00FB65B6"/>
    <w:rsid w:val="00FB7BD4"/>
    <w:rsid w:val="00FC0B70"/>
    <w:rsid w:val="00FC1C75"/>
    <w:rsid w:val="00FC1D07"/>
    <w:rsid w:val="00FC2903"/>
    <w:rsid w:val="00FC5386"/>
    <w:rsid w:val="00FC6DEF"/>
    <w:rsid w:val="00FC7B59"/>
    <w:rsid w:val="00FD09A3"/>
    <w:rsid w:val="00FD4366"/>
    <w:rsid w:val="00FE1ED7"/>
    <w:rsid w:val="00FE354C"/>
    <w:rsid w:val="00FE53CF"/>
    <w:rsid w:val="00FE6A7B"/>
    <w:rsid w:val="00FE7118"/>
    <w:rsid w:val="00FE75A0"/>
    <w:rsid w:val="00FF0FA7"/>
    <w:rsid w:val="00FF263B"/>
    <w:rsid w:val="00FF6F27"/>
    <w:rsid w:val="00FF6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5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39"/>
    <w:pPr>
      <w:spacing w:after="200" w:line="276" w:lineRule="auto"/>
    </w:pPr>
    <w:rPr>
      <w:sz w:val="22"/>
      <w:szCs w:val="22"/>
      <w:lang w:val="el-GR"/>
    </w:rPr>
  </w:style>
  <w:style w:type="paragraph" w:styleId="1">
    <w:name w:val="heading 1"/>
    <w:basedOn w:val="a"/>
    <w:link w:val="1Char"/>
    <w:uiPriority w:val="9"/>
    <w:qFormat/>
    <w:rsid w:val="00C7397F"/>
    <w:pPr>
      <w:spacing w:before="100" w:beforeAutospacing="1" w:after="100" w:afterAutospacing="1" w:line="240" w:lineRule="auto"/>
      <w:outlineLvl w:val="0"/>
    </w:pPr>
    <w:rPr>
      <w:rFonts w:ascii="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DB8"/>
    <w:pPr>
      <w:tabs>
        <w:tab w:val="center" w:pos="4153"/>
        <w:tab w:val="right" w:pos="8306"/>
      </w:tabs>
    </w:pPr>
    <w:rPr>
      <w:lang w:val="x-none"/>
    </w:rPr>
  </w:style>
  <w:style w:type="character" w:customStyle="1" w:styleId="Char">
    <w:name w:val="页眉 Char"/>
    <w:link w:val="a3"/>
    <w:uiPriority w:val="99"/>
    <w:rsid w:val="007B5DB8"/>
    <w:rPr>
      <w:sz w:val="22"/>
      <w:szCs w:val="22"/>
      <w:lang w:eastAsia="en-US"/>
    </w:rPr>
  </w:style>
  <w:style w:type="paragraph" w:styleId="a4">
    <w:name w:val="footer"/>
    <w:basedOn w:val="a"/>
    <w:link w:val="Char0"/>
    <w:uiPriority w:val="99"/>
    <w:unhideWhenUsed/>
    <w:rsid w:val="007B5DB8"/>
    <w:pPr>
      <w:tabs>
        <w:tab w:val="center" w:pos="4153"/>
        <w:tab w:val="right" w:pos="8306"/>
      </w:tabs>
    </w:pPr>
    <w:rPr>
      <w:lang w:val="x-none"/>
    </w:rPr>
  </w:style>
  <w:style w:type="character" w:customStyle="1" w:styleId="Char0">
    <w:name w:val="页脚 Char"/>
    <w:link w:val="a4"/>
    <w:uiPriority w:val="99"/>
    <w:rsid w:val="007B5DB8"/>
    <w:rPr>
      <w:sz w:val="22"/>
      <w:szCs w:val="22"/>
      <w:lang w:eastAsia="en-US"/>
    </w:rPr>
  </w:style>
  <w:style w:type="character" w:styleId="a5">
    <w:name w:val="Emphasis"/>
    <w:uiPriority w:val="20"/>
    <w:qFormat/>
    <w:rsid w:val="007B5DB8"/>
    <w:rPr>
      <w:i/>
      <w:iCs/>
    </w:rPr>
  </w:style>
  <w:style w:type="paragraph" w:styleId="HTML">
    <w:name w:val="HTML Preformatted"/>
    <w:basedOn w:val="a"/>
    <w:link w:val="HTMLChar"/>
    <w:uiPriority w:val="99"/>
    <w:semiHidden/>
    <w:unhideWhenUsed/>
    <w:rsid w:val="007B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har">
    <w:name w:val="HTML 预设格式 Char"/>
    <w:link w:val="HTML"/>
    <w:uiPriority w:val="99"/>
    <w:semiHidden/>
    <w:rsid w:val="007B5DB8"/>
    <w:rPr>
      <w:rFonts w:ascii="Courier New" w:eastAsia="Times New Roman" w:hAnsi="Courier New" w:cs="Courier New"/>
    </w:rPr>
  </w:style>
  <w:style w:type="paragraph" w:styleId="a6">
    <w:name w:val="Normal (Web)"/>
    <w:basedOn w:val="a"/>
    <w:uiPriority w:val="99"/>
    <w:semiHidden/>
    <w:unhideWhenUsed/>
    <w:rsid w:val="008F4A55"/>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Hyperlink"/>
    <w:uiPriority w:val="99"/>
    <w:unhideWhenUsed/>
    <w:rsid w:val="002972B2"/>
    <w:rPr>
      <w:color w:val="0000FF"/>
      <w:u w:val="single"/>
    </w:rPr>
  </w:style>
  <w:style w:type="paragraph" w:styleId="a8">
    <w:name w:val="No Spacing"/>
    <w:uiPriority w:val="1"/>
    <w:qFormat/>
    <w:rsid w:val="0064315A"/>
    <w:rPr>
      <w:sz w:val="22"/>
      <w:szCs w:val="22"/>
      <w:lang w:val="el-GR"/>
    </w:rPr>
  </w:style>
  <w:style w:type="table" w:styleId="a9">
    <w:name w:val="Table Grid"/>
    <w:basedOn w:val="a1"/>
    <w:uiPriority w:val="59"/>
    <w:rsid w:val="0064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87E3D"/>
    <w:pPr>
      <w:spacing w:after="160" w:line="259" w:lineRule="auto"/>
      <w:ind w:left="720"/>
      <w:contextualSpacing/>
    </w:pPr>
    <w:rPr>
      <w:rFonts w:cs="Arial"/>
      <w:lang w:val="en-GB"/>
    </w:rPr>
  </w:style>
  <w:style w:type="paragraph" w:styleId="ab">
    <w:name w:val="Balloon Text"/>
    <w:basedOn w:val="a"/>
    <w:link w:val="Char1"/>
    <w:uiPriority w:val="99"/>
    <w:semiHidden/>
    <w:unhideWhenUsed/>
    <w:rsid w:val="00D159F5"/>
    <w:pPr>
      <w:spacing w:after="0" w:line="240" w:lineRule="auto"/>
    </w:pPr>
    <w:rPr>
      <w:sz w:val="18"/>
      <w:szCs w:val="18"/>
    </w:rPr>
  </w:style>
  <w:style w:type="character" w:customStyle="1" w:styleId="Char1">
    <w:name w:val="批注框文本 Char"/>
    <w:basedOn w:val="a0"/>
    <w:link w:val="ab"/>
    <w:uiPriority w:val="99"/>
    <w:semiHidden/>
    <w:rsid w:val="00D159F5"/>
    <w:rPr>
      <w:sz w:val="18"/>
      <w:szCs w:val="18"/>
      <w:lang w:val="el-GR"/>
    </w:rPr>
  </w:style>
  <w:style w:type="character" w:styleId="ac">
    <w:name w:val="annotation reference"/>
    <w:basedOn w:val="a0"/>
    <w:uiPriority w:val="99"/>
    <w:semiHidden/>
    <w:unhideWhenUsed/>
    <w:rsid w:val="005E1661"/>
    <w:rPr>
      <w:sz w:val="21"/>
      <w:szCs w:val="21"/>
    </w:rPr>
  </w:style>
  <w:style w:type="paragraph" w:styleId="ad">
    <w:name w:val="annotation text"/>
    <w:basedOn w:val="a"/>
    <w:link w:val="Char2"/>
    <w:uiPriority w:val="99"/>
    <w:semiHidden/>
    <w:unhideWhenUsed/>
    <w:rsid w:val="005E1661"/>
  </w:style>
  <w:style w:type="character" w:customStyle="1" w:styleId="Char2">
    <w:name w:val="批注文字 Char"/>
    <w:basedOn w:val="a0"/>
    <w:link w:val="ad"/>
    <w:uiPriority w:val="99"/>
    <w:semiHidden/>
    <w:rsid w:val="005E1661"/>
    <w:rPr>
      <w:sz w:val="22"/>
      <w:szCs w:val="22"/>
      <w:lang w:val="el-GR"/>
    </w:rPr>
  </w:style>
  <w:style w:type="paragraph" w:styleId="ae">
    <w:name w:val="annotation subject"/>
    <w:basedOn w:val="ad"/>
    <w:next w:val="ad"/>
    <w:link w:val="Char3"/>
    <w:uiPriority w:val="99"/>
    <w:semiHidden/>
    <w:unhideWhenUsed/>
    <w:rsid w:val="005E1661"/>
    <w:rPr>
      <w:b/>
      <w:bCs/>
    </w:rPr>
  </w:style>
  <w:style w:type="character" w:customStyle="1" w:styleId="Char3">
    <w:name w:val="批注主题 Char"/>
    <w:basedOn w:val="Char2"/>
    <w:link w:val="ae"/>
    <w:uiPriority w:val="99"/>
    <w:semiHidden/>
    <w:rsid w:val="005E1661"/>
    <w:rPr>
      <w:b/>
      <w:bCs/>
      <w:sz w:val="22"/>
      <w:szCs w:val="22"/>
      <w:lang w:val="el-GR"/>
    </w:rPr>
  </w:style>
  <w:style w:type="character" w:customStyle="1" w:styleId="1Char">
    <w:name w:val="标题 1 Char"/>
    <w:basedOn w:val="a0"/>
    <w:link w:val="1"/>
    <w:uiPriority w:val="9"/>
    <w:rsid w:val="00C7397F"/>
    <w:rPr>
      <w:rFonts w:ascii="宋体" w:hAnsi="宋体" w:cs="宋体"/>
      <w:b/>
      <w:bCs/>
      <w:kern w:val="36"/>
      <w:sz w:val="48"/>
      <w:szCs w:val="4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39"/>
    <w:pPr>
      <w:spacing w:after="200" w:line="276" w:lineRule="auto"/>
    </w:pPr>
    <w:rPr>
      <w:sz w:val="22"/>
      <w:szCs w:val="22"/>
      <w:lang w:val="el-GR"/>
    </w:rPr>
  </w:style>
  <w:style w:type="paragraph" w:styleId="1">
    <w:name w:val="heading 1"/>
    <w:basedOn w:val="a"/>
    <w:link w:val="1Char"/>
    <w:uiPriority w:val="9"/>
    <w:qFormat/>
    <w:rsid w:val="00C7397F"/>
    <w:pPr>
      <w:spacing w:before="100" w:beforeAutospacing="1" w:after="100" w:afterAutospacing="1" w:line="240" w:lineRule="auto"/>
      <w:outlineLvl w:val="0"/>
    </w:pPr>
    <w:rPr>
      <w:rFonts w:ascii="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DB8"/>
    <w:pPr>
      <w:tabs>
        <w:tab w:val="center" w:pos="4153"/>
        <w:tab w:val="right" w:pos="8306"/>
      </w:tabs>
    </w:pPr>
    <w:rPr>
      <w:lang w:val="x-none"/>
    </w:rPr>
  </w:style>
  <w:style w:type="character" w:customStyle="1" w:styleId="Char">
    <w:name w:val="页眉 Char"/>
    <w:link w:val="a3"/>
    <w:uiPriority w:val="99"/>
    <w:rsid w:val="007B5DB8"/>
    <w:rPr>
      <w:sz w:val="22"/>
      <w:szCs w:val="22"/>
      <w:lang w:eastAsia="en-US"/>
    </w:rPr>
  </w:style>
  <w:style w:type="paragraph" w:styleId="a4">
    <w:name w:val="footer"/>
    <w:basedOn w:val="a"/>
    <w:link w:val="Char0"/>
    <w:uiPriority w:val="99"/>
    <w:unhideWhenUsed/>
    <w:rsid w:val="007B5DB8"/>
    <w:pPr>
      <w:tabs>
        <w:tab w:val="center" w:pos="4153"/>
        <w:tab w:val="right" w:pos="8306"/>
      </w:tabs>
    </w:pPr>
    <w:rPr>
      <w:lang w:val="x-none"/>
    </w:rPr>
  </w:style>
  <w:style w:type="character" w:customStyle="1" w:styleId="Char0">
    <w:name w:val="页脚 Char"/>
    <w:link w:val="a4"/>
    <w:uiPriority w:val="99"/>
    <w:rsid w:val="007B5DB8"/>
    <w:rPr>
      <w:sz w:val="22"/>
      <w:szCs w:val="22"/>
      <w:lang w:eastAsia="en-US"/>
    </w:rPr>
  </w:style>
  <w:style w:type="character" w:styleId="a5">
    <w:name w:val="Emphasis"/>
    <w:uiPriority w:val="20"/>
    <w:qFormat/>
    <w:rsid w:val="007B5DB8"/>
    <w:rPr>
      <w:i/>
      <w:iCs/>
    </w:rPr>
  </w:style>
  <w:style w:type="paragraph" w:styleId="HTML">
    <w:name w:val="HTML Preformatted"/>
    <w:basedOn w:val="a"/>
    <w:link w:val="HTMLChar"/>
    <w:uiPriority w:val="99"/>
    <w:semiHidden/>
    <w:unhideWhenUsed/>
    <w:rsid w:val="007B5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har">
    <w:name w:val="HTML 预设格式 Char"/>
    <w:link w:val="HTML"/>
    <w:uiPriority w:val="99"/>
    <w:semiHidden/>
    <w:rsid w:val="007B5DB8"/>
    <w:rPr>
      <w:rFonts w:ascii="Courier New" w:eastAsia="Times New Roman" w:hAnsi="Courier New" w:cs="Courier New"/>
    </w:rPr>
  </w:style>
  <w:style w:type="paragraph" w:styleId="a6">
    <w:name w:val="Normal (Web)"/>
    <w:basedOn w:val="a"/>
    <w:uiPriority w:val="99"/>
    <w:semiHidden/>
    <w:unhideWhenUsed/>
    <w:rsid w:val="008F4A55"/>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Hyperlink"/>
    <w:uiPriority w:val="99"/>
    <w:unhideWhenUsed/>
    <w:rsid w:val="002972B2"/>
    <w:rPr>
      <w:color w:val="0000FF"/>
      <w:u w:val="single"/>
    </w:rPr>
  </w:style>
  <w:style w:type="paragraph" w:styleId="a8">
    <w:name w:val="No Spacing"/>
    <w:uiPriority w:val="1"/>
    <w:qFormat/>
    <w:rsid w:val="0064315A"/>
    <w:rPr>
      <w:sz w:val="22"/>
      <w:szCs w:val="22"/>
      <w:lang w:val="el-GR"/>
    </w:rPr>
  </w:style>
  <w:style w:type="table" w:styleId="a9">
    <w:name w:val="Table Grid"/>
    <w:basedOn w:val="a1"/>
    <w:uiPriority w:val="59"/>
    <w:rsid w:val="0064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87E3D"/>
    <w:pPr>
      <w:spacing w:after="160" w:line="259" w:lineRule="auto"/>
      <w:ind w:left="720"/>
      <w:contextualSpacing/>
    </w:pPr>
    <w:rPr>
      <w:rFonts w:cs="Arial"/>
      <w:lang w:val="en-GB"/>
    </w:rPr>
  </w:style>
  <w:style w:type="paragraph" w:styleId="ab">
    <w:name w:val="Balloon Text"/>
    <w:basedOn w:val="a"/>
    <w:link w:val="Char1"/>
    <w:uiPriority w:val="99"/>
    <w:semiHidden/>
    <w:unhideWhenUsed/>
    <w:rsid w:val="00D159F5"/>
    <w:pPr>
      <w:spacing w:after="0" w:line="240" w:lineRule="auto"/>
    </w:pPr>
    <w:rPr>
      <w:sz w:val="18"/>
      <w:szCs w:val="18"/>
    </w:rPr>
  </w:style>
  <w:style w:type="character" w:customStyle="1" w:styleId="Char1">
    <w:name w:val="批注框文本 Char"/>
    <w:basedOn w:val="a0"/>
    <w:link w:val="ab"/>
    <w:uiPriority w:val="99"/>
    <w:semiHidden/>
    <w:rsid w:val="00D159F5"/>
    <w:rPr>
      <w:sz w:val="18"/>
      <w:szCs w:val="18"/>
      <w:lang w:val="el-GR"/>
    </w:rPr>
  </w:style>
  <w:style w:type="character" w:styleId="ac">
    <w:name w:val="annotation reference"/>
    <w:basedOn w:val="a0"/>
    <w:uiPriority w:val="99"/>
    <w:semiHidden/>
    <w:unhideWhenUsed/>
    <w:rsid w:val="005E1661"/>
    <w:rPr>
      <w:sz w:val="21"/>
      <w:szCs w:val="21"/>
    </w:rPr>
  </w:style>
  <w:style w:type="paragraph" w:styleId="ad">
    <w:name w:val="annotation text"/>
    <w:basedOn w:val="a"/>
    <w:link w:val="Char2"/>
    <w:uiPriority w:val="99"/>
    <w:semiHidden/>
    <w:unhideWhenUsed/>
    <w:rsid w:val="005E1661"/>
  </w:style>
  <w:style w:type="character" w:customStyle="1" w:styleId="Char2">
    <w:name w:val="批注文字 Char"/>
    <w:basedOn w:val="a0"/>
    <w:link w:val="ad"/>
    <w:uiPriority w:val="99"/>
    <w:semiHidden/>
    <w:rsid w:val="005E1661"/>
    <w:rPr>
      <w:sz w:val="22"/>
      <w:szCs w:val="22"/>
      <w:lang w:val="el-GR"/>
    </w:rPr>
  </w:style>
  <w:style w:type="paragraph" w:styleId="ae">
    <w:name w:val="annotation subject"/>
    <w:basedOn w:val="ad"/>
    <w:next w:val="ad"/>
    <w:link w:val="Char3"/>
    <w:uiPriority w:val="99"/>
    <w:semiHidden/>
    <w:unhideWhenUsed/>
    <w:rsid w:val="005E1661"/>
    <w:rPr>
      <w:b/>
      <w:bCs/>
    </w:rPr>
  </w:style>
  <w:style w:type="character" w:customStyle="1" w:styleId="Char3">
    <w:name w:val="批注主题 Char"/>
    <w:basedOn w:val="Char2"/>
    <w:link w:val="ae"/>
    <w:uiPriority w:val="99"/>
    <w:semiHidden/>
    <w:rsid w:val="005E1661"/>
    <w:rPr>
      <w:b/>
      <w:bCs/>
      <w:sz w:val="22"/>
      <w:szCs w:val="22"/>
      <w:lang w:val="el-GR"/>
    </w:rPr>
  </w:style>
  <w:style w:type="character" w:customStyle="1" w:styleId="1Char">
    <w:name w:val="标题 1 Char"/>
    <w:basedOn w:val="a0"/>
    <w:link w:val="1"/>
    <w:uiPriority w:val="9"/>
    <w:rsid w:val="00C7397F"/>
    <w:rPr>
      <w:rFonts w:ascii="宋体" w:hAnsi="宋体" w:cs="宋体"/>
      <w:b/>
      <w:bCs/>
      <w:kern w:val="36"/>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2275">
      <w:bodyDiv w:val="1"/>
      <w:marLeft w:val="0"/>
      <w:marRight w:val="0"/>
      <w:marTop w:val="0"/>
      <w:marBottom w:val="0"/>
      <w:divBdr>
        <w:top w:val="none" w:sz="0" w:space="0" w:color="auto"/>
        <w:left w:val="none" w:sz="0" w:space="0" w:color="auto"/>
        <w:bottom w:val="none" w:sz="0" w:space="0" w:color="auto"/>
        <w:right w:val="none" w:sz="0" w:space="0" w:color="auto"/>
      </w:divBdr>
    </w:div>
    <w:div w:id="100691897">
      <w:bodyDiv w:val="1"/>
      <w:marLeft w:val="0"/>
      <w:marRight w:val="0"/>
      <w:marTop w:val="0"/>
      <w:marBottom w:val="0"/>
      <w:divBdr>
        <w:top w:val="none" w:sz="0" w:space="0" w:color="auto"/>
        <w:left w:val="none" w:sz="0" w:space="0" w:color="auto"/>
        <w:bottom w:val="none" w:sz="0" w:space="0" w:color="auto"/>
        <w:right w:val="none" w:sz="0" w:space="0" w:color="auto"/>
      </w:divBdr>
    </w:div>
    <w:div w:id="117920167">
      <w:bodyDiv w:val="1"/>
      <w:marLeft w:val="0"/>
      <w:marRight w:val="0"/>
      <w:marTop w:val="0"/>
      <w:marBottom w:val="0"/>
      <w:divBdr>
        <w:top w:val="none" w:sz="0" w:space="0" w:color="auto"/>
        <w:left w:val="none" w:sz="0" w:space="0" w:color="auto"/>
        <w:bottom w:val="none" w:sz="0" w:space="0" w:color="auto"/>
        <w:right w:val="none" w:sz="0" w:space="0" w:color="auto"/>
      </w:divBdr>
    </w:div>
    <w:div w:id="140849800">
      <w:bodyDiv w:val="1"/>
      <w:marLeft w:val="0"/>
      <w:marRight w:val="0"/>
      <w:marTop w:val="0"/>
      <w:marBottom w:val="0"/>
      <w:divBdr>
        <w:top w:val="none" w:sz="0" w:space="0" w:color="auto"/>
        <w:left w:val="none" w:sz="0" w:space="0" w:color="auto"/>
        <w:bottom w:val="none" w:sz="0" w:space="0" w:color="auto"/>
        <w:right w:val="none" w:sz="0" w:space="0" w:color="auto"/>
      </w:divBdr>
    </w:div>
    <w:div w:id="167909829">
      <w:bodyDiv w:val="1"/>
      <w:marLeft w:val="0"/>
      <w:marRight w:val="0"/>
      <w:marTop w:val="0"/>
      <w:marBottom w:val="0"/>
      <w:divBdr>
        <w:top w:val="none" w:sz="0" w:space="0" w:color="auto"/>
        <w:left w:val="none" w:sz="0" w:space="0" w:color="auto"/>
        <w:bottom w:val="none" w:sz="0" w:space="0" w:color="auto"/>
        <w:right w:val="none" w:sz="0" w:space="0" w:color="auto"/>
      </w:divBdr>
    </w:div>
    <w:div w:id="287859176">
      <w:bodyDiv w:val="1"/>
      <w:marLeft w:val="0"/>
      <w:marRight w:val="0"/>
      <w:marTop w:val="0"/>
      <w:marBottom w:val="0"/>
      <w:divBdr>
        <w:top w:val="none" w:sz="0" w:space="0" w:color="auto"/>
        <w:left w:val="none" w:sz="0" w:space="0" w:color="auto"/>
        <w:bottom w:val="none" w:sz="0" w:space="0" w:color="auto"/>
        <w:right w:val="none" w:sz="0" w:space="0" w:color="auto"/>
      </w:divBdr>
    </w:div>
    <w:div w:id="303242190">
      <w:bodyDiv w:val="1"/>
      <w:marLeft w:val="0"/>
      <w:marRight w:val="0"/>
      <w:marTop w:val="0"/>
      <w:marBottom w:val="0"/>
      <w:divBdr>
        <w:top w:val="none" w:sz="0" w:space="0" w:color="auto"/>
        <w:left w:val="none" w:sz="0" w:space="0" w:color="auto"/>
        <w:bottom w:val="none" w:sz="0" w:space="0" w:color="auto"/>
        <w:right w:val="none" w:sz="0" w:space="0" w:color="auto"/>
      </w:divBdr>
    </w:div>
    <w:div w:id="328751114">
      <w:bodyDiv w:val="1"/>
      <w:marLeft w:val="0"/>
      <w:marRight w:val="0"/>
      <w:marTop w:val="0"/>
      <w:marBottom w:val="0"/>
      <w:divBdr>
        <w:top w:val="none" w:sz="0" w:space="0" w:color="auto"/>
        <w:left w:val="none" w:sz="0" w:space="0" w:color="auto"/>
        <w:bottom w:val="none" w:sz="0" w:space="0" w:color="auto"/>
        <w:right w:val="none" w:sz="0" w:space="0" w:color="auto"/>
      </w:divBdr>
    </w:div>
    <w:div w:id="371420526">
      <w:bodyDiv w:val="1"/>
      <w:marLeft w:val="0"/>
      <w:marRight w:val="0"/>
      <w:marTop w:val="0"/>
      <w:marBottom w:val="0"/>
      <w:divBdr>
        <w:top w:val="none" w:sz="0" w:space="0" w:color="auto"/>
        <w:left w:val="none" w:sz="0" w:space="0" w:color="auto"/>
        <w:bottom w:val="none" w:sz="0" w:space="0" w:color="auto"/>
        <w:right w:val="none" w:sz="0" w:space="0" w:color="auto"/>
      </w:divBdr>
    </w:div>
    <w:div w:id="375546607">
      <w:bodyDiv w:val="1"/>
      <w:marLeft w:val="0"/>
      <w:marRight w:val="0"/>
      <w:marTop w:val="0"/>
      <w:marBottom w:val="0"/>
      <w:divBdr>
        <w:top w:val="none" w:sz="0" w:space="0" w:color="auto"/>
        <w:left w:val="none" w:sz="0" w:space="0" w:color="auto"/>
        <w:bottom w:val="none" w:sz="0" w:space="0" w:color="auto"/>
        <w:right w:val="none" w:sz="0" w:space="0" w:color="auto"/>
      </w:divBdr>
    </w:div>
    <w:div w:id="479228368">
      <w:bodyDiv w:val="1"/>
      <w:marLeft w:val="0"/>
      <w:marRight w:val="0"/>
      <w:marTop w:val="0"/>
      <w:marBottom w:val="0"/>
      <w:divBdr>
        <w:top w:val="none" w:sz="0" w:space="0" w:color="auto"/>
        <w:left w:val="none" w:sz="0" w:space="0" w:color="auto"/>
        <w:bottom w:val="none" w:sz="0" w:space="0" w:color="auto"/>
        <w:right w:val="none" w:sz="0" w:space="0" w:color="auto"/>
      </w:divBdr>
    </w:div>
    <w:div w:id="490096614">
      <w:bodyDiv w:val="1"/>
      <w:marLeft w:val="0"/>
      <w:marRight w:val="0"/>
      <w:marTop w:val="0"/>
      <w:marBottom w:val="0"/>
      <w:divBdr>
        <w:top w:val="none" w:sz="0" w:space="0" w:color="auto"/>
        <w:left w:val="none" w:sz="0" w:space="0" w:color="auto"/>
        <w:bottom w:val="none" w:sz="0" w:space="0" w:color="auto"/>
        <w:right w:val="none" w:sz="0" w:space="0" w:color="auto"/>
      </w:divBdr>
    </w:div>
    <w:div w:id="493957135">
      <w:bodyDiv w:val="1"/>
      <w:marLeft w:val="0"/>
      <w:marRight w:val="0"/>
      <w:marTop w:val="0"/>
      <w:marBottom w:val="0"/>
      <w:divBdr>
        <w:top w:val="none" w:sz="0" w:space="0" w:color="auto"/>
        <w:left w:val="none" w:sz="0" w:space="0" w:color="auto"/>
        <w:bottom w:val="none" w:sz="0" w:space="0" w:color="auto"/>
        <w:right w:val="none" w:sz="0" w:space="0" w:color="auto"/>
      </w:divBdr>
    </w:div>
    <w:div w:id="509181919">
      <w:bodyDiv w:val="1"/>
      <w:marLeft w:val="0"/>
      <w:marRight w:val="0"/>
      <w:marTop w:val="0"/>
      <w:marBottom w:val="0"/>
      <w:divBdr>
        <w:top w:val="none" w:sz="0" w:space="0" w:color="auto"/>
        <w:left w:val="none" w:sz="0" w:space="0" w:color="auto"/>
        <w:bottom w:val="none" w:sz="0" w:space="0" w:color="auto"/>
        <w:right w:val="none" w:sz="0" w:space="0" w:color="auto"/>
      </w:divBdr>
    </w:div>
    <w:div w:id="621960498">
      <w:bodyDiv w:val="1"/>
      <w:marLeft w:val="0"/>
      <w:marRight w:val="0"/>
      <w:marTop w:val="0"/>
      <w:marBottom w:val="0"/>
      <w:divBdr>
        <w:top w:val="none" w:sz="0" w:space="0" w:color="auto"/>
        <w:left w:val="none" w:sz="0" w:space="0" w:color="auto"/>
        <w:bottom w:val="none" w:sz="0" w:space="0" w:color="auto"/>
        <w:right w:val="none" w:sz="0" w:space="0" w:color="auto"/>
      </w:divBdr>
    </w:div>
    <w:div w:id="653988512">
      <w:bodyDiv w:val="1"/>
      <w:marLeft w:val="0"/>
      <w:marRight w:val="0"/>
      <w:marTop w:val="0"/>
      <w:marBottom w:val="0"/>
      <w:divBdr>
        <w:top w:val="none" w:sz="0" w:space="0" w:color="auto"/>
        <w:left w:val="none" w:sz="0" w:space="0" w:color="auto"/>
        <w:bottom w:val="none" w:sz="0" w:space="0" w:color="auto"/>
        <w:right w:val="none" w:sz="0" w:space="0" w:color="auto"/>
      </w:divBdr>
    </w:div>
    <w:div w:id="660500047">
      <w:bodyDiv w:val="1"/>
      <w:marLeft w:val="0"/>
      <w:marRight w:val="0"/>
      <w:marTop w:val="0"/>
      <w:marBottom w:val="0"/>
      <w:divBdr>
        <w:top w:val="none" w:sz="0" w:space="0" w:color="auto"/>
        <w:left w:val="none" w:sz="0" w:space="0" w:color="auto"/>
        <w:bottom w:val="none" w:sz="0" w:space="0" w:color="auto"/>
        <w:right w:val="none" w:sz="0" w:space="0" w:color="auto"/>
      </w:divBdr>
    </w:div>
    <w:div w:id="689066690">
      <w:bodyDiv w:val="1"/>
      <w:marLeft w:val="0"/>
      <w:marRight w:val="0"/>
      <w:marTop w:val="0"/>
      <w:marBottom w:val="0"/>
      <w:divBdr>
        <w:top w:val="none" w:sz="0" w:space="0" w:color="auto"/>
        <w:left w:val="none" w:sz="0" w:space="0" w:color="auto"/>
        <w:bottom w:val="none" w:sz="0" w:space="0" w:color="auto"/>
        <w:right w:val="none" w:sz="0" w:space="0" w:color="auto"/>
      </w:divBdr>
    </w:div>
    <w:div w:id="734662266">
      <w:bodyDiv w:val="1"/>
      <w:marLeft w:val="0"/>
      <w:marRight w:val="0"/>
      <w:marTop w:val="0"/>
      <w:marBottom w:val="0"/>
      <w:divBdr>
        <w:top w:val="none" w:sz="0" w:space="0" w:color="auto"/>
        <w:left w:val="none" w:sz="0" w:space="0" w:color="auto"/>
        <w:bottom w:val="none" w:sz="0" w:space="0" w:color="auto"/>
        <w:right w:val="none" w:sz="0" w:space="0" w:color="auto"/>
      </w:divBdr>
      <w:divsChild>
        <w:div w:id="409237710">
          <w:marLeft w:val="0"/>
          <w:marRight w:val="0"/>
          <w:marTop w:val="0"/>
          <w:marBottom w:val="0"/>
          <w:divBdr>
            <w:top w:val="none" w:sz="0" w:space="0" w:color="auto"/>
            <w:left w:val="none" w:sz="0" w:space="0" w:color="auto"/>
            <w:bottom w:val="none" w:sz="0" w:space="0" w:color="auto"/>
            <w:right w:val="none" w:sz="0" w:space="0" w:color="auto"/>
          </w:divBdr>
          <w:divsChild>
            <w:div w:id="618997144">
              <w:marLeft w:val="0"/>
              <w:marRight w:val="0"/>
              <w:marTop w:val="0"/>
              <w:marBottom w:val="0"/>
              <w:divBdr>
                <w:top w:val="none" w:sz="0" w:space="0" w:color="auto"/>
                <w:left w:val="none" w:sz="0" w:space="0" w:color="auto"/>
                <w:bottom w:val="none" w:sz="0" w:space="0" w:color="auto"/>
                <w:right w:val="none" w:sz="0" w:space="0" w:color="auto"/>
              </w:divBdr>
              <w:divsChild>
                <w:div w:id="14735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6527">
      <w:bodyDiv w:val="1"/>
      <w:marLeft w:val="0"/>
      <w:marRight w:val="0"/>
      <w:marTop w:val="0"/>
      <w:marBottom w:val="0"/>
      <w:divBdr>
        <w:top w:val="none" w:sz="0" w:space="0" w:color="auto"/>
        <w:left w:val="none" w:sz="0" w:space="0" w:color="auto"/>
        <w:bottom w:val="none" w:sz="0" w:space="0" w:color="auto"/>
        <w:right w:val="none" w:sz="0" w:space="0" w:color="auto"/>
      </w:divBdr>
    </w:div>
    <w:div w:id="905532529">
      <w:bodyDiv w:val="1"/>
      <w:marLeft w:val="0"/>
      <w:marRight w:val="0"/>
      <w:marTop w:val="0"/>
      <w:marBottom w:val="0"/>
      <w:divBdr>
        <w:top w:val="none" w:sz="0" w:space="0" w:color="auto"/>
        <w:left w:val="none" w:sz="0" w:space="0" w:color="auto"/>
        <w:bottom w:val="none" w:sz="0" w:space="0" w:color="auto"/>
        <w:right w:val="none" w:sz="0" w:space="0" w:color="auto"/>
      </w:divBdr>
    </w:div>
    <w:div w:id="928077715">
      <w:bodyDiv w:val="1"/>
      <w:marLeft w:val="0"/>
      <w:marRight w:val="0"/>
      <w:marTop w:val="0"/>
      <w:marBottom w:val="0"/>
      <w:divBdr>
        <w:top w:val="none" w:sz="0" w:space="0" w:color="auto"/>
        <w:left w:val="none" w:sz="0" w:space="0" w:color="auto"/>
        <w:bottom w:val="none" w:sz="0" w:space="0" w:color="auto"/>
        <w:right w:val="none" w:sz="0" w:space="0" w:color="auto"/>
      </w:divBdr>
    </w:div>
    <w:div w:id="993025606">
      <w:bodyDiv w:val="1"/>
      <w:marLeft w:val="0"/>
      <w:marRight w:val="0"/>
      <w:marTop w:val="0"/>
      <w:marBottom w:val="0"/>
      <w:divBdr>
        <w:top w:val="none" w:sz="0" w:space="0" w:color="auto"/>
        <w:left w:val="none" w:sz="0" w:space="0" w:color="auto"/>
        <w:bottom w:val="none" w:sz="0" w:space="0" w:color="auto"/>
        <w:right w:val="none" w:sz="0" w:space="0" w:color="auto"/>
      </w:divBdr>
      <w:divsChild>
        <w:div w:id="1380665250">
          <w:marLeft w:val="0"/>
          <w:marRight w:val="0"/>
          <w:marTop w:val="0"/>
          <w:marBottom w:val="45"/>
          <w:divBdr>
            <w:top w:val="none" w:sz="0" w:space="0" w:color="auto"/>
            <w:left w:val="none" w:sz="0" w:space="0" w:color="auto"/>
            <w:bottom w:val="none" w:sz="0" w:space="0" w:color="auto"/>
            <w:right w:val="none" w:sz="0" w:space="0" w:color="auto"/>
          </w:divBdr>
          <w:divsChild>
            <w:div w:id="5870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7853">
      <w:bodyDiv w:val="1"/>
      <w:marLeft w:val="0"/>
      <w:marRight w:val="0"/>
      <w:marTop w:val="0"/>
      <w:marBottom w:val="0"/>
      <w:divBdr>
        <w:top w:val="none" w:sz="0" w:space="0" w:color="auto"/>
        <w:left w:val="none" w:sz="0" w:space="0" w:color="auto"/>
        <w:bottom w:val="none" w:sz="0" w:space="0" w:color="auto"/>
        <w:right w:val="none" w:sz="0" w:space="0" w:color="auto"/>
      </w:divBdr>
    </w:div>
    <w:div w:id="1122310281">
      <w:bodyDiv w:val="1"/>
      <w:marLeft w:val="0"/>
      <w:marRight w:val="0"/>
      <w:marTop w:val="0"/>
      <w:marBottom w:val="0"/>
      <w:divBdr>
        <w:top w:val="none" w:sz="0" w:space="0" w:color="auto"/>
        <w:left w:val="none" w:sz="0" w:space="0" w:color="auto"/>
        <w:bottom w:val="none" w:sz="0" w:space="0" w:color="auto"/>
        <w:right w:val="none" w:sz="0" w:space="0" w:color="auto"/>
      </w:divBdr>
    </w:div>
    <w:div w:id="1125855286">
      <w:bodyDiv w:val="1"/>
      <w:marLeft w:val="0"/>
      <w:marRight w:val="0"/>
      <w:marTop w:val="0"/>
      <w:marBottom w:val="0"/>
      <w:divBdr>
        <w:top w:val="none" w:sz="0" w:space="0" w:color="auto"/>
        <w:left w:val="none" w:sz="0" w:space="0" w:color="auto"/>
        <w:bottom w:val="none" w:sz="0" w:space="0" w:color="auto"/>
        <w:right w:val="none" w:sz="0" w:space="0" w:color="auto"/>
      </w:divBdr>
    </w:div>
    <w:div w:id="1135029104">
      <w:bodyDiv w:val="1"/>
      <w:marLeft w:val="0"/>
      <w:marRight w:val="0"/>
      <w:marTop w:val="0"/>
      <w:marBottom w:val="0"/>
      <w:divBdr>
        <w:top w:val="none" w:sz="0" w:space="0" w:color="auto"/>
        <w:left w:val="none" w:sz="0" w:space="0" w:color="auto"/>
        <w:bottom w:val="none" w:sz="0" w:space="0" w:color="auto"/>
        <w:right w:val="none" w:sz="0" w:space="0" w:color="auto"/>
      </w:divBdr>
    </w:div>
    <w:div w:id="1145004763">
      <w:bodyDiv w:val="1"/>
      <w:marLeft w:val="0"/>
      <w:marRight w:val="0"/>
      <w:marTop w:val="0"/>
      <w:marBottom w:val="0"/>
      <w:divBdr>
        <w:top w:val="none" w:sz="0" w:space="0" w:color="auto"/>
        <w:left w:val="none" w:sz="0" w:space="0" w:color="auto"/>
        <w:bottom w:val="none" w:sz="0" w:space="0" w:color="auto"/>
        <w:right w:val="none" w:sz="0" w:space="0" w:color="auto"/>
      </w:divBdr>
    </w:div>
    <w:div w:id="1209612218">
      <w:bodyDiv w:val="1"/>
      <w:marLeft w:val="0"/>
      <w:marRight w:val="0"/>
      <w:marTop w:val="0"/>
      <w:marBottom w:val="0"/>
      <w:divBdr>
        <w:top w:val="none" w:sz="0" w:space="0" w:color="auto"/>
        <w:left w:val="none" w:sz="0" w:space="0" w:color="auto"/>
        <w:bottom w:val="none" w:sz="0" w:space="0" w:color="auto"/>
        <w:right w:val="none" w:sz="0" w:space="0" w:color="auto"/>
      </w:divBdr>
    </w:div>
    <w:div w:id="1252590540">
      <w:bodyDiv w:val="1"/>
      <w:marLeft w:val="0"/>
      <w:marRight w:val="0"/>
      <w:marTop w:val="0"/>
      <w:marBottom w:val="0"/>
      <w:divBdr>
        <w:top w:val="none" w:sz="0" w:space="0" w:color="auto"/>
        <w:left w:val="none" w:sz="0" w:space="0" w:color="auto"/>
        <w:bottom w:val="none" w:sz="0" w:space="0" w:color="auto"/>
        <w:right w:val="none" w:sz="0" w:space="0" w:color="auto"/>
      </w:divBdr>
    </w:div>
    <w:div w:id="1298798339">
      <w:bodyDiv w:val="1"/>
      <w:marLeft w:val="0"/>
      <w:marRight w:val="0"/>
      <w:marTop w:val="0"/>
      <w:marBottom w:val="0"/>
      <w:divBdr>
        <w:top w:val="none" w:sz="0" w:space="0" w:color="auto"/>
        <w:left w:val="none" w:sz="0" w:space="0" w:color="auto"/>
        <w:bottom w:val="none" w:sz="0" w:space="0" w:color="auto"/>
        <w:right w:val="none" w:sz="0" w:space="0" w:color="auto"/>
      </w:divBdr>
    </w:div>
    <w:div w:id="1310600167">
      <w:bodyDiv w:val="1"/>
      <w:marLeft w:val="0"/>
      <w:marRight w:val="0"/>
      <w:marTop w:val="0"/>
      <w:marBottom w:val="0"/>
      <w:divBdr>
        <w:top w:val="none" w:sz="0" w:space="0" w:color="auto"/>
        <w:left w:val="none" w:sz="0" w:space="0" w:color="auto"/>
        <w:bottom w:val="none" w:sz="0" w:space="0" w:color="auto"/>
        <w:right w:val="none" w:sz="0" w:space="0" w:color="auto"/>
      </w:divBdr>
    </w:div>
    <w:div w:id="1388071700">
      <w:bodyDiv w:val="1"/>
      <w:marLeft w:val="0"/>
      <w:marRight w:val="0"/>
      <w:marTop w:val="0"/>
      <w:marBottom w:val="0"/>
      <w:divBdr>
        <w:top w:val="none" w:sz="0" w:space="0" w:color="auto"/>
        <w:left w:val="none" w:sz="0" w:space="0" w:color="auto"/>
        <w:bottom w:val="none" w:sz="0" w:space="0" w:color="auto"/>
        <w:right w:val="none" w:sz="0" w:space="0" w:color="auto"/>
      </w:divBdr>
    </w:div>
    <w:div w:id="1410494881">
      <w:bodyDiv w:val="1"/>
      <w:marLeft w:val="0"/>
      <w:marRight w:val="0"/>
      <w:marTop w:val="0"/>
      <w:marBottom w:val="0"/>
      <w:divBdr>
        <w:top w:val="none" w:sz="0" w:space="0" w:color="auto"/>
        <w:left w:val="none" w:sz="0" w:space="0" w:color="auto"/>
        <w:bottom w:val="none" w:sz="0" w:space="0" w:color="auto"/>
        <w:right w:val="none" w:sz="0" w:space="0" w:color="auto"/>
      </w:divBdr>
    </w:div>
    <w:div w:id="1421827251">
      <w:bodyDiv w:val="1"/>
      <w:marLeft w:val="0"/>
      <w:marRight w:val="0"/>
      <w:marTop w:val="0"/>
      <w:marBottom w:val="0"/>
      <w:divBdr>
        <w:top w:val="none" w:sz="0" w:space="0" w:color="auto"/>
        <w:left w:val="none" w:sz="0" w:space="0" w:color="auto"/>
        <w:bottom w:val="none" w:sz="0" w:space="0" w:color="auto"/>
        <w:right w:val="none" w:sz="0" w:space="0" w:color="auto"/>
      </w:divBdr>
    </w:div>
    <w:div w:id="1457217147">
      <w:bodyDiv w:val="1"/>
      <w:marLeft w:val="0"/>
      <w:marRight w:val="0"/>
      <w:marTop w:val="0"/>
      <w:marBottom w:val="0"/>
      <w:divBdr>
        <w:top w:val="none" w:sz="0" w:space="0" w:color="auto"/>
        <w:left w:val="none" w:sz="0" w:space="0" w:color="auto"/>
        <w:bottom w:val="none" w:sz="0" w:space="0" w:color="auto"/>
        <w:right w:val="none" w:sz="0" w:space="0" w:color="auto"/>
      </w:divBdr>
    </w:div>
    <w:div w:id="1491218842">
      <w:bodyDiv w:val="1"/>
      <w:marLeft w:val="0"/>
      <w:marRight w:val="0"/>
      <w:marTop w:val="0"/>
      <w:marBottom w:val="0"/>
      <w:divBdr>
        <w:top w:val="none" w:sz="0" w:space="0" w:color="auto"/>
        <w:left w:val="none" w:sz="0" w:space="0" w:color="auto"/>
        <w:bottom w:val="none" w:sz="0" w:space="0" w:color="auto"/>
        <w:right w:val="none" w:sz="0" w:space="0" w:color="auto"/>
      </w:divBdr>
    </w:div>
    <w:div w:id="1641379750">
      <w:bodyDiv w:val="1"/>
      <w:marLeft w:val="0"/>
      <w:marRight w:val="0"/>
      <w:marTop w:val="0"/>
      <w:marBottom w:val="0"/>
      <w:divBdr>
        <w:top w:val="none" w:sz="0" w:space="0" w:color="auto"/>
        <w:left w:val="none" w:sz="0" w:space="0" w:color="auto"/>
        <w:bottom w:val="none" w:sz="0" w:space="0" w:color="auto"/>
        <w:right w:val="none" w:sz="0" w:space="0" w:color="auto"/>
      </w:divBdr>
    </w:div>
    <w:div w:id="1664091673">
      <w:bodyDiv w:val="1"/>
      <w:marLeft w:val="0"/>
      <w:marRight w:val="0"/>
      <w:marTop w:val="0"/>
      <w:marBottom w:val="0"/>
      <w:divBdr>
        <w:top w:val="none" w:sz="0" w:space="0" w:color="auto"/>
        <w:left w:val="none" w:sz="0" w:space="0" w:color="auto"/>
        <w:bottom w:val="none" w:sz="0" w:space="0" w:color="auto"/>
        <w:right w:val="none" w:sz="0" w:space="0" w:color="auto"/>
      </w:divBdr>
    </w:div>
    <w:div w:id="1958095439">
      <w:bodyDiv w:val="1"/>
      <w:marLeft w:val="0"/>
      <w:marRight w:val="0"/>
      <w:marTop w:val="0"/>
      <w:marBottom w:val="0"/>
      <w:divBdr>
        <w:top w:val="none" w:sz="0" w:space="0" w:color="auto"/>
        <w:left w:val="none" w:sz="0" w:space="0" w:color="auto"/>
        <w:bottom w:val="none" w:sz="0" w:space="0" w:color="auto"/>
        <w:right w:val="none" w:sz="0" w:space="0" w:color="auto"/>
      </w:divBdr>
    </w:div>
    <w:div w:id="1969430519">
      <w:bodyDiv w:val="1"/>
      <w:marLeft w:val="0"/>
      <w:marRight w:val="0"/>
      <w:marTop w:val="0"/>
      <w:marBottom w:val="0"/>
      <w:divBdr>
        <w:top w:val="none" w:sz="0" w:space="0" w:color="auto"/>
        <w:left w:val="none" w:sz="0" w:space="0" w:color="auto"/>
        <w:bottom w:val="none" w:sz="0" w:space="0" w:color="auto"/>
        <w:right w:val="none" w:sz="0" w:space="0" w:color="auto"/>
      </w:divBdr>
    </w:div>
    <w:div w:id="208583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ollaborative%20Transplant%20Study%5BCorporate%20Author%5D"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6379</Words>
  <Characters>36364</Characters>
  <Application>Microsoft Office Word</Application>
  <DocSecurity>0</DocSecurity>
  <Lines>303</Lines>
  <Paragraphs>85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Sheffield Teaching Hospital NHS Foundation Trust</Company>
  <LinksUpToDate>false</LinksUpToDate>
  <CharactersWithSpaces>42658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Vlachopanos</dc:creator>
  <cp:keywords/>
  <cp:lastModifiedBy>微软用户</cp:lastModifiedBy>
  <cp:revision>3</cp:revision>
  <cp:lastPrinted>2016-07-04T12:02:00Z</cp:lastPrinted>
  <dcterms:created xsi:type="dcterms:W3CDTF">2016-11-16T22:39:00Z</dcterms:created>
  <dcterms:modified xsi:type="dcterms:W3CDTF">2016-11-17T02:30:00Z</dcterms:modified>
</cp:coreProperties>
</file>