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B" w:rsidRDefault="001F40D4">
      <w:r>
        <w:t>Prior to 2004</w:t>
      </w:r>
      <w:bookmarkStart w:id="0" w:name="_GoBack"/>
      <w:bookmarkEnd w:id="0"/>
      <w:r>
        <w:t xml:space="preserve"> no informed consent was required in line with the ethical permission of the study (MREC/02/26).  Following review from PIAG in 2004, written consent for use of clinical and </w:t>
      </w:r>
      <w:proofErr w:type="spellStart"/>
      <w:r>
        <w:t>demongraphic</w:t>
      </w:r>
      <w:proofErr w:type="spellEnd"/>
      <w:r>
        <w:t xml:space="preserve"> data was obtained from all patients at the point of registration with UKBOR.</w:t>
      </w:r>
    </w:p>
    <w:sectPr w:rsidR="0044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7A"/>
    <w:rsid w:val="00003F7A"/>
    <w:rsid w:val="001F40D4"/>
    <w:rsid w:val="00321682"/>
    <w:rsid w:val="006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</dc:creator>
  <cp:keywords/>
  <dc:description/>
  <cp:lastModifiedBy>Piers</cp:lastModifiedBy>
  <cp:revision>2</cp:revision>
  <dcterms:created xsi:type="dcterms:W3CDTF">2016-07-18T10:45:00Z</dcterms:created>
  <dcterms:modified xsi:type="dcterms:W3CDTF">2016-07-18T10:48:00Z</dcterms:modified>
</cp:coreProperties>
</file>