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43" w:rsidRPr="00C55E0B" w:rsidRDefault="00E24C43" w:rsidP="00C55E0B">
      <w:pPr>
        <w:adjustRightInd w:val="0"/>
        <w:snapToGrid w:val="0"/>
        <w:spacing w:after="0" w:line="360" w:lineRule="auto"/>
        <w:jc w:val="both"/>
        <w:rPr>
          <w:rFonts w:ascii="Book Antiqua" w:eastAsia="Times New Roman" w:hAnsi="Book Antiqua" w:cs="SimSun"/>
          <w:b/>
          <w:i/>
          <w:color w:val="000000"/>
          <w:sz w:val="24"/>
          <w:szCs w:val="24"/>
          <w:lang w:val="en-US"/>
        </w:rPr>
      </w:pPr>
      <w:bookmarkStart w:id="0" w:name="OLE_LINK545"/>
      <w:bookmarkStart w:id="1" w:name="OLE_LINK546"/>
      <w:bookmarkStart w:id="2" w:name="OLE_LINK592"/>
      <w:r w:rsidRPr="00C55E0B">
        <w:rPr>
          <w:rFonts w:ascii="Book Antiqua" w:eastAsia="Times New Roman" w:hAnsi="Book Antiqua" w:cs="SimSun"/>
          <w:b/>
          <w:color w:val="000000"/>
          <w:sz w:val="24"/>
          <w:szCs w:val="24"/>
          <w:lang w:val="en-US"/>
        </w:rPr>
        <w:t xml:space="preserve">Name of journal: </w:t>
      </w:r>
      <w:bookmarkStart w:id="3" w:name="OLE_LINK718"/>
      <w:bookmarkStart w:id="4" w:name="OLE_LINK719"/>
      <w:bookmarkStart w:id="5" w:name="OLE_LINK645"/>
      <w:bookmarkStart w:id="6" w:name="OLE_LINK661"/>
      <w:bookmarkStart w:id="7" w:name="OLE_LINK1068"/>
      <w:r w:rsidRPr="00C55E0B">
        <w:rPr>
          <w:rFonts w:ascii="Book Antiqua" w:eastAsia="Times New Roman" w:hAnsi="Book Antiqua" w:cs="SimSun"/>
          <w:b/>
          <w:i/>
          <w:color w:val="000000"/>
          <w:sz w:val="24"/>
          <w:szCs w:val="24"/>
          <w:lang w:val="en-US"/>
        </w:rPr>
        <w:t xml:space="preserve">World Journal of </w:t>
      </w:r>
      <w:bookmarkStart w:id="8" w:name="OLE_LINK1222"/>
      <w:bookmarkStart w:id="9" w:name="OLE_LINK1223"/>
      <w:r w:rsidRPr="00C55E0B">
        <w:rPr>
          <w:rFonts w:ascii="Book Antiqua" w:eastAsia="Times New Roman" w:hAnsi="Book Antiqua" w:cs="SimSun"/>
          <w:b/>
          <w:i/>
          <w:color w:val="000000"/>
          <w:sz w:val="24"/>
          <w:szCs w:val="24"/>
          <w:lang w:val="en-US"/>
        </w:rPr>
        <w:t>Gastroenterology</w:t>
      </w:r>
      <w:bookmarkEnd w:id="3"/>
      <w:bookmarkEnd w:id="4"/>
      <w:bookmarkEnd w:id="5"/>
      <w:bookmarkEnd w:id="6"/>
      <w:bookmarkEnd w:id="7"/>
      <w:bookmarkEnd w:id="8"/>
      <w:bookmarkEnd w:id="9"/>
    </w:p>
    <w:p w:rsidR="00E24C43" w:rsidRPr="00C55E0B" w:rsidRDefault="00E24C43" w:rsidP="00C55E0B">
      <w:pPr>
        <w:adjustRightInd w:val="0"/>
        <w:snapToGrid w:val="0"/>
        <w:spacing w:after="0" w:line="360" w:lineRule="auto"/>
        <w:jc w:val="both"/>
        <w:rPr>
          <w:rFonts w:ascii="Book Antiqua" w:hAnsi="Book Antiqua" w:cs="Arial"/>
          <w:color w:val="000000"/>
          <w:sz w:val="24"/>
          <w:szCs w:val="24"/>
          <w:lang w:val="en" w:eastAsia="zh-CN"/>
        </w:rPr>
      </w:pPr>
      <w:r w:rsidRPr="00C55E0B">
        <w:rPr>
          <w:rFonts w:ascii="Book Antiqua" w:hAnsi="Book Antiqua" w:cs="Arial"/>
          <w:b/>
          <w:color w:val="000000"/>
          <w:sz w:val="24"/>
          <w:szCs w:val="24"/>
          <w:lang w:val="en"/>
        </w:rPr>
        <w:t xml:space="preserve">ESPS Manuscript NO: </w:t>
      </w:r>
      <w:r w:rsidRPr="00C55E0B">
        <w:rPr>
          <w:rFonts w:ascii="Book Antiqua" w:hAnsi="Book Antiqua" w:cs="Arial"/>
          <w:b/>
          <w:color w:val="000000"/>
          <w:sz w:val="24"/>
          <w:szCs w:val="24"/>
          <w:lang w:val="en" w:eastAsia="zh-CN"/>
        </w:rPr>
        <w:t>29063</w:t>
      </w:r>
    </w:p>
    <w:p w:rsidR="00E24C43" w:rsidRDefault="00E24C43" w:rsidP="00C55E0B">
      <w:pPr>
        <w:spacing w:after="0" w:line="360" w:lineRule="auto"/>
        <w:jc w:val="both"/>
        <w:rPr>
          <w:rFonts w:ascii="Book Antiqua" w:hAnsi="Book Antiqua"/>
          <w:b/>
          <w:sz w:val="24"/>
          <w:szCs w:val="24"/>
          <w:lang w:val="en-US" w:eastAsia="zh-CN"/>
        </w:rPr>
      </w:pPr>
      <w:r w:rsidRPr="00C55E0B">
        <w:rPr>
          <w:rFonts w:ascii="Book Antiqua" w:hAnsi="Book Antiqua"/>
          <w:b/>
          <w:sz w:val="24"/>
          <w:szCs w:val="24"/>
          <w:lang w:val="en-US"/>
        </w:rPr>
        <w:t xml:space="preserve">Manuscript Type: </w:t>
      </w:r>
      <w:r w:rsidR="003A0AD2" w:rsidRPr="00C55E0B">
        <w:rPr>
          <w:rFonts w:ascii="Book Antiqua" w:hAnsi="Book Antiqua"/>
          <w:b/>
          <w:sz w:val="24"/>
          <w:szCs w:val="24"/>
          <w:lang w:val="en-US"/>
        </w:rPr>
        <w:t>ORIGINAL ARTICLE</w:t>
      </w:r>
    </w:p>
    <w:p w:rsidR="00C55E0B" w:rsidRPr="00C55E0B" w:rsidRDefault="00C55E0B" w:rsidP="00C55E0B">
      <w:pPr>
        <w:spacing w:after="0" w:line="360" w:lineRule="auto"/>
        <w:jc w:val="both"/>
        <w:rPr>
          <w:rFonts w:ascii="Book Antiqua" w:hAnsi="Book Antiqua"/>
          <w:b/>
          <w:sz w:val="24"/>
          <w:szCs w:val="24"/>
          <w:lang w:val="en-US" w:eastAsia="zh-CN"/>
        </w:rPr>
      </w:pPr>
    </w:p>
    <w:bookmarkEnd w:id="0"/>
    <w:bookmarkEnd w:id="1"/>
    <w:bookmarkEnd w:id="2"/>
    <w:p w:rsidR="003A0AD2" w:rsidRPr="00F15E29" w:rsidRDefault="00C55E0B" w:rsidP="00C55E0B">
      <w:pPr>
        <w:spacing w:after="0" w:line="360" w:lineRule="auto"/>
        <w:jc w:val="both"/>
        <w:rPr>
          <w:rFonts w:ascii="Book Antiqua" w:hAnsi="Book Antiqua"/>
          <w:b/>
          <w:i/>
          <w:color w:val="000000"/>
          <w:sz w:val="24"/>
          <w:szCs w:val="24"/>
          <w:lang w:val="en-US" w:eastAsia="zh-CN"/>
        </w:rPr>
      </w:pPr>
      <w:r w:rsidRPr="00F15E29">
        <w:rPr>
          <w:rFonts w:ascii="Book Antiqua" w:hAnsi="Book Antiqua"/>
          <w:b/>
          <w:i/>
          <w:color w:val="000000"/>
          <w:sz w:val="24"/>
          <w:szCs w:val="24"/>
          <w:lang w:val="en-US" w:eastAsia="zh-CN"/>
        </w:rPr>
        <w:t>Prospective Study</w:t>
      </w:r>
    </w:p>
    <w:p w:rsidR="00250992" w:rsidRPr="00C55E0B" w:rsidRDefault="00250992" w:rsidP="00C55E0B">
      <w:pPr>
        <w:spacing w:after="0" w:line="360" w:lineRule="auto"/>
        <w:jc w:val="both"/>
        <w:rPr>
          <w:rFonts w:ascii="Book Antiqua" w:hAnsi="Book Antiqua"/>
          <w:b/>
          <w:sz w:val="24"/>
          <w:szCs w:val="24"/>
          <w:lang w:val="en-US" w:eastAsia="zh-CN"/>
        </w:rPr>
      </w:pPr>
      <w:r w:rsidRPr="00C55E0B">
        <w:rPr>
          <w:rFonts w:ascii="Book Antiqua" w:hAnsi="Book Antiqua"/>
          <w:b/>
          <w:sz w:val="24"/>
          <w:szCs w:val="24"/>
          <w:lang w:val="en-US"/>
        </w:rPr>
        <w:t>L</w:t>
      </w:r>
      <w:r w:rsidR="00E24C43" w:rsidRPr="00C55E0B">
        <w:rPr>
          <w:rFonts w:ascii="Book Antiqua" w:hAnsi="Book Antiqua"/>
          <w:b/>
          <w:sz w:val="24"/>
          <w:szCs w:val="24"/>
          <w:lang w:val="en-US"/>
        </w:rPr>
        <w:t>ow phase angle is associated with the development of hepatic encephalopathy in patients with cirrhosis</w:t>
      </w:r>
    </w:p>
    <w:p w:rsidR="003A0AD2" w:rsidRPr="00C55E0B" w:rsidRDefault="003A0AD2" w:rsidP="00C55E0B">
      <w:pPr>
        <w:spacing w:after="0" w:line="360" w:lineRule="auto"/>
        <w:jc w:val="both"/>
        <w:rPr>
          <w:rFonts w:ascii="Book Antiqua" w:hAnsi="Book Antiqua"/>
          <w:b/>
          <w:sz w:val="24"/>
          <w:szCs w:val="24"/>
          <w:lang w:val="en-US" w:eastAsia="zh-CN"/>
        </w:rPr>
      </w:pPr>
    </w:p>
    <w:p w:rsidR="00250992" w:rsidRPr="00C55E0B" w:rsidRDefault="003A0AD2" w:rsidP="00C55E0B">
      <w:pPr>
        <w:spacing w:after="0" w:line="360" w:lineRule="auto"/>
        <w:jc w:val="both"/>
        <w:rPr>
          <w:rFonts w:ascii="Book Antiqua" w:hAnsi="Book Antiqua"/>
          <w:sz w:val="24"/>
          <w:szCs w:val="24"/>
          <w:lang w:val="en-US" w:eastAsia="zh-CN"/>
        </w:rPr>
      </w:pPr>
      <w:r w:rsidRPr="00C55E0B">
        <w:rPr>
          <w:rFonts w:ascii="Book Antiqua" w:hAnsi="Book Antiqua"/>
          <w:sz w:val="24"/>
          <w:szCs w:val="24"/>
          <w:lang w:val="es-MX"/>
        </w:rPr>
        <w:t>Ruiz-Margáin</w:t>
      </w:r>
      <w:r w:rsidRPr="00C55E0B">
        <w:rPr>
          <w:rFonts w:ascii="Book Antiqua" w:hAnsi="Book Antiqua"/>
          <w:sz w:val="24"/>
          <w:szCs w:val="24"/>
          <w:lang w:val="en-US"/>
        </w:rPr>
        <w:t xml:space="preserve"> </w:t>
      </w:r>
      <w:r w:rsidRPr="00C55E0B">
        <w:rPr>
          <w:rFonts w:ascii="Book Antiqua" w:hAnsi="Book Antiqua"/>
          <w:sz w:val="24"/>
          <w:szCs w:val="24"/>
          <w:lang w:val="en-US" w:eastAsia="zh-CN"/>
        </w:rPr>
        <w:t xml:space="preserve"> A </w:t>
      </w:r>
      <w:r w:rsidRPr="00C55E0B">
        <w:rPr>
          <w:rFonts w:ascii="Book Antiqua" w:hAnsi="Book Antiqua"/>
          <w:i/>
          <w:sz w:val="24"/>
          <w:szCs w:val="24"/>
          <w:lang w:val="en-US" w:eastAsia="zh-CN"/>
        </w:rPr>
        <w:t>et al.</w:t>
      </w:r>
      <w:r w:rsidRPr="00C55E0B">
        <w:rPr>
          <w:rFonts w:ascii="Book Antiqua" w:hAnsi="Book Antiqua"/>
          <w:sz w:val="24"/>
          <w:szCs w:val="24"/>
          <w:lang w:val="en-US" w:eastAsia="zh-CN"/>
        </w:rPr>
        <w:t xml:space="preserve"> </w:t>
      </w:r>
      <w:r w:rsidR="00250992" w:rsidRPr="00C55E0B">
        <w:rPr>
          <w:rFonts w:ascii="Book Antiqua" w:hAnsi="Book Antiqua"/>
          <w:sz w:val="24"/>
          <w:szCs w:val="24"/>
          <w:lang w:val="en-US"/>
        </w:rPr>
        <w:t>Low phase a</w:t>
      </w:r>
      <w:r w:rsidR="005620E9">
        <w:rPr>
          <w:rFonts w:ascii="Book Antiqua" w:hAnsi="Book Antiqua"/>
          <w:sz w:val="24"/>
          <w:szCs w:val="24"/>
          <w:lang w:val="en-US"/>
        </w:rPr>
        <w:t>ngle in hepatic encephalopathy</w:t>
      </w:r>
    </w:p>
    <w:p w:rsidR="003A0AD2" w:rsidRPr="00C55E0B" w:rsidRDefault="003A0AD2" w:rsidP="00C55E0B">
      <w:pPr>
        <w:spacing w:after="0" w:line="360" w:lineRule="auto"/>
        <w:jc w:val="both"/>
        <w:rPr>
          <w:rFonts w:ascii="Book Antiqua" w:hAnsi="Book Antiqua"/>
          <w:sz w:val="24"/>
          <w:szCs w:val="24"/>
          <w:lang w:val="en-US" w:eastAsia="zh-CN"/>
        </w:rPr>
      </w:pPr>
    </w:p>
    <w:p w:rsidR="00250992" w:rsidRPr="00C55E0B" w:rsidRDefault="00250992" w:rsidP="00C55E0B">
      <w:pPr>
        <w:spacing w:after="0" w:line="360" w:lineRule="auto"/>
        <w:jc w:val="both"/>
        <w:rPr>
          <w:rFonts w:ascii="Book Antiqua" w:hAnsi="Book Antiqua"/>
          <w:sz w:val="24"/>
          <w:szCs w:val="24"/>
          <w:lang w:val="es-MX" w:eastAsia="zh-CN"/>
        </w:rPr>
      </w:pPr>
      <w:r w:rsidRPr="00C55E0B">
        <w:rPr>
          <w:rFonts w:ascii="Book Antiqua" w:hAnsi="Book Antiqua"/>
          <w:sz w:val="24"/>
          <w:szCs w:val="24"/>
          <w:lang w:val="es-MX"/>
        </w:rPr>
        <w:t>Astrid Ruiz-Margáin, Ricardo Ulises Macías-Rodríguez, Javier Ampuero, Francisco Javier Cub</w:t>
      </w:r>
      <w:r w:rsidR="003A0AD2" w:rsidRPr="00C55E0B">
        <w:rPr>
          <w:rFonts w:ascii="Book Antiqua" w:hAnsi="Book Antiqua"/>
          <w:sz w:val="24"/>
          <w:szCs w:val="24"/>
          <w:lang w:val="es-MX"/>
        </w:rPr>
        <w:t>ero, Luis Chi-Cervera, Silvia L</w:t>
      </w:r>
      <w:r w:rsidRPr="00C55E0B">
        <w:rPr>
          <w:rFonts w:ascii="Book Antiqua" w:hAnsi="Book Antiqua"/>
          <w:sz w:val="24"/>
          <w:szCs w:val="24"/>
          <w:lang w:val="es-MX"/>
        </w:rPr>
        <w:t xml:space="preserve"> Ríos Torres, Andrés Duarte-Rojo, Ángeles Espinosa-Cuevas, M</w:t>
      </w:r>
      <w:r w:rsidR="003A0AD2" w:rsidRPr="00C55E0B">
        <w:rPr>
          <w:rFonts w:ascii="Book Antiqua" w:hAnsi="Book Antiqua"/>
          <w:sz w:val="24"/>
          <w:szCs w:val="24"/>
          <w:lang w:val="es-MX"/>
        </w:rPr>
        <w:t>anuel Romero-Gómez, Aldo Torre</w:t>
      </w:r>
    </w:p>
    <w:p w:rsidR="00250992" w:rsidRPr="00C55E0B" w:rsidRDefault="00250992" w:rsidP="00C55E0B">
      <w:pPr>
        <w:spacing w:after="0" w:line="360" w:lineRule="auto"/>
        <w:jc w:val="both"/>
        <w:rPr>
          <w:rFonts w:ascii="Book Antiqua" w:hAnsi="Book Antiqua"/>
          <w:sz w:val="24"/>
          <w:szCs w:val="24"/>
          <w:lang w:val="es-MX"/>
        </w:rPr>
      </w:pPr>
    </w:p>
    <w:p w:rsidR="003A0AD2" w:rsidRPr="00C55E0B" w:rsidRDefault="003A0AD2" w:rsidP="00C55E0B">
      <w:pPr>
        <w:spacing w:after="0" w:line="360" w:lineRule="auto"/>
        <w:jc w:val="both"/>
        <w:rPr>
          <w:rFonts w:ascii="Book Antiqua" w:hAnsi="Book Antiqua"/>
          <w:sz w:val="24"/>
          <w:szCs w:val="24"/>
          <w:lang w:val="es-MX" w:eastAsia="zh-CN"/>
        </w:rPr>
      </w:pPr>
      <w:r w:rsidRPr="00C55E0B">
        <w:rPr>
          <w:rFonts w:ascii="Book Antiqua" w:hAnsi="Book Antiqua"/>
          <w:b/>
          <w:sz w:val="24"/>
          <w:szCs w:val="24"/>
          <w:lang w:val="es-MX"/>
        </w:rPr>
        <w:t>Astrid Ruiz-Margáin, Ricardo Ulises Macías-Rodríguez,</w:t>
      </w:r>
      <w:r w:rsidRPr="00C55E0B">
        <w:rPr>
          <w:rFonts w:ascii="Book Antiqua" w:hAnsi="Book Antiqua"/>
          <w:b/>
          <w:sz w:val="24"/>
          <w:szCs w:val="24"/>
          <w:lang w:val="es-MX" w:eastAsia="zh-CN"/>
        </w:rPr>
        <w:t xml:space="preserve"> </w:t>
      </w:r>
      <w:r w:rsidR="00250992" w:rsidRPr="00C55E0B">
        <w:rPr>
          <w:rFonts w:ascii="Book Antiqua" w:hAnsi="Book Antiqua"/>
          <w:sz w:val="24"/>
          <w:szCs w:val="24"/>
          <w:lang w:val="es-MX"/>
        </w:rPr>
        <w:t xml:space="preserve">Department of Gastroenterology, Instituto Nacional de Ciencias Médicas y Nutrición Salvador Zubirán, </w:t>
      </w:r>
      <w:r w:rsidR="0069437E" w:rsidRPr="00C55E0B">
        <w:rPr>
          <w:rFonts w:ascii="Book Antiqua" w:hAnsi="Book Antiqua"/>
          <w:sz w:val="24"/>
          <w:szCs w:val="24"/>
          <w:lang w:val="es-MX"/>
        </w:rPr>
        <w:t xml:space="preserve">14080 </w:t>
      </w:r>
      <w:r w:rsidR="00250992" w:rsidRPr="00C55E0B">
        <w:rPr>
          <w:rFonts w:ascii="Book Antiqua" w:hAnsi="Book Antiqua"/>
          <w:sz w:val="24"/>
          <w:szCs w:val="24"/>
          <w:lang w:val="es-MX"/>
        </w:rPr>
        <w:t>México City, México</w:t>
      </w:r>
    </w:p>
    <w:p w:rsidR="003A0AD2" w:rsidRPr="00C55E0B" w:rsidRDefault="003A0AD2" w:rsidP="00C55E0B">
      <w:pPr>
        <w:spacing w:after="0" w:line="360" w:lineRule="auto"/>
        <w:jc w:val="both"/>
        <w:rPr>
          <w:rFonts w:ascii="Book Antiqua" w:hAnsi="Book Antiqua"/>
          <w:sz w:val="24"/>
          <w:szCs w:val="24"/>
          <w:lang w:val="es-MX" w:eastAsia="zh-CN"/>
        </w:rPr>
      </w:pPr>
    </w:p>
    <w:p w:rsidR="00250992" w:rsidRPr="00C55E0B" w:rsidRDefault="003A0AD2" w:rsidP="00C55E0B">
      <w:pPr>
        <w:spacing w:after="0" w:line="360" w:lineRule="auto"/>
        <w:jc w:val="both"/>
        <w:rPr>
          <w:rFonts w:ascii="Book Antiqua" w:hAnsi="Book Antiqua"/>
          <w:sz w:val="24"/>
          <w:szCs w:val="24"/>
          <w:lang w:val="en-US" w:eastAsia="zh-CN"/>
        </w:rPr>
      </w:pPr>
      <w:r w:rsidRPr="00C55E0B">
        <w:rPr>
          <w:rFonts w:ascii="Book Antiqua" w:hAnsi="Book Antiqua"/>
          <w:b/>
          <w:sz w:val="24"/>
          <w:szCs w:val="24"/>
          <w:lang w:val="es-MX"/>
        </w:rPr>
        <w:t>Astrid Ruiz-Margáin, Ricardo Ulises Macías-Rodríguez,</w:t>
      </w:r>
      <w:r w:rsidRPr="00C55E0B">
        <w:rPr>
          <w:rFonts w:ascii="Book Antiqua" w:hAnsi="Book Antiqua"/>
          <w:b/>
          <w:sz w:val="24"/>
          <w:szCs w:val="24"/>
          <w:lang w:val="es-MX" w:eastAsia="zh-CN"/>
        </w:rPr>
        <w:t xml:space="preserve"> </w:t>
      </w:r>
      <w:r w:rsidR="00250992" w:rsidRPr="00C55E0B">
        <w:rPr>
          <w:rFonts w:ascii="Book Antiqua" w:hAnsi="Book Antiqua"/>
          <w:sz w:val="24"/>
          <w:szCs w:val="24"/>
          <w:lang w:val="en-US"/>
        </w:rPr>
        <w:t>Department of Internal Medicine III, University Hospital RWTH</w:t>
      </w:r>
      <w:r w:rsidR="0069437E" w:rsidRPr="00C55E0B">
        <w:rPr>
          <w:rFonts w:ascii="Book Antiqua" w:hAnsi="Book Antiqua"/>
          <w:sz w:val="24"/>
          <w:szCs w:val="24"/>
          <w:lang w:val="en-US"/>
        </w:rPr>
        <w:t xml:space="preserve"> </w:t>
      </w:r>
      <w:r w:rsidR="00250992" w:rsidRPr="00C55E0B">
        <w:rPr>
          <w:rFonts w:ascii="Book Antiqua" w:hAnsi="Book Antiqua"/>
          <w:sz w:val="24"/>
          <w:szCs w:val="24"/>
          <w:lang w:val="en-US"/>
        </w:rPr>
        <w:t xml:space="preserve">Aachen, </w:t>
      </w:r>
      <w:r w:rsidR="0069437E" w:rsidRPr="00C55E0B">
        <w:rPr>
          <w:rFonts w:ascii="Book Antiqua" w:hAnsi="Book Antiqua"/>
          <w:sz w:val="24"/>
          <w:szCs w:val="24"/>
          <w:lang w:val="en-US"/>
        </w:rPr>
        <w:t xml:space="preserve">52074 Aachen, </w:t>
      </w:r>
      <w:r w:rsidR="00250992" w:rsidRPr="00C55E0B">
        <w:rPr>
          <w:rFonts w:ascii="Book Antiqua" w:hAnsi="Book Antiqua"/>
          <w:sz w:val="24"/>
          <w:szCs w:val="24"/>
          <w:lang w:val="en-US"/>
        </w:rPr>
        <w:t>Germany</w:t>
      </w:r>
    </w:p>
    <w:p w:rsidR="003A0AD2" w:rsidRPr="00C55E0B" w:rsidRDefault="003A0AD2" w:rsidP="00C55E0B">
      <w:pPr>
        <w:spacing w:after="0" w:line="360" w:lineRule="auto"/>
        <w:jc w:val="both"/>
        <w:rPr>
          <w:rFonts w:ascii="Book Antiqua" w:hAnsi="Book Antiqua"/>
          <w:sz w:val="24"/>
          <w:szCs w:val="24"/>
          <w:lang w:val="en-US" w:eastAsia="zh-CN"/>
        </w:rPr>
      </w:pPr>
    </w:p>
    <w:p w:rsidR="00250992" w:rsidRPr="00C55E0B" w:rsidRDefault="003A0AD2" w:rsidP="00C55E0B">
      <w:pPr>
        <w:spacing w:after="0" w:line="360" w:lineRule="auto"/>
        <w:jc w:val="both"/>
        <w:rPr>
          <w:rFonts w:ascii="Book Antiqua" w:hAnsi="Book Antiqua"/>
          <w:sz w:val="24"/>
          <w:szCs w:val="24"/>
          <w:lang w:val="es-MX" w:eastAsia="zh-CN"/>
        </w:rPr>
      </w:pPr>
      <w:r w:rsidRPr="00C55E0B">
        <w:rPr>
          <w:rFonts w:ascii="Book Antiqua" w:hAnsi="Book Antiqua"/>
          <w:b/>
          <w:sz w:val="24"/>
          <w:szCs w:val="24"/>
          <w:lang w:val="es-MX"/>
        </w:rPr>
        <w:t>Javier Ampuero,</w:t>
      </w:r>
      <w:r w:rsidR="00250992" w:rsidRPr="00C55E0B">
        <w:rPr>
          <w:rFonts w:ascii="Book Antiqua" w:hAnsi="Book Antiqua"/>
          <w:b/>
          <w:sz w:val="24"/>
          <w:szCs w:val="24"/>
          <w:lang w:val="en-US"/>
        </w:rPr>
        <w:t xml:space="preserve"> </w:t>
      </w:r>
      <w:r w:rsidRPr="00C55E0B">
        <w:rPr>
          <w:rFonts w:ascii="Book Antiqua" w:hAnsi="Book Antiqua"/>
          <w:b/>
          <w:sz w:val="24"/>
          <w:szCs w:val="24"/>
          <w:lang w:val="es-MX"/>
        </w:rPr>
        <w:t>Manuel Romero-Gómez,</w:t>
      </w:r>
      <w:r w:rsidRPr="00C55E0B">
        <w:rPr>
          <w:rFonts w:ascii="Book Antiqua" w:hAnsi="Book Antiqua"/>
          <w:b/>
          <w:sz w:val="24"/>
          <w:szCs w:val="24"/>
          <w:lang w:val="es-MX" w:eastAsia="zh-CN"/>
        </w:rPr>
        <w:t xml:space="preserve"> </w:t>
      </w:r>
      <w:r w:rsidR="00250992" w:rsidRPr="00C55E0B">
        <w:rPr>
          <w:rFonts w:ascii="Book Antiqua" w:hAnsi="Book Antiqua"/>
          <w:sz w:val="24"/>
          <w:szCs w:val="24"/>
          <w:lang w:val="en-US"/>
        </w:rPr>
        <w:t xml:space="preserve">Unit for the Clinical Management of Digestive Diseases. </w:t>
      </w:r>
      <w:r w:rsidR="00250992" w:rsidRPr="00C55E0B">
        <w:rPr>
          <w:rFonts w:ascii="Book Antiqua" w:hAnsi="Book Antiqua"/>
          <w:sz w:val="24"/>
          <w:szCs w:val="24"/>
          <w:lang w:val="es-MX"/>
        </w:rPr>
        <w:t xml:space="preserve">Virgen del Rocio – Virgen Macarena University Hospital, </w:t>
      </w:r>
      <w:r w:rsidR="0069437E" w:rsidRPr="00C55E0B">
        <w:rPr>
          <w:rFonts w:ascii="Book Antiqua" w:hAnsi="Book Antiqua"/>
          <w:sz w:val="24"/>
          <w:szCs w:val="24"/>
          <w:lang w:val="es-MX"/>
        </w:rPr>
        <w:t xml:space="preserve">41009 </w:t>
      </w:r>
      <w:r w:rsidR="00250992" w:rsidRPr="00C55E0B">
        <w:rPr>
          <w:rFonts w:ascii="Book Antiqua" w:hAnsi="Book Antiqua"/>
          <w:sz w:val="24"/>
          <w:szCs w:val="24"/>
          <w:lang w:val="es-MX"/>
        </w:rPr>
        <w:t>Sevilla, Spain</w:t>
      </w:r>
    </w:p>
    <w:p w:rsidR="003A0AD2" w:rsidRPr="00C55E0B" w:rsidRDefault="003A0AD2" w:rsidP="00C55E0B">
      <w:pPr>
        <w:spacing w:after="0" w:line="360" w:lineRule="auto"/>
        <w:jc w:val="both"/>
        <w:rPr>
          <w:rFonts w:ascii="Book Antiqua" w:hAnsi="Book Antiqua"/>
          <w:sz w:val="24"/>
          <w:szCs w:val="24"/>
          <w:lang w:val="en-US" w:eastAsia="zh-CN"/>
        </w:rPr>
      </w:pPr>
    </w:p>
    <w:p w:rsidR="00250992" w:rsidRPr="00C55E0B" w:rsidRDefault="003A0AD2" w:rsidP="00C55E0B">
      <w:pPr>
        <w:spacing w:after="0" w:line="360" w:lineRule="auto"/>
        <w:jc w:val="both"/>
        <w:rPr>
          <w:rFonts w:ascii="Book Antiqua" w:hAnsi="Book Antiqua"/>
          <w:b/>
          <w:sz w:val="24"/>
          <w:szCs w:val="24"/>
          <w:lang w:val="en-US" w:eastAsia="zh-CN"/>
        </w:rPr>
      </w:pPr>
      <w:r w:rsidRPr="00C55E0B">
        <w:rPr>
          <w:rFonts w:ascii="Book Antiqua" w:hAnsi="Book Antiqua"/>
          <w:b/>
          <w:sz w:val="24"/>
          <w:szCs w:val="24"/>
          <w:lang w:val="es-MX"/>
        </w:rPr>
        <w:t>Francisco Javier Cubero,</w:t>
      </w:r>
      <w:r w:rsidRPr="00C55E0B">
        <w:rPr>
          <w:rFonts w:ascii="Book Antiqua" w:hAnsi="Book Antiqua"/>
          <w:b/>
          <w:sz w:val="24"/>
          <w:szCs w:val="24"/>
          <w:lang w:val="es-MX" w:eastAsia="zh-CN"/>
        </w:rPr>
        <w:t xml:space="preserve"> </w:t>
      </w:r>
      <w:r w:rsidR="00250992" w:rsidRPr="00C55E0B">
        <w:rPr>
          <w:rFonts w:ascii="Book Antiqua" w:hAnsi="Book Antiqua"/>
          <w:sz w:val="24"/>
          <w:szCs w:val="24"/>
          <w:lang w:val="en-US"/>
        </w:rPr>
        <w:t xml:space="preserve">Department of Internal Medicine III, University Hospital RWTH Aachen, </w:t>
      </w:r>
      <w:r w:rsidRPr="00C55E0B">
        <w:rPr>
          <w:rFonts w:ascii="Book Antiqua" w:hAnsi="Book Antiqua"/>
          <w:sz w:val="24"/>
          <w:szCs w:val="24"/>
          <w:lang w:val="en-US"/>
        </w:rPr>
        <w:t>52074</w:t>
      </w:r>
      <w:r w:rsidRPr="00C55E0B">
        <w:rPr>
          <w:rFonts w:ascii="Book Antiqua" w:hAnsi="Book Antiqua"/>
          <w:sz w:val="24"/>
          <w:szCs w:val="24"/>
          <w:lang w:val="en-US" w:eastAsia="zh-CN"/>
        </w:rPr>
        <w:t xml:space="preserve"> </w:t>
      </w:r>
      <w:r w:rsidR="0069437E" w:rsidRPr="00C55E0B">
        <w:rPr>
          <w:rFonts w:ascii="Book Antiqua" w:hAnsi="Book Antiqua"/>
          <w:sz w:val="24"/>
          <w:szCs w:val="24"/>
          <w:lang w:val="en-US"/>
        </w:rPr>
        <w:t xml:space="preserve">Aachen, </w:t>
      </w:r>
      <w:r w:rsidR="00250992" w:rsidRPr="00C55E0B">
        <w:rPr>
          <w:rFonts w:ascii="Book Antiqua" w:hAnsi="Book Antiqua"/>
          <w:sz w:val="24"/>
          <w:szCs w:val="24"/>
          <w:lang w:val="en-US"/>
        </w:rPr>
        <w:t>Germany</w:t>
      </w:r>
    </w:p>
    <w:p w:rsidR="003A0AD2" w:rsidRPr="00C55E0B" w:rsidRDefault="003A0AD2" w:rsidP="00C55E0B">
      <w:pPr>
        <w:spacing w:after="0" w:line="360" w:lineRule="auto"/>
        <w:jc w:val="both"/>
        <w:rPr>
          <w:rFonts w:ascii="Book Antiqua" w:hAnsi="Book Antiqua"/>
          <w:sz w:val="24"/>
          <w:szCs w:val="24"/>
          <w:lang w:val="en-US" w:eastAsia="zh-CN"/>
        </w:rPr>
      </w:pPr>
    </w:p>
    <w:p w:rsidR="00250992" w:rsidRPr="00C55E0B" w:rsidRDefault="003A0AD2" w:rsidP="00C55E0B">
      <w:pPr>
        <w:spacing w:after="0" w:line="360" w:lineRule="auto"/>
        <w:jc w:val="both"/>
        <w:rPr>
          <w:rFonts w:ascii="Book Antiqua" w:hAnsi="Book Antiqua"/>
          <w:sz w:val="24"/>
          <w:szCs w:val="24"/>
          <w:lang w:val="en-US" w:eastAsia="zh-CN"/>
        </w:rPr>
      </w:pPr>
      <w:r w:rsidRPr="00C55E0B">
        <w:rPr>
          <w:rFonts w:ascii="Book Antiqua" w:hAnsi="Book Antiqua"/>
          <w:b/>
          <w:sz w:val="24"/>
          <w:szCs w:val="24"/>
          <w:lang w:val="es-MX"/>
        </w:rPr>
        <w:lastRenderedPageBreak/>
        <w:t>Francisco Javier Cubero,</w:t>
      </w:r>
      <w:r w:rsidRPr="00C55E0B">
        <w:rPr>
          <w:rFonts w:ascii="Book Antiqua" w:hAnsi="Book Antiqua"/>
          <w:b/>
          <w:sz w:val="24"/>
          <w:szCs w:val="24"/>
          <w:lang w:val="en-US" w:eastAsia="zh-CN"/>
        </w:rPr>
        <w:t xml:space="preserve"> </w:t>
      </w:r>
      <w:r w:rsidR="00250992" w:rsidRPr="00C55E0B">
        <w:rPr>
          <w:rFonts w:ascii="Book Antiqua" w:hAnsi="Book Antiqua"/>
          <w:sz w:val="24"/>
          <w:szCs w:val="24"/>
          <w:lang w:val="en-US"/>
        </w:rPr>
        <w:t xml:space="preserve">Department of Immunology, Complutense University School of Medicine, </w:t>
      </w:r>
      <w:r w:rsidRPr="00C55E0B">
        <w:rPr>
          <w:rFonts w:ascii="Book Antiqua" w:hAnsi="Book Antiqua"/>
          <w:sz w:val="24"/>
          <w:szCs w:val="24"/>
          <w:lang w:val="en-US"/>
        </w:rPr>
        <w:t>28040</w:t>
      </w:r>
      <w:r w:rsidRPr="00C55E0B">
        <w:rPr>
          <w:rFonts w:ascii="Book Antiqua" w:hAnsi="Book Antiqua"/>
          <w:sz w:val="24"/>
          <w:szCs w:val="24"/>
          <w:lang w:val="en-US" w:eastAsia="zh-CN"/>
        </w:rPr>
        <w:t xml:space="preserve"> </w:t>
      </w:r>
      <w:r w:rsidR="00250992" w:rsidRPr="00C55E0B">
        <w:rPr>
          <w:rFonts w:ascii="Book Antiqua" w:hAnsi="Book Antiqua"/>
          <w:sz w:val="24"/>
          <w:szCs w:val="24"/>
          <w:lang w:val="en-US"/>
        </w:rPr>
        <w:t>Madrid</w:t>
      </w:r>
      <w:r w:rsidR="0069437E" w:rsidRPr="00C55E0B">
        <w:rPr>
          <w:rFonts w:ascii="Book Antiqua" w:hAnsi="Book Antiqua"/>
          <w:sz w:val="24"/>
          <w:szCs w:val="24"/>
          <w:lang w:val="en-US"/>
        </w:rPr>
        <w:t>, Spain</w:t>
      </w:r>
    </w:p>
    <w:p w:rsidR="003A0AD2" w:rsidRPr="00C55E0B" w:rsidRDefault="003A0AD2" w:rsidP="00C55E0B">
      <w:pPr>
        <w:spacing w:after="0" w:line="360" w:lineRule="auto"/>
        <w:jc w:val="both"/>
        <w:rPr>
          <w:rFonts w:ascii="Book Antiqua" w:hAnsi="Book Antiqua"/>
          <w:sz w:val="24"/>
          <w:szCs w:val="24"/>
          <w:lang w:val="en-US" w:eastAsia="zh-CN"/>
        </w:rPr>
      </w:pPr>
    </w:p>
    <w:p w:rsidR="00250992" w:rsidRPr="00C55E0B" w:rsidRDefault="003A0AD2" w:rsidP="00C55E0B">
      <w:pPr>
        <w:spacing w:after="0" w:line="360" w:lineRule="auto"/>
        <w:jc w:val="both"/>
        <w:rPr>
          <w:rFonts w:ascii="Book Antiqua" w:hAnsi="Book Antiqua"/>
          <w:sz w:val="24"/>
          <w:szCs w:val="24"/>
          <w:lang w:val="en-US" w:eastAsia="zh-CN"/>
        </w:rPr>
      </w:pPr>
      <w:r w:rsidRPr="00C55E0B">
        <w:rPr>
          <w:rFonts w:ascii="Book Antiqua" w:hAnsi="Book Antiqua"/>
          <w:b/>
          <w:sz w:val="24"/>
          <w:szCs w:val="24"/>
          <w:lang w:val="es-MX"/>
        </w:rPr>
        <w:t>Andrés Duarte-Rojo,</w:t>
      </w:r>
      <w:r w:rsidRPr="00C55E0B">
        <w:rPr>
          <w:rFonts w:ascii="Book Antiqua" w:hAnsi="Book Antiqua"/>
          <w:sz w:val="24"/>
          <w:szCs w:val="24"/>
          <w:lang w:val="en-US" w:eastAsia="zh-CN"/>
        </w:rPr>
        <w:t xml:space="preserve"> </w:t>
      </w:r>
      <w:r w:rsidR="00250992" w:rsidRPr="00C55E0B">
        <w:rPr>
          <w:rFonts w:ascii="Book Antiqua" w:hAnsi="Book Antiqua"/>
          <w:sz w:val="24"/>
          <w:szCs w:val="24"/>
          <w:lang w:val="en-US"/>
        </w:rPr>
        <w:t>University of Arkansas for Medical Sciences, Little Rock, AR</w:t>
      </w:r>
      <w:r w:rsidRPr="00C55E0B">
        <w:rPr>
          <w:rFonts w:ascii="Book Antiqua" w:hAnsi="Book Antiqua"/>
          <w:sz w:val="24"/>
          <w:szCs w:val="24"/>
          <w:lang w:val="en-US" w:eastAsia="zh-CN"/>
        </w:rPr>
        <w:t xml:space="preserve"> </w:t>
      </w:r>
      <w:r w:rsidRPr="00C55E0B">
        <w:rPr>
          <w:rFonts w:ascii="Book Antiqua" w:hAnsi="Book Antiqua"/>
          <w:sz w:val="24"/>
          <w:szCs w:val="24"/>
          <w:lang w:val="en-US"/>
        </w:rPr>
        <w:t>72205</w:t>
      </w:r>
      <w:r w:rsidR="00250992" w:rsidRPr="00C55E0B">
        <w:rPr>
          <w:rFonts w:ascii="Book Antiqua" w:hAnsi="Book Antiqua"/>
          <w:sz w:val="24"/>
          <w:szCs w:val="24"/>
          <w:lang w:val="en-US"/>
        </w:rPr>
        <w:t xml:space="preserve">, </w:t>
      </w:r>
      <w:r w:rsidRPr="00C55E0B">
        <w:rPr>
          <w:rFonts w:ascii="Book Antiqua" w:hAnsi="Book Antiqua"/>
          <w:sz w:val="24"/>
          <w:szCs w:val="24"/>
          <w:lang w:val="en-US"/>
        </w:rPr>
        <w:t>United States</w:t>
      </w:r>
    </w:p>
    <w:p w:rsidR="003A0AD2" w:rsidRPr="00C55E0B" w:rsidRDefault="003A0AD2" w:rsidP="00C55E0B">
      <w:pPr>
        <w:spacing w:after="0" w:line="360" w:lineRule="auto"/>
        <w:jc w:val="both"/>
        <w:rPr>
          <w:rFonts w:ascii="Book Antiqua" w:hAnsi="Book Antiqua"/>
          <w:sz w:val="24"/>
          <w:szCs w:val="24"/>
          <w:lang w:val="en-US" w:eastAsia="zh-CN"/>
        </w:rPr>
      </w:pPr>
    </w:p>
    <w:p w:rsidR="00250992" w:rsidRPr="00C55E0B" w:rsidRDefault="003A0AD2" w:rsidP="00C55E0B">
      <w:pPr>
        <w:spacing w:after="0" w:line="360" w:lineRule="auto"/>
        <w:jc w:val="both"/>
        <w:rPr>
          <w:rFonts w:ascii="Book Antiqua" w:hAnsi="Book Antiqua"/>
          <w:sz w:val="24"/>
          <w:szCs w:val="24"/>
          <w:lang w:val="es-MX" w:eastAsia="zh-CN"/>
        </w:rPr>
      </w:pPr>
      <w:r w:rsidRPr="00C55E0B">
        <w:rPr>
          <w:rFonts w:ascii="Book Antiqua" w:hAnsi="Book Antiqua"/>
          <w:b/>
          <w:sz w:val="24"/>
          <w:szCs w:val="24"/>
          <w:lang w:val="es-MX"/>
        </w:rPr>
        <w:t>Ángeles Espinosa-Cuevas,</w:t>
      </w:r>
      <w:r w:rsidRPr="00C55E0B">
        <w:rPr>
          <w:rFonts w:ascii="Book Antiqua" w:hAnsi="Book Antiqua"/>
          <w:b/>
          <w:sz w:val="24"/>
          <w:szCs w:val="24"/>
          <w:lang w:val="es-MX" w:eastAsia="zh-CN"/>
        </w:rPr>
        <w:t xml:space="preserve"> </w:t>
      </w:r>
      <w:r w:rsidRPr="00C55E0B">
        <w:rPr>
          <w:rFonts w:ascii="Book Antiqua" w:hAnsi="Book Antiqua"/>
          <w:b/>
          <w:sz w:val="24"/>
          <w:szCs w:val="24"/>
          <w:lang w:val="en-US" w:eastAsia="zh-CN"/>
        </w:rPr>
        <w:t xml:space="preserve"> </w:t>
      </w:r>
      <w:r w:rsidR="00250992" w:rsidRPr="00C55E0B">
        <w:rPr>
          <w:rFonts w:ascii="Book Antiqua" w:hAnsi="Book Antiqua"/>
          <w:sz w:val="24"/>
          <w:szCs w:val="24"/>
          <w:lang w:val="es-MX"/>
        </w:rPr>
        <w:t>Department of Nephrology and Mineral Merabolism, Instituto Nacional de Ciencias Médicas y Nutrición Salvador Zubirán, México City</w:t>
      </w:r>
      <w:r w:rsidRPr="00C55E0B">
        <w:rPr>
          <w:rFonts w:ascii="Book Antiqua" w:hAnsi="Book Antiqua"/>
          <w:sz w:val="24"/>
          <w:szCs w:val="24"/>
          <w:lang w:val="es-MX" w:eastAsia="zh-CN"/>
        </w:rPr>
        <w:t xml:space="preserve"> </w:t>
      </w:r>
      <w:r w:rsidRPr="00C55E0B">
        <w:rPr>
          <w:rFonts w:ascii="Book Antiqua" w:hAnsi="Book Antiqua"/>
          <w:sz w:val="24"/>
          <w:szCs w:val="24"/>
          <w:lang w:val="es-MX"/>
        </w:rPr>
        <w:t>14080</w:t>
      </w:r>
      <w:r w:rsidR="00250992" w:rsidRPr="00C55E0B">
        <w:rPr>
          <w:rFonts w:ascii="Book Antiqua" w:hAnsi="Book Antiqua"/>
          <w:sz w:val="24"/>
          <w:szCs w:val="24"/>
          <w:lang w:val="es-MX"/>
        </w:rPr>
        <w:t>, México</w:t>
      </w:r>
    </w:p>
    <w:p w:rsidR="003A0AD2" w:rsidRPr="00C55E0B" w:rsidRDefault="003A0AD2" w:rsidP="00C55E0B">
      <w:pPr>
        <w:spacing w:after="0" w:line="360" w:lineRule="auto"/>
        <w:jc w:val="both"/>
        <w:rPr>
          <w:rFonts w:ascii="Book Antiqua" w:hAnsi="Book Antiqua"/>
          <w:sz w:val="24"/>
          <w:szCs w:val="24"/>
          <w:lang w:val="en-US" w:eastAsia="zh-CN"/>
        </w:rPr>
      </w:pPr>
    </w:p>
    <w:p w:rsidR="00E24C43" w:rsidRPr="00C55E0B" w:rsidRDefault="003A0AD2" w:rsidP="00C55E0B">
      <w:pPr>
        <w:spacing w:after="0" w:line="360" w:lineRule="auto"/>
        <w:jc w:val="both"/>
        <w:rPr>
          <w:rFonts w:ascii="Book Antiqua" w:hAnsi="Book Antiqua"/>
          <w:sz w:val="24"/>
          <w:szCs w:val="24"/>
          <w:lang w:val="es-MX" w:eastAsia="zh-CN"/>
        </w:rPr>
      </w:pPr>
      <w:r w:rsidRPr="00C55E0B">
        <w:rPr>
          <w:rFonts w:ascii="Book Antiqua" w:hAnsi="Book Antiqua"/>
          <w:b/>
          <w:sz w:val="24"/>
          <w:szCs w:val="24"/>
          <w:lang w:val="es-MX"/>
        </w:rPr>
        <w:t>Luis Chi-Cervera, Silvia L Ríos Torres, Aldo Torre</w:t>
      </w:r>
      <w:r w:rsidRPr="00C55E0B">
        <w:rPr>
          <w:rFonts w:ascii="Book Antiqua" w:hAnsi="Book Antiqua"/>
          <w:b/>
          <w:sz w:val="24"/>
          <w:szCs w:val="24"/>
          <w:lang w:val="es-MX" w:eastAsia="zh-CN"/>
        </w:rPr>
        <w:t>,</w:t>
      </w:r>
      <w:r w:rsidRPr="00C55E0B">
        <w:rPr>
          <w:rFonts w:ascii="Book Antiqua" w:hAnsi="Book Antiqua"/>
          <w:sz w:val="24"/>
          <w:szCs w:val="24"/>
          <w:lang w:val="es-MX" w:eastAsia="zh-CN"/>
        </w:rPr>
        <w:t xml:space="preserve"> </w:t>
      </w:r>
      <w:r w:rsidR="00250992" w:rsidRPr="00C55E0B">
        <w:rPr>
          <w:rFonts w:ascii="Book Antiqua" w:hAnsi="Book Antiqua"/>
          <w:sz w:val="24"/>
          <w:szCs w:val="24"/>
          <w:lang w:val="es-MX"/>
        </w:rPr>
        <w:t>Department of Gastroenterology, Instituto Nacional de Ciencias Médicas y Nutrición Salvador Zubirán, México City</w:t>
      </w:r>
      <w:r w:rsidRPr="00C55E0B">
        <w:rPr>
          <w:rFonts w:ascii="Book Antiqua" w:hAnsi="Book Antiqua"/>
          <w:sz w:val="24"/>
          <w:szCs w:val="24"/>
          <w:lang w:val="es-MX" w:eastAsia="zh-CN"/>
        </w:rPr>
        <w:t xml:space="preserve"> </w:t>
      </w:r>
      <w:r w:rsidRPr="00C55E0B">
        <w:rPr>
          <w:rFonts w:ascii="Book Antiqua" w:hAnsi="Book Antiqua"/>
          <w:sz w:val="24"/>
          <w:szCs w:val="24"/>
          <w:lang w:val="es-MX"/>
        </w:rPr>
        <w:t>14080</w:t>
      </w:r>
      <w:r w:rsidR="00250992" w:rsidRPr="00C55E0B">
        <w:rPr>
          <w:rFonts w:ascii="Book Antiqua" w:hAnsi="Book Antiqua"/>
          <w:sz w:val="24"/>
          <w:szCs w:val="24"/>
          <w:lang w:val="es-MX"/>
        </w:rPr>
        <w:t>, México</w:t>
      </w:r>
    </w:p>
    <w:p w:rsidR="003A0AD2" w:rsidRPr="00C55E0B" w:rsidRDefault="003A0AD2" w:rsidP="00C55E0B">
      <w:pPr>
        <w:spacing w:after="0" w:line="360" w:lineRule="auto"/>
        <w:jc w:val="both"/>
        <w:rPr>
          <w:rFonts w:ascii="Book Antiqua" w:hAnsi="Book Antiqua"/>
          <w:b/>
          <w:sz w:val="24"/>
          <w:szCs w:val="24"/>
          <w:lang w:val="en-US" w:eastAsia="zh-CN"/>
        </w:rPr>
      </w:pPr>
    </w:p>
    <w:p w:rsidR="003A0AD2" w:rsidRPr="00C55E0B" w:rsidRDefault="003A0AD2" w:rsidP="00C55E0B">
      <w:pPr>
        <w:spacing w:after="0" w:line="360" w:lineRule="auto"/>
        <w:jc w:val="both"/>
        <w:rPr>
          <w:rFonts w:ascii="Book Antiqua" w:hAnsi="Book Antiqua"/>
          <w:sz w:val="24"/>
          <w:szCs w:val="24"/>
          <w:lang w:val="en-US"/>
        </w:rPr>
      </w:pPr>
      <w:r w:rsidRPr="00C55E0B">
        <w:rPr>
          <w:rFonts w:ascii="Book Antiqua" w:hAnsi="Book Antiqua"/>
          <w:b/>
          <w:sz w:val="24"/>
          <w:szCs w:val="24"/>
          <w:lang w:val="en-US"/>
        </w:rPr>
        <w:t>Author contributions:</w:t>
      </w:r>
      <w:r w:rsidRPr="00C55E0B">
        <w:rPr>
          <w:rFonts w:ascii="Book Antiqua" w:hAnsi="Book Antiqua"/>
          <w:sz w:val="24"/>
          <w:szCs w:val="24"/>
          <w:lang w:val="en-US"/>
        </w:rPr>
        <w:t xml:space="preserve"> Ruiz-Margáin A, Macias-Rodriguez RU and Torre A contributed to study conception and design; Ruiz-Margáin A, Chi-Cervera L and Rios-Torres SL contributed to data acquisition; Ruiz-Margáin A, Macias-Rodriguez RU, Ampuero J, Cubero FJ contributed to data analysis and interpretation, Ruiz-Margáin A, Macias-Rodriguez RU, Cubero FJ and Duarte-Rojo contributed to writing the manuscript and Romero-Gomez M, Ampuero J, Cubero FJ and Torre A contributed to editing, reviewing and final approval of the article and  Torre A provided the funding for the project. </w:t>
      </w:r>
    </w:p>
    <w:p w:rsidR="003A0AD2" w:rsidRPr="00C55E0B" w:rsidRDefault="003A0AD2" w:rsidP="00C55E0B">
      <w:pPr>
        <w:spacing w:after="0" w:line="360" w:lineRule="auto"/>
        <w:jc w:val="both"/>
        <w:rPr>
          <w:rFonts w:ascii="Book Antiqua" w:hAnsi="Book Antiqua"/>
          <w:sz w:val="24"/>
          <w:szCs w:val="24"/>
          <w:lang w:val="en-US"/>
        </w:rPr>
      </w:pPr>
    </w:p>
    <w:p w:rsidR="003A0AD2" w:rsidRPr="00C55E0B" w:rsidRDefault="003A0AD2" w:rsidP="00C55E0B">
      <w:pPr>
        <w:autoSpaceDE w:val="0"/>
        <w:autoSpaceDN w:val="0"/>
        <w:adjustRightInd w:val="0"/>
        <w:spacing w:after="0" w:line="360" w:lineRule="auto"/>
        <w:jc w:val="both"/>
        <w:rPr>
          <w:rFonts w:ascii="Book Antiqua" w:hAnsi="Book Antiqua"/>
          <w:bCs/>
          <w:iCs/>
          <w:color w:val="000000"/>
          <w:sz w:val="24"/>
          <w:szCs w:val="24"/>
          <w:lang w:val="en-US" w:eastAsia="zh-CN"/>
        </w:rPr>
      </w:pPr>
      <w:bookmarkStart w:id="10" w:name="OLE_LINK4"/>
      <w:bookmarkStart w:id="11" w:name="OLE_LINK5"/>
      <w:bookmarkStart w:id="12" w:name="OLE_LINK379"/>
      <w:bookmarkStart w:id="13" w:name="OLE_LINK380"/>
      <w:bookmarkStart w:id="14" w:name="OLE_LINK534"/>
      <w:bookmarkStart w:id="15" w:name="OLE_LINK498"/>
      <w:bookmarkStart w:id="16" w:name="OLE_LINK499"/>
      <w:bookmarkStart w:id="17" w:name="OLE_LINK513"/>
      <w:bookmarkStart w:id="18" w:name="OLE_LINK521"/>
      <w:bookmarkStart w:id="19" w:name="OLE_LINK20"/>
      <w:bookmarkStart w:id="20" w:name="OLE_LINK21"/>
      <w:bookmarkStart w:id="21" w:name="OLE_LINK208"/>
      <w:bookmarkStart w:id="22" w:name="OLE_LINK209"/>
      <w:r w:rsidRPr="00C55E0B">
        <w:rPr>
          <w:rFonts w:ascii="Book Antiqua" w:hAnsi="Book Antiqua"/>
          <w:b/>
          <w:bCs/>
          <w:iCs/>
          <w:color w:val="000000"/>
          <w:sz w:val="24"/>
          <w:szCs w:val="24"/>
          <w:lang w:val="en-US"/>
        </w:rPr>
        <w:t>Institutional review board</w:t>
      </w:r>
      <w:r w:rsidRPr="00C55E0B">
        <w:rPr>
          <w:rFonts w:ascii="Book Antiqua" w:hAnsi="Book Antiqua"/>
          <w:b/>
          <w:bCs/>
          <w:iCs/>
          <w:sz w:val="24"/>
          <w:szCs w:val="24"/>
          <w:lang w:val="en-US"/>
        </w:rPr>
        <w:t xml:space="preserve"> statement</w:t>
      </w:r>
      <w:r w:rsidRPr="00C55E0B">
        <w:rPr>
          <w:rFonts w:ascii="Book Antiqua" w:hAnsi="Book Antiqua"/>
          <w:b/>
          <w:bCs/>
          <w:iCs/>
          <w:color w:val="000000"/>
          <w:sz w:val="24"/>
          <w:szCs w:val="24"/>
          <w:lang w:val="en-US"/>
        </w:rPr>
        <w:t>:</w:t>
      </w:r>
      <w:bookmarkEnd w:id="10"/>
      <w:bookmarkEnd w:id="11"/>
      <w:r w:rsidR="002824AA" w:rsidRPr="00C55E0B">
        <w:rPr>
          <w:rFonts w:ascii="Book Antiqua" w:hAnsi="Book Antiqua"/>
          <w:b/>
          <w:bCs/>
          <w:iCs/>
          <w:color w:val="000000"/>
          <w:sz w:val="24"/>
          <w:szCs w:val="24"/>
          <w:lang w:val="en-US" w:eastAsia="zh-CN"/>
        </w:rPr>
        <w:t xml:space="preserve"> </w:t>
      </w:r>
      <w:r w:rsidR="002824AA" w:rsidRPr="00C55E0B">
        <w:rPr>
          <w:rFonts w:ascii="Book Antiqua" w:hAnsi="Book Antiqua"/>
          <w:bCs/>
          <w:iCs/>
          <w:color w:val="000000"/>
          <w:sz w:val="24"/>
          <w:szCs w:val="24"/>
          <w:lang w:val="en-US" w:eastAsia="zh-CN"/>
        </w:rPr>
        <w:t xml:space="preserve">This study approved by the </w:t>
      </w:r>
      <w:r w:rsidR="002824AA" w:rsidRPr="00C55E0B">
        <w:rPr>
          <w:rFonts w:ascii="Book Antiqua" w:hAnsi="Book Antiqua"/>
          <w:bCs/>
          <w:iCs/>
          <w:color w:val="000000"/>
          <w:sz w:val="24"/>
          <w:szCs w:val="24"/>
          <w:lang w:val="en-US"/>
        </w:rPr>
        <w:t>Institutional review board</w:t>
      </w:r>
      <w:r w:rsidR="002824AA" w:rsidRPr="00C55E0B">
        <w:rPr>
          <w:rFonts w:ascii="Book Antiqua" w:hAnsi="Book Antiqua"/>
          <w:bCs/>
          <w:iCs/>
          <w:sz w:val="24"/>
          <w:szCs w:val="24"/>
          <w:lang w:val="en-US"/>
        </w:rPr>
        <w:t xml:space="preserve"> statement</w:t>
      </w:r>
      <w:r w:rsidR="002824AA" w:rsidRPr="00C55E0B">
        <w:rPr>
          <w:rFonts w:ascii="Book Antiqua" w:hAnsi="Book Antiqua"/>
          <w:bCs/>
          <w:iCs/>
          <w:sz w:val="24"/>
          <w:szCs w:val="24"/>
          <w:lang w:val="en-US" w:eastAsia="zh-CN"/>
        </w:rPr>
        <w:t>.</w:t>
      </w:r>
    </w:p>
    <w:p w:rsidR="002824AA" w:rsidRPr="00C55E0B" w:rsidRDefault="002824AA" w:rsidP="00C55E0B">
      <w:pPr>
        <w:autoSpaceDE w:val="0"/>
        <w:autoSpaceDN w:val="0"/>
        <w:adjustRightInd w:val="0"/>
        <w:spacing w:after="0" w:line="360" w:lineRule="auto"/>
        <w:jc w:val="both"/>
        <w:rPr>
          <w:rFonts w:ascii="Book Antiqua" w:hAnsi="Book Antiqua"/>
          <w:b/>
          <w:bCs/>
          <w:iCs/>
          <w:color w:val="000000"/>
          <w:sz w:val="24"/>
          <w:szCs w:val="24"/>
          <w:lang w:val="en-US" w:eastAsia="zh-CN"/>
        </w:rPr>
      </w:pPr>
    </w:p>
    <w:p w:rsidR="002824AA" w:rsidRPr="00C55E0B" w:rsidRDefault="002824AA" w:rsidP="00C55E0B">
      <w:pPr>
        <w:autoSpaceDE w:val="0"/>
        <w:autoSpaceDN w:val="0"/>
        <w:adjustRightInd w:val="0"/>
        <w:spacing w:after="0" w:line="360" w:lineRule="auto"/>
        <w:jc w:val="both"/>
        <w:rPr>
          <w:rFonts w:ascii="Book Antiqua" w:hAnsi="Book Antiqua"/>
          <w:bCs/>
          <w:iCs/>
          <w:color w:val="000000"/>
          <w:sz w:val="24"/>
          <w:szCs w:val="24"/>
          <w:lang w:eastAsia="zh-CN"/>
        </w:rPr>
      </w:pPr>
      <w:r w:rsidRPr="00C55E0B">
        <w:rPr>
          <w:rFonts w:ascii="Book Antiqua" w:hAnsi="Book Antiqua"/>
          <w:b/>
          <w:bCs/>
          <w:iCs/>
          <w:color w:val="000000"/>
          <w:sz w:val="24"/>
          <w:szCs w:val="24"/>
        </w:rPr>
        <w:t>Clinical trial registration</w:t>
      </w:r>
      <w:r w:rsidRPr="00C55E0B">
        <w:rPr>
          <w:rFonts w:ascii="Book Antiqua" w:hAnsi="Book Antiqua"/>
          <w:b/>
          <w:bCs/>
          <w:iCs/>
          <w:sz w:val="24"/>
          <w:szCs w:val="24"/>
        </w:rPr>
        <w:t xml:space="preserve"> statement</w:t>
      </w:r>
      <w:r w:rsidRPr="00C55E0B">
        <w:rPr>
          <w:rFonts w:ascii="Book Antiqua" w:hAnsi="Book Antiqua"/>
          <w:b/>
          <w:bCs/>
          <w:iCs/>
          <w:color w:val="000000"/>
          <w:sz w:val="24"/>
          <w:szCs w:val="24"/>
        </w:rPr>
        <w:t>:</w:t>
      </w:r>
      <w:r w:rsidRPr="00C55E0B">
        <w:rPr>
          <w:rFonts w:ascii="Book Antiqua" w:hAnsi="Book Antiqua"/>
          <w:bCs/>
          <w:iCs/>
          <w:color w:val="000000"/>
          <w:sz w:val="24"/>
          <w:szCs w:val="24"/>
          <w:lang w:eastAsia="zh-CN"/>
        </w:rPr>
        <w:t xml:space="preserve"> This study was </w:t>
      </w:r>
      <w:r w:rsidRPr="00C55E0B">
        <w:rPr>
          <w:rFonts w:ascii="Book Antiqua" w:hAnsi="Book Antiqua"/>
          <w:bCs/>
          <w:iCs/>
          <w:color w:val="000000"/>
          <w:sz w:val="24"/>
          <w:szCs w:val="24"/>
        </w:rPr>
        <w:t>regist</w:t>
      </w:r>
      <w:r w:rsidRPr="00C55E0B">
        <w:rPr>
          <w:rFonts w:ascii="Book Antiqua" w:hAnsi="Book Antiqua"/>
          <w:bCs/>
          <w:iCs/>
          <w:color w:val="000000"/>
          <w:sz w:val="24"/>
          <w:szCs w:val="24"/>
          <w:lang w:eastAsia="zh-CN"/>
        </w:rPr>
        <w:t xml:space="preserve">erted in </w:t>
      </w:r>
      <w:r w:rsidRPr="00C55E0B">
        <w:rPr>
          <w:rFonts w:ascii="Book Antiqua" w:hAnsi="Book Antiqua"/>
          <w:bCs/>
          <w:iCs/>
          <w:color w:val="000000"/>
          <w:sz w:val="24"/>
          <w:szCs w:val="24"/>
        </w:rPr>
        <w:t>Clinical</w:t>
      </w:r>
      <w:r w:rsidRPr="00C55E0B">
        <w:rPr>
          <w:rFonts w:ascii="Book Antiqua" w:hAnsi="Book Antiqua"/>
          <w:bCs/>
          <w:iCs/>
          <w:color w:val="000000"/>
          <w:sz w:val="24"/>
          <w:szCs w:val="24"/>
          <w:lang w:eastAsia="zh-CN"/>
        </w:rPr>
        <w:t>T</w:t>
      </w:r>
      <w:r w:rsidRPr="00C55E0B">
        <w:rPr>
          <w:rFonts w:ascii="Book Antiqua" w:hAnsi="Book Antiqua"/>
          <w:bCs/>
          <w:iCs/>
          <w:color w:val="000000"/>
          <w:sz w:val="24"/>
          <w:szCs w:val="24"/>
        </w:rPr>
        <w:t>rial</w:t>
      </w:r>
      <w:r w:rsidRPr="00C55E0B">
        <w:rPr>
          <w:rFonts w:ascii="Book Antiqua" w:hAnsi="Book Antiqua"/>
          <w:bCs/>
          <w:iCs/>
          <w:color w:val="000000"/>
          <w:sz w:val="24"/>
          <w:szCs w:val="24"/>
          <w:lang w:eastAsia="zh-CN"/>
        </w:rPr>
        <w:t>s.gov with reference No.NCT02023177, found in the URL https://</w:t>
      </w:r>
      <w:r w:rsidRPr="00C55E0B">
        <w:rPr>
          <w:rFonts w:ascii="Book Antiqua" w:hAnsi="Book Antiqua"/>
          <w:bCs/>
          <w:iCs/>
          <w:color w:val="000000"/>
          <w:sz w:val="24"/>
          <w:szCs w:val="24"/>
        </w:rPr>
        <w:t xml:space="preserve"> Clinical</w:t>
      </w:r>
      <w:r w:rsidRPr="00C55E0B">
        <w:rPr>
          <w:rFonts w:ascii="Book Antiqua" w:hAnsi="Book Antiqua"/>
          <w:bCs/>
          <w:iCs/>
          <w:color w:val="000000"/>
          <w:sz w:val="24"/>
          <w:szCs w:val="24"/>
          <w:lang w:eastAsia="zh-CN"/>
        </w:rPr>
        <w:t>T</w:t>
      </w:r>
      <w:r w:rsidRPr="00C55E0B">
        <w:rPr>
          <w:rFonts w:ascii="Book Antiqua" w:hAnsi="Book Antiqua"/>
          <w:bCs/>
          <w:iCs/>
          <w:color w:val="000000"/>
          <w:sz w:val="24"/>
          <w:szCs w:val="24"/>
        </w:rPr>
        <w:t>rial</w:t>
      </w:r>
      <w:r w:rsidRPr="00C55E0B">
        <w:rPr>
          <w:rFonts w:ascii="Book Antiqua" w:hAnsi="Book Antiqua"/>
          <w:bCs/>
          <w:iCs/>
          <w:color w:val="000000"/>
          <w:sz w:val="24"/>
          <w:szCs w:val="24"/>
          <w:lang w:eastAsia="zh-CN"/>
        </w:rPr>
        <w:t>s.gov/ct2/show/ NCT02023177?term=aldo+toore</w:t>
      </w:r>
      <w:r w:rsidRPr="00C55E0B">
        <w:rPr>
          <w:rFonts w:ascii="Book Antiqua" w:hAnsi="Book Antiqua"/>
          <w:bCs/>
          <w:iCs/>
          <w:color w:val="000000"/>
          <w:sz w:val="24"/>
          <w:szCs w:val="24"/>
          <w:lang w:eastAsia="zh-CN"/>
        </w:rPr>
        <w:sym w:font="Symbol" w:char="F026"/>
      </w:r>
      <w:r w:rsidRPr="00C55E0B">
        <w:rPr>
          <w:rFonts w:ascii="Book Antiqua" w:hAnsi="Book Antiqua"/>
          <w:bCs/>
          <w:iCs/>
          <w:color w:val="000000"/>
          <w:sz w:val="24"/>
          <w:szCs w:val="24"/>
          <w:lang w:eastAsia="zh-CN"/>
        </w:rPr>
        <w:t>rank=7.</w:t>
      </w:r>
    </w:p>
    <w:p w:rsidR="002824AA" w:rsidRPr="00C55E0B" w:rsidRDefault="002824AA" w:rsidP="00C55E0B">
      <w:pPr>
        <w:autoSpaceDE w:val="0"/>
        <w:autoSpaceDN w:val="0"/>
        <w:adjustRightInd w:val="0"/>
        <w:spacing w:after="0" w:line="360" w:lineRule="auto"/>
        <w:jc w:val="both"/>
        <w:rPr>
          <w:rFonts w:ascii="Book Antiqua" w:hAnsi="Book Antiqua"/>
          <w:b/>
          <w:bCs/>
          <w:iCs/>
          <w:color w:val="000000"/>
          <w:sz w:val="24"/>
          <w:szCs w:val="24"/>
          <w:lang w:val="en-US" w:eastAsia="zh-CN"/>
        </w:rPr>
      </w:pPr>
    </w:p>
    <w:p w:rsidR="003A0AD2" w:rsidRPr="00C55E0B" w:rsidRDefault="003A0AD2" w:rsidP="00C55E0B">
      <w:pPr>
        <w:autoSpaceDE w:val="0"/>
        <w:autoSpaceDN w:val="0"/>
        <w:adjustRightInd w:val="0"/>
        <w:spacing w:after="0" w:line="360" w:lineRule="auto"/>
        <w:jc w:val="both"/>
        <w:rPr>
          <w:rFonts w:ascii="Book Antiqua" w:hAnsi="Book Antiqua"/>
          <w:bCs/>
          <w:iCs/>
          <w:color w:val="000000"/>
          <w:sz w:val="24"/>
          <w:szCs w:val="24"/>
          <w:lang w:val="en-US" w:eastAsia="zh-CN"/>
        </w:rPr>
      </w:pPr>
      <w:r w:rsidRPr="00C55E0B">
        <w:rPr>
          <w:rFonts w:ascii="Book Antiqua" w:hAnsi="Book Antiqua"/>
          <w:b/>
          <w:bCs/>
          <w:iCs/>
          <w:color w:val="000000"/>
          <w:sz w:val="24"/>
          <w:szCs w:val="24"/>
          <w:lang w:val="en-US"/>
        </w:rPr>
        <w:t>Informed consent</w:t>
      </w:r>
      <w:r w:rsidRPr="00C55E0B">
        <w:rPr>
          <w:rFonts w:ascii="Book Antiqua" w:hAnsi="Book Antiqua"/>
          <w:b/>
          <w:bCs/>
          <w:iCs/>
          <w:sz w:val="24"/>
          <w:szCs w:val="24"/>
          <w:lang w:val="en-US"/>
        </w:rPr>
        <w:t xml:space="preserve"> statement</w:t>
      </w:r>
      <w:r w:rsidRPr="00C55E0B">
        <w:rPr>
          <w:rFonts w:ascii="Book Antiqua" w:hAnsi="Book Antiqua"/>
          <w:b/>
          <w:bCs/>
          <w:iCs/>
          <w:color w:val="000000"/>
          <w:sz w:val="24"/>
          <w:szCs w:val="24"/>
          <w:lang w:val="en-US"/>
        </w:rPr>
        <w:t xml:space="preserve">: </w:t>
      </w:r>
      <w:r w:rsidR="002824AA" w:rsidRPr="00C55E0B">
        <w:rPr>
          <w:rFonts w:ascii="Book Antiqua" w:hAnsi="Book Antiqua"/>
          <w:bCs/>
          <w:iCs/>
          <w:color w:val="000000"/>
          <w:sz w:val="24"/>
          <w:szCs w:val="24"/>
          <w:lang w:val="en-US"/>
        </w:rPr>
        <w:t>All study participants, or their legal guardian, provided informed written consent prior to study enrollment.</w:t>
      </w:r>
    </w:p>
    <w:p w:rsidR="002824AA" w:rsidRPr="00C55E0B" w:rsidRDefault="002824AA" w:rsidP="00C55E0B">
      <w:pPr>
        <w:autoSpaceDE w:val="0"/>
        <w:autoSpaceDN w:val="0"/>
        <w:adjustRightInd w:val="0"/>
        <w:spacing w:after="0" w:line="360" w:lineRule="auto"/>
        <w:jc w:val="both"/>
        <w:rPr>
          <w:rFonts w:ascii="Book Antiqua" w:hAnsi="Book Antiqua"/>
          <w:b/>
          <w:bCs/>
          <w:iCs/>
          <w:color w:val="000000"/>
          <w:sz w:val="24"/>
          <w:szCs w:val="24"/>
          <w:lang w:eastAsia="zh-CN"/>
        </w:rPr>
      </w:pPr>
    </w:p>
    <w:p w:rsidR="003A0AD2" w:rsidRPr="00C55E0B" w:rsidRDefault="003A0AD2" w:rsidP="00C55E0B">
      <w:pPr>
        <w:autoSpaceDE w:val="0"/>
        <w:autoSpaceDN w:val="0"/>
        <w:adjustRightInd w:val="0"/>
        <w:spacing w:after="0" w:line="360" w:lineRule="auto"/>
        <w:jc w:val="both"/>
        <w:rPr>
          <w:rFonts w:ascii="Book Antiqua" w:hAnsi="Book Antiqua" w:cs="TimesNewRomanPS-BoldItalicMT"/>
          <w:b/>
          <w:bCs/>
          <w:iCs/>
          <w:color w:val="000000"/>
          <w:sz w:val="24"/>
          <w:szCs w:val="24"/>
          <w:lang w:val="en-US" w:eastAsia="zh-CN"/>
        </w:rPr>
      </w:pPr>
      <w:bookmarkStart w:id="23" w:name="OLE_LINK526"/>
      <w:bookmarkStart w:id="24" w:name="OLE_LINK527"/>
      <w:r w:rsidRPr="00C55E0B">
        <w:rPr>
          <w:rFonts w:ascii="Book Antiqua" w:hAnsi="Book Antiqua" w:cs="TimesNewRomanPS-BoldItalicMT"/>
          <w:b/>
          <w:bCs/>
          <w:iCs/>
          <w:color w:val="000000"/>
          <w:sz w:val="24"/>
          <w:szCs w:val="24"/>
          <w:lang w:val="en-US"/>
        </w:rPr>
        <w:t>Conflict-of-interest</w:t>
      </w:r>
      <w:r w:rsidRPr="00C55E0B">
        <w:rPr>
          <w:rFonts w:ascii="Book Antiqua" w:hAnsi="Book Antiqua"/>
          <w:b/>
          <w:bCs/>
          <w:iCs/>
          <w:sz w:val="24"/>
          <w:szCs w:val="24"/>
          <w:lang w:val="en-US"/>
        </w:rPr>
        <w:t xml:space="preserve"> statement</w:t>
      </w:r>
      <w:r w:rsidRPr="00C55E0B">
        <w:rPr>
          <w:rFonts w:ascii="Book Antiqua" w:hAnsi="Book Antiqua" w:cs="TimesNewRomanPS-BoldItalicMT"/>
          <w:b/>
          <w:bCs/>
          <w:iCs/>
          <w:color w:val="000000"/>
          <w:sz w:val="24"/>
          <w:szCs w:val="24"/>
          <w:lang w:val="en-US"/>
        </w:rPr>
        <w:t>:</w:t>
      </w:r>
      <w:r w:rsidR="002824AA" w:rsidRPr="00C55E0B">
        <w:rPr>
          <w:rFonts w:ascii="Book Antiqua" w:hAnsi="Book Antiqua" w:cs="TimesNewRomanPS-BoldItalicMT"/>
          <w:b/>
          <w:bCs/>
          <w:iCs/>
          <w:color w:val="000000"/>
          <w:sz w:val="24"/>
          <w:szCs w:val="24"/>
          <w:lang w:val="en-US" w:eastAsia="zh-CN"/>
        </w:rPr>
        <w:t xml:space="preserve"> </w:t>
      </w:r>
      <w:r w:rsidR="002824AA" w:rsidRPr="00C55E0B">
        <w:rPr>
          <w:rFonts w:ascii="Book Antiqua" w:hAnsi="Book Antiqua"/>
          <w:sz w:val="24"/>
          <w:szCs w:val="24"/>
        </w:rPr>
        <w:t>No potential conflicts of interest relevant to this article were reported.</w:t>
      </w:r>
    </w:p>
    <w:bookmarkEnd w:id="12"/>
    <w:bookmarkEnd w:id="13"/>
    <w:bookmarkEnd w:id="14"/>
    <w:bookmarkEnd w:id="23"/>
    <w:bookmarkEnd w:id="24"/>
    <w:p w:rsidR="003A0AD2" w:rsidRPr="00C55E0B" w:rsidRDefault="003A0AD2" w:rsidP="00C55E0B">
      <w:pPr>
        <w:autoSpaceDE w:val="0"/>
        <w:autoSpaceDN w:val="0"/>
        <w:adjustRightInd w:val="0"/>
        <w:spacing w:after="0" w:line="360" w:lineRule="auto"/>
        <w:jc w:val="both"/>
        <w:rPr>
          <w:rFonts w:ascii="Book Antiqua" w:hAnsi="Book Antiqua" w:cs="TimesNewRomanPS-BoldItalicMT"/>
          <w:b/>
          <w:bCs/>
          <w:iCs/>
          <w:color w:val="000000"/>
          <w:sz w:val="24"/>
          <w:szCs w:val="24"/>
          <w:lang w:val="en-US"/>
        </w:rPr>
      </w:pPr>
    </w:p>
    <w:p w:rsidR="002824AA" w:rsidRPr="00C55E0B" w:rsidRDefault="003A0AD2" w:rsidP="00C55E0B">
      <w:pPr>
        <w:autoSpaceDE w:val="0"/>
        <w:autoSpaceDN w:val="0"/>
        <w:adjustRightInd w:val="0"/>
        <w:spacing w:after="0" w:line="360" w:lineRule="auto"/>
        <w:jc w:val="both"/>
        <w:rPr>
          <w:rFonts w:ascii="Book Antiqua" w:hAnsi="Book Antiqua"/>
          <w:b/>
          <w:bCs/>
          <w:iCs/>
          <w:sz w:val="24"/>
          <w:szCs w:val="24"/>
        </w:rPr>
      </w:pPr>
      <w:r w:rsidRPr="00C55E0B">
        <w:rPr>
          <w:rFonts w:ascii="Book Antiqua" w:hAnsi="Book Antiqua" w:cs="TimesNewRomanPS-BoldItalicMT"/>
          <w:b/>
          <w:bCs/>
          <w:iCs/>
          <w:color w:val="000000"/>
          <w:sz w:val="24"/>
          <w:szCs w:val="24"/>
          <w:lang w:val="en-US"/>
        </w:rPr>
        <w:t>Data sharing</w:t>
      </w:r>
      <w:r w:rsidRPr="00C55E0B">
        <w:rPr>
          <w:rFonts w:ascii="Book Antiqua" w:hAnsi="Book Antiqua"/>
          <w:b/>
          <w:bCs/>
          <w:iCs/>
          <w:sz w:val="24"/>
          <w:szCs w:val="24"/>
          <w:lang w:val="en-US"/>
        </w:rPr>
        <w:t xml:space="preserve"> statement</w:t>
      </w:r>
      <w:r w:rsidRPr="00C55E0B">
        <w:rPr>
          <w:rFonts w:ascii="Book Antiqua" w:hAnsi="Book Antiqua" w:cs="TimesNewRomanPS-BoldItalicMT"/>
          <w:b/>
          <w:bCs/>
          <w:iCs/>
          <w:color w:val="000000"/>
          <w:sz w:val="24"/>
          <w:szCs w:val="24"/>
          <w:lang w:val="en-US"/>
        </w:rPr>
        <w:t>:</w:t>
      </w:r>
      <w:bookmarkEnd w:id="15"/>
      <w:bookmarkEnd w:id="16"/>
      <w:bookmarkEnd w:id="17"/>
      <w:bookmarkEnd w:id="18"/>
      <w:bookmarkEnd w:id="19"/>
      <w:bookmarkEnd w:id="20"/>
      <w:r w:rsidR="002824AA" w:rsidRPr="00C55E0B">
        <w:rPr>
          <w:rFonts w:ascii="Book Antiqua" w:hAnsi="Book Antiqua"/>
          <w:color w:val="000000"/>
          <w:sz w:val="24"/>
          <w:szCs w:val="24"/>
        </w:rPr>
        <w:t xml:space="preserve"> No additional data are available.</w:t>
      </w:r>
    </w:p>
    <w:bookmarkEnd w:id="21"/>
    <w:bookmarkEnd w:id="22"/>
    <w:p w:rsidR="003A0AD2" w:rsidRPr="00C55E0B" w:rsidRDefault="003A0AD2" w:rsidP="00C55E0B">
      <w:pPr>
        <w:spacing w:after="0" w:line="360" w:lineRule="auto"/>
        <w:jc w:val="both"/>
        <w:rPr>
          <w:rFonts w:ascii="Book Antiqua" w:hAnsi="Book Antiqua"/>
          <w:sz w:val="24"/>
          <w:szCs w:val="24"/>
          <w:lang w:val="en-US" w:eastAsia="zh-CN"/>
        </w:rPr>
      </w:pPr>
    </w:p>
    <w:p w:rsidR="003A0AD2" w:rsidRPr="00C55E0B" w:rsidRDefault="003A0AD2" w:rsidP="00C55E0B">
      <w:pPr>
        <w:spacing w:after="0" w:line="360" w:lineRule="auto"/>
        <w:jc w:val="both"/>
        <w:rPr>
          <w:rFonts w:ascii="Book Antiqua" w:hAnsi="Book Antiqua"/>
          <w:b/>
          <w:color w:val="000000"/>
          <w:sz w:val="24"/>
          <w:szCs w:val="24"/>
          <w:lang w:val="en-US"/>
        </w:rPr>
      </w:pPr>
      <w:bookmarkStart w:id="25" w:name="OLE_LINK155"/>
      <w:bookmarkStart w:id="26" w:name="OLE_LINK183"/>
      <w:bookmarkStart w:id="27" w:name="OLE_LINK441"/>
      <w:r w:rsidRPr="00C55E0B">
        <w:rPr>
          <w:rFonts w:ascii="Book Antiqua" w:hAnsi="Book Antiqua"/>
          <w:b/>
          <w:color w:val="000000"/>
          <w:sz w:val="24"/>
          <w:szCs w:val="24"/>
          <w:lang w:val="en-US"/>
        </w:rPr>
        <w:t xml:space="preserve">Open-Access: </w:t>
      </w:r>
      <w:r w:rsidRPr="00C55E0B">
        <w:rPr>
          <w:rFonts w:ascii="Book Antiqua" w:hAnsi="Book Antiqua"/>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5"/>
    <w:bookmarkEnd w:id="26"/>
    <w:bookmarkEnd w:id="27"/>
    <w:p w:rsidR="003A0AD2" w:rsidRPr="00C55E0B" w:rsidRDefault="003A0AD2" w:rsidP="00C55E0B">
      <w:pPr>
        <w:spacing w:after="0" w:line="360" w:lineRule="auto"/>
        <w:jc w:val="both"/>
        <w:rPr>
          <w:rFonts w:ascii="Book Antiqua" w:hAnsi="Book Antiqua" w:cs="Arial Unicode MS"/>
          <w:color w:val="000000"/>
          <w:sz w:val="24"/>
          <w:szCs w:val="24"/>
          <w:lang w:val="en-US" w:eastAsia="zh-CN"/>
        </w:rPr>
      </w:pPr>
    </w:p>
    <w:p w:rsidR="003A0AD2" w:rsidRPr="00C55E0B" w:rsidRDefault="003A0AD2" w:rsidP="00C55E0B">
      <w:pPr>
        <w:spacing w:after="0" w:line="360" w:lineRule="auto"/>
        <w:jc w:val="both"/>
        <w:rPr>
          <w:rFonts w:ascii="Book Antiqua" w:hAnsi="Book Antiqua" w:cs="Arial Unicode MS"/>
          <w:color w:val="000000"/>
          <w:sz w:val="24"/>
          <w:szCs w:val="24"/>
          <w:lang w:val="en-US"/>
        </w:rPr>
      </w:pPr>
      <w:r w:rsidRPr="00C55E0B">
        <w:rPr>
          <w:rFonts w:ascii="Book Antiqua" w:hAnsi="Book Antiqua" w:cs="Arial Unicode MS"/>
          <w:b/>
          <w:color w:val="000000"/>
          <w:sz w:val="24"/>
          <w:szCs w:val="24"/>
          <w:lang w:val="en-US"/>
        </w:rPr>
        <w:t>Manuscript source:</w:t>
      </w:r>
      <w:r w:rsidRPr="00C55E0B">
        <w:rPr>
          <w:rFonts w:ascii="Book Antiqua" w:hAnsi="Book Antiqua" w:cs="Arial Unicode MS"/>
          <w:color w:val="000000"/>
          <w:sz w:val="24"/>
          <w:szCs w:val="24"/>
          <w:lang w:val="en-US"/>
        </w:rPr>
        <w:t xml:space="preserve"> Invited manuscript</w:t>
      </w:r>
    </w:p>
    <w:p w:rsidR="00E24C43" w:rsidRPr="00C55E0B" w:rsidRDefault="00E24C43" w:rsidP="00C55E0B">
      <w:pPr>
        <w:spacing w:after="0" w:line="360" w:lineRule="auto"/>
        <w:ind w:left="360"/>
        <w:jc w:val="both"/>
        <w:rPr>
          <w:rFonts w:ascii="Book Antiqua" w:hAnsi="Book Antiqua"/>
          <w:sz w:val="24"/>
          <w:szCs w:val="24"/>
          <w:lang w:val="en-US" w:eastAsia="zh-CN"/>
        </w:rPr>
      </w:pPr>
    </w:p>
    <w:p w:rsidR="00383E11" w:rsidRPr="00C55E0B" w:rsidRDefault="00383E11" w:rsidP="00C55E0B">
      <w:pPr>
        <w:spacing w:after="0" w:line="360" w:lineRule="auto"/>
        <w:jc w:val="both"/>
        <w:rPr>
          <w:rFonts w:ascii="Book Antiqua" w:hAnsi="Book Antiqua"/>
          <w:sz w:val="24"/>
          <w:szCs w:val="24"/>
          <w:lang w:val="en-US" w:eastAsia="zh-CN"/>
        </w:rPr>
      </w:pPr>
      <w:r w:rsidRPr="00C55E0B">
        <w:rPr>
          <w:rFonts w:ascii="Book Antiqua" w:hAnsi="Book Antiqua"/>
          <w:b/>
          <w:sz w:val="24"/>
          <w:szCs w:val="24"/>
          <w:lang w:val="es-MX"/>
        </w:rPr>
        <w:t>Correspondence</w:t>
      </w:r>
      <w:r w:rsidRPr="00C55E0B">
        <w:rPr>
          <w:rFonts w:ascii="Book Antiqua" w:hAnsi="Book Antiqua"/>
          <w:b/>
          <w:sz w:val="24"/>
          <w:szCs w:val="24"/>
          <w:lang w:val="es-MX" w:eastAsia="zh-CN"/>
        </w:rPr>
        <w:t xml:space="preserve"> to</w:t>
      </w:r>
      <w:r w:rsidRPr="00C55E0B">
        <w:rPr>
          <w:rFonts w:ascii="Book Antiqua" w:hAnsi="Book Antiqua"/>
          <w:b/>
          <w:sz w:val="24"/>
          <w:szCs w:val="24"/>
          <w:lang w:val="es-MX"/>
        </w:rPr>
        <w:t>: Aldo Torre, MD, MSc</w:t>
      </w:r>
      <w:r w:rsidRPr="00C55E0B">
        <w:rPr>
          <w:rFonts w:ascii="Book Antiqua" w:hAnsi="Book Antiqua"/>
          <w:b/>
          <w:sz w:val="24"/>
          <w:szCs w:val="24"/>
          <w:lang w:val="es-MX" w:eastAsia="zh-CN"/>
        </w:rPr>
        <w:t xml:space="preserve">, </w:t>
      </w:r>
      <w:r w:rsidRPr="00C55E0B">
        <w:rPr>
          <w:rFonts w:ascii="Book Antiqua" w:hAnsi="Book Antiqua"/>
          <w:sz w:val="24"/>
          <w:szCs w:val="24"/>
          <w:lang w:val="es-MX"/>
        </w:rPr>
        <w:t>Department of Gastroenterology, Instituto Nacional de Ciencias Médicas y Nutrición Salvador Zubirán, Vasco de Quiroga 15, Colonia Sección XVI, Tlalpan C.P.</w:t>
      </w:r>
      <w:r w:rsidR="003A0AD2" w:rsidRPr="00C55E0B">
        <w:rPr>
          <w:rFonts w:ascii="Book Antiqua" w:hAnsi="Book Antiqua"/>
          <w:sz w:val="24"/>
          <w:szCs w:val="24"/>
          <w:lang w:val="es-MX" w:eastAsia="zh-CN"/>
        </w:rPr>
        <w:t>,</w:t>
      </w:r>
      <w:r w:rsidRPr="00C55E0B">
        <w:rPr>
          <w:rFonts w:ascii="Book Antiqua" w:hAnsi="Book Antiqua"/>
          <w:sz w:val="24"/>
          <w:szCs w:val="24"/>
          <w:lang w:val="es-MX"/>
        </w:rPr>
        <w:t xml:space="preserve"> México City</w:t>
      </w:r>
      <w:r w:rsidR="003A0AD2" w:rsidRPr="00C55E0B">
        <w:rPr>
          <w:rFonts w:ascii="Book Antiqua" w:hAnsi="Book Antiqua"/>
          <w:sz w:val="24"/>
          <w:szCs w:val="24"/>
          <w:lang w:val="es-MX" w:eastAsia="zh-CN"/>
        </w:rPr>
        <w:t xml:space="preserve"> </w:t>
      </w:r>
      <w:r w:rsidR="003A0AD2" w:rsidRPr="00C55E0B">
        <w:rPr>
          <w:rFonts w:ascii="Book Antiqua" w:hAnsi="Book Antiqua"/>
          <w:sz w:val="24"/>
          <w:szCs w:val="24"/>
          <w:lang w:val="es-MX"/>
        </w:rPr>
        <w:t>14080</w:t>
      </w:r>
      <w:r w:rsidRPr="00C55E0B">
        <w:rPr>
          <w:rFonts w:ascii="Book Antiqua" w:hAnsi="Book Antiqua"/>
          <w:sz w:val="24"/>
          <w:szCs w:val="24"/>
          <w:lang w:val="es-MX"/>
        </w:rPr>
        <w:t>, Mexico</w:t>
      </w:r>
      <w:r w:rsidR="003A0AD2" w:rsidRPr="00C55E0B">
        <w:rPr>
          <w:rFonts w:ascii="Book Antiqua" w:hAnsi="Book Antiqua"/>
          <w:b/>
          <w:sz w:val="24"/>
          <w:szCs w:val="24"/>
          <w:lang w:val="es-MX" w:eastAsia="zh-CN"/>
        </w:rPr>
        <w:t xml:space="preserve">. </w:t>
      </w:r>
      <w:hyperlink r:id="rId7" w:history="1">
        <w:r w:rsidR="003A0AD2" w:rsidRPr="00C55E0B">
          <w:rPr>
            <w:rStyle w:val="Hyperlink"/>
            <w:rFonts w:ascii="Book Antiqua" w:hAnsi="Book Antiqua"/>
            <w:sz w:val="24"/>
            <w:szCs w:val="24"/>
            <w:lang w:val="en-US"/>
          </w:rPr>
          <w:t>detoal@yahoo.com</w:t>
        </w:r>
      </w:hyperlink>
    </w:p>
    <w:p w:rsidR="00383E11" w:rsidRPr="00C55E0B" w:rsidRDefault="00383E11" w:rsidP="00C55E0B">
      <w:pPr>
        <w:spacing w:after="0" w:line="360" w:lineRule="auto"/>
        <w:jc w:val="both"/>
        <w:rPr>
          <w:rFonts w:ascii="Book Antiqua" w:hAnsi="Book Antiqua"/>
          <w:sz w:val="24"/>
          <w:szCs w:val="24"/>
          <w:lang w:val="en-US" w:eastAsia="zh-CN"/>
        </w:rPr>
      </w:pPr>
      <w:r w:rsidRPr="00C55E0B">
        <w:rPr>
          <w:rFonts w:ascii="Book Antiqua" w:hAnsi="Book Antiqua"/>
          <w:b/>
          <w:sz w:val="24"/>
          <w:szCs w:val="24"/>
          <w:lang w:val="en-US"/>
        </w:rPr>
        <w:t>Tel</w:t>
      </w:r>
      <w:r w:rsidR="003A0AD2" w:rsidRPr="00C55E0B">
        <w:rPr>
          <w:rFonts w:ascii="Book Antiqua" w:hAnsi="Book Antiqua"/>
          <w:b/>
          <w:sz w:val="24"/>
          <w:szCs w:val="24"/>
          <w:lang w:val="en-US" w:eastAsia="zh-CN"/>
        </w:rPr>
        <w:t>ephone</w:t>
      </w:r>
      <w:r w:rsidRPr="00C55E0B">
        <w:rPr>
          <w:rFonts w:ascii="Book Antiqua" w:hAnsi="Book Antiqua"/>
          <w:sz w:val="24"/>
          <w:szCs w:val="24"/>
          <w:lang w:val="en-US"/>
        </w:rPr>
        <w:t>: +52-155</w:t>
      </w:r>
      <w:r w:rsidR="003A0AD2" w:rsidRPr="00C55E0B">
        <w:rPr>
          <w:rFonts w:ascii="Book Antiqua" w:hAnsi="Book Antiqua"/>
          <w:sz w:val="24"/>
          <w:szCs w:val="24"/>
          <w:lang w:val="en-US" w:eastAsia="zh-CN"/>
        </w:rPr>
        <w:t>-</w:t>
      </w:r>
      <w:r w:rsidRPr="00C55E0B">
        <w:rPr>
          <w:rFonts w:ascii="Book Antiqua" w:hAnsi="Book Antiqua"/>
          <w:sz w:val="24"/>
          <w:szCs w:val="24"/>
          <w:lang w:val="en-US"/>
        </w:rPr>
        <w:t xml:space="preserve">54870900 </w:t>
      </w:r>
    </w:p>
    <w:p w:rsidR="00383E11" w:rsidRPr="00C55E0B" w:rsidRDefault="00383E11" w:rsidP="00C55E0B">
      <w:pPr>
        <w:spacing w:after="0" w:line="360" w:lineRule="auto"/>
        <w:jc w:val="both"/>
        <w:rPr>
          <w:rFonts w:ascii="Book Antiqua" w:hAnsi="Book Antiqua"/>
          <w:b/>
          <w:sz w:val="24"/>
          <w:szCs w:val="24"/>
          <w:lang w:val="en-US"/>
        </w:rPr>
      </w:pPr>
    </w:p>
    <w:p w:rsidR="00E24C43" w:rsidRPr="00C55E0B" w:rsidRDefault="00E24C43" w:rsidP="00C55E0B">
      <w:pPr>
        <w:spacing w:after="0" w:line="360" w:lineRule="auto"/>
        <w:jc w:val="both"/>
        <w:rPr>
          <w:rFonts w:ascii="Book Antiqua" w:hAnsi="Book Antiqua"/>
          <w:sz w:val="24"/>
          <w:szCs w:val="24"/>
          <w:lang w:val="en-US" w:eastAsia="zh-CN"/>
        </w:rPr>
      </w:pPr>
      <w:bookmarkStart w:id="28" w:name="OLE_LINK476"/>
      <w:bookmarkStart w:id="29" w:name="OLE_LINK477"/>
      <w:bookmarkStart w:id="30" w:name="OLE_LINK117"/>
      <w:bookmarkStart w:id="31" w:name="OLE_LINK528"/>
      <w:bookmarkStart w:id="32" w:name="OLE_LINK557"/>
      <w:r w:rsidRPr="00C55E0B">
        <w:rPr>
          <w:rFonts w:ascii="Book Antiqua" w:hAnsi="Book Antiqua"/>
          <w:b/>
          <w:sz w:val="24"/>
          <w:szCs w:val="24"/>
          <w:lang w:val="en-US"/>
        </w:rPr>
        <w:t>Received:</w:t>
      </w:r>
      <w:r w:rsidR="002824AA" w:rsidRPr="00C55E0B">
        <w:rPr>
          <w:rFonts w:ascii="Book Antiqua" w:hAnsi="Book Antiqua"/>
          <w:b/>
          <w:sz w:val="24"/>
          <w:szCs w:val="24"/>
          <w:lang w:val="en-US" w:eastAsia="zh-CN"/>
        </w:rPr>
        <w:t xml:space="preserve"> </w:t>
      </w:r>
      <w:r w:rsidR="002824AA" w:rsidRPr="00C55E0B">
        <w:rPr>
          <w:rFonts w:ascii="Book Antiqua" w:hAnsi="Book Antiqua"/>
          <w:sz w:val="24"/>
          <w:szCs w:val="24"/>
          <w:lang w:val="en-US" w:eastAsia="zh-CN"/>
        </w:rPr>
        <w:t>August 9, 2016</w:t>
      </w:r>
    </w:p>
    <w:p w:rsidR="00E24C43" w:rsidRPr="00C55E0B" w:rsidRDefault="00E24C43" w:rsidP="00C55E0B">
      <w:pPr>
        <w:spacing w:after="0" w:line="360" w:lineRule="auto"/>
        <w:jc w:val="both"/>
        <w:rPr>
          <w:rFonts w:ascii="Book Antiqua" w:hAnsi="Book Antiqua"/>
          <w:b/>
          <w:sz w:val="24"/>
          <w:szCs w:val="24"/>
          <w:lang w:val="en-US" w:eastAsia="zh-CN"/>
        </w:rPr>
      </w:pPr>
      <w:r w:rsidRPr="00C55E0B">
        <w:rPr>
          <w:rFonts w:ascii="Book Antiqua" w:hAnsi="Book Antiqua"/>
          <w:b/>
          <w:sz w:val="24"/>
          <w:szCs w:val="24"/>
          <w:lang w:val="en-US"/>
        </w:rPr>
        <w:t>Peer-review started:</w:t>
      </w:r>
      <w:r w:rsidR="002824AA" w:rsidRPr="00C55E0B">
        <w:rPr>
          <w:rFonts w:ascii="Book Antiqua" w:hAnsi="Book Antiqua"/>
          <w:b/>
          <w:sz w:val="24"/>
          <w:szCs w:val="24"/>
          <w:lang w:val="en-US" w:eastAsia="zh-CN"/>
        </w:rPr>
        <w:t xml:space="preserve"> </w:t>
      </w:r>
      <w:r w:rsidR="002824AA" w:rsidRPr="00C55E0B">
        <w:rPr>
          <w:rFonts w:ascii="Book Antiqua" w:hAnsi="Book Antiqua"/>
          <w:sz w:val="24"/>
          <w:szCs w:val="24"/>
          <w:lang w:val="en-US" w:eastAsia="zh-CN"/>
        </w:rPr>
        <w:t>August 9, 2016</w:t>
      </w:r>
    </w:p>
    <w:p w:rsidR="00E24C43" w:rsidRPr="00C55E0B" w:rsidRDefault="00E24C43" w:rsidP="00C55E0B">
      <w:pPr>
        <w:spacing w:after="0" w:line="360" w:lineRule="auto"/>
        <w:jc w:val="both"/>
        <w:rPr>
          <w:rFonts w:ascii="Book Antiqua" w:hAnsi="Book Antiqua"/>
          <w:sz w:val="24"/>
          <w:szCs w:val="24"/>
          <w:lang w:val="en-US" w:eastAsia="zh-CN"/>
        </w:rPr>
      </w:pPr>
      <w:r w:rsidRPr="00C55E0B">
        <w:rPr>
          <w:rFonts w:ascii="Book Antiqua" w:hAnsi="Book Antiqua"/>
          <w:b/>
          <w:sz w:val="24"/>
          <w:szCs w:val="24"/>
          <w:lang w:val="en-US"/>
        </w:rPr>
        <w:t>First decision:</w:t>
      </w:r>
      <w:r w:rsidR="002824AA" w:rsidRPr="00C55E0B">
        <w:rPr>
          <w:rFonts w:ascii="Book Antiqua" w:hAnsi="Book Antiqua"/>
          <w:b/>
          <w:sz w:val="24"/>
          <w:szCs w:val="24"/>
          <w:lang w:val="en-US" w:eastAsia="zh-CN"/>
        </w:rPr>
        <w:t xml:space="preserve"> </w:t>
      </w:r>
      <w:r w:rsidR="002824AA" w:rsidRPr="00C55E0B">
        <w:rPr>
          <w:rFonts w:ascii="Book Antiqua" w:hAnsi="Book Antiqua"/>
          <w:sz w:val="24"/>
          <w:szCs w:val="24"/>
          <w:lang w:val="en-US" w:eastAsia="zh-CN"/>
        </w:rPr>
        <w:t>September 21, 2016</w:t>
      </w:r>
    </w:p>
    <w:p w:rsidR="00E24C43" w:rsidRPr="00C55E0B" w:rsidRDefault="00E24C43" w:rsidP="00C55E0B">
      <w:pPr>
        <w:spacing w:after="0" w:line="360" w:lineRule="auto"/>
        <w:jc w:val="both"/>
        <w:rPr>
          <w:rFonts w:ascii="Book Antiqua" w:hAnsi="Book Antiqua"/>
          <w:b/>
          <w:sz w:val="24"/>
          <w:szCs w:val="24"/>
          <w:lang w:val="en-US" w:eastAsia="zh-CN"/>
        </w:rPr>
      </w:pPr>
      <w:r w:rsidRPr="00C55E0B">
        <w:rPr>
          <w:rFonts w:ascii="Book Antiqua" w:hAnsi="Book Antiqua"/>
          <w:b/>
          <w:sz w:val="24"/>
          <w:szCs w:val="24"/>
          <w:lang w:val="en-US"/>
        </w:rPr>
        <w:t>Revised:</w:t>
      </w:r>
      <w:r w:rsidR="002824AA" w:rsidRPr="00C55E0B">
        <w:rPr>
          <w:rFonts w:ascii="Book Antiqua" w:hAnsi="Book Antiqua"/>
          <w:b/>
          <w:sz w:val="24"/>
          <w:szCs w:val="24"/>
          <w:lang w:val="en-US" w:eastAsia="zh-CN"/>
        </w:rPr>
        <w:t xml:space="preserve"> </w:t>
      </w:r>
      <w:r w:rsidR="002824AA" w:rsidRPr="00C55E0B">
        <w:rPr>
          <w:rFonts w:ascii="Book Antiqua" w:hAnsi="Book Antiqua"/>
          <w:sz w:val="24"/>
          <w:szCs w:val="24"/>
          <w:lang w:val="en-US" w:eastAsia="zh-CN"/>
        </w:rPr>
        <w:t>September 27, 2016</w:t>
      </w:r>
    </w:p>
    <w:p w:rsidR="00E24C43" w:rsidRPr="00AC3CEE" w:rsidRDefault="00E24C43" w:rsidP="00AC3CEE">
      <w:pPr>
        <w:spacing w:line="360" w:lineRule="auto"/>
        <w:rPr>
          <w:rFonts w:ascii="Book Antiqua" w:hAnsi="Book Antiqua"/>
          <w:color w:val="000000"/>
          <w:sz w:val="24"/>
        </w:rPr>
      </w:pPr>
      <w:r w:rsidRPr="00C55E0B">
        <w:rPr>
          <w:rFonts w:ascii="Book Antiqua" w:hAnsi="Book Antiqua"/>
          <w:b/>
          <w:sz w:val="24"/>
          <w:szCs w:val="24"/>
          <w:lang w:val="en-US"/>
        </w:rPr>
        <w:lastRenderedPageBreak/>
        <w:t>Accepted:</w:t>
      </w:r>
      <w:r w:rsidR="00AC3CEE" w:rsidRPr="00AC3CEE">
        <w:rPr>
          <w:rFonts w:ascii="Book Antiqua" w:hAnsi="Book Antiqua"/>
          <w:color w:val="000000"/>
          <w:sz w:val="24"/>
        </w:rPr>
        <w:t xml:space="preserve"> </w:t>
      </w:r>
      <w:r w:rsidR="00AC3CEE">
        <w:rPr>
          <w:rFonts w:ascii="Book Antiqua" w:hAnsi="Book Antiqua"/>
          <w:color w:val="000000"/>
          <w:sz w:val="24"/>
        </w:rPr>
        <w:t>October 30, 2016</w:t>
      </w:r>
      <w:bookmarkStart w:id="33" w:name="_GoBack"/>
      <w:bookmarkEnd w:id="33"/>
      <w:r w:rsidRPr="00C55E0B">
        <w:rPr>
          <w:rFonts w:ascii="Book Antiqua" w:hAnsi="Book Antiqua"/>
          <w:b/>
          <w:sz w:val="24"/>
          <w:szCs w:val="24"/>
          <w:lang w:val="en-US"/>
        </w:rPr>
        <w:t xml:space="preserve">  </w:t>
      </w:r>
    </w:p>
    <w:p w:rsidR="00E24C43" w:rsidRPr="00C55E0B" w:rsidRDefault="00E24C43" w:rsidP="00C55E0B">
      <w:pPr>
        <w:spacing w:after="0" w:line="360" w:lineRule="auto"/>
        <w:jc w:val="both"/>
        <w:rPr>
          <w:rFonts w:ascii="Book Antiqua" w:hAnsi="Book Antiqua"/>
          <w:b/>
          <w:sz w:val="24"/>
          <w:szCs w:val="24"/>
          <w:lang w:val="en-US"/>
        </w:rPr>
      </w:pPr>
      <w:r w:rsidRPr="00C55E0B">
        <w:rPr>
          <w:rFonts w:ascii="Book Antiqua" w:hAnsi="Book Antiqua"/>
          <w:b/>
          <w:sz w:val="24"/>
          <w:szCs w:val="24"/>
          <w:lang w:val="en-US"/>
        </w:rPr>
        <w:t>Article in press:</w:t>
      </w:r>
    </w:p>
    <w:p w:rsidR="00E24C43" w:rsidRPr="00C55E0B" w:rsidRDefault="00E24C43" w:rsidP="00C55E0B">
      <w:pPr>
        <w:spacing w:after="0" w:line="360" w:lineRule="auto"/>
        <w:jc w:val="both"/>
        <w:rPr>
          <w:rFonts w:ascii="Book Antiqua" w:hAnsi="Book Antiqua"/>
          <w:b/>
          <w:sz w:val="24"/>
          <w:szCs w:val="24"/>
          <w:lang w:val="en-US"/>
        </w:rPr>
      </w:pPr>
      <w:r w:rsidRPr="00C55E0B">
        <w:rPr>
          <w:rFonts w:ascii="Book Antiqua" w:hAnsi="Book Antiqua"/>
          <w:b/>
          <w:sz w:val="24"/>
          <w:szCs w:val="24"/>
          <w:lang w:val="en-US"/>
        </w:rPr>
        <w:t>Published online:</w:t>
      </w:r>
    </w:p>
    <w:bookmarkEnd w:id="28"/>
    <w:bookmarkEnd w:id="29"/>
    <w:bookmarkEnd w:id="30"/>
    <w:bookmarkEnd w:id="31"/>
    <w:bookmarkEnd w:id="32"/>
    <w:p w:rsidR="00250992" w:rsidRPr="00C55E0B" w:rsidRDefault="00250992" w:rsidP="00C55E0B">
      <w:pPr>
        <w:spacing w:after="0" w:line="360" w:lineRule="auto"/>
        <w:jc w:val="both"/>
        <w:rPr>
          <w:rFonts w:ascii="Book Antiqua" w:hAnsi="Book Antiqua"/>
          <w:b/>
          <w:sz w:val="24"/>
          <w:szCs w:val="24"/>
          <w:lang w:val="en-US"/>
        </w:rPr>
      </w:pPr>
    </w:p>
    <w:p w:rsidR="00E24C43" w:rsidRPr="00C55E0B" w:rsidRDefault="00E24C43" w:rsidP="00C55E0B">
      <w:pPr>
        <w:spacing w:after="0" w:line="259" w:lineRule="auto"/>
        <w:jc w:val="both"/>
        <w:rPr>
          <w:rFonts w:ascii="Book Antiqua" w:hAnsi="Book Antiqua"/>
          <w:b/>
          <w:sz w:val="24"/>
          <w:szCs w:val="24"/>
          <w:lang w:val="en-US"/>
        </w:rPr>
      </w:pPr>
      <w:r w:rsidRPr="00C55E0B">
        <w:rPr>
          <w:rFonts w:ascii="Book Antiqua" w:hAnsi="Book Antiqua"/>
          <w:b/>
          <w:sz w:val="24"/>
          <w:szCs w:val="24"/>
          <w:lang w:val="en-US"/>
        </w:rPr>
        <w:br w:type="page"/>
      </w:r>
    </w:p>
    <w:p w:rsidR="00250992" w:rsidRPr="00C55E0B" w:rsidRDefault="00250992" w:rsidP="00C55E0B">
      <w:pPr>
        <w:spacing w:after="0" w:line="360" w:lineRule="auto"/>
        <w:jc w:val="both"/>
        <w:rPr>
          <w:rFonts w:ascii="Book Antiqua" w:hAnsi="Book Antiqua"/>
          <w:b/>
          <w:sz w:val="24"/>
          <w:szCs w:val="24"/>
          <w:lang w:val="en-US"/>
        </w:rPr>
      </w:pPr>
      <w:r w:rsidRPr="00C55E0B">
        <w:rPr>
          <w:rFonts w:ascii="Book Antiqua" w:hAnsi="Book Antiqua"/>
          <w:b/>
          <w:sz w:val="24"/>
          <w:szCs w:val="24"/>
          <w:lang w:val="en-US"/>
        </w:rPr>
        <w:lastRenderedPageBreak/>
        <w:t>Abstract</w:t>
      </w:r>
    </w:p>
    <w:p w:rsidR="002824AA" w:rsidRPr="00C55E0B" w:rsidRDefault="002824AA" w:rsidP="00C55E0B">
      <w:pPr>
        <w:spacing w:after="0" w:line="360" w:lineRule="auto"/>
        <w:jc w:val="both"/>
        <w:rPr>
          <w:rFonts w:ascii="Book Antiqua" w:hAnsi="Book Antiqua"/>
          <w:i/>
          <w:sz w:val="24"/>
          <w:szCs w:val="24"/>
          <w:lang w:val="en-US" w:eastAsia="zh-CN"/>
        </w:rPr>
      </w:pPr>
      <w:r w:rsidRPr="00C55E0B">
        <w:rPr>
          <w:rFonts w:ascii="Book Antiqua" w:hAnsi="Book Antiqua"/>
          <w:b/>
          <w:i/>
          <w:sz w:val="24"/>
          <w:szCs w:val="24"/>
          <w:lang w:val="en-US"/>
        </w:rPr>
        <w:t>AIM</w:t>
      </w:r>
    </w:p>
    <w:p w:rsidR="00CD6147" w:rsidRPr="00C55E0B" w:rsidRDefault="002824AA" w:rsidP="00C55E0B">
      <w:pPr>
        <w:spacing w:after="0" w:line="360" w:lineRule="auto"/>
        <w:jc w:val="both"/>
        <w:rPr>
          <w:rFonts w:ascii="Book Antiqua" w:hAnsi="Book Antiqua"/>
          <w:sz w:val="24"/>
          <w:szCs w:val="24"/>
          <w:lang w:val="en-US" w:eastAsia="zh-CN"/>
        </w:rPr>
      </w:pPr>
      <w:r w:rsidRPr="00C55E0B">
        <w:rPr>
          <w:rFonts w:ascii="Book Antiqua" w:hAnsi="Book Antiqua"/>
          <w:sz w:val="24"/>
          <w:szCs w:val="24"/>
          <w:lang w:val="en-US"/>
        </w:rPr>
        <w:t xml:space="preserve">Evaluate </w:t>
      </w:r>
      <w:r w:rsidR="00CD6147" w:rsidRPr="00C55E0B">
        <w:rPr>
          <w:rFonts w:ascii="Book Antiqua" w:hAnsi="Book Antiqua"/>
          <w:sz w:val="24"/>
          <w:szCs w:val="24"/>
          <w:lang w:val="en-US"/>
        </w:rPr>
        <w:t>the association between phase angle and the development of hepatic encephalopathy in the long-term follow-up of cirrhotic patients.</w:t>
      </w:r>
    </w:p>
    <w:p w:rsidR="002824AA" w:rsidRPr="00C55E0B" w:rsidRDefault="002824AA" w:rsidP="00C55E0B">
      <w:pPr>
        <w:spacing w:after="0" w:line="360" w:lineRule="auto"/>
        <w:jc w:val="both"/>
        <w:rPr>
          <w:rFonts w:ascii="Book Antiqua" w:hAnsi="Book Antiqua"/>
          <w:sz w:val="24"/>
          <w:szCs w:val="24"/>
          <w:lang w:val="en-US" w:eastAsia="zh-CN"/>
        </w:rPr>
      </w:pPr>
    </w:p>
    <w:p w:rsidR="002824AA" w:rsidRPr="00C55E0B" w:rsidRDefault="002824AA" w:rsidP="00C55E0B">
      <w:pPr>
        <w:spacing w:after="0" w:line="360" w:lineRule="auto"/>
        <w:jc w:val="both"/>
        <w:rPr>
          <w:rFonts w:ascii="Book Antiqua" w:hAnsi="Book Antiqua"/>
          <w:b/>
          <w:i/>
          <w:sz w:val="24"/>
          <w:szCs w:val="24"/>
          <w:lang w:val="en-US" w:eastAsia="zh-CN"/>
        </w:rPr>
      </w:pPr>
      <w:r w:rsidRPr="00C55E0B">
        <w:rPr>
          <w:rFonts w:ascii="Book Antiqua" w:hAnsi="Book Antiqua"/>
          <w:b/>
          <w:i/>
          <w:sz w:val="24"/>
          <w:szCs w:val="24"/>
          <w:lang w:val="en-US"/>
        </w:rPr>
        <w:t>METHODS</w:t>
      </w:r>
    </w:p>
    <w:p w:rsidR="00CD6147" w:rsidRPr="00C55E0B" w:rsidRDefault="00CD6147" w:rsidP="00C55E0B">
      <w:pPr>
        <w:spacing w:after="0" w:line="360" w:lineRule="auto"/>
        <w:jc w:val="both"/>
        <w:rPr>
          <w:rFonts w:ascii="Book Antiqua" w:hAnsi="Book Antiqua"/>
          <w:sz w:val="24"/>
          <w:szCs w:val="24"/>
          <w:lang w:val="en-US" w:eastAsia="zh-CN"/>
        </w:rPr>
      </w:pPr>
      <w:r w:rsidRPr="00C55E0B">
        <w:rPr>
          <w:rFonts w:ascii="Book Antiqua" w:hAnsi="Book Antiqua"/>
          <w:sz w:val="24"/>
          <w:szCs w:val="24"/>
          <w:lang w:val="en-US"/>
        </w:rPr>
        <w:t>This was a prospective cohort study. Clinical, nutritional and biochemical evaluations were performed. Mann-Whitney’s</w:t>
      </w:r>
      <w:r w:rsidRPr="005C7FE6">
        <w:rPr>
          <w:rFonts w:ascii="Book Antiqua" w:hAnsi="Book Antiqua"/>
          <w:i/>
          <w:sz w:val="24"/>
          <w:szCs w:val="24"/>
          <w:lang w:val="en-US"/>
        </w:rPr>
        <w:t xml:space="preserve"> U </w:t>
      </w:r>
      <w:r w:rsidRPr="00C55E0B">
        <w:rPr>
          <w:rFonts w:ascii="Book Antiqua" w:hAnsi="Book Antiqua"/>
          <w:sz w:val="24"/>
          <w:szCs w:val="24"/>
          <w:lang w:val="en-US"/>
        </w:rPr>
        <w:t xml:space="preserve">and </w:t>
      </w:r>
      <w:r w:rsidR="005C7FE6">
        <w:rPr>
          <w:rFonts w:ascii="Book Antiqua" w:hAnsi="Book Antiqua"/>
          <w:sz w:val="24"/>
          <w:szCs w:val="24"/>
          <w:lang w:val="en-US"/>
        </w:rPr>
        <w:sym w:font="Symbol" w:char="F063"/>
      </w:r>
      <w:r w:rsidR="005C7FE6">
        <w:rPr>
          <w:rFonts w:ascii="Book Antiqua" w:hAnsi="Book Antiqua" w:hint="eastAsia"/>
          <w:sz w:val="24"/>
          <w:szCs w:val="24"/>
          <w:vertAlign w:val="superscript"/>
          <w:lang w:val="en-US" w:eastAsia="zh-CN"/>
        </w:rPr>
        <w:t>2</w:t>
      </w:r>
      <w:r w:rsidRPr="00C55E0B">
        <w:rPr>
          <w:rFonts w:ascii="Book Antiqua" w:hAnsi="Book Antiqua"/>
          <w:sz w:val="24"/>
          <w:szCs w:val="24"/>
          <w:lang w:val="en-US"/>
        </w:rPr>
        <w:t xml:space="preserve"> tests were used as appropriate. Kaplan-Meier curves and Cox proportional Hazards analysis were used to evaluate the prediction and incidence of hepatic encephalopathy.</w:t>
      </w:r>
    </w:p>
    <w:p w:rsidR="002824AA" w:rsidRPr="00C55E0B" w:rsidRDefault="002824AA" w:rsidP="00C55E0B">
      <w:pPr>
        <w:spacing w:after="0" w:line="360" w:lineRule="auto"/>
        <w:jc w:val="both"/>
        <w:rPr>
          <w:rFonts w:ascii="Book Antiqua" w:hAnsi="Book Antiqua"/>
          <w:sz w:val="24"/>
          <w:szCs w:val="24"/>
          <w:lang w:val="en-US" w:eastAsia="zh-CN"/>
        </w:rPr>
      </w:pPr>
    </w:p>
    <w:p w:rsidR="002824AA" w:rsidRPr="00C55E0B" w:rsidRDefault="002824AA" w:rsidP="00C55E0B">
      <w:pPr>
        <w:spacing w:after="0" w:line="360" w:lineRule="auto"/>
        <w:jc w:val="both"/>
        <w:rPr>
          <w:rFonts w:ascii="Book Antiqua" w:hAnsi="Book Antiqua"/>
          <w:b/>
          <w:i/>
          <w:sz w:val="24"/>
          <w:szCs w:val="24"/>
          <w:lang w:val="en-US" w:eastAsia="zh-CN"/>
        </w:rPr>
      </w:pPr>
      <w:r w:rsidRPr="00C55E0B">
        <w:rPr>
          <w:rFonts w:ascii="Book Antiqua" w:hAnsi="Book Antiqua"/>
          <w:b/>
          <w:i/>
          <w:sz w:val="24"/>
          <w:szCs w:val="24"/>
          <w:lang w:val="en-US"/>
        </w:rPr>
        <w:t>RESULTS</w:t>
      </w:r>
    </w:p>
    <w:p w:rsidR="00CD6147" w:rsidRPr="00C55E0B" w:rsidRDefault="002824AA" w:rsidP="00C55E0B">
      <w:pPr>
        <w:spacing w:after="0" w:line="360" w:lineRule="auto"/>
        <w:jc w:val="both"/>
        <w:rPr>
          <w:rFonts w:ascii="Book Antiqua" w:hAnsi="Book Antiqua"/>
          <w:sz w:val="24"/>
          <w:szCs w:val="24"/>
          <w:lang w:val="en-US" w:eastAsia="zh-CN"/>
        </w:rPr>
      </w:pPr>
      <w:r w:rsidRPr="00C55E0B">
        <w:rPr>
          <w:rFonts w:ascii="Book Antiqua" w:hAnsi="Book Antiqua"/>
          <w:sz w:val="24"/>
          <w:szCs w:val="24"/>
          <w:lang w:val="en-US"/>
        </w:rPr>
        <w:t>Two hundred and twenty</w:t>
      </w:r>
      <w:r w:rsidR="00CD6147" w:rsidRPr="00C55E0B">
        <w:rPr>
          <w:rFonts w:ascii="Book Antiqua" w:hAnsi="Book Antiqua"/>
          <w:sz w:val="24"/>
          <w:szCs w:val="24"/>
          <w:lang w:val="en-US"/>
        </w:rPr>
        <w:t xml:space="preserve"> were included; the most frequent etiology of cirrhos</w:t>
      </w:r>
      <w:r w:rsidR="00565B19" w:rsidRPr="00C55E0B">
        <w:rPr>
          <w:rFonts w:ascii="Book Antiqua" w:hAnsi="Book Antiqua"/>
          <w:sz w:val="24"/>
          <w:szCs w:val="24"/>
          <w:lang w:val="en-US"/>
        </w:rPr>
        <w:t>is was hepatitis C infection, 52</w:t>
      </w:r>
      <w:r w:rsidR="00CD6147" w:rsidRPr="00C55E0B">
        <w:rPr>
          <w:rFonts w:ascii="Book Antiqua" w:hAnsi="Book Antiqua"/>
          <w:sz w:val="24"/>
          <w:szCs w:val="24"/>
          <w:lang w:val="en-US"/>
        </w:rPr>
        <w:t>% of the patients deve</w:t>
      </w:r>
      <w:r w:rsidR="00565B19" w:rsidRPr="00C55E0B">
        <w:rPr>
          <w:rFonts w:ascii="Book Antiqua" w:hAnsi="Book Antiqua"/>
          <w:sz w:val="24"/>
          <w:szCs w:val="24"/>
          <w:lang w:val="en-US"/>
        </w:rPr>
        <w:t>loped hepatic encephalopathy (18.6% covert and 33</w:t>
      </w:r>
      <w:r w:rsidR="00CD6147" w:rsidRPr="00C55E0B">
        <w:rPr>
          <w:rFonts w:ascii="Book Antiqua" w:hAnsi="Book Antiqua"/>
          <w:sz w:val="24"/>
          <w:szCs w:val="24"/>
          <w:lang w:val="en-US"/>
        </w:rPr>
        <w:t>.3% overt); the main precipitating factors were infections and variceal bleeding. Kaplan-Meier curves showed a higher proportion of HE in the group with low phase angle (39%) compared to the normal phase angle group (13%) (</w:t>
      </w:r>
      <w:r w:rsidR="005C7FE6" w:rsidRPr="005C7FE6">
        <w:rPr>
          <w:rFonts w:ascii="Book Antiqua" w:hAnsi="Book Antiqua"/>
          <w:i/>
          <w:sz w:val="24"/>
          <w:szCs w:val="24"/>
          <w:lang w:val="en-US"/>
        </w:rPr>
        <w:t>P</w:t>
      </w:r>
      <w:r w:rsidR="005C7FE6">
        <w:rPr>
          <w:rFonts w:ascii="Book Antiqua" w:hAnsi="Book Antiqua" w:hint="eastAsia"/>
          <w:sz w:val="24"/>
          <w:szCs w:val="24"/>
          <w:lang w:val="en-US" w:eastAsia="zh-CN"/>
        </w:rPr>
        <w:t xml:space="preserve"> </w:t>
      </w:r>
      <w:r w:rsidR="00CD6147" w:rsidRPr="00C55E0B">
        <w:rPr>
          <w:rFonts w:ascii="Book Antiqua" w:hAnsi="Book Antiqua"/>
          <w:sz w:val="24"/>
          <w:szCs w:val="24"/>
          <w:lang w:val="en-US"/>
        </w:rPr>
        <w:t>=</w:t>
      </w:r>
      <w:r w:rsidR="005C7FE6">
        <w:rPr>
          <w:rFonts w:ascii="Book Antiqua" w:hAnsi="Book Antiqua" w:hint="eastAsia"/>
          <w:sz w:val="24"/>
          <w:szCs w:val="24"/>
          <w:lang w:val="en-US" w:eastAsia="zh-CN"/>
        </w:rPr>
        <w:t xml:space="preserve"> </w:t>
      </w:r>
      <w:r w:rsidR="00CD6147" w:rsidRPr="00C55E0B">
        <w:rPr>
          <w:rFonts w:ascii="Book Antiqua" w:hAnsi="Book Antiqua"/>
          <w:sz w:val="24"/>
          <w:szCs w:val="24"/>
          <w:lang w:val="en-US"/>
        </w:rPr>
        <w:t xml:space="preserve">0.012). Furthermore, creatinine and phase angle remained independently associated to hepatic encephalopathy in the Cox regression multivariate analysis [HR= 1.80 (1.07-3.03)]. </w:t>
      </w:r>
    </w:p>
    <w:p w:rsidR="002824AA" w:rsidRPr="00C55E0B" w:rsidRDefault="002824AA" w:rsidP="00C55E0B">
      <w:pPr>
        <w:spacing w:after="0" w:line="360" w:lineRule="auto"/>
        <w:jc w:val="both"/>
        <w:rPr>
          <w:rFonts w:ascii="Book Antiqua" w:hAnsi="Book Antiqua"/>
          <w:sz w:val="24"/>
          <w:szCs w:val="24"/>
          <w:lang w:val="en-US" w:eastAsia="zh-CN"/>
        </w:rPr>
      </w:pPr>
    </w:p>
    <w:p w:rsidR="002824AA" w:rsidRPr="00C55E0B" w:rsidRDefault="002824AA" w:rsidP="00C55E0B">
      <w:pPr>
        <w:spacing w:after="0" w:line="360" w:lineRule="auto"/>
        <w:jc w:val="both"/>
        <w:rPr>
          <w:rFonts w:ascii="Book Antiqua" w:hAnsi="Book Antiqua"/>
          <w:b/>
          <w:i/>
          <w:sz w:val="24"/>
          <w:szCs w:val="24"/>
          <w:lang w:val="en-US" w:eastAsia="zh-CN"/>
        </w:rPr>
      </w:pPr>
      <w:r w:rsidRPr="00C55E0B">
        <w:rPr>
          <w:rFonts w:ascii="Book Antiqua" w:hAnsi="Book Antiqua"/>
          <w:b/>
          <w:i/>
          <w:sz w:val="24"/>
          <w:szCs w:val="24"/>
          <w:lang w:val="en-US"/>
        </w:rPr>
        <w:t>CONCLUSION</w:t>
      </w:r>
    </w:p>
    <w:p w:rsidR="00250992" w:rsidRPr="00C55E0B" w:rsidRDefault="00CD6147" w:rsidP="00C55E0B">
      <w:pPr>
        <w:spacing w:after="0" w:line="360" w:lineRule="auto"/>
        <w:jc w:val="both"/>
        <w:rPr>
          <w:rFonts w:ascii="Book Antiqua" w:hAnsi="Book Antiqua"/>
          <w:sz w:val="24"/>
          <w:szCs w:val="24"/>
          <w:lang w:val="en-US" w:eastAsia="zh-CN"/>
        </w:rPr>
      </w:pPr>
      <w:r w:rsidRPr="00C55E0B">
        <w:rPr>
          <w:rFonts w:ascii="Book Antiqua" w:hAnsi="Book Antiqua"/>
          <w:sz w:val="24"/>
          <w:szCs w:val="24"/>
          <w:lang w:val="en-US"/>
        </w:rPr>
        <w:t xml:space="preserve"> In our cohort of patients low phase angle was associated with an increased incidence of hepatic encephalopathy. Phase angle is a useful nutritional marker that evaluates cachexia and could be used as a part of the integral assessment in patients with cirrhosis.</w:t>
      </w:r>
    </w:p>
    <w:p w:rsidR="002824AA" w:rsidRPr="00C55E0B" w:rsidRDefault="002824AA" w:rsidP="00C55E0B">
      <w:pPr>
        <w:spacing w:after="0" w:line="360" w:lineRule="auto"/>
        <w:jc w:val="both"/>
        <w:rPr>
          <w:rFonts w:ascii="Book Antiqua" w:hAnsi="Book Antiqua"/>
          <w:sz w:val="24"/>
          <w:szCs w:val="24"/>
          <w:lang w:val="en-US" w:eastAsia="zh-CN"/>
        </w:rPr>
      </w:pPr>
    </w:p>
    <w:p w:rsidR="00250992" w:rsidRPr="00C55E0B" w:rsidRDefault="00250992" w:rsidP="00C55E0B">
      <w:pPr>
        <w:spacing w:after="0" w:line="360" w:lineRule="auto"/>
        <w:jc w:val="both"/>
        <w:rPr>
          <w:rFonts w:ascii="Book Antiqua" w:hAnsi="Book Antiqua"/>
          <w:sz w:val="24"/>
          <w:szCs w:val="24"/>
          <w:lang w:val="en-US"/>
        </w:rPr>
      </w:pPr>
      <w:r w:rsidRPr="00C55E0B">
        <w:rPr>
          <w:rFonts w:ascii="Book Antiqua" w:hAnsi="Book Antiqua"/>
          <w:b/>
          <w:sz w:val="24"/>
          <w:szCs w:val="24"/>
          <w:lang w:val="en-US"/>
        </w:rPr>
        <w:t>Key words:</w:t>
      </w:r>
      <w:r w:rsidRPr="00C55E0B">
        <w:rPr>
          <w:rFonts w:ascii="Book Antiqua" w:hAnsi="Book Antiqua"/>
          <w:sz w:val="24"/>
          <w:szCs w:val="24"/>
          <w:lang w:val="en-US"/>
        </w:rPr>
        <w:t xml:space="preserve"> </w:t>
      </w:r>
      <w:r w:rsidR="002824AA" w:rsidRPr="00C55E0B">
        <w:rPr>
          <w:rFonts w:ascii="Book Antiqua" w:hAnsi="Book Antiqua"/>
          <w:sz w:val="24"/>
          <w:szCs w:val="24"/>
          <w:lang w:val="en-US"/>
        </w:rPr>
        <w:t>Malnutrition</w:t>
      </w:r>
      <w:r w:rsidR="002824AA" w:rsidRPr="00C55E0B">
        <w:rPr>
          <w:rFonts w:ascii="Book Antiqua" w:hAnsi="Book Antiqua"/>
          <w:sz w:val="24"/>
          <w:szCs w:val="24"/>
          <w:lang w:val="en-US" w:eastAsia="zh-CN"/>
        </w:rPr>
        <w:t>;</w:t>
      </w:r>
      <w:r w:rsidR="003744C9" w:rsidRPr="00C55E0B">
        <w:rPr>
          <w:rFonts w:ascii="Book Antiqua" w:hAnsi="Book Antiqua"/>
          <w:sz w:val="24"/>
          <w:szCs w:val="24"/>
          <w:lang w:val="en-US"/>
        </w:rPr>
        <w:t xml:space="preserve"> </w:t>
      </w:r>
      <w:r w:rsidR="002824AA" w:rsidRPr="00C55E0B">
        <w:rPr>
          <w:rFonts w:ascii="Book Antiqua" w:hAnsi="Book Antiqua"/>
          <w:sz w:val="24"/>
          <w:szCs w:val="24"/>
          <w:lang w:val="en-US"/>
        </w:rPr>
        <w:t xml:space="preserve">Hepatic </w:t>
      </w:r>
      <w:r w:rsidR="003744C9" w:rsidRPr="00C55E0B">
        <w:rPr>
          <w:rFonts w:ascii="Book Antiqua" w:hAnsi="Book Antiqua"/>
          <w:sz w:val="24"/>
          <w:szCs w:val="24"/>
          <w:lang w:val="en-US"/>
        </w:rPr>
        <w:t>encephalopathy</w:t>
      </w:r>
      <w:r w:rsidR="002824AA" w:rsidRPr="00C55E0B">
        <w:rPr>
          <w:rFonts w:ascii="Book Antiqua" w:hAnsi="Book Antiqua"/>
          <w:sz w:val="24"/>
          <w:szCs w:val="24"/>
          <w:lang w:val="en-US" w:eastAsia="zh-CN"/>
        </w:rPr>
        <w:t>;</w:t>
      </w:r>
      <w:r w:rsidR="003744C9" w:rsidRPr="00C55E0B">
        <w:rPr>
          <w:rFonts w:ascii="Book Antiqua" w:hAnsi="Book Antiqua"/>
          <w:sz w:val="24"/>
          <w:szCs w:val="24"/>
          <w:lang w:val="en-US"/>
        </w:rPr>
        <w:t xml:space="preserve"> </w:t>
      </w:r>
      <w:r w:rsidR="002824AA" w:rsidRPr="00C55E0B">
        <w:rPr>
          <w:rFonts w:ascii="Book Antiqua" w:hAnsi="Book Antiqua"/>
          <w:sz w:val="24"/>
          <w:szCs w:val="24"/>
          <w:lang w:val="en-US"/>
        </w:rPr>
        <w:t>Cachexia</w:t>
      </w:r>
      <w:r w:rsidR="002824AA" w:rsidRPr="00C55E0B">
        <w:rPr>
          <w:rFonts w:ascii="Book Antiqua" w:hAnsi="Book Antiqua"/>
          <w:sz w:val="24"/>
          <w:szCs w:val="24"/>
          <w:lang w:val="en-US" w:eastAsia="zh-CN"/>
        </w:rPr>
        <w:t>;</w:t>
      </w:r>
      <w:r w:rsidR="003744C9" w:rsidRPr="00C55E0B">
        <w:rPr>
          <w:rFonts w:ascii="Book Antiqua" w:hAnsi="Book Antiqua"/>
          <w:sz w:val="24"/>
          <w:szCs w:val="24"/>
          <w:lang w:val="en-US"/>
        </w:rPr>
        <w:t xml:space="preserve"> </w:t>
      </w:r>
      <w:r w:rsidR="002824AA" w:rsidRPr="00C55E0B">
        <w:rPr>
          <w:rFonts w:ascii="Book Antiqua" w:hAnsi="Book Antiqua"/>
          <w:sz w:val="24"/>
          <w:szCs w:val="24"/>
          <w:lang w:val="en-US"/>
        </w:rPr>
        <w:t xml:space="preserve">Phase </w:t>
      </w:r>
      <w:r w:rsidR="003744C9" w:rsidRPr="00C55E0B">
        <w:rPr>
          <w:rFonts w:ascii="Book Antiqua" w:hAnsi="Book Antiqua"/>
          <w:sz w:val="24"/>
          <w:szCs w:val="24"/>
          <w:lang w:val="en-US"/>
        </w:rPr>
        <w:t>angle</w:t>
      </w:r>
      <w:r w:rsidR="002824AA" w:rsidRPr="00C55E0B">
        <w:rPr>
          <w:rFonts w:ascii="Book Antiqua" w:hAnsi="Book Antiqua"/>
          <w:sz w:val="24"/>
          <w:szCs w:val="24"/>
          <w:lang w:val="en-US" w:eastAsia="zh-CN"/>
        </w:rPr>
        <w:t>;</w:t>
      </w:r>
      <w:r w:rsidR="003744C9" w:rsidRPr="00C55E0B">
        <w:rPr>
          <w:rFonts w:ascii="Book Antiqua" w:hAnsi="Book Antiqua"/>
          <w:sz w:val="24"/>
          <w:szCs w:val="24"/>
          <w:lang w:val="en-US"/>
        </w:rPr>
        <w:t xml:space="preserve"> </w:t>
      </w:r>
      <w:r w:rsidR="002824AA" w:rsidRPr="00C55E0B">
        <w:rPr>
          <w:rFonts w:ascii="Book Antiqua" w:hAnsi="Book Antiqua"/>
          <w:sz w:val="24"/>
          <w:szCs w:val="24"/>
          <w:lang w:val="en-US"/>
        </w:rPr>
        <w:t>Prognosis</w:t>
      </w:r>
    </w:p>
    <w:p w:rsidR="002824AA" w:rsidRPr="00C55E0B" w:rsidRDefault="002824AA" w:rsidP="00C55E0B">
      <w:pPr>
        <w:spacing w:after="0" w:line="360" w:lineRule="auto"/>
        <w:rPr>
          <w:rFonts w:ascii="Book Antiqua" w:hAnsi="Book Antiqua" w:cs="Arial"/>
          <w:sz w:val="24"/>
          <w:szCs w:val="24"/>
        </w:rPr>
      </w:pPr>
      <w:bookmarkStart w:id="34" w:name="OLE_LINK55"/>
      <w:bookmarkStart w:id="35" w:name="OLE_LINK56"/>
      <w:bookmarkStart w:id="36" w:name="OLE_LINK105"/>
      <w:bookmarkStart w:id="37" w:name="OLE_LINK116"/>
      <w:bookmarkStart w:id="38" w:name="OLE_LINK89"/>
      <w:r w:rsidRPr="00C55E0B">
        <w:rPr>
          <w:rFonts w:ascii="Book Antiqua" w:hAnsi="Book Antiqua"/>
          <w:b/>
          <w:sz w:val="24"/>
          <w:szCs w:val="24"/>
        </w:rPr>
        <w:lastRenderedPageBreak/>
        <w:t>©</w:t>
      </w:r>
      <w:bookmarkEnd w:id="34"/>
      <w:bookmarkEnd w:id="35"/>
      <w:r w:rsidRPr="00C55E0B">
        <w:rPr>
          <w:rFonts w:ascii="Book Antiqua" w:hAnsi="Book Antiqua"/>
          <w:b/>
          <w:sz w:val="24"/>
          <w:szCs w:val="24"/>
        </w:rPr>
        <w:t xml:space="preserve"> </w:t>
      </w:r>
      <w:r w:rsidRPr="00C55E0B">
        <w:rPr>
          <w:rFonts w:ascii="Book Antiqua" w:hAnsi="Book Antiqua" w:cs="Arial"/>
          <w:b/>
          <w:sz w:val="24"/>
          <w:szCs w:val="24"/>
        </w:rPr>
        <w:t xml:space="preserve">The Author(s) 2016. </w:t>
      </w:r>
      <w:r w:rsidRPr="00C55E0B">
        <w:rPr>
          <w:rFonts w:ascii="Book Antiqua" w:hAnsi="Book Antiqua" w:cs="Arial"/>
          <w:sz w:val="24"/>
          <w:szCs w:val="24"/>
        </w:rPr>
        <w:t>Published by Baishideng Publishing Group Inc. All rights reserved.</w:t>
      </w:r>
    </w:p>
    <w:bookmarkEnd w:id="36"/>
    <w:bookmarkEnd w:id="37"/>
    <w:bookmarkEnd w:id="38"/>
    <w:p w:rsidR="002824AA" w:rsidRPr="00C55E0B" w:rsidRDefault="002824AA" w:rsidP="00C55E0B">
      <w:pPr>
        <w:spacing w:after="0" w:line="360" w:lineRule="auto"/>
        <w:jc w:val="both"/>
        <w:rPr>
          <w:rFonts w:ascii="Book Antiqua" w:hAnsi="Book Antiqua"/>
          <w:b/>
          <w:sz w:val="24"/>
          <w:szCs w:val="24"/>
          <w:lang w:eastAsia="zh-CN"/>
        </w:rPr>
      </w:pPr>
    </w:p>
    <w:p w:rsidR="00A86D40" w:rsidRPr="00C55E0B" w:rsidRDefault="00250992" w:rsidP="00C55E0B">
      <w:pPr>
        <w:spacing w:after="0" w:line="360" w:lineRule="auto"/>
        <w:jc w:val="both"/>
        <w:rPr>
          <w:rFonts w:ascii="Book Antiqua" w:eastAsia="Times New Roman" w:hAnsi="Book Antiqua" w:cs="Times New Roman"/>
          <w:color w:val="000000"/>
          <w:sz w:val="24"/>
          <w:szCs w:val="24"/>
          <w:lang w:val="en-US" w:eastAsia="es-MX"/>
        </w:rPr>
      </w:pPr>
      <w:r w:rsidRPr="00C55E0B">
        <w:rPr>
          <w:rFonts w:ascii="Book Antiqua" w:hAnsi="Book Antiqua"/>
          <w:b/>
          <w:sz w:val="24"/>
          <w:szCs w:val="24"/>
          <w:lang w:val="en-US"/>
        </w:rPr>
        <w:t>Core tip:</w:t>
      </w:r>
      <w:r w:rsidRPr="00C55E0B">
        <w:rPr>
          <w:rFonts w:ascii="Book Antiqua" w:hAnsi="Book Antiqua"/>
          <w:sz w:val="24"/>
          <w:szCs w:val="24"/>
          <w:lang w:val="en-US"/>
        </w:rPr>
        <w:t xml:space="preserve"> </w:t>
      </w:r>
      <w:r w:rsidR="003744C9" w:rsidRPr="00C55E0B">
        <w:rPr>
          <w:rFonts w:ascii="Book Antiqua" w:eastAsia="Times New Roman" w:hAnsi="Book Antiqua" w:cs="Arial"/>
          <w:color w:val="000000"/>
          <w:sz w:val="24"/>
          <w:szCs w:val="24"/>
          <w:lang w:val="en-US" w:eastAsia="es-MX"/>
        </w:rPr>
        <w:t xml:space="preserve">Malnutrition in cirrhosis </w:t>
      </w:r>
      <w:r w:rsidR="005F2176" w:rsidRPr="00C55E0B">
        <w:rPr>
          <w:rFonts w:ascii="Book Antiqua" w:eastAsia="Times New Roman" w:hAnsi="Book Antiqua" w:cs="Arial"/>
          <w:color w:val="000000"/>
          <w:sz w:val="24"/>
          <w:szCs w:val="24"/>
          <w:lang w:val="en-US" w:eastAsia="es-MX"/>
        </w:rPr>
        <w:t>is</w:t>
      </w:r>
      <w:r w:rsidR="003744C9" w:rsidRPr="00C55E0B">
        <w:rPr>
          <w:rFonts w:ascii="Book Antiqua" w:eastAsia="Times New Roman" w:hAnsi="Book Antiqua" w:cs="Arial"/>
          <w:color w:val="000000"/>
          <w:sz w:val="24"/>
          <w:szCs w:val="24"/>
          <w:lang w:val="en-US" w:eastAsia="es-MX"/>
        </w:rPr>
        <w:t xml:space="preserve"> a</w:t>
      </w:r>
      <w:r w:rsidR="005F2176" w:rsidRPr="00C55E0B">
        <w:rPr>
          <w:rFonts w:ascii="Book Antiqua" w:eastAsia="Times New Roman" w:hAnsi="Book Antiqua" w:cs="Arial"/>
          <w:color w:val="000000"/>
          <w:sz w:val="24"/>
          <w:szCs w:val="24"/>
          <w:lang w:val="en-US" w:eastAsia="es-MX"/>
        </w:rPr>
        <w:t xml:space="preserve"> known</w:t>
      </w:r>
      <w:r w:rsidR="003744C9" w:rsidRPr="00C55E0B">
        <w:rPr>
          <w:rFonts w:ascii="Book Antiqua" w:eastAsia="Times New Roman" w:hAnsi="Book Antiqua" w:cs="Arial"/>
          <w:color w:val="000000"/>
          <w:sz w:val="24"/>
          <w:szCs w:val="24"/>
          <w:lang w:val="en-US" w:eastAsia="es-MX"/>
        </w:rPr>
        <w:t xml:space="preserve"> risk factor for mortality and the development of complications</w:t>
      </w:r>
      <w:r w:rsidR="005F2176" w:rsidRPr="00C55E0B">
        <w:rPr>
          <w:rFonts w:ascii="Book Antiqua" w:eastAsia="Times New Roman" w:hAnsi="Book Antiqua" w:cs="Arial"/>
          <w:color w:val="000000"/>
          <w:sz w:val="24"/>
          <w:szCs w:val="24"/>
          <w:lang w:val="en-US" w:eastAsia="es-MX"/>
        </w:rPr>
        <w:t>.</w:t>
      </w:r>
      <w:r w:rsidR="003744C9" w:rsidRPr="00C55E0B">
        <w:rPr>
          <w:rFonts w:ascii="Book Antiqua" w:eastAsia="Times New Roman" w:hAnsi="Book Antiqua" w:cs="Arial"/>
          <w:color w:val="000000"/>
          <w:sz w:val="24"/>
          <w:szCs w:val="24"/>
          <w:lang w:val="en-US" w:eastAsia="es-MX"/>
        </w:rPr>
        <w:t xml:space="preserve"> </w:t>
      </w:r>
      <w:r w:rsidR="00A86D40" w:rsidRPr="00C55E0B">
        <w:rPr>
          <w:rFonts w:ascii="Book Antiqua" w:eastAsia="Times New Roman" w:hAnsi="Book Antiqua" w:cs="Arial"/>
          <w:color w:val="000000"/>
          <w:sz w:val="24"/>
          <w:szCs w:val="24"/>
          <w:lang w:val="en-US" w:eastAsia="es-MX"/>
        </w:rPr>
        <w:t>We</w:t>
      </w:r>
      <w:r w:rsidR="005F2176" w:rsidRPr="00C55E0B">
        <w:rPr>
          <w:rFonts w:ascii="Book Antiqua" w:eastAsia="Times New Roman" w:hAnsi="Book Antiqua" w:cs="Arial"/>
          <w:color w:val="000000"/>
          <w:sz w:val="24"/>
          <w:szCs w:val="24"/>
          <w:lang w:val="en-US" w:eastAsia="es-MX"/>
        </w:rPr>
        <w:t xml:space="preserve"> used phase angle deriv</w:t>
      </w:r>
      <w:r w:rsidR="00A86D40" w:rsidRPr="00C55E0B">
        <w:rPr>
          <w:rFonts w:ascii="Book Antiqua" w:eastAsia="Times New Roman" w:hAnsi="Book Antiqua" w:cs="Arial"/>
          <w:color w:val="000000"/>
          <w:sz w:val="24"/>
          <w:szCs w:val="24"/>
          <w:lang w:val="en-US" w:eastAsia="es-MX"/>
        </w:rPr>
        <w:t>ed from bioelectrical impedance</w:t>
      </w:r>
      <w:r w:rsidR="005F2176" w:rsidRPr="00C55E0B">
        <w:rPr>
          <w:rFonts w:ascii="Book Antiqua" w:eastAsia="Times New Roman" w:hAnsi="Book Antiqua" w:cs="Arial"/>
          <w:color w:val="000000"/>
          <w:sz w:val="24"/>
          <w:szCs w:val="24"/>
          <w:lang w:val="en-US" w:eastAsia="es-MX"/>
        </w:rPr>
        <w:t xml:space="preserve"> </w:t>
      </w:r>
      <w:r w:rsidR="00A86D40" w:rsidRPr="00C55E0B">
        <w:rPr>
          <w:rFonts w:ascii="Book Antiqua" w:eastAsia="Times New Roman" w:hAnsi="Book Antiqua" w:cs="Arial"/>
          <w:color w:val="000000"/>
          <w:sz w:val="24"/>
          <w:szCs w:val="24"/>
          <w:lang w:val="en-US" w:eastAsia="es-MX"/>
        </w:rPr>
        <w:t xml:space="preserve">that reflects cachexia, the type of malnutrition seen in chronic diseases. </w:t>
      </w:r>
      <w:r w:rsidR="003744C9" w:rsidRPr="00C55E0B">
        <w:rPr>
          <w:rFonts w:ascii="Book Antiqua" w:eastAsia="Times New Roman" w:hAnsi="Book Antiqua" w:cs="Arial"/>
          <w:color w:val="000000"/>
          <w:sz w:val="24"/>
          <w:szCs w:val="24"/>
          <w:lang w:val="en-US" w:eastAsia="es-MX"/>
        </w:rPr>
        <w:t xml:space="preserve">We found an association between the presence of </w:t>
      </w:r>
      <w:r w:rsidR="005F2176" w:rsidRPr="00C55E0B">
        <w:rPr>
          <w:rFonts w:ascii="Book Antiqua" w:eastAsia="Times New Roman" w:hAnsi="Book Antiqua" w:cs="Arial"/>
          <w:color w:val="000000"/>
          <w:sz w:val="24"/>
          <w:szCs w:val="24"/>
          <w:lang w:val="en-US" w:eastAsia="es-MX"/>
        </w:rPr>
        <w:t>low phase angle</w:t>
      </w:r>
      <w:r w:rsidR="003744C9" w:rsidRPr="00C55E0B">
        <w:rPr>
          <w:rFonts w:ascii="Book Antiqua" w:eastAsia="Times New Roman" w:hAnsi="Book Antiqua" w:cs="Arial"/>
          <w:color w:val="000000"/>
          <w:sz w:val="24"/>
          <w:szCs w:val="24"/>
          <w:lang w:val="en-US" w:eastAsia="es-MX"/>
        </w:rPr>
        <w:t xml:space="preserve"> and</w:t>
      </w:r>
      <w:r w:rsidR="005F2176" w:rsidRPr="00C55E0B">
        <w:rPr>
          <w:rFonts w:ascii="Book Antiqua" w:eastAsia="Times New Roman" w:hAnsi="Book Antiqua" w:cs="Arial"/>
          <w:color w:val="000000"/>
          <w:sz w:val="24"/>
          <w:szCs w:val="24"/>
          <w:lang w:val="en-US" w:eastAsia="es-MX"/>
        </w:rPr>
        <w:t xml:space="preserve"> higher incidence of hepatic encephalopathy in the </w:t>
      </w:r>
      <w:r w:rsidR="00A86D40" w:rsidRPr="00C55E0B">
        <w:rPr>
          <w:rFonts w:ascii="Book Antiqua" w:eastAsia="Times New Roman" w:hAnsi="Book Antiqua" w:cs="Arial"/>
          <w:color w:val="000000"/>
          <w:sz w:val="24"/>
          <w:szCs w:val="24"/>
          <w:lang w:val="en-US" w:eastAsia="es-MX"/>
        </w:rPr>
        <w:t xml:space="preserve">48 </w:t>
      </w:r>
      <w:r w:rsidR="005C7FE6">
        <w:rPr>
          <w:rFonts w:ascii="Book Antiqua" w:hAnsi="Book Antiqua" w:cs="Arial" w:hint="eastAsia"/>
          <w:color w:val="000000"/>
          <w:sz w:val="24"/>
          <w:szCs w:val="24"/>
          <w:lang w:val="en-US" w:eastAsia="zh-CN"/>
        </w:rPr>
        <w:t>mo</w:t>
      </w:r>
      <w:r w:rsidR="00A86D40" w:rsidRPr="00C55E0B">
        <w:rPr>
          <w:rFonts w:ascii="Book Antiqua" w:eastAsia="Times New Roman" w:hAnsi="Book Antiqua" w:cs="Arial"/>
          <w:color w:val="000000"/>
          <w:sz w:val="24"/>
          <w:szCs w:val="24"/>
          <w:lang w:val="en-US" w:eastAsia="es-MX"/>
        </w:rPr>
        <w:t xml:space="preserve"> of follow-up </w:t>
      </w:r>
      <w:r w:rsidR="005F2176" w:rsidRPr="00C55E0B">
        <w:rPr>
          <w:rFonts w:ascii="Book Antiqua" w:eastAsia="Times New Roman" w:hAnsi="Book Antiqua" w:cs="Arial"/>
          <w:color w:val="000000"/>
          <w:sz w:val="24"/>
          <w:szCs w:val="24"/>
          <w:lang w:val="en-US" w:eastAsia="es-MX"/>
        </w:rPr>
        <w:t>compared to the group with normal phase angle</w:t>
      </w:r>
      <w:r w:rsidR="008705BB" w:rsidRPr="00C55E0B">
        <w:rPr>
          <w:rFonts w:ascii="Book Antiqua" w:eastAsia="Times New Roman" w:hAnsi="Book Antiqua" w:cs="Arial"/>
          <w:color w:val="000000"/>
          <w:sz w:val="24"/>
          <w:szCs w:val="24"/>
          <w:lang w:val="en-US" w:eastAsia="es-MX"/>
        </w:rPr>
        <w:t>,</w:t>
      </w:r>
      <w:r w:rsidR="00A86D40" w:rsidRPr="00C55E0B">
        <w:rPr>
          <w:rFonts w:ascii="Book Antiqua" w:eastAsia="Times New Roman" w:hAnsi="Book Antiqua" w:cs="Arial"/>
          <w:color w:val="000000"/>
          <w:sz w:val="24"/>
          <w:szCs w:val="24"/>
          <w:lang w:val="en-US" w:eastAsia="es-MX"/>
        </w:rPr>
        <w:t xml:space="preserve"> </w:t>
      </w:r>
      <w:r w:rsidR="008705BB" w:rsidRPr="00C55E0B">
        <w:rPr>
          <w:rFonts w:ascii="Book Antiqua" w:eastAsia="Times New Roman" w:hAnsi="Book Antiqua" w:cs="Arial"/>
          <w:color w:val="000000"/>
          <w:sz w:val="24"/>
          <w:szCs w:val="24"/>
          <w:lang w:val="en-US" w:eastAsia="es-MX"/>
        </w:rPr>
        <w:t>demonstrating</w:t>
      </w:r>
      <w:r w:rsidR="00A86D40" w:rsidRPr="00C55E0B">
        <w:rPr>
          <w:rFonts w:ascii="Book Antiqua" w:eastAsia="Times New Roman" w:hAnsi="Book Antiqua" w:cs="Arial"/>
          <w:color w:val="000000"/>
          <w:sz w:val="24"/>
          <w:szCs w:val="24"/>
          <w:lang w:val="en-US" w:eastAsia="es-MX"/>
        </w:rPr>
        <w:t xml:space="preserve"> the importance of this complication</w:t>
      </w:r>
      <w:r w:rsidR="005F2176" w:rsidRPr="00C55E0B">
        <w:rPr>
          <w:rFonts w:ascii="Book Antiqua" w:eastAsia="Times New Roman" w:hAnsi="Book Antiqua" w:cs="Arial"/>
          <w:color w:val="000000"/>
          <w:sz w:val="24"/>
          <w:szCs w:val="24"/>
          <w:lang w:val="en-US" w:eastAsia="es-MX"/>
        </w:rPr>
        <w:t xml:space="preserve">. </w:t>
      </w:r>
      <w:r w:rsidR="00A86D40" w:rsidRPr="00C55E0B">
        <w:rPr>
          <w:rFonts w:ascii="Book Antiqua" w:eastAsia="Times New Roman" w:hAnsi="Book Antiqua" w:cs="Arial"/>
          <w:color w:val="000000"/>
          <w:sz w:val="24"/>
          <w:szCs w:val="24"/>
          <w:lang w:val="en-US" w:eastAsia="es-MX"/>
        </w:rPr>
        <w:t>We proposed a nutritional marker</w:t>
      </w:r>
      <w:r w:rsidR="008705BB" w:rsidRPr="00C55E0B">
        <w:rPr>
          <w:rFonts w:ascii="Book Antiqua" w:eastAsia="Times New Roman" w:hAnsi="Book Antiqua" w:cs="Arial"/>
          <w:color w:val="000000"/>
          <w:sz w:val="24"/>
          <w:szCs w:val="24"/>
          <w:lang w:val="en-US" w:eastAsia="es-MX"/>
        </w:rPr>
        <w:t xml:space="preserve"> that</w:t>
      </w:r>
      <w:r w:rsidR="00A86D40" w:rsidRPr="00C55E0B">
        <w:rPr>
          <w:rFonts w:ascii="Book Antiqua" w:eastAsia="Times New Roman" w:hAnsi="Book Antiqua" w:cs="Arial"/>
          <w:color w:val="000000"/>
          <w:sz w:val="24"/>
          <w:szCs w:val="24"/>
          <w:lang w:val="en-US" w:eastAsia="es-MX"/>
        </w:rPr>
        <w:t xml:space="preserve"> </w:t>
      </w:r>
      <w:r w:rsidR="008705BB" w:rsidRPr="00C55E0B">
        <w:rPr>
          <w:rFonts w:ascii="Book Antiqua" w:eastAsia="Times New Roman" w:hAnsi="Book Antiqua" w:cs="Arial"/>
          <w:color w:val="000000"/>
          <w:sz w:val="24"/>
          <w:szCs w:val="24"/>
          <w:lang w:val="en-US" w:eastAsia="es-MX"/>
        </w:rPr>
        <w:t>can predict the development of hepatic encephalopathy with the advantage of being a non-invasive</w:t>
      </w:r>
      <w:r w:rsidR="00462A86" w:rsidRPr="00C55E0B">
        <w:rPr>
          <w:rFonts w:ascii="Book Antiqua" w:eastAsia="Times New Roman" w:hAnsi="Book Antiqua" w:cs="Arial"/>
          <w:color w:val="000000"/>
          <w:sz w:val="24"/>
          <w:szCs w:val="24"/>
          <w:lang w:val="en-US" w:eastAsia="es-MX"/>
        </w:rPr>
        <w:t xml:space="preserve">, </w:t>
      </w:r>
      <w:r w:rsidR="008705BB" w:rsidRPr="00C55E0B">
        <w:rPr>
          <w:rFonts w:ascii="Book Antiqua" w:eastAsia="Times New Roman" w:hAnsi="Book Antiqua" w:cs="Arial"/>
          <w:color w:val="000000"/>
          <w:sz w:val="24"/>
          <w:szCs w:val="24"/>
          <w:lang w:val="en-US" w:eastAsia="es-MX"/>
        </w:rPr>
        <w:t xml:space="preserve">inexpensive and bedside method. </w:t>
      </w:r>
      <w:r w:rsidR="00A86D40" w:rsidRPr="00C55E0B">
        <w:rPr>
          <w:rFonts w:ascii="Book Antiqua" w:eastAsia="Times New Roman" w:hAnsi="Book Antiqua" w:cs="Arial"/>
          <w:color w:val="000000"/>
          <w:sz w:val="24"/>
          <w:szCs w:val="24"/>
          <w:lang w:val="en-US" w:eastAsia="es-MX"/>
        </w:rPr>
        <w:t xml:space="preserve"> </w:t>
      </w:r>
    </w:p>
    <w:p w:rsidR="007D0A35" w:rsidRPr="00C55E0B" w:rsidRDefault="007D0A35" w:rsidP="00C55E0B">
      <w:pPr>
        <w:spacing w:after="0" w:line="360" w:lineRule="auto"/>
        <w:jc w:val="both"/>
        <w:rPr>
          <w:rFonts w:ascii="Book Antiqua" w:hAnsi="Book Antiqua"/>
          <w:sz w:val="24"/>
          <w:szCs w:val="24"/>
          <w:lang w:val="en-US"/>
        </w:rPr>
      </w:pPr>
    </w:p>
    <w:p w:rsidR="002824AA" w:rsidRPr="00C55E0B" w:rsidRDefault="00250992" w:rsidP="005C7FE6">
      <w:pPr>
        <w:adjustRightInd w:val="0"/>
        <w:snapToGrid w:val="0"/>
        <w:spacing w:after="0" w:line="360" w:lineRule="auto"/>
        <w:jc w:val="both"/>
        <w:rPr>
          <w:rFonts w:ascii="Book Antiqua" w:hAnsi="Book Antiqua"/>
          <w:sz w:val="24"/>
          <w:szCs w:val="24"/>
        </w:rPr>
      </w:pPr>
      <w:r w:rsidRPr="00C55E0B">
        <w:rPr>
          <w:rFonts w:ascii="Book Antiqua" w:hAnsi="Book Antiqua"/>
          <w:sz w:val="24"/>
          <w:szCs w:val="24"/>
          <w:lang w:val="en-US"/>
        </w:rPr>
        <w:t>Ruiz-Margáin A, Macias-Rodriguez RU,</w:t>
      </w:r>
      <w:r w:rsidR="00FA4A99" w:rsidRPr="00C55E0B">
        <w:rPr>
          <w:rFonts w:ascii="Book Antiqua" w:hAnsi="Book Antiqua"/>
          <w:sz w:val="24"/>
          <w:szCs w:val="24"/>
          <w:lang w:val="en-US"/>
        </w:rPr>
        <w:t xml:space="preserve"> Ampuero J,</w:t>
      </w:r>
      <w:r w:rsidRPr="00C55E0B">
        <w:rPr>
          <w:rFonts w:ascii="Book Antiqua" w:hAnsi="Book Antiqua"/>
          <w:sz w:val="24"/>
          <w:szCs w:val="24"/>
          <w:lang w:val="en-US"/>
        </w:rPr>
        <w:t xml:space="preserve"> Cubero FJ,</w:t>
      </w:r>
      <w:r w:rsidR="00FA4A99" w:rsidRPr="00C55E0B">
        <w:rPr>
          <w:rFonts w:ascii="Book Antiqua" w:hAnsi="Book Antiqua"/>
          <w:sz w:val="24"/>
          <w:szCs w:val="24"/>
          <w:lang w:val="en-US"/>
        </w:rPr>
        <w:t xml:space="preserve"> Chi-Cerveza L, Rios-Torres SL, </w:t>
      </w:r>
      <w:r w:rsidRPr="00C55E0B">
        <w:rPr>
          <w:rFonts w:ascii="Book Antiqua" w:hAnsi="Book Antiqua"/>
          <w:sz w:val="24"/>
          <w:szCs w:val="24"/>
          <w:lang w:val="en-US"/>
        </w:rPr>
        <w:t xml:space="preserve"> </w:t>
      </w:r>
      <w:r w:rsidR="00FA4A99" w:rsidRPr="00C55E0B">
        <w:rPr>
          <w:rFonts w:ascii="Book Antiqua" w:hAnsi="Book Antiqua"/>
          <w:sz w:val="24"/>
          <w:szCs w:val="24"/>
          <w:lang w:val="en-US"/>
        </w:rPr>
        <w:t>Duarte-Rojo A, Espinosa-Cuevas A, Romero-Gómez M</w:t>
      </w:r>
      <w:r w:rsidR="005E5F70" w:rsidRPr="00C55E0B">
        <w:rPr>
          <w:rFonts w:ascii="Book Antiqua" w:hAnsi="Book Antiqua"/>
          <w:sz w:val="24"/>
          <w:szCs w:val="24"/>
          <w:lang w:val="en-US"/>
        </w:rPr>
        <w:t>,</w:t>
      </w:r>
      <w:r w:rsidR="00FA4A99" w:rsidRPr="00C55E0B">
        <w:rPr>
          <w:rFonts w:ascii="Book Antiqua" w:hAnsi="Book Antiqua"/>
          <w:sz w:val="24"/>
          <w:szCs w:val="24"/>
          <w:lang w:val="en-US"/>
        </w:rPr>
        <w:t xml:space="preserve"> </w:t>
      </w:r>
      <w:r w:rsidRPr="00C55E0B">
        <w:rPr>
          <w:rFonts w:ascii="Book Antiqua" w:hAnsi="Book Antiqua"/>
          <w:sz w:val="24"/>
          <w:szCs w:val="24"/>
          <w:lang w:val="en-US"/>
        </w:rPr>
        <w:t xml:space="preserve">Torre A. </w:t>
      </w:r>
      <w:r w:rsidR="00FA4A99" w:rsidRPr="00C55E0B">
        <w:rPr>
          <w:rFonts w:ascii="Book Antiqua" w:hAnsi="Book Antiqua"/>
          <w:sz w:val="24"/>
          <w:szCs w:val="24"/>
          <w:lang w:val="en-US"/>
        </w:rPr>
        <w:t>L</w:t>
      </w:r>
      <w:r w:rsidR="002824AA" w:rsidRPr="00C55E0B">
        <w:rPr>
          <w:rFonts w:ascii="Book Antiqua" w:hAnsi="Book Antiqua"/>
          <w:sz w:val="24"/>
          <w:szCs w:val="24"/>
          <w:lang w:val="en-US"/>
        </w:rPr>
        <w:t>ow phase angle is associated with the development of hepatic encephalopathy in patients with cirrhosis</w:t>
      </w:r>
      <w:r w:rsidR="002824AA" w:rsidRPr="00C55E0B">
        <w:rPr>
          <w:rFonts w:ascii="Book Antiqua" w:hAnsi="Book Antiqua"/>
          <w:sz w:val="24"/>
          <w:szCs w:val="24"/>
          <w:lang w:val="en-US" w:eastAsia="zh-CN"/>
        </w:rPr>
        <w:t xml:space="preserve">. </w:t>
      </w:r>
      <w:bookmarkStart w:id="39" w:name="OLE_LINK424"/>
      <w:bookmarkStart w:id="40" w:name="OLE_LINK425"/>
      <w:r w:rsidR="002824AA" w:rsidRPr="00C55E0B">
        <w:rPr>
          <w:rFonts w:ascii="Book Antiqua" w:hAnsi="Book Antiqua"/>
          <w:i/>
          <w:sz w:val="24"/>
          <w:szCs w:val="24"/>
        </w:rPr>
        <w:t>World J Gastroenterol</w:t>
      </w:r>
      <w:r w:rsidR="002824AA" w:rsidRPr="00C55E0B">
        <w:rPr>
          <w:rFonts w:ascii="Book Antiqua" w:hAnsi="Book Antiqua"/>
          <w:sz w:val="24"/>
          <w:szCs w:val="24"/>
        </w:rPr>
        <w:t xml:space="preserve"> 2016; </w:t>
      </w:r>
      <w:bookmarkStart w:id="41" w:name="OLE_LINK1689"/>
      <w:bookmarkStart w:id="42" w:name="OLE_LINK1298"/>
      <w:bookmarkStart w:id="43" w:name="OLE_LINK1297"/>
      <w:r w:rsidR="002824AA" w:rsidRPr="00C55E0B">
        <w:rPr>
          <w:rFonts w:ascii="Book Antiqua" w:hAnsi="Book Antiqua"/>
          <w:sz w:val="24"/>
          <w:szCs w:val="24"/>
        </w:rPr>
        <w:t>In press</w:t>
      </w:r>
      <w:bookmarkEnd w:id="41"/>
      <w:bookmarkEnd w:id="42"/>
      <w:bookmarkEnd w:id="43"/>
    </w:p>
    <w:bookmarkEnd w:id="39"/>
    <w:bookmarkEnd w:id="40"/>
    <w:p w:rsidR="00250992" w:rsidRPr="00C55E0B" w:rsidRDefault="00250992" w:rsidP="00C55E0B">
      <w:pPr>
        <w:spacing w:after="0" w:line="360" w:lineRule="auto"/>
        <w:jc w:val="both"/>
        <w:rPr>
          <w:rFonts w:ascii="Book Antiqua" w:hAnsi="Book Antiqua"/>
          <w:sz w:val="24"/>
          <w:szCs w:val="24"/>
          <w:lang w:val="en-US" w:eastAsia="zh-CN"/>
        </w:rPr>
      </w:pPr>
    </w:p>
    <w:p w:rsidR="0034208A" w:rsidRPr="00C55E0B" w:rsidRDefault="0034208A" w:rsidP="00C55E0B">
      <w:pPr>
        <w:spacing w:after="0" w:line="360" w:lineRule="auto"/>
        <w:jc w:val="both"/>
        <w:rPr>
          <w:rFonts w:ascii="Book Antiqua" w:hAnsi="Book Antiqua"/>
          <w:sz w:val="24"/>
          <w:szCs w:val="24"/>
          <w:lang w:val="en-US"/>
        </w:rPr>
      </w:pPr>
    </w:p>
    <w:p w:rsidR="00D30B40" w:rsidRPr="00C55E0B" w:rsidRDefault="00D30B40" w:rsidP="00C55E0B">
      <w:pPr>
        <w:spacing w:after="0" w:line="360" w:lineRule="auto"/>
        <w:jc w:val="both"/>
        <w:rPr>
          <w:rFonts w:ascii="Book Antiqua" w:hAnsi="Book Antiqua"/>
          <w:b/>
          <w:sz w:val="24"/>
          <w:szCs w:val="24"/>
          <w:lang w:val="en-US"/>
        </w:rPr>
      </w:pPr>
    </w:p>
    <w:p w:rsidR="00D30B40" w:rsidRPr="00C55E0B" w:rsidRDefault="00D30B40" w:rsidP="00C55E0B">
      <w:pPr>
        <w:spacing w:after="0" w:line="360" w:lineRule="auto"/>
        <w:jc w:val="both"/>
        <w:rPr>
          <w:rFonts w:ascii="Book Antiqua" w:hAnsi="Book Antiqua"/>
          <w:b/>
          <w:sz w:val="24"/>
          <w:szCs w:val="24"/>
          <w:lang w:val="en-US"/>
        </w:rPr>
      </w:pPr>
    </w:p>
    <w:p w:rsidR="00D30B40" w:rsidRPr="00C55E0B" w:rsidRDefault="00D30B40" w:rsidP="00C55E0B">
      <w:pPr>
        <w:spacing w:after="0" w:line="360" w:lineRule="auto"/>
        <w:jc w:val="both"/>
        <w:rPr>
          <w:rFonts w:ascii="Book Antiqua" w:hAnsi="Book Antiqua"/>
          <w:b/>
          <w:sz w:val="24"/>
          <w:szCs w:val="24"/>
          <w:lang w:val="en-US"/>
        </w:rPr>
      </w:pPr>
    </w:p>
    <w:p w:rsidR="00D30B40" w:rsidRPr="00C55E0B" w:rsidRDefault="00D30B40" w:rsidP="00C55E0B">
      <w:pPr>
        <w:spacing w:after="0" w:line="360" w:lineRule="auto"/>
        <w:jc w:val="both"/>
        <w:rPr>
          <w:rFonts w:ascii="Book Antiqua" w:hAnsi="Book Antiqua"/>
          <w:b/>
          <w:sz w:val="24"/>
          <w:szCs w:val="24"/>
          <w:lang w:val="en-US"/>
        </w:rPr>
      </w:pPr>
    </w:p>
    <w:p w:rsidR="00D30B40" w:rsidRPr="00C55E0B" w:rsidRDefault="00D30B40" w:rsidP="00C55E0B">
      <w:pPr>
        <w:spacing w:after="0" w:line="360" w:lineRule="auto"/>
        <w:jc w:val="both"/>
        <w:rPr>
          <w:rFonts w:ascii="Book Antiqua" w:hAnsi="Book Antiqua"/>
          <w:b/>
          <w:sz w:val="24"/>
          <w:szCs w:val="24"/>
          <w:lang w:val="en-US"/>
        </w:rPr>
      </w:pPr>
    </w:p>
    <w:p w:rsidR="00D30B40" w:rsidRPr="00C55E0B" w:rsidRDefault="00D30B40" w:rsidP="00C55E0B">
      <w:pPr>
        <w:spacing w:after="0" w:line="360" w:lineRule="auto"/>
        <w:jc w:val="both"/>
        <w:rPr>
          <w:rFonts w:ascii="Book Antiqua" w:hAnsi="Book Antiqua"/>
          <w:b/>
          <w:sz w:val="24"/>
          <w:szCs w:val="24"/>
          <w:lang w:val="en-US"/>
        </w:rPr>
      </w:pPr>
    </w:p>
    <w:p w:rsidR="00681DA1" w:rsidRPr="00C55E0B" w:rsidRDefault="00681DA1" w:rsidP="00C55E0B">
      <w:pPr>
        <w:spacing w:after="0" w:line="360" w:lineRule="auto"/>
        <w:jc w:val="both"/>
        <w:rPr>
          <w:rFonts w:ascii="Book Antiqua" w:hAnsi="Book Antiqua"/>
          <w:b/>
          <w:sz w:val="24"/>
          <w:szCs w:val="24"/>
          <w:lang w:val="en-US"/>
        </w:rPr>
      </w:pPr>
    </w:p>
    <w:p w:rsidR="00E24C43" w:rsidRPr="00C55E0B" w:rsidRDefault="00E24C43" w:rsidP="00C55E0B">
      <w:pPr>
        <w:spacing w:after="0" w:line="259" w:lineRule="auto"/>
        <w:jc w:val="both"/>
        <w:rPr>
          <w:rFonts w:ascii="Book Antiqua" w:hAnsi="Book Antiqua"/>
          <w:b/>
          <w:sz w:val="24"/>
          <w:szCs w:val="24"/>
          <w:lang w:val="en-US"/>
        </w:rPr>
      </w:pPr>
    </w:p>
    <w:p w:rsidR="0069437E" w:rsidRPr="00C55E0B" w:rsidRDefault="0069437E" w:rsidP="00C55E0B">
      <w:pPr>
        <w:spacing w:after="0" w:line="259" w:lineRule="auto"/>
        <w:jc w:val="both"/>
        <w:rPr>
          <w:rFonts w:ascii="Book Antiqua" w:hAnsi="Book Antiqua"/>
          <w:b/>
          <w:sz w:val="24"/>
          <w:szCs w:val="24"/>
          <w:lang w:val="en-US"/>
        </w:rPr>
      </w:pPr>
    </w:p>
    <w:p w:rsidR="002824AA" w:rsidRPr="00C55E0B" w:rsidRDefault="002824AA" w:rsidP="00C55E0B">
      <w:pPr>
        <w:spacing w:after="0" w:line="259" w:lineRule="auto"/>
        <w:rPr>
          <w:rFonts w:ascii="Book Antiqua" w:hAnsi="Book Antiqua"/>
          <w:b/>
          <w:sz w:val="24"/>
          <w:szCs w:val="24"/>
          <w:lang w:val="en-US"/>
        </w:rPr>
      </w:pPr>
      <w:r w:rsidRPr="00C55E0B">
        <w:rPr>
          <w:rFonts w:ascii="Book Antiqua" w:hAnsi="Book Antiqua"/>
          <w:b/>
          <w:sz w:val="24"/>
          <w:szCs w:val="24"/>
          <w:lang w:val="en-US"/>
        </w:rPr>
        <w:br w:type="page"/>
      </w:r>
    </w:p>
    <w:p w:rsidR="00D30B40" w:rsidRPr="00C55E0B" w:rsidRDefault="00D30B40" w:rsidP="00C55E0B">
      <w:pPr>
        <w:spacing w:after="0" w:line="360" w:lineRule="auto"/>
        <w:jc w:val="both"/>
        <w:rPr>
          <w:rFonts w:ascii="Book Antiqua" w:hAnsi="Book Antiqua"/>
          <w:b/>
          <w:sz w:val="24"/>
          <w:szCs w:val="24"/>
          <w:lang w:val="en-US"/>
        </w:rPr>
      </w:pPr>
      <w:r w:rsidRPr="00C55E0B">
        <w:rPr>
          <w:rFonts w:ascii="Book Antiqua" w:hAnsi="Book Antiqua"/>
          <w:b/>
          <w:sz w:val="24"/>
          <w:szCs w:val="24"/>
          <w:lang w:val="en-US"/>
        </w:rPr>
        <w:lastRenderedPageBreak/>
        <w:t>INTRODUCTION</w:t>
      </w:r>
    </w:p>
    <w:p w:rsidR="006575A1" w:rsidRPr="00C55E0B" w:rsidRDefault="006575A1" w:rsidP="00C55E0B">
      <w:pPr>
        <w:spacing w:after="0" w:line="360" w:lineRule="auto"/>
        <w:jc w:val="both"/>
        <w:rPr>
          <w:rFonts w:ascii="Book Antiqua" w:hAnsi="Book Antiqua" w:cs="Arial"/>
          <w:sz w:val="24"/>
          <w:szCs w:val="24"/>
          <w:lang w:val="en-US" w:eastAsia="zh-CN"/>
        </w:rPr>
      </w:pPr>
      <w:r w:rsidRPr="00C55E0B">
        <w:rPr>
          <w:rFonts w:ascii="Book Antiqua" w:hAnsi="Book Antiqua" w:cs="Arial"/>
          <w:sz w:val="24"/>
          <w:szCs w:val="24"/>
          <w:lang w:val="en-US"/>
        </w:rPr>
        <w:t>Hepatic encephalopathy (HE) is defined as a spectrum of neuropsychiatric abnormalities observed in patients with liver dysfunction, in the absence of other explanatory medical conditions; this disorder may significantly impair the daily function, quality of life and survival of patients with cirrhosis</w:t>
      </w:r>
      <w:r w:rsidR="00E24C43" w:rsidRPr="00C55E0B">
        <w:rPr>
          <w:rFonts w:ascii="Book Antiqua" w:hAnsi="Book Antiqua" w:cs="Arial"/>
          <w:sz w:val="24"/>
          <w:szCs w:val="24"/>
          <w:vertAlign w:val="superscript"/>
          <w:lang w:val="en-US" w:eastAsia="zh-CN"/>
        </w:rPr>
        <w:t>[</w:t>
      </w:r>
      <w:r w:rsidRPr="00C55E0B">
        <w:rPr>
          <w:rFonts w:ascii="Book Antiqua" w:hAnsi="Book Antiqua" w:cs="Arial"/>
          <w:sz w:val="24"/>
          <w:szCs w:val="24"/>
          <w:vertAlign w:val="superscript"/>
          <w:lang w:val="en-US"/>
        </w:rPr>
        <w:t>1</w:t>
      </w:r>
      <w:r w:rsidR="00E24C43" w:rsidRPr="00C55E0B">
        <w:rPr>
          <w:rFonts w:ascii="Book Antiqua" w:hAnsi="Book Antiqua" w:cs="Arial"/>
          <w:sz w:val="24"/>
          <w:szCs w:val="24"/>
          <w:vertAlign w:val="superscript"/>
          <w:lang w:val="en-US" w:eastAsia="zh-CN"/>
        </w:rPr>
        <w:t>]</w:t>
      </w:r>
      <w:r w:rsidRPr="00C55E0B">
        <w:rPr>
          <w:rFonts w:ascii="Book Antiqua" w:hAnsi="Book Antiqua" w:cs="Arial"/>
          <w:sz w:val="24"/>
          <w:szCs w:val="24"/>
          <w:lang w:val="en-US"/>
        </w:rPr>
        <w:t>. The pathophysiology of HE is complex, and multiple mechanisms have been implicated in its development. Apart from hyperammonemia, other factors such as oxidative stress, inflammation, false neurotransmitters, genetic factors and cerebral hemodynamic</w:t>
      </w:r>
      <w:r w:rsidR="002824AA" w:rsidRPr="00C55E0B">
        <w:rPr>
          <w:rFonts w:ascii="Book Antiqua" w:hAnsi="Book Antiqua" w:cs="Arial"/>
          <w:sz w:val="24"/>
          <w:szCs w:val="24"/>
          <w:lang w:val="en-US"/>
        </w:rPr>
        <w:t>s are known to trigger HE</w:t>
      </w:r>
      <w:r w:rsidR="002824AA" w:rsidRPr="00C55E0B">
        <w:rPr>
          <w:rFonts w:ascii="Book Antiqua" w:hAnsi="Book Antiqua" w:cs="Times New Roman"/>
          <w:sz w:val="24"/>
          <w:szCs w:val="24"/>
          <w:vertAlign w:val="superscript"/>
          <w:lang w:val="en-US"/>
        </w:rPr>
        <w:t>[2</w:t>
      </w:r>
      <w:r w:rsidR="002824AA" w:rsidRPr="00C55E0B">
        <w:rPr>
          <w:rFonts w:ascii="Book Antiqua" w:hAnsi="Book Antiqua" w:cs="Times New Roman"/>
          <w:sz w:val="24"/>
          <w:szCs w:val="24"/>
          <w:vertAlign w:val="superscript"/>
          <w:lang w:val="en-US" w:eastAsia="zh-CN"/>
        </w:rPr>
        <w:t>,</w:t>
      </w:r>
      <w:r w:rsidR="0069437E" w:rsidRPr="00C55E0B">
        <w:rPr>
          <w:rFonts w:ascii="Book Antiqua" w:hAnsi="Book Antiqua" w:cs="Times New Roman"/>
          <w:sz w:val="24"/>
          <w:szCs w:val="24"/>
          <w:vertAlign w:val="superscript"/>
          <w:lang w:val="en-US"/>
        </w:rPr>
        <w:t>3]</w:t>
      </w:r>
      <w:r w:rsidR="002824AA" w:rsidRPr="00C55E0B">
        <w:rPr>
          <w:rFonts w:ascii="Book Antiqua" w:hAnsi="Book Antiqua" w:cs="Times New Roman"/>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 xml:space="preserve">As complications arise from cirrhosis, the different stages of malnutrition follow including depletion of muscle mass –sarcopenia-, depletion of both muscle and fat mass and the release of inflammatory mediators –cachexia- </w:t>
      </w:r>
      <w:r w:rsidR="0069437E" w:rsidRPr="00C55E0B">
        <w:rPr>
          <w:rFonts w:ascii="Book Antiqua" w:hAnsi="Book Antiqua" w:cs="Times New Roman"/>
          <w:sz w:val="24"/>
          <w:szCs w:val="24"/>
          <w:vertAlign w:val="superscript"/>
          <w:lang w:val="en-US"/>
        </w:rPr>
        <w:t>[4]</w:t>
      </w:r>
      <w:r w:rsidRPr="00C55E0B">
        <w:rPr>
          <w:rFonts w:ascii="Book Antiqua" w:hAnsi="Book Antiqua" w:cs="Arial"/>
          <w:sz w:val="24"/>
          <w:szCs w:val="24"/>
          <w:vertAlign w:val="superscript"/>
          <w:lang w:val="en-US"/>
        </w:rPr>
        <w:t xml:space="preserve">, </w:t>
      </w:r>
      <w:r w:rsidRPr="00C55E0B">
        <w:rPr>
          <w:rFonts w:ascii="Book Antiqua" w:hAnsi="Book Antiqua" w:cs="Arial"/>
          <w:sz w:val="24"/>
          <w:szCs w:val="24"/>
          <w:lang w:val="en-US"/>
        </w:rPr>
        <w:t>affecting the normal functioning of different organs such as the brain. Some aspects of malnutrition share common mechanisms with those observed in patients with HE, including increased oxidative st</w:t>
      </w:r>
      <w:r w:rsidR="002824AA" w:rsidRPr="00C55E0B">
        <w:rPr>
          <w:rFonts w:ascii="Book Antiqua" w:hAnsi="Book Antiqua" w:cs="Arial"/>
          <w:sz w:val="24"/>
          <w:szCs w:val="24"/>
          <w:lang w:val="en-US"/>
        </w:rPr>
        <w:t>ress and systemic inflammation</w:t>
      </w:r>
      <w:r w:rsidR="0069437E" w:rsidRPr="00C55E0B">
        <w:rPr>
          <w:rFonts w:ascii="Book Antiqua" w:hAnsi="Book Antiqua" w:cs="Times New Roman"/>
          <w:sz w:val="24"/>
          <w:szCs w:val="24"/>
          <w:vertAlign w:val="superscript"/>
          <w:lang w:val="en-US"/>
        </w:rPr>
        <w:t>[5]</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This is especially important in cachexia, where loss of muscle and fat mass together with systemic inflammation contribute to detrimental general status</w:t>
      </w:r>
      <w:r w:rsidR="002824AA" w:rsidRPr="00C55E0B">
        <w:rPr>
          <w:rFonts w:ascii="Book Antiqua" w:hAnsi="Book Antiqua" w:cs="Times New Roman"/>
          <w:sz w:val="24"/>
          <w:szCs w:val="24"/>
          <w:vertAlign w:val="superscript"/>
          <w:lang w:val="en-US"/>
        </w:rPr>
        <w:t>[6</w:t>
      </w:r>
      <w:r w:rsidR="002824AA" w:rsidRPr="00C55E0B">
        <w:rPr>
          <w:rFonts w:ascii="Book Antiqua" w:hAnsi="Book Antiqua" w:cs="Times New Roman"/>
          <w:sz w:val="24"/>
          <w:szCs w:val="24"/>
          <w:vertAlign w:val="superscript"/>
          <w:lang w:val="en-US" w:eastAsia="zh-CN"/>
        </w:rPr>
        <w:t>,</w:t>
      </w:r>
      <w:r w:rsidR="0069437E" w:rsidRPr="00C55E0B">
        <w:rPr>
          <w:rFonts w:ascii="Book Antiqua" w:hAnsi="Book Antiqua" w:cs="Times New Roman"/>
          <w:sz w:val="24"/>
          <w:szCs w:val="24"/>
          <w:vertAlign w:val="superscript"/>
          <w:lang w:val="en-US"/>
        </w:rPr>
        <w:t>7]</w:t>
      </w:r>
      <w:r w:rsidR="002824AA" w:rsidRPr="00C55E0B">
        <w:rPr>
          <w:rFonts w:ascii="Book Antiqua" w:hAnsi="Book Antiqua" w:cs="Arial"/>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 xml:space="preserve">Loss of skeletal muscle is related to poor ammonia clearance by decreasing the amount of glutamine synthetase - a key enzyme related to ammonia scavenging - which catalyzes the conversion of ammonia and glutamate into glutamine. </w:t>
      </w:r>
      <w:r w:rsidR="00233F97" w:rsidRPr="00C55E0B">
        <w:rPr>
          <w:rFonts w:ascii="Book Antiqua" w:hAnsi="Book Antiqua" w:cs="Times New Roman"/>
          <w:sz w:val="24"/>
          <w:szCs w:val="24"/>
          <w:vertAlign w:val="superscript"/>
          <w:lang w:val="en-US"/>
        </w:rPr>
        <w:t>[8,9]</w:t>
      </w:r>
      <w:r w:rsidR="00233F97" w:rsidRPr="00C55E0B">
        <w:rPr>
          <w:rFonts w:ascii="Book Antiqua" w:hAnsi="Book Antiqua" w:cs="Arial"/>
          <w:sz w:val="24"/>
          <w:szCs w:val="24"/>
          <w:lang w:val="en-US"/>
        </w:rPr>
        <w:t xml:space="preserve"> </w:t>
      </w:r>
      <w:r w:rsidRPr="00C55E0B">
        <w:rPr>
          <w:rFonts w:ascii="Book Antiqua" w:hAnsi="Book Antiqua" w:cs="Arial"/>
          <w:sz w:val="24"/>
          <w:szCs w:val="24"/>
          <w:lang w:val="en-US"/>
        </w:rPr>
        <w:t xml:space="preserve"> Substantial evidence has linked oxidative stress with malnutrition; in fact, the underlying mechanism includes low bioavailability of antioxidants, enhanced production of free radicals and impaired functioning of free radical scavenging enzymes</w:t>
      </w:r>
      <w:r w:rsidR="00233F97" w:rsidRPr="00C55E0B">
        <w:rPr>
          <w:rFonts w:ascii="Book Antiqua" w:hAnsi="Book Antiqua" w:cs="Times New Roman"/>
          <w:sz w:val="24"/>
          <w:szCs w:val="24"/>
          <w:vertAlign w:val="superscript"/>
          <w:lang w:val="en-US"/>
        </w:rPr>
        <w:t>[10]</w:t>
      </w:r>
      <w:r w:rsidRPr="00C55E0B">
        <w:rPr>
          <w:rFonts w:ascii="Book Antiqua" w:hAnsi="Book Antiqua" w:cs="Arial"/>
          <w:sz w:val="24"/>
          <w:szCs w:val="24"/>
          <w:lang w:val="en-US"/>
        </w:rPr>
        <w:t>. Finally, cachexia-driven inflammation and oxidative stress might further impair brain function leadin</w:t>
      </w:r>
      <w:r w:rsidR="002824AA" w:rsidRPr="00C55E0B">
        <w:rPr>
          <w:rFonts w:ascii="Book Antiqua" w:hAnsi="Book Antiqua" w:cs="Arial"/>
          <w:sz w:val="24"/>
          <w:szCs w:val="24"/>
          <w:lang w:val="en-US"/>
        </w:rPr>
        <w:t>g to hepatic encephalopathy</w:t>
      </w:r>
      <w:r w:rsidR="00233F97" w:rsidRPr="00C55E0B">
        <w:rPr>
          <w:rFonts w:ascii="Book Antiqua" w:hAnsi="Book Antiqua" w:cs="Times New Roman"/>
          <w:sz w:val="24"/>
          <w:szCs w:val="24"/>
          <w:vertAlign w:val="superscript"/>
          <w:lang w:val="en-US"/>
        </w:rPr>
        <w:t>[5]</w:t>
      </w:r>
      <w:r w:rsidR="002824AA" w:rsidRPr="00C55E0B">
        <w:rPr>
          <w:rFonts w:ascii="Book Antiqua" w:hAnsi="Book Antiqua" w:cs="Times New Roman"/>
          <w:sz w:val="24"/>
          <w:szCs w:val="24"/>
          <w:lang w:val="en-US" w:eastAsia="zh-CN"/>
        </w:rPr>
        <w:t>.</w:t>
      </w:r>
    </w:p>
    <w:p w:rsidR="00233F97" w:rsidRPr="00C55E0B" w:rsidRDefault="006575A1" w:rsidP="00C55E0B">
      <w:pPr>
        <w:spacing w:after="0" w:line="360" w:lineRule="auto"/>
        <w:ind w:firstLineChars="100" w:firstLine="240"/>
        <w:jc w:val="both"/>
        <w:rPr>
          <w:rFonts w:ascii="Book Antiqua" w:hAnsi="Book Antiqua" w:cs="Times New Roman"/>
          <w:sz w:val="24"/>
          <w:szCs w:val="24"/>
          <w:lang w:val="en-US" w:eastAsia="zh-CN"/>
        </w:rPr>
      </w:pPr>
      <w:r w:rsidRPr="00C55E0B">
        <w:rPr>
          <w:rFonts w:ascii="Book Antiqua" w:hAnsi="Book Antiqua" w:cs="Arial"/>
          <w:sz w:val="24"/>
          <w:szCs w:val="24"/>
          <w:lang w:val="en-US"/>
        </w:rPr>
        <w:t>Among the current available methods for the assessment of the nutritional status, bioelectrical impedance-derived phase angle (PhA), is regarded as an useful tool indicating the balance between cell hydration and body mass, which is finally translated into tissue homeost</w:t>
      </w:r>
      <w:r w:rsidR="002824AA" w:rsidRPr="00C55E0B">
        <w:rPr>
          <w:rFonts w:ascii="Book Antiqua" w:hAnsi="Book Antiqua" w:cs="Arial"/>
          <w:sz w:val="24"/>
          <w:szCs w:val="24"/>
          <w:lang w:val="en-US"/>
        </w:rPr>
        <w:t>asis and nutritional status</w:t>
      </w:r>
      <w:r w:rsidR="00233F97" w:rsidRPr="00C55E0B">
        <w:rPr>
          <w:rFonts w:ascii="Book Antiqua" w:hAnsi="Book Antiqua" w:cs="Times New Roman"/>
          <w:sz w:val="24"/>
          <w:szCs w:val="24"/>
          <w:vertAlign w:val="superscript"/>
          <w:lang w:val="en-US"/>
        </w:rPr>
        <w:t>[11]</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 xml:space="preserve">Low values of PhA </w:t>
      </w:r>
      <w:r w:rsidRPr="00C55E0B">
        <w:rPr>
          <w:rFonts w:ascii="Book Antiqua" w:hAnsi="Book Antiqua" w:cs="Arial"/>
          <w:sz w:val="24"/>
          <w:szCs w:val="24"/>
          <w:lang w:val="en-US"/>
        </w:rPr>
        <w:lastRenderedPageBreak/>
        <w:t>reflect poor nutritional status typically found in clinical settings such as cancer, human immunodeficiency virus and cirrhosis. The clinical application of PhA in patients with cirrhosis and HE inclu</w:t>
      </w:r>
      <w:r w:rsidR="002824AA" w:rsidRPr="00C55E0B">
        <w:rPr>
          <w:rFonts w:ascii="Book Antiqua" w:hAnsi="Book Antiqua" w:cs="Arial"/>
          <w:sz w:val="24"/>
          <w:szCs w:val="24"/>
          <w:lang w:val="en-US"/>
        </w:rPr>
        <w:t>des the evaluation of cachexia</w:t>
      </w:r>
      <w:r w:rsidR="00233F97" w:rsidRPr="00C55E0B">
        <w:rPr>
          <w:rFonts w:ascii="Book Antiqua" w:hAnsi="Book Antiqua" w:cs="Times New Roman"/>
          <w:sz w:val="24"/>
          <w:szCs w:val="24"/>
          <w:vertAlign w:val="superscript"/>
          <w:lang w:val="en-US"/>
        </w:rPr>
        <w:t>[12-14]</w:t>
      </w:r>
      <w:r w:rsidR="002824AA" w:rsidRPr="00C55E0B">
        <w:rPr>
          <w:rFonts w:ascii="Book Antiqua" w:hAnsi="Book Antiqua" w:cs="Times New Roman"/>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rPr>
      </w:pPr>
      <w:r w:rsidRPr="00C55E0B">
        <w:rPr>
          <w:rFonts w:ascii="Book Antiqua" w:hAnsi="Book Antiqua" w:cs="Arial"/>
          <w:sz w:val="24"/>
          <w:szCs w:val="24"/>
          <w:lang w:val="en-US"/>
        </w:rPr>
        <w:t>Therefore, the aim of this study was to evaluate the association between PhA and the HE development in the long-term follow-up of cirrhotic patients.</w:t>
      </w:r>
    </w:p>
    <w:p w:rsidR="006575A1" w:rsidRPr="00C55E0B" w:rsidRDefault="006575A1" w:rsidP="00C55E0B">
      <w:pPr>
        <w:spacing w:after="0" w:line="360" w:lineRule="auto"/>
        <w:jc w:val="both"/>
        <w:rPr>
          <w:rFonts w:ascii="Book Antiqua" w:hAnsi="Book Antiqua" w:cs="Arial"/>
          <w:sz w:val="24"/>
          <w:szCs w:val="24"/>
          <w:lang w:val="en-US"/>
        </w:rPr>
      </w:pPr>
    </w:p>
    <w:p w:rsidR="002824AA" w:rsidRPr="00C55E0B" w:rsidRDefault="002824AA" w:rsidP="00C55E0B">
      <w:pPr>
        <w:spacing w:after="0" w:line="360" w:lineRule="auto"/>
        <w:rPr>
          <w:rFonts w:ascii="Book Antiqua" w:hAnsi="Book Antiqua"/>
          <w:b/>
          <w:sz w:val="24"/>
          <w:szCs w:val="24"/>
        </w:rPr>
      </w:pPr>
      <w:bookmarkStart w:id="44" w:name="OLE_LINK337"/>
      <w:bookmarkStart w:id="45" w:name="OLE_LINK338"/>
      <w:bookmarkStart w:id="46" w:name="OLE_LINK378"/>
      <w:bookmarkStart w:id="47" w:name="OLE_LINK388"/>
      <w:bookmarkStart w:id="48" w:name="OLE_LINK394"/>
      <w:r w:rsidRPr="00C55E0B">
        <w:rPr>
          <w:rFonts w:ascii="Book Antiqua" w:hAnsi="Book Antiqua"/>
          <w:b/>
          <w:sz w:val="24"/>
          <w:szCs w:val="24"/>
        </w:rPr>
        <w:t>MATERIALS AND METHODS</w:t>
      </w:r>
    </w:p>
    <w:bookmarkEnd w:id="44"/>
    <w:bookmarkEnd w:id="45"/>
    <w:bookmarkEnd w:id="46"/>
    <w:bookmarkEnd w:id="47"/>
    <w:bookmarkEnd w:id="48"/>
    <w:p w:rsidR="006575A1" w:rsidRPr="00C55E0B" w:rsidRDefault="006575A1" w:rsidP="00C55E0B">
      <w:pPr>
        <w:spacing w:after="0" w:line="360" w:lineRule="auto"/>
        <w:jc w:val="both"/>
        <w:rPr>
          <w:rFonts w:ascii="Book Antiqua" w:hAnsi="Book Antiqua" w:cs="Arial"/>
          <w:sz w:val="24"/>
          <w:szCs w:val="24"/>
          <w:lang w:val="en-US" w:eastAsia="zh-CN"/>
        </w:rPr>
      </w:pPr>
      <w:r w:rsidRPr="00C55E0B">
        <w:rPr>
          <w:rFonts w:ascii="Book Antiqua" w:hAnsi="Book Antiqua" w:cs="Arial"/>
          <w:sz w:val="24"/>
          <w:szCs w:val="24"/>
          <w:lang w:val="en-US"/>
        </w:rPr>
        <w:t>This was a prospective cohort study. Patients attending Gastroenterology and Hepatology clinics at a third-level hospital</w:t>
      </w:r>
      <w:r w:rsidR="00F0754F" w:rsidRPr="00C55E0B">
        <w:rPr>
          <w:rFonts w:ascii="Book Antiqua" w:hAnsi="Book Antiqua" w:cs="Arial"/>
          <w:sz w:val="24"/>
          <w:szCs w:val="24"/>
          <w:lang w:val="en-US"/>
        </w:rPr>
        <w:t xml:space="preserve"> (Instituto Nacional de Ciencias Médicas y Nutrición “Salvador Zubirán”, México City, México)</w:t>
      </w:r>
      <w:r w:rsidRPr="00C55E0B">
        <w:rPr>
          <w:rFonts w:ascii="Book Antiqua" w:hAnsi="Book Antiqua" w:cs="Arial"/>
          <w:sz w:val="24"/>
          <w:szCs w:val="24"/>
          <w:lang w:val="en-US"/>
        </w:rPr>
        <w:t xml:space="preserve"> between March 2009 and June 2010 were screened for study enrollment. This study was designed and conducted according to the principles of the Declaration of Helsinki and was approved by the local Institutional Ethics Committee</w:t>
      </w:r>
      <w:r w:rsidR="00E907A8" w:rsidRPr="00C55E0B">
        <w:rPr>
          <w:rFonts w:ascii="Book Antiqua" w:hAnsi="Book Antiqua" w:cs="Arial"/>
          <w:sz w:val="24"/>
          <w:szCs w:val="24"/>
          <w:lang w:val="en-US"/>
        </w:rPr>
        <w:t xml:space="preserve"> (REF 1652)</w:t>
      </w:r>
      <w:r w:rsidRPr="00C55E0B">
        <w:rPr>
          <w:rFonts w:ascii="Book Antiqua" w:hAnsi="Book Antiqua" w:cs="Arial"/>
          <w:sz w:val="24"/>
          <w:szCs w:val="24"/>
          <w:lang w:val="en-US"/>
        </w:rPr>
        <w:t>. Informed consent was obtained from each participant.</w:t>
      </w:r>
    </w:p>
    <w:p w:rsidR="002824AA" w:rsidRPr="00C55E0B" w:rsidRDefault="002824AA" w:rsidP="00C55E0B">
      <w:pPr>
        <w:spacing w:after="0" w:line="360" w:lineRule="auto"/>
        <w:jc w:val="both"/>
        <w:rPr>
          <w:rFonts w:ascii="Book Antiqua" w:hAnsi="Book Antiqua" w:cs="Arial"/>
          <w:sz w:val="24"/>
          <w:szCs w:val="24"/>
          <w:lang w:val="en-US" w:eastAsia="zh-CN"/>
        </w:rPr>
      </w:pPr>
    </w:p>
    <w:p w:rsidR="006575A1" w:rsidRPr="00C55E0B" w:rsidRDefault="006575A1" w:rsidP="00C55E0B">
      <w:pPr>
        <w:spacing w:after="0" w:line="360" w:lineRule="auto"/>
        <w:jc w:val="both"/>
        <w:rPr>
          <w:rFonts w:ascii="Book Antiqua" w:hAnsi="Book Antiqua" w:cs="Arial"/>
          <w:b/>
          <w:i/>
          <w:sz w:val="24"/>
          <w:szCs w:val="24"/>
          <w:lang w:val="en-US"/>
        </w:rPr>
      </w:pPr>
      <w:r w:rsidRPr="00C55E0B">
        <w:rPr>
          <w:rFonts w:ascii="Book Antiqua" w:hAnsi="Book Antiqua" w:cs="Arial"/>
          <w:b/>
          <w:i/>
          <w:sz w:val="24"/>
          <w:szCs w:val="24"/>
          <w:lang w:val="en-US"/>
        </w:rPr>
        <w:t>Patients</w:t>
      </w:r>
    </w:p>
    <w:p w:rsidR="006575A1" w:rsidRPr="00C55E0B" w:rsidRDefault="006575A1"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We included patients with an age of 18 to 65 years, and diagnosed with cirrhosis based on the combination of clinical features, radiological imaging, presence of portal hypertension, compatible biochemical parameters, and/or confirmatory liver biopsy. Inclusion was not restricted to etiology of cirrhosis.</w:t>
      </w:r>
      <w:r w:rsidRPr="00C55E0B">
        <w:rPr>
          <w:rFonts w:ascii="Book Antiqua" w:hAnsi="Book Antiqua" w:cs="Arial"/>
          <w:b/>
          <w:i/>
          <w:sz w:val="24"/>
          <w:szCs w:val="24"/>
          <w:lang w:val="en-US"/>
        </w:rPr>
        <w:t xml:space="preserve"> </w:t>
      </w:r>
      <w:r w:rsidRPr="00C55E0B">
        <w:rPr>
          <w:rFonts w:ascii="Book Antiqua" w:hAnsi="Book Antiqua" w:cs="Arial"/>
          <w:sz w:val="24"/>
          <w:szCs w:val="24"/>
          <w:lang w:val="en-US"/>
        </w:rPr>
        <w:t>Patients with acute or chronic renal failure, an episode of overt HE in the previous 6 months, with current treatment for HE, major surgery within four weeks before recruitment, pregnancy, active alcoholism, acute disease such as infections, use of neuropsychiatric drugs, hypothyroidism and extremity amputation, were excluded.</w:t>
      </w:r>
    </w:p>
    <w:p w:rsidR="006575A1" w:rsidRPr="00C55E0B" w:rsidRDefault="006575A1" w:rsidP="00C55E0B">
      <w:pPr>
        <w:spacing w:after="0" w:line="360" w:lineRule="auto"/>
        <w:contextualSpacing/>
        <w:jc w:val="both"/>
        <w:rPr>
          <w:rFonts w:ascii="Book Antiqua" w:hAnsi="Book Antiqua" w:cs="Arial"/>
          <w:sz w:val="24"/>
          <w:szCs w:val="24"/>
          <w:lang w:val="en-US"/>
        </w:rPr>
      </w:pPr>
    </w:p>
    <w:p w:rsidR="006575A1" w:rsidRPr="00C55E0B" w:rsidRDefault="006575A1" w:rsidP="00C55E0B">
      <w:pPr>
        <w:spacing w:after="0" w:line="360" w:lineRule="auto"/>
        <w:jc w:val="both"/>
        <w:rPr>
          <w:rFonts w:ascii="Book Antiqua" w:hAnsi="Book Antiqua" w:cs="Arial"/>
          <w:b/>
          <w:i/>
          <w:sz w:val="24"/>
          <w:szCs w:val="24"/>
          <w:lang w:val="en-US"/>
        </w:rPr>
      </w:pPr>
      <w:r w:rsidRPr="00C55E0B">
        <w:rPr>
          <w:rFonts w:ascii="Book Antiqua" w:hAnsi="Book Antiqua" w:cs="Arial"/>
          <w:b/>
          <w:i/>
          <w:sz w:val="24"/>
          <w:szCs w:val="24"/>
          <w:lang w:val="en-US"/>
        </w:rPr>
        <w:t>Clinical assessment</w:t>
      </w:r>
    </w:p>
    <w:p w:rsidR="006575A1" w:rsidRPr="00C55E0B" w:rsidRDefault="006575A1"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 xml:space="preserve">All patients underwent clinical evaluation to evaluate the presence of ascites, edema, and hepatic encephalopathy. HE was classified according to West Haven </w:t>
      </w:r>
      <w:r w:rsidRPr="00C55E0B">
        <w:rPr>
          <w:rFonts w:ascii="Book Antiqua" w:hAnsi="Book Antiqua" w:cs="Arial"/>
          <w:sz w:val="24"/>
          <w:szCs w:val="24"/>
          <w:lang w:val="en-US"/>
        </w:rPr>
        <w:lastRenderedPageBreak/>
        <w:t xml:space="preserve">criteria. If diagnosis of overt HE was made during follow-up, anti-ammonia treatment (lactulose, antibiotics, L-ornithine-L-aspartate) was prescribed, and resolution/improvement of HE manifestations was confirmed at a follow-up visit. </w:t>
      </w:r>
    </w:p>
    <w:p w:rsidR="006575A1" w:rsidRPr="00C55E0B" w:rsidRDefault="006575A1" w:rsidP="00C55E0B">
      <w:pPr>
        <w:spacing w:after="0" w:line="360" w:lineRule="auto"/>
        <w:jc w:val="both"/>
        <w:rPr>
          <w:rFonts w:ascii="Book Antiqua" w:hAnsi="Book Antiqua" w:cs="Times New Roman"/>
          <w:sz w:val="24"/>
          <w:szCs w:val="24"/>
          <w:lang w:val="en-US" w:eastAsia="zh-CN"/>
        </w:rPr>
      </w:pPr>
      <w:r w:rsidRPr="00C55E0B">
        <w:rPr>
          <w:rFonts w:ascii="Book Antiqua" w:hAnsi="Book Antiqua" w:cs="Arial"/>
          <w:sz w:val="24"/>
          <w:szCs w:val="24"/>
          <w:lang w:val="en-US"/>
        </w:rPr>
        <w:t>Biochemical tests including liver function tests, INR, creatinine, sodium, and ammonia levels were obtained within the first week of study enrollment. Disease severity was determined according to Child-Pugh (CP) and MELD (Model for E</w:t>
      </w:r>
      <w:r w:rsidR="002824AA" w:rsidRPr="00C55E0B">
        <w:rPr>
          <w:rFonts w:ascii="Book Antiqua" w:hAnsi="Book Antiqua" w:cs="Arial"/>
          <w:sz w:val="24"/>
          <w:szCs w:val="24"/>
          <w:lang w:val="en-US"/>
        </w:rPr>
        <w:t>nd-Stage Liver Disease) scores</w:t>
      </w:r>
      <w:r w:rsidR="00233F97" w:rsidRPr="00C55E0B">
        <w:rPr>
          <w:rFonts w:ascii="Book Antiqua" w:hAnsi="Book Antiqua" w:cs="Times New Roman"/>
          <w:sz w:val="24"/>
          <w:szCs w:val="24"/>
          <w:vertAlign w:val="superscript"/>
          <w:lang w:val="en-US"/>
        </w:rPr>
        <w:t>[15,16]</w:t>
      </w:r>
      <w:r w:rsidR="002824AA" w:rsidRPr="00C55E0B">
        <w:rPr>
          <w:rFonts w:ascii="Book Antiqua" w:hAnsi="Book Antiqua" w:cs="Times New Roman"/>
          <w:sz w:val="24"/>
          <w:szCs w:val="24"/>
          <w:lang w:val="en-US" w:eastAsia="zh-CN"/>
        </w:rPr>
        <w:t xml:space="preserve">. </w:t>
      </w:r>
    </w:p>
    <w:p w:rsidR="002824AA" w:rsidRPr="00C55E0B" w:rsidRDefault="002824AA" w:rsidP="00C55E0B">
      <w:pPr>
        <w:spacing w:after="0" w:line="360" w:lineRule="auto"/>
        <w:jc w:val="both"/>
        <w:rPr>
          <w:rFonts w:ascii="Book Antiqua" w:hAnsi="Book Antiqua" w:cs="Arial"/>
          <w:sz w:val="24"/>
          <w:szCs w:val="24"/>
          <w:lang w:val="en-US" w:eastAsia="zh-CN"/>
        </w:rPr>
      </w:pPr>
    </w:p>
    <w:p w:rsidR="006575A1" w:rsidRPr="00C55E0B" w:rsidRDefault="006575A1" w:rsidP="00C55E0B">
      <w:pPr>
        <w:tabs>
          <w:tab w:val="left" w:pos="3468"/>
        </w:tabs>
        <w:spacing w:after="0" w:line="360" w:lineRule="auto"/>
        <w:contextualSpacing/>
        <w:jc w:val="both"/>
        <w:rPr>
          <w:rFonts w:ascii="Book Antiqua" w:hAnsi="Book Antiqua" w:cs="Arial"/>
          <w:b/>
          <w:i/>
          <w:sz w:val="24"/>
          <w:szCs w:val="24"/>
          <w:lang w:val="en-US"/>
        </w:rPr>
      </w:pPr>
      <w:r w:rsidRPr="00C55E0B">
        <w:rPr>
          <w:rFonts w:ascii="Book Antiqua" w:hAnsi="Book Antiqua" w:cs="Arial"/>
          <w:b/>
          <w:i/>
          <w:sz w:val="24"/>
          <w:szCs w:val="24"/>
          <w:lang w:val="en-US"/>
        </w:rPr>
        <w:t>Bioelectrical impedance analysis (BIA)</w:t>
      </w:r>
      <w:r w:rsidRPr="00C55E0B">
        <w:rPr>
          <w:rFonts w:ascii="Book Antiqua" w:hAnsi="Book Antiqua" w:cs="Arial"/>
          <w:b/>
          <w:i/>
          <w:sz w:val="24"/>
          <w:szCs w:val="24"/>
          <w:lang w:val="en-US"/>
        </w:rPr>
        <w:tab/>
      </w:r>
      <w:r w:rsidR="00430904" w:rsidRPr="00C55E0B">
        <w:rPr>
          <w:rFonts w:ascii="Book Antiqua" w:hAnsi="Book Antiqua" w:cs="Arial"/>
          <w:b/>
          <w:i/>
          <w:sz w:val="24"/>
          <w:szCs w:val="24"/>
          <w:lang w:val="en-US"/>
        </w:rPr>
        <w:t xml:space="preserve">and phase angle analysis. </w:t>
      </w:r>
    </w:p>
    <w:p w:rsidR="00A24D5E" w:rsidRPr="00C55E0B" w:rsidRDefault="006575A1" w:rsidP="00C55E0B">
      <w:pPr>
        <w:spacing w:after="0" w:line="360" w:lineRule="auto"/>
        <w:contextualSpacing/>
        <w:jc w:val="both"/>
        <w:rPr>
          <w:rFonts w:ascii="Book Antiqua" w:hAnsi="Book Antiqua" w:cs="Times New Roman"/>
          <w:sz w:val="24"/>
          <w:szCs w:val="24"/>
          <w:vertAlign w:val="superscript"/>
          <w:lang w:val="en-US"/>
        </w:rPr>
      </w:pPr>
      <w:r w:rsidRPr="00C55E0B">
        <w:rPr>
          <w:rFonts w:ascii="Book Antiqua" w:hAnsi="Book Antiqua" w:cs="Arial"/>
          <w:sz w:val="24"/>
          <w:szCs w:val="24"/>
          <w:lang w:val="en-US"/>
        </w:rPr>
        <w:t>The BIA measurement was performed using RJL systems Quantum IV (Clinton Township, MI,</w:t>
      </w:r>
      <w:r w:rsidR="002824AA" w:rsidRPr="00C55E0B">
        <w:rPr>
          <w:rFonts w:ascii="Book Antiqua" w:hAnsi="Book Antiqua" w:cs="Arial"/>
          <w:sz w:val="24"/>
          <w:szCs w:val="24"/>
          <w:lang w:val="en-US" w:eastAsia="zh-CN"/>
        </w:rPr>
        <w:t xml:space="preserve"> </w:t>
      </w:r>
      <w:r w:rsidR="002824AA" w:rsidRPr="00C55E0B">
        <w:rPr>
          <w:rFonts w:ascii="Book Antiqua" w:hAnsi="Book Antiqua" w:cs="Arial"/>
          <w:sz w:val="24"/>
          <w:szCs w:val="24"/>
          <w:lang w:val="en-US"/>
        </w:rPr>
        <w:t>United States</w:t>
      </w:r>
      <w:r w:rsidRPr="00C55E0B">
        <w:rPr>
          <w:rFonts w:ascii="Book Antiqua" w:hAnsi="Book Antiqua" w:cs="Arial"/>
          <w:sz w:val="24"/>
          <w:szCs w:val="24"/>
          <w:lang w:val="en-US"/>
        </w:rPr>
        <w:t>) applying alternating electric currents of 800</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µA at 50</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kHz with the aid of Ag/AgCl source and sensor electrodes to obtain R, Xc and phase angle. BIA was performed within the first week of enrollment after an overnight fasting in supine position with arms and legs abducted from the body. Source and sensor electrodes were placed on the dorsum of the hand and foot on the right side of the body, respectively. The BIA-derived PhA was obtained according to standard calculations.</w:t>
      </w:r>
    </w:p>
    <w:p w:rsidR="006575A1" w:rsidRPr="00C55E0B" w:rsidRDefault="00430904" w:rsidP="00C55E0B">
      <w:pPr>
        <w:spacing w:after="0" w:line="360" w:lineRule="auto"/>
        <w:ind w:firstLineChars="150" w:firstLine="360"/>
        <w:contextualSpacing/>
        <w:jc w:val="both"/>
        <w:rPr>
          <w:rFonts w:ascii="Book Antiqua" w:hAnsi="Book Antiqua" w:cs="Arial"/>
          <w:sz w:val="24"/>
          <w:szCs w:val="24"/>
          <w:lang w:val="en-US"/>
        </w:rPr>
      </w:pPr>
      <w:r w:rsidRPr="00C55E0B">
        <w:rPr>
          <w:rFonts w:ascii="Book Antiqua" w:hAnsi="Book Antiqua" w:cs="Times New Roman"/>
          <w:sz w:val="24"/>
          <w:szCs w:val="24"/>
          <w:lang w:val="en-US"/>
        </w:rPr>
        <w:t>Cachexia can be defined as loss of muscle and fat mass, accompanied by an inflammatory component given by the presence of chronic disease</w:t>
      </w:r>
      <w:r w:rsidR="00A24D5E" w:rsidRPr="00C55E0B">
        <w:rPr>
          <w:rFonts w:ascii="Book Antiqua" w:hAnsi="Book Antiqua" w:cs="Times New Roman"/>
          <w:sz w:val="24"/>
          <w:szCs w:val="24"/>
          <w:lang w:val="en-US"/>
        </w:rPr>
        <w:t xml:space="preserve"> </w:t>
      </w:r>
      <w:r w:rsidR="00A24D5E" w:rsidRPr="00C55E0B">
        <w:rPr>
          <w:rFonts w:ascii="Book Antiqua" w:hAnsi="Book Antiqua" w:cs="Times New Roman"/>
          <w:sz w:val="24"/>
          <w:szCs w:val="24"/>
          <w:vertAlign w:val="superscript"/>
          <w:lang w:val="en-US"/>
        </w:rPr>
        <w:t>[6]</w:t>
      </w:r>
      <w:r w:rsidR="0048306F" w:rsidRPr="00C55E0B">
        <w:rPr>
          <w:rFonts w:ascii="Book Antiqua" w:hAnsi="Book Antiqua" w:cs="Times New Roman"/>
          <w:sz w:val="24"/>
          <w:szCs w:val="24"/>
          <w:lang w:val="en-US"/>
        </w:rPr>
        <w:t>, PhA has been shown to be associated to inflammation a</w:t>
      </w:r>
      <w:r w:rsidR="00A24D5E" w:rsidRPr="00C55E0B">
        <w:rPr>
          <w:rFonts w:ascii="Book Antiqua" w:hAnsi="Book Antiqua" w:cs="Times New Roman"/>
          <w:sz w:val="24"/>
          <w:szCs w:val="24"/>
          <w:lang w:val="en-US"/>
        </w:rPr>
        <w:t xml:space="preserve">s well as muscle and fat </w:t>
      </w:r>
      <w:r w:rsidR="0048306F" w:rsidRPr="00C55E0B">
        <w:rPr>
          <w:rFonts w:ascii="Book Antiqua" w:hAnsi="Book Antiqua" w:cs="Times New Roman"/>
          <w:sz w:val="24"/>
          <w:szCs w:val="24"/>
          <w:lang w:val="en-US"/>
        </w:rPr>
        <w:t xml:space="preserve">depletion </w:t>
      </w:r>
      <w:r w:rsidR="00A24D5E" w:rsidRPr="00C55E0B">
        <w:rPr>
          <w:rFonts w:ascii="Book Antiqua" w:hAnsi="Book Antiqua" w:cs="Times New Roman"/>
          <w:sz w:val="24"/>
          <w:szCs w:val="24"/>
          <w:vertAlign w:val="superscript"/>
          <w:lang w:val="en-US"/>
        </w:rPr>
        <w:t>[11,14]</w:t>
      </w:r>
      <w:r w:rsidR="0048306F" w:rsidRPr="00C55E0B">
        <w:rPr>
          <w:rFonts w:ascii="Book Antiqua" w:hAnsi="Book Antiqua" w:cs="Times New Roman"/>
          <w:sz w:val="24"/>
          <w:szCs w:val="24"/>
          <w:lang w:val="en-US"/>
        </w:rPr>
        <w:t xml:space="preserve">. </w:t>
      </w:r>
      <w:r w:rsidR="00902423" w:rsidRPr="00C55E0B">
        <w:rPr>
          <w:rFonts w:ascii="Book Antiqua" w:hAnsi="Book Antiqua" w:cs="Arial"/>
          <w:sz w:val="24"/>
          <w:szCs w:val="24"/>
          <w:lang w:val="en-US"/>
        </w:rPr>
        <w:t xml:space="preserve">Cachexia was defined as when the patient presented </w:t>
      </w:r>
      <w:r w:rsidR="007E09D9" w:rsidRPr="00C55E0B">
        <w:rPr>
          <w:rFonts w:ascii="Book Antiqua" w:hAnsi="Book Antiqua" w:cs="Arial"/>
          <w:sz w:val="24"/>
          <w:szCs w:val="24"/>
          <w:lang w:val="en-US"/>
        </w:rPr>
        <w:t>a</w:t>
      </w:r>
      <w:r w:rsidR="00902423" w:rsidRPr="00C55E0B">
        <w:rPr>
          <w:rFonts w:ascii="Book Antiqua" w:hAnsi="Book Antiqua" w:cs="Arial"/>
          <w:sz w:val="24"/>
          <w:szCs w:val="24"/>
          <w:lang w:val="en-US"/>
        </w:rPr>
        <w:t xml:space="preserve"> PhA </w:t>
      </w:r>
      <w:r w:rsidR="007E09D9" w:rsidRPr="00C55E0B">
        <w:rPr>
          <w:rFonts w:ascii="Book Antiqua" w:hAnsi="Book Antiqua" w:cs="Arial"/>
          <w:sz w:val="24"/>
          <w:szCs w:val="24"/>
          <w:lang w:val="en-US"/>
        </w:rPr>
        <w:t xml:space="preserve">value </w:t>
      </w:r>
      <w:r w:rsidR="00902423" w:rsidRPr="00C55E0B">
        <w:rPr>
          <w:rFonts w:ascii="Book Antiqua" w:hAnsi="Book Antiqua" w:cs="Arial"/>
          <w:sz w:val="24"/>
          <w:szCs w:val="24"/>
          <w:lang w:val="en-US"/>
        </w:rPr>
        <w:t xml:space="preserve">≤ 4.9° based on the specific cut-off for our population </w:t>
      </w:r>
      <w:r w:rsidR="00902423" w:rsidRPr="00C55E0B">
        <w:rPr>
          <w:rFonts w:ascii="Book Antiqua" w:hAnsi="Book Antiqua" w:cs="Times New Roman"/>
          <w:sz w:val="24"/>
          <w:szCs w:val="24"/>
          <w:vertAlign w:val="superscript"/>
          <w:lang w:val="en-US"/>
        </w:rPr>
        <w:t>[17]</w:t>
      </w:r>
      <w:r w:rsidR="00902423" w:rsidRPr="00C55E0B">
        <w:rPr>
          <w:rFonts w:ascii="Book Antiqua" w:hAnsi="Book Antiqua" w:cs="Times New Roman"/>
          <w:sz w:val="24"/>
          <w:szCs w:val="24"/>
          <w:lang w:val="en-US"/>
        </w:rPr>
        <w:t xml:space="preserve"> and specifically</w:t>
      </w:r>
      <w:r w:rsidR="0048306F" w:rsidRPr="00C55E0B">
        <w:rPr>
          <w:rFonts w:ascii="Book Antiqua" w:hAnsi="Book Antiqua" w:cs="Times New Roman"/>
          <w:sz w:val="24"/>
          <w:szCs w:val="24"/>
          <w:lang w:val="en-US"/>
        </w:rPr>
        <w:t xml:space="preserve"> loss of muscle mass and fat mass</w:t>
      </w:r>
      <w:r w:rsidR="007E09D9" w:rsidRPr="00C55E0B">
        <w:rPr>
          <w:rFonts w:ascii="Book Antiqua" w:hAnsi="Book Antiqua" w:cs="Times New Roman"/>
          <w:sz w:val="24"/>
          <w:szCs w:val="24"/>
          <w:lang w:val="en-US"/>
        </w:rPr>
        <w:t xml:space="preserve"> that was obtained through a</w:t>
      </w:r>
      <w:r w:rsidR="00902423" w:rsidRPr="00C55E0B">
        <w:rPr>
          <w:rFonts w:ascii="Book Antiqua" w:hAnsi="Book Antiqua" w:cs="Times New Roman"/>
          <w:sz w:val="24"/>
          <w:szCs w:val="24"/>
          <w:lang w:val="en-US"/>
        </w:rPr>
        <w:t xml:space="preserve"> combined evaluation</w:t>
      </w:r>
      <w:r w:rsidR="0048306F" w:rsidRPr="00C55E0B">
        <w:rPr>
          <w:rFonts w:ascii="Book Antiqua" w:hAnsi="Book Antiqua" w:cs="Times New Roman"/>
          <w:sz w:val="24"/>
          <w:szCs w:val="24"/>
          <w:lang w:val="en-US"/>
        </w:rPr>
        <w:t xml:space="preserve"> </w:t>
      </w:r>
      <w:r w:rsidR="007E09D9" w:rsidRPr="00C55E0B">
        <w:rPr>
          <w:rFonts w:ascii="Book Antiqua" w:hAnsi="Book Antiqua" w:cs="Times New Roman"/>
          <w:sz w:val="24"/>
          <w:szCs w:val="24"/>
          <w:lang w:val="en-US"/>
        </w:rPr>
        <w:t>of</w:t>
      </w:r>
      <w:r w:rsidR="0048306F" w:rsidRPr="00C55E0B">
        <w:rPr>
          <w:rFonts w:ascii="Book Antiqua" w:hAnsi="Book Antiqua" w:cs="Times New Roman"/>
          <w:sz w:val="24"/>
          <w:szCs w:val="24"/>
          <w:lang w:val="en-US"/>
        </w:rPr>
        <w:t xml:space="preserve"> PhA and </w:t>
      </w:r>
      <w:r w:rsidR="00902423" w:rsidRPr="00C55E0B">
        <w:rPr>
          <w:rFonts w:ascii="Book Antiqua" w:hAnsi="Book Antiqua" w:cs="Times New Roman"/>
          <w:sz w:val="24"/>
          <w:szCs w:val="24"/>
          <w:lang w:val="en-US"/>
        </w:rPr>
        <w:t xml:space="preserve">vector analysis </w:t>
      </w:r>
      <w:r w:rsidR="007E09D9" w:rsidRPr="00C55E0B">
        <w:rPr>
          <w:rFonts w:ascii="Book Antiqua" w:hAnsi="Book Antiqua" w:cs="Times New Roman"/>
          <w:sz w:val="24"/>
          <w:szCs w:val="24"/>
          <w:lang w:val="en-US"/>
        </w:rPr>
        <w:t xml:space="preserve">(RXc graph). </w:t>
      </w:r>
    </w:p>
    <w:p w:rsidR="0048306F" w:rsidRPr="00C55E0B" w:rsidRDefault="0048306F" w:rsidP="00C55E0B">
      <w:pPr>
        <w:spacing w:after="0" w:line="360" w:lineRule="auto"/>
        <w:jc w:val="both"/>
        <w:rPr>
          <w:rFonts w:ascii="Book Antiqua" w:hAnsi="Book Antiqua" w:cs="Arial"/>
          <w:b/>
          <w:sz w:val="24"/>
          <w:szCs w:val="24"/>
          <w:lang w:val="en-US"/>
        </w:rPr>
      </w:pPr>
    </w:p>
    <w:p w:rsidR="006575A1" w:rsidRPr="00C55E0B" w:rsidRDefault="006575A1" w:rsidP="00C55E0B">
      <w:pPr>
        <w:spacing w:after="0" w:line="360" w:lineRule="auto"/>
        <w:jc w:val="both"/>
        <w:rPr>
          <w:rFonts w:ascii="Book Antiqua" w:hAnsi="Book Antiqua" w:cs="Arial"/>
          <w:b/>
          <w:i/>
          <w:sz w:val="24"/>
          <w:szCs w:val="24"/>
          <w:lang w:val="en-US"/>
        </w:rPr>
      </w:pPr>
      <w:r w:rsidRPr="00C55E0B">
        <w:rPr>
          <w:rFonts w:ascii="Book Antiqua" w:hAnsi="Book Antiqua" w:cs="Arial"/>
          <w:b/>
          <w:i/>
          <w:sz w:val="24"/>
          <w:szCs w:val="24"/>
          <w:lang w:val="en-US"/>
        </w:rPr>
        <w:t xml:space="preserve">Statistical analysis </w:t>
      </w:r>
    </w:p>
    <w:p w:rsidR="006575A1" w:rsidRPr="00C55E0B" w:rsidRDefault="006575A1" w:rsidP="00C55E0B">
      <w:pPr>
        <w:spacing w:after="0" w:line="360" w:lineRule="auto"/>
        <w:jc w:val="both"/>
        <w:rPr>
          <w:rFonts w:ascii="Book Antiqua" w:hAnsi="Book Antiqua" w:cs="Arial"/>
          <w:bCs/>
          <w:sz w:val="24"/>
          <w:szCs w:val="24"/>
          <w:lang w:val="en-US"/>
        </w:rPr>
      </w:pPr>
      <w:r w:rsidRPr="00C55E0B">
        <w:rPr>
          <w:rFonts w:ascii="Book Antiqua" w:hAnsi="Book Antiqua" w:cs="Arial"/>
          <w:bCs/>
          <w:sz w:val="24"/>
          <w:szCs w:val="24"/>
          <w:lang w:val="en-US"/>
        </w:rPr>
        <w:t xml:space="preserve">Kolmogorov-Smirnov test was performed to test data distribution. To compare groups </w:t>
      </w:r>
      <w:r w:rsidRPr="00C55E0B">
        <w:rPr>
          <w:rFonts w:ascii="Book Antiqua" w:hAnsi="Book Antiqua" w:cs="Arial"/>
          <w:bCs/>
          <w:i/>
          <w:sz w:val="24"/>
          <w:szCs w:val="24"/>
          <w:lang w:val="en-US"/>
        </w:rPr>
        <w:t>U</w:t>
      </w:r>
      <w:r w:rsidRPr="00C55E0B">
        <w:rPr>
          <w:rFonts w:ascii="Book Antiqua" w:hAnsi="Book Antiqua" w:cs="Arial"/>
          <w:bCs/>
          <w:sz w:val="24"/>
          <w:szCs w:val="24"/>
          <w:lang w:val="en-US"/>
        </w:rPr>
        <w:t xml:space="preserve"> of Mann-Whitney and Chi-square test (</w:t>
      </w:r>
      <w:r w:rsidR="002824AA" w:rsidRPr="00C55E0B">
        <w:rPr>
          <w:rFonts w:ascii="Book Antiqua" w:hAnsi="Book Antiqua" w:cs="Arial"/>
          <w:bCs/>
          <w:sz w:val="24"/>
          <w:szCs w:val="24"/>
          <w:lang w:val="en-US"/>
        </w:rPr>
        <w:sym w:font="Symbol" w:char="F063"/>
      </w:r>
      <w:r w:rsidRPr="00C55E0B">
        <w:rPr>
          <w:rFonts w:ascii="Book Antiqua" w:hAnsi="Book Antiqua" w:cs="Arial"/>
          <w:bCs/>
          <w:sz w:val="24"/>
          <w:szCs w:val="24"/>
          <w:vertAlign w:val="superscript"/>
          <w:lang w:val="en-US"/>
        </w:rPr>
        <w:t>2</w:t>
      </w:r>
      <w:r w:rsidRPr="00C55E0B">
        <w:rPr>
          <w:rFonts w:ascii="Book Antiqua" w:hAnsi="Book Antiqua" w:cs="Arial"/>
          <w:bCs/>
          <w:sz w:val="24"/>
          <w:szCs w:val="24"/>
          <w:lang w:val="en-US"/>
        </w:rPr>
        <w:t xml:space="preserve">) were used. Incidence of HE was assessed with Kaplan-Meier curves, using the log rank test to compare the </w:t>
      </w:r>
      <w:r w:rsidRPr="00C55E0B">
        <w:rPr>
          <w:rFonts w:ascii="Book Antiqua" w:hAnsi="Book Antiqua" w:cs="Arial"/>
          <w:bCs/>
          <w:sz w:val="24"/>
          <w:szCs w:val="24"/>
          <w:lang w:val="en-US"/>
        </w:rPr>
        <w:lastRenderedPageBreak/>
        <w:t xml:space="preserve">curves, followed by a multivariate Cox regression analysis. To obtain the best regression model, backward elimination model was selected. </w:t>
      </w:r>
      <w:r w:rsidRPr="00C55E0B">
        <w:rPr>
          <w:rFonts w:ascii="Book Antiqua" w:hAnsi="Book Antiqua" w:cs="Arial"/>
          <w:sz w:val="24"/>
          <w:szCs w:val="24"/>
          <w:lang w:val="en-US"/>
        </w:rPr>
        <w:t>Statistical analysis was carried out using GraphPad Prism</w:t>
      </w:r>
      <w:r w:rsidRPr="00C55E0B">
        <w:rPr>
          <w:rFonts w:ascii="Book Antiqua" w:hAnsi="Book Antiqua" w:cs="Arial"/>
          <w:color w:val="545454"/>
          <w:sz w:val="24"/>
          <w:szCs w:val="24"/>
          <w:vertAlign w:val="superscript"/>
          <w:lang w:val="en-US"/>
        </w:rPr>
        <w:t>®</w:t>
      </w:r>
      <w:r w:rsidRPr="00C55E0B">
        <w:rPr>
          <w:rFonts w:ascii="Book Antiqua" w:hAnsi="Book Antiqua" w:cs="Arial"/>
          <w:sz w:val="24"/>
          <w:szCs w:val="24"/>
          <w:lang w:val="en-US"/>
        </w:rPr>
        <w:t xml:space="preserve"> 5 and SPSS v21 (SPSS Inc., Armonk, New York,</w:t>
      </w:r>
      <w:r w:rsidR="002824AA" w:rsidRPr="00C55E0B">
        <w:rPr>
          <w:rFonts w:ascii="Book Antiqua" w:hAnsi="Book Antiqua" w:cs="Arial"/>
          <w:sz w:val="24"/>
          <w:szCs w:val="24"/>
          <w:lang w:val="en-US" w:eastAsia="zh-CN"/>
        </w:rPr>
        <w:t xml:space="preserve"> </w:t>
      </w:r>
      <w:r w:rsidR="002824AA" w:rsidRPr="00C55E0B">
        <w:rPr>
          <w:rFonts w:ascii="Book Antiqua" w:hAnsi="Book Antiqua" w:cs="Arial"/>
          <w:sz w:val="24"/>
          <w:szCs w:val="24"/>
          <w:lang w:val="en-US"/>
        </w:rPr>
        <w:t>United States</w:t>
      </w:r>
      <w:r w:rsidRPr="00C55E0B">
        <w:rPr>
          <w:rFonts w:ascii="Book Antiqua" w:hAnsi="Book Antiqua" w:cs="Arial"/>
          <w:sz w:val="24"/>
          <w:szCs w:val="24"/>
          <w:lang w:val="en-US"/>
        </w:rPr>
        <w:t>).</w:t>
      </w:r>
    </w:p>
    <w:p w:rsidR="006575A1" w:rsidRPr="00C55E0B" w:rsidRDefault="006575A1" w:rsidP="00C55E0B">
      <w:pPr>
        <w:spacing w:after="0" w:line="360" w:lineRule="auto"/>
        <w:jc w:val="both"/>
        <w:rPr>
          <w:rFonts w:ascii="Book Antiqua" w:hAnsi="Book Antiqua" w:cs="Arial"/>
          <w:b/>
          <w:sz w:val="24"/>
          <w:szCs w:val="24"/>
          <w:lang w:val="en-US"/>
        </w:rPr>
      </w:pPr>
    </w:p>
    <w:p w:rsidR="006575A1" w:rsidRPr="00C55E0B" w:rsidRDefault="006575A1" w:rsidP="00C55E0B">
      <w:pPr>
        <w:spacing w:after="0" w:line="360" w:lineRule="auto"/>
        <w:jc w:val="both"/>
        <w:rPr>
          <w:rFonts w:ascii="Book Antiqua" w:hAnsi="Book Antiqua" w:cs="Arial"/>
          <w:b/>
          <w:sz w:val="24"/>
          <w:szCs w:val="24"/>
          <w:lang w:val="en-US"/>
        </w:rPr>
      </w:pPr>
      <w:r w:rsidRPr="00C55E0B">
        <w:rPr>
          <w:rFonts w:ascii="Book Antiqua" w:hAnsi="Book Antiqua" w:cs="Arial"/>
          <w:b/>
          <w:sz w:val="24"/>
          <w:szCs w:val="24"/>
          <w:lang w:val="en-US"/>
        </w:rPr>
        <w:t>RESULTS</w:t>
      </w:r>
    </w:p>
    <w:p w:rsidR="006575A1" w:rsidRPr="00C55E0B" w:rsidRDefault="006575A1"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 xml:space="preserve">The total population consisted of 220 outpatients (60% females), with a mean follow-up time of 34 ± 9.8 </w:t>
      </w:r>
      <w:r w:rsidR="002824AA" w:rsidRPr="00C55E0B">
        <w:rPr>
          <w:rFonts w:ascii="Book Antiqua" w:hAnsi="Book Antiqua" w:cs="Arial"/>
          <w:sz w:val="24"/>
          <w:szCs w:val="24"/>
          <w:lang w:val="en-US" w:eastAsia="zh-CN"/>
        </w:rPr>
        <w:t>mo</w:t>
      </w:r>
      <w:r w:rsidRPr="00C55E0B">
        <w:rPr>
          <w:rFonts w:ascii="Book Antiqua" w:hAnsi="Book Antiqua" w:cs="Arial"/>
          <w:sz w:val="24"/>
          <w:szCs w:val="24"/>
          <w:lang w:val="en-US"/>
        </w:rPr>
        <w:t>. The main etiology of cirrhosis was HCV (36%), followed by NASH (18%), primary biliary cirrhosis (17%), alcohol (10%), autoimmune hepatitis (10%), and other causes (9%). A total of 35% of patients were categorize</w:t>
      </w:r>
      <w:r w:rsidR="002824AA" w:rsidRPr="00C55E0B">
        <w:rPr>
          <w:rFonts w:ascii="Book Antiqua" w:hAnsi="Book Antiqua" w:cs="Arial"/>
          <w:sz w:val="24"/>
          <w:szCs w:val="24"/>
          <w:lang w:val="en-US"/>
        </w:rPr>
        <w:t>d as CP A, 47% CP B, and 18% CP</w:t>
      </w:r>
      <w:r w:rsidRPr="00C55E0B">
        <w:rPr>
          <w:rFonts w:ascii="Book Antiqua" w:hAnsi="Book Antiqua" w:cs="Arial"/>
          <w:sz w:val="24"/>
          <w:szCs w:val="24"/>
          <w:lang w:val="en-US"/>
        </w:rPr>
        <w:t xml:space="preserve">C. </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The total population was then divided into two groups, depending on HE development during follow-up; there were no significant differences in age, BMI and mid-arm muscle circumference among groups; however CP, MELD score and its components, as well as phase angle, sodium, hemoglobin and ammonia were w</w:t>
      </w:r>
      <w:r w:rsidR="002824AA" w:rsidRPr="00C55E0B">
        <w:rPr>
          <w:rFonts w:ascii="Book Antiqua" w:hAnsi="Book Antiqua" w:cs="Arial"/>
          <w:sz w:val="24"/>
          <w:szCs w:val="24"/>
          <w:lang w:val="en-US"/>
        </w:rPr>
        <w:t>orse in the HE group</w:t>
      </w:r>
      <w:r w:rsidR="00994475" w:rsidRPr="00C55E0B">
        <w:rPr>
          <w:rFonts w:ascii="Book Antiqua" w:hAnsi="Book Antiqua" w:cs="Arial"/>
          <w:sz w:val="24"/>
          <w:szCs w:val="24"/>
          <w:lang w:val="en-US"/>
        </w:rPr>
        <w:t xml:space="preserve"> </w:t>
      </w:r>
      <w:r w:rsidRPr="00C55E0B">
        <w:rPr>
          <w:rFonts w:ascii="Book Antiqua" w:hAnsi="Book Antiqua" w:cs="Arial"/>
          <w:sz w:val="24"/>
          <w:szCs w:val="24"/>
          <w:lang w:val="en-US"/>
        </w:rPr>
        <w:t>(Table 1)</w:t>
      </w:r>
      <w:r w:rsidR="002824AA" w:rsidRPr="00C55E0B">
        <w:rPr>
          <w:rFonts w:ascii="Book Antiqua" w:hAnsi="Book Antiqua" w:cs="Arial"/>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In total, durin</w:t>
      </w:r>
      <w:r w:rsidR="00E804D0" w:rsidRPr="00C55E0B">
        <w:rPr>
          <w:rFonts w:ascii="Book Antiqua" w:hAnsi="Book Antiqua" w:cs="Arial"/>
          <w:sz w:val="24"/>
          <w:szCs w:val="24"/>
          <w:lang w:val="en-US"/>
        </w:rPr>
        <w:t>g the 48 months of follow-up, 52</w:t>
      </w:r>
      <w:r w:rsidRPr="00C55E0B">
        <w:rPr>
          <w:rFonts w:ascii="Book Antiqua" w:hAnsi="Book Antiqua" w:cs="Arial"/>
          <w:sz w:val="24"/>
          <w:szCs w:val="24"/>
          <w:lang w:val="en-US"/>
        </w:rPr>
        <w:t>% of the patients developed HE; from thi</w:t>
      </w:r>
      <w:r w:rsidR="00E804D0" w:rsidRPr="00C55E0B">
        <w:rPr>
          <w:rFonts w:ascii="Book Antiqua" w:hAnsi="Book Antiqua" w:cs="Arial"/>
          <w:sz w:val="24"/>
          <w:szCs w:val="24"/>
          <w:lang w:val="en-US"/>
        </w:rPr>
        <w:t>s</w:t>
      </w:r>
      <w:r w:rsidR="0078283D" w:rsidRPr="00C55E0B">
        <w:rPr>
          <w:rFonts w:ascii="Book Antiqua" w:hAnsi="Book Antiqua" w:cs="Arial"/>
          <w:sz w:val="24"/>
          <w:szCs w:val="24"/>
          <w:lang w:val="en-US"/>
        </w:rPr>
        <w:t xml:space="preserve"> 18.6% was covert HE and 33.3</w:t>
      </w:r>
      <w:r w:rsidRPr="00C55E0B">
        <w:rPr>
          <w:rFonts w:ascii="Book Antiqua" w:hAnsi="Book Antiqua" w:cs="Arial"/>
          <w:sz w:val="24"/>
          <w:szCs w:val="24"/>
          <w:lang w:val="en-US"/>
        </w:rPr>
        <w:t xml:space="preserve">% was overt HE. From the total population 16.4% of the patients had more than one episode of HE during follow-up. Mean PhA was significantly lower in patients that showed persistent HE when compared to the group without persistent HE 4.6 ± 1.17 </w:t>
      </w:r>
      <w:r w:rsidRPr="00C55E0B">
        <w:rPr>
          <w:rFonts w:ascii="Book Antiqua" w:hAnsi="Book Antiqua" w:cs="Arial"/>
          <w:i/>
          <w:sz w:val="24"/>
          <w:szCs w:val="24"/>
          <w:lang w:val="en-US"/>
        </w:rPr>
        <w:t>vs</w:t>
      </w:r>
      <w:r w:rsidRPr="00C55E0B">
        <w:rPr>
          <w:rFonts w:ascii="Book Antiqua" w:hAnsi="Book Antiqua" w:cs="Arial"/>
          <w:sz w:val="24"/>
          <w:szCs w:val="24"/>
          <w:lang w:val="en-US"/>
        </w:rPr>
        <w:t xml:space="preserve"> 5.2 ± 1.18 (</w:t>
      </w:r>
      <w:r w:rsidR="002824AA" w:rsidRPr="00C55E0B">
        <w:rPr>
          <w:rFonts w:ascii="Book Antiqua" w:hAnsi="Book Antiqua" w:cs="Arial"/>
          <w:i/>
          <w:sz w:val="24"/>
          <w:szCs w:val="24"/>
          <w:lang w:val="en-US"/>
        </w:rPr>
        <w:t>P</w:t>
      </w:r>
      <w:r w:rsidR="002824AA" w:rsidRPr="00C55E0B">
        <w:rPr>
          <w:rFonts w:ascii="Book Antiqua" w:hAnsi="Book Antiqua" w:cs="Arial"/>
          <w:i/>
          <w:sz w:val="24"/>
          <w:szCs w:val="24"/>
          <w:lang w:val="en-US" w:eastAsia="zh-CN"/>
        </w:rPr>
        <w:t xml:space="preserve"> </w:t>
      </w:r>
      <w:r w:rsidRPr="00C55E0B">
        <w:rPr>
          <w:rFonts w:ascii="Book Antiqua" w:hAnsi="Book Antiqua" w:cs="Arial"/>
          <w:sz w:val="24"/>
          <w:szCs w:val="24"/>
          <w:lang w:val="en-US"/>
        </w:rPr>
        <w:t>=</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0.017)</w:t>
      </w:r>
      <w:r w:rsidR="002824AA" w:rsidRPr="00C55E0B">
        <w:rPr>
          <w:rFonts w:ascii="Book Antiqua" w:hAnsi="Book Antiqua" w:cs="Arial"/>
          <w:sz w:val="24"/>
          <w:szCs w:val="24"/>
          <w:lang w:val="en-US" w:eastAsia="zh-CN"/>
        </w:rPr>
        <w:t>.</w:t>
      </w:r>
    </w:p>
    <w:p w:rsidR="006575A1" w:rsidRPr="00C55E0B" w:rsidRDefault="006575A1" w:rsidP="00C55E0B">
      <w:pPr>
        <w:spacing w:after="0" w:line="360" w:lineRule="auto"/>
        <w:ind w:firstLineChars="100" w:firstLine="240"/>
        <w:jc w:val="both"/>
        <w:rPr>
          <w:rFonts w:ascii="Book Antiqua" w:hAnsi="Book Antiqua" w:cs="Arial"/>
          <w:sz w:val="24"/>
          <w:szCs w:val="24"/>
          <w:lang w:val="en-US"/>
        </w:rPr>
      </w:pPr>
      <w:r w:rsidRPr="00C55E0B">
        <w:rPr>
          <w:rFonts w:ascii="Book Antiqua" w:hAnsi="Book Antiqua" w:cs="Arial"/>
          <w:sz w:val="24"/>
          <w:szCs w:val="24"/>
          <w:lang w:val="en-US"/>
        </w:rPr>
        <w:t>When the analysis of HE development was stratified by nutr</w:t>
      </w:r>
      <w:r w:rsidR="0078283D" w:rsidRPr="00C55E0B">
        <w:rPr>
          <w:rFonts w:ascii="Book Antiqua" w:hAnsi="Book Antiqua" w:cs="Arial"/>
          <w:sz w:val="24"/>
          <w:szCs w:val="24"/>
          <w:lang w:val="en-US"/>
        </w:rPr>
        <w:t xml:space="preserve">itional status according to PhA </w:t>
      </w:r>
      <w:r w:rsidRPr="00C55E0B">
        <w:rPr>
          <w:rFonts w:ascii="Book Antiqua" w:hAnsi="Book Antiqua" w:cs="Arial"/>
          <w:sz w:val="24"/>
          <w:szCs w:val="24"/>
          <w:lang w:val="en-US"/>
        </w:rPr>
        <w:t>≤ or &gt;</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4.9°, there was a clear difference between groups. The incidence of HE was significantly higher in patients with cachexia, as evidenced by low phase angle, when compared to patients compared to well-nourished patients, 39%</w:t>
      </w:r>
      <w:r w:rsidR="002824AA" w:rsidRPr="00C55E0B">
        <w:rPr>
          <w:rFonts w:ascii="Book Antiqua" w:hAnsi="Book Antiqua" w:cs="Arial"/>
          <w:i/>
          <w:sz w:val="24"/>
          <w:szCs w:val="24"/>
          <w:lang w:val="en-US"/>
        </w:rPr>
        <w:t xml:space="preserve"> vs</w:t>
      </w:r>
      <w:r w:rsidRPr="00C55E0B">
        <w:rPr>
          <w:rFonts w:ascii="Book Antiqua" w:hAnsi="Book Antiqua" w:cs="Arial"/>
          <w:sz w:val="24"/>
          <w:szCs w:val="24"/>
          <w:lang w:val="en-US"/>
        </w:rPr>
        <w:t xml:space="preserve"> 13%, respectively (</w:t>
      </w:r>
      <w:r w:rsidR="002824AA" w:rsidRPr="00C55E0B">
        <w:rPr>
          <w:rFonts w:ascii="Book Antiqua" w:hAnsi="Book Antiqua" w:cs="Arial"/>
          <w:i/>
          <w:sz w:val="24"/>
          <w:szCs w:val="24"/>
          <w:lang w:val="en-US"/>
        </w:rPr>
        <w:t>P</w:t>
      </w:r>
      <w:r w:rsidR="002824AA" w:rsidRPr="00C55E0B">
        <w:rPr>
          <w:rFonts w:ascii="Book Antiqua" w:hAnsi="Book Antiqua" w:cs="Arial"/>
          <w:i/>
          <w:sz w:val="24"/>
          <w:szCs w:val="24"/>
          <w:lang w:val="en-US" w:eastAsia="zh-CN"/>
        </w:rPr>
        <w:t xml:space="preserve"> </w:t>
      </w:r>
      <w:r w:rsidRPr="00C55E0B">
        <w:rPr>
          <w:rFonts w:ascii="Book Antiqua" w:hAnsi="Book Antiqua" w:cs="Arial"/>
          <w:sz w:val="24"/>
          <w:szCs w:val="24"/>
          <w:lang w:val="en-US"/>
        </w:rPr>
        <w:t>=</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0.012) (Figure 1).</w:t>
      </w:r>
    </w:p>
    <w:p w:rsidR="006575A1" w:rsidRPr="00C55E0B" w:rsidRDefault="006575A1" w:rsidP="00C55E0B">
      <w:pPr>
        <w:spacing w:after="0" w:line="360" w:lineRule="auto"/>
        <w:ind w:firstLineChars="100" w:firstLine="240"/>
        <w:jc w:val="both"/>
        <w:rPr>
          <w:rFonts w:ascii="Book Antiqua" w:hAnsi="Book Antiqua" w:cs="Arial"/>
          <w:sz w:val="24"/>
          <w:szCs w:val="24"/>
          <w:lang w:val="en-US" w:eastAsia="zh-CN"/>
        </w:rPr>
      </w:pPr>
      <w:r w:rsidRPr="00C55E0B">
        <w:rPr>
          <w:rFonts w:ascii="Book Antiqua" w:hAnsi="Book Antiqua" w:cs="Arial"/>
          <w:sz w:val="24"/>
          <w:szCs w:val="24"/>
          <w:lang w:val="en-US"/>
        </w:rPr>
        <w:t xml:space="preserve">The main precipitating factors of HE were infections different from spontaneous bacterial peritonitis (non-SBP) 26.7%, this included urinary tract infections and respiratory infections mainly, the second most common factor was variceal </w:t>
      </w:r>
      <w:r w:rsidRPr="00C55E0B">
        <w:rPr>
          <w:rFonts w:ascii="Book Antiqua" w:hAnsi="Book Antiqua" w:cs="Arial"/>
          <w:sz w:val="24"/>
          <w:szCs w:val="24"/>
          <w:lang w:val="en-US"/>
        </w:rPr>
        <w:lastRenderedPageBreak/>
        <w:t>bleeding 23.3%, followed by constipation 15.6% and SBP 12.2%. Together, infections, non-SBP and SBP, co</w:t>
      </w:r>
      <w:r w:rsidR="002824AA" w:rsidRPr="00C55E0B">
        <w:rPr>
          <w:rFonts w:ascii="Book Antiqua" w:hAnsi="Book Antiqua" w:cs="Arial"/>
          <w:sz w:val="24"/>
          <w:szCs w:val="24"/>
          <w:lang w:val="en-US"/>
        </w:rPr>
        <w:t>mprised 38.9% of these factors</w:t>
      </w:r>
      <w:r w:rsidRPr="00C55E0B">
        <w:rPr>
          <w:rFonts w:ascii="Book Antiqua" w:hAnsi="Book Antiqua" w:cs="Arial"/>
          <w:sz w:val="24"/>
          <w:szCs w:val="24"/>
          <w:lang w:val="en-US"/>
        </w:rPr>
        <w:t xml:space="preserve"> (Figure 2)</w:t>
      </w:r>
      <w:r w:rsidR="002824AA" w:rsidRPr="00C55E0B">
        <w:rPr>
          <w:rFonts w:ascii="Book Antiqua" w:hAnsi="Book Antiqua" w:cs="Arial"/>
          <w:sz w:val="24"/>
          <w:szCs w:val="24"/>
          <w:lang w:val="en-US" w:eastAsia="zh-CN"/>
        </w:rPr>
        <w:t>.</w:t>
      </w:r>
    </w:p>
    <w:p w:rsidR="006575A1" w:rsidRPr="00C55E0B" w:rsidRDefault="006575A1" w:rsidP="00C55E0B">
      <w:pPr>
        <w:spacing w:after="0" w:line="360" w:lineRule="auto"/>
        <w:ind w:firstLineChars="100" w:firstLine="240"/>
        <w:jc w:val="both"/>
        <w:rPr>
          <w:rFonts w:ascii="Book Antiqua" w:hAnsi="Book Antiqua" w:cs="Arial"/>
          <w:sz w:val="24"/>
          <w:szCs w:val="24"/>
          <w:lang w:val="en-US"/>
        </w:rPr>
      </w:pPr>
      <w:r w:rsidRPr="00C55E0B">
        <w:rPr>
          <w:rFonts w:ascii="Book Antiqua" w:hAnsi="Book Antiqua" w:cs="Arial"/>
          <w:sz w:val="24"/>
          <w:szCs w:val="24"/>
          <w:lang w:val="en-US"/>
        </w:rPr>
        <w:t xml:space="preserve">The precipitating factors were then evaluated to search for differences between the group with low PhA and normal PhA; in the group with low PhA infections were higher (26.3% </w:t>
      </w:r>
      <w:r w:rsidR="002824AA" w:rsidRPr="00C55E0B">
        <w:rPr>
          <w:rFonts w:ascii="Book Antiqua" w:hAnsi="Book Antiqua" w:cs="Arial"/>
          <w:i/>
          <w:sz w:val="24"/>
          <w:szCs w:val="24"/>
          <w:lang w:val="en-US"/>
        </w:rPr>
        <w:t>vs</w:t>
      </w:r>
      <w:r w:rsidRPr="00C55E0B">
        <w:rPr>
          <w:rFonts w:ascii="Book Antiqua" w:hAnsi="Book Antiqua" w:cs="Arial"/>
          <w:sz w:val="24"/>
          <w:szCs w:val="24"/>
          <w:lang w:val="en-US"/>
        </w:rPr>
        <w:t xml:space="preserve"> 16.3%), and specifically from the group of patients with SBP as precipitating factor 70% had low PhA, although this did not reach statistical significance (</w:t>
      </w:r>
      <w:r w:rsidR="002824AA" w:rsidRPr="00C55E0B">
        <w:rPr>
          <w:rFonts w:ascii="Book Antiqua" w:hAnsi="Book Antiqua" w:cs="Arial"/>
          <w:i/>
          <w:sz w:val="24"/>
          <w:szCs w:val="24"/>
          <w:lang w:val="en-US"/>
        </w:rPr>
        <w:t>P</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 xml:space="preserve">= 0.332 and </w:t>
      </w:r>
      <w:r w:rsidR="002824AA" w:rsidRPr="00C55E0B">
        <w:rPr>
          <w:rFonts w:ascii="Book Antiqua" w:hAnsi="Book Antiqua" w:cs="Arial"/>
          <w:i/>
          <w:sz w:val="24"/>
          <w:szCs w:val="24"/>
          <w:lang w:val="en-US"/>
        </w:rPr>
        <w:t>P</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0.166).</w:t>
      </w:r>
    </w:p>
    <w:p w:rsidR="006575A1" w:rsidRPr="00C55E0B" w:rsidRDefault="006575A1" w:rsidP="00C55E0B">
      <w:pPr>
        <w:spacing w:after="0" w:line="360" w:lineRule="auto"/>
        <w:ind w:firstLineChars="150" w:firstLine="360"/>
        <w:jc w:val="both"/>
        <w:rPr>
          <w:rFonts w:ascii="Book Antiqua" w:hAnsi="Book Antiqua" w:cs="Arial"/>
          <w:sz w:val="24"/>
          <w:szCs w:val="24"/>
          <w:lang w:val="en-US"/>
        </w:rPr>
      </w:pPr>
      <w:r w:rsidRPr="00C55E0B">
        <w:rPr>
          <w:rFonts w:ascii="Book Antiqua" w:hAnsi="Book Antiqua" w:cs="Arial"/>
          <w:sz w:val="24"/>
          <w:szCs w:val="24"/>
          <w:lang w:val="en-US"/>
        </w:rPr>
        <w:t xml:space="preserve">For the multivariate analysis a stepwise Cox regression using Backward elimination method for variables with </w:t>
      </w:r>
      <w:r w:rsidR="002824AA" w:rsidRPr="00C55E0B">
        <w:rPr>
          <w:rFonts w:ascii="Book Antiqua" w:hAnsi="Book Antiqua" w:cs="Arial"/>
          <w:i/>
          <w:sz w:val="24"/>
          <w:szCs w:val="24"/>
          <w:lang w:val="en-US"/>
        </w:rPr>
        <w:t xml:space="preserve">P </w:t>
      </w:r>
      <w:r w:rsidRPr="00C55E0B">
        <w:rPr>
          <w:rFonts w:ascii="Book Antiqua" w:hAnsi="Book Antiqua" w:cs="Arial"/>
          <w:sz w:val="24"/>
          <w:szCs w:val="24"/>
          <w:lang w:val="en-US"/>
        </w:rPr>
        <w:t>values &gt;</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0.05 was used; several variables known to be associated to HE were initially included in the univariate analysis their association to the development of HE where PhA, sodium, hemoglobin, ammonia and creatinine were statistically significant; however, after multivariate adjustment, only PhA and creatinine remained independently associated to HE (Table 2).</w:t>
      </w:r>
    </w:p>
    <w:p w:rsidR="006575A1" w:rsidRPr="00C55E0B" w:rsidRDefault="006575A1" w:rsidP="00C55E0B">
      <w:pPr>
        <w:spacing w:after="0" w:line="360" w:lineRule="auto"/>
        <w:jc w:val="both"/>
        <w:rPr>
          <w:rFonts w:ascii="Book Antiqua" w:hAnsi="Book Antiqua" w:cs="Arial"/>
          <w:sz w:val="24"/>
          <w:szCs w:val="24"/>
          <w:lang w:val="en-US"/>
        </w:rPr>
      </w:pPr>
    </w:p>
    <w:p w:rsidR="006575A1" w:rsidRPr="00C55E0B" w:rsidRDefault="002824AA" w:rsidP="00C55E0B">
      <w:pPr>
        <w:spacing w:after="0" w:line="360" w:lineRule="auto"/>
        <w:jc w:val="both"/>
        <w:rPr>
          <w:rFonts w:ascii="Book Antiqua" w:hAnsi="Book Antiqua" w:cs="Arial"/>
          <w:b/>
          <w:sz w:val="24"/>
          <w:szCs w:val="24"/>
          <w:lang w:val="en-US"/>
        </w:rPr>
      </w:pPr>
      <w:r w:rsidRPr="00C55E0B">
        <w:rPr>
          <w:rFonts w:ascii="Book Antiqua" w:hAnsi="Book Antiqua" w:cs="Arial"/>
          <w:b/>
          <w:sz w:val="24"/>
          <w:szCs w:val="24"/>
          <w:lang w:val="en-US"/>
        </w:rPr>
        <w:t>DISCUSSION</w:t>
      </w:r>
    </w:p>
    <w:p w:rsidR="006575A1" w:rsidRPr="00C55E0B" w:rsidRDefault="006575A1" w:rsidP="00C55E0B">
      <w:pPr>
        <w:spacing w:after="0" w:line="360" w:lineRule="auto"/>
        <w:jc w:val="both"/>
        <w:rPr>
          <w:rFonts w:ascii="Book Antiqua" w:hAnsi="Book Antiqua" w:cs="Arial"/>
          <w:sz w:val="24"/>
          <w:szCs w:val="24"/>
          <w:lang w:val="en-US" w:eastAsia="zh-CN"/>
        </w:rPr>
      </w:pPr>
      <w:r w:rsidRPr="00C55E0B">
        <w:rPr>
          <w:rFonts w:ascii="Book Antiqua" w:hAnsi="Book Antiqua" w:cs="Arial"/>
          <w:sz w:val="24"/>
          <w:szCs w:val="24"/>
          <w:lang w:val="en-US"/>
        </w:rPr>
        <w:t>The importance of nutritional status in cirrhosis has been widely recognized; it was included in the original description of the Child-Turcotte-Pugh score, and, since then, the influence of nutritional status in cirrhosis and its complications has been studied in di</w:t>
      </w:r>
      <w:r w:rsidR="0077654D" w:rsidRPr="00C55E0B">
        <w:rPr>
          <w:rFonts w:ascii="Book Antiqua" w:hAnsi="Book Antiqua" w:cs="Arial"/>
          <w:sz w:val="24"/>
          <w:szCs w:val="24"/>
          <w:lang w:val="en-US"/>
        </w:rPr>
        <w:t>fferent clinical</w:t>
      </w:r>
      <w:r w:rsidR="002824AA" w:rsidRPr="00C55E0B">
        <w:rPr>
          <w:rFonts w:ascii="Book Antiqua" w:hAnsi="Book Antiqua" w:cs="Arial"/>
          <w:sz w:val="24"/>
          <w:szCs w:val="24"/>
          <w:lang w:val="en-US"/>
        </w:rPr>
        <w:t xml:space="preserve"> scenarios</w:t>
      </w:r>
      <w:r w:rsidR="0077654D" w:rsidRPr="00C55E0B">
        <w:rPr>
          <w:rFonts w:ascii="Book Antiqua" w:hAnsi="Book Antiqua" w:cs="Times New Roman"/>
          <w:sz w:val="24"/>
          <w:szCs w:val="24"/>
          <w:vertAlign w:val="superscript"/>
          <w:lang w:val="en-US"/>
        </w:rPr>
        <w:t>[18]</w:t>
      </w:r>
      <w:r w:rsidR="002824AA" w:rsidRPr="00C55E0B">
        <w:rPr>
          <w:rFonts w:ascii="Book Antiqua" w:hAnsi="Book Antiqua" w:cs="Times New Roman"/>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Through the years, the need for improved methods for the nutritional assessment in patients with cirrhosis has become evident, mainly due to the bias induced by fluid retention and decrea</w:t>
      </w:r>
      <w:r w:rsidR="002824AA" w:rsidRPr="00C55E0B">
        <w:rPr>
          <w:rFonts w:ascii="Book Antiqua" w:hAnsi="Book Antiqua" w:cs="Arial"/>
          <w:sz w:val="24"/>
          <w:szCs w:val="24"/>
          <w:lang w:val="en-US"/>
        </w:rPr>
        <w:t>sed hepatic synthetic function</w:t>
      </w:r>
      <w:r w:rsidR="0077654D" w:rsidRPr="00C55E0B">
        <w:rPr>
          <w:rFonts w:ascii="Book Antiqua" w:hAnsi="Book Antiqua" w:cs="Times New Roman"/>
          <w:sz w:val="24"/>
          <w:szCs w:val="24"/>
          <w:vertAlign w:val="superscript"/>
          <w:lang w:val="en-US"/>
        </w:rPr>
        <w:t>[19]</w:t>
      </w:r>
      <w:r w:rsidR="002824AA" w:rsidRPr="00C55E0B">
        <w:rPr>
          <w:rFonts w:ascii="Book Antiqua" w:hAnsi="Book Antiqua" w:cs="Times New Roman"/>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In this study, we defined malnutrition, and specifically cachexia, based on phase angle, a direct marker obtained from BIA, previously validated as a marker of nutritional status related</w:t>
      </w:r>
      <w:r w:rsidR="002824AA" w:rsidRPr="00C55E0B">
        <w:rPr>
          <w:rFonts w:ascii="Book Antiqua" w:hAnsi="Book Antiqua" w:cs="Arial"/>
          <w:sz w:val="24"/>
          <w:szCs w:val="24"/>
          <w:lang w:val="en-US"/>
        </w:rPr>
        <w:t xml:space="preserve"> to mortality in cirrhosis</w:t>
      </w:r>
      <w:r w:rsidR="0077654D" w:rsidRPr="00C55E0B">
        <w:rPr>
          <w:rFonts w:ascii="Book Antiqua" w:hAnsi="Book Antiqua" w:cs="Times New Roman"/>
          <w:sz w:val="24"/>
          <w:szCs w:val="24"/>
          <w:vertAlign w:val="superscript"/>
          <w:lang w:val="en-US"/>
        </w:rPr>
        <w:t>[17]</w:t>
      </w:r>
      <w:r w:rsidR="002824AA" w:rsidRPr="00C55E0B">
        <w:rPr>
          <w:rFonts w:ascii="Book Antiqua" w:hAnsi="Book Antiqua" w:cs="Times New Roman"/>
          <w:sz w:val="24"/>
          <w:szCs w:val="24"/>
          <w:lang w:val="en-US" w:eastAsia="zh-CN"/>
        </w:rPr>
        <w:t>.</w:t>
      </w:r>
    </w:p>
    <w:p w:rsidR="00E804D0" w:rsidRPr="00C55E0B" w:rsidRDefault="006575A1" w:rsidP="00C55E0B">
      <w:pPr>
        <w:spacing w:after="0" w:line="360" w:lineRule="auto"/>
        <w:ind w:firstLineChars="150" w:firstLine="360"/>
        <w:jc w:val="both"/>
        <w:rPr>
          <w:rFonts w:ascii="Book Antiqua" w:hAnsi="Book Antiqua" w:cs="Arial"/>
          <w:sz w:val="24"/>
          <w:szCs w:val="24"/>
          <w:lang w:val="en-US"/>
        </w:rPr>
      </w:pPr>
      <w:r w:rsidRPr="00C55E0B">
        <w:rPr>
          <w:rFonts w:ascii="Book Antiqua" w:hAnsi="Book Antiqua" w:cs="Arial"/>
          <w:sz w:val="24"/>
          <w:szCs w:val="24"/>
          <w:lang w:val="en-US"/>
        </w:rPr>
        <w:t xml:space="preserve">The use of this nutritional marker has some advantages over other available methods including reproducibility, ease of use, low cost and accuracy. Low values of PhA have been linked to disrupted cell membrane and cell death, as well as </w:t>
      </w:r>
      <w:r w:rsidRPr="00C55E0B">
        <w:rPr>
          <w:rFonts w:ascii="Book Antiqua" w:hAnsi="Book Antiqua" w:cs="Arial"/>
          <w:sz w:val="24"/>
          <w:szCs w:val="24"/>
          <w:lang w:val="en-US"/>
        </w:rPr>
        <w:lastRenderedPageBreak/>
        <w:t>changes in hydration status in diff</w:t>
      </w:r>
      <w:r w:rsidR="002824AA" w:rsidRPr="00C55E0B">
        <w:rPr>
          <w:rFonts w:ascii="Book Antiqua" w:hAnsi="Book Antiqua" w:cs="Arial"/>
          <w:sz w:val="24"/>
          <w:szCs w:val="24"/>
          <w:lang w:val="en-US"/>
        </w:rPr>
        <w:t>erent clinical settings</w:t>
      </w:r>
      <w:r w:rsidR="0077654D" w:rsidRPr="00C55E0B">
        <w:rPr>
          <w:rFonts w:ascii="Book Antiqua" w:hAnsi="Book Antiqua" w:cs="Times New Roman"/>
          <w:sz w:val="24"/>
          <w:szCs w:val="24"/>
          <w:vertAlign w:val="superscript"/>
          <w:lang w:val="en-US"/>
        </w:rPr>
        <w:t>[11,12]</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Based on these facts, in patients with cirrhosis and HE, a low PhA might reflect low-grade ed</w:t>
      </w:r>
      <w:r w:rsidR="002824AA" w:rsidRPr="00C55E0B">
        <w:rPr>
          <w:rFonts w:ascii="Book Antiqua" w:hAnsi="Book Antiqua" w:cs="Arial"/>
          <w:sz w:val="24"/>
          <w:szCs w:val="24"/>
          <w:lang w:val="en-US"/>
        </w:rPr>
        <w:t>ema and astrocyte swelling</w:t>
      </w:r>
      <w:r w:rsidR="0077654D" w:rsidRPr="00C55E0B">
        <w:rPr>
          <w:rFonts w:ascii="Book Antiqua" w:hAnsi="Book Antiqua" w:cs="Times New Roman"/>
          <w:sz w:val="24"/>
          <w:szCs w:val="24"/>
          <w:vertAlign w:val="superscript"/>
          <w:lang w:val="en-US"/>
        </w:rPr>
        <w:t>[20]</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On the other hand, a low PhA translates directly into poor nutritional status, indicating mainly cachexia. The importance of recognizing cachexia in cirrhosis resides in the three components inherent to this condition: loss of muscle and adipose tissue as well as inflammation. Both sarcopenia and inflammation are important pathophysiological mechanisms related to the dev</w:t>
      </w:r>
      <w:r w:rsidR="002824AA" w:rsidRPr="00C55E0B">
        <w:rPr>
          <w:rFonts w:ascii="Book Antiqua" w:hAnsi="Book Antiqua" w:cs="Arial"/>
          <w:sz w:val="24"/>
          <w:szCs w:val="24"/>
          <w:lang w:val="en-US"/>
        </w:rPr>
        <w:t>elopment and progression of HE</w:t>
      </w:r>
      <w:r w:rsidR="0077654D" w:rsidRPr="00C55E0B">
        <w:rPr>
          <w:rFonts w:ascii="Book Antiqua" w:hAnsi="Book Antiqua" w:cs="Times New Roman"/>
          <w:sz w:val="24"/>
          <w:szCs w:val="24"/>
          <w:vertAlign w:val="superscript"/>
          <w:lang w:val="en-US"/>
        </w:rPr>
        <w:t>[21]</w:t>
      </w:r>
      <w:r w:rsidR="002824AA" w:rsidRPr="00C55E0B">
        <w:rPr>
          <w:rFonts w:ascii="Book Antiqua" w:hAnsi="Book Antiqua" w:cs="Times New Roman"/>
          <w:sz w:val="24"/>
          <w:szCs w:val="24"/>
          <w:vertAlign w:val="superscript"/>
          <w:lang w:val="en-US" w:eastAsia="zh-CN"/>
        </w:rPr>
        <w:t xml:space="preserve">. </w:t>
      </w:r>
      <w:r w:rsidR="000F6F3D" w:rsidRPr="00C55E0B">
        <w:rPr>
          <w:rFonts w:ascii="Book Antiqua" w:hAnsi="Book Antiqua" w:cs="Arial"/>
          <w:sz w:val="24"/>
          <w:szCs w:val="24"/>
          <w:lang w:val="en-US"/>
        </w:rPr>
        <w:t>In this cohort of patients,</w:t>
      </w:r>
      <w:r w:rsidR="00E804D0" w:rsidRPr="00C55E0B">
        <w:rPr>
          <w:rFonts w:ascii="Book Antiqua" w:hAnsi="Book Antiqua" w:cs="Arial"/>
          <w:sz w:val="24"/>
          <w:szCs w:val="24"/>
          <w:lang w:val="en-US"/>
        </w:rPr>
        <w:t xml:space="preserve"> anthropometric measurements such as triceps skinfold thickness and</w:t>
      </w:r>
      <w:r w:rsidR="000F6F3D" w:rsidRPr="00C55E0B">
        <w:rPr>
          <w:rFonts w:ascii="Book Antiqua" w:hAnsi="Book Antiqua" w:cs="Arial"/>
          <w:sz w:val="24"/>
          <w:szCs w:val="24"/>
          <w:lang w:val="en-US"/>
        </w:rPr>
        <w:t xml:space="preserve"> mid-arm muscle circumference showed no difference between the patients with and without hepatic encephalopathy. </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The results of our study show an association between the presence of cachexia and the subsequent development of HE. There are no studies showing the long-term effect of cachexia and the risk of developing HE, although malnutrition and HE has been evaluated in some studies. One cross-sectional study found an association between the presence of HE and muscle depletion, using handgrip muscle strength</w:t>
      </w:r>
      <w:r w:rsidR="002824AA" w:rsidRPr="00C55E0B">
        <w:rPr>
          <w:rFonts w:ascii="Book Antiqua" w:hAnsi="Book Antiqua" w:cs="Arial"/>
          <w:sz w:val="24"/>
          <w:szCs w:val="24"/>
          <w:lang w:val="en-US"/>
        </w:rPr>
        <w:t xml:space="preserve"> and other nutritional markers</w:t>
      </w:r>
      <w:r w:rsidR="0077654D" w:rsidRPr="00C55E0B">
        <w:rPr>
          <w:rFonts w:ascii="Book Antiqua" w:hAnsi="Book Antiqua" w:cs="Times New Roman"/>
          <w:sz w:val="24"/>
          <w:szCs w:val="24"/>
          <w:vertAlign w:val="superscript"/>
          <w:lang w:val="en-US"/>
        </w:rPr>
        <w:t>[21-23]</w:t>
      </w:r>
      <w:r w:rsidR="002824AA" w:rsidRPr="00C55E0B">
        <w:rPr>
          <w:rFonts w:ascii="Book Antiqua" w:hAnsi="Book Antiqua" w:cs="Times New Roman"/>
          <w:sz w:val="24"/>
          <w:szCs w:val="24"/>
          <w:lang w:val="en-US" w:eastAsia="zh-CN"/>
        </w:rPr>
        <w:t xml:space="preserve">. </w:t>
      </w:r>
      <w:r w:rsidRPr="00C55E0B">
        <w:rPr>
          <w:rFonts w:ascii="Book Antiqua" w:hAnsi="Book Antiqua" w:cs="Arial"/>
          <w:sz w:val="24"/>
          <w:szCs w:val="24"/>
          <w:lang w:val="en-US"/>
        </w:rPr>
        <w:t>Another study found higher proportion of HE in patients with sarcopenia evaluated through CT compared to patients without sarcopenia (60</w:t>
      </w:r>
      <w:r w:rsidR="002824AA" w:rsidRPr="00C55E0B">
        <w:rPr>
          <w:rFonts w:ascii="Book Antiqua" w:hAnsi="Book Antiqua" w:cs="Arial"/>
          <w:sz w:val="24"/>
          <w:szCs w:val="24"/>
          <w:lang w:val="en-US" w:eastAsia="zh-CN"/>
        </w:rPr>
        <w:t>%</w:t>
      </w:r>
      <w:r w:rsidRPr="00C55E0B">
        <w:rPr>
          <w:rFonts w:ascii="Book Antiqua" w:hAnsi="Book Antiqua" w:cs="Arial"/>
          <w:sz w:val="24"/>
          <w:szCs w:val="24"/>
          <w:lang w:val="en-US"/>
        </w:rPr>
        <w:t xml:space="preserve"> </w:t>
      </w:r>
      <w:r w:rsidRPr="00C55E0B">
        <w:rPr>
          <w:rFonts w:ascii="Book Antiqua" w:hAnsi="Book Antiqua" w:cs="Arial"/>
          <w:i/>
          <w:sz w:val="24"/>
          <w:szCs w:val="24"/>
          <w:lang w:val="en-US"/>
        </w:rPr>
        <w:t>vs</w:t>
      </w:r>
      <w:r w:rsidRPr="00C55E0B">
        <w:rPr>
          <w:rFonts w:ascii="Book Antiqua" w:hAnsi="Book Antiqua" w:cs="Arial"/>
          <w:sz w:val="24"/>
          <w:szCs w:val="24"/>
          <w:lang w:val="en-US"/>
        </w:rPr>
        <w:t xml:space="preserve"> 49%, </w:t>
      </w:r>
      <w:r w:rsidR="002824AA" w:rsidRPr="00C55E0B">
        <w:rPr>
          <w:rFonts w:ascii="Book Antiqua" w:hAnsi="Book Antiqua" w:cs="Arial"/>
          <w:i/>
          <w:sz w:val="24"/>
          <w:szCs w:val="24"/>
          <w:lang w:val="en-US"/>
        </w:rPr>
        <w:t>P</w:t>
      </w:r>
      <w:r w:rsidR="002824AA" w:rsidRPr="00C55E0B">
        <w:rPr>
          <w:rFonts w:ascii="Book Antiqua" w:hAnsi="Book Antiqua" w:cs="Arial"/>
          <w:i/>
          <w:sz w:val="24"/>
          <w:szCs w:val="24"/>
          <w:lang w:val="en-US" w:eastAsia="zh-CN"/>
        </w:rPr>
        <w:t xml:space="preserve"> </w:t>
      </w:r>
      <w:r w:rsidRPr="00C55E0B">
        <w:rPr>
          <w:rFonts w:ascii="Book Antiqua" w:hAnsi="Book Antiqua" w:cs="Arial"/>
          <w:sz w:val="24"/>
          <w:szCs w:val="24"/>
          <w:lang w:val="en-US"/>
        </w:rPr>
        <w:t>=</w:t>
      </w:r>
      <w:r w:rsidR="002824AA"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 xml:space="preserve">0.1), however, </w:t>
      </w:r>
      <w:r w:rsidR="002824AA" w:rsidRPr="00C55E0B">
        <w:rPr>
          <w:rFonts w:ascii="Book Antiqua" w:hAnsi="Book Antiqua" w:cs="Arial"/>
          <w:sz w:val="24"/>
          <w:szCs w:val="24"/>
          <w:lang w:val="en-US"/>
        </w:rPr>
        <w:t>no follow-up data was available</w:t>
      </w:r>
      <w:r w:rsidR="0077654D" w:rsidRPr="00C55E0B">
        <w:rPr>
          <w:rFonts w:ascii="Book Antiqua" w:hAnsi="Book Antiqua" w:cs="Times New Roman"/>
          <w:sz w:val="24"/>
          <w:szCs w:val="24"/>
          <w:vertAlign w:val="superscript"/>
          <w:lang w:val="en-US"/>
        </w:rPr>
        <w:t>[24]</w:t>
      </w:r>
      <w:r w:rsidR="002824AA" w:rsidRPr="00C55E0B">
        <w:rPr>
          <w:rFonts w:ascii="Book Antiqua" w:hAnsi="Book Antiqua" w:cs="Times New Roman"/>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eastAsia="zh-CN"/>
        </w:rPr>
      </w:pPr>
      <w:r w:rsidRPr="00C55E0B">
        <w:rPr>
          <w:rFonts w:ascii="Book Antiqua" w:hAnsi="Book Antiqua" w:cs="Arial"/>
          <w:sz w:val="24"/>
          <w:szCs w:val="24"/>
          <w:lang w:val="en-US"/>
        </w:rPr>
        <w:t>Malnutrition could influence the development of HE in different ways. The brain, liver, gut and muscle play an important role in maintaining ammonia metabolism in cirrhosis and might be direc</w:t>
      </w:r>
      <w:r w:rsidR="002824AA" w:rsidRPr="00C55E0B">
        <w:rPr>
          <w:rFonts w:ascii="Book Antiqua" w:hAnsi="Book Antiqua" w:cs="Arial"/>
          <w:sz w:val="24"/>
          <w:szCs w:val="24"/>
          <w:lang w:val="en-US"/>
        </w:rPr>
        <w:t>tly affected by malnutrition</w:t>
      </w:r>
      <w:r w:rsidR="0077654D" w:rsidRPr="00C55E0B">
        <w:rPr>
          <w:rFonts w:ascii="Book Antiqua" w:hAnsi="Book Antiqua" w:cs="Times New Roman"/>
          <w:sz w:val="24"/>
          <w:szCs w:val="24"/>
          <w:vertAlign w:val="superscript"/>
          <w:lang w:val="en-US"/>
        </w:rPr>
        <w:t>[2]</w:t>
      </w:r>
      <w:r w:rsidRPr="00C55E0B">
        <w:rPr>
          <w:rFonts w:ascii="Book Antiqua" w:hAnsi="Book Antiqua" w:cs="Arial"/>
          <w:sz w:val="24"/>
          <w:szCs w:val="24"/>
          <w:lang w:val="en-US"/>
        </w:rPr>
        <w:t xml:space="preserve">. For instance, the muscle function could be damaged since ammonia scavengers through the conversion from ammonia and glutamate into glutamine by the enzyme GS. </w:t>
      </w:r>
      <w:r w:rsidRPr="00C55E0B">
        <w:rPr>
          <w:rFonts w:ascii="Book Antiqua" w:hAnsi="Book Antiqua" w:cs="Arial"/>
          <w:sz w:val="24"/>
          <w:szCs w:val="24"/>
          <w:lang w:val="en-US" w:eastAsia="zh-CN"/>
        </w:rPr>
        <w:t>The disruption of the intestinal barrier in cirrhosis and further increase in intestinal permeability and endotoxin levels, are involved in increased cytokine production, inflammation, and risk of infections.</w:t>
      </w:r>
      <w:r w:rsidR="0077654D" w:rsidRPr="00C55E0B">
        <w:rPr>
          <w:rFonts w:ascii="Book Antiqua" w:hAnsi="Book Antiqua" w:cs="Times New Roman"/>
          <w:sz w:val="24"/>
          <w:szCs w:val="24"/>
          <w:vertAlign w:val="superscript"/>
          <w:lang w:val="en-US"/>
        </w:rPr>
        <w:t xml:space="preserve"> [25] </w:t>
      </w:r>
      <w:r w:rsidRPr="00C55E0B">
        <w:rPr>
          <w:rFonts w:ascii="Book Antiqua" w:hAnsi="Book Antiqua" w:cs="Arial"/>
          <w:sz w:val="24"/>
          <w:szCs w:val="24"/>
          <w:lang w:val="en-US" w:eastAsia="zh-CN"/>
        </w:rPr>
        <w:t xml:space="preserve">Cachexia has been linked to dysbiosis which can further contribute to increased ammonia production, damage </w:t>
      </w:r>
      <w:r w:rsidRPr="00C55E0B">
        <w:rPr>
          <w:rFonts w:ascii="Book Antiqua" w:hAnsi="Book Antiqua" w:cs="Arial"/>
          <w:sz w:val="24"/>
          <w:szCs w:val="24"/>
          <w:lang w:val="en-US" w:eastAsia="zh-CN"/>
        </w:rPr>
        <w:lastRenderedPageBreak/>
        <w:t>to the intestinal epithelial cells, and increased inflamma</w:t>
      </w:r>
      <w:r w:rsidR="002824AA" w:rsidRPr="00C55E0B">
        <w:rPr>
          <w:rFonts w:ascii="Book Antiqua" w:hAnsi="Book Antiqua" w:cs="Arial"/>
          <w:sz w:val="24"/>
          <w:szCs w:val="24"/>
          <w:lang w:val="en-US" w:eastAsia="zh-CN"/>
        </w:rPr>
        <w:t>tion, ultimately leading to HE</w:t>
      </w:r>
      <w:r w:rsidR="0077654D" w:rsidRPr="00C55E0B">
        <w:rPr>
          <w:rFonts w:ascii="Book Antiqua" w:hAnsi="Book Antiqua" w:cs="Times New Roman"/>
          <w:sz w:val="24"/>
          <w:szCs w:val="24"/>
          <w:vertAlign w:val="superscript"/>
          <w:lang w:val="en-US"/>
        </w:rPr>
        <w:t>[26]</w:t>
      </w:r>
      <w:r w:rsidR="002824AA" w:rsidRPr="00C55E0B">
        <w:rPr>
          <w:rFonts w:ascii="Book Antiqua" w:hAnsi="Book Antiqua" w:cs="Times New Roman"/>
          <w:sz w:val="24"/>
          <w:szCs w:val="24"/>
          <w:lang w:val="en-US" w:eastAsia="zh-CN"/>
        </w:rPr>
        <w:t>.</w:t>
      </w:r>
    </w:p>
    <w:p w:rsidR="006575A1" w:rsidRPr="00C55E0B" w:rsidRDefault="006575A1" w:rsidP="00C55E0B">
      <w:pPr>
        <w:spacing w:after="0" w:line="360" w:lineRule="auto"/>
        <w:ind w:firstLineChars="150" w:firstLine="360"/>
        <w:jc w:val="both"/>
        <w:rPr>
          <w:rFonts w:ascii="Book Antiqua" w:hAnsi="Book Antiqua" w:cs="Arial"/>
          <w:sz w:val="24"/>
          <w:szCs w:val="24"/>
          <w:lang w:val="en-US"/>
        </w:rPr>
      </w:pPr>
      <w:r w:rsidRPr="00C55E0B">
        <w:rPr>
          <w:rFonts w:ascii="Book Antiqua" w:hAnsi="Book Antiqua" w:cs="Arial"/>
          <w:sz w:val="24"/>
          <w:szCs w:val="24"/>
          <w:lang w:val="en-US"/>
        </w:rPr>
        <w:t xml:space="preserve">The main precipitating factors of HE episodes in this cohort were infections, followed by variceal bleeding. It has been established that malnutrition in any condition is related to a higher </w:t>
      </w:r>
      <w:r w:rsidR="002824AA" w:rsidRPr="00C55E0B">
        <w:rPr>
          <w:rFonts w:ascii="Book Antiqua" w:hAnsi="Book Antiqua" w:cs="Arial"/>
          <w:sz w:val="24"/>
          <w:szCs w:val="24"/>
          <w:lang w:val="en-US"/>
        </w:rPr>
        <w:t>incidence of infections</w:t>
      </w:r>
      <w:r w:rsidR="0077654D" w:rsidRPr="00C55E0B">
        <w:rPr>
          <w:rFonts w:ascii="Book Antiqua" w:hAnsi="Book Antiqua" w:cs="Times New Roman"/>
          <w:sz w:val="24"/>
          <w:szCs w:val="24"/>
          <w:vertAlign w:val="superscript"/>
          <w:lang w:val="en-US"/>
        </w:rPr>
        <w:t>[27]</w:t>
      </w:r>
      <w:r w:rsidRPr="00C55E0B">
        <w:rPr>
          <w:rFonts w:ascii="Book Antiqua" w:hAnsi="Book Antiqua" w:cs="Arial"/>
          <w:sz w:val="24"/>
          <w:szCs w:val="24"/>
          <w:lang w:val="en-US"/>
        </w:rPr>
        <w:t xml:space="preserve">, thus, it can very likely be a possible explanation of the higher incidence of HE in malnourished patients, besides altered ammonia detoxification.  </w:t>
      </w:r>
    </w:p>
    <w:p w:rsidR="006575A1" w:rsidRPr="00C55E0B" w:rsidRDefault="006575A1" w:rsidP="00C55E0B">
      <w:pPr>
        <w:spacing w:after="0" w:line="360" w:lineRule="auto"/>
        <w:ind w:firstLineChars="150" w:firstLine="360"/>
        <w:jc w:val="both"/>
        <w:rPr>
          <w:rFonts w:ascii="Book Antiqua" w:hAnsi="Book Antiqua" w:cs="Arial"/>
          <w:sz w:val="24"/>
          <w:szCs w:val="24"/>
          <w:lang w:val="en-US"/>
        </w:rPr>
      </w:pPr>
      <w:r w:rsidRPr="00C55E0B">
        <w:rPr>
          <w:rFonts w:ascii="Book Antiqua" w:hAnsi="Book Antiqua" w:cs="Arial"/>
          <w:sz w:val="24"/>
          <w:szCs w:val="24"/>
          <w:lang w:val="en-US"/>
        </w:rPr>
        <w:t>In the univariate analysis, biochemical parameters including sodium, INR, hemoglobin, ammonia and creatinine, as well as PhA were significantly related to the development of HE, and after backward multivariate adjustment, only creatinine and PhA remained significant. Altogether these data support the long-term effect of malnutrition in the development of HE.</w:t>
      </w:r>
    </w:p>
    <w:p w:rsidR="006575A1" w:rsidRPr="00C55E0B" w:rsidRDefault="006575A1" w:rsidP="00C55E0B">
      <w:pPr>
        <w:spacing w:after="0" w:line="360" w:lineRule="auto"/>
        <w:ind w:firstLineChars="150" w:firstLine="360"/>
        <w:jc w:val="both"/>
        <w:rPr>
          <w:rFonts w:ascii="Book Antiqua" w:hAnsi="Book Antiqua" w:cs="Arial"/>
          <w:sz w:val="24"/>
          <w:szCs w:val="24"/>
          <w:lang w:val="en-US"/>
        </w:rPr>
      </w:pPr>
      <w:r w:rsidRPr="00C55E0B">
        <w:rPr>
          <w:rFonts w:ascii="Book Antiqua" w:hAnsi="Book Antiqua" w:cs="Arial"/>
          <w:sz w:val="24"/>
          <w:szCs w:val="24"/>
          <w:lang w:val="en-US"/>
        </w:rPr>
        <w:t xml:space="preserve">The main benefits of this study are the prospective design and the long-term follow-up, which is essential to evaluate the causal effect of cachexia in the development of hepatic encephalopathy, thus it is not only a cross-sectional association, but also a validated and easily reproducible nutritional marker. There were also limitations in this study, individual components of malnutrition (fat mass, muscle mass) cannot be specifically addressed, since only the direct measurements were used, due to the limitations of conventional BIA using prediction equations to calculate indirect markers. Likewise, the cut-off value is specific of our population; therefore it needs to be tested in different populations. </w:t>
      </w:r>
    </w:p>
    <w:p w:rsidR="006575A1" w:rsidRPr="00C55E0B" w:rsidRDefault="006575A1"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In our cohort of patients low PhA was associated with an increased incidence of HE. PhA is a useful nutritional marker that evaluates cachexia, and could be used as a part of the integral assessment in patients with cirrhosis. Whether improving nutritional status can prevent or delay the development of episodes of HE warrants further investigation.</w:t>
      </w:r>
    </w:p>
    <w:p w:rsidR="006575A1" w:rsidRPr="00C55E0B" w:rsidRDefault="006575A1" w:rsidP="00C55E0B">
      <w:pPr>
        <w:spacing w:after="0" w:line="360" w:lineRule="auto"/>
        <w:jc w:val="both"/>
        <w:rPr>
          <w:rFonts w:ascii="Book Antiqua" w:hAnsi="Book Antiqua" w:cs="Arial"/>
          <w:b/>
          <w:sz w:val="24"/>
          <w:szCs w:val="24"/>
          <w:lang w:val="en-US"/>
        </w:rPr>
      </w:pPr>
    </w:p>
    <w:p w:rsidR="006575A1" w:rsidRPr="00C55E0B" w:rsidRDefault="006575A1" w:rsidP="00C55E0B">
      <w:pPr>
        <w:spacing w:after="0" w:line="360" w:lineRule="auto"/>
        <w:jc w:val="both"/>
        <w:rPr>
          <w:rFonts w:ascii="Book Antiqua" w:hAnsi="Book Antiqua" w:cs="Arial"/>
          <w:b/>
          <w:sz w:val="24"/>
          <w:szCs w:val="24"/>
          <w:lang w:val="en-US"/>
        </w:rPr>
      </w:pPr>
      <w:r w:rsidRPr="00C55E0B">
        <w:rPr>
          <w:rFonts w:ascii="Book Antiqua" w:hAnsi="Book Antiqua" w:cs="Arial"/>
          <w:b/>
          <w:sz w:val="24"/>
          <w:szCs w:val="24"/>
          <w:lang w:val="en-US"/>
        </w:rPr>
        <w:t xml:space="preserve">ACKNOWLEDGEMENTS </w:t>
      </w:r>
    </w:p>
    <w:p w:rsidR="006575A1" w:rsidRPr="00C55E0B" w:rsidRDefault="006575A1"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lastRenderedPageBreak/>
        <w:t xml:space="preserve">The authors would like to thank </w:t>
      </w:r>
      <w:r w:rsidR="002E1BD5" w:rsidRPr="00C55E0B">
        <w:rPr>
          <w:rFonts w:ascii="Book Antiqua" w:hAnsi="Book Antiqua" w:cs="Arial"/>
          <w:sz w:val="24"/>
          <w:szCs w:val="24"/>
          <w:lang w:val="en-US"/>
        </w:rPr>
        <w:t xml:space="preserve">Frau </w:t>
      </w:r>
      <w:r w:rsidRPr="00C55E0B">
        <w:rPr>
          <w:rFonts w:ascii="Book Antiqua" w:hAnsi="Book Antiqua" w:cs="Arial"/>
          <w:sz w:val="24"/>
          <w:szCs w:val="24"/>
          <w:lang w:val="en-US"/>
        </w:rPr>
        <w:t>Dr.</w:t>
      </w:r>
      <w:r w:rsidR="0077654D" w:rsidRPr="00C55E0B">
        <w:rPr>
          <w:rFonts w:ascii="Book Antiqua" w:hAnsi="Book Antiqua" w:cs="Arial"/>
          <w:sz w:val="24"/>
          <w:szCs w:val="24"/>
          <w:lang w:val="en-US"/>
        </w:rPr>
        <w:t xml:space="preserve"> </w:t>
      </w:r>
      <w:r w:rsidRPr="00C55E0B">
        <w:rPr>
          <w:rFonts w:ascii="Book Antiqua" w:hAnsi="Book Antiqua" w:cs="Arial"/>
          <w:sz w:val="24"/>
          <w:szCs w:val="24"/>
          <w:lang w:val="en-US"/>
        </w:rPr>
        <w:t>Johanna Reißing for her support during the writing of the manuscript. ARM and RMR were supported by UNAM/CONACYT. RMR was supported by FunSaEd. FJC is a Ramón y Cajal Researcher (RYC-2014-15242)</w:t>
      </w:r>
    </w:p>
    <w:p w:rsidR="00BC3CC8" w:rsidRPr="00C55E0B" w:rsidRDefault="00BC3CC8" w:rsidP="00C55E0B">
      <w:pPr>
        <w:spacing w:after="0" w:line="360" w:lineRule="auto"/>
        <w:jc w:val="both"/>
        <w:rPr>
          <w:rFonts w:ascii="Book Antiqua" w:hAnsi="Book Antiqua"/>
          <w:b/>
          <w:sz w:val="24"/>
          <w:szCs w:val="24"/>
          <w:lang w:val="en-US"/>
        </w:rPr>
      </w:pPr>
      <w:bookmarkStart w:id="49" w:name="OLE_LINK595"/>
      <w:bookmarkStart w:id="50" w:name="OLE_LINK596"/>
      <w:bookmarkStart w:id="51" w:name="OLE_LINK573"/>
      <w:bookmarkStart w:id="52" w:name="OLE_LINK574"/>
      <w:bookmarkStart w:id="53" w:name="OLE_LINK591"/>
    </w:p>
    <w:p w:rsidR="002824AA" w:rsidRPr="00C55E0B" w:rsidRDefault="00E24C43" w:rsidP="00C55E0B">
      <w:pPr>
        <w:spacing w:after="0" w:line="360" w:lineRule="auto"/>
        <w:jc w:val="both"/>
        <w:rPr>
          <w:rFonts w:ascii="Book Antiqua" w:hAnsi="Book Antiqua"/>
          <w:b/>
          <w:sz w:val="24"/>
          <w:szCs w:val="24"/>
          <w:lang w:val="en-US" w:eastAsia="zh-CN"/>
        </w:rPr>
      </w:pPr>
      <w:r w:rsidRPr="00C55E0B">
        <w:rPr>
          <w:rFonts w:ascii="Book Antiqua" w:hAnsi="Book Antiqua"/>
          <w:b/>
          <w:sz w:val="24"/>
          <w:szCs w:val="24"/>
          <w:lang w:val="en-US"/>
        </w:rPr>
        <w:t>COMMENTS</w:t>
      </w:r>
    </w:p>
    <w:p w:rsidR="00E24C43" w:rsidRPr="00C55E0B" w:rsidRDefault="00E24C43" w:rsidP="00C55E0B">
      <w:pPr>
        <w:spacing w:after="0" w:line="360" w:lineRule="auto"/>
        <w:jc w:val="both"/>
        <w:rPr>
          <w:rFonts w:ascii="Book Antiqua" w:hAnsi="Book Antiqua"/>
          <w:b/>
          <w:sz w:val="24"/>
          <w:szCs w:val="24"/>
          <w:lang w:val="en-US"/>
        </w:rPr>
      </w:pPr>
      <w:r w:rsidRPr="00C55E0B">
        <w:rPr>
          <w:rFonts w:ascii="Book Antiqua" w:hAnsi="Book Antiqua"/>
          <w:b/>
          <w:bCs/>
          <w:i/>
          <w:sz w:val="24"/>
          <w:szCs w:val="24"/>
          <w:lang w:val="en-US"/>
        </w:rPr>
        <w:t>Background</w:t>
      </w:r>
    </w:p>
    <w:p w:rsidR="00A14D41" w:rsidRPr="00C55E0B" w:rsidRDefault="00EB3939" w:rsidP="00C55E0B">
      <w:pPr>
        <w:spacing w:after="0" w:line="360" w:lineRule="auto"/>
        <w:jc w:val="both"/>
        <w:rPr>
          <w:rFonts w:ascii="Book Antiqua" w:hAnsi="Book Antiqua"/>
          <w:sz w:val="24"/>
          <w:szCs w:val="24"/>
          <w:lang w:val="en-US"/>
        </w:rPr>
      </w:pPr>
      <w:r w:rsidRPr="00C55E0B">
        <w:rPr>
          <w:rFonts w:ascii="Book Antiqua" w:hAnsi="Book Antiqua"/>
          <w:sz w:val="24"/>
          <w:szCs w:val="24"/>
          <w:lang w:val="en-US"/>
        </w:rPr>
        <w:t>Malnutrition is seen in 40</w:t>
      </w:r>
      <w:r w:rsidR="005C7FE6">
        <w:rPr>
          <w:rFonts w:ascii="Book Antiqua" w:hAnsi="Book Antiqua" w:hint="eastAsia"/>
          <w:sz w:val="24"/>
          <w:szCs w:val="24"/>
          <w:lang w:val="en-US" w:eastAsia="zh-CN"/>
        </w:rPr>
        <w:t>%</w:t>
      </w:r>
      <w:r w:rsidRPr="00C55E0B">
        <w:rPr>
          <w:rFonts w:ascii="Book Antiqua" w:hAnsi="Book Antiqua"/>
          <w:sz w:val="24"/>
          <w:szCs w:val="24"/>
          <w:lang w:val="en-US"/>
        </w:rPr>
        <w:t>-90% of the patients with cirrhosis and has been associated to the progression of complications and higher mortality.</w:t>
      </w:r>
      <w:r w:rsidR="000D21C0" w:rsidRPr="00C55E0B">
        <w:rPr>
          <w:rFonts w:ascii="Book Antiqua" w:hAnsi="Book Antiqua"/>
          <w:sz w:val="24"/>
          <w:szCs w:val="24"/>
          <w:lang w:val="en-US"/>
        </w:rPr>
        <w:t xml:space="preserve"> </w:t>
      </w:r>
      <w:r w:rsidR="00A14D41" w:rsidRPr="00C55E0B">
        <w:rPr>
          <w:rFonts w:ascii="Book Antiqua" w:hAnsi="Book Antiqua"/>
          <w:sz w:val="24"/>
          <w:szCs w:val="24"/>
          <w:lang w:val="en-US"/>
        </w:rPr>
        <w:t xml:space="preserve">Some mechanisms </w:t>
      </w:r>
      <w:r w:rsidR="00A14D41" w:rsidRPr="00C55E0B">
        <w:rPr>
          <w:rFonts w:ascii="Book Antiqua" w:hAnsi="Book Antiqua" w:cs="Arial"/>
          <w:sz w:val="24"/>
          <w:szCs w:val="24"/>
          <w:lang w:val="en-US"/>
        </w:rPr>
        <w:t xml:space="preserve">such as oxidative stress and systemic inflammation that are involved in the </w:t>
      </w:r>
      <w:r w:rsidR="00A14D41" w:rsidRPr="00C55E0B">
        <w:rPr>
          <w:rFonts w:ascii="Book Antiqua" w:hAnsi="Book Antiqua"/>
          <w:sz w:val="24"/>
          <w:szCs w:val="24"/>
          <w:lang w:val="en-US"/>
        </w:rPr>
        <w:t xml:space="preserve">pathophysiology of </w:t>
      </w:r>
      <w:r w:rsidR="005C7FE6" w:rsidRPr="005C7FE6">
        <w:rPr>
          <w:rFonts w:ascii="Book Antiqua" w:hAnsi="Book Antiqua"/>
          <w:sz w:val="24"/>
          <w:szCs w:val="24"/>
          <w:lang w:val="en-US"/>
        </w:rPr>
        <w:t xml:space="preserve">hepatic encephalopathy </w:t>
      </w:r>
      <w:r w:rsidR="005C7FE6">
        <w:rPr>
          <w:rFonts w:ascii="Book Antiqua" w:hAnsi="Book Antiqua" w:hint="eastAsia"/>
          <w:sz w:val="24"/>
          <w:szCs w:val="24"/>
          <w:lang w:val="en-US" w:eastAsia="zh-CN"/>
        </w:rPr>
        <w:t>(</w:t>
      </w:r>
      <w:r w:rsidR="00A14D41" w:rsidRPr="00C55E0B">
        <w:rPr>
          <w:rFonts w:ascii="Book Antiqua" w:hAnsi="Book Antiqua"/>
          <w:sz w:val="24"/>
          <w:szCs w:val="24"/>
          <w:lang w:val="en-US"/>
        </w:rPr>
        <w:t>HE</w:t>
      </w:r>
      <w:r w:rsidR="005C7FE6">
        <w:rPr>
          <w:rFonts w:ascii="Book Antiqua" w:hAnsi="Book Antiqua" w:hint="eastAsia"/>
          <w:sz w:val="24"/>
          <w:szCs w:val="24"/>
          <w:lang w:val="en-US" w:eastAsia="zh-CN"/>
        </w:rPr>
        <w:t>)</w:t>
      </w:r>
      <w:r w:rsidR="00A14D41" w:rsidRPr="00C55E0B">
        <w:rPr>
          <w:rFonts w:ascii="Book Antiqua" w:hAnsi="Book Antiqua"/>
          <w:sz w:val="24"/>
          <w:szCs w:val="24"/>
          <w:lang w:val="en-US"/>
        </w:rPr>
        <w:t xml:space="preserve"> are increased in patients with malnutrition, therefore malnutrition could be associated to HE. </w:t>
      </w:r>
    </w:p>
    <w:p w:rsidR="00A14D41" w:rsidRPr="00C55E0B" w:rsidRDefault="00A14D41" w:rsidP="00C55E0B">
      <w:pPr>
        <w:spacing w:after="0" w:line="360" w:lineRule="auto"/>
        <w:jc w:val="both"/>
        <w:rPr>
          <w:rFonts w:ascii="Book Antiqua" w:hAnsi="Book Antiqua"/>
          <w:b/>
          <w:bCs/>
          <w:sz w:val="24"/>
          <w:szCs w:val="24"/>
          <w:lang w:val="en-US" w:eastAsia="zh-CN"/>
        </w:rPr>
      </w:pPr>
    </w:p>
    <w:p w:rsidR="00E24C43" w:rsidRPr="00C55E0B" w:rsidRDefault="00E24C43" w:rsidP="00C55E0B">
      <w:pPr>
        <w:spacing w:after="0" w:line="360" w:lineRule="auto"/>
        <w:jc w:val="both"/>
        <w:rPr>
          <w:rFonts w:ascii="Book Antiqua" w:hAnsi="Book Antiqua"/>
          <w:b/>
          <w:bCs/>
          <w:sz w:val="24"/>
          <w:szCs w:val="24"/>
          <w:lang w:val="en-US"/>
        </w:rPr>
      </w:pPr>
      <w:r w:rsidRPr="00C55E0B">
        <w:rPr>
          <w:rFonts w:ascii="Book Antiqua" w:hAnsi="Book Antiqua"/>
          <w:b/>
          <w:bCs/>
          <w:i/>
          <w:sz w:val="24"/>
          <w:szCs w:val="24"/>
          <w:lang w:val="en-US"/>
        </w:rPr>
        <w:t>Research frontiers</w:t>
      </w:r>
    </w:p>
    <w:p w:rsidR="00EB3939" w:rsidRPr="00C55E0B" w:rsidRDefault="00EB3939" w:rsidP="00C55E0B">
      <w:pPr>
        <w:spacing w:after="0" w:line="360" w:lineRule="auto"/>
        <w:jc w:val="both"/>
        <w:rPr>
          <w:rFonts w:ascii="Book Antiqua" w:hAnsi="Book Antiqua"/>
          <w:sz w:val="24"/>
          <w:szCs w:val="24"/>
          <w:lang w:val="en-US" w:eastAsia="zh-CN"/>
        </w:rPr>
      </w:pPr>
      <w:r w:rsidRPr="00C55E0B">
        <w:rPr>
          <w:rFonts w:ascii="Book Antiqua" w:hAnsi="Book Antiqua"/>
          <w:sz w:val="24"/>
          <w:szCs w:val="24"/>
          <w:lang w:val="en-US"/>
        </w:rPr>
        <w:t xml:space="preserve">Some studies have shown the cross-sectional association between malnutrition and HE, however, the long-term effect of malnutrition on the subsequent development of HE has not been fully addressed. </w:t>
      </w:r>
      <w:r w:rsidR="00B7383A" w:rsidRPr="00C55E0B">
        <w:rPr>
          <w:rFonts w:ascii="Book Antiqua" w:hAnsi="Book Antiqua"/>
          <w:sz w:val="24"/>
          <w:szCs w:val="24"/>
          <w:lang w:val="en-US"/>
        </w:rPr>
        <w:t>Furthermore there is a growing</w:t>
      </w:r>
      <w:r w:rsidRPr="00C55E0B">
        <w:rPr>
          <w:rFonts w:ascii="Book Antiqua" w:hAnsi="Book Antiqua"/>
          <w:sz w:val="24"/>
          <w:szCs w:val="24"/>
          <w:lang w:val="en-US"/>
        </w:rPr>
        <w:t xml:space="preserve"> need of a reliable</w:t>
      </w:r>
      <w:r w:rsidR="00B7383A" w:rsidRPr="00C55E0B">
        <w:rPr>
          <w:rFonts w:ascii="Book Antiqua" w:hAnsi="Book Antiqua"/>
          <w:sz w:val="24"/>
          <w:szCs w:val="24"/>
          <w:lang w:val="en-US"/>
        </w:rPr>
        <w:t xml:space="preserve"> method, capable of easily diagnosing malnutrition that </w:t>
      </w:r>
      <w:r w:rsidRPr="00C55E0B">
        <w:rPr>
          <w:rFonts w:ascii="Book Antiqua" w:hAnsi="Book Antiqua"/>
          <w:sz w:val="24"/>
          <w:szCs w:val="24"/>
          <w:lang w:val="en-US"/>
        </w:rPr>
        <w:t>allow</w:t>
      </w:r>
      <w:r w:rsidR="00B7383A" w:rsidRPr="00C55E0B">
        <w:rPr>
          <w:rFonts w:ascii="Book Antiqua" w:hAnsi="Book Antiqua"/>
          <w:sz w:val="24"/>
          <w:szCs w:val="24"/>
          <w:lang w:val="en-US"/>
        </w:rPr>
        <w:t>s multiple measurements</w:t>
      </w:r>
      <w:r w:rsidR="00FC663F" w:rsidRPr="00C55E0B">
        <w:rPr>
          <w:rFonts w:ascii="Book Antiqua" w:hAnsi="Book Antiqua"/>
          <w:sz w:val="24"/>
          <w:szCs w:val="24"/>
          <w:lang w:val="en-US"/>
        </w:rPr>
        <w:t xml:space="preserve"> over time</w:t>
      </w:r>
      <w:r w:rsidR="009765D2" w:rsidRPr="00C55E0B">
        <w:rPr>
          <w:rFonts w:ascii="Book Antiqua" w:hAnsi="Book Antiqua"/>
          <w:sz w:val="24"/>
          <w:szCs w:val="24"/>
          <w:lang w:val="en-US"/>
        </w:rPr>
        <w:t xml:space="preserve"> and</w:t>
      </w:r>
      <w:r w:rsidR="00FC663F" w:rsidRPr="00C55E0B">
        <w:rPr>
          <w:rFonts w:ascii="Book Antiqua" w:hAnsi="Book Antiqua"/>
          <w:sz w:val="24"/>
          <w:szCs w:val="24"/>
          <w:lang w:val="en-US"/>
        </w:rPr>
        <w:t xml:space="preserve"> that is also </w:t>
      </w:r>
      <w:r w:rsidR="004B587A" w:rsidRPr="00C55E0B">
        <w:rPr>
          <w:rFonts w:ascii="Book Antiqua" w:hAnsi="Book Antiqua"/>
          <w:sz w:val="24"/>
          <w:szCs w:val="24"/>
          <w:lang w:val="en-US"/>
        </w:rPr>
        <w:t>related</w:t>
      </w:r>
      <w:r w:rsidR="00FC663F" w:rsidRPr="00C55E0B">
        <w:rPr>
          <w:rFonts w:ascii="Book Antiqua" w:hAnsi="Book Antiqua"/>
          <w:sz w:val="24"/>
          <w:szCs w:val="24"/>
          <w:lang w:val="en-US"/>
        </w:rPr>
        <w:t xml:space="preserve"> to prognosis. </w:t>
      </w:r>
    </w:p>
    <w:p w:rsidR="002824AA" w:rsidRPr="00C55E0B" w:rsidRDefault="002824AA" w:rsidP="00C55E0B">
      <w:pPr>
        <w:spacing w:after="0" w:line="360" w:lineRule="auto"/>
        <w:jc w:val="both"/>
        <w:rPr>
          <w:rFonts w:ascii="Book Antiqua" w:hAnsi="Book Antiqua"/>
          <w:sz w:val="24"/>
          <w:szCs w:val="24"/>
          <w:lang w:val="en-US" w:eastAsia="zh-CN"/>
        </w:rPr>
      </w:pPr>
    </w:p>
    <w:p w:rsidR="00E24C43" w:rsidRPr="00C55E0B" w:rsidRDefault="00E24C43" w:rsidP="00C55E0B">
      <w:pPr>
        <w:spacing w:after="0" w:line="360" w:lineRule="auto"/>
        <w:jc w:val="both"/>
        <w:rPr>
          <w:rFonts w:ascii="Book Antiqua" w:hAnsi="Book Antiqua"/>
          <w:b/>
          <w:bCs/>
          <w:sz w:val="24"/>
          <w:szCs w:val="24"/>
          <w:lang w:val="en-US"/>
        </w:rPr>
      </w:pPr>
      <w:r w:rsidRPr="00C55E0B">
        <w:rPr>
          <w:rFonts w:ascii="Book Antiqua" w:hAnsi="Book Antiqua"/>
          <w:b/>
          <w:bCs/>
          <w:i/>
          <w:sz w:val="24"/>
          <w:szCs w:val="24"/>
          <w:lang w:val="en-US"/>
        </w:rPr>
        <w:t>Innovations and breakthroughs</w:t>
      </w:r>
    </w:p>
    <w:p w:rsidR="00E24C43" w:rsidRPr="00C55E0B" w:rsidRDefault="00BC3CC8" w:rsidP="00C55E0B">
      <w:pPr>
        <w:spacing w:after="0" w:line="360" w:lineRule="auto"/>
        <w:jc w:val="both"/>
        <w:rPr>
          <w:rFonts w:ascii="Book Antiqua" w:hAnsi="Book Antiqua"/>
          <w:sz w:val="24"/>
          <w:szCs w:val="24"/>
          <w:lang w:val="en-US" w:eastAsia="zh-CN"/>
        </w:rPr>
      </w:pPr>
      <w:r w:rsidRPr="00C55E0B">
        <w:rPr>
          <w:rFonts w:ascii="Book Antiqua" w:hAnsi="Book Antiqua"/>
          <w:sz w:val="24"/>
          <w:szCs w:val="24"/>
          <w:lang w:val="en-US"/>
        </w:rPr>
        <w:t>In this manuscript we propose phase angle as a nutritional marker that reflects malnutri</w:t>
      </w:r>
      <w:r w:rsidR="0063573B" w:rsidRPr="00C55E0B">
        <w:rPr>
          <w:rFonts w:ascii="Book Antiqua" w:hAnsi="Book Antiqua"/>
          <w:sz w:val="24"/>
          <w:szCs w:val="24"/>
          <w:lang w:val="en-US"/>
        </w:rPr>
        <w:t xml:space="preserve">tion and specifically cachexia. </w:t>
      </w:r>
      <w:r w:rsidR="000B77E7" w:rsidRPr="00C55E0B">
        <w:rPr>
          <w:rFonts w:ascii="Book Antiqua" w:hAnsi="Book Antiqua"/>
          <w:sz w:val="24"/>
          <w:szCs w:val="24"/>
          <w:lang w:val="en-US"/>
        </w:rPr>
        <w:t>We were able to demonstrate that phase angle has the ability to predict the development of HE. Phase angle is</w:t>
      </w:r>
      <w:r w:rsidRPr="00C55E0B">
        <w:rPr>
          <w:rFonts w:ascii="Book Antiqua" w:hAnsi="Book Antiqua"/>
          <w:sz w:val="24"/>
          <w:szCs w:val="24"/>
          <w:lang w:val="en-US"/>
        </w:rPr>
        <w:t xml:space="preserve"> an easily accessible marker that is obtained from a bedside method; therefore, it is useful even in patients with high grades of HE, which is not achieved by the conventional methods of nutritional assessment. </w:t>
      </w:r>
    </w:p>
    <w:p w:rsidR="002824AA" w:rsidRPr="00C55E0B" w:rsidRDefault="002824AA" w:rsidP="00C55E0B">
      <w:pPr>
        <w:spacing w:after="0" w:line="360" w:lineRule="auto"/>
        <w:jc w:val="both"/>
        <w:rPr>
          <w:rFonts w:ascii="Book Antiqua" w:hAnsi="Book Antiqua"/>
          <w:sz w:val="24"/>
          <w:szCs w:val="24"/>
          <w:lang w:val="en-US" w:eastAsia="zh-CN"/>
        </w:rPr>
      </w:pPr>
    </w:p>
    <w:p w:rsidR="00E24C43" w:rsidRPr="00C55E0B" w:rsidRDefault="00E24C43" w:rsidP="00C55E0B">
      <w:pPr>
        <w:spacing w:after="0" w:line="360" w:lineRule="auto"/>
        <w:jc w:val="both"/>
        <w:rPr>
          <w:rFonts w:ascii="Book Antiqua" w:hAnsi="Book Antiqua"/>
          <w:b/>
          <w:bCs/>
          <w:sz w:val="24"/>
          <w:szCs w:val="24"/>
          <w:lang w:val="en-US"/>
        </w:rPr>
      </w:pPr>
      <w:r w:rsidRPr="00C55E0B">
        <w:rPr>
          <w:rFonts w:ascii="Book Antiqua" w:hAnsi="Book Antiqua"/>
          <w:b/>
          <w:bCs/>
          <w:i/>
          <w:sz w:val="24"/>
          <w:szCs w:val="24"/>
          <w:lang w:val="en-US"/>
        </w:rPr>
        <w:t>Applications</w:t>
      </w:r>
    </w:p>
    <w:p w:rsidR="00E24C43" w:rsidRPr="00C55E0B" w:rsidRDefault="00346952" w:rsidP="00C55E0B">
      <w:pPr>
        <w:spacing w:after="0" w:line="360" w:lineRule="auto"/>
        <w:jc w:val="both"/>
        <w:rPr>
          <w:rFonts w:ascii="Book Antiqua" w:hAnsi="Book Antiqua" w:cs="Arial"/>
          <w:bCs/>
          <w:sz w:val="24"/>
          <w:szCs w:val="24"/>
          <w:lang w:val="en-US" w:eastAsia="zh-CN"/>
        </w:rPr>
      </w:pPr>
      <w:r w:rsidRPr="00C55E0B">
        <w:rPr>
          <w:rFonts w:ascii="Book Antiqua" w:hAnsi="Book Antiqua" w:cs="Arial"/>
          <w:bCs/>
          <w:sz w:val="24"/>
          <w:szCs w:val="24"/>
          <w:lang w:val="en-US"/>
        </w:rPr>
        <w:lastRenderedPageBreak/>
        <w:t xml:space="preserve">Phase angle </w:t>
      </w:r>
      <w:r w:rsidR="000B77E7" w:rsidRPr="00C55E0B">
        <w:rPr>
          <w:rFonts w:ascii="Book Antiqua" w:hAnsi="Book Antiqua" w:cs="Arial"/>
          <w:bCs/>
          <w:sz w:val="24"/>
          <w:szCs w:val="24"/>
          <w:lang w:val="en-US"/>
        </w:rPr>
        <w:t xml:space="preserve">could be easily implemented both in outpatients and hospitalized patients with cirrhosis </w:t>
      </w:r>
      <w:r w:rsidRPr="00C55E0B">
        <w:rPr>
          <w:rFonts w:ascii="Book Antiqua" w:hAnsi="Book Antiqua" w:cs="Arial"/>
          <w:bCs/>
          <w:sz w:val="24"/>
          <w:szCs w:val="24"/>
          <w:lang w:val="en-US"/>
        </w:rPr>
        <w:t xml:space="preserve">given that it is derived from a portable, non-invasive method which </w:t>
      </w:r>
      <w:r w:rsidR="002E03F3" w:rsidRPr="00C55E0B">
        <w:rPr>
          <w:rFonts w:ascii="Book Antiqua" w:hAnsi="Book Antiqua" w:cs="Arial"/>
          <w:bCs/>
          <w:sz w:val="24"/>
          <w:szCs w:val="24"/>
          <w:lang w:val="en-US"/>
        </w:rPr>
        <w:t>makes it</w:t>
      </w:r>
      <w:r w:rsidRPr="00C55E0B">
        <w:rPr>
          <w:rFonts w:ascii="Book Antiqua" w:hAnsi="Book Antiqua" w:cs="Arial"/>
          <w:bCs/>
          <w:sz w:val="24"/>
          <w:szCs w:val="24"/>
          <w:lang w:val="en-US"/>
        </w:rPr>
        <w:t xml:space="preserve"> completely suita</w:t>
      </w:r>
      <w:r w:rsidR="002E03F3" w:rsidRPr="00C55E0B">
        <w:rPr>
          <w:rFonts w:ascii="Book Antiqua" w:hAnsi="Book Antiqua" w:cs="Arial"/>
          <w:bCs/>
          <w:sz w:val="24"/>
          <w:szCs w:val="24"/>
          <w:lang w:val="en-US"/>
        </w:rPr>
        <w:t xml:space="preserve">ble for daily clinical practice; </w:t>
      </w:r>
      <w:r w:rsidRPr="00C55E0B">
        <w:rPr>
          <w:rFonts w:ascii="Book Antiqua" w:hAnsi="Book Antiqua" w:cs="Arial"/>
          <w:bCs/>
          <w:sz w:val="24"/>
          <w:szCs w:val="24"/>
          <w:lang w:val="en-US"/>
        </w:rPr>
        <w:t>it can be performed safely as often as needed with a very low cost compared to other accurate methods</w:t>
      </w:r>
      <w:r w:rsidR="00AB05D8" w:rsidRPr="00C55E0B">
        <w:rPr>
          <w:rFonts w:ascii="Book Antiqua" w:hAnsi="Book Antiqua" w:cs="Arial"/>
          <w:bCs/>
          <w:sz w:val="24"/>
          <w:szCs w:val="24"/>
          <w:lang w:val="en-US"/>
        </w:rPr>
        <w:t xml:space="preserve"> such as CT-</w:t>
      </w:r>
      <w:r w:rsidRPr="00C55E0B">
        <w:rPr>
          <w:rFonts w:ascii="Book Antiqua" w:hAnsi="Book Antiqua" w:cs="Arial"/>
          <w:bCs/>
          <w:sz w:val="24"/>
          <w:szCs w:val="24"/>
          <w:lang w:val="en-US"/>
        </w:rPr>
        <w:t xml:space="preserve">scan. </w:t>
      </w:r>
      <w:r w:rsidR="00AB05D8" w:rsidRPr="00C55E0B">
        <w:rPr>
          <w:rFonts w:ascii="Book Antiqua" w:hAnsi="Book Antiqua" w:cs="Arial"/>
          <w:bCs/>
          <w:sz w:val="24"/>
          <w:szCs w:val="24"/>
          <w:lang w:val="en-US"/>
        </w:rPr>
        <w:t xml:space="preserve">And finally this marker could be part of the medical and nutritional follow-up helping to evaluate the effect of any dietary or nutritional interventions. </w:t>
      </w:r>
    </w:p>
    <w:p w:rsidR="002824AA" w:rsidRPr="00C55E0B" w:rsidRDefault="002824AA" w:rsidP="00C55E0B">
      <w:pPr>
        <w:spacing w:after="0" w:line="360" w:lineRule="auto"/>
        <w:jc w:val="both"/>
        <w:rPr>
          <w:rFonts w:ascii="Book Antiqua" w:hAnsi="Book Antiqua" w:cs="Arial"/>
          <w:bCs/>
          <w:sz w:val="24"/>
          <w:szCs w:val="24"/>
          <w:lang w:val="en-US" w:eastAsia="zh-CN"/>
        </w:rPr>
      </w:pPr>
    </w:p>
    <w:p w:rsidR="00E24C43" w:rsidRPr="00C55E0B" w:rsidRDefault="00E24C43" w:rsidP="00C55E0B">
      <w:pPr>
        <w:spacing w:after="0" w:line="360" w:lineRule="auto"/>
        <w:jc w:val="both"/>
        <w:rPr>
          <w:rFonts w:ascii="Book Antiqua" w:hAnsi="Book Antiqua" w:cs="Arial"/>
          <w:b/>
          <w:bCs/>
          <w:sz w:val="24"/>
          <w:szCs w:val="24"/>
          <w:lang w:val="en-US"/>
        </w:rPr>
      </w:pPr>
      <w:r w:rsidRPr="00C55E0B">
        <w:rPr>
          <w:rFonts w:ascii="Book Antiqua" w:hAnsi="Book Antiqua" w:cs="Arial"/>
          <w:b/>
          <w:bCs/>
          <w:i/>
          <w:sz w:val="24"/>
          <w:szCs w:val="24"/>
          <w:lang w:val="en-US"/>
        </w:rPr>
        <w:t>Terminology</w:t>
      </w:r>
    </w:p>
    <w:p w:rsidR="002E03F3" w:rsidRPr="00C55E0B" w:rsidRDefault="00D31EE6" w:rsidP="00C55E0B">
      <w:pPr>
        <w:spacing w:after="0" w:line="360" w:lineRule="auto"/>
        <w:jc w:val="both"/>
        <w:rPr>
          <w:rFonts w:ascii="Book Antiqua" w:hAnsi="Book Antiqua" w:cs="Arial"/>
          <w:sz w:val="24"/>
          <w:szCs w:val="24"/>
          <w:lang w:val="en-US" w:eastAsia="zh-CN"/>
        </w:rPr>
      </w:pPr>
      <w:bookmarkStart w:id="54" w:name="OLE_LINK13"/>
      <w:bookmarkStart w:id="55" w:name="OLE_LINK323"/>
      <w:bookmarkStart w:id="56" w:name="OLE_LINK349"/>
      <w:bookmarkStart w:id="57" w:name="OLE_LINK377"/>
      <w:bookmarkStart w:id="58" w:name="OLE_LINK386"/>
      <w:bookmarkStart w:id="59" w:name="OLE_LINK400"/>
      <w:bookmarkStart w:id="60" w:name="OLE_LINK416"/>
      <w:bookmarkStart w:id="61" w:name="OLE_LINK512"/>
      <w:bookmarkStart w:id="62" w:name="OLE_LINK524"/>
      <w:bookmarkStart w:id="63" w:name="OLE_LINK525"/>
      <w:r w:rsidRPr="00C55E0B">
        <w:rPr>
          <w:rFonts w:ascii="Book Antiqua" w:hAnsi="Book Antiqua" w:cs="Arial"/>
          <w:sz w:val="24"/>
          <w:szCs w:val="24"/>
          <w:lang w:val="en-US"/>
        </w:rPr>
        <w:t xml:space="preserve">In physical science, </w:t>
      </w:r>
      <w:r w:rsidR="002E03F3" w:rsidRPr="00C55E0B">
        <w:rPr>
          <w:rFonts w:ascii="Book Antiqua" w:hAnsi="Book Antiqua" w:cs="Arial"/>
          <w:sz w:val="24"/>
          <w:szCs w:val="24"/>
          <w:lang w:val="en-US"/>
        </w:rPr>
        <w:t xml:space="preserve">phase angle is defined as the arc tangent of the reactance and resistance obtained with bioelectrical impedance. In </w:t>
      </w:r>
      <w:r w:rsidR="003B0E96" w:rsidRPr="00C55E0B">
        <w:rPr>
          <w:rFonts w:ascii="Book Antiqua" w:hAnsi="Book Antiqua" w:cs="Arial"/>
          <w:sz w:val="24"/>
          <w:szCs w:val="24"/>
          <w:lang w:val="en-US"/>
        </w:rPr>
        <w:t>clinical terms, phase angle is a nutritional prognostic marker that is related to the integrity of cell membranes and t</w:t>
      </w:r>
      <w:r w:rsidR="002824AA" w:rsidRPr="00C55E0B">
        <w:rPr>
          <w:rFonts w:ascii="Book Antiqua" w:hAnsi="Book Antiqua" w:cs="Arial"/>
          <w:sz w:val="24"/>
          <w:szCs w:val="24"/>
          <w:lang w:val="en-US"/>
        </w:rPr>
        <w:t>issue quality.</w:t>
      </w:r>
      <w:r w:rsidR="002824AA" w:rsidRPr="00C55E0B">
        <w:rPr>
          <w:rFonts w:ascii="Book Antiqua" w:hAnsi="Book Antiqua" w:cs="Arial"/>
          <w:sz w:val="24"/>
          <w:szCs w:val="24"/>
          <w:lang w:val="en-US" w:eastAsia="zh-CN"/>
        </w:rPr>
        <w:t xml:space="preserve"> </w:t>
      </w:r>
      <w:r w:rsidR="003B0E96" w:rsidRPr="00C55E0B">
        <w:rPr>
          <w:rFonts w:ascii="Book Antiqua" w:hAnsi="Book Antiqua" w:cs="Arial"/>
          <w:sz w:val="24"/>
          <w:szCs w:val="24"/>
          <w:lang w:val="en-US"/>
        </w:rPr>
        <w:t xml:space="preserve">Cachexia can be defined as loss of muscle and fat mass, accompanied by a </w:t>
      </w:r>
      <w:r w:rsidR="000A3CF5" w:rsidRPr="00C55E0B">
        <w:rPr>
          <w:rFonts w:ascii="Book Antiqua" w:hAnsi="Book Antiqua" w:cs="Arial"/>
          <w:sz w:val="24"/>
          <w:szCs w:val="24"/>
          <w:lang w:val="en-US"/>
        </w:rPr>
        <w:t>pro-</w:t>
      </w:r>
      <w:r w:rsidR="003B0E96" w:rsidRPr="00C55E0B">
        <w:rPr>
          <w:rFonts w:ascii="Book Antiqua" w:hAnsi="Book Antiqua" w:cs="Arial"/>
          <w:sz w:val="24"/>
          <w:szCs w:val="24"/>
          <w:lang w:val="en-US"/>
        </w:rPr>
        <w:t>inflammatory component</w:t>
      </w:r>
      <w:r w:rsidR="00B67008" w:rsidRPr="00C55E0B">
        <w:rPr>
          <w:rFonts w:ascii="Book Antiqua" w:hAnsi="Book Antiqua" w:cs="Arial"/>
          <w:sz w:val="24"/>
          <w:szCs w:val="24"/>
          <w:lang w:val="en-US"/>
        </w:rPr>
        <w:t xml:space="preserve"> present in chronic diseases.</w:t>
      </w:r>
    </w:p>
    <w:p w:rsidR="002824AA" w:rsidRPr="00C55E0B" w:rsidRDefault="002824AA" w:rsidP="00C55E0B">
      <w:pPr>
        <w:spacing w:after="0" w:line="360" w:lineRule="auto"/>
        <w:jc w:val="both"/>
        <w:rPr>
          <w:rFonts w:ascii="Book Antiqua" w:hAnsi="Book Antiqua" w:cs="Arial"/>
          <w:sz w:val="24"/>
          <w:szCs w:val="24"/>
          <w:lang w:val="en-US" w:eastAsia="zh-CN"/>
        </w:rPr>
      </w:pPr>
    </w:p>
    <w:p w:rsidR="00E24C43" w:rsidRPr="00C55E0B" w:rsidRDefault="00E24C43" w:rsidP="00C55E0B">
      <w:pPr>
        <w:spacing w:after="0" w:line="360" w:lineRule="auto"/>
        <w:jc w:val="both"/>
        <w:rPr>
          <w:rFonts w:ascii="Book Antiqua" w:hAnsi="Book Antiqua"/>
          <w:b/>
          <w:i/>
          <w:sz w:val="24"/>
          <w:szCs w:val="24"/>
          <w:lang w:val="en-US"/>
        </w:rPr>
      </w:pPr>
      <w:bookmarkStart w:id="64" w:name="OLE_LINK598"/>
      <w:bookmarkStart w:id="65" w:name="OLE_LINK599"/>
      <w:r w:rsidRPr="00C55E0B">
        <w:rPr>
          <w:rFonts w:ascii="Book Antiqua" w:hAnsi="Book Antiqua"/>
          <w:b/>
          <w:i/>
          <w:sz w:val="24"/>
          <w:szCs w:val="24"/>
          <w:lang w:val="en-US"/>
        </w:rPr>
        <w:t>Peer-review</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6575A1" w:rsidRPr="00C55E0B" w:rsidRDefault="00BC3CC8" w:rsidP="00C55E0B">
      <w:pPr>
        <w:spacing w:after="0" w:line="360" w:lineRule="auto"/>
        <w:jc w:val="both"/>
        <w:rPr>
          <w:rFonts w:ascii="Book Antiqua" w:hAnsi="Book Antiqua" w:cs="Arial"/>
          <w:color w:val="000000"/>
          <w:sz w:val="24"/>
          <w:szCs w:val="24"/>
          <w:lang w:val="en-US"/>
        </w:rPr>
      </w:pPr>
      <w:r w:rsidRPr="00C55E0B">
        <w:rPr>
          <w:rFonts w:ascii="Book Antiqua" w:hAnsi="Book Antiqua" w:cs="Arial"/>
          <w:color w:val="000000"/>
          <w:sz w:val="24"/>
          <w:szCs w:val="24"/>
          <w:lang w:val="en-US"/>
        </w:rPr>
        <w:t>This manuscript addresses a clearly defined and relevant issue in the field of Gastroenterology, the process of malnutrition in general, and cachexia in particular</w:t>
      </w:r>
      <w:r w:rsidR="003B0E96" w:rsidRPr="00C55E0B">
        <w:rPr>
          <w:rFonts w:ascii="Book Antiqua" w:hAnsi="Book Antiqua" w:cs="Arial"/>
          <w:color w:val="000000"/>
          <w:sz w:val="24"/>
          <w:szCs w:val="24"/>
          <w:lang w:val="en-US"/>
        </w:rPr>
        <w:t xml:space="preserve"> and its association with hepatic encephalopathy. </w:t>
      </w:r>
      <w:r w:rsidRPr="00C55E0B">
        <w:rPr>
          <w:rFonts w:ascii="Book Antiqua" w:hAnsi="Book Antiqua" w:cs="Arial"/>
          <w:color w:val="000000"/>
          <w:sz w:val="24"/>
          <w:szCs w:val="24"/>
          <w:lang w:val="en-US"/>
        </w:rPr>
        <w:t>The focus is on the reliability of phase angle data directly g</w:t>
      </w:r>
      <w:r w:rsidR="003B0E96" w:rsidRPr="00C55E0B">
        <w:rPr>
          <w:rFonts w:ascii="Book Antiqua" w:hAnsi="Book Antiqua" w:cs="Arial"/>
          <w:color w:val="000000"/>
          <w:sz w:val="24"/>
          <w:szCs w:val="24"/>
          <w:lang w:val="en-US"/>
        </w:rPr>
        <w:t xml:space="preserve">enerated through a noninvasive, </w:t>
      </w:r>
      <w:r w:rsidRPr="00C55E0B">
        <w:rPr>
          <w:rFonts w:ascii="Book Antiqua" w:hAnsi="Book Antiqua" w:cs="Arial"/>
          <w:color w:val="000000"/>
          <w:sz w:val="24"/>
          <w:szCs w:val="24"/>
          <w:lang w:val="en-US"/>
        </w:rPr>
        <w:t>cost-effective, reproducible method being able to predict successfully the development of HE which is an improvement over the current situation in managing these patients.</w:t>
      </w:r>
    </w:p>
    <w:p w:rsidR="00BC3CC8" w:rsidRPr="00C55E0B" w:rsidRDefault="00BC3CC8" w:rsidP="00C55E0B">
      <w:pPr>
        <w:spacing w:after="0" w:line="360" w:lineRule="auto"/>
        <w:jc w:val="both"/>
        <w:rPr>
          <w:rFonts w:ascii="Book Antiqua" w:hAnsi="Book Antiqua" w:cs="Arial"/>
          <w:b/>
          <w:sz w:val="24"/>
          <w:szCs w:val="24"/>
          <w:lang w:val="en-US"/>
        </w:rPr>
      </w:pPr>
    </w:p>
    <w:p w:rsidR="002824AA" w:rsidRPr="00C55E0B" w:rsidRDefault="002824AA" w:rsidP="00C55E0B">
      <w:pPr>
        <w:spacing w:after="0" w:line="259" w:lineRule="auto"/>
        <w:rPr>
          <w:rFonts w:ascii="Book Antiqua" w:hAnsi="Book Antiqua" w:cs="Arial"/>
          <w:b/>
          <w:sz w:val="24"/>
          <w:szCs w:val="24"/>
          <w:lang w:val="en-US"/>
        </w:rPr>
      </w:pPr>
      <w:r w:rsidRPr="00C55E0B">
        <w:rPr>
          <w:rFonts w:ascii="Book Antiqua" w:hAnsi="Book Antiqua" w:cs="Arial"/>
          <w:b/>
          <w:sz w:val="24"/>
          <w:szCs w:val="24"/>
          <w:lang w:val="en-US"/>
        </w:rPr>
        <w:br w:type="page"/>
      </w:r>
    </w:p>
    <w:p w:rsidR="00AE6E73" w:rsidRPr="00C55E0B" w:rsidRDefault="00E24C43" w:rsidP="00C55E0B">
      <w:pPr>
        <w:autoSpaceDE w:val="0"/>
        <w:autoSpaceDN w:val="0"/>
        <w:adjustRightInd w:val="0"/>
        <w:snapToGrid w:val="0"/>
        <w:spacing w:after="0" w:line="360" w:lineRule="auto"/>
        <w:jc w:val="both"/>
        <w:rPr>
          <w:rFonts w:ascii="Book Antiqua" w:hAnsi="Book Antiqua" w:cs="Arial"/>
          <w:sz w:val="24"/>
          <w:szCs w:val="24"/>
          <w:lang w:val="en-US" w:eastAsia="zh-CN"/>
        </w:rPr>
      </w:pPr>
      <w:r w:rsidRPr="00C55E0B">
        <w:rPr>
          <w:rFonts w:ascii="Book Antiqua" w:hAnsi="Book Antiqua" w:cs="Arial"/>
          <w:b/>
          <w:sz w:val="24"/>
          <w:szCs w:val="24"/>
          <w:lang w:val="en-US"/>
        </w:rPr>
        <w:lastRenderedPageBreak/>
        <w:t>REFERENCES</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w:t>
      </w:r>
      <w:r w:rsidRPr="00C55E0B">
        <w:rPr>
          <w:rFonts w:ascii="Book Antiqua" w:eastAsia="SimSun" w:hAnsi="Book Antiqua" w:cs="SimSun"/>
          <w:sz w:val="24"/>
          <w:szCs w:val="24"/>
        </w:rPr>
        <w:t> </w:t>
      </w:r>
      <w:r w:rsidRPr="00B90D32">
        <w:rPr>
          <w:rFonts w:ascii="Book Antiqua" w:eastAsia="SimSun" w:hAnsi="Book Antiqua" w:cs="SimSun"/>
          <w:b/>
          <w:bCs/>
          <w:sz w:val="24"/>
          <w:szCs w:val="24"/>
        </w:rPr>
        <w:t>Córdoba J</w:t>
      </w:r>
      <w:r w:rsidRPr="00B90D32">
        <w:rPr>
          <w:rFonts w:ascii="Book Antiqua" w:eastAsia="SimSun" w:hAnsi="Book Antiqua" w:cs="SimSun"/>
          <w:sz w:val="24"/>
          <w:szCs w:val="24"/>
        </w:rPr>
        <w:t>. New assessment of hepatic encephalopathy.</w:t>
      </w:r>
      <w:r w:rsidRPr="00C55E0B">
        <w:rPr>
          <w:rFonts w:ascii="Book Antiqua" w:eastAsia="SimSun" w:hAnsi="Book Antiqua" w:cs="SimSun"/>
          <w:sz w:val="24"/>
          <w:szCs w:val="24"/>
        </w:rPr>
        <w:t> </w:t>
      </w:r>
      <w:r w:rsidRPr="00B90D32">
        <w:rPr>
          <w:rFonts w:ascii="Book Antiqua" w:eastAsia="SimSun" w:hAnsi="Book Antiqua" w:cs="SimSun"/>
          <w:i/>
          <w:iCs/>
          <w:sz w:val="24"/>
          <w:szCs w:val="24"/>
        </w:rPr>
        <w:t>J Hepatol</w:t>
      </w:r>
      <w:r w:rsidRPr="00C55E0B">
        <w:rPr>
          <w:rFonts w:ascii="Book Antiqua" w:eastAsia="SimSun" w:hAnsi="Book Antiqua" w:cs="SimSun"/>
          <w:sz w:val="24"/>
          <w:szCs w:val="24"/>
        </w:rPr>
        <w:t> </w:t>
      </w:r>
      <w:r w:rsidRPr="00B90D32">
        <w:rPr>
          <w:rFonts w:ascii="Book Antiqua" w:eastAsia="SimSun" w:hAnsi="Book Antiqua" w:cs="SimSun"/>
          <w:sz w:val="24"/>
          <w:szCs w:val="24"/>
        </w:rPr>
        <w:t>2011;</w:t>
      </w:r>
      <w:r w:rsidRPr="00C55E0B">
        <w:rPr>
          <w:rFonts w:ascii="Book Antiqua" w:eastAsia="SimSun" w:hAnsi="Book Antiqua" w:cs="SimSun"/>
          <w:sz w:val="24"/>
          <w:szCs w:val="24"/>
        </w:rPr>
        <w:t> </w:t>
      </w:r>
      <w:r w:rsidRPr="00B90D32">
        <w:rPr>
          <w:rFonts w:ascii="Book Antiqua" w:eastAsia="SimSun" w:hAnsi="Book Antiqua" w:cs="SimSun"/>
          <w:b/>
          <w:bCs/>
          <w:sz w:val="24"/>
          <w:szCs w:val="24"/>
        </w:rPr>
        <w:t>54</w:t>
      </w:r>
      <w:r w:rsidRPr="00B90D32">
        <w:rPr>
          <w:rFonts w:ascii="Book Antiqua" w:eastAsia="SimSun" w:hAnsi="Book Antiqua" w:cs="SimSun"/>
          <w:sz w:val="24"/>
          <w:szCs w:val="24"/>
        </w:rPr>
        <w:t>: 1030-1040 [PMID: 21145874 DOI: 10.1016/j.jhep.2010.11.015</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w:t>
      </w:r>
      <w:r w:rsidRPr="00C55E0B">
        <w:rPr>
          <w:rFonts w:ascii="Book Antiqua" w:eastAsia="SimSun" w:hAnsi="Book Antiqua" w:cs="SimSun"/>
          <w:sz w:val="24"/>
          <w:szCs w:val="24"/>
        </w:rPr>
        <w:t> </w:t>
      </w:r>
      <w:r w:rsidRPr="00B90D32">
        <w:rPr>
          <w:rFonts w:ascii="Book Antiqua" w:eastAsia="SimSun" w:hAnsi="Book Antiqua" w:cs="SimSun"/>
          <w:b/>
          <w:bCs/>
          <w:sz w:val="24"/>
          <w:szCs w:val="24"/>
        </w:rPr>
        <w:t>Romero-Gómez M</w:t>
      </w:r>
      <w:r w:rsidRPr="00B90D32">
        <w:rPr>
          <w:rFonts w:ascii="Book Antiqua" w:eastAsia="SimSun" w:hAnsi="Book Antiqua" w:cs="SimSun"/>
          <w:sz w:val="24"/>
          <w:szCs w:val="24"/>
        </w:rPr>
        <w:t>, Montagnese S, Jalan R. Hepatic encephalopathy in patients with acute decompensation of cirrhosis and acute-on-chronic liver failure.</w:t>
      </w:r>
      <w:r w:rsidRPr="00C55E0B">
        <w:rPr>
          <w:rFonts w:ascii="Book Antiqua" w:eastAsia="SimSun" w:hAnsi="Book Antiqua" w:cs="SimSun"/>
          <w:sz w:val="24"/>
          <w:szCs w:val="24"/>
        </w:rPr>
        <w:t> </w:t>
      </w:r>
      <w:r w:rsidRPr="00B90D32">
        <w:rPr>
          <w:rFonts w:ascii="Book Antiqua" w:eastAsia="SimSun" w:hAnsi="Book Antiqua" w:cs="SimSun"/>
          <w:i/>
          <w:iCs/>
          <w:sz w:val="24"/>
          <w:szCs w:val="24"/>
        </w:rPr>
        <w:t>J Hepatol</w:t>
      </w:r>
      <w:r w:rsidRPr="00C55E0B">
        <w:rPr>
          <w:rFonts w:ascii="Book Antiqua" w:eastAsia="SimSun" w:hAnsi="Book Antiqua" w:cs="SimSun"/>
          <w:sz w:val="24"/>
          <w:szCs w:val="24"/>
        </w:rPr>
        <w:t> </w:t>
      </w:r>
      <w:r w:rsidRPr="00B90D32">
        <w:rPr>
          <w:rFonts w:ascii="Book Antiqua" w:eastAsia="SimSun" w:hAnsi="Book Antiqua" w:cs="SimSun"/>
          <w:sz w:val="24"/>
          <w:szCs w:val="24"/>
        </w:rPr>
        <w:t>2015;</w:t>
      </w:r>
      <w:r w:rsidRPr="00C55E0B">
        <w:rPr>
          <w:rFonts w:ascii="Book Antiqua" w:eastAsia="SimSun" w:hAnsi="Book Antiqua" w:cs="SimSun"/>
          <w:sz w:val="24"/>
          <w:szCs w:val="24"/>
        </w:rPr>
        <w:t> </w:t>
      </w:r>
      <w:r w:rsidRPr="00B90D32">
        <w:rPr>
          <w:rFonts w:ascii="Book Antiqua" w:eastAsia="SimSun" w:hAnsi="Book Antiqua" w:cs="SimSun"/>
          <w:b/>
          <w:bCs/>
          <w:sz w:val="24"/>
          <w:szCs w:val="24"/>
        </w:rPr>
        <w:t>62</w:t>
      </w:r>
      <w:r w:rsidRPr="00B90D32">
        <w:rPr>
          <w:rFonts w:ascii="Book Antiqua" w:eastAsia="SimSun" w:hAnsi="Book Antiqua" w:cs="SimSun"/>
          <w:sz w:val="24"/>
          <w:szCs w:val="24"/>
        </w:rPr>
        <w:t>: 437-447 [PMID: 25218789 DOI: 10.1016/j.jhep.2014.09.005</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3</w:t>
      </w:r>
      <w:r w:rsidRPr="00C55E0B">
        <w:rPr>
          <w:rFonts w:ascii="Book Antiqua" w:eastAsia="SimSun" w:hAnsi="Book Antiqua" w:cs="SimSun"/>
          <w:sz w:val="24"/>
          <w:szCs w:val="24"/>
        </w:rPr>
        <w:t> </w:t>
      </w:r>
      <w:r w:rsidRPr="00B90D32">
        <w:rPr>
          <w:rFonts w:ascii="Book Antiqua" w:eastAsia="SimSun" w:hAnsi="Book Antiqua" w:cs="SimSun"/>
          <w:b/>
          <w:bCs/>
          <w:sz w:val="24"/>
          <w:szCs w:val="24"/>
        </w:rPr>
        <w:t>Macías-Rodríguez RU</w:t>
      </w:r>
      <w:r w:rsidRPr="00B90D32">
        <w:rPr>
          <w:rFonts w:ascii="Book Antiqua" w:eastAsia="SimSun" w:hAnsi="Book Antiqua" w:cs="SimSun"/>
          <w:sz w:val="24"/>
          <w:szCs w:val="24"/>
        </w:rPr>
        <w:t>, Duarte-Rojo A, Cantú-Brito C, Sauerbruch T, Ruiz-Margáin A, Trebicka J, Green-Gómez M, Díaz Ramírez JB, Sierra Beltrán M, Uribe-Esquivel M, Torre A. Cerebral haemodynamics in cirrhotic patients with hepatic encephalopathy.</w:t>
      </w:r>
      <w:r w:rsidRPr="00C55E0B">
        <w:rPr>
          <w:rFonts w:ascii="Book Antiqua" w:eastAsia="SimSun" w:hAnsi="Book Antiqua" w:cs="SimSun"/>
          <w:sz w:val="24"/>
          <w:szCs w:val="24"/>
        </w:rPr>
        <w:t> </w:t>
      </w:r>
      <w:r w:rsidRPr="00B90D32">
        <w:rPr>
          <w:rFonts w:ascii="Book Antiqua" w:eastAsia="SimSun" w:hAnsi="Book Antiqua" w:cs="SimSun"/>
          <w:i/>
          <w:iCs/>
          <w:sz w:val="24"/>
          <w:szCs w:val="24"/>
        </w:rPr>
        <w:t>Liver Int</w:t>
      </w:r>
      <w:r w:rsidRPr="00C55E0B">
        <w:rPr>
          <w:rFonts w:ascii="Book Antiqua" w:eastAsia="SimSun" w:hAnsi="Book Antiqua" w:cs="SimSun"/>
          <w:sz w:val="24"/>
          <w:szCs w:val="24"/>
        </w:rPr>
        <w:t> </w:t>
      </w:r>
      <w:r w:rsidRPr="00B90D32">
        <w:rPr>
          <w:rFonts w:ascii="Book Antiqua" w:eastAsia="SimSun" w:hAnsi="Book Antiqua" w:cs="SimSun"/>
          <w:sz w:val="24"/>
          <w:szCs w:val="24"/>
        </w:rPr>
        <w:t>2015;</w:t>
      </w:r>
      <w:r w:rsidRPr="00C55E0B">
        <w:rPr>
          <w:rFonts w:ascii="Book Antiqua" w:eastAsia="SimSun" w:hAnsi="Book Antiqua" w:cs="SimSun"/>
          <w:sz w:val="24"/>
          <w:szCs w:val="24"/>
        </w:rPr>
        <w:t> </w:t>
      </w:r>
      <w:r w:rsidRPr="00B90D32">
        <w:rPr>
          <w:rFonts w:ascii="Book Antiqua" w:eastAsia="SimSun" w:hAnsi="Book Antiqua" w:cs="SimSun"/>
          <w:b/>
          <w:bCs/>
          <w:sz w:val="24"/>
          <w:szCs w:val="24"/>
        </w:rPr>
        <w:t>35</w:t>
      </w:r>
      <w:r w:rsidRPr="00B90D32">
        <w:rPr>
          <w:rFonts w:ascii="Book Antiqua" w:eastAsia="SimSun" w:hAnsi="Book Antiqua" w:cs="SimSun"/>
          <w:sz w:val="24"/>
          <w:szCs w:val="24"/>
        </w:rPr>
        <w:t>: 344-352 [PMID: 24690075 DOI: 10.1111/liv.12557</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4</w:t>
      </w:r>
      <w:r w:rsidRPr="00C55E0B">
        <w:rPr>
          <w:rFonts w:ascii="Book Antiqua" w:eastAsia="SimSun" w:hAnsi="Book Antiqua" w:cs="SimSun"/>
          <w:sz w:val="24"/>
          <w:szCs w:val="24"/>
        </w:rPr>
        <w:t> </w:t>
      </w:r>
      <w:r w:rsidRPr="00B90D32">
        <w:rPr>
          <w:rFonts w:ascii="Book Antiqua" w:eastAsia="SimSun" w:hAnsi="Book Antiqua" w:cs="SimSun"/>
          <w:b/>
          <w:bCs/>
          <w:sz w:val="24"/>
          <w:szCs w:val="24"/>
        </w:rPr>
        <w:t>Rolland Y</w:t>
      </w:r>
      <w:r w:rsidRPr="00B90D32">
        <w:rPr>
          <w:rFonts w:ascii="Book Antiqua" w:eastAsia="SimSun" w:hAnsi="Book Antiqua" w:cs="SimSun"/>
          <w:sz w:val="24"/>
          <w:szCs w:val="24"/>
        </w:rPr>
        <w:t>, Abellan van Kan G, Gillette-Guyonnet S, Vellas B. Cachexia versus sarcopenia.</w:t>
      </w:r>
      <w:r w:rsidRPr="00C55E0B">
        <w:rPr>
          <w:rFonts w:ascii="Book Antiqua" w:eastAsia="SimSun" w:hAnsi="Book Antiqua" w:cs="SimSun"/>
          <w:sz w:val="24"/>
          <w:szCs w:val="24"/>
        </w:rPr>
        <w:t> </w:t>
      </w:r>
      <w:r w:rsidRPr="00B90D32">
        <w:rPr>
          <w:rFonts w:ascii="Book Antiqua" w:eastAsia="SimSun" w:hAnsi="Book Antiqua" w:cs="SimSun"/>
          <w:i/>
          <w:iCs/>
          <w:sz w:val="24"/>
          <w:szCs w:val="24"/>
        </w:rPr>
        <w:t>Curr Opin Clin Nutr Metab Care</w:t>
      </w:r>
      <w:r w:rsidRPr="00C55E0B">
        <w:rPr>
          <w:rFonts w:ascii="Book Antiqua" w:eastAsia="SimSun" w:hAnsi="Book Antiqua" w:cs="SimSun"/>
          <w:sz w:val="24"/>
          <w:szCs w:val="24"/>
        </w:rPr>
        <w:t> </w:t>
      </w:r>
      <w:r w:rsidRPr="00B90D32">
        <w:rPr>
          <w:rFonts w:ascii="Book Antiqua" w:eastAsia="SimSun" w:hAnsi="Book Antiqua" w:cs="SimSun"/>
          <w:sz w:val="24"/>
          <w:szCs w:val="24"/>
        </w:rPr>
        <w:t>2011;</w:t>
      </w:r>
      <w:r w:rsidRPr="00C55E0B">
        <w:rPr>
          <w:rFonts w:ascii="Book Antiqua" w:eastAsia="SimSun" w:hAnsi="Book Antiqua" w:cs="SimSun"/>
          <w:sz w:val="24"/>
          <w:szCs w:val="24"/>
        </w:rPr>
        <w:t> </w:t>
      </w:r>
      <w:r w:rsidRPr="00B90D32">
        <w:rPr>
          <w:rFonts w:ascii="Book Antiqua" w:eastAsia="SimSun" w:hAnsi="Book Antiqua" w:cs="SimSun"/>
          <w:b/>
          <w:bCs/>
          <w:sz w:val="24"/>
          <w:szCs w:val="24"/>
        </w:rPr>
        <w:t>14</w:t>
      </w:r>
      <w:r w:rsidRPr="00B90D32">
        <w:rPr>
          <w:rFonts w:ascii="Book Antiqua" w:eastAsia="SimSun" w:hAnsi="Book Antiqua" w:cs="SimSun"/>
          <w:sz w:val="24"/>
          <w:szCs w:val="24"/>
        </w:rPr>
        <w:t>: 15-21 [PMID: 21076295 DOI: 10.1097/MCO.0b013e328340c2c2</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5</w:t>
      </w:r>
      <w:r w:rsidRPr="00C55E0B">
        <w:rPr>
          <w:rFonts w:ascii="Book Antiqua" w:eastAsia="SimSun" w:hAnsi="Book Antiqua" w:cs="SimSun"/>
          <w:sz w:val="24"/>
          <w:szCs w:val="24"/>
        </w:rPr>
        <w:t> </w:t>
      </w:r>
      <w:r w:rsidRPr="00B90D32">
        <w:rPr>
          <w:rFonts w:ascii="Book Antiqua" w:eastAsia="SimSun" w:hAnsi="Book Antiqua" w:cs="SimSun"/>
          <w:b/>
          <w:bCs/>
          <w:sz w:val="24"/>
          <w:szCs w:val="24"/>
        </w:rPr>
        <w:t>Görg B</w:t>
      </w:r>
      <w:r w:rsidRPr="00B90D32">
        <w:rPr>
          <w:rFonts w:ascii="Book Antiqua" w:eastAsia="SimSun" w:hAnsi="Book Antiqua" w:cs="SimSun"/>
          <w:sz w:val="24"/>
          <w:szCs w:val="24"/>
        </w:rPr>
        <w:t>, Qvartskhava N, Bidmon HJ, Palomero-Gallagher N, Kircheis G, Zilles K, Häussinger D. Oxidative stress markers in the brain of patients with cirrhosis and hepatic encephalopathy.</w:t>
      </w:r>
      <w:r w:rsidRPr="00C55E0B">
        <w:rPr>
          <w:rFonts w:ascii="Book Antiqua" w:eastAsia="SimSun" w:hAnsi="Book Antiqua" w:cs="SimSun"/>
          <w:sz w:val="24"/>
          <w:szCs w:val="24"/>
        </w:rPr>
        <w:t> </w:t>
      </w:r>
      <w:r w:rsidRPr="00B90D32">
        <w:rPr>
          <w:rFonts w:ascii="Book Antiqua" w:eastAsia="SimSun" w:hAnsi="Book Antiqua" w:cs="SimSun"/>
          <w:i/>
          <w:iCs/>
          <w:sz w:val="24"/>
          <w:szCs w:val="24"/>
        </w:rPr>
        <w:t>Hepatology</w:t>
      </w:r>
      <w:r w:rsidRPr="00C55E0B">
        <w:rPr>
          <w:rFonts w:ascii="Book Antiqua" w:eastAsia="SimSun" w:hAnsi="Book Antiqua" w:cs="SimSun"/>
          <w:sz w:val="24"/>
          <w:szCs w:val="24"/>
        </w:rPr>
        <w:t> </w:t>
      </w:r>
      <w:r w:rsidRPr="00B90D32">
        <w:rPr>
          <w:rFonts w:ascii="Book Antiqua" w:eastAsia="SimSun" w:hAnsi="Book Antiqua" w:cs="SimSun"/>
          <w:sz w:val="24"/>
          <w:szCs w:val="24"/>
        </w:rPr>
        <w:t>2010;</w:t>
      </w:r>
      <w:r w:rsidRPr="00C55E0B">
        <w:rPr>
          <w:rFonts w:ascii="Book Antiqua" w:eastAsia="SimSun" w:hAnsi="Book Antiqua" w:cs="SimSun"/>
          <w:sz w:val="24"/>
          <w:szCs w:val="24"/>
        </w:rPr>
        <w:t> </w:t>
      </w:r>
      <w:r w:rsidRPr="00B90D32">
        <w:rPr>
          <w:rFonts w:ascii="Book Antiqua" w:eastAsia="SimSun" w:hAnsi="Book Antiqua" w:cs="SimSun"/>
          <w:b/>
          <w:bCs/>
          <w:sz w:val="24"/>
          <w:szCs w:val="24"/>
        </w:rPr>
        <w:t>52</w:t>
      </w:r>
      <w:r w:rsidRPr="00B90D32">
        <w:rPr>
          <w:rFonts w:ascii="Book Antiqua" w:eastAsia="SimSun" w:hAnsi="Book Antiqua" w:cs="SimSun"/>
          <w:sz w:val="24"/>
          <w:szCs w:val="24"/>
        </w:rPr>
        <w:t>: 256-265 [PMID: 20583283 DOI: 10.1002/hep.23656]</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6</w:t>
      </w:r>
      <w:r w:rsidRPr="00C55E0B">
        <w:rPr>
          <w:rFonts w:ascii="Book Antiqua" w:eastAsia="SimSun" w:hAnsi="Book Antiqua" w:cs="SimSun"/>
          <w:sz w:val="24"/>
          <w:szCs w:val="24"/>
        </w:rPr>
        <w:t> </w:t>
      </w:r>
      <w:r w:rsidRPr="00B90D32">
        <w:rPr>
          <w:rFonts w:ascii="Book Antiqua" w:eastAsia="SimSun" w:hAnsi="Book Antiqua" w:cs="SimSun"/>
          <w:b/>
          <w:bCs/>
          <w:sz w:val="24"/>
          <w:szCs w:val="24"/>
        </w:rPr>
        <w:t>Plauth M</w:t>
      </w:r>
      <w:r w:rsidRPr="00B90D32">
        <w:rPr>
          <w:rFonts w:ascii="Book Antiqua" w:eastAsia="SimSun" w:hAnsi="Book Antiqua" w:cs="SimSun"/>
          <w:sz w:val="24"/>
          <w:szCs w:val="24"/>
        </w:rPr>
        <w:t>, Schütz ET. Cachexia in liver cirrhosis.</w:t>
      </w:r>
      <w:r w:rsidRPr="00C55E0B">
        <w:rPr>
          <w:rFonts w:ascii="Book Antiqua" w:eastAsia="SimSun" w:hAnsi="Book Antiqua" w:cs="SimSun"/>
          <w:sz w:val="24"/>
          <w:szCs w:val="24"/>
        </w:rPr>
        <w:t> </w:t>
      </w:r>
      <w:r w:rsidRPr="00B90D32">
        <w:rPr>
          <w:rFonts w:ascii="Book Antiqua" w:eastAsia="SimSun" w:hAnsi="Book Antiqua" w:cs="SimSun"/>
          <w:i/>
          <w:iCs/>
          <w:sz w:val="24"/>
          <w:szCs w:val="24"/>
        </w:rPr>
        <w:t>Int J Cardiol</w:t>
      </w:r>
      <w:r w:rsidRPr="00C55E0B">
        <w:rPr>
          <w:rFonts w:ascii="Book Antiqua" w:eastAsia="SimSun" w:hAnsi="Book Antiqua" w:cs="SimSun"/>
          <w:sz w:val="24"/>
          <w:szCs w:val="24"/>
        </w:rPr>
        <w:t> </w:t>
      </w:r>
      <w:r w:rsidRPr="00B90D32">
        <w:rPr>
          <w:rFonts w:ascii="Book Antiqua" w:eastAsia="SimSun" w:hAnsi="Book Antiqua" w:cs="SimSun"/>
          <w:sz w:val="24"/>
          <w:szCs w:val="24"/>
        </w:rPr>
        <w:t>2002;</w:t>
      </w:r>
      <w:r w:rsidRPr="00C55E0B">
        <w:rPr>
          <w:rFonts w:ascii="Book Antiqua" w:eastAsia="SimSun" w:hAnsi="Book Antiqua" w:cs="SimSun"/>
          <w:sz w:val="24"/>
          <w:szCs w:val="24"/>
        </w:rPr>
        <w:t> </w:t>
      </w:r>
      <w:r w:rsidRPr="00B90D32">
        <w:rPr>
          <w:rFonts w:ascii="Book Antiqua" w:eastAsia="SimSun" w:hAnsi="Book Antiqua" w:cs="SimSun"/>
          <w:b/>
          <w:bCs/>
          <w:sz w:val="24"/>
          <w:szCs w:val="24"/>
        </w:rPr>
        <w:t>85</w:t>
      </w:r>
      <w:r w:rsidRPr="00B90D32">
        <w:rPr>
          <w:rFonts w:ascii="Book Antiqua" w:eastAsia="SimSun" w:hAnsi="Book Antiqua" w:cs="SimSun"/>
          <w:sz w:val="24"/>
          <w:szCs w:val="24"/>
        </w:rPr>
        <w:t>: 83-87 [PMID: 12163212]</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7</w:t>
      </w:r>
      <w:r w:rsidRPr="00C55E0B">
        <w:rPr>
          <w:rFonts w:ascii="Book Antiqua" w:eastAsia="SimSun" w:hAnsi="Book Antiqua" w:cs="SimSun"/>
          <w:sz w:val="24"/>
          <w:szCs w:val="24"/>
        </w:rPr>
        <w:t> </w:t>
      </w:r>
      <w:r w:rsidRPr="00B90D32">
        <w:rPr>
          <w:rFonts w:ascii="Book Antiqua" w:eastAsia="SimSun" w:hAnsi="Book Antiqua" w:cs="SimSun"/>
          <w:b/>
          <w:bCs/>
          <w:sz w:val="24"/>
          <w:szCs w:val="24"/>
        </w:rPr>
        <w:t>Tisdale MJ</w:t>
      </w:r>
      <w:r w:rsidRPr="00B90D32">
        <w:rPr>
          <w:rFonts w:ascii="Book Antiqua" w:eastAsia="SimSun" w:hAnsi="Book Antiqua" w:cs="SimSun"/>
          <w:sz w:val="24"/>
          <w:szCs w:val="24"/>
        </w:rPr>
        <w:t>. Mechanisms of cancer cachexia.</w:t>
      </w:r>
      <w:r w:rsidRPr="00C55E0B">
        <w:rPr>
          <w:rFonts w:ascii="Book Antiqua" w:eastAsia="SimSun" w:hAnsi="Book Antiqua" w:cs="SimSun"/>
          <w:sz w:val="24"/>
          <w:szCs w:val="24"/>
        </w:rPr>
        <w:t> </w:t>
      </w:r>
      <w:r w:rsidRPr="00B90D32">
        <w:rPr>
          <w:rFonts w:ascii="Book Antiqua" w:eastAsia="SimSun" w:hAnsi="Book Antiqua" w:cs="SimSun"/>
          <w:i/>
          <w:iCs/>
          <w:sz w:val="24"/>
          <w:szCs w:val="24"/>
        </w:rPr>
        <w:t>Physiol Rev</w:t>
      </w:r>
      <w:r w:rsidRPr="00C55E0B">
        <w:rPr>
          <w:rFonts w:ascii="Book Antiqua" w:eastAsia="SimSun" w:hAnsi="Book Antiqua" w:cs="SimSun"/>
          <w:sz w:val="24"/>
          <w:szCs w:val="24"/>
        </w:rPr>
        <w:t> </w:t>
      </w:r>
      <w:r w:rsidRPr="00B90D32">
        <w:rPr>
          <w:rFonts w:ascii="Book Antiqua" w:eastAsia="SimSun" w:hAnsi="Book Antiqua" w:cs="SimSun"/>
          <w:sz w:val="24"/>
          <w:szCs w:val="24"/>
        </w:rPr>
        <w:t>2009;</w:t>
      </w:r>
      <w:r w:rsidRPr="00C55E0B">
        <w:rPr>
          <w:rFonts w:ascii="Book Antiqua" w:eastAsia="SimSun" w:hAnsi="Book Antiqua" w:cs="SimSun"/>
          <w:sz w:val="24"/>
          <w:szCs w:val="24"/>
        </w:rPr>
        <w:t> </w:t>
      </w:r>
      <w:r w:rsidRPr="00B90D32">
        <w:rPr>
          <w:rFonts w:ascii="Book Antiqua" w:eastAsia="SimSun" w:hAnsi="Book Antiqua" w:cs="SimSun"/>
          <w:b/>
          <w:bCs/>
          <w:sz w:val="24"/>
          <w:szCs w:val="24"/>
        </w:rPr>
        <w:t>89</w:t>
      </w:r>
      <w:r w:rsidRPr="00B90D32">
        <w:rPr>
          <w:rFonts w:ascii="Book Antiqua" w:eastAsia="SimSun" w:hAnsi="Book Antiqua" w:cs="SimSun"/>
          <w:sz w:val="24"/>
          <w:szCs w:val="24"/>
        </w:rPr>
        <w:t>: 381-410 [PMID: 19342610 DOI: 10.1152/physrev.00016.2008</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8</w:t>
      </w:r>
      <w:r w:rsidRPr="00C55E0B">
        <w:rPr>
          <w:rFonts w:ascii="Book Antiqua" w:eastAsia="SimSun" w:hAnsi="Book Antiqua" w:cs="SimSun"/>
          <w:sz w:val="24"/>
          <w:szCs w:val="24"/>
        </w:rPr>
        <w:t> </w:t>
      </w:r>
      <w:r w:rsidRPr="00B90D32">
        <w:rPr>
          <w:rFonts w:ascii="Book Antiqua" w:eastAsia="SimSun" w:hAnsi="Book Antiqua" w:cs="SimSun"/>
          <w:b/>
          <w:bCs/>
          <w:sz w:val="24"/>
          <w:szCs w:val="24"/>
        </w:rPr>
        <w:t>Duarte-Rojo A</w:t>
      </w:r>
      <w:r w:rsidRPr="00B90D32">
        <w:rPr>
          <w:rFonts w:ascii="Book Antiqua" w:eastAsia="SimSun" w:hAnsi="Book Antiqua" w:cs="SimSun"/>
          <w:sz w:val="24"/>
          <w:szCs w:val="24"/>
        </w:rPr>
        <w:t>, Torres-Vega MA, Villamil-Ramírez H, Estradas J, Domínguez-López A, Sánchez-Muñoz F, Orea-Tejeda A, Castillo-Martínez L, Miliar-García A, Macías-Rodríguez RU, Torre A. Changes in peripheral blood mononuclear cells glutamine synthetase mRNA after exercise in healthy volunteers: exploring an alternative proposal for non hepatic ammonia metabolism.</w:t>
      </w:r>
      <w:r w:rsidRPr="00C55E0B">
        <w:rPr>
          <w:rFonts w:ascii="Book Antiqua" w:eastAsia="SimSun" w:hAnsi="Book Antiqua" w:cs="SimSun"/>
          <w:sz w:val="24"/>
          <w:szCs w:val="24"/>
        </w:rPr>
        <w:t> </w:t>
      </w:r>
      <w:r w:rsidRPr="00B90D32">
        <w:rPr>
          <w:rFonts w:ascii="Book Antiqua" w:eastAsia="SimSun" w:hAnsi="Book Antiqua" w:cs="SimSun"/>
          <w:i/>
          <w:iCs/>
          <w:sz w:val="24"/>
          <w:szCs w:val="24"/>
        </w:rPr>
        <w:t>Rev Invest Clin</w:t>
      </w:r>
      <w:r w:rsidRPr="00C55E0B">
        <w:rPr>
          <w:rFonts w:ascii="Book Antiqua" w:eastAsia="SimSun" w:hAnsi="Book Antiqua" w:cs="SimSun"/>
          <w:sz w:val="24"/>
          <w:szCs w:val="24"/>
        </w:rPr>
        <w:t> 2012</w:t>
      </w:r>
      <w:r w:rsidRPr="00B90D32">
        <w:rPr>
          <w:rFonts w:ascii="Book Antiqua" w:eastAsia="SimSun" w:hAnsi="Book Antiqua" w:cs="SimSun"/>
          <w:sz w:val="24"/>
          <w:szCs w:val="24"/>
        </w:rPr>
        <w:t>;</w:t>
      </w:r>
      <w:r w:rsidRPr="00C55E0B">
        <w:rPr>
          <w:rFonts w:ascii="Book Antiqua" w:eastAsia="SimSun" w:hAnsi="Book Antiqua" w:cs="SimSun"/>
          <w:sz w:val="24"/>
          <w:szCs w:val="24"/>
        </w:rPr>
        <w:t> </w:t>
      </w:r>
      <w:r w:rsidRPr="00B90D32">
        <w:rPr>
          <w:rFonts w:ascii="Book Antiqua" w:eastAsia="SimSun" w:hAnsi="Book Antiqua" w:cs="SimSun"/>
          <w:b/>
          <w:bCs/>
          <w:sz w:val="24"/>
          <w:szCs w:val="24"/>
        </w:rPr>
        <w:t>64</w:t>
      </w:r>
      <w:r w:rsidRPr="00B90D32">
        <w:rPr>
          <w:rFonts w:ascii="Book Antiqua" w:eastAsia="SimSun" w:hAnsi="Book Antiqua" w:cs="SimSun"/>
          <w:sz w:val="24"/>
          <w:szCs w:val="24"/>
        </w:rPr>
        <w:t>: 164-172 [PMID: 22991778]</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lastRenderedPageBreak/>
        <w:t>9</w:t>
      </w:r>
      <w:r w:rsidRPr="00C55E0B">
        <w:rPr>
          <w:rFonts w:ascii="Book Antiqua" w:eastAsia="SimSun" w:hAnsi="Book Antiqua" w:cs="SimSun"/>
          <w:sz w:val="24"/>
          <w:szCs w:val="24"/>
        </w:rPr>
        <w:t> </w:t>
      </w:r>
      <w:r w:rsidRPr="00B90D32">
        <w:rPr>
          <w:rFonts w:ascii="Book Antiqua" w:eastAsia="SimSun" w:hAnsi="Book Antiqua" w:cs="SimSun"/>
          <w:b/>
          <w:bCs/>
          <w:sz w:val="24"/>
          <w:szCs w:val="24"/>
        </w:rPr>
        <w:t>Adeva MM</w:t>
      </w:r>
      <w:r w:rsidRPr="00B90D32">
        <w:rPr>
          <w:rFonts w:ascii="Book Antiqua" w:eastAsia="SimSun" w:hAnsi="Book Antiqua" w:cs="SimSun"/>
          <w:sz w:val="24"/>
          <w:szCs w:val="24"/>
        </w:rPr>
        <w:t>, Souto G, Blanco N, Donapetry C. Ammonium metabolism in humans.</w:t>
      </w:r>
      <w:r w:rsidRPr="00C55E0B">
        <w:rPr>
          <w:rFonts w:ascii="Book Antiqua" w:eastAsia="SimSun" w:hAnsi="Book Antiqua" w:cs="SimSun"/>
          <w:sz w:val="24"/>
          <w:szCs w:val="24"/>
        </w:rPr>
        <w:t> </w:t>
      </w:r>
      <w:r w:rsidRPr="00B90D32">
        <w:rPr>
          <w:rFonts w:ascii="Book Antiqua" w:eastAsia="SimSun" w:hAnsi="Book Antiqua" w:cs="SimSun"/>
          <w:i/>
          <w:iCs/>
          <w:sz w:val="24"/>
          <w:szCs w:val="24"/>
        </w:rPr>
        <w:t>Metabolism</w:t>
      </w:r>
      <w:r w:rsidRPr="00C55E0B">
        <w:rPr>
          <w:rFonts w:ascii="Book Antiqua" w:eastAsia="SimSun" w:hAnsi="Book Antiqua" w:cs="SimSun"/>
          <w:sz w:val="24"/>
          <w:szCs w:val="24"/>
        </w:rPr>
        <w:t> </w:t>
      </w:r>
      <w:r w:rsidRPr="00B90D32">
        <w:rPr>
          <w:rFonts w:ascii="Book Antiqua" w:eastAsia="SimSun" w:hAnsi="Book Antiqua" w:cs="SimSun"/>
          <w:sz w:val="24"/>
          <w:szCs w:val="24"/>
        </w:rPr>
        <w:t>2012;</w:t>
      </w:r>
      <w:r w:rsidRPr="00C55E0B">
        <w:rPr>
          <w:rFonts w:ascii="Book Antiqua" w:eastAsia="SimSun" w:hAnsi="Book Antiqua" w:cs="SimSun"/>
          <w:sz w:val="24"/>
          <w:szCs w:val="24"/>
        </w:rPr>
        <w:t> </w:t>
      </w:r>
      <w:r w:rsidRPr="00B90D32">
        <w:rPr>
          <w:rFonts w:ascii="Book Antiqua" w:eastAsia="SimSun" w:hAnsi="Book Antiqua" w:cs="SimSun"/>
          <w:b/>
          <w:bCs/>
          <w:sz w:val="24"/>
          <w:szCs w:val="24"/>
        </w:rPr>
        <w:t>61</w:t>
      </w:r>
      <w:r w:rsidRPr="00B90D32">
        <w:rPr>
          <w:rFonts w:ascii="Book Antiqua" w:eastAsia="SimSun" w:hAnsi="Book Antiqua" w:cs="SimSun"/>
          <w:sz w:val="24"/>
          <w:szCs w:val="24"/>
        </w:rPr>
        <w:t>: 1495-1511 [PMID: 22921946 DOI: 10.1016/j.metabol.2012.07.007]</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10</w:t>
      </w:r>
      <w:r w:rsidRPr="00C55E0B">
        <w:rPr>
          <w:rFonts w:ascii="Book Antiqua" w:eastAsia="SimSun" w:hAnsi="Book Antiqua" w:cs="SimSun"/>
          <w:sz w:val="24"/>
          <w:szCs w:val="24"/>
        </w:rPr>
        <w:t> </w:t>
      </w:r>
      <w:r w:rsidRPr="00B90D32">
        <w:rPr>
          <w:rFonts w:ascii="Book Antiqua" w:eastAsia="SimSun" w:hAnsi="Book Antiqua" w:cs="SimSun"/>
          <w:b/>
          <w:bCs/>
          <w:sz w:val="24"/>
          <w:szCs w:val="24"/>
        </w:rPr>
        <w:t>Dumas JF</w:t>
      </w:r>
      <w:r w:rsidRPr="00B90D32">
        <w:rPr>
          <w:rFonts w:ascii="Book Antiqua" w:eastAsia="SimSun" w:hAnsi="Book Antiqua" w:cs="SimSun"/>
          <w:sz w:val="24"/>
          <w:szCs w:val="24"/>
        </w:rPr>
        <w:t>, Goupille C, Julienne CM, Pinault M, Chevalier S, Bougnoux P, Servais S, Couet C. Efficiency of oxidative phosphorylation in liver mitochondria is decreased in a rat model of peritoneal carcinosis.</w:t>
      </w:r>
      <w:r w:rsidRPr="00C55E0B">
        <w:rPr>
          <w:rFonts w:ascii="Book Antiqua" w:eastAsia="SimSun" w:hAnsi="Book Antiqua" w:cs="SimSun"/>
          <w:sz w:val="24"/>
          <w:szCs w:val="24"/>
        </w:rPr>
        <w:t> </w:t>
      </w:r>
      <w:r w:rsidRPr="00B90D32">
        <w:rPr>
          <w:rFonts w:ascii="Book Antiqua" w:eastAsia="SimSun" w:hAnsi="Book Antiqua" w:cs="SimSun"/>
          <w:i/>
          <w:iCs/>
          <w:sz w:val="24"/>
          <w:szCs w:val="24"/>
        </w:rPr>
        <w:t>J Hepatol</w:t>
      </w:r>
      <w:r w:rsidRPr="00C55E0B">
        <w:rPr>
          <w:rFonts w:ascii="Book Antiqua" w:eastAsia="SimSun" w:hAnsi="Book Antiqua" w:cs="SimSun"/>
          <w:sz w:val="24"/>
          <w:szCs w:val="24"/>
        </w:rPr>
        <w:t> </w:t>
      </w:r>
      <w:r w:rsidRPr="00B90D32">
        <w:rPr>
          <w:rFonts w:ascii="Book Antiqua" w:eastAsia="SimSun" w:hAnsi="Book Antiqua" w:cs="SimSun"/>
          <w:sz w:val="24"/>
          <w:szCs w:val="24"/>
        </w:rPr>
        <w:t>2011;</w:t>
      </w:r>
      <w:r w:rsidRPr="00C55E0B">
        <w:rPr>
          <w:rFonts w:ascii="Book Antiqua" w:eastAsia="SimSun" w:hAnsi="Book Antiqua" w:cs="SimSun"/>
          <w:sz w:val="24"/>
          <w:szCs w:val="24"/>
        </w:rPr>
        <w:t> </w:t>
      </w:r>
      <w:r w:rsidRPr="00B90D32">
        <w:rPr>
          <w:rFonts w:ascii="Book Antiqua" w:eastAsia="SimSun" w:hAnsi="Book Antiqua" w:cs="SimSun"/>
          <w:b/>
          <w:bCs/>
          <w:sz w:val="24"/>
          <w:szCs w:val="24"/>
        </w:rPr>
        <w:t>54</w:t>
      </w:r>
      <w:r w:rsidRPr="00B90D32">
        <w:rPr>
          <w:rFonts w:ascii="Book Antiqua" w:eastAsia="SimSun" w:hAnsi="Book Antiqua" w:cs="SimSun"/>
          <w:sz w:val="24"/>
          <w:szCs w:val="24"/>
        </w:rPr>
        <w:t>: 320-327 [PMID: 21094554 DOI: 10.1016/j.jhep.2010.08.012</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11</w:t>
      </w:r>
      <w:r w:rsidRPr="00C55E0B">
        <w:rPr>
          <w:rFonts w:ascii="Book Antiqua" w:eastAsia="SimSun" w:hAnsi="Book Antiqua" w:cs="SimSun"/>
          <w:sz w:val="24"/>
          <w:szCs w:val="24"/>
        </w:rPr>
        <w:t> </w:t>
      </w:r>
      <w:r w:rsidRPr="00B90D32">
        <w:rPr>
          <w:rFonts w:ascii="Book Antiqua" w:eastAsia="SimSun" w:hAnsi="Book Antiqua" w:cs="SimSun"/>
          <w:b/>
          <w:bCs/>
          <w:sz w:val="24"/>
          <w:szCs w:val="24"/>
        </w:rPr>
        <w:t>Baumgartner RN</w:t>
      </w:r>
      <w:r w:rsidRPr="00B90D32">
        <w:rPr>
          <w:rFonts w:ascii="Book Antiqua" w:eastAsia="SimSun" w:hAnsi="Book Antiqua" w:cs="SimSun"/>
          <w:sz w:val="24"/>
          <w:szCs w:val="24"/>
        </w:rPr>
        <w:t>, Chumlea WC, Roche AF. Bioelectric impedance phase angle and body composition.</w:t>
      </w:r>
      <w:r w:rsidRPr="00C55E0B">
        <w:rPr>
          <w:rFonts w:ascii="Book Antiqua" w:eastAsia="SimSun" w:hAnsi="Book Antiqua" w:cs="SimSun"/>
          <w:sz w:val="24"/>
          <w:szCs w:val="24"/>
        </w:rPr>
        <w:t> </w:t>
      </w:r>
      <w:r w:rsidRPr="00B90D32">
        <w:rPr>
          <w:rFonts w:ascii="Book Antiqua" w:eastAsia="SimSun" w:hAnsi="Book Antiqua" w:cs="SimSun"/>
          <w:i/>
          <w:iCs/>
          <w:sz w:val="24"/>
          <w:szCs w:val="24"/>
        </w:rPr>
        <w:t>Am J Clin Nutr</w:t>
      </w:r>
      <w:r w:rsidRPr="00C55E0B">
        <w:rPr>
          <w:rFonts w:ascii="Book Antiqua" w:eastAsia="SimSun" w:hAnsi="Book Antiqua" w:cs="SimSun"/>
          <w:sz w:val="24"/>
          <w:szCs w:val="24"/>
        </w:rPr>
        <w:t> </w:t>
      </w:r>
      <w:r w:rsidRPr="00B90D32">
        <w:rPr>
          <w:rFonts w:ascii="Book Antiqua" w:eastAsia="SimSun" w:hAnsi="Book Antiqua" w:cs="SimSun"/>
          <w:sz w:val="24"/>
          <w:szCs w:val="24"/>
        </w:rPr>
        <w:t>1988;</w:t>
      </w:r>
      <w:r w:rsidRPr="00C55E0B">
        <w:rPr>
          <w:rFonts w:ascii="Book Antiqua" w:eastAsia="SimSun" w:hAnsi="Book Antiqua" w:cs="SimSun"/>
          <w:sz w:val="24"/>
          <w:szCs w:val="24"/>
        </w:rPr>
        <w:t> </w:t>
      </w:r>
      <w:r w:rsidRPr="00B90D32">
        <w:rPr>
          <w:rFonts w:ascii="Book Antiqua" w:eastAsia="SimSun" w:hAnsi="Book Antiqua" w:cs="SimSun"/>
          <w:b/>
          <w:bCs/>
          <w:sz w:val="24"/>
          <w:szCs w:val="24"/>
        </w:rPr>
        <w:t>48</w:t>
      </w:r>
      <w:r w:rsidRPr="00B90D32">
        <w:rPr>
          <w:rFonts w:ascii="Book Antiqua" w:eastAsia="SimSun" w:hAnsi="Book Antiqua" w:cs="SimSun"/>
          <w:sz w:val="24"/>
          <w:szCs w:val="24"/>
        </w:rPr>
        <w:t>: 16-23 [PMID: 3389323]</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12</w:t>
      </w:r>
      <w:r w:rsidRPr="00C55E0B">
        <w:rPr>
          <w:rFonts w:ascii="Book Antiqua" w:eastAsia="SimSun" w:hAnsi="Book Antiqua" w:cs="SimSun"/>
          <w:sz w:val="24"/>
          <w:szCs w:val="24"/>
        </w:rPr>
        <w:t> </w:t>
      </w:r>
      <w:r w:rsidRPr="00B90D32">
        <w:rPr>
          <w:rFonts w:ascii="Book Antiqua" w:eastAsia="SimSun" w:hAnsi="Book Antiqua" w:cs="SimSun"/>
          <w:b/>
          <w:bCs/>
          <w:sz w:val="24"/>
          <w:szCs w:val="24"/>
        </w:rPr>
        <w:t>Selberg O</w:t>
      </w:r>
      <w:r w:rsidRPr="00B90D32">
        <w:rPr>
          <w:rFonts w:ascii="Book Antiqua" w:eastAsia="SimSun" w:hAnsi="Book Antiqua" w:cs="SimSun"/>
          <w:sz w:val="24"/>
          <w:szCs w:val="24"/>
        </w:rPr>
        <w:t>, Selberg D. Norms and correlates of bioimpedance phase angle in healthy human subjects, hospitalized patients, and patients with liver cirrhosis.</w:t>
      </w:r>
      <w:r w:rsidRPr="00C55E0B">
        <w:rPr>
          <w:rFonts w:ascii="Book Antiqua" w:eastAsia="SimSun" w:hAnsi="Book Antiqua" w:cs="SimSun"/>
          <w:sz w:val="24"/>
          <w:szCs w:val="24"/>
        </w:rPr>
        <w:t> </w:t>
      </w:r>
      <w:r w:rsidRPr="00B90D32">
        <w:rPr>
          <w:rFonts w:ascii="Book Antiqua" w:eastAsia="SimSun" w:hAnsi="Book Antiqua" w:cs="SimSun"/>
          <w:i/>
          <w:iCs/>
          <w:sz w:val="24"/>
          <w:szCs w:val="24"/>
        </w:rPr>
        <w:t>Eur J Appl Physiol</w:t>
      </w:r>
      <w:r w:rsidRPr="00C55E0B">
        <w:rPr>
          <w:rFonts w:ascii="Book Antiqua" w:eastAsia="SimSun" w:hAnsi="Book Antiqua" w:cs="SimSun"/>
          <w:sz w:val="24"/>
          <w:szCs w:val="24"/>
        </w:rPr>
        <w:t> </w:t>
      </w:r>
      <w:r w:rsidRPr="00B90D32">
        <w:rPr>
          <w:rFonts w:ascii="Book Antiqua" w:eastAsia="SimSun" w:hAnsi="Book Antiqua" w:cs="SimSun"/>
          <w:sz w:val="24"/>
          <w:szCs w:val="24"/>
        </w:rPr>
        <w:t>2002;</w:t>
      </w:r>
      <w:r w:rsidRPr="00C55E0B">
        <w:rPr>
          <w:rFonts w:ascii="Book Antiqua" w:eastAsia="SimSun" w:hAnsi="Book Antiqua" w:cs="SimSun"/>
          <w:sz w:val="24"/>
          <w:szCs w:val="24"/>
        </w:rPr>
        <w:t> </w:t>
      </w:r>
      <w:r w:rsidRPr="00B90D32">
        <w:rPr>
          <w:rFonts w:ascii="Book Antiqua" w:eastAsia="SimSun" w:hAnsi="Book Antiqua" w:cs="SimSun"/>
          <w:b/>
          <w:bCs/>
          <w:sz w:val="24"/>
          <w:szCs w:val="24"/>
        </w:rPr>
        <w:t>86</w:t>
      </w:r>
      <w:r w:rsidRPr="00B90D32">
        <w:rPr>
          <w:rFonts w:ascii="Book Antiqua" w:eastAsia="SimSun" w:hAnsi="Book Antiqua" w:cs="SimSun"/>
          <w:sz w:val="24"/>
          <w:szCs w:val="24"/>
        </w:rPr>
        <w:t>: 509-516 [PMID: 11944099 DOI: 10.1007/s00421-001-0570-4</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13</w:t>
      </w:r>
      <w:r w:rsidRPr="00C55E0B">
        <w:rPr>
          <w:rFonts w:ascii="Book Antiqua" w:eastAsia="SimSun" w:hAnsi="Book Antiqua" w:cs="SimSun"/>
          <w:sz w:val="24"/>
          <w:szCs w:val="24"/>
        </w:rPr>
        <w:t> </w:t>
      </w:r>
      <w:r w:rsidRPr="00B90D32">
        <w:rPr>
          <w:rFonts w:ascii="Book Antiqua" w:eastAsia="SimSun" w:hAnsi="Book Antiqua" w:cs="SimSun"/>
          <w:b/>
          <w:bCs/>
          <w:sz w:val="24"/>
          <w:szCs w:val="24"/>
        </w:rPr>
        <w:t>Barbosa-Silva MC</w:t>
      </w:r>
      <w:r w:rsidRPr="00B90D32">
        <w:rPr>
          <w:rFonts w:ascii="Book Antiqua" w:eastAsia="SimSun" w:hAnsi="Book Antiqua" w:cs="SimSun"/>
          <w:sz w:val="24"/>
          <w:szCs w:val="24"/>
        </w:rPr>
        <w:t>, Barros AJ. Bioelectrical impedance analysis in clinical practice: a new perspective on its use beyond body composition equations.</w:t>
      </w:r>
      <w:r w:rsidRPr="00C55E0B">
        <w:rPr>
          <w:rFonts w:ascii="Book Antiqua" w:eastAsia="SimSun" w:hAnsi="Book Antiqua" w:cs="SimSun"/>
          <w:sz w:val="24"/>
          <w:szCs w:val="24"/>
        </w:rPr>
        <w:t> </w:t>
      </w:r>
      <w:r w:rsidRPr="00B90D32">
        <w:rPr>
          <w:rFonts w:ascii="Book Antiqua" w:eastAsia="SimSun" w:hAnsi="Book Antiqua" w:cs="SimSun"/>
          <w:i/>
          <w:iCs/>
          <w:sz w:val="24"/>
          <w:szCs w:val="24"/>
        </w:rPr>
        <w:t>Curr Opin Clin Nutr Metab Care</w:t>
      </w:r>
      <w:r w:rsidRPr="00C55E0B">
        <w:rPr>
          <w:rFonts w:ascii="Book Antiqua" w:eastAsia="SimSun" w:hAnsi="Book Antiqua" w:cs="SimSun"/>
          <w:sz w:val="24"/>
          <w:szCs w:val="24"/>
        </w:rPr>
        <w:t> </w:t>
      </w:r>
      <w:r w:rsidRPr="00B90D32">
        <w:rPr>
          <w:rFonts w:ascii="Book Antiqua" w:eastAsia="SimSun" w:hAnsi="Book Antiqua" w:cs="SimSun"/>
          <w:sz w:val="24"/>
          <w:szCs w:val="24"/>
        </w:rPr>
        <w:t>2005;</w:t>
      </w:r>
      <w:r w:rsidRPr="00C55E0B">
        <w:rPr>
          <w:rFonts w:ascii="Book Antiqua" w:eastAsia="SimSun" w:hAnsi="Book Antiqua" w:cs="SimSun"/>
          <w:sz w:val="24"/>
          <w:szCs w:val="24"/>
        </w:rPr>
        <w:t> </w:t>
      </w:r>
      <w:r w:rsidRPr="00B90D32">
        <w:rPr>
          <w:rFonts w:ascii="Book Antiqua" w:eastAsia="SimSun" w:hAnsi="Book Antiqua" w:cs="SimSun"/>
          <w:b/>
          <w:bCs/>
          <w:sz w:val="24"/>
          <w:szCs w:val="24"/>
        </w:rPr>
        <w:t>8</w:t>
      </w:r>
      <w:r w:rsidRPr="00B90D32">
        <w:rPr>
          <w:rFonts w:ascii="Book Antiqua" w:eastAsia="SimSun" w:hAnsi="Book Antiqua" w:cs="SimSun"/>
          <w:sz w:val="24"/>
          <w:szCs w:val="24"/>
        </w:rPr>
        <w:t>: 311-317 [PMID: 15809535]</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14</w:t>
      </w:r>
      <w:r w:rsidRPr="00C55E0B">
        <w:rPr>
          <w:rFonts w:ascii="Book Antiqua" w:eastAsia="SimSun" w:hAnsi="Book Antiqua" w:cs="SimSun"/>
          <w:sz w:val="24"/>
          <w:szCs w:val="24"/>
        </w:rPr>
        <w:t> </w:t>
      </w:r>
      <w:r w:rsidRPr="00B90D32">
        <w:rPr>
          <w:rFonts w:ascii="Book Antiqua" w:eastAsia="SimSun" w:hAnsi="Book Antiqua" w:cs="SimSun"/>
          <w:b/>
          <w:bCs/>
          <w:sz w:val="24"/>
          <w:szCs w:val="24"/>
        </w:rPr>
        <w:t>Stobäus N</w:t>
      </w:r>
      <w:r w:rsidRPr="00B90D32">
        <w:rPr>
          <w:rFonts w:ascii="Book Antiqua" w:eastAsia="SimSun" w:hAnsi="Book Antiqua" w:cs="SimSun"/>
          <w:sz w:val="24"/>
          <w:szCs w:val="24"/>
        </w:rPr>
        <w:t>, Pirlich M, Valentini L, Schulzke JD, Norman K. Determinants of bioelectrical phase angle in disease.</w:t>
      </w:r>
      <w:r w:rsidRPr="00C55E0B">
        <w:rPr>
          <w:rFonts w:ascii="Book Antiqua" w:eastAsia="SimSun" w:hAnsi="Book Antiqua" w:cs="SimSun"/>
          <w:sz w:val="24"/>
          <w:szCs w:val="24"/>
        </w:rPr>
        <w:t> </w:t>
      </w:r>
      <w:r w:rsidRPr="00B90D32">
        <w:rPr>
          <w:rFonts w:ascii="Book Antiqua" w:eastAsia="SimSun" w:hAnsi="Book Antiqua" w:cs="SimSun"/>
          <w:i/>
          <w:iCs/>
          <w:sz w:val="24"/>
          <w:szCs w:val="24"/>
        </w:rPr>
        <w:t>Br J Nutr</w:t>
      </w:r>
      <w:r w:rsidRPr="00C55E0B">
        <w:rPr>
          <w:rFonts w:ascii="Book Antiqua" w:eastAsia="SimSun" w:hAnsi="Book Antiqua" w:cs="SimSun"/>
          <w:sz w:val="24"/>
          <w:szCs w:val="24"/>
        </w:rPr>
        <w:t> </w:t>
      </w:r>
      <w:r w:rsidRPr="00B90D32">
        <w:rPr>
          <w:rFonts w:ascii="Book Antiqua" w:eastAsia="SimSun" w:hAnsi="Book Antiqua" w:cs="SimSun"/>
          <w:sz w:val="24"/>
          <w:szCs w:val="24"/>
        </w:rPr>
        <w:t>2012;</w:t>
      </w:r>
      <w:r w:rsidRPr="00C55E0B">
        <w:rPr>
          <w:rFonts w:ascii="Book Antiqua" w:eastAsia="SimSun" w:hAnsi="Book Antiqua" w:cs="SimSun"/>
          <w:sz w:val="24"/>
          <w:szCs w:val="24"/>
        </w:rPr>
        <w:t> </w:t>
      </w:r>
      <w:r w:rsidRPr="00B90D32">
        <w:rPr>
          <w:rFonts w:ascii="Book Antiqua" w:eastAsia="SimSun" w:hAnsi="Book Antiqua" w:cs="SimSun"/>
          <w:b/>
          <w:bCs/>
          <w:sz w:val="24"/>
          <w:szCs w:val="24"/>
        </w:rPr>
        <w:t>107</w:t>
      </w:r>
      <w:r w:rsidRPr="00B90D32">
        <w:rPr>
          <w:rFonts w:ascii="Book Antiqua" w:eastAsia="SimSun" w:hAnsi="Book Antiqua" w:cs="SimSun"/>
          <w:sz w:val="24"/>
          <w:szCs w:val="24"/>
        </w:rPr>
        <w:t>: 1217-1220 [PMID: 22309898 DOI: 10.1017/S0007114511004028</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15</w:t>
      </w:r>
      <w:r w:rsidRPr="00C55E0B">
        <w:rPr>
          <w:rFonts w:ascii="Book Antiqua" w:eastAsia="SimSun" w:hAnsi="Book Antiqua" w:cs="SimSun"/>
          <w:sz w:val="24"/>
          <w:szCs w:val="24"/>
        </w:rPr>
        <w:t> </w:t>
      </w:r>
      <w:r w:rsidRPr="00B90D32">
        <w:rPr>
          <w:rFonts w:ascii="Book Antiqua" w:eastAsia="SimSun" w:hAnsi="Book Antiqua" w:cs="SimSun"/>
          <w:b/>
          <w:bCs/>
          <w:sz w:val="24"/>
          <w:szCs w:val="24"/>
        </w:rPr>
        <w:t>Wiesner R</w:t>
      </w:r>
      <w:r w:rsidRPr="00B90D32">
        <w:rPr>
          <w:rFonts w:ascii="Book Antiqua" w:eastAsia="SimSun" w:hAnsi="Book Antiqua" w:cs="SimSun"/>
          <w:sz w:val="24"/>
          <w:szCs w:val="24"/>
        </w:rPr>
        <w:t>, Edwards E, Freeman R, Harper A, Kim R, Kamath P, Kremers W, Lake J, Howard T, Merion RM, Wolfe RA, Krom R. Model for end-stage liver disease (MELD) and allocation of donor livers.</w:t>
      </w:r>
      <w:r w:rsidRPr="00C55E0B">
        <w:rPr>
          <w:rFonts w:ascii="Book Antiqua" w:eastAsia="SimSun" w:hAnsi="Book Antiqua" w:cs="SimSun"/>
          <w:sz w:val="24"/>
          <w:szCs w:val="24"/>
        </w:rPr>
        <w:t> </w:t>
      </w:r>
      <w:r w:rsidRPr="00B90D32">
        <w:rPr>
          <w:rFonts w:ascii="Book Antiqua" w:eastAsia="SimSun" w:hAnsi="Book Antiqua" w:cs="SimSun"/>
          <w:i/>
          <w:iCs/>
          <w:sz w:val="24"/>
          <w:szCs w:val="24"/>
        </w:rPr>
        <w:t>Gastroenterology</w:t>
      </w:r>
      <w:r w:rsidRPr="00C55E0B">
        <w:rPr>
          <w:rFonts w:ascii="Book Antiqua" w:eastAsia="SimSun" w:hAnsi="Book Antiqua" w:cs="SimSun"/>
          <w:sz w:val="24"/>
          <w:szCs w:val="24"/>
        </w:rPr>
        <w:t> </w:t>
      </w:r>
      <w:r w:rsidRPr="00B90D32">
        <w:rPr>
          <w:rFonts w:ascii="Book Antiqua" w:eastAsia="SimSun" w:hAnsi="Book Antiqua" w:cs="SimSun"/>
          <w:sz w:val="24"/>
          <w:szCs w:val="24"/>
        </w:rPr>
        <w:t>2003;</w:t>
      </w:r>
      <w:r w:rsidRPr="00C55E0B">
        <w:rPr>
          <w:rFonts w:ascii="Book Antiqua" w:eastAsia="SimSun" w:hAnsi="Book Antiqua" w:cs="SimSun"/>
          <w:sz w:val="24"/>
          <w:szCs w:val="24"/>
        </w:rPr>
        <w:t> </w:t>
      </w:r>
      <w:r w:rsidRPr="00B90D32">
        <w:rPr>
          <w:rFonts w:ascii="Book Antiqua" w:eastAsia="SimSun" w:hAnsi="Book Antiqua" w:cs="SimSun"/>
          <w:b/>
          <w:bCs/>
          <w:sz w:val="24"/>
          <w:szCs w:val="24"/>
        </w:rPr>
        <w:t>124</w:t>
      </w:r>
      <w:r w:rsidRPr="00B90D32">
        <w:rPr>
          <w:rFonts w:ascii="Book Antiqua" w:eastAsia="SimSun" w:hAnsi="Book Antiqua" w:cs="SimSun"/>
          <w:sz w:val="24"/>
          <w:szCs w:val="24"/>
        </w:rPr>
        <w:t>: 91-96 [PMID: 12512033 DOI: 10.1053/gast.2003.50016</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C55E0B">
        <w:rPr>
          <w:rFonts w:ascii="Book Antiqua" w:eastAsia="SimSun" w:hAnsi="Book Antiqua" w:cs="SimSun"/>
          <w:sz w:val="24"/>
          <w:szCs w:val="24"/>
        </w:rPr>
        <w:t xml:space="preserve">16 </w:t>
      </w:r>
      <w:r w:rsidRPr="00B90D32">
        <w:rPr>
          <w:rFonts w:ascii="Book Antiqua" w:eastAsia="SimSun" w:hAnsi="Book Antiqua" w:cs="SimSun"/>
          <w:b/>
          <w:sz w:val="24"/>
          <w:szCs w:val="24"/>
        </w:rPr>
        <w:t>Child CG</w:t>
      </w:r>
      <w:r w:rsidRPr="00B90D32">
        <w:rPr>
          <w:rFonts w:ascii="Book Antiqua" w:eastAsia="SimSun" w:hAnsi="Book Antiqua" w:cs="SimSun"/>
          <w:sz w:val="24"/>
          <w:szCs w:val="24"/>
        </w:rPr>
        <w:t>, Turcotte JG. Surgery and portal hypertension. In: The liver and portal hypertension. Edited by CG Child. Phi</w:t>
      </w:r>
      <w:r w:rsidRPr="00C55E0B">
        <w:rPr>
          <w:rFonts w:ascii="Book Antiqua" w:eastAsia="SimSun" w:hAnsi="Book Antiqua" w:cs="SimSun"/>
          <w:sz w:val="24"/>
          <w:szCs w:val="24"/>
        </w:rPr>
        <w:t>ladelphia: Saunders 1964: 50-64</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17</w:t>
      </w:r>
      <w:r w:rsidRPr="00C55E0B">
        <w:rPr>
          <w:rFonts w:ascii="Book Antiqua" w:eastAsia="SimSun" w:hAnsi="Book Antiqua" w:cs="SimSun"/>
          <w:sz w:val="24"/>
          <w:szCs w:val="24"/>
        </w:rPr>
        <w:t> </w:t>
      </w:r>
      <w:r w:rsidRPr="00B90D32">
        <w:rPr>
          <w:rFonts w:ascii="Book Antiqua" w:eastAsia="SimSun" w:hAnsi="Book Antiqua" w:cs="SimSun"/>
          <w:b/>
          <w:bCs/>
          <w:sz w:val="24"/>
          <w:szCs w:val="24"/>
        </w:rPr>
        <w:t>Ruiz-Margáin A</w:t>
      </w:r>
      <w:r w:rsidRPr="00B90D32">
        <w:rPr>
          <w:rFonts w:ascii="Book Antiqua" w:eastAsia="SimSun" w:hAnsi="Book Antiqua" w:cs="SimSun"/>
          <w:sz w:val="24"/>
          <w:szCs w:val="24"/>
        </w:rPr>
        <w:t>, Macías-Rodríguez RU, Duarte-Rojo A, Ríos-Torres SL, Espinosa-Cuevas Á, Torre A. Malnutrition assessed through phase angle and its relation to prognosis in patients with compensated liver cirrhosis: a prospective cohort study.</w:t>
      </w:r>
      <w:r w:rsidRPr="00C55E0B">
        <w:rPr>
          <w:rFonts w:ascii="Book Antiqua" w:eastAsia="SimSun" w:hAnsi="Book Antiqua" w:cs="SimSun"/>
          <w:sz w:val="24"/>
          <w:szCs w:val="24"/>
        </w:rPr>
        <w:t> </w:t>
      </w:r>
      <w:r w:rsidRPr="00B90D32">
        <w:rPr>
          <w:rFonts w:ascii="Book Antiqua" w:eastAsia="SimSun" w:hAnsi="Book Antiqua" w:cs="SimSun"/>
          <w:i/>
          <w:iCs/>
          <w:sz w:val="24"/>
          <w:szCs w:val="24"/>
        </w:rPr>
        <w:t>Dig Liver Dis</w:t>
      </w:r>
      <w:r w:rsidRPr="00C55E0B">
        <w:rPr>
          <w:rFonts w:ascii="Book Antiqua" w:eastAsia="SimSun" w:hAnsi="Book Antiqua" w:cs="SimSun"/>
          <w:sz w:val="24"/>
          <w:szCs w:val="24"/>
        </w:rPr>
        <w:t> </w:t>
      </w:r>
      <w:r w:rsidRPr="00B90D32">
        <w:rPr>
          <w:rFonts w:ascii="Book Antiqua" w:eastAsia="SimSun" w:hAnsi="Book Antiqua" w:cs="SimSun"/>
          <w:sz w:val="24"/>
          <w:szCs w:val="24"/>
        </w:rPr>
        <w:t>2015;</w:t>
      </w:r>
      <w:r w:rsidRPr="00C55E0B">
        <w:rPr>
          <w:rFonts w:ascii="Book Antiqua" w:eastAsia="SimSun" w:hAnsi="Book Antiqua" w:cs="SimSun"/>
          <w:sz w:val="24"/>
          <w:szCs w:val="24"/>
        </w:rPr>
        <w:t> </w:t>
      </w:r>
      <w:r w:rsidRPr="00B90D32">
        <w:rPr>
          <w:rFonts w:ascii="Book Antiqua" w:eastAsia="SimSun" w:hAnsi="Book Antiqua" w:cs="SimSun"/>
          <w:b/>
          <w:bCs/>
          <w:sz w:val="24"/>
          <w:szCs w:val="24"/>
        </w:rPr>
        <w:t>47</w:t>
      </w:r>
      <w:r w:rsidRPr="00B90D32">
        <w:rPr>
          <w:rFonts w:ascii="Book Antiqua" w:eastAsia="SimSun" w:hAnsi="Book Antiqua" w:cs="SimSun"/>
          <w:sz w:val="24"/>
          <w:szCs w:val="24"/>
        </w:rPr>
        <w:t>: 309-314 [PMID: 25618555 DOI: 10.1016/j.dld.2014.12.015</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lastRenderedPageBreak/>
        <w:t>18</w:t>
      </w:r>
      <w:r w:rsidRPr="00C55E0B">
        <w:rPr>
          <w:rFonts w:ascii="Book Antiqua" w:eastAsia="SimSun" w:hAnsi="Book Antiqua" w:cs="SimSun"/>
          <w:sz w:val="24"/>
          <w:szCs w:val="24"/>
        </w:rPr>
        <w:t> </w:t>
      </w:r>
      <w:r w:rsidRPr="00B90D32">
        <w:rPr>
          <w:rFonts w:ascii="Book Antiqua" w:eastAsia="SimSun" w:hAnsi="Book Antiqua" w:cs="SimSun"/>
          <w:b/>
          <w:bCs/>
          <w:sz w:val="24"/>
          <w:szCs w:val="24"/>
        </w:rPr>
        <w:t>Pugh RN</w:t>
      </w:r>
      <w:r w:rsidRPr="00B90D32">
        <w:rPr>
          <w:rFonts w:ascii="Book Antiqua" w:eastAsia="SimSun" w:hAnsi="Book Antiqua" w:cs="SimSun"/>
          <w:sz w:val="24"/>
          <w:szCs w:val="24"/>
        </w:rPr>
        <w:t>, Murray-Lyon IM, Dawson JL, Pietroni MC, Williams R. Transection of the oesophagus for bleeding oesophageal varices.</w:t>
      </w:r>
      <w:r w:rsidRPr="00C55E0B">
        <w:rPr>
          <w:rFonts w:ascii="Book Antiqua" w:eastAsia="SimSun" w:hAnsi="Book Antiqua" w:cs="SimSun"/>
          <w:sz w:val="24"/>
          <w:szCs w:val="24"/>
        </w:rPr>
        <w:t> </w:t>
      </w:r>
      <w:r w:rsidRPr="00B90D32">
        <w:rPr>
          <w:rFonts w:ascii="Book Antiqua" w:eastAsia="SimSun" w:hAnsi="Book Antiqua" w:cs="SimSun"/>
          <w:i/>
          <w:iCs/>
          <w:sz w:val="24"/>
          <w:szCs w:val="24"/>
        </w:rPr>
        <w:t>Br J Surg</w:t>
      </w:r>
      <w:r w:rsidRPr="00C55E0B">
        <w:rPr>
          <w:rFonts w:ascii="Book Antiqua" w:eastAsia="SimSun" w:hAnsi="Book Antiqua" w:cs="SimSun"/>
          <w:sz w:val="24"/>
          <w:szCs w:val="24"/>
        </w:rPr>
        <w:t> </w:t>
      </w:r>
      <w:r w:rsidRPr="00B90D32">
        <w:rPr>
          <w:rFonts w:ascii="Book Antiqua" w:eastAsia="SimSun" w:hAnsi="Book Antiqua" w:cs="SimSun"/>
          <w:sz w:val="24"/>
          <w:szCs w:val="24"/>
        </w:rPr>
        <w:t>1973;</w:t>
      </w:r>
      <w:r w:rsidRPr="00C55E0B">
        <w:rPr>
          <w:rFonts w:ascii="Book Antiqua" w:eastAsia="SimSun" w:hAnsi="Book Antiqua" w:cs="SimSun"/>
          <w:sz w:val="24"/>
          <w:szCs w:val="24"/>
        </w:rPr>
        <w:t> </w:t>
      </w:r>
      <w:r w:rsidRPr="00B90D32">
        <w:rPr>
          <w:rFonts w:ascii="Book Antiqua" w:eastAsia="SimSun" w:hAnsi="Book Antiqua" w:cs="SimSun"/>
          <w:b/>
          <w:bCs/>
          <w:sz w:val="24"/>
          <w:szCs w:val="24"/>
        </w:rPr>
        <w:t>60</w:t>
      </w:r>
      <w:r w:rsidRPr="00B90D32">
        <w:rPr>
          <w:rFonts w:ascii="Book Antiqua" w:eastAsia="SimSun" w:hAnsi="Book Antiqua" w:cs="SimSun"/>
          <w:sz w:val="24"/>
          <w:szCs w:val="24"/>
        </w:rPr>
        <w:t>: 646-649 [PMID: 4541913]</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19</w:t>
      </w:r>
      <w:r w:rsidRPr="00C55E0B">
        <w:rPr>
          <w:rFonts w:ascii="Book Antiqua" w:eastAsia="SimSun" w:hAnsi="Book Antiqua" w:cs="SimSun"/>
          <w:sz w:val="24"/>
          <w:szCs w:val="24"/>
        </w:rPr>
        <w:t> </w:t>
      </w:r>
      <w:r w:rsidRPr="00B90D32">
        <w:rPr>
          <w:rFonts w:ascii="Book Antiqua" w:eastAsia="SimSun" w:hAnsi="Book Antiqua" w:cs="SimSun"/>
          <w:b/>
          <w:bCs/>
          <w:sz w:val="24"/>
          <w:szCs w:val="24"/>
        </w:rPr>
        <w:t>Periyalwar P</w:t>
      </w:r>
      <w:r w:rsidRPr="00B90D32">
        <w:rPr>
          <w:rFonts w:ascii="Book Antiqua" w:eastAsia="SimSun" w:hAnsi="Book Antiqua" w:cs="SimSun"/>
          <w:sz w:val="24"/>
          <w:szCs w:val="24"/>
        </w:rPr>
        <w:t>, Dasarathy S. Malnutrition in cirrhosis: contribution and consequences of sarcopenia on metabolic and clinical responses.</w:t>
      </w:r>
      <w:r w:rsidRPr="00C55E0B">
        <w:rPr>
          <w:rFonts w:ascii="Book Antiqua" w:eastAsia="SimSun" w:hAnsi="Book Antiqua" w:cs="SimSun"/>
          <w:sz w:val="24"/>
          <w:szCs w:val="24"/>
        </w:rPr>
        <w:t> </w:t>
      </w:r>
      <w:r w:rsidRPr="00B90D32">
        <w:rPr>
          <w:rFonts w:ascii="Book Antiqua" w:eastAsia="SimSun" w:hAnsi="Book Antiqua" w:cs="SimSun"/>
          <w:i/>
          <w:iCs/>
          <w:sz w:val="24"/>
          <w:szCs w:val="24"/>
        </w:rPr>
        <w:t>Clin Liver Dis</w:t>
      </w:r>
      <w:r w:rsidRPr="00C55E0B">
        <w:rPr>
          <w:rFonts w:ascii="Book Antiqua" w:eastAsia="SimSun" w:hAnsi="Book Antiqua" w:cs="SimSun"/>
          <w:sz w:val="24"/>
          <w:szCs w:val="24"/>
        </w:rPr>
        <w:t> </w:t>
      </w:r>
      <w:r w:rsidRPr="00B90D32">
        <w:rPr>
          <w:rFonts w:ascii="Book Antiqua" w:eastAsia="SimSun" w:hAnsi="Book Antiqua" w:cs="SimSun"/>
          <w:sz w:val="24"/>
          <w:szCs w:val="24"/>
        </w:rPr>
        <w:t>2012;</w:t>
      </w:r>
      <w:r w:rsidRPr="00C55E0B">
        <w:rPr>
          <w:rFonts w:ascii="Book Antiqua" w:eastAsia="SimSun" w:hAnsi="Book Antiqua" w:cs="SimSun"/>
          <w:sz w:val="24"/>
          <w:szCs w:val="24"/>
        </w:rPr>
        <w:t> </w:t>
      </w:r>
      <w:r w:rsidRPr="00B90D32">
        <w:rPr>
          <w:rFonts w:ascii="Book Antiqua" w:eastAsia="SimSun" w:hAnsi="Book Antiqua" w:cs="SimSun"/>
          <w:b/>
          <w:bCs/>
          <w:sz w:val="24"/>
          <w:szCs w:val="24"/>
        </w:rPr>
        <w:t>16</w:t>
      </w:r>
      <w:r w:rsidRPr="00B90D32">
        <w:rPr>
          <w:rFonts w:ascii="Book Antiqua" w:eastAsia="SimSun" w:hAnsi="Book Antiqua" w:cs="SimSun"/>
          <w:sz w:val="24"/>
          <w:szCs w:val="24"/>
        </w:rPr>
        <w:t>: 95-131 [PMID: 22321468 DOI: 10.1016/j.cld.2011.12.009</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20</w:t>
      </w:r>
      <w:r w:rsidRPr="00C55E0B">
        <w:rPr>
          <w:rFonts w:ascii="Book Antiqua" w:eastAsia="SimSun" w:hAnsi="Book Antiqua" w:cs="SimSun"/>
          <w:sz w:val="24"/>
          <w:szCs w:val="24"/>
        </w:rPr>
        <w:t> </w:t>
      </w:r>
      <w:r w:rsidRPr="00B90D32">
        <w:rPr>
          <w:rFonts w:ascii="Book Antiqua" w:eastAsia="SimSun" w:hAnsi="Book Antiqua" w:cs="SimSun"/>
          <w:b/>
          <w:bCs/>
          <w:sz w:val="24"/>
          <w:szCs w:val="24"/>
        </w:rPr>
        <w:t>Chavarria L</w:t>
      </w:r>
      <w:r w:rsidRPr="00B90D32">
        <w:rPr>
          <w:rFonts w:ascii="Book Antiqua" w:eastAsia="SimSun" w:hAnsi="Book Antiqua" w:cs="SimSun"/>
          <w:sz w:val="24"/>
          <w:szCs w:val="24"/>
        </w:rPr>
        <w:t>, Alonso J, García-Martínez R, Simón-Talero M, Ventura-Cots M, Ramírez C, Torrens M, Vargas V, Rovira A, Córdoba J. Brain magnetic resonance spectroscopy in episodic hepatic encephalopathy.</w:t>
      </w:r>
      <w:r w:rsidRPr="00C55E0B">
        <w:rPr>
          <w:rFonts w:ascii="Book Antiqua" w:eastAsia="SimSun" w:hAnsi="Book Antiqua" w:cs="SimSun"/>
          <w:sz w:val="24"/>
          <w:szCs w:val="24"/>
        </w:rPr>
        <w:t> </w:t>
      </w:r>
      <w:r w:rsidRPr="00B90D32">
        <w:rPr>
          <w:rFonts w:ascii="Book Antiqua" w:eastAsia="SimSun" w:hAnsi="Book Antiqua" w:cs="SimSun"/>
          <w:i/>
          <w:iCs/>
          <w:sz w:val="24"/>
          <w:szCs w:val="24"/>
        </w:rPr>
        <w:t>J Cereb Blood Flow Metab</w:t>
      </w:r>
      <w:r w:rsidRPr="00C55E0B">
        <w:rPr>
          <w:rFonts w:ascii="Book Antiqua" w:eastAsia="SimSun" w:hAnsi="Book Antiqua" w:cs="SimSun"/>
          <w:sz w:val="24"/>
          <w:szCs w:val="24"/>
        </w:rPr>
        <w:t> </w:t>
      </w:r>
      <w:r w:rsidRPr="00B90D32">
        <w:rPr>
          <w:rFonts w:ascii="Book Antiqua" w:eastAsia="SimSun" w:hAnsi="Book Antiqua" w:cs="SimSun"/>
          <w:sz w:val="24"/>
          <w:szCs w:val="24"/>
        </w:rPr>
        <w:t>2013;</w:t>
      </w:r>
      <w:r w:rsidRPr="00C55E0B">
        <w:rPr>
          <w:rFonts w:ascii="Book Antiqua" w:eastAsia="SimSun" w:hAnsi="Book Antiqua" w:cs="SimSun"/>
          <w:sz w:val="24"/>
          <w:szCs w:val="24"/>
        </w:rPr>
        <w:t> </w:t>
      </w:r>
      <w:r w:rsidRPr="00B90D32">
        <w:rPr>
          <w:rFonts w:ascii="Book Antiqua" w:eastAsia="SimSun" w:hAnsi="Book Antiqua" w:cs="SimSun"/>
          <w:b/>
          <w:bCs/>
          <w:sz w:val="24"/>
          <w:szCs w:val="24"/>
        </w:rPr>
        <w:t>33</w:t>
      </w:r>
      <w:r w:rsidRPr="00B90D32">
        <w:rPr>
          <w:rFonts w:ascii="Book Antiqua" w:eastAsia="SimSun" w:hAnsi="Book Antiqua" w:cs="SimSun"/>
          <w:sz w:val="24"/>
          <w:szCs w:val="24"/>
        </w:rPr>
        <w:t>: 272-277 [PMID: 23168529 DOI: 10.1038/jcbfm.2012.173</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21</w:t>
      </w:r>
      <w:r w:rsidRPr="00C55E0B">
        <w:rPr>
          <w:rFonts w:ascii="Book Antiqua" w:eastAsia="SimSun" w:hAnsi="Book Antiqua" w:cs="SimSun"/>
          <w:sz w:val="24"/>
          <w:szCs w:val="24"/>
        </w:rPr>
        <w:t> </w:t>
      </w:r>
      <w:r w:rsidRPr="00B90D32">
        <w:rPr>
          <w:rFonts w:ascii="Book Antiqua" w:eastAsia="SimSun" w:hAnsi="Book Antiqua" w:cs="SimSun"/>
          <w:b/>
          <w:bCs/>
          <w:sz w:val="24"/>
          <w:szCs w:val="24"/>
        </w:rPr>
        <w:t>Merli M</w:t>
      </w:r>
      <w:r w:rsidRPr="00B90D32">
        <w:rPr>
          <w:rFonts w:ascii="Book Antiqua" w:eastAsia="SimSun" w:hAnsi="Book Antiqua" w:cs="SimSun"/>
          <w:sz w:val="24"/>
          <w:szCs w:val="24"/>
        </w:rPr>
        <w:t>, Giusto M, Lucidi C, Giannelli V, Pentassuglio I, Di Gregorio V, Lattanzi B, Riggio O. Muscle depletion increases the risk of overt and minimal hepatic encephalopathy: results of a prospective study.</w:t>
      </w:r>
      <w:r w:rsidRPr="00C55E0B">
        <w:rPr>
          <w:rFonts w:ascii="Book Antiqua" w:eastAsia="SimSun" w:hAnsi="Book Antiqua" w:cs="SimSun"/>
          <w:sz w:val="24"/>
          <w:szCs w:val="24"/>
        </w:rPr>
        <w:t> </w:t>
      </w:r>
      <w:r w:rsidRPr="00B90D32">
        <w:rPr>
          <w:rFonts w:ascii="Book Antiqua" w:eastAsia="SimSun" w:hAnsi="Book Antiqua" w:cs="SimSun"/>
          <w:i/>
          <w:iCs/>
          <w:sz w:val="24"/>
          <w:szCs w:val="24"/>
        </w:rPr>
        <w:t>Metab Brain Dis</w:t>
      </w:r>
      <w:r w:rsidRPr="00C55E0B">
        <w:rPr>
          <w:rFonts w:ascii="Book Antiqua" w:eastAsia="SimSun" w:hAnsi="Book Antiqua" w:cs="SimSun"/>
          <w:sz w:val="24"/>
          <w:szCs w:val="24"/>
        </w:rPr>
        <w:t> </w:t>
      </w:r>
      <w:r w:rsidRPr="00B90D32">
        <w:rPr>
          <w:rFonts w:ascii="Book Antiqua" w:eastAsia="SimSun" w:hAnsi="Book Antiqua" w:cs="SimSun"/>
          <w:sz w:val="24"/>
          <w:szCs w:val="24"/>
        </w:rPr>
        <w:t>2013;</w:t>
      </w:r>
      <w:r w:rsidRPr="00C55E0B">
        <w:rPr>
          <w:rFonts w:ascii="Book Antiqua" w:eastAsia="SimSun" w:hAnsi="Book Antiqua" w:cs="SimSun"/>
          <w:sz w:val="24"/>
          <w:szCs w:val="24"/>
        </w:rPr>
        <w:t> </w:t>
      </w:r>
      <w:r w:rsidRPr="00B90D32">
        <w:rPr>
          <w:rFonts w:ascii="Book Antiqua" w:eastAsia="SimSun" w:hAnsi="Book Antiqua" w:cs="SimSun"/>
          <w:b/>
          <w:bCs/>
          <w:sz w:val="24"/>
          <w:szCs w:val="24"/>
        </w:rPr>
        <w:t>28</w:t>
      </w:r>
      <w:r w:rsidRPr="00B90D32">
        <w:rPr>
          <w:rFonts w:ascii="Book Antiqua" w:eastAsia="SimSun" w:hAnsi="Book Antiqua" w:cs="SimSun"/>
          <w:sz w:val="24"/>
          <w:szCs w:val="24"/>
        </w:rPr>
        <w:t>: 281-284 [PMID: 23224378 DOI: 10.1007/s11011-012-9365-z</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22</w:t>
      </w:r>
      <w:r w:rsidRPr="00C55E0B">
        <w:rPr>
          <w:rFonts w:ascii="Book Antiqua" w:eastAsia="SimSun" w:hAnsi="Book Antiqua" w:cs="SimSun"/>
          <w:sz w:val="24"/>
          <w:szCs w:val="24"/>
        </w:rPr>
        <w:t> </w:t>
      </w:r>
      <w:r w:rsidRPr="00B90D32">
        <w:rPr>
          <w:rFonts w:ascii="Book Antiqua" w:eastAsia="SimSun" w:hAnsi="Book Antiqua" w:cs="SimSun"/>
          <w:b/>
          <w:bCs/>
          <w:sz w:val="24"/>
          <w:szCs w:val="24"/>
        </w:rPr>
        <w:t>Sörös P</w:t>
      </w:r>
      <w:r w:rsidRPr="00B90D32">
        <w:rPr>
          <w:rFonts w:ascii="Book Antiqua" w:eastAsia="SimSun" w:hAnsi="Book Antiqua" w:cs="SimSun"/>
          <w:sz w:val="24"/>
          <w:szCs w:val="24"/>
        </w:rPr>
        <w:t>, Böttcher J, Weissenborn K, Selberg O, Müller MJ. Malnutrition and hypermetabolism are not risk factors for the presence of hepatic encephalopathy: a cross-sectional study.</w:t>
      </w:r>
      <w:r w:rsidRPr="00C55E0B">
        <w:rPr>
          <w:rFonts w:ascii="Book Antiqua" w:eastAsia="SimSun" w:hAnsi="Book Antiqua" w:cs="SimSun"/>
          <w:sz w:val="24"/>
          <w:szCs w:val="24"/>
        </w:rPr>
        <w:t> </w:t>
      </w:r>
      <w:r w:rsidRPr="00B90D32">
        <w:rPr>
          <w:rFonts w:ascii="Book Antiqua" w:eastAsia="SimSun" w:hAnsi="Book Antiqua" w:cs="SimSun"/>
          <w:i/>
          <w:iCs/>
          <w:sz w:val="24"/>
          <w:szCs w:val="24"/>
        </w:rPr>
        <w:t>J Gastroenterol Hepatol</w:t>
      </w:r>
      <w:r w:rsidRPr="00C55E0B">
        <w:rPr>
          <w:rFonts w:ascii="Book Antiqua" w:eastAsia="SimSun" w:hAnsi="Book Antiqua" w:cs="SimSun"/>
          <w:sz w:val="24"/>
          <w:szCs w:val="24"/>
        </w:rPr>
        <w:t> </w:t>
      </w:r>
      <w:r w:rsidRPr="00B90D32">
        <w:rPr>
          <w:rFonts w:ascii="Book Antiqua" w:eastAsia="SimSun" w:hAnsi="Book Antiqua" w:cs="SimSun"/>
          <w:sz w:val="24"/>
          <w:szCs w:val="24"/>
        </w:rPr>
        <w:t>2008;</w:t>
      </w:r>
      <w:r w:rsidRPr="00C55E0B">
        <w:rPr>
          <w:rFonts w:ascii="Book Antiqua" w:eastAsia="SimSun" w:hAnsi="Book Antiqua" w:cs="SimSun"/>
          <w:sz w:val="24"/>
          <w:szCs w:val="24"/>
        </w:rPr>
        <w:t> </w:t>
      </w:r>
      <w:r w:rsidRPr="00B90D32">
        <w:rPr>
          <w:rFonts w:ascii="Book Antiqua" w:eastAsia="SimSun" w:hAnsi="Book Antiqua" w:cs="SimSun"/>
          <w:b/>
          <w:bCs/>
          <w:sz w:val="24"/>
          <w:szCs w:val="24"/>
        </w:rPr>
        <w:t>23</w:t>
      </w:r>
      <w:r w:rsidRPr="00B90D32">
        <w:rPr>
          <w:rFonts w:ascii="Book Antiqua" w:eastAsia="SimSun" w:hAnsi="Book Antiqua" w:cs="SimSun"/>
          <w:sz w:val="24"/>
          <w:szCs w:val="24"/>
        </w:rPr>
        <w:t>: 606-610 [PMID: 18005013 DOI: 10.1111/j.1440-1746.2007.05222</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23</w:t>
      </w:r>
      <w:r w:rsidRPr="00C55E0B">
        <w:rPr>
          <w:rFonts w:ascii="Book Antiqua" w:eastAsia="SimSun" w:hAnsi="Book Antiqua" w:cs="SimSun"/>
          <w:sz w:val="24"/>
          <w:szCs w:val="24"/>
        </w:rPr>
        <w:t> </w:t>
      </w:r>
      <w:r w:rsidRPr="00B90D32">
        <w:rPr>
          <w:rFonts w:ascii="Book Antiqua" w:eastAsia="SimSun" w:hAnsi="Book Antiqua" w:cs="SimSun"/>
          <w:b/>
          <w:bCs/>
          <w:sz w:val="24"/>
          <w:szCs w:val="24"/>
        </w:rPr>
        <w:t>Kalaitzakis E</w:t>
      </w:r>
      <w:r w:rsidRPr="00B90D32">
        <w:rPr>
          <w:rFonts w:ascii="Book Antiqua" w:eastAsia="SimSun" w:hAnsi="Book Antiqua" w:cs="SimSun"/>
          <w:sz w:val="24"/>
          <w:szCs w:val="24"/>
        </w:rPr>
        <w:t>, Olsson R, Henfridsson P, Hugosson I, Bengtsson M, Jalan R, Björnsson E. Malnutrition and diabetes mellitus are related to hepatic encephalopathy in patients with liver cirrhosis.</w:t>
      </w:r>
      <w:r w:rsidRPr="00C55E0B">
        <w:rPr>
          <w:rFonts w:ascii="Book Antiqua" w:eastAsia="SimSun" w:hAnsi="Book Antiqua" w:cs="SimSun"/>
          <w:sz w:val="24"/>
          <w:szCs w:val="24"/>
        </w:rPr>
        <w:t> </w:t>
      </w:r>
      <w:r w:rsidRPr="00B90D32">
        <w:rPr>
          <w:rFonts w:ascii="Book Antiqua" w:eastAsia="SimSun" w:hAnsi="Book Antiqua" w:cs="SimSun"/>
          <w:i/>
          <w:iCs/>
          <w:sz w:val="24"/>
          <w:szCs w:val="24"/>
        </w:rPr>
        <w:t>Liver Int</w:t>
      </w:r>
      <w:r w:rsidRPr="00C55E0B">
        <w:rPr>
          <w:rFonts w:ascii="Book Antiqua" w:eastAsia="SimSun" w:hAnsi="Book Antiqua" w:cs="SimSun"/>
          <w:sz w:val="24"/>
          <w:szCs w:val="24"/>
        </w:rPr>
        <w:t> </w:t>
      </w:r>
      <w:r w:rsidRPr="00B90D32">
        <w:rPr>
          <w:rFonts w:ascii="Book Antiqua" w:eastAsia="SimSun" w:hAnsi="Book Antiqua" w:cs="SimSun"/>
          <w:sz w:val="24"/>
          <w:szCs w:val="24"/>
        </w:rPr>
        <w:t>2007;</w:t>
      </w:r>
      <w:r w:rsidRPr="00C55E0B">
        <w:rPr>
          <w:rFonts w:ascii="Book Antiqua" w:eastAsia="SimSun" w:hAnsi="Book Antiqua" w:cs="SimSun"/>
          <w:sz w:val="24"/>
          <w:szCs w:val="24"/>
        </w:rPr>
        <w:t> </w:t>
      </w:r>
      <w:r w:rsidRPr="00B90D32">
        <w:rPr>
          <w:rFonts w:ascii="Book Antiqua" w:eastAsia="SimSun" w:hAnsi="Book Antiqua" w:cs="SimSun"/>
          <w:b/>
          <w:bCs/>
          <w:sz w:val="24"/>
          <w:szCs w:val="24"/>
        </w:rPr>
        <w:t>27</w:t>
      </w:r>
      <w:r w:rsidRPr="00B90D32">
        <w:rPr>
          <w:rFonts w:ascii="Book Antiqua" w:eastAsia="SimSun" w:hAnsi="Book Antiqua" w:cs="SimSun"/>
          <w:sz w:val="24"/>
          <w:szCs w:val="24"/>
        </w:rPr>
        <w:t>: 1194-1201 [PMID: 17919230 DOI: 10.1111/j.1478-3231.2007.01562.x]</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24</w:t>
      </w:r>
      <w:r w:rsidRPr="00C55E0B">
        <w:rPr>
          <w:rFonts w:ascii="Book Antiqua" w:eastAsia="SimSun" w:hAnsi="Book Antiqua" w:cs="SimSun"/>
          <w:sz w:val="24"/>
          <w:szCs w:val="24"/>
        </w:rPr>
        <w:t> </w:t>
      </w:r>
      <w:r w:rsidRPr="00B90D32">
        <w:rPr>
          <w:rFonts w:ascii="Book Antiqua" w:eastAsia="SimSun" w:hAnsi="Book Antiqua" w:cs="SimSun"/>
          <w:b/>
          <w:bCs/>
          <w:sz w:val="24"/>
          <w:szCs w:val="24"/>
        </w:rPr>
        <w:t>Montano-Loza AJ</w:t>
      </w:r>
      <w:r w:rsidRPr="00B90D32">
        <w:rPr>
          <w:rFonts w:ascii="Book Antiqua" w:eastAsia="SimSun" w:hAnsi="Book Antiqua" w:cs="SimSun"/>
          <w:sz w:val="24"/>
          <w:szCs w:val="24"/>
        </w:rPr>
        <w:t>, Meza-Junco J, Baracos VE, Prado CM, Ma M, Meeberg G, Beaumont C, Tandon P, Esfandiari N, Sawyer MB, Kneteman N. Severe muscle depletion predicts postoperative length of stay but is not associated with survival after liver transplantation.</w:t>
      </w:r>
      <w:r w:rsidRPr="00C55E0B">
        <w:rPr>
          <w:rFonts w:ascii="Book Antiqua" w:eastAsia="SimSun" w:hAnsi="Book Antiqua" w:cs="SimSun"/>
          <w:sz w:val="24"/>
          <w:szCs w:val="24"/>
        </w:rPr>
        <w:t> </w:t>
      </w:r>
      <w:r w:rsidRPr="00B90D32">
        <w:rPr>
          <w:rFonts w:ascii="Book Antiqua" w:eastAsia="SimSun" w:hAnsi="Book Antiqua" w:cs="SimSun"/>
          <w:i/>
          <w:iCs/>
          <w:sz w:val="24"/>
          <w:szCs w:val="24"/>
        </w:rPr>
        <w:t>Liver Transpl</w:t>
      </w:r>
      <w:r w:rsidRPr="00C55E0B">
        <w:rPr>
          <w:rFonts w:ascii="Book Antiqua" w:eastAsia="SimSun" w:hAnsi="Book Antiqua" w:cs="SimSun"/>
          <w:sz w:val="24"/>
          <w:szCs w:val="24"/>
        </w:rPr>
        <w:t> </w:t>
      </w:r>
      <w:r w:rsidRPr="00B90D32">
        <w:rPr>
          <w:rFonts w:ascii="Book Antiqua" w:eastAsia="SimSun" w:hAnsi="Book Antiqua" w:cs="SimSun"/>
          <w:sz w:val="24"/>
          <w:szCs w:val="24"/>
        </w:rPr>
        <w:t>2014;</w:t>
      </w:r>
      <w:r w:rsidRPr="00C55E0B">
        <w:rPr>
          <w:rFonts w:ascii="Book Antiqua" w:eastAsia="SimSun" w:hAnsi="Book Antiqua" w:cs="SimSun"/>
          <w:sz w:val="24"/>
          <w:szCs w:val="24"/>
        </w:rPr>
        <w:t> </w:t>
      </w:r>
      <w:r w:rsidRPr="00B90D32">
        <w:rPr>
          <w:rFonts w:ascii="Book Antiqua" w:eastAsia="SimSun" w:hAnsi="Book Antiqua" w:cs="SimSun"/>
          <w:b/>
          <w:bCs/>
          <w:sz w:val="24"/>
          <w:szCs w:val="24"/>
        </w:rPr>
        <w:t>20</w:t>
      </w:r>
      <w:r w:rsidRPr="00B90D32">
        <w:rPr>
          <w:rFonts w:ascii="Book Antiqua" w:eastAsia="SimSun" w:hAnsi="Book Antiqua" w:cs="SimSun"/>
          <w:sz w:val="24"/>
          <w:szCs w:val="24"/>
        </w:rPr>
        <w:t>: 640-648 [PMID: 24678005 DOI: 10.1002/lt.23863</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lastRenderedPageBreak/>
        <w:t>25</w:t>
      </w:r>
      <w:r w:rsidRPr="00C55E0B">
        <w:rPr>
          <w:rFonts w:ascii="Book Antiqua" w:eastAsia="SimSun" w:hAnsi="Book Antiqua" w:cs="SimSun"/>
          <w:sz w:val="24"/>
          <w:szCs w:val="24"/>
        </w:rPr>
        <w:t> </w:t>
      </w:r>
      <w:r w:rsidRPr="00B90D32">
        <w:rPr>
          <w:rFonts w:ascii="Book Antiqua" w:eastAsia="SimSun" w:hAnsi="Book Antiqua" w:cs="SimSun"/>
          <w:b/>
          <w:bCs/>
          <w:sz w:val="24"/>
          <w:szCs w:val="24"/>
        </w:rPr>
        <w:t>Norman K</w:t>
      </w:r>
      <w:r w:rsidRPr="00B90D32">
        <w:rPr>
          <w:rFonts w:ascii="Book Antiqua" w:eastAsia="SimSun" w:hAnsi="Book Antiqua" w:cs="SimSun"/>
          <w:sz w:val="24"/>
          <w:szCs w:val="24"/>
        </w:rPr>
        <w:t>, Pirlich M, Schulzke JD, Smoliner C, Lochs H, Valentini L, Bühner S. Increased intestinal permeability in malnourished patients with liver cirrhosis.</w:t>
      </w:r>
      <w:r w:rsidRPr="00C55E0B">
        <w:rPr>
          <w:rFonts w:ascii="Book Antiqua" w:eastAsia="SimSun" w:hAnsi="Book Antiqua" w:cs="SimSun"/>
          <w:sz w:val="24"/>
          <w:szCs w:val="24"/>
        </w:rPr>
        <w:t> </w:t>
      </w:r>
      <w:r w:rsidRPr="00B90D32">
        <w:rPr>
          <w:rFonts w:ascii="Book Antiqua" w:eastAsia="SimSun" w:hAnsi="Book Antiqua" w:cs="SimSun"/>
          <w:i/>
          <w:iCs/>
          <w:sz w:val="24"/>
          <w:szCs w:val="24"/>
        </w:rPr>
        <w:t>Eur J Clin Nutr</w:t>
      </w:r>
      <w:r w:rsidRPr="00C55E0B">
        <w:rPr>
          <w:rFonts w:ascii="Book Antiqua" w:eastAsia="SimSun" w:hAnsi="Book Antiqua" w:cs="SimSun"/>
          <w:sz w:val="24"/>
          <w:szCs w:val="24"/>
        </w:rPr>
        <w:t> </w:t>
      </w:r>
      <w:r w:rsidRPr="00B90D32">
        <w:rPr>
          <w:rFonts w:ascii="Book Antiqua" w:eastAsia="SimSun" w:hAnsi="Book Antiqua" w:cs="SimSun"/>
          <w:sz w:val="24"/>
          <w:szCs w:val="24"/>
        </w:rPr>
        <w:t>2012;</w:t>
      </w:r>
      <w:r w:rsidRPr="00C55E0B">
        <w:rPr>
          <w:rFonts w:ascii="Book Antiqua" w:eastAsia="SimSun" w:hAnsi="Book Antiqua" w:cs="SimSun"/>
          <w:sz w:val="24"/>
          <w:szCs w:val="24"/>
        </w:rPr>
        <w:t> </w:t>
      </w:r>
      <w:r w:rsidRPr="00B90D32">
        <w:rPr>
          <w:rFonts w:ascii="Book Antiqua" w:eastAsia="SimSun" w:hAnsi="Book Antiqua" w:cs="SimSun"/>
          <w:b/>
          <w:bCs/>
          <w:sz w:val="24"/>
          <w:szCs w:val="24"/>
        </w:rPr>
        <w:t>66</w:t>
      </w:r>
      <w:r w:rsidRPr="00B90D32">
        <w:rPr>
          <w:rFonts w:ascii="Book Antiqua" w:eastAsia="SimSun" w:hAnsi="Book Antiqua" w:cs="SimSun"/>
          <w:sz w:val="24"/>
          <w:szCs w:val="24"/>
        </w:rPr>
        <w:t>: 1116-1119 [PMID: 22872031 DOI: 10.1038/ejcn.2012.104</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26</w:t>
      </w:r>
      <w:r w:rsidRPr="00C55E0B">
        <w:rPr>
          <w:rFonts w:ascii="Book Antiqua" w:eastAsia="SimSun" w:hAnsi="Book Antiqua" w:cs="SimSun"/>
          <w:sz w:val="24"/>
          <w:szCs w:val="24"/>
        </w:rPr>
        <w:t> </w:t>
      </w:r>
      <w:r w:rsidRPr="00B90D32">
        <w:rPr>
          <w:rFonts w:ascii="Book Antiqua" w:eastAsia="SimSun" w:hAnsi="Book Antiqua" w:cs="SimSun"/>
          <w:b/>
          <w:bCs/>
          <w:sz w:val="24"/>
          <w:szCs w:val="24"/>
        </w:rPr>
        <w:t>Pirlich M</w:t>
      </w:r>
      <w:r w:rsidRPr="00B90D32">
        <w:rPr>
          <w:rFonts w:ascii="Book Antiqua" w:eastAsia="SimSun" w:hAnsi="Book Antiqua" w:cs="SimSun"/>
          <w:sz w:val="24"/>
          <w:szCs w:val="24"/>
        </w:rPr>
        <w:t>, Norman K, Lochs H, Bauditz J. Role of intestinal function in cachexia.</w:t>
      </w:r>
      <w:r w:rsidRPr="00C55E0B">
        <w:rPr>
          <w:rFonts w:ascii="Book Antiqua" w:eastAsia="SimSun" w:hAnsi="Book Antiqua" w:cs="SimSun"/>
          <w:sz w:val="24"/>
          <w:szCs w:val="24"/>
        </w:rPr>
        <w:t> </w:t>
      </w:r>
      <w:r w:rsidRPr="00B90D32">
        <w:rPr>
          <w:rFonts w:ascii="Book Antiqua" w:eastAsia="SimSun" w:hAnsi="Book Antiqua" w:cs="SimSun"/>
          <w:i/>
          <w:iCs/>
          <w:sz w:val="24"/>
          <w:szCs w:val="24"/>
        </w:rPr>
        <w:t>Curr Opin Clin Nutr Metab Care</w:t>
      </w:r>
      <w:r w:rsidRPr="00C55E0B">
        <w:rPr>
          <w:rFonts w:ascii="Book Antiqua" w:eastAsia="SimSun" w:hAnsi="Book Antiqua" w:cs="SimSun"/>
          <w:sz w:val="24"/>
          <w:szCs w:val="24"/>
        </w:rPr>
        <w:t> </w:t>
      </w:r>
      <w:r w:rsidRPr="00B90D32">
        <w:rPr>
          <w:rFonts w:ascii="Book Antiqua" w:eastAsia="SimSun" w:hAnsi="Book Antiqua" w:cs="SimSun"/>
          <w:sz w:val="24"/>
          <w:szCs w:val="24"/>
        </w:rPr>
        <w:t>2006;</w:t>
      </w:r>
      <w:r w:rsidRPr="00C55E0B">
        <w:rPr>
          <w:rFonts w:ascii="Book Antiqua" w:eastAsia="SimSun" w:hAnsi="Book Antiqua" w:cs="SimSun"/>
          <w:sz w:val="24"/>
          <w:szCs w:val="24"/>
        </w:rPr>
        <w:t> </w:t>
      </w:r>
      <w:r w:rsidRPr="00B90D32">
        <w:rPr>
          <w:rFonts w:ascii="Book Antiqua" w:eastAsia="SimSun" w:hAnsi="Book Antiqua" w:cs="SimSun"/>
          <w:b/>
          <w:bCs/>
          <w:sz w:val="24"/>
          <w:szCs w:val="24"/>
        </w:rPr>
        <w:t>9</w:t>
      </w:r>
      <w:r w:rsidRPr="00B90D32">
        <w:rPr>
          <w:rFonts w:ascii="Book Antiqua" w:eastAsia="SimSun" w:hAnsi="Book Antiqua" w:cs="SimSun"/>
          <w:sz w:val="24"/>
          <w:szCs w:val="24"/>
        </w:rPr>
        <w:t>: 603-606 [PMID: 16912557 DOI: 10.1097/01.mco.0000241671.09676.d8</w:t>
      </w:r>
      <w:r w:rsidRPr="00C55E0B">
        <w:rPr>
          <w:rFonts w:ascii="Book Antiqua" w:eastAsia="SimSun" w:hAnsi="Book Antiqua" w:cs="SimSun"/>
          <w:sz w:val="24"/>
          <w:szCs w:val="24"/>
        </w:rPr>
        <w:t>]</w:t>
      </w:r>
    </w:p>
    <w:p w:rsidR="00C55E0B" w:rsidRPr="00B90D32" w:rsidRDefault="00C55E0B" w:rsidP="00C55E0B">
      <w:pPr>
        <w:spacing w:after="0" w:line="360" w:lineRule="auto"/>
        <w:jc w:val="both"/>
        <w:rPr>
          <w:rFonts w:ascii="Book Antiqua" w:eastAsia="SimSun" w:hAnsi="Book Antiqua" w:cs="SimSun"/>
          <w:sz w:val="24"/>
          <w:szCs w:val="24"/>
        </w:rPr>
      </w:pPr>
      <w:r w:rsidRPr="00B90D32">
        <w:rPr>
          <w:rFonts w:ascii="Book Antiqua" w:eastAsia="SimSun" w:hAnsi="Book Antiqua" w:cs="SimSun"/>
          <w:sz w:val="24"/>
          <w:szCs w:val="24"/>
        </w:rPr>
        <w:t>27</w:t>
      </w:r>
      <w:r w:rsidRPr="00C55E0B">
        <w:rPr>
          <w:rFonts w:ascii="Book Antiqua" w:eastAsia="SimSun" w:hAnsi="Book Antiqua" w:cs="SimSun"/>
          <w:sz w:val="24"/>
          <w:szCs w:val="24"/>
        </w:rPr>
        <w:t> </w:t>
      </w:r>
      <w:r w:rsidRPr="00B90D32">
        <w:rPr>
          <w:rFonts w:ascii="Book Antiqua" w:eastAsia="SimSun" w:hAnsi="Book Antiqua" w:cs="SimSun"/>
          <w:b/>
          <w:bCs/>
          <w:sz w:val="24"/>
          <w:szCs w:val="24"/>
        </w:rPr>
        <w:t>Chandra RK</w:t>
      </w:r>
      <w:r w:rsidRPr="00B90D32">
        <w:rPr>
          <w:rFonts w:ascii="Book Antiqua" w:eastAsia="SimSun" w:hAnsi="Book Antiqua" w:cs="SimSun"/>
          <w:sz w:val="24"/>
          <w:szCs w:val="24"/>
        </w:rPr>
        <w:t>. Nutrition, immunity and infection: from basic knowledge of dietary manipulation of immune responses to practical application of ameliorating suffering and improving survival.</w:t>
      </w:r>
      <w:r w:rsidRPr="00C55E0B">
        <w:rPr>
          <w:rFonts w:ascii="Book Antiqua" w:eastAsia="SimSun" w:hAnsi="Book Antiqua" w:cs="SimSun"/>
          <w:sz w:val="24"/>
          <w:szCs w:val="24"/>
        </w:rPr>
        <w:t> </w:t>
      </w:r>
      <w:r w:rsidRPr="00B90D32">
        <w:rPr>
          <w:rFonts w:ascii="Book Antiqua" w:eastAsia="SimSun" w:hAnsi="Book Antiqua" w:cs="SimSun"/>
          <w:i/>
          <w:iCs/>
          <w:sz w:val="24"/>
          <w:szCs w:val="24"/>
        </w:rPr>
        <w:t>Proc Natl Acad Sci U S A</w:t>
      </w:r>
      <w:r w:rsidRPr="00C55E0B">
        <w:rPr>
          <w:rFonts w:ascii="Book Antiqua" w:eastAsia="SimSun" w:hAnsi="Book Antiqua" w:cs="SimSun"/>
          <w:sz w:val="24"/>
          <w:szCs w:val="24"/>
        </w:rPr>
        <w:t> </w:t>
      </w:r>
      <w:r w:rsidRPr="00B90D32">
        <w:rPr>
          <w:rFonts w:ascii="Book Antiqua" w:eastAsia="SimSun" w:hAnsi="Book Antiqua" w:cs="SimSun"/>
          <w:sz w:val="24"/>
          <w:szCs w:val="24"/>
        </w:rPr>
        <w:t>1996;</w:t>
      </w:r>
      <w:r w:rsidRPr="00C55E0B">
        <w:rPr>
          <w:rFonts w:ascii="Book Antiqua" w:eastAsia="SimSun" w:hAnsi="Book Antiqua" w:cs="SimSun"/>
          <w:sz w:val="24"/>
          <w:szCs w:val="24"/>
        </w:rPr>
        <w:t> </w:t>
      </w:r>
      <w:r w:rsidRPr="00B90D32">
        <w:rPr>
          <w:rFonts w:ascii="Book Antiqua" w:eastAsia="SimSun" w:hAnsi="Book Antiqua" w:cs="SimSun"/>
          <w:b/>
          <w:bCs/>
          <w:sz w:val="24"/>
          <w:szCs w:val="24"/>
        </w:rPr>
        <w:t>93</w:t>
      </w:r>
      <w:r w:rsidRPr="00B90D32">
        <w:rPr>
          <w:rFonts w:ascii="Book Antiqua" w:eastAsia="SimSun" w:hAnsi="Book Antiqua" w:cs="SimSun"/>
          <w:sz w:val="24"/>
          <w:szCs w:val="24"/>
        </w:rPr>
        <w:t>: 14304-14307 [PMID: 8962043]</w:t>
      </w:r>
    </w:p>
    <w:p w:rsidR="00C55E0B" w:rsidRPr="00C55E0B" w:rsidRDefault="00C55E0B" w:rsidP="00C55E0B">
      <w:pPr>
        <w:autoSpaceDE w:val="0"/>
        <w:autoSpaceDN w:val="0"/>
        <w:adjustRightInd w:val="0"/>
        <w:snapToGrid w:val="0"/>
        <w:spacing w:after="0" w:line="360" w:lineRule="auto"/>
        <w:jc w:val="both"/>
        <w:rPr>
          <w:rStyle w:val="Strong"/>
          <w:rFonts w:ascii="Book Antiqua" w:hAnsi="Book Antiqua" w:cs="Arial"/>
          <w:bCs w:val="0"/>
          <w:noProof/>
          <w:color w:val="000000"/>
          <w:sz w:val="24"/>
          <w:szCs w:val="24"/>
          <w:lang w:eastAsia="zh-CN"/>
        </w:rPr>
      </w:pPr>
    </w:p>
    <w:p w:rsidR="00AE6E73" w:rsidRPr="00C55E0B" w:rsidRDefault="00AE6E73" w:rsidP="00C55E0B">
      <w:pPr>
        <w:spacing w:after="0" w:line="360" w:lineRule="auto"/>
        <w:ind w:right="120"/>
        <w:rPr>
          <w:rFonts w:ascii="Book Antiqua" w:eastAsia="SimSun" w:hAnsi="Book Antiqua"/>
          <w:b/>
          <w:bCs/>
          <w:color w:val="000000"/>
          <w:sz w:val="24"/>
          <w:szCs w:val="24"/>
          <w:lang w:eastAsia="zh-CN"/>
        </w:rPr>
      </w:pPr>
      <w:r w:rsidRPr="00C55E0B">
        <w:rPr>
          <w:rStyle w:val="Strong"/>
          <w:rFonts w:ascii="Book Antiqua" w:hAnsi="Book Antiqua" w:cs="Arial"/>
          <w:bCs w:val="0"/>
          <w:noProof/>
          <w:color w:val="000000"/>
          <w:sz w:val="24"/>
          <w:szCs w:val="24"/>
        </w:rPr>
        <w:t>P-Reviewer</w:t>
      </w:r>
      <w:r w:rsidRPr="00C55E0B">
        <w:rPr>
          <w:rStyle w:val="Strong"/>
          <w:rFonts w:ascii="Book Antiqua" w:eastAsia="SimSun" w:hAnsi="Book Antiqua" w:cs="Arial"/>
          <w:bCs w:val="0"/>
          <w:noProof/>
          <w:color w:val="000000"/>
          <w:sz w:val="24"/>
          <w:szCs w:val="24"/>
          <w:lang w:eastAsia="zh-CN"/>
        </w:rPr>
        <w:t>:</w:t>
      </w:r>
      <w:r w:rsidRPr="00C55E0B">
        <w:rPr>
          <w:rFonts w:ascii="Book Antiqua" w:hAnsi="Book Antiqua"/>
          <w:bCs/>
          <w:color w:val="000000"/>
          <w:sz w:val="24"/>
          <w:szCs w:val="24"/>
        </w:rPr>
        <w:t xml:space="preserve">  </w:t>
      </w:r>
      <w:r w:rsidR="00C55E0B" w:rsidRPr="00C55E0B">
        <w:rPr>
          <w:rFonts w:ascii="Book Antiqua" w:hAnsi="Book Antiqua"/>
          <w:bCs/>
          <w:color w:val="000000"/>
          <w:sz w:val="24"/>
          <w:szCs w:val="24"/>
        </w:rPr>
        <w:t>He</w:t>
      </w:r>
      <w:r w:rsidR="00C55E0B" w:rsidRPr="00C55E0B">
        <w:rPr>
          <w:rFonts w:ascii="Book Antiqua" w:hAnsi="Book Antiqua"/>
          <w:bCs/>
          <w:color w:val="000000"/>
          <w:sz w:val="24"/>
          <w:szCs w:val="24"/>
          <w:lang w:eastAsia="zh-CN"/>
        </w:rPr>
        <w:t xml:space="preserve"> ST, Xavier-Elsas P,</w:t>
      </w:r>
      <w:r w:rsidRPr="00C55E0B">
        <w:rPr>
          <w:rFonts w:ascii="Book Antiqua" w:hAnsi="Book Antiqua"/>
          <w:bCs/>
          <w:color w:val="000000"/>
          <w:sz w:val="24"/>
          <w:szCs w:val="24"/>
        </w:rPr>
        <w:t xml:space="preserve">  </w:t>
      </w:r>
      <w:r w:rsidRPr="00C55E0B">
        <w:rPr>
          <w:rFonts w:ascii="Book Antiqua" w:hAnsi="Book Antiqua"/>
          <w:b/>
          <w:bCs/>
          <w:color w:val="000000"/>
          <w:sz w:val="24"/>
          <w:szCs w:val="24"/>
        </w:rPr>
        <w:t>S-Editor</w:t>
      </w:r>
      <w:r w:rsidRPr="00C55E0B">
        <w:rPr>
          <w:rFonts w:ascii="Book Antiqua" w:eastAsia="SimSun" w:hAnsi="Book Antiqua"/>
          <w:b/>
          <w:bCs/>
          <w:color w:val="000000"/>
          <w:sz w:val="24"/>
          <w:szCs w:val="24"/>
          <w:lang w:eastAsia="zh-CN"/>
        </w:rPr>
        <w:t>:</w:t>
      </w:r>
      <w:r w:rsidRPr="00C55E0B">
        <w:rPr>
          <w:rFonts w:ascii="Book Antiqua" w:hAnsi="Book Antiqua"/>
          <w:bCs/>
          <w:color w:val="000000"/>
          <w:sz w:val="24"/>
          <w:szCs w:val="24"/>
        </w:rPr>
        <w:t xml:space="preserve"> </w:t>
      </w:r>
      <w:r w:rsidRPr="00C55E0B">
        <w:rPr>
          <w:rFonts w:ascii="Book Antiqua" w:eastAsia="SimSun" w:hAnsi="Book Antiqua"/>
          <w:bCs/>
          <w:color w:val="000000"/>
          <w:sz w:val="24"/>
          <w:szCs w:val="24"/>
          <w:lang w:eastAsia="zh-CN"/>
        </w:rPr>
        <w:t>Qi Y</w:t>
      </w:r>
      <w:r w:rsidRPr="00C55E0B">
        <w:rPr>
          <w:rFonts w:ascii="Book Antiqua" w:hAnsi="Book Antiqua"/>
          <w:b/>
          <w:bCs/>
          <w:color w:val="000000"/>
          <w:sz w:val="24"/>
          <w:szCs w:val="24"/>
        </w:rPr>
        <w:t xml:space="preserve">   L-Editor</w:t>
      </w:r>
      <w:r w:rsidRPr="00C55E0B">
        <w:rPr>
          <w:rFonts w:ascii="Book Antiqua" w:eastAsia="SimSun" w:hAnsi="Book Antiqua"/>
          <w:b/>
          <w:bCs/>
          <w:color w:val="000000"/>
          <w:sz w:val="24"/>
          <w:szCs w:val="24"/>
          <w:lang w:eastAsia="zh-CN"/>
        </w:rPr>
        <w:t>:</w:t>
      </w:r>
      <w:r w:rsidRPr="00C55E0B">
        <w:rPr>
          <w:rFonts w:ascii="Book Antiqua" w:hAnsi="Book Antiqua"/>
          <w:b/>
          <w:bCs/>
          <w:color w:val="000000"/>
          <w:sz w:val="24"/>
          <w:szCs w:val="24"/>
        </w:rPr>
        <w:t xml:space="preserve">   E-Editor</w:t>
      </w:r>
      <w:r w:rsidRPr="00C55E0B">
        <w:rPr>
          <w:rFonts w:ascii="Book Antiqua" w:eastAsia="SimSun" w:hAnsi="Book Antiqua"/>
          <w:b/>
          <w:bCs/>
          <w:color w:val="000000"/>
          <w:sz w:val="24"/>
          <w:szCs w:val="24"/>
          <w:lang w:eastAsia="zh-CN"/>
        </w:rPr>
        <w:t>:</w:t>
      </w:r>
    </w:p>
    <w:p w:rsidR="005620E9" w:rsidRDefault="005620E9" w:rsidP="00C55E0B">
      <w:pPr>
        <w:shd w:val="clear" w:color="auto" w:fill="FFFFFF"/>
        <w:snapToGrid w:val="0"/>
        <w:spacing w:after="0" w:line="360" w:lineRule="auto"/>
        <w:rPr>
          <w:rFonts w:ascii="Book Antiqua" w:hAnsi="Book Antiqua" w:cs="Helvetica"/>
          <w:b/>
          <w:sz w:val="24"/>
          <w:szCs w:val="24"/>
          <w:lang w:eastAsia="zh-CN"/>
        </w:rPr>
      </w:pPr>
    </w:p>
    <w:p w:rsidR="00AE6E73" w:rsidRPr="00C55E0B" w:rsidRDefault="00AE6E73" w:rsidP="00C55E0B">
      <w:pPr>
        <w:shd w:val="clear" w:color="auto" w:fill="FFFFFF"/>
        <w:snapToGrid w:val="0"/>
        <w:spacing w:after="0" w:line="360" w:lineRule="auto"/>
        <w:rPr>
          <w:rFonts w:ascii="Book Antiqua" w:hAnsi="Book Antiqua" w:cs="Helvetica"/>
          <w:b/>
          <w:sz w:val="24"/>
          <w:szCs w:val="24"/>
        </w:rPr>
      </w:pPr>
      <w:r w:rsidRPr="00C55E0B">
        <w:rPr>
          <w:rFonts w:ascii="Book Antiqua" w:hAnsi="Book Antiqua" w:cs="Helvetica"/>
          <w:b/>
          <w:sz w:val="24"/>
          <w:szCs w:val="24"/>
        </w:rPr>
        <w:t xml:space="preserve">Specialty type: </w:t>
      </w:r>
      <w:r w:rsidRPr="00C55E0B">
        <w:rPr>
          <w:rFonts w:ascii="Book Antiqua" w:hAnsi="Book Antiqua" w:cs="Helvetica"/>
          <w:sz w:val="24"/>
          <w:szCs w:val="24"/>
        </w:rPr>
        <w:t>Gastroenterology and hepatology</w:t>
      </w:r>
    </w:p>
    <w:p w:rsidR="00AE6E73" w:rsidRPr="00C55E0B" w:rsidRDefault="00AE6E73" w:rsidP="00C55E0B">
      <w:pPr>
        <w:shd w:val="clear" w:color="auto" w:fill="FFFFFF"/>
        <w:snapToGrid w:val="0"/>
        <w:spacing w:after="0" w:line="360" w:lineRule="auto"/>
        <w:rPr>
          <w:rFonts w:ascii="Book Antiqua" w:hAnsi="Book Antiqua" w:cs="Helvetica"/>
          <w:b/>
          <w:sz w:val="24"/>
          <w:szCs w:val="24"/>
        </w:rPr>
      </w:pPr>
      <w:r w:rsidRPr="00C55E0B">
        <w:rPr>
          <w:rFonts w:ascii="Book Antiqua" w:hAnsi="Book Antiqua" w:cs="Helvetica"/>
          <w:b/>
          <w:sz w:val="24"/>
          <w:szCs w:val="24"/>
        </w:rPr>
        <w:t xml:space="preserve">Country of origin: </w:t>
      </w:r>
      <w:r w:rsidR="00C55E0B" w:rsidRPr="00C55E0B">
        <w:rPr>
          <w:rFonts w:ascii="Book Antiqua" w:hAnsi="Book Antiqua" w:cs="Helvetica"/>
          <w:sz w:val="24"/>
          <w:szCs w:val="24"/>
        </w:rPr>
        <w:t>Mexico</w:t>
      </w:r>
    </w:p>
    <w:p w:rsidR="00AE6E73" w:rsidRPr="00C55E0B" w:rsidRDefault="00AE6E73" w:rsidP="00C55E0B">
      <w:pPr>
        <w:shd w:val="clear" w:color="auto" w:fill="FFFFFF"/>
        <w:snapToGrid w:val="0"/>
        <w:spacing w:after="0" w:line="360" w:lineRule="auto"/>
        <w:rPr>
          <w:rFonts w:ascii="Book Antiqua" w:hAnsi="Book Antiqua" w:cs="Helvetica"/>
          <w:b/>
          <w:sz w:val="24"/>
          <w:szCs w:val="24"/>
        </w:rPr>
      </w:pPr>
      <w:r w:rsidRPr="00C55E0B">
        <w:rPr>
          <w:rFonts w:ascii="Book Antiqua" w:hAnsi="Book Antiqua" w:cs="Helvetica"/>
          <w:b/>
          <w:sz w:val="24"/>
          <w:szCs w:val="24"/>
        </w:rPr>
        <w:t>Peer-review report classification</w:t>
      </w:r>
    </w:p>
    <w:p w:rsidR="00AE6E73" w:rsidRPr="00C55E0B" w:rsidRDefault="00AE6E73" w:rsidP="00C55E0B">
      <w:pPr>
        <w:shd w:val="clear" w:color="auto" w:fill="FFFFFF"/>
        <w:snapToGrid w:val="0"/>
        <w:spacing w:after="0" w:line="360" w:lineRule="auto"/>
        <w:rPr>
          <w:rFonts w:ascii="Book Antiqua" w:hAnsi="Book Antiqua" w:cs="Helvetica"/>
          <w:sz w:val="24"/>
          <w:szCs w:val="24"/>
          <w:lang w:eastAsia="zh-CN"/>
        </w:rPr>
      </w:pPr>
      <w:r w:rsidRPr="00C55E0B">
        <w:rPr>
          <w:rFonts w:ascii="Book Antiqua" w:hAnsi="Book Antiqua" w:cs="Helvetica"/>
          <w:sz w:val="24"/>
          <w:szCs w:val="24"/>
        </w:rPr>
        <w:t xml:space="preserve">Grade A (Excellent): </w:t>
      </w:r>
      <w:r w:rsidR="00C55E0B" w:rsidRPr="00C55E0B">
        <w:rPr>
          <w:rFonts w:ascii="Book Antiqua" w:hAnsi="Book Antiqua" w:cs="Helvetica"/>
          <w:sz w:val="24"/>
          <w:szCs w:val="24"/>
          <w:lang w:eastAsia="zh-CN"/>
        </w:rPr>
        <w:t>A</w:t>
      </w:r>
    </w:p>
    <w:p w:rsidR="00AE6E73" w:rsidRPr="00C55E0B" w:rsidRDefault="00AE6E73" w:rsidP="00C55E0B">
      <w:pPr>
        <w:shd w:val="clear" w:color="auto" w:fill="FFFFFF"/>
        <w:snapToGrid w:val="0"/>
        <w:spacing w:after="0" w:line="360" w:lineRule="auto"/>
        <w:rPr>
          <w:rFonts w:ascii="Book Antiqua" w:hAnsi="Book Antiqua" w:cs="Helvetica"/>
          <w:sz w:val="24"/>
          <w:szCs w:val="24"/>
          <w:lang w:eastAsia="zh-CN"/>
        </w:rPr>
      </w:pPr>
      <w:r w:rsidRPr="00C55E0B">
        <w:rPr>
          <w:rFonts w:ascii="Book Antiqua" w:hAnsi="Book Antiqua" w:cs="Helvetica"/>
          <w:sz w:val="24"/>
          <w:szCs w:val="24"/>
        </w:rPr>
        <w:t xml:space="preserve">Grade B (Very good): </w:t>
      </w:r>
      <w:r w:rsidR="00C55E0B" w:rsidRPr="00C55E0B">
        <w:rPr>
          <w:rFonts w:ascii="Book Antiqua" w:hAnsi="Book Antiqua" w:cs="Helvetica"/>
          <w:sz w:val="24"/>
          <w:szCs w:val="24"/>
          <w:lang w:eastAsia="zh-CN"/>
        </w:rPr>
        <w:t>B</w:t>
      </w:r>
    </w:p>
    <w:p w:rsidR="00AE6E73" w:rsidRPr="00C55E0B" w:rsidRDefault="00AE6E73" w:rsidP="00C55E0B">
      <w:pPr>
        <w:shd w:val="clear" w:color="auto" w:fill="FFFFFF"/>
        <w:snapToGrid w:val="0"/>
        <w:spacing w:after="0" w:line="360" w:lineRule="auto"/>
        <w:rPr>
          <w:rFonts w:ascii="Book Antiqua" w:hAnsi="Book Antiqua" w:cs="Helvetica"/>
          <w:sz w:val="24"/>
          <w:szCs w:val="24"/>
        </w:rPr>
      </w:pPr>
      <w:r w:rsidRPr="00C55E0B">
        <w:rPr>
          <w:rFonts w:ascii="Book Antiqua" w:hAnsi="Book Antiqua" w:cs="Helvetica"/>
          <w:sz w:val="24"/>
          <w:szCs w:val="24"/>
        </w:rPr>
        <w:t>Grade C (Good): 0</w:t>
      </w:r>
    </w:p>
    <w:p w:rsidR="00AE6E73" w:rsidRPr="00C55E0B" w:rsidRDefault="00AE6E73" w:rsidP="00C55E0B">
      <w:pPr>
        <w:shd w:val="clear" w:color="auto" w:fill="FFFFFF"/>
        <w:snapToGrid w:val="0"/>
        <w:spacing w:after="0" w:line="360" w:lineRule="auto"/>
        <w:rPr>
          <w:rFonts w:ascii="Book Antiqua" w:hAnsi="Book Antiqua" w:cs="Helvetica"/>
          <w:sz w:val="24"/>
          <w:szCs w:val="24"/>
        </w:rPr>
      </w:pPr>
      <w:r w:rsidRPr="00C55E0B">
        <w:rPr>
          <w:rFonts w:ascii="Book Antiqua" w:hAnsi="Book Antiqua" w:cs="Helvetica"/>
          <w:sz w:val="24"/>
          <w:szCs w:val="24"/>
        </w:rPr>
        <w:t>Grade D (Fair): 0</w:t>
      </w:r>
    </w:p>
    <w:p w:rsidR="00AE6E73" w:rsidRPr="00C55E0B" w:rsidRDefault="00AE6E73" w:rsidP="00C55E0B">
      <w:pPr>
        <w:shd w:val="clear" w:color="auto" w:fill="FFFFFF"/>
        <w:snapToGrid w:val="0"/>
        <w:spacing w:after="0" w:line="360" w:lineRule="auto"/>
        <w:rPr>
          <w:rFonts w:ascii="Book Antiqua" w:hAnsi="Book Antiqua" w:cs="Helvetica"/>
          <w:sz w:val="24"/>
          <w:szCs w:val="24"/>
        </w:rPr>
      </w:pPr>
      <w:r w:rsidRPr="00C55E0B">
        <w:rPr>
          <w:rFonts w:ascii="Book Antiqua" w:hAnsi="Book Antiqua" w:cs="Helvetica"/>
          <w:sz w:val="24"/>
          <w:szCs w:val="24"/>
        </w:rPr>
        <w:t>Grade E (Poor): 0</w:t>
      </w:r>
    </w:p>
    <w:p w:rsidR="00567CA9" w:rsidRPr="00C55E0B" w:rsidRDefault="00567CA9" w:rsidP="00C55E0B">
      <w:pPr>
        <w:spacing w:after="0" w:line="360" w:lineRule="auto"/>
        <w:jc w:val="both"/>
        <w:rPr>
          <w:rFonts w:ascii="Book Antiqua" w:hAnsi="Book Antiqua" w:cs="Arial"/>
          <w:sz w:val="24"/>
          <w:szCs w:val="24"/>
        </w:rPr>
      </w:pPr>
    </w:p>
    <w:p w:rsidR="00AE6E73" w:rsidRPr="00C55E0B" w:rsidRDefault="00AE6E73" w:rsidP="00C55E0B">
      <w:pPr>
        <w:spacing w:after="0" w:line="259" w:lineRule="auto"/>
        <w:rPr>
          <w:rFonts w:ascii="Book Antiqua" w:eastAsia="Times New Roman" w:hAnsi="Book Antiqua" w:cs="Arial"/>
          <w:b/>
          <w:sz w:val="24"/>
          <w:szCs w:val="24"/>
          <w:lang w:val="en-US" w:eastAsia="de-DE"/>
        </w:rPr>
      </w:pPr>
      <w:r w:rsidRPr="00C55E0B">
        <w:rPr>
          <w:rFonts w:ascii="Book Antiqua" w:eastAsia="Times New Roman" w:hAnsi="Book Antiqua" w:cs="Arial"/>
          <w:b/>
          <w:sz w:val="24"/>
          <w:szCs w:val="24"/>
          <w:lang w:val="en-US" w:eastAsia="de-DE"/>
        </w:rPr>
        <w:br w:type="page"/>
      </w:r>
    </w:p>
    <w:p w:rsidR="006575A1" w:rsidRPr="00C55E0B" w:rsidRDefault="00AE6E73" w:rsidP="00C55E0B">
      <w:pPr>
        <w:spacing w:after="0" w:line="360" w:lineRule="auto"/>
        <w:jc w:val="both"/>
        <w:rPr>
          <w:rFonts w:ascii="Book Antiqua" w:hAnsi="Book Antiqua" w:cs="Arial"/>
          <w:b/>
          <w:sz w:val="24"/>
          <w:szCs w:val="24"/>
          <w:lang w:val="en-US"/>
        </w:rPr>
      </w:pPr>
      <w:r w:rsidRPr="00C55E0B">
        <w:rPr>
          <w:rFonts w:ascii="Book Antiqua" w:eastAsia="Times New Roman" w:hAnsi="Book Antiqua" w:cs="Arial"/>
          <w:b/>
          <w:sz w:val="24"/>
          <w:szCs w:val="24"/>
          <w:lang w:val="en-US" w:eastAsia="de-DE"/>
        </w:rPr>
        <w:lastRenderedPageBreak/>
        <w:t>Table 1</w:t>
      </w:r>
      <w:r w:rsidRPr="00C55E0B">
        <w:rPr>
          <w:rFonts w:ascii="Book Antiqua" w:hAnsi="Book Antiqua" w:cs="Arial"/>
          <w:b/>
          <w:sz w:val="24"/>
          <w:szCs w:val="24"/>
          <w:lang w:val="en-US" w:eastAsia="zh-CN"/>
        </w:rPr>
        <w:t xml:space="preserve"> </w:t>
      </w:r>
      <w:r w:rsidRPr="00C55E0B">
        <w:rPr>
          <w:rFonts w:ascii="Book Antiqua" w:eastAsia="Times New Roman" w:hAnsi="Book Antiqua" w:cs="Arial"/>
          <w:b/>
          <w:sz w:val="24"/>
          <w:szCs w:val="24"/>
          <w:lang w:val="en-US" w:eastAsia="de-DE"/>
        </w:rPr>
        <w:t xml:space="preserve">Clinical and demographic characteristics of the study population according to the presence of </w:t>
      </w:r>
      <w:r w:rsidR="005C7FE6" w:rsidRPr="005C7FE6">
        <w:rPr>
          <w:rFonts w:ascii="Book Antiqua" w:eastAsia="Times New Roman" w:hAnsi="Book Antiqua" w:cs="Arial"/>
          <w:b/>
          <w:sz w:val="24"/>
          <w:szCs w:val="24"/>
          <w:lang w:val="en-US" w:eastAsia="de-DE"/>
        </w:rPr>
        <w:t>hepatic encephalopathy</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455"/>
        <w:gridCol w:w="2126"/>
        <w:gridCol w:w="1985"/>
      </w:tblGrid>
      <w:tr w:rsidR="006575A1" w:rsidRPr="00C55E0B" w:rsidTr="00AE6E73">
        <w:trPr>
          <w:trHeight w:val="315"/>
        </w:trPr>
        <w:tc>
          <w:tcPr>
            <w:tcW w:w="3040" w:type="dxa"/>
            <w:tcBorders>
              <w:top w:val="single" w:sz="4" w:space="0" w:color="auto"/>
              <w:bottom w:val="single" w:sz="4" w:space="0" w:color="auto"/>
            </w:tcBorders>
            <w:noWrap/>
            <w:hideMark/>
          </w:tcPr>
          <w:p w:rsidR="006575A1" w:rsidRPr="00C55E0B" w:rsidRDefault="006575A1" w:rsidP="00C55E0B">
            <w:pPr>
              <w:spacing w:after="0" w:line="360" w:lineRule="auto"/>
              <w:jc w:val="both"/>
              <w:rPr>
                <w:rFonts w:ascii="Book Antiqua" w:eastAsia="Times New Roman" w:hAnsi="Book Antiqua" w:cs="Arial"/>
                <w:sz w:val="24"/>
                <w:szCs w:val="24"/>
                <w:lang w:val="en-US" w:eastAsia="de-DE"/>
              </w:rPr>
            </w:pPr>
          </w:p>
        </w:tc>
        <w:tc>
          <w:tcPr>
            <w:tcW w:w="2455" w:type="dxa"/>
            <w:tcBorders>
              <w:top w:val="single" w:sz="4" w:space="0" w:color="auto"/>
              <w:bottom w:val="single" w:sz="4" w:space="0" w:color="auto"/>
            </w:tcBorders>
            <w:noWrap/>
            <w:hideMark/>
          </w:tcPr>
          <w:p w:rsidR="006575A1" w:rsidRPr="00C55E0B" w:rsidRDefault="009049F6" w:rsidP="00C55E0B">
            <w:pPr>
              <w:spacing w:after="0" w:line="360" w:lineRule="auto"/>
              <w:jc w:val="both"/>
              <w:rPr>
                <w:rFonts w:ascii="Book Antiqua" w:hAnsi="Book Antiqua" w:cs="Arial"/>
                <w:b/>
                <w:sz w:val="24"/>
                <w:szCs w:val="24"/>
                <w:lang w:eastAsia="zh-CN"/>
              </w:rPr>
            </w:pPr>
            <w:r w:rsidRPr="00C55E0B">
              <w:rPr>
                <w:rFonts w:ascii="Book Antiqua" w:eastAsia="Times New Roman" w:hAnsi="Book Antiqua" w:cs="Arial"/>
                <w:b/>
                <w:sz w:val="24"/>
                <w:szCs w:val="24"/>
                <w:lang w:eastAsia="de-DE"/>
              </w:rPr>
              <w:t>HE (</w:t>
            </w:r>
            <w:r w:rsidRPr="00C55E0B">
              <w:rPr>
                <w:rFonts w:ascii="Book Antiqua" w:eastAsia="Times New Roman" w:hAnsi="Book Antiqua" w:cs="Arial"/>
                <w:b/>
                <w:i/>
                <w:sz w:val="24"/>
                <w:szCs w:val="24"/>
                <w:lang w:eastAsia="de-DE"/>
              </w:rPr>
              <w:t>n</w:t>
            </w:r>
            <w:r w:rsidR="00AE6E73" w:rsidRPr="00C55E0B">
              <w:rPr>
                <w:rFonts w:ascii="Book Antiqua" w:hAnsi="Book Antiqua" w:cs="Arial"/>
                <w:b/>
                <w:sz w:val="24"/>
                <w:szCs w:val="24"/>
                <w:lang w:eastAsia="zh-CN"/>
              </w:rPr>
              <w:t xml:space="preserve"> </w:t>
            </w:r>
            <w:r w:rsidRPr="00C55E0B">
              <w:rPr>
                <w:rFonts w:ascii="Book Antiqua" w:eastAsia="Times New Roman" w:hAnsi="Book Antiqua" w:cs="Arial"/>
                <w:b/>
                <w:sz w:val="24"/>
                <w:szCs w:val="24"/>
                <w:lang w:eastAsia="de-DE"/>
              </w:rPr>
              <w:t>=</w:t>
            </w:r>
            <w:r w:rsidR="00AE6E73" w:rsidRPr="00C55E0B">
              <w:rPr>
                <w:rFonts w:ascii="Book Antiqua" w:hAnsi="Book Antiqua" w:cs="Arial"/>
                <w:b/>
                <w:sz w:val="24"/>
                <w:szCs w:val="24"/>
                <w:lang w:eastAsia="zh-CN"/>
              </w:rPr>
              <w:t xml:space="preserve"> </w:t>
            </w:r>
            <w:r w:rsidRPr="00C55E0B">
              <w:rPr>
                <w:rFonts w:ascii="Book Antiqua" w:eastAsia="Times New Roman" w:hAnsi="Book Antiqua" w:cs="Arial"/>
                <w:b/>
                <w:sz w:val="24"/>
                <w:szCs w:val="24"/>
                <w:lang w:eastAsia="de-DE"/>
              </w:rPr>
              <w:t>115</w:t>
            </w:r>
            <w:r w:rsidR="006575A1" w:rsidRPr="00C55E0B">
              <w:rPr>
                <w:rFonts w:ascii="Book Antiqua" w:eastAsia="Times New Roman" w:hAnsi="Book Antiqua" w:cs="Arial"/>
                <w:b/>
                <w:sz w:val="24"/>
                <w:szCs w:val="24"/>
                <w:lang w:eastAsia="de-DE"/>
              </w:rPr>
              <w:t>)</w:t>
            </w:r>
          </w:p>
        </w:tc>
        <w:tc>
          <w:tcPr>
            <w:tcW w:w="2126" w:type="dxa"/>
            <w:tcBorders>
              <w:top w:val="single" w:sz="4" w:space="0" w:color="auto"/>
              <w:bottom w:val="single" w:sz="4" w:space="0" w:color="auto"/>
            </w:tcBorders>
            <w:noWrap/>
            <w:hideMark/>
          </w:tcPr>
          <w:p w:rsidR="006575A1" w:rsidRPr="00C55E0B" w:rsidRDefault="009049F6" w:rsidP="00C55E0B">
            <w:pPr>
              <w:spacing w:after="0" w:line="360" w:lineRule="auto"/>
              <w:jc w:val="both"/>
              <w:rPr>
                <w:rFonts w:ascii="Book Antiqua" w:eastAsia="Times New Roman" w:hAnsi="Book Antiqua" w:cs="Arial"/>
                <w:b/>
                <w:sz w:val="24"/>
                <w:szCs w:val="24"/>
                <w:lang w:eastAsia="de-DE"/>
              </w:rPr>
            </w:pPr>
            <w:r w:rsidRPr="00C55E0B">
              <w:rPr>
                <w:rFonts w:ascii="Book Antiqua" w:eastAsia="Times New Roman" w:hAnsi="Book Antiqua" w:cs="Arial"/>
                <w:b/>
                <w:sz w:val="24"/>
                <w:szCs w:val="24"/>
                <w:lang w:eastAsia="de-DE"/>
              </w:rPr>
              <w:t>Non-HE (</w:t>
            </w:r>
            <w:r w:rsidR="00AE6E73" w:rsidRPr="00C55E0B">
              <w:rPr>
                <w:rFonts w:ascii="Book Antiqua" w:eastAsia="Times New Roman" w:hAnsi="Book Antiqua" w:cs="Arial"/>
                <w:b/>
                <w:i/>
                <w:sz w:val="24"/>
                <w:szCs w:val="24"/>
                <w:lang w:eastAsia="de-DE"/>
              </w:rPr>
              <w:t>n</w:t>
            </w:r>
            <w:r w:rsidR="00AE6E73" w:rsidRPr="00C55E0B">
              <w:rPr>
                <w:rFonts w:ascii="Book Antiqua" w:eastAsia="Times New Roman" w:hAnsi="Book Antiqua" w:cs="Arial"/>
                <w:b/>
                <w:sz w:val="24"/>
                <w:szCs w:val="24"/>
                <w:lang w:eastAsia="de-DE"/>
              </w:rPr>
              <w:t xml:space="preserve"> </w:t>
            </w:r>
            <w:r w:rsidRPr="00C55E0B">
              <w:rPr>
                <w:rFonts w:ascii="Book Antiqua" w:eastAsia="Times New Roman" w:hAnsi="Book Antiqua" w:cs="Arial"/>
                <w:b/>
                <w:sz w:val="24"/>
                <w:szCs w:val="24"/>
                <w:lang w:eastAsia="de-DE"/>
              </w:rPr>
              <w:t>=</w:t>
            </w:r>
            <w:r w:rsidR="00AE6E73" w:rsidRPr="00C55E0B">
              <w:rPr>
                <w:rFonts w:ascii="Book Antiqua" w:hAnsi="Book Antiqua" w:cs="Arial"/>
                <w:b/>
                <w:sz w:val="24"/>
                <w:szCs w:val="24"/>
                <w:lang w:eastAsia="zh-CN"/>
              </w:rPr>
              <w:t xml:space="preserve"> </w:t>
            </w:r>
            <w:r w:rsidRPr="00C55E0B">
              <w:rPr>
                <w:rFonts w:ascii="Book Antiqua" w:eastAsia="Times New Roman" w:hAnsi="Book Antiqua" w:cs="Arial"/>
                <w:b/>
                <w:sz w:val="24"/>
                <w:szCs w:val="24"/>
                <w:lang w:eastAsia="de-DE"/>
              </w:rPr>
              <w:t>105</w:t>
            </w:r>
            <w:r w:rsidR="006575A1" w:rsidRPr="00C55E0B">
              <w:rPr>
                <w:rFonts w:ascii="Book Antiqua" w:eastAsia="Times New Roman" w:hAnsi="Book Antiqua" w:cs="Arial"/>
                <w:b/>
                <w:sz w:val="24"/>
                <w:szCs w:val="24"/>
                <w:lang w:eastAsia="de-DE"/>
              </w:rPr>
              <w:t>)</w:t>
            </w:r>
          </w:p>
        </w:tc>
        <w:tc>
          <w:tcPr>
            <w:tcW w:w="1985" w:type="dxa"/>
            <w:tcBorders>
              <w:top w:val="single" w:sz="4" w:space="0" w:color="auto"/>
              <w:bottom w:val="single" w:sz="4" w:space="0" w:color="auto"/>
            </w:tcBorders>
            <w:noWrap/>
            <w:hideMark/>
          </w:tcPr>
          <w:p w:rsidR="006575A1" w:rsidRPr="00C55E0B" w:rsidRDefault="00AE6E73" w:rsidP="00C55E0B">
            <w:pPr>
              <w:spacing w:after="0" w:line="360" w:lineRule="auto"/>
              <w:jc w:val="both"/>
              <w:rPr>
                <w:rFonts w:ascii="Book Antiqua" w:eastAsia="Times New Roman" w:hAnsi="Book Antiqua" w:cs="Arial"/>
                <w:b/>
                <w:sz w:val="24"/>
                <w:szCs w:val="24"/>
                <w:lang w:eastAsia="de-DE"/>
              </w:rPr>
            </w:pPr>
            <w:r w:rsidRPr="00C55E0B">
              <w:rPr>
                <w:rFonts w:ascii="Book Antiqua" w:eastAsia="Times New Roman" w:hAnsi="Book Antiqua" w:cs="Arial"/>
                <w:b/>
                <w:i/>
                <w:sz w:val="24"/>
                <w:szCs w:val="24"/>
                <w:lang w:eastAsia="de-DE"/>
              </w:rPr>
              <w:t>P</w:t>
            </w:r>
            <w:r w:rsidR="006575A1" w:rsidRPr="00C55E0B">
              <w:rPr>
                <w:rFonts w:ascii="Book Antiqua" w:eastAsia="Times New Roman" w:hAnsi="Book Antiqua" w:cs="Arial"/>
                <w:b/>
                <w:sz w:val="24"/>
                <w:szCs w:val="24"/>
                <w:lang w:eastAsia="de-DE"/>
              </w:rPr>
              <w:t xml:space="preserve"> value</w:t>
            </w:r>
          </w:p>
        </w:tc>
      </w:tr>
      <w:tr w:rsidR="006575A1" w:rsidRPr="00C55E0B" w:rsidTr="00AE6E73">
        <w:trPr>
          <w:trHeight w:val="315"/>
        </w:trPr>
        <w:tc>
          <w:tcPr>
            <w:tcW w:w="3040" w:type="dxa"/>
            <w:tcBorders>
              <w:top w:val="single" w:sz="4" w:space="0" w:color="auto"/>
            </w:tcBorders>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Age (</w:t>
            </w:r>
            <w:r w:rsidR="00AE6E73" w:rsidRPr="00C55E0B">
              <w:rPr>
                <w:rFonts w:ascii="Book Antiqua" w:hAnsi="Book Antiqua" w:cs="Arial"/>
                <w:sz w:val="24"/>
                <w:szCs w:val="24"/>
                <w:lang w:eastAsia="zh-CN"/>
              </w:rPr>
              <w:t>yr</w:t>
            </w:r>
            <w:r w:rsidRPr="00C55E0B">
              <w:rPr>
                <w:rFonts w:ascii="Book Antiqua" w:eastAsia="Times New Roman" w:hAnsi="Book Antiqua" w:cs="Arial"/>
                <w:sz w:val="24"/>
                <w:szCs w:val="24"/>
                <w:lang w:eastAsia="de-DE"/>
              </w:rPr>
              <w:t>)</w:t>
            </w:r>
          </w:p>
        </w:tc>
        <w:tc>
          <w:tcPr>
            <w:tcW w:w="2455" w:type="dxa"/>
            <w:tcBorders>
              <w:top w:val="single" w:sz="4" w:space="0" w:color="auto"/>
            </w:tcBorders>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54.2 ± 10.3</w:t>
            </w:r>
          </w:p>
        </w:tc>
        <w:tc>
          <w:tcPr>
            <w:tcW w:w="2126" w:type="dxa"/>
            <w:tcBorders>
              <w:top w:val="single" w:sz="4" w:space="0" w:color="auto"/>
            </w:tcBorders>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51.8 ± 11.7</w:t>
            </w:r>
          </w:p>
        </w:tc>
        <w:tc>
          <w:tcPr>
            <w:tcW w:w="1985" w:type="dxa"/>
            <w:tcBorders>
              <w:top w:val="single" w:sz="4" w:space="0" w:color="auto"/>
            </w:tcBorders>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0.109</w:t>
            </w:r>
          </w:p>
        </w:tc>
      </w:tr>
      <w:tr w:rsidR="006575A1" w:rsidRPr="00C55E0B" w:rsidTr="00AE6E73">
        <w:trPr>
          <w:trHeight w:val="315"/>
        </w:trPr>
        <w:tc>
          <w:tcPr>
            <w:tcW w:w="3040"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bCs/>
                <w:sz w:val="24"/>
                <w:szCs w:val="24"/>
              </w:rPr>
              <w:t>BMI (</w:t>
            </w:r>
            <w:r w:rsidR="00AE6E73" w:rsidRPr="00C55E0B">
              <w:rPr>
                <w:rFonts w:ascii="Book Antiqua" w:hAnsi="Book Antiqua" w:cs="Arial"/>
                <w:bCs/>
                <w:sz w:val="24"/>
                <w:szCs w:val="24"/>
              </w:rPr>
              <w:t>k</w:t>
            </w:r>
            <w:r w:rsidRPr="00C55E0B">
              <w:rPr>
                <w:rFonts w:ascii="Book Antiqua" w:hAnsi="Book Antiqua" w:cs="Arial"/>
                <w:bCs/>
                <w:sz w:val="24"/>
                <w:szCs w:val="24"/>
              </w:rPr>
              <w:t>g/m</w:t>
            </w:r>
            <w:r w:rsidRPr="00C55E0B">
              <w:rPr>
                <w:rFonts w:ascii="Book Antiqua" w:hAnsi="Book Antiqua" w:cs="Arial"/>
                <w:bCs/>
                <w:sz w:val="24"/>
                <w:szCs w:val="24"/>
                <w:vertAlign w:val="superscript"/>
              </w:rPr>
              <w:t>2</w:t>
            </w:r>
            <w:r w:rsidRPr="00C55E0B">
              <w:rPr>
                <w:rFonts w:ascii="Book Antiqua" w:hAnsi="Book Antiqua" w:cs="Arial"/>
                <w:bCs/>
                <w:sz w:val="24"/>
                <w:szCs w:val="24"/>
              </w:rPr>
              <w:t>)</w:t>
            </w:r>
          </w:p>
        </w:tc>
        <w:tc>
          <w:tcPr>
            <w:tcW w:w="2455"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sz w:val="24"/>
                <w:szCs w:val="24"/>
              </w:rPr>
              <w:t>26.4 (21.3-30.7)</w:t>
            </w:r>
          </w:p>
        </w:tc>
        <w:tc>
          <w:tcPr>
            <w:tcW w:w="2126"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sz w:val="24"/>
                <w:szCs w:val="24"/>
              </w:rPr>
              <w:t>27.4 (24-30.5)</w:t>
            </w:r>
          </w:p>
        </w:tc>
        <w:tc>
          <w:tcPr>
            <w:tcW w:w="1985"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sz w:val="24"/>
                <w:szCs w:val="24"/>
              </w:rPr>
              <w:t>0.185</w:t>
            </w:r>
          </w:p>
        </w:tc>
      </w:tr>
      <w:tr w:rsidR="006575A1" w:rsidRPr="00C55E0B" w:rsidTr="00AE6E73">
        <w:trPr>
          <w:trHeight w:val="348"/>
        </w:trPr>
        <w:tc>
          <w:tcPr>
            <w:tcW w:w="3040" w:type="dxa"/>
            <w:noWrap/>
          </w:tcPr>
          <w:p w:rsidR="006575A1" w:rsidRPr="00C55E0B" w:rsidRDefault="006575A1" w:rsidP="00C55E0B">
            <w:pPr>
              <w:spacing w:after="0" w:line="360" w:lineRule="auto"/>
              <w:jc w:val="both"/>
              <w:rPr>
                <w:rFonts w:ascii="Book Antiqua" w:hAnsi="Book Antiqua" w:cs="Arial"/>
                <w:bCs/>
                <w:sz w:val="24"/>
                <w:szCs w:val="24"/>
              </w:rPr>
            </w:pPr>
            <w:r w:rsidRPr="00C55E0B">
              <w:rPr>
                <w:rFonts w:ascii="Book Antiqua" w:hAnsi="Book Antiqua" w:cs="Arial"/>
                <w:bCs/>
                <w:sz w:val="24"/>
                <w:szCs w:val="24"/>
              </w:rPr>
              <w:t>MAMC (cm)</w:t>
            </w:r>
          </w:p>
        </w:tc>
        <w:tc>
          <w:tcPr>
            <w:tcW w:w="2455"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sz w:val="24"/>
                <w:szCs w:val="24"/>
              </w:rPr>
              <w:t>22.3(20.3-26.4)</w:t>
            </w:r>
          </w:p>
        </w:tc>
        <w:tc>
          <w:tcPr>
            <w:tcW w:w="2126"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sz w:val="24"/>
                <w:szCs w:val="24"/>
              </w:rPr>
              <w:t>24.4(21.1-26.98)</w:t>
            </w:r>
          </w:p>
        </w:tc>
        <w:tc>
          <w:tcPr>
            <w:tcW w:w="1985"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sz w:val="24"/>
                <w:szCs w:val="24"/>
              </w:rPr>
              <w:t>0.230</w:t>
            </w:r>
          </w:p>
        </w:tc>
      </w:tr>
      <w:tr w:rsidR="006575A1" w:rsidRPr="00C55E0B" w:rsidTr="00AE6E73">
        <w:trPr>
          <w:trHeight w:val="315"/>
        </w:trPr>
        <w:tc>
          <w:tcPr>
            <w:tcW w:w="3040"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Phase angle (°)</w:t>
            </w:r>
          </w:p>
        </w:tc>
        <w:tc>
          <w:tcPr>
            <w:tcW w:w="2455"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4.6 (4.0-5.5)</w:t>
            </w:r>
          </w:p>
        </w:tc>
        <w:tc>
          <w:tcPr>
            <w:tcW w:w="2126"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5.3 (4.6-6.1)</w:t>
            </w:r>
          </w:p>
        </w:tc>
        <w:tc>
          <w:tcPr>
            <w:tcW w:w="1985"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r w:rsidR="006575A1" w:rsidRPr="00C55E0B" w:rsidTr="00AE6E73">
        <w:trPr>
          <w:trHeight w:val="315"/>
        </w:trPr>
        <w:tc>
          <w:tcPr>
            <w:tcW w:w="3040"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Child-Pugh (points)</w:t>
            </w:r>
          </w:p>
        </w:tc>
        <w:tc>
          <w:tcPr>
            <w:tcW w:w="245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8 (7-10)</w:t>
            </w:r>
          </w:p>
        </w:tc>
        <w:tc>
          <w:tcPr>
            <w:tcW w:w="2126"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6 (5-8)</w:t>
            </w:r>
          </w:p>
        </w:tc>
        <w:tc>
          <w:tcPr>
            <w:tcW w:w="198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r w:rsidR="006575A1" w:rsidRPr="00C55E0B" w:rsidTr="00AE6E73">
        <w:trPr>
          <w:trHeight w:val="315"/>
        </w:trPr>
        <w:tc>
          <w:tcPr>
            <w:tcW w:w="3040"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MELD score</w:t>
            </w:r>
          </w:p>
        </w:tc>
        <w:tc>
          <w:tcPr>
            <w:tcW w:w="245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13 (10-15)</w:t>
            </w:r>
          </w:p>
        </w:tc>
        <w:tc>
          <w:tcPr>
            <w:tcW w:w="2126"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10 (8-12)</w:t>
            </w:r>
          </w:p>
        </w:tc>
        <w:tc>
          <w:tcPr>
            <w:tcW w:w="198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r w:rsidR="006575A1" w:rsidRPr="00C55E0B" w:rsidTr="00AE6E73">
        <w:trPr>
          <w:trHeight w:val="315"/>
        </w:trPr>
        <w:tc>
          <w:tcPr>
            <w:tcW w:w="3040"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Total bilirrubin (mg/dL)</w:t>
            </w:r>
          </w:p>
        </w:tc>
        <w:tc>
          <w:tcPr>
            <w:tcW w:w="2455"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2.1 (1.3-3.4)</w:t>
            </w:r>
          </w:p>
        </w:tc>
        <w:tc>
          <w:tcPr>
            <w:tcW w:w="2126"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1.5 (1.0-2.6)</w:t>
            </w:r>
          </w:p>
        </w:tc>
        <w:tc>
          <w:tcPr>
            <w:tcW w:w="1985"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0.001</w:t>
            </w:r>
          </w:p>
        </w:tc>
      </w:tr>
      <w:tr w:rsidR="006575A1" w:rsidRPr="00C55E0B" w:rsidTr="00AE6E73">
        <w:trPr>
          <w:trHeight w:val="315"/>
        </w:trPr>
        <w:tc>
          <w:tcPr>
            <w:tcW w:w="3040"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Albumin (mg/dL)</w:t>
            </w:r>
          </w:p>
        </w:tc>
        <w:tc>
          <w:tcPr>
            <w:tcW w:w="245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3.4 ± 0.6</w:t>
            </w:r>
          </w:p>
        </w:tc>
        <w:tc>
          <w:tcPr>
            <w:tcW w:w="2126"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2.9 ± 0.6</w:t>
            </w:r>
          </w:p>
        </w:tc>
        <w:tc>
          <w:tcPr>
            <w:tcW w:w="198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r w:rsidR="006575A1" w:rsidRPr="00C55E0B" w:rsidTr="00AE6E73">
        <w:trPr>
          <w:trHeight w:val="315"/>
        </w:trPr>
        <w:tc>
          <w:tcPr>
            <w:tcW w:w="3040"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INR</w:t>
            </w:r>
          </w:p>
        </w:tc>
        <w:tc>
          <w:tcPr>
            <w:tcW w:w="245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1.3 (1.2-1.4)</w:t>
            </w:r>
          </w:p>
        </w:tc>
        <w:tc>
          <w:tcPr>
            <w:tcW w:w="2126"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1.2 (1.1-1.3)</w:t>
            </w:r>
          </w:p>
        </w:tc>
        <w:tc>
          <w:tcPr>
            <w:tcW w:w="198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0.005</w:t>
            </w:r>
          </w:p>
        </w:tc>
      </w:tr>
      <w:tr w:rsidR="006575A1" w:rsidRPr="00C55E0B" w:rsidTr="00AE6E73">
        <w:trPr>
          <w:trHeight w:val="315"/>
        </w:trPr>
        <w:tc>
          <w:tcPr>
            <w:tcW w:w="3040"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Creatinine (mg/dL)</w:t>
            </w:r>
          </w:p>
        </w:tc>
        <w:tc>
          <w:tcPr>
            <w:tcW w:w="245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0.84 (0.67-1.09)</w:t>
            </w:r>
          </w:p>
        </w:tc>
        <w:tc>
          <w:tcPr>
            <w:tcW w:w="2126"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0.72 (0.63-0.83)</w:t>
            </w:r>
          </w:p>
        </w:tc>
        <w:tc>
          <w:tcPr>
            <w:tcW w:w="198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r w:rsidR="006575A1" w:rsidRPr="00C55E0B" w:rsidTr="00AE6E73">
        <w:trPr>
          <w:trHeight w:val="315"/>
        </w:trPr>
        <w:tc>
          <w:tcPr>
            <w:tcW w:w="3040"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Sodium (mEq/L)</w:t>
            </w:r>
          </w:p>
        </w:tc>
        <w:tc>
          <w:tcPr>
            <w:tcW w:w="245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136 (133-139)</w:t>
            </w:r>
          </w:p>
        </w:tc>
        <w:tc>
          <w:tcPr>
            <w:tcW w:w="2126"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139 (136-141)</w:t>
            </w:r>
          </w:p>
        </w:tc>
        <w:tc>
          <w:tcPr>
            <w:tcW w:w="198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r w:rsidR="006575A1" w:rsidRPr="00C55E0B" w:rsidTr="00AE6E73">
        <w:trPr>
          <w:trHeight w:val="315"/>
        </w:trPr>
        <w:tc>
          <w:tcPr>
            <w:tcW w:w="3040"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Hemoglobin (g/dL)</w:t>
            </w:r>
          </w:p>
        </w:tc>
        <w:tc>
          <w:tcPr>
            <w:tcW w:w="245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12.2 (10.3-14.3)</w:t>
            </w:r>
          </w:p>
        </w:tc>
        <w:tc>
          <w:tcPr>
            <w:tcW w:w="2126"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14.0 (12.1-15.3)</w:t>
            </w:r>
          </w:p>
        </w:tc>
        <w:tc>
          <w:tcPr>
            <w:tcW w:w="1985" w:type="dxa"/>
            <w:noWrap/>
            <w:hideMark/>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r w:rsidR="006575A1" w:rsidRPr="00C55E0B" w:rsidTr="00AE6E73">
        <w:trPr>
          <w:trHeight w:val="315"/>
        </w:trPr>
        <w:tc>
          <w:tcPr>
            <w:tcW w:w="3040"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Ammonia (µ/dL)</w:t>
            </w:r>
          </w:p>
        </w:tc>
        <w:tc>
          <w:tcPr>
            <w:tcW w:w="2455"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83.9 (50.9-123.3)</w:t>
            </w:r>
          </w:p>
        </w:tc>
        <w:tc>
          <w:tcPr>
            <w:tcW w:w="2126" w:type="dxa"/>
            <w:noWrap/>
          </w:tcPr>
          <w:p w:rsidR="006575A1" w:rsidRPr="00C55E0B" w:rsidRDefault="006575A1" w:rsidP="00C55E0B">
            <w:pPr>
              <w:spacing w:after="0" w:line="360" w:lineRule="auto"/>
              <w:jc w:val="both"/>
              <w:rPr>
                <w:rFonts w:ascii="Book Antiqua" w:hAnsi="Book Antiqua" w:cs="Arial"/>
                <w:sz w:val="24"/>
                <w:szCs w:val="24"/>
              </w:rPr>
            </w:pPr>
            <w:r w:rsidRPr="00C55E0B">
              <w:rPr>
                <w:rFonts w:ascii="Book Antiqua" w:hAnsi="Book Antiqua" w:cs="Arial"/>
                <w:sz w:val="24"/>
                <w:szCs w:val="24"/>
              </w:rPr>
              <w:t>56.3 (37.6-80.3)</w:t>
            </w:r>
          </w:p>
        </w:tc>
        <w:tc>
          <w:tcPr>
            <w:tcW w:w="1985" w:type="dxa"/>
            <w:noWrap/>
          </w:tcPr>
          <w:p w:rsidR="006575A1" w:rsidRPr="00C55E0B" w:rsidRDefault="006575A1" w:rsidP="00C55E0B">
            <w:pPr>
              <w:spacing w:after="0" w:line="360" w:lineRule="auto"/>
              <w:jc w:val="both"/>
              <w:rPr>
                <w:rFonts w:ascii="Book Antiqua" w:eastAsia="Times New Roman" w:hAnsi="Book Antiqua" w:cs="Arial"/>
                <w:sz w:val="24"/>
                <w:szCs w:val="24"/>
                <w:lang w:eastAsia="de-DE"/>
              </w:rPr>
            </w:pPr>
            <w:r w:rsidRPr="00C55E0B">
              <w:rPr>
                <w:rFonts w:ascii="Book Antiqua" w:eastAsia="Times New Roman" w:hAnsi="Book Antiqua" w:cs="Arial"/>
                <w:sz w:val="24"/>
                <w:szCs w:val="24"/>
                <w:lang w:eastAsia="de-DE"/>
              </w:rPr>
              <w:t>0.000</w:t>
            </w:r>
          </w:p>
        </w:tc>
      </w:tr>
    </w:tbl>
    <w:p w:rsidR="006575A1" w:rsidRPr="00C55E0B" w:rsidRDefault="00AE6E73" w:rsidP="00C55E0B">
      <w:pPr>
        <w:spacing w:after="0" w:line="360" w:lineRule="auto"/>
        <w:jc w:val="both"/>
        <w:rPr>
          <w:rFonts w:ascii="Book Antiqua" w:hAnsi="Book Antiqua" w:cs="Arial"/>
          <w:sz w:val="24"/>
          <w:szCs w:val="24"/>
          <w:lang w:val="en-US"/>
        </w:rPr>
      </w:pPr>
      <w:r w:rsidRPr="00C55E0B">
        <w:rPr>
          <w:rFonts w:ascii="Book Antiqua" w:eastAsia="Times New Roman" w:hAnsi="Book Antiqua" w:cs="Arial"/>
          <w:sz w:val="24"/>
          <w:szCs w:val="24"/>
          <w:lang w:val="en-US" w:eastAsia="de-DE"/>
        </w:rPr>
        <w:t>Data presented as mean ± SD, median (P25-P75)</w:t>
      </w:r>
      <w:r w:rsidRPr="00C55E0B">
        <w:rPr>
          <w:rFonts w:ascii="Book Antiqua" w:hAnsi="Book Antiqua" w:cs="Arial"/>
          <w:sz w:val="24"/>
          <w:szCs w:val="24"/>
          <w:lang w:val="en-US" w:eastAsia="zh-CN"/>
        </w:rPr>
        <w:t>.</w:t>
      </w:r>
      <w:r w:rsidRPr="00C55E0B">
        <w:rPr>
          <w:rFonts w:ascii="Book Antiqua" w:hAnsi="Book Antiqua" w:cs="Arial"/>
          <w:sz w:val="24"/>
          <w:szCs w:val="24"/>
          <w:lang w:val="en-US"/>
        </w:rPr>
        <w:t xml:space="preserve"> HE</w:t>
      </w:r>
      <w:r w:rsidRPr="00C55E0B">
        <w:rPr>
          <w:rFonts w:ascii="Book Antiqua" w:hAnsi="Book Antiqua" w:cs="Arial"/>
          <w:sz w:val="24"/>
          <w:szCs w:val="24"/>
          <w:lang w:val="en-US" w:eastAsia="zh-CN"/>
        </w:rPr>
        <w:t>:</w:t>
      </w:r>
      <w:r w:rsidRPr="00C55E0B">
        <w:rPr>
          <w:rFonts w:ascii="Book Antiqua" w:hAnsi="Book Antiqua" w:cs="Arial"/>
          <w:sz w:val="24"/>
          <w:szCs w:val="24"/>
          <w:lang w:val="en-US"/>
        </w:rPr>
        <w:t xml:space="preserve"> Hepatic encephalopathy</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BMI</w:t>
      </w:r>
      <w:r w:rsidRPr="00C55E0B">
        <w:rPr>
          <w:rFonts w:ascii="Book Antiqua" w:hAnsi="Book Antiqua" w:cs="Arial"/>
          <w:sz w:val="24"/>
          <w:szCs w:val="24"/>
          <w:lang w:val="en-US" w:eastAsia="zh-CN"/>
        </w:rPr>
        <w:t>:</w:t>
      </w:r>
      <w:r w:rsidRPr="00C55E0B">
        <w:rPr>
          <w:rFonts w:ascii="Book Antiqua" w:hAnsi="Book Antiqua" w:cs="Arial"/>
          <w:sz w:val="24"/>
          <w:szCs w:val="24"/>
          <w:lang w:val="en-US"/>
        </w:rPr>
        <w:t xml:space="preserve"> Body mass index</w:t>
      </w:r>
      <w:r w:rsidRPr="00C55E0B">
        <w:rPr>
          <w:rFonts w:ascii="Book Antiqua" w:hAnsi="Book Antiqua" w:cs="Arial"/>
          <w:sz w:val="24"/>
          <w:szCs w:val="24"/>
          <w:lang w:val="en-US" w:eastAsia="zh-CN"/>
        </w:rPr>
        <w:t>;</w:t>
      </w:r>
      <w:r w:rsidRPr="00C55E0B">
        <w:rPr>
          <w:rFonts w:ascii="Book Antiqua" w:hAnsi="Book Antiqua" w:cs="Arial"/>
          <w:sz w:val="24"/>
          <w:szCs w:val="24"/>
          <w:lang w:val="en-US"/>
        </w:rPr>
        <w:t xml:space="preserve"> MAMC</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Mid-arm muscle circumference</w:t>
      </w:r>
      <w:r w:rsidRPr="00C55E0B">
        <w:rPr>
          <w:rFonts w:ascii="Book Antiqua" w:hAnsi="Book Antiqua"/>
          <w:sz w:val="24"/>
          <w:szCs w:val="24"/>
          <w:lang w:val="en-US"/>
        </w:rPr>
        <w:t>.</w:t>
      </w:r>
    </w:p>
    <w:p w:rsidR="00AE6E73" w:rsidRPr="00C55E0B" w:rsidRDefault="00AE6E73" w:rsidP="00C55E0B">
      <w:pPr>
        <w:spacing w:after="0" w:line="259" w:lineRule="auto"/>
        <w:rPr>
          <w:rFonts w:ascii="Book Antiqua" w:hAnsi="Book Antiqua" w:cs="Arial"/>
          <w:b/>
          <w:sz w:val="24"/>
          <w:szCs w:val="24"/>
          <w:lang w:val="en-US" w:eastAsia="zh-CN"/>
        </w:rPr>
      </w:pPr>
    </w:p>
    <w:p w:rsidR="00AE6E73" w:rsidRPr="00C55E0B" w:rsidRDefault="00AE6E73" w:rsidP="00C55E0B">
      <w:pPr>
        <w:spacing w:after="0" w:line="259" w:lineRule="auto"/>
        <w:rPr>
          <w:rFonts w:ascii="Book Antiqua" w:hAnsi="Book Antiqua" w:cs="Arial"/>
          <w:b/>
          <w:sz w:val="24"/>
          <w:szCs w:val="24"/>
          <w:lang w:val="en-US" w:eastAsia="zh-CN"/>
        </w:rPr>
      </w:pPr>
    </w:p>
    <w:p w:rsidR="00AE6E73" w:rsidRPr="00C55E0B" w:rsidRDefault="00AE6E73" w:rsidP="00C55E0B">
      <w:pPr>
        <w:spacing w:after="0" w:line="259" w:lineRule="auto"/>
        <w:rPr>
          <w:rFonts w:ascii="Book Antiqua" w:hAnsi="Book Antiqua" w:cs="Arial"/>
          <w:b/>
          <w:sz w:val="24"/>
          <w:szCs w:val="24"/>
          <w:lang w:val="en-US"/>
        </w:rPr>
      </w:pPr>
      <w:r w:rsidRPr="00C55E0B">
        <w:rPr>
          <w:rFonts w:ascii="Book Antiqua" w:hAnsi="Book Antiqua" w:cs="Arial"/>
          <w:b/>
          <w:sz w:val="24"/>
          <w:szCs w:val="24"/>
          <w:lang w:val="en-US"/>
        </w:rPr>
        <w:br w:type="page"/>
      </w:r>
    </w:p>
    <w:p w:rsidR="00AE6E73" w:rsidRPr="00C55E0B" w:rsidRDefault="00AE6E73" w:rsidP="00C55E0B">
      <w:pPr>
        <w:spacing w:after="0" w:line="259" w:lineRule="auto"/>
        <w:rPr>
          <w:rFonts w:ascii="Book Antiqua" w:hAnsi="Book Antiqua" w:cs="Arial"/>
          <w:b/>
          <w:sz w:val="24"/>
          <w:szCs w:val="24"/>
          <w:lang w:val="en-US" w:eastAsia="zh-CN"/>
        </w:rPr>
      </w:pPr>
      <w:r w:rsidRPr="00C55E0B">
        <w:rPr>
          <w:rFonts w:ascii="Book Antiqua" w:hAnsi="Book Antiqua" w:cs="Arial"/>
          <w:b/>
          <w:sz w:val="24"/>
          <w:szCs w:val="24"/>
          <w:lang w:val="en-US"/>
        </w:rPr>
        <w:lastRenderedPageBreak/>
        <w:t xml:space="preserve">Table 2 Characteristics associated with </w:t>
      </w:r>
      <w:r w:rsidR="005C7FE6" w:rsidRPr="005C7FE6">
        <w:rPr>
          <w:rFonts w:ascii="Book Antiqua" w:hAnsi="Book Antiqua" w:cs="Arial"/>
          <w:b/>
          <w:sz w:val="24"/>
          <w:szCs w:val="24"/>
          <w:lang w:val="en-US"/>
        </w:rPr>
        <w:t xml:space="preserve">hepatic encephalopathy </w:t>
      </w:r>
      <w:r w:rsidRPr="00C55E0B">
        <w:rPr>
          <w:rFonts w:ascii="Book Antiqua" w:hAnsi="Book Antiqua" w:cs="Arial"/>
          <w:b/>
          <w:sz w:val="24"/>
          <w:szCs w:val="24"/>
          <w:lang w:val="en-US"/>
        </w:rPr>
        <w:t xml:space="preserve">in the Cox Regression model </w:t>
      </w:r>
    </w:p>
    <w:p w:rsidR="00AE6E73" w:rsidRPr="00C55E0B" w:rsidRDefault="00AE6E73" w:rsidP="00C55E0B">
      <w:pPr>
        <w:spacing w:after="0" w:line="259" w:lineRule="auto"/>
        <w:rPr>
          <w:rFonts w:ascii="Book Antiqua" w:hAnsi="Book Antiqua" w:cs="Arial"/>
          <w:b/>
          <w:sz w:val="24"/>
          <w:szCs w:val="24"/>
          <w:lang w:val="en-US" w:eastAsia="zh-CN"/>
        </w:rPr>
      </w:pPr>
    </w:p>
    <w:tbl>
      <w:tblPr>
        <w:tblStyle w:val="TableGrid"/>
        <w:tblpPr w:leftFromText="141" w:rightFromText="141" w:vertAnchor="text" w:horzAnchor="margin" w:tblpY="-5"/>
        <w:tblW w:w="9747"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802"/>
        <w:gridCol w:w="1127"/>
        <w:gridCol w:w="3584"/>
        <w:gridCol w:w="1169"/>
        <w:gridCol w:w="1065"/>
      </w:tblGrid>
      <w:tr w:rsidR="00AE6E73" w:rsidRPr="00C55E0B" w:rsidTr="00AE6E73">
        <w:tc>
          <w:tcPr>
            <w:tcW w:w="9747" w:type="dxa"/>
            <w:gridSpan w:val="5"/>
            <w:tcBorders>
              <w:top w:val="single" w:sz="4" w:space="0" w:color="auto"/>
              <w:bottom w:val="nil"/>
            </w:tcBorders>
            <w:shd w:val="clear" w:color="auto" w:fill="auto"/>
          </w:tcPr>
          <w:p w:rsidR="00AE6E73" w:rsidRPr="00C55E0B" w:rsidRDefault="00AE6E73" w:rsidP="00C55E0B">
            <w:pPr>
              <w:spacing w:after="0" w:line="360" w:lineRule="auto"/>
              <w:jc w:val="both"/>
              <w:rPr>
                <w:rFonts w:ascii="Book Antiqua" w:hAnsi="Book Antiqua" w:cs="Arial"/>
                <w:b/>
                <w:sz w:val="24"/>
                <w:szCs w:val="24"/>
                <w:lang w:val="en-US"/>
              </w:rPr>
            </w:pPr>
            <w:r w:rsidRPr="00C55E0B">
              <w:rPr>
                <w:rFonts w:ascii="Book Antiqua" w:hAnsi="Book Antiqua" w:cs="Arial"/>
                <w:b/>
                <w:sz w:val="24"/>
                <w:szCs w:val="24"/>
                <w:lang w:val="en-US"/>
              </w:rPr>
              <w:t>Univariate analysis</w:t>
            </w:r>
          </w:p>
        </w:tc>
      </w:tr>
      <w:tr w:rsidR="00AE6E73" w:rsidRPr="00C55E0B" w:rsidTr="00AE6E73">
        <w:tc>
          <w:tcPr>
            <w:tcW w:w="2802" w:type="dxa"/>
            <w:tcBorders>
              <w:top w:val="nil"/>
              <w:bottom w:val="single" w:sz="4" w:space="0" w:color="auto"/>
              <w:right w:val="nil"/>
            </w:tcBorders>
            <w:shd w:val="clear" w:color="auto" w:fill="auto"/>
          </w:tcPr>
          <w:p w:rsidR="00AE6E73" w:rsidRPr="00C55E0B" w:rsidRDefault="00AE6E73" w:rsidP="00C55E0B">
            <w:pPr>
              <w:spacing w:after="0" w:line="360" w:lineRule="auto"/>
              <w:jc w:val="both"/>
              <w:rPr>
                <w:rFonts w:ascii="Book Antiqua" w:hAnsi="Book Antiqua" w:cs="Arial"/>
                <w:b/>
                <w:sz w:val="24"/>
                <w:szCs w:val="24"/>
                <w:lang w:val="en-US"/>
              </w:rPr>
            </w:pPr>
          </w:p>
        </w:tc>
        <w:tc>
          <w:tcPr>
            <w:tcW w:w="1127" w:type="dxa"/>
            <w:tcBorders>
              <w:top w:val="nil"/>
              <w:left w:val="nil"/>
              <w:bottom w:val="single" w:sz="4" w:space="0" w:color="auto"/>
              <w:right w:val="nil"/>
            </w:tcBorders>
            <w:shd w:val="clear" w:color="auto" w:fill="auto"/>
          </w:tcPr>
          <w:p w:rsidR="00AE6E73" w:rsidRPr="00C55E0B" w:rsidRDefault="00AE6E73" w:rsidP="00C55E0B">
            <w:pPr>
              <w:spacing w:after="0" w:line="360" w:lineRule="auto"/>
              <w:jc w:val="both"/>
              <w:rPr>
                <w:rFonts w:ascii="Book Antiqua" w:hAnsi="Book Antiqua" w:cs="Arial"/>
                <w:b/>
                <w:sz w:val="24"/>
                <w:szCs w:val="24"/>
                <w:lang w:val="en-US"/>
              </w:rPr>
            </w:pPr>
            <w:r w:rsidRPr="00C55E0B">
              <w:rPr>
                <w:rFonts w:ascii="Book Antiqua" w:hAnsi="Book Antiqua" w:cs="Arial"/>
                <w:b/>
                <w:sz w:val="24"/>
                <w:szCs w:val="24"/>
                <w:lang w:val="en-US"/>
              </w:rPr>
              <w:t>HR</w:t>
            </w:r>
          </w:p>
        </w:tc>
        <w:tc>
          <w:tcPr>
            <w:tcW w:w="3584" w:type="dxa"/>
            <w:tcBorders>
              <w:top w:val="nil"/>
              <w:left w:val="nil"/>
              <w:bottom w:val="single" w:sz="4" w:space="0" w:color="auto"/>
              <w:right w:val="nil"/>
            </w:tcBorders>
            <w:shd w:val="clear" w:color="auto" w:fill="auto"/>
          </w:tcPr>
          <w:p w:rsidR="00AE6E73" w:rsidRPr="00C55E0B" w:rsidRDefault="00AE6E73" w:rsidP="00C55E0B">
            <w:pPr>
              <w:spacing w:after="0" w:line="360" w:lineRule="auto"/>
              <w:jc w:val="both"/>
              <w:rPr>
                <w:rFonts w:ascii="Book Antiqua" w:hAnsi="Book Antiqua" w:cs="Arial"/>
                <w:b/>
                <w:sz w:val="24"/>
                <w:szCs w:val="24"/>
                <w:lang w:val="en-US" w:eastAsia="zh-CN"/>
              </w:rPr>
            </w:pPr>
            <w:r w:rsidRPr="00C55E0B">
              <w:rPr>
                <w:rFonts w:ascii="Book Antiqua" w:hAnsi="Book Antiqua" w:cs="Arial"/>
                <w:b/>
                <w:sz w:val="24"/>
                <w:szCs w:val="24"/>
                <w:lang w:val="en-US"/>
              </w:rPr>
              <w:t>95%</w:t>
            </w:r>
            <w:r w:rsidRPr="00C55E0B">
              <w:rPr>
                <w:rFonts w:ascii="Book Antiqua" w:hAnsi="Book Antiqua" w:cs="Arial"/>
                <w:b/>
                <w:sz w:val="24"/>
                <w:szCs w:val="24"/>
                <w:lang w:val="en-US" w:eastAsia="zh-CN"/>
              </w:rPr>
              <w:t>CI</w:t>
            </w:r>
          </w:p>
        </w:tc>
        <w:tc>
          <w:tcPr>
            <w:tcW w:w="1169" w:type="dxa"/>
            <w:tcBorders>
              <w:top w:val="nil"/>
              <w:left w:val="nil"/>
              <w:bottom w:val="single" w:sz="4" w:space="0" w:color="auto"/>
              <w:right w:val="nil"/>
            </w:tcBorders>
            <w:shd w:val="clear" w:color="auto" w:fill="auto"/>
          </w:tcPr>
          <w:p w:rsidR="00AE6E73" w:rsidRPr="00C55E0B" w:rsidRDefault="00AE6E73" w:rsidP="00C55E0B">
            <w:pPr>
              <w:spacing w:after="0" w:line="360" w:lineRule="auto"/>
              <w:jc w:val="both"/>
              <w:rPr>
                <w:rFonts w:ascii="Book Antiqua" w:hAnsi="Book Antiqua" w:cs="Arial"/>
                <w:b/>
                <w:i/>
                <w:sz w:val="24"/>
                <w:szCs w:val="24"/>
                <w:lang w:val="en-US"/>
              </w:rPr>
            </w:pPr>
            <w:r w:rsidRPr="00C55E0B">
              <w:rPr>
                <w:rFonts w:ascii="Book Antiqua" w:hAnsi="Book Antiqua" w:cs="Arial"/>
                <w:b/>
                <w:i/>
                <w:sz w:val="24"/>
                <w:szCs w:val="24"/>
                <w:lang w:val="en-US"/>
              </w:rPr>
              <w:t xml:space="preserve">P </w:t>
            </w:r>
            <w:r w:rsidRPr="00C55E0B">
              <w:rPr>
                <w:rFonts w:ascii="Book Antiqua" w:hAnsi="Book Antiqua" w:cs="Arial"/>
                <w:b/>
                <w:sz w:val="24"/>
                <w:szCs w:val="24"/>
                <w:lang w:val="en-US"/>
              </w:rPr>
              <w:t>value</w:t>
            </w:r>
          </w:p>
        </w:tc>
        <w:tc>
          <w:tcPr>
            <w:tcW w:w="1065" w:type="dxa"/>
            <w:tcBorders>
              <w:top w:val="nil"/>
              <w:left w:val="nil"/>
              <w:bottom w:val="single" w:sz="4" w:space="0" w:color="auto"/>
            </w:tcBorders>
            <w:shd w:val="clear" w:color="auto" w:fill="auto"/>
          </w:tcPr>
          <w:p w:rsidR="00AE6E73" w:rsidRPr="00C55E0B" w:rsidRDefault="00AE6E73" w:rsidP="00C55E0B">
            <w:pPr>
              <w:spacing w:after="0" w:line="360" w:lineRule="auto"/>
              <w:jc w:val="both"/>
              <w:rPr>
                <w:rFonts w:ascii="Book Antiqua" w:hAnsi="Book Antiqua" w:cs="Arial"/>
                <w:b/>
                <w:sz w:val="24"/>
                <w:szCs w:val="24"/>
                <w:lang w:val="en-US"/>
              </w:rPr>
            </w:pPr>
            <w:r w:rsidRPr="00C55E0B">
              <w:rPr>
                <w:rFonts w:ascii="Book Antiqua" w:hAnsi="Book Antiqua" w:cs="Arial"/>
                <w:b/>
                <w:sz w:val="24"/>
                <w:szCs w:val="24"/>
                <w:lang w:val="en-US"/>
              </w:rPr>
              <w:t>β</w:t>
            </w:r>
          </w:p>
        </w:tc>
      </w:tr>
      <w:tr w:rsidR="00AE6E73" w:rsidRPr="00C55E0B" w:rsidTr="00AE6E73">
        <w:trPr>
          <w:trHeight w:val="42"/>
        </w:trPr>
        <w:tc>
          <w:tcPr>
            <w:tcW w:w="2802" w:type="dxa"/>
            <w:tcBorders>
              <w:top w:val="single" w:sz="4" w:space="0" w:color="auto"/>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Phase angle (≤</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4.9°)</w:t>
            </w:r>
          </w:p>
        </w:tc>
        <w:tc>
          <w:tcPr>
            <w:tcW w:w="1127" w:type="dxa"/>
            <w:tcBorders>
              <w:top w:val="single" w:sz="4" w:space="0" w:color="auto"/>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1.597</w:t>
            </w:r>
          </w:p>
        </w:tc>
        <w:tc>
          <w:tcPr>
            <w:tcW w:w="3584" w:type="dxa"/>
            <w:tcBorders>
              <w:top w:val="single" w:sz="4" w:space="0" w:color="auto"/>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1.081-2.358</w:t>
            </w:r>
          </w:p>
        </w:tc>
        <w:tc>
          <w:tcPr>
            <w:tcW w:w="1169" w:type="dxa"/>
            <w:tcBorders>
              <w:top w:val="single" w:sz="4" w:space="0" w:color="auto"/>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0.019</w:t>
            </w:r>
          </w:p>
        </w:tc>
        <w:tc>
          <w:tcPr>
            <w:tcW w:w="1065" w:type="dxa"/>
            <w:tcBorders>
              <w:top w:val="single" w:sz="4" w:space="0" w:color="auto"/>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0.468</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Sodium (mEq/L)</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0.941</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0.906-0.977</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0.002</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-0.061</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INR</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2.270</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1.154-4.465</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0.018</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0.820</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Hemoglobin (g/dL)</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0.897</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0.836-0.962</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0.002</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-0.109</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 xml:space="preserve">Ammonia </w:t>
            </w:r>
            <w:r w:rsidRPr="00C55E0B">
              <w:rPr>
                <w:rFonts w:ascii="Book Antiqua" w:eastAsia="Times New Roman" w:hAnsi="Book Antiqua" w:cs="Arial"/>
                <w:sz w:val="24"/>
                <w:szCs w:val="24"/>
                <w:lang w:eastAsia="de-DE"/>
              </w:rPr>
              <w:t>(µ/dL)</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1.006</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1.002-1.010</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0.005</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0.006</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Creatinine (mg/dL)</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4.112</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1.954-8.654</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0.000</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1.414</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 xml:space="preserve">Total bilirubin </w:t>
            </w:r>
            <w:r w:rsidRPr="00C55E0B">
              <w:rPr>
                <w:rFonts w:ascii="Book Antiqua" w:eastAsia="Times New Roman" w:hAnsi="Book Antiqua" w:cs="Arial"/>
                <w:sz w:val="24"/>
                <w:szCs w:val="24"/>
                <w:lang w:eastAsia="de-DE"/>
              </w:rPr>
              <w:t>(mg/dL)</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1.031</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0.966-1.100</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0.362</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0.030</w:t>
            </w:r>
          </w:p>
        </w:tc>
      </w:tr>
      <w:tr w:rsidR="00AE6E73" w:rsidRPr="00C55E0B" w:rsidTr="00AE6E73">
        <w:tc>
          <w:tcPr>
            <w:tcW w:w="9747" w:type="dxa"/>
            <w:gridSpan w:val="5"/>
            <w:tcBorders>
              <w:top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Multivariate analysis</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ind w:firstLineChars="49" w:firstLine="118"/>
              <w:jc w:val="both"/>
              <w:rPr>
                <w:rFonts w:ascii="Book Antiqua" w:hAnsi="Book Antiqua" w:cs="Arial"/>
                <w:sz w:val="24"/>
                <w:szCs w:val="24"/>
                <w:lang w:val="en-US"/>
              </w:rPr>
            </w:pPr>
            <w:r w:rsidRPr="00C55E0B">
              <w:rPr>
                <w:rFonts w:ascii="Book Antiqua" w:hAnsi="Book Antiqua" w:cs="Arial"/>
                <w:sz w:val="24"/>
                <w:szCs w:val="24"/>
                <w:lang w:val="en-US"/>
              </w:rPr>
              <w:t>Phase angle (≤</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4.9°)</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1.806</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1.076-3.031</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0.025</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0.591</w:t>
            </w:r>
          </w:p>
        </w:tc>
      </w:tr>
      <w:tr w:rsidR="00AE6E73" w:rsidRPr="00C55E0B" w:rsidTr="00AE6E73">
        <w:tc>
          <w:tcPr>
            <w:tcW w:w="2802" w:type="dxa"/>
            <w:tcBorders>
              <w:top w:val="nil"/>
              <w:bottom w:val="nil"/>
              <w:right w:val="nil"/>
            </w:tcBorders>
            <w:shd w:val="clear" w:color="auto" w:fill="auto"/>
          </w:tcPr>
          <w:p w:rsidR="00AE6E73" w:rsidRPr="00C55E0B" w:rsidRDefault="00AE6E73" w:rsidP="00C55E0B">
            <w:pPr>
              <w:spacing w:after="0" w:line="360" w:lineRule="auto"/>
              <w:ind w:firstLineChars="49" w:firstLine="118"/>
              <w:jc w:val="both"/>
              <w:rPr>
                <w:rFonts w:ascii="Book Antiqua" w:hAnsi="Book Antiqua" w:cs="Arial"/>
                <w:sz w:val="24"/>
                <w:szCs w:val="24"/>
                <w:lang w:val="en-US"/>
              </w:rPr>
            </w:pPr>
            <w:r w:rsidRPr="00C55E0B">
              <w:rPr>
                <w:rFonts w:ascii="Book Antiqua" w:hAnsi="Book Antiqua" w:cs="Arial"/>
                <w:sz w:val="24"/>
                <w:szCs w:val="24"/>
                <w:lang w:val="en-US"/>
              </w:rPr>
              <w:t>Sodium (mEq/L)</w:t>
            </w:r>
          </w:p>
        </w:tc>
        <w:tc>
          <w:tcPr>
            <w:tcW w:w="1127"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0.957</w:t>
            </w:r>
          </w:p>
        </w:tc>
        <w:tc>
          <w:tcPr>
            <w:tcW w:w="3584"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0.912-1.003</w:t>
            </w:r>
          </w:p>
        </w:tc>
        <w:tc>
          <w:tcPr>
            <w:tcW w:w="1169" w:type="dxa"/>
            <w:tcBorders>
              <w:top w:val="nil"/>
              <w:left w:val="nil"/>
              <w:bottom w:val="nil"/>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0.065</w:t>
            </w:r>
          </w:p>
        </w:tc>
        <w:tc>
          <w:tcPr>
            <w:tcW w:w="1065" w:type="dxa"/>
            <w:tcBorders>
              <w:top w:val="nil"/>
              <w:left w:val="nil"/>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-0.044</w:t>
            </w:r>
          </w:p>
        </w:tc>
      </w:tr>
      <w:tr w:rsidR="00AE6E73" w:rsidRPr="00C55E0B" w:rsidTr="00AE6E73">
        <w:tc>
          <w:tcPr>
            <w:tcW w:w="2802" w:type="dxa"/>
            <w:tcBorders>
              <w:top w:val="nil"/>
              <w:bottom w:val="single" w:sz="4" w:space="0" w:color="auto"/>
              <w:right w:val="nil"/>
            </w:tcBorders>
            <w:shd w:val="clear" w:color="auto" w:fill="auto"/>
          </w:tcPr>
          <w:p w:rsidR="00AE6E73" w:rsidRPr="00C55E0B" w:rsidRDefault="00AE6E73" w:rsidP="00C55E0B">
            <w:pPr>
              <w:spacing w:after="0" w:line="360" w:lineRule="auto"/>
              <w:ind w:firstLineChars="49" w:firstLine="118"/>
              <w:jc w:val="both"/>
              <w:rPr>
                <w:rFonts w:ascii="Book Antiqua" w:hAnsi="Book Antiqua" w:cs="Arial"/>
                <w:sz w:val="24"/>
                <w:szCs w:val="24"/>
                <w:lang w:val="en-US"/>
              </w:rPr>
            </w:pPr>
            <w:r w:rsidRPr="00C55E0B">
              <w:rPr>
                <w:rFonts w:ascii="Book Antiqua" w:hAnsi="Book Antiqua" w:cs="Arial"/>
                <w:sz w:val="24"/>
                <w:szCs w:val="24"/>
                <w:lang w:val="en-US"/>
              </w:rPr>
              <w:t>Creatinine (mg/dL)</w:t>
            </w:r>
          </w:p>
        </w:tc>
        <w:tc>
          <w:tcPr>
            <w:tcW w:w="1127" w:type="dxa"/>
            <w:tcBorders>
              <w:top w:val="nil"/>
              <w:left w:val="nil"/>
              <w:bottom w:val="single" w:sz="4" w:space="0" w:color="auto"/>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4.116</w:t>
            </w:r>
          </w:p>
        </w:tc>
        <w:tc>
          <w:tcPr>
            <w:tcW w:w="3584" w:type="dxa"/>
            <w:tcBorders>
              <w:top w:val="nil"/>
              <w:left w:val="nil"/>
              <w:bottom w:val="single" w:sz="4" w:space="0" w:color="auto"/>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1.573-10.767</w:t>
            </w:r>
          </w:p>
        </w:tc>
        <w:tc>
          <w:tcPr>
            <w:tcW w:w="1169" w:type="dxa"/>
            <w:tcBorders>
              <w:top w:val="nil"/>
              <w:left w:val="nil"/>
              <w:bottom w:val="single" w:sz="4" w:space="0" w:color="auto"/>
              <w:right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0.004</w:t>
            </w:r>
          </w:p>
        </w:tc>
        <w:tc>
          <w:tcPr>
            <w:tcW w:w="1065" w:type="dxa"/>
            <w:tcBorders>
              <w:top w:val="nil"/>
              <w:left w:val="nil"/>
              <w:bottom w:val="single" w:sz="4" w:space="0" w:color="auto"/>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rPr>
            </w:pPr>
            <w:r w:rsidRPr="00C55E0B">
              <w:rPr>
                <w:rFonts w:ascii="Book Antiqua" w:hAnsi="Book Antiqua" w:cs="Arial"/>
                <w:sz w:val="24"/>
                <w:szCs w:val="24"/>
                <w:lang w:val="en-US"/>
              </w:rPr>
              <w:t>1.415</w:t>
            </w:r>
          </w:p>
        </w:tc>
      </w:tr>
      <w:tr w:rsidR="00AE6E73" w:rsidRPr="00C55E0B" w:rsidTr="00AE6E73">
        <w:trPr>
          <w:trHeight w:val="340"/>
        </w:trPr>
        <w:tc>
          <w:tcPr>
            <w:tcW w:w="9747" w:type="dxa"/>
            <w:gridSpan w:val="5"/>
            <w:tcBorders>
              <w:top w:val="single" w:sz="4" w:space="0" w:color="auto"/>
              <w:bottom w:val="nil"/>
            </w:tcBorders>
            <w:shd w:val="clear" w:color="auto" w:fill="auto"/>
          </w:tcPr>
          <w:p w:rsidR="00AE6E73" w:rsidRPr="00C55E0B" w:rsidRDefault="00AE6E73" w:rsidP="00C55E0B">
            <w:pPr>
              <w:spacing w:after="0" w:line="360" w:lineRule="auto"/>
              <w:jc w:val="both"/>
              <w:rPr>
                <w:rFonts w:ascii="Book Antiqua" w:hAnsi="Book Antiqua" w:cs="Arial"/>
                <w:sz w:val="24"/>
                <w:szCs w:val="24"/>
                <w:lang w:val="en-US" w:eastAsia="zh-CN"/>
              </w:rPr>
            </w:pPr>
            <w:r w:rsidRPr="00C55E0B">
              <w:rPr>
                <w:rFonts w:ascii="Book Antiqua" w:hAnsi="Book Antiqua" w:cs="Arial"/>
                <w:sz w:val="24"/>
                <w:szCs w:val="24"/>
                <w:lang w:val="en-US"/>
              </w:rPr>
              <w:t>2-Log-likelihood: Block 0</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557.59</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Block 1</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540.42</w:t>
            </w:r>
            <w:r w:rsidRPr="00C55E0B">
              <w:rPr>
                <w:rFonts w:ascii="Book Antiqua" w:hAnsi="Book Antiqua" w:cs="Arial"/>
                <w:sz w:val="24"/>
                <w:szCs w:val="24"/>
                <w:lang w:val="en-US" w:eastAsia="zh-CN"/>
              </w:rPr>
              <w:t>,</w:t>
            </w:r>
            <w:r w:rsidRPr="00C55E0B">
              <w:rPr>
                <w:rFonts w:ascii="Book Antiqua" w:hAnsi="Book Antiqua" w:cs="Arial"/>
                <w:sz w:val="24"/>
                <w:szCs w:val="24"/>
                <w:lang w:val="en-US"/>
              </w:rPr>
              <w:t xml:space="preserve"> </w:t>
            </w:r>
            <w:r w:rsidRPr="00C55E0B">
              <w:rPr>
                <w:rFonts w:ascii="Book Antiqua" w:hAnsi="Book Antiqua" w:cs="Arial"/>
                <w:i/>
                <w:sz w:val="24"/>
                <w:szCs w:val="24"/>
                <w:lang w:val="en-US"/>
              </w:rPr>
              <w:t>P</w:t>
            </w:r>
            <w:r w:rsidRPr="00C55E0B">
              <w:rPr>
                <w:rFonts w:ascii="Book Antiqua" w:hAnsi="Book Antiqua" w:cs="Arial"/>
                <w:i/>
                <w:sz w:val="24"/>
                <w:szCs w:val="24"/>
                <w:lang w:val="en-US" w:eastAsia="zh-CN"/>
              </w:rPr>
              <w:t xml:space="preserve"> </w:t>
            </w:r>
            <w:r w:rsidRPr="00C55E0B">
              <w:rPr>
                <w:rFonts w:ascii="Book Antiqua" w:hAnsi="Book Antiqua" w:cs="Arial"/>
                <w:sz w:val="24"/>
                <w:szCs w:val="24"/>
                <w:lang w:val="en-US"/>
              </w:rPr>
              <w:t>=</w:t>
            </w:r>
            <w:r w:rsidRPr="00C55E0B">
              <w:rPr>
                <w:rFonts w:ascii="Book Antiqua" w:hAnsi="Book Antiqua" w:cs="Arial"/>
                <w:sz w:val="24"/>
                <w:szCs w:val="24"/>
                <w:lang w:val="en-US" w:eastAsia="zh-CN"/>
              </w:rPr>
              <w:t xml:space="preserve"> </w:t>
            </w:r>
            <w:r w:rsidRPr="00C55E0B">
              <w:rPr>
                <w:rFonts w:ascii="Book Antiqua" w:hAnsi="Book Antiqua" w:cs="Arial"/>
                <w:sz w:val="24"/>
                <w:szCs w:val="24"/>
                <w:lang w:val="en-US"/>
              </w:rPr>
              <w:t>0.000</w:t>
            </w:r>
            <w:r w:rsidRPr="00C55E0B">
              <w:rPr>
                <w:rFonts w:ascii="Book Antiqua" w:hAnsi="Book Antiqua" w:cs="Arial"/>
                <w:sz w:val="24"/>
                <w:szCs w:val="24"/>
                <w:lang w:val="en-US" w:eastAsia="zh-CN"/>
              </w:rPr>
              <w:t>.</w:t>
            </w:r>
          </w:p>
        </w:tc>
      </w:tr>
    </w:tbl>
    <w:p w:rsidR="00AE6E73" w:rsidRPr="00C55E0B" w:rsidRDefault="00AE6E73" w:rsidP="00C55E0B">
      <w:pPr>
        <w:spacing w:after="0" w:line="259" w:lineRule="auto"/>
        <w:rPr>
          <w:rFonts w:ascii="Book Antiqua" w:hAnsi="Book Antiqua" w:cs="Arial"/>
          <w:b/>
          <w:sz w:val="24"/>
          <w:szCs w:val="24"/>
          <w:lang w:val="en-US"/>
        </w:rPr>
      </w:pPr>
      <w:r w:rsidRPr="00C55E0B">
        <w:rPr>
          <w:rFonts w:ascii="Book Antiqua" w:hAnsi="Book Antiqua" w:cs="Arial"/>
          <w:b/>
          <w:sz w:val="24"/>
          <w:szCs w:val="24"/>
          <w:lang w:val="en-US"/>
        </w:rPr>
        <w:t xml:space="preserve"> </w:t>
      </w:r>
      <w:r w:rsidRPr="00C55E0B">
        <w:rPr>
          <w:rFonts w:ascii="Book Antiqua" w:hAnsi="Book Antiqua" w:cs="Arial"/>
          <w:b/>
          <w:sz w:val="24"/>
          <w:szCs w:val="24"/>
          <w:lang w:val="en-US"/>
        </w:rPr>
        <w:br w:type="page"/>
      </w:r>
    </w:p>
    <w:p w:rsidR="006575A1" w:rsidRPr="00C55E0B" w:rsidRDefault="006575A1" w:rsidP="00C55E0B">
      <w:pPr>
        <w:tabs>
          <w:tab w:val="left" w:pos="2098"/>
        </w:tabs>
        <w:spacing w:after="0" w:line="360" w:lineRule="auto"/>
        <w:jc w:val="both"/>
        <w:rPr>
          <w:rFonts w:ascii="Book Antiqua" w:hAnsi="Book Antiqua" w:cs="Arial"/>
          <w:sz w:val="24"/>
          <w:szCs w:val="24"/>
          <w:lang w:val="en-US"/>
        </w:rPr>
      </w:pPr>
    </w:p>
    <w:p w:rsidR="006575A1" w:rsidRPr="00C55E0B" w:rsidRDefault="00AE6E73" w:rsidP="00C55E0B">
      <w:pPr>
        <w:spacing w:after="0" w:line="360" w:lineRule="auto"/>
        <w:jc w:val="both"/>
        <w:rPr>
          <w:rFonts w:ascii="Book Antiqua" w:hAnsi="Book Antiqua" w:cs="Arial"/>
          <w:b/>
          <w:sz w:val="24"/>
          <w:szCs w:val="24"/>
          <w:lang w:val="en-US"/>
        </w:rPr>
      </w:pPr>
      <w:r w:rsidRPr="00C55E0B">
        <w:rPr>
          <w:rFonts w:ascii="Book Antiqua" w:hAnsi="Book Antiqua"/>
          <w:b/>
          <w:noProof/>
          <w:sz w:val="24"/>
          <w:szCs w:val="24"/>
          <w:lang w:val="en-US" w:eastAsia="zh-CN"/>
        </w:rPr>
        <w:drawing>
          <wp:inline distT="0" distB="0" distL="0" distR="0" wp14:anchorId="4E0D494B" wp14:editId="6EC19BDC">
            <wp:extent cx="4483290" cy="3330054"/>
            <wp:effectExtent l="0" t="0" r="0" b="3810"/>
            <wp:docPr id="1" name="图片 1" descr="E:\共享\ESPS投稿整理（2012-11-13开始）\2016-08-09\29063\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共享\ESPS投稿整理（2012-11-13开始）\2016-08-09\29063\Figure 1.tif"/>
                    <pic:cNvPicPr>
                      <a:picLocks noChangeAspect="1" noChangeArrowheads="1"/>
                    </pic:cNvPicPr>
                  </pic:nvPicPr>
                  <pic:blipFill rotWithShape="1">
                    <a:blip r:embed="rId8">
                      <a:extLst>
                        <a:ext uri="{28A0092B-C50C-407E-A947-70E740481C1C}">
                          <a14:useLocalDpi xmlns:a14="http://schemas.microsoft.com/office/drawing/2010/main" val="0"/>
                        </a:ext>
                      </a:extLst>
                    </a:blip>
                    <a:srcRect l="8022" t="8104" r="12116" b="12804"/>
                    <a:stretch/>
                  </pic:blipFill>
                  <pic:spPr bwMode="auto">
                    <a:xfrm>
                      <a:off x="0" y="0"/>
                      <a:ext cx="4481973" cy="3329076"/>
                    </a:xfrm>
                    <a:prstGeom prst="rect">
                      <a:avLst/>
                    </a:prstGeom>
                    <a:noFill/>
                    <a:ln>
                      <a:noFill/>
                    </a:ln>
                    <a:extLst>
                      <a:ext uri="{53640926-AAD7-44D8-BBD7-CCE9431645EC}">
                        <a14:shadowObscured xmlns:a14="http://schemas.microsoft.com/office/drawing/2010/main"/>
                      </a:ext>
                    </a:extLst>
                  </pic:spPr>
                </pic:pic>
              </a:graphicData>
            </a:graphic>
          </wp:inline>
        </w:drawing>
      </w:r>
    </w:p>
    <w:p w:rsidR="002606DC" w:rsidRDefault="00AE6E73" w:rsidP="00C55E0B">
      <w:pPr>
        <w:spacing w:after="0" w:line="360" w:lineRule="auto"/>
        <w:jc w:val="both"/>
        <w:rPr>
          <w:rFonts w:ascii="Book Antiqua" w:hAnsi="Book Antiqua" w:cs="Arial"/>
          <w:b/>
          <w:sz w:val="24"/>
          <w:szCs w:val="24"/>
          <w:lang w:val="en-US"/>
        </w:rPr>
      </w:pPr>
      <w:r w:rsidRPr="00C55E0B">
        <w:rPr>
          <w:rFonts w:ascii="Book Antiqua" w:hAnsi="Book Antiqua" w:cs="Arial"/>
          <w:b/>
          <w:sz w:val="24"/>
          <w:szCs w:val="24"/>
          <w:lang w:val="en-US"/>
        </w:rPr>
        <w:t>Figure 1</w:t>
      </w:r>
      <w:r w:rsidR="006575A1" w:rsidRPr="00C55E0B">
        <w:rPr>
          <w:rFonts w:ascii="Book Antiqua" w:hAnsi="Book Antiqua" w:cs="Arial"/>
          <w:b/>
          <w:sz w:val="24"/>
          <w:szCs w:val="24"/>
          <w:lang w:val="en-US"/>
        </w:rPr>
        <w:t xml:space="preserve"> Development of hepatic encephalopathy according to phase angle during the follow-up period of 48 </w:t>
      </w:r>
      <w:r w:rsidRPr="00C55E0B">
        <w:rPr>
          <w:rFonts w:ascii="Book Antiqua" w:hAnsi="Book Antiqua" w:cs="Arial"/>
          <w:b/>
          <w:sz w:val="24"/>
          <w:szCs w:val="24"/>
          <w:lang w:val="en-US" w:eastAsia="zh-CN"/>
        </w:rPr>
        <w:t>mo</w:t>
      </w:r>
      <w:r w:rsidR="006575A1" w:rsidRPr="00C55E0B">
        <w:rPr>
          <w:rFonts w:ascii="Book Antiqua" w:hAnsi="Book Antiqua" w:cs="Arial"/>
          <w:b/>
          <w:sz w:val="24"/>
          <w:szCs w:val="24"/>
          <w:lang w:val="en-US"/>
        </w:rPr>
        <w:t xml:space="preserve">. </w:t>
      </w:r>
    </w:p>
    <w:p w:rsidR="002606DC" w:rsidRDefault="002606DC">
      <w:pPr>
        <w:spacing w:after="160" w:line="259" w:lineRule="auto"/>
        <w:rPr>
          <w:rFonts w:ascii="Book Antiqua" w:hAnsi="Book Antiqua" w:cs="Arial"/>
          <w:b/>
          <w:sz w:val="24"/>
          <w:szCs w:val="24"/>
          <w:lang w:val="en-US"/>
        </w:rPr>
      </w:pPr>
      <w:r>
        <w:rPr>
          <w:rFonts w:ascii="Book Antiqua" w:hAnsi="Book Antiqua" w:cs="Arial"/>
          <w:b/>
          <w:sz w:val="24"/>
          <w:szCs w:val="24"/>
          <w:lang w:val="en-US"/>
        </w:rPr>
        <w:br w:type="page"/>
      </w:r>
    </w:p>
    <w:p w:rsidR="006575A1" w:rsidRPr="00C55E0B" w:rsidRDefault="006575A1" w:rsidP="00C55E0B">
      <w:pPr>
        <w:spacing w:after="0" w:line="360" w:lineRule="auto"/>
        <w:jc w:val="both"/>
        <w:rPr>
          <w:rFonts w:ascii="Book Antiqua" w:hAnsi="Book Antiqua" w:cs="Arial"/>
          <w:b/>
          <w:sz w:val="24"/>
          <w:szCs w:val="24"/>
          <w:lang w:val="en-US" w:eastAsia="zh-CN"/>
        </w:rPr>
      </w:pPr>
    </w:p>
    <w:p w:rsidR="00AE6E73" w:rsidRPr="00C55E0B" w:rsidRDefault="00AE6E73" w:rsidP="00C55E0B">
      <w:pPr>
        <w:spacing w:after="0" w:line="360" w:lineRule="auto"/>
        <w:jc w:val="both"/>
        <w:rPr>
          <w:rFonts w:ascii="Book Antiqua" w:hAnsi="Book Antiqua" w:cs="Arial"/>
          <w:b/>
          <w:sz w:val="24"/>
          <w:szCs w:val="24"/>
          <w:lang w:val="en-US" w:eastAsia="zh-CN"/>
        </w:rPr>
      </w:pPr>
    </w:p>
    <w:p w:rsidR="006575A1" w:rsidRPr="00C55E0B" w:rsidRDefault="00AE6E73" w:rsidP="00C55E0B">
      <w:pPr>
        <w:spacing w:after="0" w:line="360" w:lineRule="auto"/>
        <w:jc w:val="both"/>
        <w:rPr>
          <w:rFonts w:ascii="Book Antiqua" w:hAnsi="Book Antiqua" w:cs="Arial"/>
          <w:b/>
          <w:sz w:val="24"/>
          <w:szCs w:val="24"/>
          <w:lang w:val="en-US"/>
        </w:rPr>
      </w:pPr>
      <w:r w:rsidRPr="00C55E0B">
        <w:rPr>
          <w:rFonts w:ascii="Book Antiqua" w:hAnsi="Book Antiqua"/>
          <w:b/>
          <w:noProof/>
          <w:sz w:val="24"/>
          <w:szCs w:val="24"/>
          <w:lang w:val="en-US" w:eastAsia="zh-CN"/>
        </w:rPr>
        <w:drawing>
          <wp:inline distT="0" distB="0" distL="0" distR="0" wp14:anchorId="14852A0E" wp14:editId="53AB1A8D">
            <wp:extent cx="5138382" cy="2531660"/>
            <wp:effectExtent l="0" t="0" r="5715" b="2540"/>
            <wp:docPr id="2" name="图片 2" descr="E:\共享\ESPS投稿整理（2012-11-13开始）\2016-08-09\29063\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共享\ESPS投稿整理（2012-11-13开始）\2016-08-09\29063\Figure 2.tif"/>
                    <pic:cNvPicPr>
                      <a:picLocks noChangeAspect="1" noChangeArrowheads="1"/>
                    </pic:cNvPicPr>
                  </pic:nvPicPr>
                  <pic:blipFill rotWithShape="1">
                    <a:blip r:embed="rId9">
                      <a:extLst>
                        <a:ext uri="{28A0092B-C50C-407E-A947-70E740481C1C}">
                          <a14:useLocalDpi xmlns:a14="http://schemas.microsoft.com/office/drawing/2010/main" val="0"/>
                        </a:ext>
                      </a:extLst>
                    </a:blip>
                    <a:srcRect l="3525" t="16208" r="4944" b="23663"/>
                    <a:stretch/>
                  </pic:blipFill>
                  <pic:spPr bwMode="auto">
                    <a:xfrm>
                      <a:off x="0" y="0"/>
                      <a:ext cx="5136872" cy="2530916"/>
                    </a:xfrm>
                    <a:prstGeom prst="rect">
                      <a:avLst/>
                    </a:prstGeom>
                    <a:noFill/>
                    <a:ln>
                      <a:noFill/>
                    </a:ln>
                    <a:extLst>
                      <a:ext uri="{53640926-AAD7-44D8-BBD7-CCE9431645EC}">
                        <a14:shadowObscured xmlns:a14="http://schemas.microsoft.com/office/drawing/2010/main"/>
                      </a:ext>
                    </a:extLst>
                  </pic:spPr>
                </pic:pic>
              </a:graphicData>
            </a:graphic>
          </wp:inline>
        </w:drawing>
      </w:r>
      <w:r w:rsidRPr="00C55E0B">
        <w:rPr>
          <w:rFonts w:ascii="Book Antiqua" w:hAnsi="Book Antiqua" w:cs="Arial"/>
          <w:b/>
          <w:sz w:val="24"/>
          <w:szCs w:val="24"/>
          <w:lang w:val="en-US"/>
        </w:rPr>
        <w:t xml:space="preserve"> Figure 2</w:t>
      </w:r>
      <w:r w:rsidR="006575A1" w:rsidRPr="00C55E0B">
        <w:rPr>
          <w:rFonts w:ascii="Book Antiqua" w:hAnsi="Book Antiqua" w:cs="Arial"/>
          <w:b/>
          <w:sz w:val="24"/>
          <w:szCs w:val="24"/>
          <w:lang w:val="en-US"/>
        </w:rPr>
        <w:t xml:space="preserve"> Precipitating factors of hepatic encephalopathy in the cohort.</w:t>
      </w:r>
    </w:p>
    <w:p w:rsidR="00A00459" w:rsidRPr="00C55E0B" w:rsidRDefault="00A00459" w:rsidP="00C55E0B">
      <w:pPr>
        <w:spacing w:after="0" w:line="360" w:lineRule="auto"/>
        <w:jc w:val="both"/>
        <w:rPr>
          <w:rFonts w:ascii="Book Antiqua" w:hAnsi="Book Antiqua"/>
          <w:b/>
          <w:sz w:val="24"/>
          <w:szCs w:val="24"/>
          <w:lang w:val="en-US" w:eastAsia="zh-CN"/>
        </w:rPr>
      </w:pPr>
    </w:p>
    <w:sectPr w:rsidR="00A00459" w:rsidRPr="00C55E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2A" w:rsidRDefault="00EC182A" w:rsidP="00A00459">
      <w:pPr>
        <w:spacing w:after="0" w:line="240" w:lineRule="auto"/>
      </w:pPr>
      <w:r>
        <w:separator/>
      </w:r>
    </w:p>
  </w:endnote>
  <w:endnote w:type="continuationSeparator" w:id="0">
    <w:p w:rsidR="00EC182A" w:rsidRDefault="00EC182A" w:rsidP="00A0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2A" w:rsidRDefault="00EC182A" w:rsidP="00A00459">
      <w:pPr>
        <w:spacing w:after="0" w:line="240" w:lineRule="auto"/>
      </w:pPr>
      <w:r>
        <w:separator/>
      </w:r>
    </w:p>
  </w:footnote>
  <w:footnote w:type="continuationSeparator" w:id="0">
    <w:p w:rsidR="00EC182A" w:rsidRDefault="00EC182A" w:rsidP="00A0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28D"/>
    <w:multiLevelType w:val="hybridMultilevel"/>
    <w:tmpl w:val="6602E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B1244D"/>
    <w:multiLevelType w:val="hybridMultilevel"/>
    <w:tmpl w:val="89341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B53AC8"/>
    <w:multiLevelType w:val="hybridMultilevel"/>
    <w:tmpl w:val="C5D63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92"/>
    <w:rsid w:val="0000695A"/>
    <w:rsid w:val="000777CC"/>
    <w:rsid w:val="000A3CF5"/>
    <w:rsid w:val="000B77E7"/>
    <w:rsid w:val="000D21C0"/>
    <w:rsid w:val="000E7E1F"/>
    <w:rsid w:val="000F5068"/>
    <w:rsid w:val="000F6F3D"/>
    <w:rsid w:val="001548A8"/>
    <w:rsid w:val="002268E5"/>
    <w:rsid w:val="00233F97"/>
    <w:rsid w:val="00250992"/>
    <w:rsid w:val="002606DC"/>
    <w:rsid w:val="0026245C"/>
    <w:rsid w:val="002824AA"/>
    <w:rsid w:val="002E03F3"/>
    <w:rsid w:val="002E1BD5"/>
    <w:rsid w:val="002E7E08"/>
    <w:rsid w:val="003135AB"/>
    <w:rsid w:val="0034208A"/>
    <w:rsid w:val="00346952"/>
    <w:rsid w:val="0035548D"/>
    <w:rsid w:val="003744C9"/>
    <w:rsid w:val="00383E11"/>
    <w:rsid w:val="003A0AD2"/>
    <w:rsid w:val="003B0E96"/>
    <w:rsid w:val="003B1D89"/>
    <w:rsid w:val="003B781F"/>
    <w:rsid w:val="003C3A08"/>
    <w:rsid w:val="003E3149"/>
    <w:rsid w:val="00401D88"/>
    <w:rsid w:val="00405D19"/>
    <w:rsid w:val="00430904"/>
    <w:rsid w:val="00443C8F"/>
    <w:rsid w:val="00462A86"/>
    <w:rsid w:val="0048306F"/>
    <w:rsid w:val="004B587A"/>
    <w:rsid w:val="00502840"/>
    <w:rsid w:val="00504B9F"/>
    <w:rsid w:val="005561D3"/>
    <w:rsid w:val="005620E9"/>
    <w:rsid w:val="00565B19"/>
    <w:rsid w:val="00567CA9"/>
    <w:rsid w:val="005809AA"/>
    <w:rsid w:val="005A6A74"/>
    <w:rsid w:val="005C7FE6"/>
    <w:rsid w:val="005E5F70"/>
    <w:rsid w:val="005F2176"/>
    <w:rsid w:val="0063573B"/>
    <w:rsid w:val="006575A1"/>
    <w:rsid w:val="00681DA1"/>
    <w:rsid w:val="0069437E"/>
    <w:rsid w:val="00741C6A"/>
    <w:rsid w:val="0077654D"/>
    <w:rsid w:val="0078283D"/>
    <w:rsid w:val="007B1ADF"/>
    <w:rsid w:val="007D0A35"/>
    <w:rsid w:val="007E09D9"/>
    <w:rsid w:val="00803B5E"/>
    <w:rsid w:val="00815329"/>
    <w:rsid w:val="008705BB"/>
    <w:rsid w:val="00902423"/>
    <w:rsid w:val="009049F6"/>
    <w:rsid w:val="009765D2"/>
    <w:rsid w:val="00994475"/>
    <w:rsid w:val="00A00459"/>
    <w:rsid w:val="00A14D41"/>
    <w:rsid w:val="00A24D5E"/>
    <w:rsid w:val="00A256E2"/>
    <w:rsid w:val="00A86D40"/>
    <w:rsid w:val="00A90925"/>
    <w:rsid w:val="00AB05D8"/>
    <w:rsid w:val="00AC3CEE"/>
    <w:rsid w:val="00AD2AEB"/>
    <w:rsid w:val="00AD7C97"/>
    <w:rsid w:val="00AE6E73"/>
    <w:rsid w:val="00AF418B"/>
    <w:rsid w:val="00B10785"/>
    <w:rsid w:val="00B67008"/>
    <w:rsid w:val="00B7383A"/>
    <w:rsid w:val="00BA0AE6"/>
    <w:rsid w:val="00BC3CC8"/>
    <w:rsid w:val="00BD46A2"/>
    <w:rsid w:val="00C34D82"/>
    <w:rsid w:val="00C55E0B"/>
    <w:rsid w:val="00C86D6C"/>
    <w:rsid w:val="00CC4B01"/>
    <w:rsid w:val="00CD6147"/>
    <w:rsid w:val="00D30B40"/>
    <w:rsid w:val="00D31EE6"/>
    <w:rsid w:val="00D816B0"/>
    <w:rsid w:val="00DA33F2"/>
    <w:rsid w:val="00DF0055"/>
    <w:rsid w:val="00E24C43"/>
    <w:rsid w:val="00E4225D"/>
    <w:rsid w:val="00E5177C"/>
    <w:rsid w:val="00E804D0"/>
    <w:rsid w:val="00E907A8"/>
    <w:rsid w:val="00E9499F"/>
    <w:rsid w:val="00EB3939"/>
    <w:rsid w:val="00EC182A"/>
    <w:rsid w:val="00F0754F"/>
    <w:rsid w:val="00F15E29"/>
    <w:rsid w:val="00F55433"/>
    <w:rsid w:val="00F97B52"/>
    <w:rsid w:val="00FA4A99"/>
    <w:rsid w:val="00FC663F"/>
    <w:rsid w:val="00FE748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6AE98-29C7-4842-A763-D4D2A10A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92"/>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92"/>
    <w:pPr>
      <w:ind w:left="720"/>
      <w:contextualSpacing/>
    </w:pPr>
  </w:style>
  <w:style w:type="table" w:styleId="TableGrid">
    <w:name w:val="Table Grid"/>
    <w:basedOn w:val="TableNormal"/>
    <w:uiPriority w:val="39"/>
    <w:rsid w:val="0065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45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00459"/>
    <w:rPr>
      <w:sz w:val="18"/>
      <w:szCs w:val="18"/>
      <w:lang w:val="de-DE"/>
    </w:rPr>
  </w:style>
  <w:style w:type="paragraph" w:styleId="Footer">
    <w:name w:val="footer"/>
    <w:basedOn w:val="Normal"/>
    <w:link w:val="FooterChar"/>
    <w:uiPriority w:val="99"/>
    <w:unhideWhenUsed/>
    <w:rsid w:val="00A0045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00459"/>
    <w:rPr>
      <w:sz w:val="18"/>
      <w:szCs w:val="18"/>
      <w:lang w:val="de-DE"/>
    </w:rPr>
  </w:style>
  <w:style w:type="paragraph" w:styleId="BalloonText">
    <w:name w:val="Balloon Text"/>
    <w:basedOn w:val="Normal"/>
    <w:link w:val="BalloonTextChar"/>
    <w:uiPriority w:val="99"/>
    <w:semiHidden/>
    <w:unhideWhenUsed/>
    <w:rsid w:val="00A0045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0459"/>
    <w:rPr>
      <w:sz w:val="18"/>
      <w:szCs w:val="18"/>
      <w:lang w:val="de-DE"/>
    </w:rPr>
  </w:style>
  <w:style w:type="character" w:styleId="CommentReference">
    <w:name w:val="annotation reference"/>
    <w:rsid w:val="00E24C43"/>
    <w:rPr>
      <w:rFonts w:cs="Times New Roman"/>
      <w:sz w:val="21"/>
      <w:szCs w:val="21"/>
    </w:rPr>
  </w:style>
  <w:style w:type="paragraph" w:styleId="CommentText">
    <w:name w:val="annotation text"/>
    <w:basedOn w:val="Normal"/>
    <w:link w:val="CommentTextChar"/>
    <w:unhideWhenUsed/>
    <w:rsid w:val="00E24C43"/>
  </w:style>
  <w:style w:type="character" w:customStyle="1" w:styleId="CommentTextChar">
    <w:name w:val="Comment Text Char"/>
    <w:basedOn w:val="DefaultParagraphFont"/>
    <w:link w:val="CommentText"/>
    <w:rsid w:val="00E24C43"/>
    <w:rPr>
      <w:lang w:val="de-DE"/>
    </w:rPr>
  </w:style>
  <w:style w:type="paragraph" w:styleId="CommentSubject">
    <w:name w:val="annotation subject"/>
    <w:basedOn w:val="CommentText"/>
    <w:next w:val="CommentText"/>
    <w:link w:val="CommentSubjectChar"/>
    <w:uiPriority w:val="99"/>
    <w:semiHidden/>
    <w:unhideWhenUsed/>
    <w:rsid w:val="00E24C43"/>
    <w:rPr>
      <w:b/>
      <w:bCs/>
    </w:rPr>
  </w:style>
  <w:style w:type="character" w:customStyle="1" w:styleId="CommentSubjectChar">
    <w:name w:val="Comment Subject Char"/>
    <w:basedOn w:val="CommentTextChar"/>
    <w:link w:val="CommentSubject"/>
    <w:uiPriority w:val="99"/>
    <w:semiHidden/>
    <w:rsid w:val="00E24C43"/>
    <w:rPr>
      <w:b/>
      <w:bCs/>
      <w:lang w:val="de-DE"/>
    </w:rPr>
  </w:style>
  <w:style w:type="paragraph" w:styleId="NormalWeb">
    <w:name w:val="Normal (Web)"/>
    <w:basedOn w:val="Normal"/>
    <w:uiPriority w:val="99"/>
    <w:unhideWhenUsed/>
    <w:rsid w:val="00E24C4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E24C43"/>
    <w:rPr>
      <w:b/>
      <w:bCs/>
    </w:rPr>
  </w:style>
  <w:style w:type="character" w:styleId="Hyperlink">
    <w:name w:val="Hyperlink"/>
    <w:rsid w:val="00E24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35864">
      <w:bodyDiv w:val="1"/>
      <w:marLeft w:val="0"/>
      <w:marRight w:val="0"/>
      <w:marTop w:val="0"/>
      <w:marBottom w:val="0"/>
      <w:divBdr>
        <w:top w:val="none" w:sz="0" w:space="0" w:color="auto"/>
        <w:left w:val="none" w:sz="0" w:space="0" w:color="auto"/>
        <w:bottom w:val="none" w:sz="0" w:space="0" w:color="auto"/>
        <w:right w:val="none" w:sz="0" w:space="0" w:color="auto"/>
      </w:divBdr>
      <w:divsChild>
        <w:div w:id="265580993">
          <w:marLeft w:val="0"/>
          <w:marRight w:val="0"/>
          <w:marTop w:val="0"/>
          <w:marBottom w:val="0"/>
          <w:divBdr>
            <w:top w:val="none" w:sz="0" w:space="0" w:color="auto"/>
            <w:left w:val="none" w:sz="0" w:space="0" w:color="auto"/>
            <w:bottom w:val="none" w:sz="0" w:space="0" w:color="auto"/>
            <w:right w:val="none" w:sz="0" w:space="0" w:color="auto"/>
          </w:divBdr>
        </w:div>
        <w:div w:id="63237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detoa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4716</Words>
  <Characters>26883</Characters>
  <Application>Microsoft Office Word</Application>
  <DocSecurity>0</DocSecurity>
  <Lines>224</Lines>
  <Paragraphs>63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dc:creator>
  <cp:keywords/>
  <dc:description/>
  <cp:lastModifiedBy>LS Ma</cp:lastModifiedBy>
  <cp:revision>2</cp:revision>
  <cp:lastPrinted>2016-09-23T13:31:00Z</cp:lastPrinted>
  <dcterms:created xsi:type="dcterms:W3CDTF">2016-10-30T01:55:00Z</dcterms:created>
  <dcterms:modified xsi:type="dcterms:W3CDTF">2016-10-30T01:55:00Z</dcterms:modified>
</cp:coreProperties>
</file>